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olors9.xml" ContentType="application/vnd.ms-office.chartcolorstyle+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style7.xml" ContentType="application/vnd.ms-office.chartstyle+xml"/>
  <Override PartName="/word/charts/colors7.xml" ContentType="application/vnd.ms-office.chartcolorstyle+xml"/>
  <Override PartName="/word/theme/theme1.xml" ContentType="application/vnd.openxmlformats-officedocument.theme+xml"/>
  <Override PartName="/word/theme/themeOverride6.xml" ContentType="application/vnd.openxmlformats-officedocument.themeOverride+xml"/>
  <Override PartName="/word/charts/colors6.xml" ContentType="application/vnd.ms-office.chartcolorstyle+xml"/>
  <Override PartName="/word/charts/style6.xml" ContentType="application/vnd.ms-office.chart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hart7.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056FE" w14:textId="22095B67" w:rsidR="00772E83" w:rsidRDefault="00866B6C" w:rsidP="000C43EE">
      <w:pPr>
        <w:pStyle w:val="RECnormaltext"/>
        <w:rPr>
          <w:rFonts w:eastAsia="Times New Roman"/>
          <w:b/>
          <w:color w:val="92D050"/>
          <w:sz w:val="24"/>
          <w:szCs w:val="24"/>
        </w:rPr>
      </w:pPr>
      <w:bookmarkStart w:id="0" w:name="_Hlk526861256"/>
      <w:r>
        <w:rPr>
          <w:noProof/>
          <w:color w:val="000000" w:themeColor="text1"/>
        </w:rPr>
        <mc:AlternateContent>
          <mc:Choice Requires="wps">
            <w:drawing>
              <wp:anchor distT="0" distB="0" distL="114300" distR="114300" simplePos="0" relativeHeight="251655168" behindDoc="0" locked="0" layoutInCell="1" allowOverlap="1" wp14:anchorId="5E35B5E8" wp14:editId="0A164F8F">
                <wp:simplePos x="0" y="0"/>
                <wp:positionH relativeFrom="column">
                  <wp:posOffset>96501</wp:posOffset>
                </wp:positionH>
                <wp:positionV relativeFrom="paragraph">
                  <wp:posOffset>-5701124</wp:posOffset>
                </wp:positionV>
                <wp:extent cx="1390650" cy="742950"/>
                <wp:effectExtent l="38100" t="38100" r="114300" b="114300"/>
                <wp:wrapNone/>
                <wp:docPr id="486" name="Rectangle: Diagonal Corners Snipped 486"/>
                <wp:cNvGraphicFramePr/>
                <a:graphic xmlns:a="http://schemas.openxmlformats.org/drawingml/2006/main">
                  <a:graphicData uri="http://schemas.microsoft.com/office/word/2010/wordprocessingShape">
                    <wps:wsp>
                      <wps:cNvSpPr/>
                      <wps:spPr>
                        <a:xfrm>
                          <a:off x="0" y="0"/>
                          <a:ext cx="1390650" cy="742950"/>
                        </a:xfrm>
                        <a:prstGeom prst="snip2DiagRect">
                          <a:avLst/>
                        </a:prstGeom>
                        <a:solidFill>
                          <a:schemeClr val="bg1"/>
                        </a:solidFill>
                        <a:ln>
                          <a:solidFill>
                            <a:srgbClr val="92D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87E3E8" w14:textId="35EEABCE" w:rsidR="009238BE" w:rsidRDefault="009238BE" w:rsidP="000C43EE">
                            <w:pPr>
                              <w:spacing w:after="0"/>
                              <w:rPr>
                                <w:rFonts w:asciiTheme="minorHAnsi" w:hAnsiTheme="minorHAnsi" w:cstheme="minorHAnsi"/>
                                <w:b/>
                                <w:bCs/>
                                <w:color w:val="595959" w:themeColor="text1" w:themeTint="A6"/>
                                <w:sz w:val="24"/>
                                <w:szCs w:val="24"/>
                              </w:rPr>
                            </w:pPr>
                            <w:r>
                              <w:rPr>
                                <w:rFonts w:asciiTheme="minorHAnsi" w:hAnsiTheme="minorHAnsi" w:cstheme="minorHAnsi"/>
                                <w:b/>
                                <w:bCs/>
                                <w:color w:val="595959" w:themeColor="text1" w:themeTint="A6"/>
                                <w:sz w:val="24"/>
                                <w:szCs w:val="24"/>
                              </w:rPr>
                              <w:t xml:space="preserve">Final report </w:t>
                            </w:r>
                          </w:p>
                          <w:p w14:paraId="35FE85D2" w14:textId="77B0A089" w:rsidR="009238BE" w:rsidRPr="00E214F8" w:rsidRDefault="009238BE" w:rsidP="000C43EE">
                            <w:pPr>
                              <w:spacing w:after="0"/>
                              <w:rPr>
                                <w:rFonts w:asciiTheme="minorHAnsi" w:hAnsiTheme="minorHAnsi" w:cstheme="minorHAnsi"/>
                                <w:b/>
                                <w:bCs/>
                                <w:color w:val="595959" w:themeColor="text1" w:themeTint="A6"/>
                                <w:sz w:val="24"/>
                                <w:szCs w:val="24"/>
                              </w:rPr>
                            </w:pPr>
                            <w:r>
                              <w:rPr>
                                <w:rFonts w:asciiTheme="minorHAnsi" w:hAnsiTheme="minorHAnsi" w:cstheme="minorHAnsi"/>
                                <w:b/>
                                <w:bCs/>
                                <w:color w:val="595959" w:themeColor="text1" w:themeTint="A6"/>
                                <w:sz w:val="24"/>
                                <w:szCs w:val="24"/>
                              </w:rPr>
                              <w:t>28/07/2020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5B5E8" id="Rectangle: Diagonal Corners Snipped 486" o:spid="_x0000_s1026" style="position:absolute;margin-left:7.6pt;margin-top:-448.9pt;width:109.5pt;height:5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0650,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" adj="-11796480,,5400" path="m,l1266823,r123827,123827l1390650,742950r,l123827,742950,,619123,,xe" fillcolor="white [3212]" strokecolor="#92d050" strokeweight="2pt">
                <v:stroke joinstyle="miter"/>
                <v:shadow on="t" color="black" opacity="26214f" origin="-.5,-.5" offset=".74836mm,.74836mm"/>
                <v:formulas/>
                <v:path arrowok="t" o:connecttype="custom" o:connectlocs="0,0;1266823,0;1390650,123827;1390650,742950;1390650,742950;123827,742950;0,619123;0,0" o:connectangles="0,0,0,0,0,0,0,0" textboxrect="0,0,1390650,742950"/>
                <v:textbox>
                  <w:txbxContent>
                    <w:p w14:paraId="4B87E3E8" w14:textId="35EEABCE" w:rsidR="009238BE" w:rsidRDefault="009238BE" w:rsidP="000C43EE">
                      <w:pPr>
                        <w:spacing w:after="0"/>
                        <w:rPr>
                          <w:rFonts w:asciiTheme="minorHAnsi" w:hAnsiTheme="minorHAnsi" w:cstheme="minorHAnsi"/>
                          <w:b/>
                          <w:bCs/>
                          <w:color w:val="595959" w:themeColor="text1" w:themeTint="A6"/>
                          <w:sz w:val="24"/>
                          <w:szCs w:val="24"/>
                        </w:rPr>
                      </w:pPr>
                      <w:r>
                        <w:rPr>
                          <w:rFonts w:asciiTheme="minorHAnsi" w:hAnsiTheme="minorHAnsi" w:cstheme="minorHAnsi"/>
                          <w:b/>
                          <w:bCs/>
                          <w:color w:val="595959" w:themeColor="text1" w:themeTint="A6"/>
                          <w:sz w:val="24"/>
                          <w:szCs w:val="24"/>
                        </w:rPr>
                        <w:t xml:space="preserve">Final report </w:t>
                      </w:r>
                    </w:p>
                    <w:p w14:paraId="35FE85D2" w14:textId="77B0A089" w:rsidR="009238BE" w:rsidRPr="00E214F8" w:rsidRDefault="009238BE" w:rsidP="000C43EE">
                      <w:pPr>
                        <w:spacing w:after="0"/>
                        <w:rPr>
                          <w:rFonts w:asciiTheme="minorHAnsi" w:hAnsiTheme="minorHAnsi" w:cstheme="minorHAnsi"/>
                          <w:b/>
                          <w:bCs/>
                          <w:color w:val="595959" w:themeColor="text1" w:themeTint="A6"/>
                          <w:sz w:val="24"/>
                          <w:szCs w:val="24"/>
                        </w:rPr>
                      </w:pPr>
                      <w:r>
                        <w:rPr>
                          <w:rFonts w:asciiTheme="minorHAnsi" w:hAnsiTheme="minorHAnsi" w:cstheme="minorHAnsi"/>
                          <w:b/>
                          <w:bCs/>
                          <w:color w:val="595959" w:themeColor="text1" w:themeTint="A6"/>
                          <w:sz w:val="24"/>
                          <w:szCs w:val="24"/>
                        </w:rPr>
                        <w:t>28/07/2020</w:t>
                      </w:r>
                    </w:p>
                  </w:txbxContent>
                </v:textbox>
              </v:shape>
            </w:pict>
          </mc:Fallback>
        </mc:AlternateContent>
      </w:r>
      <w:r w:rsidR="000B0B81">
        <w:rPr>
          <w:noProof/>
        </w:rPr>
        <mc:AlternateContent>
          <mc:Choice Requires="wps">
            <w:drawing>
              <wp:anchor distT="0" distB="0" distL="114300" distR="114300" simplePos="0" relativeHeight="251654144" behindDoc="0" locked="0" layoutInCell="1" allowOverlap="1" wp14:anchorId="465957F0" wp14:editId="14F6CA63">
                <wp:simplePos x="0" y="0"/>
                <wp:positionH relativeFrom="column">
                  <wp:posOffset>92691</wp:posOffset>
                </wp:positionH>
                <wp:positionV relativeFrom="paragraph">
                  <wp:posOffset>-7296680</wp:posOffset>
                </wp:positionV>
                <wp:extent cx="5450205" cy="1340324"/>
                <wp:effectExtent l="38100" t="38100" r="112395" b="107950"/>
                <wp:wrapNone/>
                <wp:docPr id="24" name="Rectangle: Diagonal Corners Snipped 24"/>
                <wp:cNvGraphicFramePr/>
                <a:graphic xmlns:a="http://schemas.openxmlformats.org/drawingml/2006/main">
                  <a:graphicData uri="http://schemas.microsoft.com/office/word/2010/wordprocessingShape">
                    <wps:wsp>
                      <wps:cNvSpPr/>
                      <wps:spPr>
                        <a:xfrm>
                          <a:off x="0" y="0"/>
                          <a:ext cx="5450205" cy="1340324"/>
                        </a:xfrm>
                        <a:prstGeom prst="snip2DiagRect">
                          <a:avLst/>
                        </a:prstGeom>
                        <a:solidFill>
                          <a:schemeClr val="bg1"/>
                        </a:solidFill>
                        <a:ln>
                          <a:solidFill>
                            <a:srgbClr val="92D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90540F" w14:textId="7B0796ED" w:rsidR="009238BE" w:rsidRPr="00B57BAE" w:rsidRDefault="009238BE" w:rsidP="000B20A3">
                            <w:pPr>
                              <w:jc w:val="center"/>
                              <w:rPr>
                                <w:b/>
                                <w:bCs/>
                                <w:color w:val="595959" w:themeColor="text1" w:themeTint="A6"/>
                                <w:sz w:val="56"/>
                                <w:szCs w:val="56"/>
                              </w:rPr>
                            </w:pPr>
                            <w:r w:rsidRPr="006A6DC0">
                              <w:rPr>
                                <w:b/>
                                <w:bCs/>
                                <w:color w:val="595959" w:themeColor="text1" w:themeTint="A6"/>
                                <w:sz w:val="56"/>
                                <w:szCs w:val="56"/>
                              </w:rPr>
                              <w:t>Opportunities to increase organic</w:t>
                            </w:r>
                            <w:r w:rsidR="0098327A">
                              <w:rPr>
                                <w:b/>
                                <w:bCs/>
                                <w:color w:val="595959" w:themeColor="text1" w:themeTint="A6"/>
                                <w:sz w:val="56"/>
                                <w:szCs w:val="56"/>
                              </w:rPr>
                              <w:t xml:space="preserve"> waste</w:t>
                            </w:r>
                            <w:r w:rsidRPr="006A6DC0">
                              <w:rPr>
                                <w:b/>
                                <w:bCs/>
                                <w:color w:val="595959" w:themeColor="text1" w:themeTint="A6"/>
                                <w:sz w:val="56"/>
                                <w:szCs w:val="56"/>
                              </w:rPr>
                              <w:t xml:space="preserve"> recovery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5957F0" id="Rectangle: Diagonal Corners Snipped 24" o:spid="_x0000_s1027" style="position:absolute;margin-left:7.3pt;margin-top:-574.55pt;width:429.15pt;height:105.5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50205,13403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" adj="-11796480,,5400" path="m,l5226813,r223392,223392l5450205,1340324r,l223392,1340324,,1116932,,xe" fillcolor="white [3212]" strokecolor="#92d050" strokeweight="2pt">
                <v:stroke joinstyle="miter"/>
                <v:shadow on="t" color="black" opacity="26214f" origin="-.5,-.5" offset=".74836mm,.74836mm"/>
                <v:formulas/>
                <v:path arrowok="t" o:connecttype="custom" o:connectlocs="0,0;5226813,0;5450205,223392;5450205,1340324;5450205,1340324;223392,1340324;0,1116932;0,0" o:connectangles="0,0,0,0,0,0,0,0" textboxrect="0,0,5450205,1340324"/>
                <v:textbox>
                  <w:txbxContent>
                    <w:p w14:paraId="0590540F" w14:textId="7B0796ED" w:rsidR="009238BE" w:rsidRPr="00B57BAE" w:rsidRDefault="009238BE" w:rsidP="000B20A3">
                      <w:pPr>
                        <w:jc w:val="center"/>
                        <w:rPr>
                          <w:b/>
                          <w:bCs/>
                          <w:color w:val="595959" w:themeColor="text1" w:themeTint="A6"/>
                          <w:sz w:val="56"/>
                          <w:szCs w:val="56"/>
                        </w:rPr>
                      </w:pPr>
                      <w:r w:rsidRPr="006A6DC0">
                        <w:rPr>
                          <w:b/>
                          <w:bCs/>
                          <w:color w:val="595959" w:themeColor="text1" w:themeTint="A6"/>
                          <w:sz w:val="56"/>
                          <w:szCs w:val="56"/>
                        </w:rPr>
                        <w:t>Opportunities to increase organic</w:t>
                      </w:r>
                      <w:r w:rsidR="0098327A">
                        <w:rPr>
                          <w:b/>
                          <w:bCs/>
                          <w:color w:val="595959" w:themeColor="text1" w:themeTint="A6"/>
                          <w:sz w:val="56"/>
                          <w:szCs w:val="56"/>
                        </w:rPr>
                        <w:t xml:space="preserve"> waste</w:t>
                      </w:r>
                      <w:r w:rsidRPr="006A6DC0">
                        <w:rPr>
                          <w:b/>
                          <w:bCs/>
                          <w:color w:val="595959" w:themeColor="text1" w:themeTint="A6"/>
                          <w:sz w:val="56"/>
                          <w:szCs w:val="56"/>
                        </w:rPr>
                        <w:t xml:space="preserve"> recovery </w:t>
                      </w:r>
                    </w:p>
                  </w:txbxContent>
                </v:textbox>
              </v:shape>
            </w:pict>
          </mc:Fallback>
        </mc:AlternateContent>
      </w:r>
      <w:bookmarkEnd w:id="0"/>
    </w:p>
    <w:p w14:paraId="47463587" w14:textId="77777777" w:rsidR="005E5D65" w:rsidRDefault="005E5D65" w:rsidP="00772E83">
      <w:pPr>
        <w:pStyle w:val="RECnormaltext"/>
        <w:ind w:firstLine="720"/>
        <w:rPr>
          <w:rFonts w:eastAsia="Times New Roman"/>
          <w:b/>
          <w:color w:val="92D050"/>
          <w:sz w:val="24"/>
          <w:szCs w:val="24"/>
        </w:rPr>
        <w:sectPr w:rsidR="005E5D65" w:rsidSect="005E5D65">
          <w:headerReference w:type="default" r:id="rId8"/>
          <w:headerReference w:type="first" r:id="rId9"/>
          <w:pgSz w:w="11906" w:h="16838"/>
          <w:pgMar w:top="2238" w:right="1274" w:bottom="1440" w:left="1440" w:header="708" w:footer="708" w:gutter="0"/>
          <w:cols w:space="708"/>
          <w:titlePg/>
          <w:docGrid w:linePitch="360"/>
        </w:sectPr>
      </w:pPr>
    </w:p>
    <w:p w14:paraId="6B804685" w14:textId="0643E157" w:rsidR="00FF78EF" w:rsidRDefault="00FF78EF" w:rsidP="00B10DAA">
      <w:pPr>
        <w:pStyle w:val="SubTitle0"/>
        <w:ind w:left="0"/>
      </w:pPr>
      <w:r>
        <w:rPr>
          <w:noProof/>
        </w:rPr>
        <w:lastRenderedPageBreak/>
        <mc:AlternateContent>
          <mc:Choice Requires="wps">
            <w:drawing>
              <wp:anchor distT="0" distB="0" distL="114300" distR="114300" simplePos="0" relativeHeight="251652096" behindDoc="1" locked="0" layoutInCell="1" allowOverlap="1" wp14:anchorId="524201E1" wp14:editId="6C60FF26">
                <wp:simplePos x="0" y="0"/>
                <wp:positionH relativeFrom="column">
                  <wp:posOffset>-564543</wp:posOffset>
                </wp:positionH>
                <wp:positionV relativeFrom="paragraph">
                  <wp:posOffset>-68028</wp:posOffset>
                </wp:positionV>
                <wp:extent cx="6863938" cy="9430247"/>
                <wp:effectExtent l="0" t="0" r="13335" b="19050"/>
                <wp:wrapNone/>
                <wp:docPr id="499" name="Text Box 499"/>
                <wp:cNvGraphicFramePr/>
                <a:graphic xmlns:a="http://schemas.openxmlformats.org/drawingml/2006/main">
                  <a:graphicData uri="http://schemas.microsoft.com/office/word/2010/wordprocessingShape">
                    <wps:wsp>
                      <wps:cNvSpPr txBox="1"/>
                      <wps:spPr>
                        <a:xfrm>
                          <a:off x="0" y="0"/>
                          <a:ext cx="6863938" cy="9430247"/>
                        </a:xfrm>
                        <a:prstGeom prst="rect">
                          <a:avLst/>
                        </a:prstGeom>
                        <a:solidFill>
                          <a:schemeClr val="bg1">
                            <a:alpha val="32000"/>
                          </a:schemeClr>
                        </a:solidFill>
                        <a:ln w="6350">
                          <a:solidFill>
                            <a:srgbClr val="92D050"/>
                          </a:solidFill>
                        </a:ln>
                      </wps:spPr>
                      <wps:txbx>
                        <w:txbxContent>
                          <w:p w14:paraId="6DC507BA" w14:textId="0010A4D7" w:rsidR="0098327A" w:rsidRDefault="0098327A" w:rsidP="0098327A">
                            <w:pPr>
                              <w:pStyle w:val="RECnormaltext"/>
                            </w:pPr>
                            <w:r>
                              <w:t>‘Organic waste’ is a very broad term. Technically it could apply to anything that has once grown or lived and organic waste needs to be clearly defined for the scope of th</w:t>
                            </w:r>
                            <w:r w:rsidR="001E3629">
                              <w:t>is</w:t>
                            </w:r>
                            <w:r>
                              <w:t xml:space="preserve"> analysis.</w:t>
                            </w:r>
                          </w:p>
                          <w:p w14:paraId="3736B0A4" w14:textId="725A1F7A" w:rsidR="009238BE" w:rsidRDefault="0098327A" w:rsidP="00B4766B">
                            <w:pPr>
                              <w:pStyle w:val="RECnormaltext"/>
                            </w:pPr>
                            <w:r>
                              <w:t xml:space="preserve">In the most recent </w:t>
                            </w:r>
                            <w:hyperlink r:id="rId10" w:history="1">
                              <w:r w:rsidRPr="008935A6">
                                <w:rPr>
                                  <w:rStyle w:val="Hyperlink"/>
                                </w:rPr>
                                <w:t xml:space="preserve">National </w:t>
                              </w:r>
                              <w:r w:rsidR="00946799">
                                <w:rPr>
                                  <w:rStyle w:val="Hyperlink"/>
                                </w:rPr>
                                <w:t>W</w:t>
                              </w:r>
                              <w:r w:rsidRPr="008935A6">
                                <w:rPr>
                                  <w:rStyle w:val="Hyperlink"/>
                                </w:rPr>
                                <w:t xml:space="preserve">aste </w:t>
                              </w:r>
                              <w:r w:rsidR="00946799">
                                <w:rPr>
                                  <w:rStyle w:val="Hyperlink"/>
                                </w:rPr>
                                <w:t>R</w:t>
                              </w:r>
                              <w:r w:rsidRPr="008935A6">
                                <w:rPr>
                                  <w:rStyle w:val="Hyperlink"/>
                                </w:rPr>
                                <w:t>eport 2018</w:t>
                              </w:r>
                            </w:hyperlink>
                            <w:r>
                              <w:rPr>
                                <w:szCs w:val="22"/>
                              </w:rPr>
                              <w:t xml:space="preserve"> (NWR 2018) the material category ‘organics’ referred to the ‘core waste types’ of food, garden organics and timber. </w:t>
                            </w:r>
                            <w:r w:rsidR="00E64B9B">
                              <w:rPr>
                                <w:szCs w:val="22"/>
                              </w:rPr>
                              <w:t>Core organics</w:t>
                            </w:r>
                            <w:r>
                              <w:rPr>
                                <w:szCs w:val="22"/>
                              </w:rPr>
                              <w:t xml:space="preserve"> excluded paper, cardboard, textiles, rubber and leather, and hazardous organics, because these wastes are typically managed separately to core organic wastes. </w:t>
                            </w:r>
                            <w:r>
                              <w:t>Th</w:t>
                            </w:r>
                            <w:r w:rsidR="00B4766B">
                              <w:t>is report focuses on the</w:t>
                            </w:r>
                            <w:r w:rsidR="001E3629">
                              <w:t xml:space="preserve"> same</w:t>
                            </w:r>
                            <w:r w:rsidR="00B4766B">
                              <w:t xml:space="preserve"> </w:t>
                            </w:r>
                            <w:r w:rsidR="001E3629">
                              <w:t>‘</w:t>
                            </w:r>
                            <w:r w:rsidR="00B4766B">
                              <w:t>core organic</w:t>
                            </w:r>
                            <w:r w:rsidR="001E3629">
                              <w:t>’</w:t>
                            </w:r>
                            <w:r w:rsidR="00B4766B">
                              <w:t xml:space="preserve"> waste types (food, garden and timber). P</w:t>
                            </w:r>
                            <w:r>
                              <w:t>aper, cardboard, textiles, rubber and leather, biosolids and hazardous organics as well as organics generated by agriculture and fisheries industries</w:t>
                            </w:r>
                            <w:r w:rsidR="00B4766B">
                              <w:t xml:space="preserve"> are not included in this </w:t>
                            </w:r>
                            <w:r w:rsidR="001E3629">
                              <w:t>analysis</w:t>
                            </w:r>
                            <w:r>
                              <w:t>.</w:t>
                            </w:r>
                          </w:p>
                          <w:p w14:paraId="63746D69" w14:textId="25783733" w:rsidR="008B56CD" w:rsidRDefault="008B56CD" w:rsidP="008B56CD">
                            <w:pPr>
                              <w:pStyle w:val="RECnormaltext"/>
                            </w:pPr>
                            <w:r>
                              <w:t xml:space="preserve">The Department of Agriculture, Water and the Environment (DAWE) engaged Randell Environmental Consulting (REC) to complete analysis of the </w:t>
                            </w:r>
                            <w:r w:rsidRPr="006A6DC0">
                              <w:rPr>
                                <w:i/>
                                <w:iCs/>
                              </w:rPr>
                              <w:t>Opportunities to increase organic</w:t>
                            </w:r>
                            <w:r w:rsidR="00CF6301">
                              <w:rPr>
                                <w:i/>
                                <w:iCs/>
                              </w:rPr>
                              <w:t xml:space="preserve"> waste </w:t>
                            </w:r>
                            <w:r w:rsidRPr="006A6DC0">
                              <w:rPr>
                                <w:i/>
                                <w:iCs/>
                              </w:rPr>
                              <w:t>recovery</w:t>
                            </w:r>
                            <w:r w:rsidRPr="006A6DC0">
                              <w:t xml:space="preserve"> </w:t>
                            </w:r>
                            <w:r>
                              <w:t xml:space="preserve">(the project).  </w:t>
                            </w:r>
                          </w:p>
                          <w:p w14:paraId="0496331C" w14:textId="77777777" w:rsidR="008B56CD" w:rsidRDefault="008B56CD" w:rsidP="008B56CD">
                            <w:pPr>
                              <w:pStyle w:val="PlainText"/>
                            </w:pPr>
                            <w:r>
                              <w:t xml:space="preserve">This concise report includes analysis of: </w:t>
                            </w:r>
                          </w:p>
                          <w:p w14:paraId="1133641C" w14:textId="77777777" w:rsidR="008B56CD" w:rsidRDefault="008B56CD" w:rsidP="008B56CD">
                            <w:pPr>
                              <w:pStyle w:val="RECdotpoint"/>
                            </w:pPr>
                            <w:r>
                              <w:t>current organics recovery rates (including recycling and energy recovery) from the municipal solid waste (MSW), commercial and industrial (C&amp;I), and construction and demolition (C&amp;D) waste streams</w:t>
                            </w:r>
                          </w:p>
                          <w:p w14:paraId="7B943CB7" w14:textId="77777777" w:rsidR="008B56CD" w:rsidRDefault="008B56CD" w:rsidP="008B56CD">
                            <w:pPr>
                              <w:pStyle w:val="RECdotpoint"/>
                            </w:pPr>
                            <w:r>
                              <w:t>the new national waste policy targets and what they would mean for organics generation and recovery if successfully implemented</w:t>
                            </w:r>
                          </w:p>
                          <w:p w14:paraId="00EA41AE" w14:textId="77777777" w:rsidR="008B56CD" w:rsidRDefault="008B56CD" w:rsidP="008B56CD">
                            <w:pPr>
                              <w:pStyle w:val="RECdotpoint"/>
                            </w:pPr>
                            <w:r>
                              <w:t>an overview of the opportunities for improved recovery and potential future recovery rates based on what has been achieved internationally and what could be considered best practice.</w:t>
                            </w:r>
                          </w:p>
                          <w:p w14:paraId="157C0136" w14:textId="2ED96016" w:rsidR="002574BE" w:rsidRDefault="002574BE" w:rsidP="002574BE">
                            <w:pPr>
                              <w:pStyle w:val="RECnormaltext"/>
                            </w:pPr>
                            <w:r>
                              <w:t xml:space="preserve">The 2019 </w:t>
                            </w:r>
                            <w:r w:rsidRPr="0024607A">
                              <w:rPr>
                                <w:i/>
                                <w:iCs/>
                              </w:rPr>
                              <w:t>National Waste Policy Action Plan</w:t>
                            </w:r>
                            <w:r>
                              <w:t xml:space="preserve"> will drive the implementation of Australia’s </w:t>
                            </w:r>
                            <w:r w:rsidRPr="00D27634">
                              <w:rPr>
                                <w:i/>
                                <w:iCs/>
                              </w:rPr>
                              <w:t>National Waste Policy 2018</w:t>
                            </w:r>
                            <w:r>
                              <w:t>.</w:t>
                            </w:r>
                            <w:r w:rsidR="00D27634">
                              <w:t xml:space="preserve"> </w:t>
                            </w:r>
                            <w:r>
                              <w:t>It includes the following key waste management targets that are relevant for organics:</w:t>
                            </w:r>
                          </w:p>
                          <w:p w14:paraId="51472399" w14:textId="77777777" w:rsidR="002574BE" w:rsidRPr="00AF5053" w:rsidRDefault="002574BE" w:rsidP="002574BE">
                            <w:pPr>
                              <w:pStyle w:val="RECdotpoint"/>
                            </w:pPr>
                            <w:r>
                              <w:t>Target 2 – r</w:t>
                            </w:r>
                            <w:r w:rsidRPr="00AF5053">
                              <w:t>educe total waste generated in Australia by 10% per person by 2030</w:t>
                            </w:r>
                          </w:p>
                          <w:p w14:paraId="312D7A27" w14:textId="77777777" w:rsidR="002574BE" w:rsidRPr="00AF5053" w:rsidRDefault="002574BE" w:rsidP="002574BE">
                            <w:pPr>
                              <w:pStyle w:val="RECdotpoint"/>
                            </w:pPr>
                            <w:r>
                              <w:t xml:space="preserve">Target 3 – </w:t>
                            </w:r>
                            <w:r w:rsidRPr="00AF5053">
                              <w:t>80% average resource recovery rate from all waste streams following the waste hierarchy by 2030</w:t>
                            </w:r>
                          </w:p>
                          <w:p w14:paraId="38B3EE47" w14:textId="77777777" w:rsidR="002574BE" w:rsidRDefault="002574BE" w:rsidP="002574BE">
                            <w:pPr>
                              <w:pStyle w:val="RECdotpoint"/>
                            </w:pPr>
                            <w:r>
                              <w:t>Target 4 – significantly increase the use of recycled content by governments and industry</w:t>
                            </w:r>
                          </w:p>
                          <w:p w14:paraId="69C8F7E7" w14:textId="77777777" w:rsidR="002574BE" w:rsidRDefault="002574BE" w:rsidP="002574BE">
                            <w:pPr>
                              <w:pStyle w:val="RECdotpoint"/>
                            </w:pPr>
                            <w:r>
                              <w:t xml:space="preserve">Target 6 – halve the amount of organic waste sent to landfill for disposal by 2030. </w:t>
                            </w:r>
                          </w:p>
                          <w:p w14:paraId="07F46953" w14:textId="5A127A73" w:rsidR="002574BE" w:rsidRDefault="002574BE" w:rsidP="002574BE">
                            <w:pPr>
                              <w:pStyle w:val="RECnormaltext"/>
                            </w:pPr>
                            <w:r w:rsidRPr="0003482B">
                              <w:t>An assessment by Blue Environment in 2018 projected national waste generation increasing</w:t>
                            </w:r>
                            <w:r>
                              <w:t xml:space="preserve"> to </w:t>
                            </w:r>
                            <w:r w:rsidRPr="0003482B">
                              <w:t>70.7 Mt</w:t>
                            </w:r>
                            <w:r>
                              <w:t xml:space="preserve"> by 2030</w:t>
                            </w:r>
                            <w:r w:rsidRPr="0003482B">
                              <w:t xml:space="preserve"> and the total recovery reaching 50.2 Mt (“business as usual” </w:t>
                            </w:r>
                            <w:r>
                              <w:t>scenario</w:t>
                            </w:r>
                            <w:r w:rsidRPr="0003482B">
                              <w:t>). This equates to an estimated recovery rate of 71% or 9 % (or 6.4 Mt tonnes) below the 80% overall recovery rate</w:t>
                            </w:r>
                            <w:r w:rsidR="00066C46">
                              <w:t xml:space="preserve"> t</w:t>
                            </w:r>
                            <w:r w:rsidRPr="0003482B">
                              <w:t xml:space="preserve">arget in the </w:t>
                            </w:r>
                            <w:r w:rsidRPr="002574BE">
                              <w:rPr>
                                <w:i/>
                                <w:iCs/>
                              </w:rPr>
                              <w:t>National Waste Policy Action Plan</w:t>
                            </w:r>
                            <w:r w:rsidRPr="0003482B">
                              <w:t>.</w:t>
                            </w:r>
                            <w:r>
                              <w:t xml:space="preserve"> This report estimates what share of this projected 6.4 Mt shortfall an increase in </w:t>
                            </w:r>
                            <w:r w:rsidR="00946799">
                              <w:t xml:space="preserve">core </w:t>
                            </w:r>
                            <w:r>
                              <w:t>organic</w:t>
                            </w:r>
                            <w:r w:rsidR="00946799">
                              <w:t xml:space="preserve"> wastes</w:t>
                            </w:r>
                            <w:r>
                              <w:t xml:space="preserve"> recovery could contribute.</w:t>
                            </w:r>
                          </w:p>
                          <w:p w14:paraId="5BDAC76E" w14:textId="58CA5A52" w:rsidR="009238BE" w:rsidRDefault="009238BE" w:rsidP="003B713E">
                            <w:pPr>
                              <w:pStyle w:val="RECnormaltext"/>
                              <w:spacing w:after="120"/>
                            </w:pPr>
                            <w:r>
                              <w:t>Over the 10-year period from 2007 to 2017, Australia’s organic waste generation was around 14-15 Mt and the recovery rate (via recycling or an energy from waste facility) increased, from around 40% (5.6 Mt) to 62% (8.8 Mt) per annum. In 2017, the recycling rate (e.g. composting) was 52% and the rate of recovery via energy from waste facilities was 10%.</w:t>
                            </w:r>
                            <w:r w:rsidRPr="00006E9B">
                              <w:t xml:space="preserve"> </w:t>
                            </w:r>
                          </w:p>
                          <w:p w14:paraId="6921D0CF" w14:textId="28A4DAEE" w:rsidR="00E97A46" w:rsidRDefault="009238BE" w:rsidP="003B713E">
                            <w:pPr>
                              <w:pStyle w:val="RECnormaltext"/>
                              <w:spacing w:after="120"/>
                            </w:pPr>
                            <w:r>
                              <w:t xml:space="preserve">In 2017, organics waste generation was mostly from the </w:t>
                            </w:r>
                            <w:r w:rsidR="00644DD2">
                              <w:t xml:space="preserve">MSW (52%) and the C&amp;I (42%) streams, with timber waste (mostly) from the C&amp;D </w:t>
                            </w:r>
                            <w:r>
                              <w:t>st</w:t>
                            </w:r>
                            <w:r w:rsidR="005344CC">
                              <w:t>r</w:t>
                            </w:r>
                            <w:r>
                              <w:t>eam</w:t>
                            </w:r>
                            <w:r w:rsidR="00644DD2">
                              <w:t xml:space="preserve"> </w:t>
                            </w:r>
                            <w:r>
                              <w:t>making up the remaining 6%.</w:t>
                            </w:r>
                            <w:r w:rsidR="00E97A46">
                              <w:t xml:space="preserve"> In 2017, the recovery rates were 37% for MSW, 62% for C&amp;I, and 42% for C&amp;D. This highlights that the greatest opportunities for increasing recovery are likely to be in the MSW stream as it has the highest tonnage and the lowest recovery rate.</w:t>
                            </w:r>
                          </w:p>
                          <w:p w14:paraId="4416EA85" w14:textId="6000593B" w:rsidR="00A81B0D" w:rsidRDefault="00A81B0D" w:rsidP="00A81B0D">
                            <w:pPr>
                              <w:pStyle w:val="RECnormaltext"/>
                              <w:shd w:val="clear" w:color="auto" w:fill="FFFFFF" w:themeFill="background1"/>
                            </w:pPr>
                            <w:r w:rsidRPr="00A81B0D">
                              <w:t>MSW organics</w:t>
                            </w:r>
                            <w:r>
                              <w:t xml:space="preserve"> recovery rates in many countries in the European Union (UN) are 70% or more (in stark contrast with Australia’s MSW organics recovery rate of 37% in 2017). For example, Italy and the United Kingdom have achieved recovery rates for MSW organics of 70% through source segregation of food and garden organics and processing via a combination of composting (for garden and some food) and </w:t>
                            </w:r>
                            <w:r w:rsidR="00066C46">
                              <w:t>anerobic digestion (</w:t>
                            </w:r>
                            <w:r>
                              <w:t>AD</w:t>
                            </w:r>
                            <w:r w:rsidR="00066C46">
                              <w:t>)</w:t>
                            </w:r>
                            <w:r>
                              <w:t xml:space="preserve"> (for food wastes).</w:t>
                            </w:r>
                          </w:p>
                          <w:p w14:paraId="3FEFA73C" w14:textId="77777777" w:rsidR="00E96A4C" w:rsidRDefault="00E96A4C" w:rsidP="00E96A4C">
                            <w:pPr>
                              <w:pStyle w:val="RECnormaltext"/>
                              <w:shd w:val="clear" w:color="auto" w:fill="FFFFFF" w:themeFill="background1"/>
                              <w:spacing w:after="120"/>
                            </w:pPr>
                            <w:r>
                              <w:t xml:space="preserve">With a </w:t>
                            </w:r>
                            <w:r w:rsidRPr="00B10DAA">
                              <w:rPr>
                                <w:b/>
                                <w:bCs/>
                              </w:rPr>
                              <w:t>food waste</w:t>
                            </w:r>
                            <w:r>
                              <w:t xml:space="preserve"> recovery rate (across MSW and C&amp;I streams) of just 13%, in 2017, </w:t>
                            </w:r>
                            <w:r w:rsidRPr="008C06E4">
                              <w:rPr>
                                <w:u w:val="single"/>
                              </w:rPr>
                              <w:t>and</w:t>
                            </w:r>
                            <w:r>
                              <w:t xml:space="preserve"> generation of over 4 Mt there remains a significant opportunity to improve organics recovery by increasing the rate of food waste recovery in Australia. In 2017, food organics made-up</w:t>
                            </w:r>
                            <w:r w:rsidRPr="009040D3">
                              <w:rPr>
                                <w:b/>
                                <w:bCs/>
                              </w:rPr>
                              <w:t xml:space="preserve"> 70% </w:t>
                            </w:r>
                            <w:r>
                              <w:t xml:space="preserve">of the organic waste sent to landfill (3.8 Mt of 5.4 Mt). </w:t>
                            </w:r>
                          </w:p>
                          <w:p w14:paraId="0E21C0D7" w14:textId="77777777" w:rsidR="00E96A4C" w:rsidRDefault="00E96A4C" w:rsidP="00A81B0D">
                            <w:pPr>
                              <w:pStyle w:val="RECnormaltext"/>
                              <w:shd w:val="clear" w:color="auto" w:fill="FFFFFF" w:themeFill="background1"/>
                            </w:pPr>
                          </w:p>
                          <w:p w14:paraId="7612A37D" w14:textId="77777777" w:rsidR="00A81B0D" w:rsidRDefault="00A81B0D" w:rsidP="00A81B0D">
                            <w:pPr>
                              <w:pStyle w:val="RECnormaltext"/>
                              <w:shd w:val="clear" w:color="auto" w:fill="FFFFFF" w:themeFill="background1"/>
                            </w:pPr>
                          </w:p>
                          <w:p w14:paraId="707E50AA" w14:textId="77777777" w:rsidR="009238BE" w:rsidRDefault="009238BE"/>
                          <w:p w14:paraId="2FA1ABD0" w14:textId="77777777" w:rsidR="009238BE" w:rsidRDefault="00923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201E1" id="_x0000_t202" coordsize="21600,21600" o:spt="202" path="m,l,21600r21600,l21600,xe">
                <v:stroke joinstyle="miter"/>
                <v:path gradientshapeok="t" o:connecttype="rect"/>
              </v:shapetype>
              <v:shape id="Text Box 499" o:spid="_x0000_s1028" type="#_x0000_t202" style="position:absolute;margin-left:-44.45pt;margin-top:-5.35pt;width:540.45pt;height:74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" fillcolor="white [3212]" strokecolor="#92d050" strokeweight=".5pt">
                <v:fill opacity="21074f"/>
                <v:textbox>
                  <w:txbxContent>
                    <w:p w14:paraId="6DC507BA" w14:textId="0010A4D7" w:rsidR="0098327A" w:rsidRDefault="0098327A" w:rsidP="0098327A">
                      <w:pPr>
                        <w:pStyle w:val="RECnormaltext"/>
                      </w:pPr>
                      <w:r>
                        <w:t>‘Organic waste’ is a very broad term. Technically it could apply to anything that has once grown or lived and organic waste needs to be clearly defined for the scope of th</w:t>
                      </w:r>
                      <w:r w:rsidR="001E3629">
                        <w:t>is</w:t>
                      </w:r>
                      <w:r>
                        <w:t xml:space="preserve"> analysis.</w:t>
                      </w:r>
                    </w:p>
                    <w:p w14:paraId="3736B0A4" w14:textId="725A1F7A" w:rsidR="009238BE" w:rsidRDefault="0098327A" w:rsidP="00B4766B">
                      <w:pPr>
                        <w:pStyle w:val="RECnormaltext"/>
                      </w:pPr>
                      <w:r>
                        <w:t xml:space="preserve">In the most recent </w:t>
                      </w:r>
                      <w:hyperlink r:id="rId11" w:history="1">
                        <w:r w:rsidRPr="008935A6">
                          <w:rPr>
                            <w:rStyle w:val="Hyperlink"/>
                          </w:rPr>
                          <w:t xml:space="preserve">National </w:t>
                        </w:r>
                        <w:r w:rsidR="00946799">
                          <w:rPr>
                            <w:rStyle w:val="Hyperlink"/>
                          </w:rPr>
                          <w:t>W</w:t>
                        </w:r>
                        <w:r w:rsidRPr="008935A6">
                          <w:rPr>
                            <w:rStyle w:val="Hyperlink"/>
                          </w:rPr>
                          <w:t xml:space="preserve">aste </w:t>
                        </w:r>
                        <w:r w:rsidR="00946799">
                          <w:rPr>
                            <w:rStyle w:val="Hyperlink"/>
                          </w:rPr>
                          <w:t>R</w:t>
                        </w:r>
                        <w:r w:rsidRPr="008935A6">
                          <w:rPr>
                            <w:rStyle w:val="Hyperlink"/>
                          </w:rPr>
                          <w:t>eport 2018</w:t>
                        </w:r>
                      </w:hyperlink>
                      <w:r>
                        <w:rPr>
                          <w:szCs w:val="22"/>
                        </w:rPr>
                        <w:t xml:space="preserve"> (NWR 2018) the material category ‘organics’ referred to the ‘core waste types’ of food, garden organics and timber. </w:t>
                      </w:r>
                      <w:r w:rsidR="00E64B9B">
                        <w:rPr>
                          <w:szCs w:val="22"/>
                        </w:rPr>
                        <w:t>Core organics</w:t>
                      </w:r>
                      <w:r>
                        <w:rPr>
                          <w:szCs w:val="22"/>
                        </w:rPr>
                        <w:t xml:space="preserve"> excluded paper, cardboard, textiles, rubber and leather, and hazardous organics, because these wastes are typically managed separately to core organic wastes. </w:t>
                      </w:r>
                      <w:r>
                        <w:t>Th</w:t>
                      </w:r>
                      <w:r w:rsidR="00B4766B">
                        <w:t>is report focuses on the</w:t>
                      </w:r>
                      <w:r w:rsidR="001E3629">
                        <w:t xml:space="preserve"> same</w:t>
                      </w:r>
                      <w:r w:rsidR="00B4766B">
                        <w:t xml:space="preserve"> </w:t>
                      </w:r>
                      <w:r w:rsidR="001E3629">
                        <w:t>‘</w:t>
                      </w:r>
                      <w:r w:rsidR="00B4766B">
                        <w:t>core organic</w:t>
                      </w:r>
                      <w:r w:rsidR="001E3629">
                        <w:t>’</w:t>
                      </w:r>
                      <w:r w:rsidR="00B4766B">
                        <w:t xml:space="preserve"> waste types (food, garden and timber). P</w:t>
                      </w:r>
                      <w:r>
                        <w:t>aper, cardboard, textiles, rubber and leather, biosolids and hazardous organics as well as organics generated by agriculture and fisheries industries</w:t>
                      </w:r>
                      <w:r w:rsidR="00B4766B">
                        <w:t xml:space="preserve"> are not included in this </w:t>
                      </w:r>
                      <w:r w:rsidR="001E3629">
                        <w:t>analysis</w:t>
                      </w:r>
                      <w:r>
                        <w:t>.</w:t>
                      </w:r>
                    </w:p>
                    <w:p w14:paraId="63746D69" w14:textId="25783733" w:rsidR="008B56CD" w:rsidRDefault="008B56CD" w:rsidP="008B56CD">
                      <w:pPr>
                        <w:pStyle w:val="RECnormaltext"/>
                      </w:pPr>
                      <w:r>
                        <w:t xml:space="preserve">The Department of Agriculture, Water and the Environment (DAWE) engaged Randell Environmental Consulting (REC) to complete analysis of the </w:t>
                      </w:r>
                      <w:r w:rsidRPr="006A6DC0">
                        <w:rPr>
                          <w:i/>
                          <w:iCs/>
                        </w:rPr>
                        <w:t>Opportunities to increase organic</w:t>
                      </w:r>
                      <w:r w:rsidR="00CF6301">
                        <w:rPr>
                          <w:i/>
                          <w:iCs/>
                        </w:rPr>
                        <w:t xml:space="preserve"> waste </w:t>
                      </w:r>
                      <w:r w:rsidRPr="006A6DC0">
                        <w:rPr>
                          <w:i/>
                          <w:iCs/>
                        </w:rPr>
                        <w:t>recovery</w:t>
                      </w:r>
                      <w:r w:rsidRPr="006A6DC0">
                        <w:t xml:space="preserve"> </w:t>
                      </w:r>
                      <w:r>
                        <w:t xml:space="preserve">(the project).  </w:t>
                      </w:r>
                    </w:p>
                    <w:p w14:paraId="0496331C" w14:textId="77777777" w:rsidR="008B56CD" w:rsidRDefault="008B56CD" w:rsidP="008B56CD">
                      <w:pPr>
                        <w:pStyle w:val="PlainText"/>
                      </w:pPr>
                      <w:r>
                        <w:t xml:space="preserve">This concise report includes analysis of: </w:t>
                      </w:r>
                    </w:p>
                    <w:p w14:paraId="1133641C" w14:textId="77777777" w:rsidR="008B56CD" w:rsidRDefault="008B56CD" w:rsidP="008B56CD">
                      <w:pPr>
                        <w:pStyle w:val="RECdotpoint"/>
                      </w:pPr>
                      <w:r>
                        <w:t>current organics recovery rates (including recycling and energy recovery) from the municipal solid waste (MSW), commercial and industrial (C&amp;I), and construction and demolition (C&amp;D) waste streams</w:t>
                      </w:r>
                    </w:p>
                    <w:p w14:paraId="7B943CB7" w14:textId="77777777" w:rsidR="008B56CD" w:rsidRDefault="008B56CD" w:rsidP="008B56CD">
                      <w:pPr>
                        <w:pStyle w:val="RECdotpoint"/>
                      </w:pPr>
                      <w:r>
                        <w:t>the new national waste policy targets and what they would mean for organics generation and recovery if successfully implemented</w:t>
                      </w:r>
                    </w:p>
                    <w:p w14:paraId="00EA41AE" w14:textId="77777777" w:rsidR="008B56CD" w:rsidRDefault="008B56CD" w:rsidP="008B56CD">
                      <w:pPr>
                        <w:pStyle w:val="RECdotpoint"/>
                      </w:pPr>
                      <w:r>
                        <w:t>an overview of the opportunities for improved recovery and potential future recovery rates based on what has been achieved internationally and what could be considered best practice.</w:t>
                      </w:r>
                    </w:p>
                    <w:p w14:paraId="157C0136" w14:textId="2ED96016" w:rsidR="002574BE" w:rsidRDefault="002574BE" w:rsidP="002574BE">
                      <w:pPr>
                        <w:pStyle w:val="RECnormaltext"/>
                      </w:pPr>
                      <w:r>
                        <w:t xml:space="preserve">The 2019 </w:t>
                      </w:r>
                      <w:r w:rsidRPr="0024607A">
                        <w:rPr>
                          <w:i/>
                          <w:iCs/>
                        </w:rPr>
                        <w:t>National Waste Policy Action Plan</w:t>
                      </w:r>
                      <w:r>
                        <w:t xml:space="preserve"> will drive the implementation of Australia’s </w:t>
                      </w:r>
                      <w:r w:rsidRPr="00D27634">
                        <w:rPr>
                          <w:i/>
                          <w:iCs/>
                        </w:rPr>
                        <w:t>National Waste Policy 2018</w:t>
                      </w:r>
                      <w:r>
                        <w:t>.</w:t>
                      </w:r>
                      <w:r w:rsidR="00D27634">
                        <w:t xml:space="preserve"> </w:t>
                      </w:r>
                      <w:r>
                        <w:t>It includes the following key waste management targets that are relevant for organics:</w:t>
                      </w:r>
                    </w:p>
                    <w:p w14:paraId="51472399" w14:textId="77777777" w:rsidR="002574BE" w:rsidRPr="00AF5053" w:rsidRDefault="002574BE" w:rsidP="002574BE">
                      <w:pPr>
                        <w:pStyle w:val="RECdotpoint"/>
                      </w:pPr>
                      <w:r>
                        <w:t>Target 2 – r</w:t>
                      </w:r>
                      <w:r w:rsidRPr="00AF5053">
                        <w:t>educe total waste generated in Australia by 10% per person by 2030</w:t>
                      </w:r>
                    </w:p>
                    <w:p w14:paraId="312D7A27" w14:textId="77777777" w:rsidR="002574BE" w:rsidRPr="00AF5053" w:rsidRDefault="002574BE" w:rsidP="002574BE">
                      <w:pPr>
                        <w:pStyle w:val="RECdotpoint"/>
                      </w:pPr>
                      <w:r>
                        <w:t xml:space="preserve">Target 3 – </w:t>
                      </w:r>
                      <w:r w:rsidRPr="00AF5053">
                        <w:t>80% average resource recovery rate from all waste streams following the waste hierarchy by 2030</w:t>
                      </w:r>
                    </w:p>
                    <w:p w14:paraId="38B3EE47" w14:textId="77777777" w:rsidR="002574BE" w:rsidRDefault="002574BE" w:rsidP="002574BE">
                      <w:pPr>
                        <w:pStyle w:val="RECdotpoint"/>
                      </w:pPr>
                      <w:r>
                        <w:t>Target 4 – significantly increase the use of recycled content by governments and industry</w:t>
                      </w:r>
                    </w:p>
                    <w:p w14:paraId="69C8F7E7" w14:textId="77777777" w:rsidR="002574BE" w:rsidRDefault="002574BE" w:rsidP="002574BE">
                      <w:pPr>
                        <w:pStyle w:val="RECdotpoint"/>
                      </w:pPr>
                      <w:r>
                        <w:t xml:space="preserve">Target 6 – halve the amount of organic waste sent to landfill for disposal by 2030. </w:t>
                      </w:r>
                    </w:p>
                    <w:p w14:paraId="07F46953" w14:textId="5A127A73" w:rsidR="002574BE" w:rsidRDefault="002574BE" w:rsidP="002574BE">
                      <w:pPr>
                        <w:pStyle w:val="RECnormaltext"/>
                      </w:pPr>
                      <w:r w:rsidRPr="0003482B">
                        <w:t>An assessment by Blue Environment in 2018 projected national waste generation increasing</w:t>
                      </w:r>
                      <w:r>
                        <w:t xml:space="preserve"> to </w:t>
                      </w:r>
                      <w:r w:rsidRPr="0003482B">
                        <w:t>70.7 Mt</w:t>
                      </w:r>
                      <w:r>
                        <w:t xml:space="preserve"> by 2030</w:t>
                      </w:r>
                      <w:r w:rsidRPr="0003482B">
                        <w:t xml:space="preserve"> and the total recovery reaching 50.2 Mt (“business as usual” </w:t>
                      </w:r>
                      <w:r>
                        <w:t>scenario</w:t>
                      </w:r>
                      <w:r w:rsidRPr="0003482B">
                        <w:t>). This equates to an estimated recovery rate of 71% or 9 % (or 6.4 Mt tonnes) below the 80% overall recovery rate</w:t>
                      </w:r>
                      <w:r w:rsidR="00066C46">
                        <w:t xml:space="preserve"> t</w:t>
                      </w:r>
                      <w:r w:rsidRPr="0003482B">
                        <w:t xml:space="preserve">arget in the </w:t>
                      </w:r>
                      <w:r w:rsidRPr="002574BE">
                        <w:rPr>
                          <w:i/>
                          <w:iCs/>
                        </w:rPr>
                        <w:t>National Waste Policy Action Plan</w:t>
                      </w:r>
                      <w:r w:rsidRPr="0003482B">
                        <w:t>.</w:t>
                      </w:r>
                      <w:r>
                        <w:t xml:space="preserve"> This report estimates what share of this projected 6.4 Mt shortfall an increase in </w:t>
                      </w:r>
                      <w:r w:rsidR="00946799">
                        <w:t xml:space="preserve">core </w:t>
                      </w:r>
                      <w:r>
                        <w:t>organic</w:t>
                      </w:r>
                      <w:r w:rsidR="00946799">
                        <w:t xml:space="preserve"> wastes</w:t>
                      </w:r>
                      <w:r>
                        <w:t xml:space="preserve"> recovery could contribute.</w:t>
                      </w:r>
                    </w:p>
                    <w:p w14:paraId="5BDAC76E" w14:textId="58CA5A52" w:rsidR="009238BE" w:rsidRDefault="009238BE" w:rsidP="003B713E">
                      <w:pPr>
                        <w:pStyle w:val="RECnormaltext"/>
                        <w:spacing w:after="120"/>
                      </w:pPr>
                      <w:r>
                        <w:t>Over the 10-year period from 2007 to 2017, Australia’s organic waste generation was around 14-15 Mt and the recovery rate (via recycling or an energy from waste facility) increased, from around 40% (5.6 Mt) to 62% (8.8 Mt) per annum. In 2017, the recycling rate (e.g. composting) was 52% and the rate of recovery via energy from waste facilities was 10%.</w:t>
                      </w:r>
                      <w:r w:rsidRPr="00006E9B">
                        <w:t xml:space="preserve"> </w:t>
                      </w:r>
                    </w:p>
                    <w:p w14:paraId="6921D0CF" w14:textId="28A4DAEE" w:rsidR="00E97A46" w:rsidRDefault="009238BE" w:rsidP="003B713E">
                      <w:pPr>
                        <w:pStyle w:val="RECnormaltext"/>
                        <w:spacing w:after="120"/>
                      </w:pPr>
                      <w:r>
                        <w:t xml:space="preserve">In 2017, organics waste generation was mostly from the </w:t>
                      </w:r>
                      <w:r w:rsidR="00644DD2">
                        <w:t xml:space="preserve">MSW (52%) and the C&amp;I (42%) streams, with timber waste (mostly) from the C&amp;D </w:t>
                      </w:r>
                      <w:r>
                        <w:t>st</w:t>
                      </w:r>
                      <w:r w:rsidR="005344CC">
                        <w:t>r</w:t>
                      </w:r>
                      <w:r>
                        <w:t>eam</w:t>
                      </w:r>
                      <w:r w:rsidR="00644DD2">
                        <w:t xml:space="preserve"> </w:t>
                      </w:r>
                      <w:r>
                        <w:t>making up the remaining 6%.</w:t>
                      </w:r>
                      <w:r w:rsidR="00E97A46">
                        <w:t xml:space="preserve"> In 2017, the recovery rates were 37% for MSW, 62% for C&amp;I, and 42% for C&amp;D. This highlights that the greatest opportunities for increasing recovery are likely to be in the MSW stream as it has the highest tonnage and the lowest recovery rate.</w:t>
                      </w:r>
                    </w:p>
                    <w:p w14:paraId="4416EA85" w14:textId="6000593B" w:rsidR="00A81B0D" w:rsidRDefault="00A81B0D" w:rsidP="00A81B0D">
                      <w:pPr>
                        <w:pStyle w:val="RECnormaltext"/>
                        <w:shd w:val="clear" w:color="auto" w:fill="FFFFFF" w:themeFill="background1"/>
                      </w:pPr>
                      <w:r w:rsidRPr="00A81B0D">
                        <w:t>MSW organics</w:t>
                      </w:r>
                      <w:r>
                        <w:t xml:space="preserve"> recovery rates in many countries in the European Union (UN) are 70% or more (in stark contrast with Australia’s MSW organics recovery rate of 37% in 2017). For example, Italy and the United Kingdom have achieved recovery rates for MSW organics of 70% through source segregation of food and garden organics and processing via a combination of composting (for garden and some food) and </w:t>
                      </w:r>
                      <w:r w:rsidR="00066C46">
                        <w:t>anerobic digestion (</w:t>
                      </w:r>
                      <w:r>
                        <w:t>AD</w:t>
                      </w:r>
                      <w:r w:rsidR="00066C46">
                        <w:t>)</w:t>
                      </w:r>
                      <w:r>
                        <w:t xml:space="preserve"> (for food wastes).</w:t>
                      </w:r>
                    </w:p>
                    <w:p w14:paraId="3FEFA73C" w14:textId="77777777" w:rsidR="00E96A4C" w:rsidRDefault="00E96A4C" w:rsidP="00E96A4C">
                      <w:pPr>
                        <w:pStyle w:val="RECnormaltext"/>
                        <w:shd w:val="clear" w:color="auto" w:fill="FFFFFF" w:themeFill="background1"/>
                        <w:spacing w:after="120"/>
                      </w:pPr>
                      <w:r>
                        <w:t xml:space="preserve">With a </w:t>
                      </w:r>
                      <w:r w:rsidRPr="00B10DAA">
                        <w:rPr>
                          <w:b/>
                          <w:bCs/>
                        </w:rPr>
                        <w:t>food waste</w:t>
                      </w:r>
                      <w:r>
                        <w:t xml:space="preserve"> recovery rate (across MSW and C&amp;I streams) of just 13%, in 2017, </w:t>
                      </w:r>
                      <w:r w:rsidRPr="008C06E4">
                        <w:rPr>
                          <w:u w:val="single"/>
                        </w:rPr>
                        <w:t>and</w:t>
                      </w:r>
                      <w:r>
                        <w:t xml:space="preserve"> generation of over 4 Mt there remains a significant opportunity to improve organics recovery by increasing the rate of food waste recovery in Australia. In 2017, food organics made-up</w:t>
                      </w:r>
                      <w:r w:rsidRPr="009040D3">
                        <w:rPr>
                          <w:b/>
                          <w:bCs/>
                        </w:rPr>
                        <w:t xml:space="preserve"> 70% </w:t>
                      </w:r>
                      <w:r>
                        <w:t xml:space="preserve">of the organic waste sent to landfill (3.8 Mt of 5.4 Mt). </w:t>
                      </w:r>
                    </w:p>
                    <w:p w14:paraId="0E21C0D7" w14:textId="77777777" w:rsidR="00E96A4C" w:rsidRDefault="00E96A4C" w:rsidP="00A81B0D">
                      <w:pPr>
                        <w:pStyle w:val="RECnormaltext"/>
                        <w:shd w:val="clear" w:color="auto" w:fill="FFFFFF" w:themeFill="background1"/>
                      </w:pPr>
                    </w:p>
                    <w:p w14:paraId="7612A37D" w14:textId="77777777" w:rsidR="00A81B0D" w:rsidRDefault="00A81B0D" w:rsidP="00A81B0D">
                      <w:pPr>
                        <w:pStyle w:val="RECnormaltext"/>
                        <w:shd w:val="clear" w:color="auto" w:fill="FFFFFF" w:themeFill="background1"/>
                      </w:pPr>
                    </w:p>
                    <w:p w14:paraId="707E50AA" w14:textId="77777777" w:rsidR="009238BE" w:rsidRDefault="009238BE"/>
                    <w:p w14:paraId="2FA1ABD0" w14:textId="77777777" w:rsidR="009238BE" w:rsidRDefault="009238BE"/>
                  </w:txbxContent>
                </v:textbox>
              </v:shape>
            </w:pict>
          </mc:Fallback>
        </mc:AlternateContent>
      </w:r>
      <w:r w:rsidR="003B713E">
        <w:tab/>
      </w:r>
    </w:p>
    <w:p w14:paraId="75287F79" w14:textId="77777777" w:rsidR="003B713E" w:rsidRDefault="003B713E" w:rsidP="00B10DAA">
      <w:pPr>
        <w:pStyle w:val="SubTitle0"/>
      </w:pPr>
    </w:p>
    <w:p w14:paraId="771546A3" w14:textId="77777777" w:rsidR="003B713E" w:rsidRPr="005E5D65" w:rsidRDefault="003B713E" w:rsidP="00B10DAA">
      <w:pPr>
        <w:pStyle w:val="SubTitle0"/>
      </w:pPr>
    </w:p>
    <w:p w14:paraId="331E4B49" w14:textId="77777777" w:rsidR="00FF78EF" w:rsidRDefault="00FF78EF" w:rsidP="00772E83">
      <w:pPr>
        <w:pStyle w:val="RECnormaltext"/>
      </w:pPr>
    </w:p>
    <w:p w14:paraId="2C3B09CF" w14:textId="49928E81" w:rsidR="00FF78EF" w:rsidRDefault="00FF78EF" w:rsidP="00772E83">
      <w:pPr>
        <w:pStyle w:val="RECnormaltext"/>
      </w:pPr>
    </w:p>
    <w:p w14:paraId="1671DA49" w14:textId="6E48ED83" w:rsidR="008B56CD" w:rsidRDefault="008B56CD" w:rsidP="00772E83">
      <w:pPr>
        <w:pStyle w:val="RECnormaltext"/>
      </w:pPr>
    </w:p>
    <w:p w14:paraId="7ECC9BEB" w14:textId="0A8684C7" w:rsidR="008B56CD" w:rsidRDefault="008B56CD" w:rsidP="00772E83">
      <w:pPr>
        <w:pStyle w:val="RECnormaltext"/>
      </w:pPr>
    </w:p>
    <w:p w14:paraId="65A08A40" w14:textId="5AE4AFC9" w:rsidR="008B56CD" w:rsidRDefault="008B56CD" w:rsidP="00772E83">
      <w:pPr>
        <w:pStyle w:val="RECnormaltext"/>
      </w:pPr>
    </w:p>
    <w:p w14:paraId="12389980" w14:textId="2065710F" w:rsidR="008B56CD" w:rsidRDefault="008B56CD" w:rsidP="00772E83">
      <w:pPr>
        <w:pStyle w:val="RECnormaltext"/>
      </w:pPr>
    </w:p>
    <w:p w14:paraId="6EAF10B5" w14:textId="6307B8BD" w:rsidR="008B56CD" w:rsidRDefault="008B56CD" w:rsidP="008B56CD">
      <w:pPr>
        <w:pStyle w:val="RECnormaltext"/>
        <w:tabs>
          <w:tab w:val="left" w:pos="6060"/>
        </w:tabs>
      </w:pPr>
      <w:r>
        <w:tab/>
      </w:r>
    </w:p>
    <w:p w14:paraId="009D1E9E" w14:textId="26AC5064" w:rsidR="008B56CD" w:rsidRDefault="008B56CD" w:rsidP="00772E83">
      <w:pPr>
        <w:pStyle w:val="RECnormaltext"/>
      </w:pPr>
    </w:p>
    <w:p w14:paraId="3B94E0A0" w14:textId="597A265D" w:rsidR="008B56CD" w:rsidRDefault="008B56CD" w:rsidP="00772E83">
      <w:pPr>
        <w:pStyle w:val="RECnormaltext"/>
      </w:pPr>
    </w:p>
    <w:p w14:paraId="3E1EA3D7" w14:textId="388031B8" w:rsidR="008B56CD" w:rsidRDefault="008B56CD" w:rsidP="00772E83">
      <w:pPr>
        <w:pStyle w:val="RECnormaltext"/>
      </w:pPr>
    </w:p>
    <w:p w14:paraId="290025AE" w14:textId="05B242C8" w:rsidR="008B56CD" w:rsidRDefault="008B56CD" w:rsidP="00772E83">
      <w:pPr>
        <w:pStyle w:val="RECnormaltext"/>
      </w:pPr>
    </w:p>
    <w:p w14:paraId="22B89979" w14:textId="1EE46DE2" w:rsidR="008B56CD" w:rsidRDefault="008B56CD" w:rsidP="00772E83">
      <w:pPr>
        <w:pStyle w:val="RECnormaltext"/>
      </w:pPr>
    </w:p>
    <w:p w14:paraId="3C58300C" w14:textId="1E381800" w:rsidR="008B56CD" w:rsidRDefault="008B56CD" w:rsidP="00772E83">
      <w:pPr>
        <w:pStyle w:val="RECnormaltext"/>
      </w:pPr>
    </w:p>
    <w:p w14:paraId="68FD7118" w14:textId="5DE88F4B" w:rsidR="008B56CD" w:rsidRDefault="008B56CD" w:rsidP="00772E83">
      <w:pPr>
        <w:pStyle w:val="RECnormaltext"/>
      </w:pPr>
    </w:p>
    <w:p w14:paraId="3DCE0777" w14:textId="24012431" w:rsidR="008B56CD" w:rsidRDefault="008B56CD" w:rsidP="00772E83">
      <w:pPr>
        <w:pStyle w:val="RECnormaltext"/>
      </w:pPr>
    </w:p>
    <w:p w14:paraId="5AD63BF9" w14:textId="67C7A6EE" w:rsidR="008B56CD" w:rsidRDefault="008B56CD" w:rsidP="00772E83">
      <w:pPr>
        <w:pStyle w:val="RECnormaltext"/>
      </w:pPr>
    </w:p>
    <w:p w14:paraId="715BF2BE" w14:textId="6F7C4DA5" w:rsidR="008B56CD" w:rsidRDefault="008B56CD" w:rsidP="00772E83">
      <w:pPr>
        <w:pStyle w:val="RECnormaltext"/>
      </w:pPr>
    </w:p>
    <w:p w14:paraId="0EBB9F11" w14:textId="4ED206D9" w:rsidR="008B56CD" w:rsidRDefault="008B56CD" w:rsidP="00772E83">
      <w:pPr>
        <w:pStyle w:val="RECnormaltext"/>
      </w:pPr>
    </w:p>
    <w:p w14:paraId="6A5D8B18" w14:textId="21AE16E0" w:rsidR="008B56CD" w:rsidRDefault="008B56CD" w:rsidP="00772E83">
      <w:pPr>
        <w:pStyle w:val="RECnormaltext"/>
      </w:pPr>
    </w:p>
    <w:p w14:paraId="2EB04C38" w14:textId="3C68C6B4" w:rsidR="008B56CD" w:rsidRDefault="008B56CD" w:rsidP="00772E83">
      <w:pPr>
        <w:pStyle w:val="RECnormaltext"/>
      </w:pPr>
    </w:p>
    <w:p w14:paraId="1A9BB060" w14:textId="61CA0334" w:rsidR="008B56CD" w:rsidRDefault="008B56CD" w:rsidP="00772E83">
      <w:pPr>
        <w:pStyle w:val="RECnormaltext"/>
      </w:pPr>
    </w:p>
    <w:p w14:paraId="1DE9C1CD" w14:textId="2BBC9C22" w:rsidR="008B56CD" w:rsidRDefault="008B56CD" w:rsidP="00772E83">
      <w:pPr>
        <w:pStyle w:val="RECnormaltext"/>
      </w:pPr>
    </w:p>
    <w:p w14:paraId="7DBE82D7" w14:textId="10AE5EAE" w:rsidR="008B56CD" w:rsidRDefault="008B56CD" w:rsidP="00772E83">
      <w:pPr>
        <w:pStyle w:val="RECnormaltext"/>
      </w:pPr>
    </w:p>
    <w:p w14:paraId="0C72F455" w14:textId="3114206B" w:rsidR="008B56CD" w:rsidRDefault="008B56CD" w:rsidP="00772E83">
      <w:pPr>
        <w:pStyle w:val="RECnormaltext"/>
      </w:pPr>
    </w:p>
    <w:p w14:paraId="6C2C83E8" w14:textId="02CD4FB9" w:rsidR="008B56CD" w:rsidRDefault="008B56CD" w:rsidP="00772E83">
      <w:pPr>
        <w:pStyle w:val="RECnormaltext"/>
      </w:pPr>
    </w:p>
    <w:p w14:paraId="19782A2D" w14:textId="0D95031B" w:rsidR="008B56CD" w:rsidRDefault="008B56CD" w:rsidP="00772E83">
      <w:pPr>
        <w:pStyle w:val="RECnormaltext"/>
      </w:pPr>
    </w:p>
    <w:p w14:paraId="619C9FF8" w14:textId="50B1E6B4" w:rsidR="008B56CD" w:rsidRDefault="008B56CD" w:rsidP="00772E83">
      <w:pPr>
        <w:pStyle w:val="RECnormaltext"/>
      </w:pPr>
    </w:p>
    <w:p w14:paraId="53EC59A9" w14:textId="2D38932B" w:rsidR="008B56CD" w:rsidRDefault="008B56CD" w:rsidP="00772E83">
      <w:pPr>
        <w:pStyle w:val="RECnormaltext"/>
      </w:pPr>
    </w:p>
    <w:p w14:paraId="6E72AC3D" w14:textId="40469546" w:rsidR="008B56CD" w:rsidRDefault="008B56CD" w:rsidP="00772E83">
      <w:pPr>
        <w:pStyle w:val="RECnormaltext"/>
      </w:pPr>
    </w:p>
    <w:p w14:paraId="6ED974AB" w14:textId="275DC6F3" w:rsidR="008B56CD" w:rsidRDefault="008B56CD" w:rsidP="00772E83">
      <w:pPr>
        <w:pStyle w:val="RECnormaltext"/>
      </w:pPr>
    </w:p>
    <w:p w14:paraId="53A61172" w14:textId="24F832F5" w:rsidR="008B56CD" w:rsidRDefault="008B56CD" w:rsidP="00772E83">
      <w:pPr>
        <w:pStyle w:val="RECnormaltext"/>
      </w:pPr>
    </w:p>
    <w:p w14:paraId="60C7B419" w14:textId="68550DC7" w:rsidR="008B56CD" w:rsidRDefault="008B56CD" w:rsidP="00772E83">
      <w:pPr>
        <w:pStyle w:val="RECnormaltext"/>
      </w:pPr>
    </w:p>
    <w:p w14:paraId="21FE7E4F" w14:textId="3B406F92" w:rsidR="008B56CD" w:rsidRDefault="008B56CD" w:rsidP="00772E83">
      <w:pPr>
        <w:pStyle w:val="RECnormaltext"/>
      </w:pPr>
    </w:p>
    <w:p w14:paraId="320509D5" w14:textId="06570966" w:rsidR="008B56CD" w:rsidRDefault="008B56CD" w:rsidP="00772E83">
      <w:pPr>
        <w:pStyle w:val="RECnormaltext"/>
      </w:pPr>
    </w:p>
    <w:p w14:paraId="54103970" w14:textId="0D785E0C" w:rsidR="008B56CD" w:rsidRDefault="008B56CD" w:rsidP="00772E83">
      <w:pPr>
        <w:pStyle w:val="RECnormaltext"/>
      </w:pPr>
    </w:p>
    <w:p w14:paraId="5DBCBC76" w14:textId="2C96ED5C" w:rsidR="008B56CD" w:rsidRDefault="008B56CD" w:rsidP="00772E83">
      <w:pPr>
        <w:pStyle w:val="RECnormaltext"/>
      </w:pPr>
    </w:p>
    <w:p w14:paraId="351CAAE1" w14:textId="33E57BDE" w:rsidR="008B56CD" w:rsidRDefault="008B56CD" w:rsidP="00772E83">
      <w:pPr>
        <w:pStyle w:val="RECnormaltext"/>
      </w:pPr>
      <w:r>
        <w:rPr>
          <w:noProof/>
        </w:rPr>
        <mc:AlternateContent>
          <mc:Choice Requires="wps">
            <w:drawing>
              <wp:anchor distT="0" distB="0" distL="114300" distR="114300" simplePos="0" relativeHeight="251666432" behindDoc="1" locked="0" layoutInCell="1" allowOverlap="1" wp14:anchorId="05CDB451" wp14:editId="3F8B3189">
                <wp:simplePos x="0" y="0"/>
                <wp:positionH relativeFrom="column">
                  <wp:posOffset>-565785</wp:posOffset>
                </wp:positionH>
                <wp:positionV relativeFrom="paragraph">
                  <wp:posOffset>-1798320</wp:posOffset>
                </wp:positionV>
                <wp:extent cx="6863938" cy="9429008"/>
                <wp:effectExtent l="0" t="0" r="13335" b="20320"/>
                <wp:wrapNone/>
                <wp:docPr id="27" name="Text Box 27"/>
                <wp:cNvGraphicFramePr/>
                <a:graphic xmlns:a="http://schemas.openxmlformats.org/drawingml/2006/main">
                  <a:graphicData uri="http://schemas.microsoft.com/office/word/2010/wordprocessingShape">
                    <wps:wsp>
                      <wps:cNvSpPr txBox="1"/>
                      <wps:spPr>
                        <a:xfrm>
                          <a:off x="0" y="0"/>
                          <a:ext cx="6863938" cy="9429008"/>
                        </a:xfrm>
                        <a:prstGeom prst="rect">
                          <a:avLst/>
                        </a:prstGeom>
                        <a:solidFill>
                          <a:schemeClr val="bg1">
                            <a:alpha val="32000"/>
                          </a:schemeClr>
                        </a:solidFill>
                        <a:ln w="6350">
                          <a:solidFill>
                            <a:srgbClr val="92D050"/>
                          </a:solidFill>
                        </a:ln>
                      </wps:spPr>
                      <wps:txbx>
                        <w:txbxContent>
                          <w:p w14:paraId="2D301850" w14:textId="0652976F" w:rsidR="00E96A4C" w:rsidRDefault="00E96A4C" w:rsidP="00E96A4C">
                            <w:pPr>
                              <w:pStyle w:val="RECnormaltext"/>
                              <w:shd w:val="clear" w:color="auto" w:fill="FFFFFF" w:themeFill="background1"/>
                            </w:pPr>
                            <w:r>
                              <w:t xml:space="preserve">The </w:t>
                            </w:r>
                            <w:r w:rsidRPr="0024607A">
                              <w:rPr>
                                <w:i/>
                                <w:iCs/>
                              </w:rPr>
                              <w:t>National Waste Policy Action Plan</w:t>
                            </w:r>
                            <w:r>
                              <w:t xml:space="preserve"> </w:t>
                            </w:r>
                            <w:r w:rsidRPr="000035D3">
                              <w:t xml:space="preserve">Target 6 </w:t>
                            </w:r>
                            <w:r>
                              <w:t>(to h</w:t>
                            </w:r>
                            <w:r w:rsidRPr="000035D3">
                              <w:t xml:space="preserve">alve the amount of </w:t>
                            </w:r>
                            <w:r w:rsidRPr="00D87F7A">
                              <w:rPr>
                                <w:u w:val="single"/>
                              </w:rPr>
                              <w:t xml:space="preserve">all </w:t>
                            </w:r>
                            <w:r w:rsidRPr="00D87F7A">
                              <w:t>organic waste</w:t>
                            </w:r>
                            <w:r w:rsidRPr="000035D3">
                              <w:t xml:space="preserve"> sent to landfill</w:t>
                            </w:r>
                            <w:r>
                              <w:t xml:space="preserve">) aims to recover 2.7 Mt of additional organics from landfill by the year 2030. If all of the 3.8 Mt of </w:t>
                            </w:r>
                            <w:r w:rsidRPr="00D87F7A">
                              <w:rPr>
                                <w:u w:val="single"/>
                              </w:rPr>
                              <w:t>food waste organics (only)</w:t>
                            </w:r>
                            <w:r>
                              <w:t xml:space="preserve"> were removed from landfill, the </w:t>
                            </w:r>
                            <w:r w:rsidRPr="0024607A">
                              <w:rPr>
                                <w:i/>
                                <w:iCs/>
                              </w:rPr>
                              <w:t>National Waste Policy Action Plan</w:t>
                            </w:r>
                            <w:r>
                              <w:t xml:space="preserve"> </w:t>
                            </w:r>
                            <w:r w:rsidRPr="000035D3">
                              <w:t xml:space="preserve">Target 6 </w:t>
                            </w:r>
                            <w:r>
                              <w:t>would be met and exceeded</w:t>
                            </w:r>
                          </w:p>
                          <w:p w14:paraId="74A61605" w14:textId="77777777" w:rsidR="00A81AC6" w:rsidRDefault="00E96A4C" w:rsidP="00E96A4C">
                            <w:pPr>
                              <w:pStyle w:val="RECnormaltext"/>
                              <w:shd w:val="clear" w:color="auto" w:fill="FFFFFF" w:themeFill="background1"/>
                            </w:pPr>
                            <w:r>
                              <w:t xml:space="preserve">If Australia were to recover food waste at the same rate as the EU (70%), an </w:t>
                            </w:r>
                            <w:r w:rsidRPr="00066C46">
                              <w:t xml:space="preserve">additional </w:t>
                            </w:r>
                            <w:r>
                              <w:t xml:space="preserve">2.5 Mt of food waste would be recovered, above 2017 recovery tonnages. This would almost meet the </w:t>
                            </w:r>
                            <w:r w:rsidRPr="0024607A">
                              <w:rPr>
                                <w:i/>
                                <w:iCs/>
                              </w:rPr>
                              <w:t>National Waste Policy Action Plan</w:t>
                            </w:r>
                            <w:r>
                              <w:t xml:space="preserve"> Target 6 (half organics to landfill). It would also result in an overall organics recovery rate of 79% and almost meet Target 3 (</w:t>
                            </w:r>
                            <w:r w:rsidRPr="00AF5053">
                              <w:t>80% average resource recovery rate</w:t>
                            </w:r>
                            <w:r>
                              <w:t xml:space="preserve">) for the organics stream, further illustrating the need to focus on food waste. </w:t>
                            </w:r>
                          </w:p>
                          <w:p w14:paraId="2D79F189" w14:textId="53C62C80" w:rsidR="00E96A4C" w:rsidRDefault="00E96A4C" w:rsidP="00E96A4C">
                            <w:pPr>
                              <w:pStyle w:val="RECnormaltext"/>
                              <w:shd w:val="clear" w:color="auto" w:fill="FFFFFF" w:themeFill="background1"/>
                            </w:pPr>
                            <w:r>
                              <w:t>To achieve the higher food waste recovery rate would require a major increase in energy recovery from food organics via AD and/or major increases in food waste composting. It would also require a national increase in the implementation of FOGO collections from households and food organics (FO) collections from businesses.</w:t>
                            </w:r>
                          </w:p>
                          <w:p w14:paraId="2E9D321F" w14:textId="58B631BE" w:rsidR="00594626" w:rsidRDefault="00594626" w:rsidP="00594626">
                            <w:pPr>
                              <w:pStyle w:val="RECnormaltext"/>
                            </w:pPr>
                            <w:r w:rsidRPr="00E96A4C">
                              <w:t xml:space="preserve">In 2017, the tonnages of </w:t>
                            </w:r>
                            <w:r w:rsidRPr="00E96A4C">
                              <w:rPr>
                                <w:b/>
                                <w:bCs/>
                              </w:rPr>
                              <w:t>C&amp;I food waste</w:t>
                            </w:r>
                            <w:r w:rsidRPr="00E96A4C">
                              <w:t xml:space="preserve"> recovery (225,000 tonnes) represented 42% of the total food waste recovery of around 540,000 tonnes.  However, C&amp;I food waste only made up 27% of the total food waste generation in 2017, illustrating that C&amp;I food waste recovery is significantly better than food waste recovery from the MSW stream. However, with a recovery rate of 19%, in 2017, and generation of over 1 Mt there remains a significant opportunity to improve organics recovery by increasing the rate of C&amp;I food waste recovery. The expansion of segregated FO only collection services in the hospitality and food manufacturing industries presents a significant opportunity to increase food waste recovery.</w:t>
                            </w:r>
                          </w:p>
                          <w:p w14:paraId="44D94946" w14:textId="2738206B" w:rsidR="0081748C" w:rsidRDefault="0081748C" w:rsidP="0081748C">
                            <w:pPr>
                              <w:pStyle w:val="RECnormaltext"/>
                              <w:shd w:val="clear" w:color="auto" w:fill="FFFFFF" w:themeFill="background1"/>
                              <w:spacing w:before="120" w:after="120"/>
                            </w:pPr>
                            <w:r>
                              <w:t xml:space="preserve">In 2017, the tonnages of </w:t>
                            </w:r>
                            <w:r w:rsidRPr="00B10DAA">
                              <w:rPr>
                                <w:b/>
                                <w:bCs/>
                              </w:rPr>
                              <w:t>garden organics</w:t>
                            </w:r>
                            <w:r>
                              <w:t xml:space="preserve"> waste recovery of 3 Mt represent 34% of the total organics recovery of around 8.8 Mt. With a recovery rate of almost 70% in 2017, the garden organics recovery rate is far higher than food organics, which reflects the large number of households with a dedicated garden waste bin and a well-developed composting industry around Australia. There remains some opportunity to improve garden organics recovery, however, increases will likely be modest compared to food waste.</w:t>
                            </w:r>
                          </w:p>
                          <w:p w14:paraId="571A10AC" w14:textId="20D49E7C" w:rsidR="00E64B9B" w:rsidRDefault="00594626" w:rsidP="00E64B9B">
                            <w:pPr>
                              <w:pStyle w:val="RECnormaltext"/>
                              <w:shd w:val="clear" w:color="auto" w:fill="FFFFFF" w:themeFill="background1"/>
                              <w:spacing w:after="120"/>
                            </w:pPr>
                            <w:r w:rsidRPr="00594626">
                              <w:rPr>
                                <w:b/>
                                <w:bCs/>
                              </w:rPr>
                              <w:t xml:space="preserve">Timber wastes </w:t>
                            </w:r>
                            <w:r>
                              <w:t>such as fence palings, structural timbers and processed timber such as medium density fibreboard (MDF)</w:t>
                            </w:r>
                            <w:r w:rsidR="00E64B9B">
                              <w:t xml:space="preserve"> can provide a valuable, high calorific value, waste stream for refuse derived fuels (RDFs). Since 2007, there has been little improvement in the amount of timber waste sent to energy from waste facilities. With an energy recovery rate of just 3%, in 2017, </w:t>
                            </w:r>
                            <w:r w:rsidR="00E64B9B" w:rsidRPr="00AE2829">
                              <w:t>and</w:t>
                            </w:r>
                            <w:r w:rsidR="00E64B9B">
                              <w:t xml:space="preserve"> around 1.2 Mt of timber waste being sent to landfill there may be significant opportunities to improve organics recovery by increasing the rate of timber waste sent to energy from waste facilities (not anerobic digestion facilities). Energy from waste facilities that are using post-consumer waste timber as a fuel source would need to have appropriate emissions control systems in place, due to potential contaminants present in processed, painted and treated waste timbers.</w:t>
                            </w:r>
                          </w:p>
                          <w:p w14:paraId="2DE57CD2" w14:textId="23C0EE76" w:rsidR="008B56CD" w:rsidRDefault="008B56CD" w:rsidP="008B56CD">
                            <w:pPr>
                              <w:pStyle w:val="RECnormaltext"/>
                              <w:shd w:val="clear" w:color="auto" w:fill="FFFFFF" w:themeFill="background1"/>
                            </w:pPr>
                            <w:r>
                              <w:t>The Australian composting industry currently depends heavily on the urban amenity market (domestic and local government use of compost in gardens and public use areas). The urban amenity market has limited scope for development and is an inefficient off-take market to shift large bulk tonnages of recycled organics (due to the large amounts of packaging, logistics, handling, storage, etc.). Internationally, composting markets often include a very large portion (80%+) of agriculture and horticulture market off-take. This market accounted for only around 10% of the Victorian market in 2013. The EU success in developing major compost and AD digestate off-take markets in agriculture and forestry provide an example of the potential for these markets that require significant development in Australia.</w:t>
                            </w:r>
                            <w:r w:rsidR="0010221C">
                              <w:t xml:space="preserve"> Part of the EU success has been wide spread source segregation of organics which has enabled the generation of higher quality end products with less risk of contamination (than organics recovered from the residual</w:t>
                            </w:r>
                            <w:r w:rsidR="00066C46">
                              <w:t xml:space="preserve"> or mixed waste </w:t>
                            </w:r>
                            <w:r w:rsidR="0010221C">
                              <w:t>bin).</w:t>
                            </w:r>
                          </w:p>
                          <w:p w14:paraId="4921AD9E" w14:textId="4D332778" w:rsidR="00E96A4C" w:rsidRPr="00B14822" w:rsidRDefault="00581A4F" w:rsidP="008B56CD">
                            <w:pPr>
                              <w:pStyle w:val="RECnormaltext"/>
                              <w:shd w:val="clear" w:color="auto" w:fill="FFFFFF" w:themeFill="background1"/>
                            </w:pPr>
                            <w:r>
                              <w:t xml:space="preserve">If Australia could increase food waste recovery to 70% (as has been achieved in some countries in the EU) by 2030 this would result in an additional 2.5 Mt of recovered organics. </w:t>
                            </w:r>
                            <w:r w:rsidRPr="00B14822">
                              <w:t>This would contribute 39% of the 6.4 Mt shortfall in recovery projected by Blue Environment.</w:t>
                            </w:r>
                            <w:r w:rsidR="00B14822" w:rsidRPr="00B14822">
                              <w:t xml:space="preserve"> If hal</w:t>
                            </w:r>
                            <w:r w:rsidR="00B14822">
                              <w:t>f of the timber wastes currently being landfilled were processed into fuel for energy recovery, this would result in around another 0.</w:t>
                            </w:r>
                            <w:r w:rsidR="00A81AC6">
                              <w:t>6</w:t>
                            </w:r>
                            <w:r w:rsidR="00B14822">
                              <w:t xml:space="preserve"> Mt of recovery and result in a 4</w:t>
                            </w:r>
                            <w:r w:rsidR="00A81AC6">
                              <w:t>8</w:t>
                            </w:r>
                            <w:r w:rsidR="00B14822">
                              <w:t xml:space="preserve">% contribution to the projected recovery shortfall.  </w:t>
                            </w:r>
                          </w:p>
                          <w:p w14:paraId="3DD3FE3D" w14:textId="77777777" w:rsidR="00E96A4C" w:rsidRDefault="00E96A4C" w:rsidP="008B56CD">
                            <w:pPr>
                              <w:pStyle w:val="RECnormaltext"/>
                              <w:shd w:val="clear" w:color="auto" w:fill="FFFFFF" w:themeFill="background1"/>
                            </w:pPr>
                          </w:p>
                          <w:p w14:paraId="6B9B7B81" w14:textId="77777777" w:rsidR="00E96A4C" w:rsidRDefault="00E96A4C" w:rsidP="008B56CD">
                            <w:pPr>
                              <w:pStyle w:val="RECnormaltext"/>
                              <w:shd w:val="clear" w:color="auto" w:fill="FFFFFF" w:themeFill="background1"/>
                            </w:pPr>
                          </w:p>
                          <w:p w14:paraId="60C8C5C8" w14:textId="1C2BBCBA" w:rsidR="008B56CD" w:rsidRDefault="008B56CD" w:rsidP="008B56CD">
                            <w:pPr>
                              <w:pStyle w:val="RECnormaltext"/>
                              <w:shd w:val="clear" w:color="auto" w:fill="FFFFFF" w:themeFill="background1"/>
                            </w:pPr>
                          </w:p>
                          <w:p w14:paraId="11588391" w14:textId="77777777" w:rsidR="008B56CD" w:rsidRDefault="008B56CD" w:rsidP="008B56CD"/>
                          <w:p w14:paraId="0BBC1976" w14:textId="77777777" w:rsidR="008B56CD" w:rsidRDefault="008B56CD" w:rsidP="008B5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B451" id="Text Box 27" o:spid="_x0000_s1029" type="#_x0000_t202" style="position:absolute;margin-left:-44.55pt;margin-top:-141.6pt;width:540.45pt;height:74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" fillcolor="white [3212]" strokecolor="#92d050" strokeweight=".5pt">
                <v:fill opacity="21074f"/>
                <v:textbox>
                  <w:txbxContent>
                    <w:p w14:paraId="2D301850" w14:textId="0652976F" w:rsidR="00E96A4C" w:rsidRDefault="00E96A4C" w:rsidP="00E96A4C">
                      <w:pPr>
                        <w:pStyle w:val="RECnormaltext"/>
                        <w:shd w:val="clear" w:color="auto" w:fill="FFFFFF" w:themeFill="background1"/>
                      </w:pPr>
                      <w:r>
                        <w:t xml:space="preserve">The </w:t>
                      </w:r>
                      <w:r w:rsidRPr="0024607A">
                        <w:rPr>
                          <w:i/>
                          <w:iCs/>
                        </w:rPr>
                        <w:t>National Waste Policy Action Plan</w:t>
                      </w:r>
                      <w:r>
                        <w:t xml:space="preserve"> </w:t>
                      </w:r>
                      <w:r w:rsidRPr="000035D3">
                        <w:t xml:space="preserve">Target 6 </w:t>
                      </w:r>
                      <w:r>
                        <w:t>(to h</w:t>
                      </w:r>
                      <w:r w:rsidRPr="000035D3">
                        <w:t xml:space="preserve">alve the amount of </w:t>
                      </w:r>
                      <w:r w:rsidRPr="00D87F7A">
                        <w:rPr>
                          <w:u w:val="single"/>
                        </w:rPr>
                        <w:t xml:space="preserve">all </w:t>
                      </w:r>
                      <w:r w:rsidRPr="00D87F7A">
                        <w:t>organic waste</w:t>
                      </w:r>
                      <w:r w:rsidRPr="000035D3">
                        <w:t xml:space="preserve"> sent to landfill</w:t>
                      </w:r>
                      <w:r>
                        <w:t xml:space="preserve">) aims to recover 2.7 Mt of additional organics from landfill by the year 2030. If all of the 3.8 Mt of </w:t>
                      </w:r>
                      <w:r w:rsidRPr="00D87F7A">
                        <w:rPr>
                          <w:u w:val="single"/>
                        </w:rPr>
                        <w:t>food waste organics (only)</w:t>
                      </w:r>
                      <w:r>
                        <w:t xml:space="preserve"> were removed from landfill, the </w:t>
                      </w:r>
                      <w:r w:rsidRPr="0024607A">
                        <w:rPr>
                          <w:i/>
                          <w:iCs/>
                        </w:rPr>
                        <w:t>National Waste Policy Action Plan</w:t>
                      </w:r>
                      <w:r>
                        <w:t xml:space="preserve"> </w:t>
                      </w:r>
                      <w:r w:rsidRPr="000035D3">
                        <w:t xml:space="preserve">Target 6 </w:t>
                      </w:r>
                      <w:r>
                        <w:t>would be met and exceeded</w:t>
                      </w:r>
                    </w:p>
                    <w:p w14:paraId="74A61605" w14:textId="77777777" w:rsidR="00A81AC6" w:rsidRDefault="00E96A4C" w:rsidP="00E96A4C">
                      <w:pPr>
                        <w:pStyle w:val="RECnormaltext"/>
                        <w:shd w:val="clear" w:color="auto" w:fill="FFFFFF" w:themeFill="background1"/>
                      </w:pPr>
                      <w:r>
                        <w:t xml:space="preserve">If Australia were to recover food waste at the same rate as the EU (70%), an </w:t>
                      </w:r>
                      <w:r w:rsidRPr="00066C46">
                        <w:t xml:space="preserve">additional </w:t>
                      </w:r>
                      <w:r>
                        <w:t xml:space="preserve">2.5 Mt of food waste would be recovered, above 2017 recovery tonnages. This would almost meet the </w:t>
                      </w:r>
                      <w:r w:rsidRPr="0024607A">
                        <w:rPr>
                          <w:i/>
                          <w:iCs/>
                        </w:rPr>
                        <w:t>National Waste Policy Action Plan</w:t>
                      </w:r>
                      <w:r>
                        <w:t xml:space="preserve"> Target 6 (half organics to landfill). It would also result in an overall organics recovery rate of 79% and almost meet Target 3 (</w:t>
                      </w:r>
                      <w:r w:rsidRPr="00AF5053">
                        <w:t>80% average resource recovery rate</w:t>
                      </w:r>
                      <w:r>
                        <w:t xml:space="preserve">) for the organics stream, further illustrating the need to focus on food waste. </w:t>
                      </w:r>
                    </w:p>
                    <w:p w14:paraId="2D79F189" w14:textId="53C62C80" w:rsidR="00E96A4C" w:rsidRDefault="00E96A4C" w:rsidP="00E96A4C">
                      <w:pPr>
                        <w:pStyle w:val="RECnormaltext"/>
                        <w:shd w:val="clear" w:color="auto" w:fill="FFFFFF" w:themeFill="background1"/>
                      </w:pPr>
                      <w:r>
                        <w:t>To achieve the higher food waste recovery rate would require a major increase in energy recovery from food organics via AD and/or major increases in food waste composting. It would also require a national increase in the implementation of FOGO collections from households and food organics (FO) collections from businesses.</w:t>
                      </w:r>
                    </w:p>
                    <w:p w14:paraId="2E9D321F" w14:textId="58B631BE" w:rsidR="00594626" w:rsidRDefault="00594626" w:rsidP="00594626">
                      <w:pPr>
                        <w:pStyle w:val="RECnormaltext"/>
                      </w:pPr>
                      <w:r w:rsidRPr="00E96A4C">
                        <w:t xml:space="preserve">In 2017, the tonnages of </w:t>
                      </w:r>
                      <w:r w:rsidRPr="00E96A4C">
                        <w:rPr>
                          <w:b/>
                          <w:bCs/>
                        </w:rPr>
                        <w:t>C&amp;I food waste</w:t>
                      </w:r>
                      <w:r w:rsidRPr="00E96A4C">
                        <w:t xml:space="preserve"> recovery (225,000 tonnes) represented 42% of the total food waste recovery of around 540,000 tonnes.  However, C&amp;I food waste only made up 27% of the total food waste generation in 2017, illustrating that C&amp;I food waste recovery is significantly better than food waste recovery from the MSW stream. However, with a recovery rate of 19%, in 2017, and generation of over 1 Mt there remains a significant opportunity to improve organics recovery by increasing the rate of C&amp;I food waste recovery. The expansion of segregated FO only collection services in the hospitality and food manufacturing industries presents a significant opportunity to increase food waste recovery.</w:t>
                      </w:r>
                    </w:p>
                    <w:p w14:paraId="44D94946" w14:textId="2738206B" w:rsidR="0081748C" w:rsidRDefault="0081748C" w:rsidP="0081748C">
                      <w:pPr>
                        <w:pStyle w:val="RECnormaltext"/>
                        <w:shd w:val="clear" w:color="auto" w:fill="FFFFFF" w:themeFill="background1"/>
                        <w:spacing w:before="120" w:after="120"/>
                      </w:pPr>
                      <w:r>
                        <w:t xml:space="preserve">In 2017, the tonnages of </w:t>
                      </w:r>
                      <w:r w:rsidRPr="00B10DAA">
                        <w:rPr>
                          <w:b/>
                          <w:bCs/>
                        </w:rPr>
                        <w:t>garden organics</w:t>
                      </w:r>
                      <w:r>
                        <w:t xml:space="preserve"> waste recovery of 3 Mt represent 34% of the total organics recovery of around 8.8 Mt. With a recovery rate of almost 70% in 2017, the garden organics recovery rate is far higher than food organics, which reflects the large number of households with a dedicated garden waste bin and a well-developed composting industry around Australia. There remains some opportunity to improve garden organics recovery, however, increases will likely be modest compared to food waste.</w:t>
                      </w:r>
                    </w:p>
                    <w:p w14:paraId="571A10AC" w14:textId="20D49E7C" w:rsidR="00E64B9B" w:rsidRDefault="00594626" w:rsidP="00E64B9B">
                      <w:pPr>
                        <w:pStyle w:val="RECnormaltext"/>
                        <w:shd w:val="clear" w:color="auto" w:fill="FFFFFF" w:themeFill="background1"/>
                        <w:spacing w:after="120"/>
                      </w:pPr>
                      <w:r w:rsidRPr="00594626">
                        <w:rPr>
                          <w:b/>
                          <w:bCs/>
                        </w:rPr>
                        <w:t xml:space="preserve">Timber wastes </w:t>
                      </w:r>
                      <w:r>
                        <w:t>such as fence palings, structural timbers and processed timber such as medium density fibreboard (MDF)</w:t>
                      </w:r>
                      <w:r w:rsidR="00E64B9B">
                        <w:t xml:space="preserve"> can provide a valuable, high calorific value, waste stream for refuse derived fuels (RDFs). Since 2007, there has been little improvement in the amount of timber waste sent to energy from waste facilities. With an energy recovery rate of just 3%, in 2017, </w:t>
                      </w:r>
                      <w:r w:rsidR="00E64B9B" w:rsidRPr="00AE2829">
                        <w:t>and</w:t>
                      </w:r>
                      <w:r w:rsidR="00E64B9B">
                        <w:t xml:space="preserve"> around 1.2 Mt of timber waste being sent to landfill there may be significant opportunities to improve organics recovery by increasing the rate of timber waste sent to energy from waste facilities (not anerobic digestion facilities). Energy from waste facilities that are using post-consumer waste timber as a fuel source would need to have appropriate emissions control systems in place, due to potential contaminants present in processed, painted and treated waste timbers.</w:t>
                      </w:r>
                    </w:p>
                    <w:p w14:paraId="2DE57CD2" w14:textId="23C0EE76" w:rsidR="008B56CD" w:rsidRDefault="008B56CD" w:rsidP="008B56CD">
                      <w:pPr>
                        <w:pStyle w:val="RECnormaltext"/>
                        <w:shd w:val="clear" w:color="auto" w:fill="FFFFFF" w:themeFill="background1"/>
                      </w:pPr>
                      <w:r>
                        <w:t>The Australian composting industry currently depends heavily on the urban amenity market (domestic and local government use of compost in gardens and public use areas). The urban amenity market has limited scope for development and is an inefficient off-take market to shift large bulk tonnages of recycled organics (due to the large amounts of packaging, logistics, handling, storage, etc.). Internationally, composting markets often include a very large portion (80%+) of agriculture and horticulture market off-take. This market accounted for only around 10% of the Victorian market in 2013. The EU success in developing major compost and AD digestate off-take markets in agriculture and forestry provide an example of the potential for these markets that require significant development in Australia.</w:t>
                      </w:r>
                      <w:r w:rsidR="0010221C">
                        <w:t xml:space="preserve"> Part of the EU success has been wide spread source segregation of organics which has enabled the generation of higher quality end products with less risk of contamination (than organics recovered from the residual</w:t>
                      </w:r>
                      <w:r w:rsidR="00066C46">
                        <w:t xml:space="preserve"> or mixed waste </w:t>
                      </w:r>
                      <w:r w:rsidR="0010221C">
                        <w:t>bin).</w:t>
                      </w:r>
                    </w:p>
                    <w:p w14:paraId="4921AD9E" w14:textId="4D332778" w:rsidR="00E96A4C" w:rsidRPr="00B14822" w:rsidRDefault="00581A4F" w:rsidP="008B56CD">
                      <w:pPr>
                        <w:pStyle w:val="RECnormaltext"/>
                        <w:shd w:val="clear" w:color="auto" w:fill="FFFFFF" w:themeFill="background1"/>
                      </w:pPr>
                      <w:r>
                        <w:t xml:space="preserve">If Australia could increase food waste recovery to 70% (as has been achieved in some countries in the EU) by 2030 this would result in an additional 2.5 Mt of recovered organics. </w:t>
                      </w:r>
                      <w:r w:rsidRPr="00B14822">
                        <w:t>This would contribute 39% of the 6.4 Mt shortfall in recovery projected by Blue Environment.</w:t>
                      </w:r>
                      <w:r w:rsidR="00B14822" w:rsidRPr="00B14822">
                        <w:t xml:space="preserve"> If hal</w:t>
                      </w:r>
                      <w:r w:rsidR="00B14822">
                        <w:t>f of the timber wastes currently being landfilled were processed into fuel for energy recovery, this would result in around another 0.</w:t>
                      </w:r>
                      <w:r w:rsidR="00A81AC6">
                        <w:t>6</w:t>
                      </w:r>
                      <w:r w:rsidR="00B14822">
                        <w:t xml:space="preserve"> Mt of recovery and result in a 4</w:t>
                      </w:r>
                      <w:r w:rsidR="00A81AC6">
                        <w:t>8</w:t>
                      </w:r>
                      <w:r w:rsidR="00B14822">
                        <w:t xml:space="preserve">% contribution to the projected recovery shortfall.  </w:t>
                      </w:r>
                    </w:p>
                    <w:p w14:paraId="3DD3FE3D" w14:textId="77777777" w:rsidR="00E96A4C" w:rsidRDefault="00E96A4C" w:rsidP="008B56CD">
                      <w:pPr>
                        <w:pStyle w:val="RECnormaltext"/>
                        <w:shd w:val="clear" w:color="auto" w:fill="FFFFFF" w:themeFill="background1"/>
                      </w:pPr>
                    </w:p>
                    <w:p w14:paraId="6B9B7B81" w14:textId="77777777" w:rsidR="00E96A4C" w:rsidRDefault="00E96A4C" w:rsidP="008B56CD">
                      <w:pPr>
                        <w:pStyle w:val="RECnormaltext"/>
                        <w:shd w:val="clear" w:color="auto" w:fill="FFFFFF" w:themeFill="background1"/>
                      </w:pPr>
                    </w:p>
                    <w:p w14:paraId="60C8C5C8" w14:textId="1C2BBCBA" w:rsidR="008B56CD" w:rsidRDefault="008B56CD" w:rsidP="008B56CD">
                      <w:pPr>
                        <w:pStyle w:val="RECnormaltext"/>
                        <w:shd w:val="clear" w:color="auto" w:fill="FFFFFF" w:themeFill="background1"/>
                      </w:pPr>
                    </w:p>
                    <w:p w14:paraId="11588391" w14:textId="77777777" w:rsidR="008B56CD" w:rsidRDefault="008B56CD" w:rsidP="008B56CD"/>
                    <w:p w14:paraId="0BBC1976" w14:textId="77777777" w:rsidR="008B56CD" w:rsidRDefault="008B56CD" w:rsidP="008B56CD"/>
                  </w:txbxContent>
                </v:textbox>
              </v:shape>
            </w:pict>
          </mc:Fallback>
        </mc:AlternateContent>
      </w:r>
    </w:p>
    <w:p w14:paraId="158EDDD9" w14:textId="24E191DE" w:rsidR="008B56CD" w:rsidRDefault="008B56CD" w:rsidP="00772E83">
      <w:pPr>
        <w:pStyle w:val="RECnormaltext"/>
      </w:pPr>
    </w:p>
    <w:p w14:paraId="7CA5C8C9" w14:textId="7F14D0BC" w:rsidR="008B56CD" w:rsidRDefault="008B56CD" w:rsidP="00772E83">
      <w:pPr>
        <w:pStyle w:val="RECnormaltext"/>
      </w:pPr>
    </w:p>
    <w:p w14:paraId="5C98B71A" w14:textId="69B5558E" w:rsidR="008B56CD" w:rsidRDefault="008B56CD" w:rsidP="00772E83">
      <w:pPr>
        <w:pStyle w:val="RECnormaltext"/>
      </w:pPr>
    </w:p>
    <w:p w14:paraId="6CA0251D" w14:textId="56BCC564" w:rsidR="008B56CD" w:rsidRDefault="008B56CD" w:rsidP="00772E83">
      <w:pPr>
        <w:pStyle w:val="RECnormaltext"/>
      </w:pPr>
    </w:p>
    <w:p w14:paraId="22ED70E9" w14:textId="0A115D7C" w:rsidR="008B56CD" w:rsidRDefault="008B56CD" w:rsidP="00772E83">
      <w:pPr>
        <w:pStyle w:val="RECnormaltext"/>
      </w:pPr>
    </w:p>
    <w:p w14:paraId="573C126C" w14:textId="369B91CD" w:rsidR="008B56CD" w:rsidRDefault="008B56CD" w:rsidP="00772E83">
      <w:pPr>
        <w:pStyle w:val="RECnormaltext"/>
      </w:pPr>
    </w:p>
    <w:p w14:paraId="093533C7" w14:textId="591005A6" w:rsidR="008B56CD" w:rsidRDefault="008B56CD" w:rsidP="00772E83">
      <w:pPr>
        <w:pStyle w:val="RECnormaltext"/>
      </w:pPr>
    </w:p>
    <w:p w14:paraId="56B59F86" w14:textId="10B5B8F1" w:rsidR="008B56CD" w:rsidRDefault="008B56CD" w:rsidP="00772E83">
      <w:pPr>
        <w:pStyle w:val="RECnormaltext"/>
      </w:pPr>
    </w:p>
    <w:p w14:paraId="2684A030" w14:textId="4902127A" w:rsidR="008B56CD" w:rsidRDefault="008B56CD" w:rsidP="00772E83">
      <w:pPr>
        <w:pStyle w:val="RECnormaltext"/>
      </w:pPr>
    </w:p>
    <w:p w14:paraId="6F8B9F45" w14:textId="5A6A08CF" w:rsidR="008B56CD" w:rsidRDefault="008B56CD" w:rsidP="00772E83">
      <w:pPr>
        <w:pStyle w:val="RECnormaltext"/>
      </w:pPr>
    </w:p>
    <w:p w14:paraId="30E0D906" w14:textId="3CF27D44" w:rsidR="008B56CD" w:rsidRDefault="008B56CD" w:rsidP="00772E83">
      <w:pPr>
        <w:pStyle w:val="RECnormaltext"/>
      </w:pPr>
    </w:p>
    <w:p w14:paraId="3DBC7B7C" w14:textId="02DA1F77" w:rsidR="008B56CD" w:rsidRDefault="008B56CD" w:rsidP="00772E83">
      <w:pPr>
        <w:pStyle w:val="RECnormaltext"/>
      </w:pPr>
    </w:p>
    <w:p w14:paraId="04F5BC6D" w14:textId="624A4ACF" w:rsidR="008B56CD" w:rsidRDefault="008B56CD" w:rsidP="00772E83">
      <w:pPr>
        <w:pStyle w:val="RECnormaltext"/>
      </w:pPr>
    </w:p>
    <w:p w14:paraId="5724D449" w14:textId="3AF0D10E" w:rsidR="008B56CD" w:rsidRDefault="008B56CD" w:rsidP="00772E83">
      <w:pPr>
        <w:pStyle w:val="RECnormaltext"/>
      </w:pPr>
    </w:p>
    <w:p w14:paraId="4390EC70" w14:textId="29CB632C" w:rsidR="008B56CD" w:rsidRDefault="008B56CD" w:rsidP="00772E83">
      <w:pPr>
        <w:pStyle w:val="RECnormaltext"/>
      </w:pPr>
    </w:p>
    <w:p w14:paraId="7AA86AB1" w14:textId="2A121518" w:rsidR="008B56CD" w:rsidRDefault="008B56CD" w:rsidP="00772E83">
      <w:pPr>
        <w:pStyle w:val="RECnormaltext"/>
      </w:pPr>
    </w:p>
    <w:p w14:paraId="12BFF8E3" w14:textId="69BBD4A9" w:rsidR="008B56CD" w:rsidRDefault="008B56CD" w:rsidP="00772E83">
      <w:pPr>
        <w:pStyle w:val="RECnormaltext"/>
      </w:pPr>
    </w:p>
    <w:p w14:paraId="65DA3A13" w14:textId="7FF2CD34" w:rsidR="008B56CD" w:rsidRDefault="008B56CD" w:rsidP="00772E83">
      <w:pPr>
        <w:pStyle w:val="RECnormaltext"/>
      </w:pPr>
    </w:p>
    <w:p w14:paraId="20B75015" w14:textId="338809C6" w:rsidR="008B56CD" w:rsidRDefault="008B56CD" w:rsidP="00772E83">
      <w:pPr>
        <w:pStyle w:val="RECnormaltext"/>
      </w:pPr>
    </w:p>
    <w:p w14:paraId="04EBCA19" w14:textId="64B4DA66" w:rsidR="008B56CD" w:rsidRDefault="008B56CD" w:rsidP="00772E83">
      <w:pPr>
        <w:pStyle w:val="RECnormaltext"/>
      </w:pPr>
    </w:p>
    <w:p w14:paraId="092B798A" w14:textId="63E2479F" w:rsidR="008B56CD" w:rsidRDefault="008B56CD" w:rsidP="00772E83">
      <w:pPr>
        <w:pStyle w:val="RECnormaltext"/>
      </w:pPr>
    </w:p>
    <w:p w14:paraId="7AE28A35" w14:textId="5FDCFF39" w:rsidR="008B56CD" w:rsidRDefault="008B56CD" w:rsidP="00772E83">
      <w:pPr>
        <w:pStyle w:val="RECnormaltext"/>
      </w:pPr>
    </w:p>
    <w:p w14:paraId="3C38242B" w14:textId="50D06621" w:rsidR="008B56CD" w:rsidRDefault="008B56CD" w:rsidP="00772E83">
      <w:pPr>
        <w:pStyle w:val="RECnormaltext"/>
      </w:pPr>
    </w:p>
    <w:p w14:paraId="65EAD807" w14:textId="7D6E6ECA" w:rsidR="008B56CD" w:rsidRDefault="008B56CD" w:rsidP="00772E83">
      <w:pPr>
        <w:pStyle w:val="RECnormaltext"/>
      </w:pPr>
    </w:p>
    <w:p w14:paraId="109D2AF4" w14:textId="788597F2" w:rsidR="008B56CD" w:rsidRDefault="008B56CD" w:rsidP="00772E83">
      <w:pPr>
        <w:pStyle w:val="RECnormaltext"/>
      </w:pPr>
    </w:p>
    <w:p w14:paraId="6D422BB0" w14:textId="77777777" w:rsidR="00FF78EF" w:rsidRDefault="00FF78EF" w:rsidP="00772E83">
      <w:pPr>
        <w:pStyle w:val="RECnormaltext"/>
      </w:pPr>
    </w:p>
    <w:p w14:paraId="1E92E2E5" w14:textId="77777777" w:rsidR="00FF78EF" w:rsidRDefault="00FF78EF" w:rsidP="00772E83">
      <w:pPr>
        <w:pStyle w:val="RECnormaltext"/>
      </w:pPr>
    </w:p>
    <w:p w14:paraId="04172AA9" w14:textId="77777777" w:rsidR="00FF78EF" w:rsidRPr="00772E83" w:rsidRDefault="00FF78EF" w:rsidP="00772E83">
      <w:pPr>
        <w:pStyle w:val="RECnormaltext"/>
        <w:sectPr w:rsidR="00FF78EF" w:rsidRPr="00772E83" w:rsidSect="008B56CD">
          <w:headerReference w:type="default" r:id="rId12"/>
          <w:headerReference w:type="first" r:id="rId13"/>
          <w:pgSz w:w="11906" w:h="16838"/>
          <w:pgMar w:top="1701" w:right="1274" w:bottom="1440" w:left="1440" w:header="708" w:footer="708" w:gutter="0"/>
          <w:cols w:space="708"/>
          <w:docGrid w:linePitch="360"/>
        </w:sectPr>
      </w:pPr>
    </w:p>
    <w:p w14:paraId="42370EA4" w14:textId="1B699310" w:rsidR="009D04CB" w:rsidRPr="00CE36BA" w:rsidRDefault="006A6DC0" w:rsidP="009D04CB">
      <w:pPr>
        <w:pStyle w:val="NonTOCHeading2"/>
      </w:pPr>
      <w:bookmarkStart w:id="1" w:name="_Hlk40923910"/>
      <w:r w:rsidRPr="006A6DC0">
        <w:lastRenderedPageBreak/>
        <w:t xml:space="preserve">Opportunities to increase organics recovery </w:t>
      </w:r>
      <w:r w:rsidR="009D04CB" w:rsidRPr="00CE36BA">
        <w:t xml:space="preserve"> </w:t>
      </w:r>
      <w:bookmarkEnd w:id="1"/>
    </w:p>
    <w:p w14:paraId="55398D62" w14:textId="77777777" w:rsidR="005560F0" w:rsidRPr="008F4A18" w:rsidRDefault="005560F0" w:rsidP="008F4A18">
      <w:pPr>
        <w:pStyle w:val="RECnormaltext"/>
        <w:rPr>
          <w:rStyle w:val="Grey"/>
          <w:rFonts w:cs="Arial"/>
          <w:color w:val="auto"/>
        </w:rPr>
      </w:pPr>
    </w:p>
    <w:p w14:paraId="1BF1C058" w14:textId="77777777" w:rsidR="009D04CB" w:rsidRPr="00CE36BA" w:rsidRDefault="009D04CB" w:rsidP="00036152">
      <w:pPr>
        <w:pStyle w:val="NonTOCHeading3"/>
      </w:pPr>
      <w:r w:rsidRPr="00CE36BA">
        <w:t>Client</w:t>
      </w:r>
    </w:p>
    <w:p w14:paraId="246CBE59" w14:textId="16CA8D66" w:rsidR="009D04CB" w:rsidRPr="00CE36BA" w:rsidRDefault="00F476E6" w:rsidP="00F476E6">
      <w:pPr>
        <w:pStyle w:val="PlainText"/>
        <w:rPr>
          <w:rStyle w:val="Grey"/>
          <w:rFonts w:cs="Arial"/>
          <w:color w:val="auto"/>
        </w:rPr>
      </w:pPr>
      <w:r>
        <w:t>Department of Agriculture, Water and the Environment (DAWE)</w:t>
      </w:r>
    </w:p>
    <w:p w14:paraId="7ACF0FA8" w14:textId="77777777" w:rsidR="005560F0" w:rsidRPr="008F4A18" w:rsidRDefault="005560F0" w:rsidP="008F4A18">
      <w:pPr>
        <w:pStyle w:val="RECnormaltext"/>
        <w:rPr>
          <w:rStyle w:val="Grey"/>
          <w:rFonts w:cs="Arial"/>
          <w:color w:val="auto"/>
        </w:rPr>
      </w:pPr>
    </w:p>
    <w:p w14:paraId="74988A20" w14:textId="77777777" w:rsidR="00CE1E55" w:rsidRPr="00CE36BA" w:rsidRDefault="00CE1E55" w:rsidP="00036152">
      <w:pPr>
        <w:pStyle w:val="NonTOCHeading3"/>
      </w:pPr>
      <w:r w:rsidRPr="00CE36BA">
        <w:t>Client Contact</w:t>
      </w:r>
    </w:p>
    <w:p w14:paraId="6EDDB0D3" w14:textId="46D35EDF" w:rsidR="00260621" w:rsidRDefault="00F476E6" w:rsidP="008F4A18">
      <w:pPr>
        <w:pStyle w:val="RECnormaltext"/>
        <w:rPr>
          <w:rStyle w:val="Grey"/>
          <w:rFonts w:cs="Arial"/>
          <w:color w:val="auto"/>
        </w:rPr>
      </w:pPr>
      <w:r>
        <w:rPr>
          <w:rStyle w:val="Grey"/>
          <w:rFonts w:cs="Arial"/>
          <w:color w:val="auto"/>
        </w:rPr>
        <w:t>Paul Starr</w:t>
      </w:r>
    </w:p>
    <w:p w14:paraId="35EB6FF2" w14:textId="584331F5" w:rsidR="00F476E6" w:rsidRPr="008F4A18" w:rsidRDefault="00F476E6" w:rsidP="008F4A18">
      <w:pPr>
        <w:pStyle w:val="RECnormaltext"/>
        <w:rPr>
          <w:rStyle w:val="Grey"/>
          <w:rFonts w:cs="Arial"/>
          <w:color w:val="auto"/>
        </w:rPr>
      </w:pPr>
      <w:r w:rsidRPr="00F476E6">
        <w:rPr>
          <w:rStyle w:val="Grey"/>
          <w:rFonts w:cs="Arial"/>
          <w:color w:val="auto"/>
        </w:rPr>
        <w:t>Paul.Starr@awe.gov.au</w:t>
      </w:r>
    </w:p>
    <w:p w14:paraId="49D57FB8" w14:textId="77777777" w:rsidR="00011747" w:rsidRDefault="00011747" w:rsidP="00036152">
      <w:pPr>
        <w:pStyle w:val="NonTOCHeading3"/>
      </w:pPr>
    </w:p>
    <w:p w14:paraId="1E91936E" w14:textId="77777777" w:rsidR="00141564" w:rsidRPr="00CE36BA" w:rsidRDefault="00141564" w:rsidP="00036152">
      <w:pPr>
        <w:pStyle w:val="NonTOCHeading3"/>
      </w:pPr>
      <w:r w:rsidRPr="00CE36BA">
        <w:t>Author</w:t>
      </w:r>
    </w:p>
    <w:p w14:paraId="51D1B7C7" w14:textId="77777777" w:rsidR="00141564" w:rsidRPr="00CE36BA" w:rsidRDefault="00260621" w:rsidP="005504D7">
      <w:pPr>
        <w:pStyle w:val="RECnormaltext"/>
        <w:rPr>
          <w:rStyle w:val="Grey"/>
          <w:rFonts w:cs="Arial"/>
          <w:color w:val="auto"/>
        </w:rPr>
      </w:pPr>
      <w:r>
        <w:rPr>
          <w:rStyle w:val="Grey"/>
          <w:rFonts w:cs="Arial"/>
          <w:color w:val="auto"/>
        </w:rPr>
        <w:t>Paul Randell</w:t>
      </w:r>
    </w:p>
    <w:p w14:paraId="75843ECE" w14:textId="77777777" w:rsidR="002831CE" w:rsidRDefault="002831CE" w:rsidP="002831CE">
      <w:pPr>
        <w:pStyle w:val="NonTOCHeading3"/>
      </w:pPr>
    </w:p>
    <w:p w14:paraId="4B934F27" w14:textId="73DD954D" w:rsidR="009D04CB" w:rsidRPr="00CE36BA" w:rsidRDefault="00FD3295" w:rsidP="00036152">
      <w:pPr>
        <w:pStyle w:val="NonTOCHeading3"/>
      </w:pPr>
      <w:r w:rsidRPr="00CE36BA">
        <w:t xml:space="preserve">Project Number: </w:t>
      </w:r>
      <w:r w:rsidR="004E283D">
        <w:t>PRE</w:t>
      </w:r>
      <w:r w:rsidR="002831CE">
        <w:t>C</w:t>
      </w:r>
      <w:r w:rsidR="00F476E6">
        <w:t>115</w:t>
      </w:r>
    </w:p>
    <w:p w14:paraId="6D507BB5" w14:textId="77777777" w:rsidR="00D92993" w:rsidRPr="008F4A18" w:rsidRDefault="00D92993" w:rsidP="008F4A18">
      <w:pPr>
        <w:pStyle w:val="RECnormaltext"/>
        <w:rPr>
          <w:rStyle w:val="Grey"/>
          <w:rFonts w:cs="Arial"/>
          <w:color w:val="auto"/>
        </w:rPr>
      </w:pPr>
    </w:p>
    <w:p w14:paraId="43A6C836" w14:textId="77777777" w:rsidR="00FD3295" w:rsidRPr="00CE36BA" w:rsidRDefault="00FD3295" w:rsidP="00036152">
      <w:pPr>
        <w:pStyle w:val="NonTOCHeading3"/>
      </w:pPr>
      <w:r w:rsidRPr="00CE36BA">
        <w:t>Report Disclaimer</w:t>
      </w:r>
    </w:p>
    <w:p w14:paraId="705BAA63" w14:textId="4E7CA15C" w:rsidR="00FD3295" w:rsidRPr="00CE36BA" w:rsidRDefault="001B1DCF" w:rsidP="00C31DAF">
      <w:pPr>
        <w:pStyle w:val="RECnormaltext"/>
        <w:rPr>
          <w:rStyle w:val="Grey"/>
          <w:rFonts w:cs="Calibri"/>
          <w:color w:val="auto"/>
        </w:rPr>
      </w:pPr>
      <w:r w:rsidRPr="00CE36BA">
        <w:rPr>
          <w:rStyle w:val="Grey"/>
          <w:rFonts w:cs="Calibri"/>
          <w:color w:val="auto"/>
        </w:rPr>
        <w:t xml:space="preserve">This report has been prepared for </w:t>
      </w:r>
      <w:r w:rsidR="00F476E6">
        <w:rPr>
          <w:rStyle w:val="Grey"/>
          <w:rFonts w:cs="Calibri"/>
          <w:color w:val="auto"/>
        </w:rPr>
        <w:t xml:space="preserve">DAWE </w:t>
      </w:r>
      <w:r w:rsidRPr="00CE36BA">
        <w:rPr>
          <w:rStyle w:val="Grey"/>
          <w:rFonts w:cs="Calibri"/>
          <w:color w:val="auto"/>
        </w:rPr>
        <w:t xml:space="preserve">in accordance with the terms and conditions of </w:t>
      </w:r>
      <w:r w:rsidRPr="00CE36BA">
        <w:rPr>
          <w:rStyle w:val="Grey"/>
          <w:rFonts w:cs="Arial"/>
          <w:color w:val="auto"/>
        </w:rPr>
        <w:t>appointment</w:t>
      </w:r>
      <w:r w:rsidRPr="00CE36BA">
        <w:rPr>
          <w:rStyle w:val="Grey"/>
          <w:rFonts w:cs="Calibri"/>
          <w:color w:val="auto"/>
        </w:rPr>
        <w:t xml:space="preserve"> dated </w:t>
      </w:r>
      <w:r w:rsidR="00F476E6">
        <w:rPr>
          <w:rStyle w:val="Grey"/>
          <w:rFonts w:cs="Calibri"/>
          <w:color w:val="auto"/>
        </w:rPr>
        <w:t>13</w:t>
      </w:r>
      <w:r w:rsidR="00260621">
        <w:rPr>
          <w:rStyle w:val="Grey"/>
          <w:rFonts w:cs="Calibri"/>
          <w:color w:val="auto"/>
        </w:rPr>
        <w:t>/</w:t>
      </w:r>
      <w:r w:rsidR="00F476E6">
        <w:rPr>
          <w:rStyle w:val="Grey"/>
          <w:rFonts w:cs="Calibri"/>
          <w:color w:val="auto"/>
        </w:rPr>
        <w:t>03</w:t>
      </w:r>
      <w:r w:rsidR="00260621">
        <w:rPr>
          <w:rStyle w:val="Grey"/>
          <w:rFonts w:cs="Calibri"/>
          <w:color w:val="auto"/>
        </w:rPr>
        <w:t>/20</w:t>
      </w:r>
      <w:r w:rsidR="002831CE">
        <w:rPr>
          <w:rStyle w:val="Grey"/>
          <w:rFonts w:cs="Calibri"/>
          <w:color w:val="auto"/>
        </w:rPr>
        <w:t>20</w:t>
      </w:r>
      <w:r w:rsidRPr="00CE36BA">
        <w:rPr>
          <w:rStyle w:val="Grey"/>
          <w:rFonts w:cs="Calibri"/>
          <w:color w:val="auto"/>
        </w:rPr>
        <w:t xml:space="preserve">. </w:t>
      </w:r>
      <w:r w:rsidR="00141564" w:rsidRPr="00CE36BA">
        <w:rPr>
          <w:rStyle w:val="Grey"/>
          <w:rFonts w:cs="Calibri"/>
          <w:color w:val="auto"/>
        </w:rPr>
        <w:t xml:space="preserve">Randell Environmental Consulting </w:t>
      </w:r>
      <w:r w:rsidRPr="00CE36BA">
        <w:rPr>
          <w:rStyle w:val="Grey"/>
          <w:rFonts w:cs="Calibri"/>
          <w:color w:val="auto"/>
        </w:rPr>
        <w:t xml:space="preserve">Pty Ltd (ABN </w:t>
      </w:r>
      <w:r w:rsidR="00011747" w:rsidRPr="00011747">
        <w:rPr>
          <w:rStyle w:val="Grey"/>
          <w:rFonts w:cs="Calibri"/>
          <w:color w:val="auto"/>
        </w:rPr>
        <w:t>38 326 653 151</w:t>
      </w:r>
      <w:r w:rsidRPr="00CE36BA">
        <w:rPr>
          <w:rStyle w:val="Grey"/>
          <w:rFonts w:cs="Calibri"/>
          <w:color w:val="auto"/>
        </w:rPr>
        <w:t>) cannot accept any responsibility for any use of or reliance on the contents of this report by any third party.</w:t>
      </w:r>
    </w:p>
    <w:p w14:paraId="07A491F4" w14:textId="77777777" w:rsidR="00D34C3D" w:rsidRPr="00CE36BA" w:rsidRDefault="00D34C3D" w:rsidP="00141564">
      <w:pPr>
        <w:spacing w:after="0"/>
        <w:jc w:val="right"/>
        <w:rPr>
          <w:rFonts w:asciiTheme="minorHAnsi" w:hAnsiTheme="minorHAnsi"/>
        </w:rPr>
      </w:pPr>
    </w:p>
    <w:p w14:paraId="4F7FE607" w14:textId="77777777" w:rsidR="00D34C3D" w:rsidRPr="00CE36BA" w:rsidRDefault="00D34C3D" w:rsidP="00141564">
      <w:pPr>
        <w:spacing w:after="0"/>
        <w:jc w:val="right"/>
        <w:rPr>
          <w:rFonts w:asciiTheme="minorHAnsi" w:hAnsiTheme="minorHAnsi"/>
        </w:rPr>
      </w:pPr>
    </w:p>
    <w:p w14:paraId="78A870B5" w14:textId="77777777" w:rsidR="00141564" w:rsidRPr="00CE36BA" w:rsidRDefault="00141564" w:rsidP="00141564">
      <w:pPr>
        <w:spacing w:after="0"/>
        <w:jc w:val="right"/>
        <w:rPr>
          <w:rFonts w:asciiTheme="minorHAnsi" w:hAnsiTheme="minorHAnsi"/>
        </w:rPr>
      </w:pPr>
      <w:r w:rsidRPr="00CE36BA">
        <w:rPr>
          <w:rFonts w:asciiTheme="minorHAnsi" w:hAnsiTheme="minorHAnsi"/>
        </w:rPr>
        <w:t xml:space="preserve">Randell Environmental Consulting Pty Ltd </w:t>
      </w:r>
    </w:p>
    <w:p w14:paraId="70F8CB9C" w14:textId="77777777" w:rsidR="00141564" w:rsidRPr="00CE36BA" w:rsidRDefault="00141564" w:rsidP="00141564">
      <w:pPr>
        <w:spacing w:after="0"/>
        <w:jc w:val="right"/>
        <w:rPr>
          <w:rFonts w:asciiTheme="minorHAnsi" w:hAnsiTheme="minorHAnsi"/>
        </w:rPr>
      </w:pPr>
      <w:r w:rsidRPr="00CE36BA">
        <w:rPr>
          <w:rFonts w:asciiTheme="minorHAnsi" w:hAnsiTheme="minorHAnsi"/>
        </w:rPr>
        <w:t xml:space="preserve">ABN </w:t>
      </w:r>
      <w:r w:rsidR="00C964B6" w:rsidRPr="00C964B6">
        <w:rPr>
          <w:rFonts w:asciiTheme="minorHAnsi" w:hAnsiTheme="minorHAnsi"/>
        </w:rPr>
        <w:t>38 326 653 151</w:t>
      </w:r>
    </w:p>
    <w:p w14:paraId="13A80341" w14:textId="77777777" w:rsidR="00141564" w:rsidRPr="00CE36BA" w:rsidRDefault="00C964B6" w:rsidP="00141564">
      <w:pPr>
        <w:spacing w:after="0"/>
        <w:jc w:val="right"/>
        <w:rPr>
          <w:rFonts w:asciiTheme="minorHAnsi" w:hAnsiTheme="minorHAnsi"/>
        </w:rPr>
      </w:pPr>
      <w:r>
        <w:rPr>
          <w:rFonts w:asciiTheme="minorHAnsi" w:hAnsiTheme="minorHAnsi"/>
        </w:rPr>
        <w:t xml:space="preserve">Castlemaine </w:t>
      </w:r>
      <w:r w:rsidR="00141564" w:rsidRPr="00CE36BA">
        <w:rPr>
          <w:rFonts w:asciiTheme="minorHAnsi" w:hAnsiTheme="minorHAnsi"/>
        </w:rPr>
        <w:t>Victoria 3</w:t>
      </w:r>
      <w:r>
        <w:rPr>
          <w:rFonts w:asciiTheme="minorHAnsi" w:hAnsiTheme="minorHAnsi"/>
        </w:rPr>
        <w:t>451</w:t>
      </w:r>
    </w:p>
    <w:p w14:paraId="2F919787" w14:textId="77777777" w:rsidR="00141564" w:rsidRPr="00CE36BA" w:rsidRDefault="00141564" w:rsidP="00141564">
      <w:pPr>
        <w:spacing w:after="0"/>
        <w:jc w:val="right"/>
        <w:rPr>
          <w:rFonts w:asciiTheme="minorHAnsi" w:hAnsiTheme="minorHAnsi"/>
        </w:rPr>
      </w:pPr>
      <w:r w:rsidRPr="00CE36BA">
        <w:rPr>
          <w:rFonts w:asciiTheme="minorHAnsi" w:hAnsiTheme="minorHAnsi"/>
        </w:rPr>
        <w:t>Paul@randellenvironmental.com.au</w:t>
      </w:r>
    </w:p>
    <w:p w14:paraId="7F6ED162" w14:textId="77777777" w:rsidR="00D34C3D" w:rsidRPr="00CE36BA" w:rsidRDefault="003D2D4F" w:rsidP="00141564">
      <w:pPr>
        <w:spacing w:after="0"/>
        <w:jc w:val="right"/>
        <w:rPr>
          <w:rFonts w:asciiTheme="minorHAnsi" w:hAnsiTheme="minorHAnsi"/>
        </w:rPr>
      </w:pPr>
      <w:r>
        <w:rPr>
          <w:rFonts w:asciiTheme="minorHAnsi" w:hAnsiTheme="minorHAnsi"/>
        </w:rPr>
        <w:t>P</w:t>
      </w:r>
      <w:r w:rsidR="00141564" w:rsidRPr="00CE36BA">
        <w:rPr>
          <w:rFonts w:asciiTheme="minorHAnsi" w:hAnsiTheme="minorHAnsi"/>
        </w:rPr>
        <w:t>hone 0429 501 717</w:t>
      </w:r>
    </w:p>
    <w:p w14:paraId="59639768" w14:textId="77777777" w:rsidR="007972CD" w:rsidRPr="00CE36BA" w:rsidRDefault="007972CD" w:rsidP="00D34C3D">
      <w:pPr>
        <w:rPr>
          <w:rFonts w:asciiTheme="minorHAnsi" w:hAnsiTheme="minorHAnsi"/>
        </w:rPr>
        <w:sectPr w:rsidR="007972CD" w:rsidRPr="00CE36BA" w:rsidSect="00772E83">
          <w:headerReference w:type="default" r:id="rId14"/>
          <w:headerReference w:type="first" r:id="rId15"/>
          <w:footerReference w:type="first" r:id="rId16"/>
          <w:pgSz w:w="11906" w:h="16838"/>
          <w:pgMar w:top="2238" w:right="1440" w:bottom="1440" w:left="1440" w:header="708" w:footer="708" w:gutter="0"/>
          <w:pgNumType w:fmt="lowerRoman" w:start="1"/>
          <w:cols w:space="708"/>
          <w:titlePg/>
          <w:docGrid w:linePitch="360"/>
        </w:sectPr>
      </w:pPr>
    </w:p>
    <w:sdt>
      <w:sdtPr>
        <w:rPr>
          <w:rFonts w:ascii="Calibri" w:eastAsiaTheme="minorHAnsi" w:hAnsi="Calibri" w:cs="Calibri"/>
          <w:b w:val="0"/>
          <w:bCs w:val="0"/>
          <w:color w:val="000000" w:themeColor="text1"/>
          <w:sz w:val="22"/>
          <w:szCs w:val="22"/>
          <w:lang w:val="en-AU" w:eastAsia="en-US"/>
        </w:rPr>
        <w:id w:val="-1548676244"/>
        <w:docPartObj>
          <w:docPartGallery w:val="Table of Contents"/>
          <w:docPartUnique/>
        </w:docPartObj>
      </w:sdtPr>
      <w:sdtEndPr>
        <w:rPr>
          <w:noProof/>
        </w:rPr>
      </w:sdtEndPr>
      <w:sdtContent>
        <w:p w14:paraId="5CB465E5" w14:textId="77777777" w:rsidR="007F0F63" w:rsidRDefault="007F0F63" w:rsidP="007F0F63">
          <w:pPr>
            <w:pStyle w:val="TOCHeading"/>
            <w:numPr>
              <w:ilvl w:val="0"/>
              <w:numId w:val="0"/>
            </w:numPr>
          </w:pPr>
          <w:r>
            <w:t>Contents</w:t>
          </w:r>
        </w:p>
        <w:p w14:paraId="2C60BACC" w14:textId="4D426C7A" w:rsidR="00D72157" w:rsidRDefault="007F0F63">
          <w:pPr>
            <w:pStyle w:val="TOC1"/>
            <w:tabs>
              <w:tab w:val="left" w:pos="480"/>
            </w:tabs>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46851532" w:history="1">
            <w:r w:rsidR="00D72157" w:rsidRPr="003D2673">
              <w:rPr>
                <w:rStyle w:val="Hyperlink"/>
                <w:noProof/>
              </w:rPr>
              <w:t>1</w:t>
            </w:r>
            <w:r w:rsidR="00D72157">
              <w:rPr>
                <w:rFonts w:asciiTheme="minorHAnsi" w:eastAsiaTheme="minorEastAsia" w:hAnsiTheme="minorHAnsi" w:cstheme="minorBidi"/>
                <w:noProof/>
                <w:szCs w:val="22"/>
                <w:lang w:eastAsia="en-AU"/>
              </w:rPr>
              <w:tab/>
            </w:r>
            <w:r w:rsidR="00D72157" w:rsidRPr="003D2673">
              <w:rPr>
                <w:rStyle w:val="Hyperlink"/>
                <w:noProof/>
              </w:rPr>
              <w:t>Introduction</w:t>
            </w:r>
            <w:r w:rsidR="00D72157">
              <w:rPr>
                <w:noProof/>
                <w:webHidden/>
              </w:rPr>
              <w:tab/>
            </w:r>
            <w:r w:rsidR="00D72157">
              <w:rPr>
                <w:noProof/>
                <w:webHidden/>
              </w:rPr>
              <w:fldChar w:fldCharType="begin"/>
            </w:r>
            <w:r w:rsidR="00D72157">
              <w:rPr>
                <w:noProof/>
                <w:webHidden/>
              </w:rPr>
              <w:instrText xml:space="preserve"> PAGEREF _Toc46851532 \h </w:instrText>
            </w:r>
            <w:r w:rsidR="00D72157">
              <w:rPr>
                <w:noProof/>
                <w:webHidden/>
              </w:rPr>
            </w:r>
            <w:r w:rsidR="00D72157">
              <w:rPr>
                <w:noProof/>
                <w:webHidden/>
              </w:rPr>
              <w:fldChar w:fldCharType="separate"/>
            </w:r>
            <w:r w:rsidR="004925FA">
              <w:rPr>
                <w:noProof/>
                <w:webHidden/>
              </w:rPr>
              <w:t>3</w:t>
            </w:r>
            <w:r w:rsidR="00D72157">
              <w:rPr>
                <w:noProof/>
                <w:webHidden/>
              </w:rPr>
              <w:fldChar w:fldCharType="end"/>
            </w:r>
          </w:hyperlink>
        </w:p>
        <w:p w14:paraId="15EAEF44" w14:textId="7239CDB3" w:rsidR="00D72157" w:rsidRDefault="001F08F2">
          <w:pPr>
            <w:pStyle w:val="TOC2"/>
            <w:rPr>
              <w:rFonts w:asciiTheme="minorHAnsi" w:eastAsiaTheme="minorEastAsia" w:hAnsiTheme="minorHAnsi" w:cstheme="minorBidi"/>
              <w:noProof/>
              <w:szCs w:val="22"/>
              <w:lang w:eastAsia="en-AU"/>
            </w:rPr>
          </w:pPr>
          <w:hyperlink w:anchor="_Toc46851533" w:history="1">
            <w:r w:rsidR="00D72157" w:rsidRPr="003D2673">
              <w:rPr>
                <w:rStyle w:val="Hyperlink"/>
                <w:noProof/>
              </w:rPr>
              <w:t>1.1</w:t>
            </w:r>
            <w:r w:rsidR="00D72157">
              <w:rPr>
                <w:rFonts w:asciiTheme="minorHAnsi" w:eastAsiaTheme="minorEastAsia" w:hAnsiTheme="minorHAnsi" w:cstheme="minorBidi"/>
                <w:noProof/>
                <w:szCs w:val="22"/>
                <w:lang w:eastAsia="en-AU"/>
              </w:rPr>
              <w:tab/>
            </w:r>
            <w:r w:rsidR="00D72157" w:rsidRPr="003D2673">
              <w:rPr>
                <w:rStyle w:val="Hyperlink"/>
                <w:noProof/>
              </w:rPr>
              <w:t>Scope</w:t>
            </w:r>
            <w:r w:rsidR="00D72157">
              <w:rPr>
                <w:noProof/>
                <w:webHidden/>
              </w:rPr>
              <w:tab/>
            </w:r>
            <w:r w:rsidR="00D72157">
              <w:rPr>
                <w:noProof/>
                <w:webHidden/>
              </w:rPr>
              <w:fldChar w:fldCharType="begin"/>
            </w:r>
            <w:r w:rsidR="00D72157">
              <w:rPr>
                <w:noProof/>
                <w:webHidden/>
              </w:rPr>
              <w:instrText xml:space="preserve"> PAGEREF _Toc46851533 \h </w:instrText>
            </w:r>
            <w:r w:rsidR="00D72157">
              <w:rPr>
                <w:noProof/>
                <w:webHidden/>
              </w:rPr>
            </w:r>
            <w:r w:rsidR="00D72157">
              <w:rPr>
                <w:noProof/>
                <w:webHidden/>
              </w:rPr>
              <w:fldChar w:fldCharType="separate"/>
            </w:r>
            <w:r w:rsidR="004925FA">
              <w:rPr>
                <w:noProof/>
                <w:webHidden/>
              </w:rPr>
              <w:t>3</w:t>
            </w:r>
            <w:r w:rsidR="00D72157">
              <w:rPr>
                <w:noProof/>
                <w:webHidden/>
              </w:rPr>
              <w:fldChar w:fldCharType="end"/>
            </w:r>
          </w:hyperlink>
        </w:p>
        <w:p w14:paraId="70E9BE4B" w14:textId="2CF6EF15" w:rsidR="00D72157" w:rsidRDefault="001F08F2">
          <w:pPr>
            <w:pStyle w:val="TOC2"/>
            <w:rPr>
              <w:rFonts w:asciiTheme="minorHAnsi" w:eastAsiaTheme="minorEastAsia" w:hAnsiTheme="minorHAnsi" w:cstheme="minorBidi"/>
              <w:noProof/>
              <w:szCs w:val="22"/>
              <w:lang w:eastAsia="en-AU"/>
            </w:rPr>
          </w:pPr>
          <w:hyperlink w:anchor="_Toc46851534" w:history="1">
            <w:r w:rsidR="00D72157" w:rsidRPr="003D2673">
              <w:rPr>
                <w:rStyle w:val="Hyperlink"/>
                <w:noProof/>
              </w:rPr>
              <w:t>1.2</w:t>
            </w:r>
            <w:r w:rsidR="00D72157">
              <w:rPr>
                <w:rFonts w:asciiTheme="minorHAnsi" w:eastAsiaTheme="minorEastAsia" w:hAnsiTheme="minorHAnsi" w:cstheme="minorBidi"/>
                <w:noProof/>
                <w:szCs w:val="22"/>
                <w:lang w:eastAsia="en-AU"/>
              </w:rPr>
              <w:tab/>
            </w:r>
            <w:r w:rsidR="00D72157" w:rsidRPr="003D2673">
              <w:rPr>
                <w:rStyle w:val="Hyperlink"/>
                <w:noProof/>
              </w:rPr>
              <w:t>National waste policy 2018 and targets for organics</w:t>
            </w:r>
            <w:r w:rsidR="00D72157">
              <w:rPr>
                <w:noProof/>
                <w:webHidden/>
              </w:rPr>
              <w:tab/>
            </w:r>
            <w:r w:rsidR="00D72157">
              <w:rPr>
                <w:noProof/>
                <w:webHidden/>
              </w:rPr>
              <w:fldChar w:fldCharType="begin"/>
            </w:r>
            <w:r w:rsidR="00D72157">
              <w:rPr>
                <w:noProof/>
                <w:webHidden/>
              </w:rPr>
              <w:instrText xml:space="preserve"> PAGEREF _Toc46851534 \h </w:instrText>
            </w:r>
            <w:r w:rsidR="00D72157">
              <w:rPr>
                <w:noProof/>
                <w:webHidden/>
              </w:rPr>
            </w:r>
            <w:r w:rsidR="00D72157">
              <w:rPr>
                <w:noProof/>
                <w:webHidden/>
              </w:rPr>
              <w:fldChar w:fldCharType="separate"/>
            </w:r>
            <w:r w:rsidR="004925FA">
              <w:rPr>
                <w:noProof/>
                <w:webHidden/>
              </w:rPr>
              <w:t>4</w:t>
            </w:r>
            <w:r w:rsidR="00D72157">
              <w:rPr>
                <w:noProof/>
                <w:webHidden/>
              </w:rPr>
              <w:fldChar w:fldCharType="end"/>
            </w:r>
          </w:hyperlink>
        </w:p>
        <w:p w14:paraId="52364519" w14:textId="3CF7B8F3" w:rsidR="00D72157" w:rsidRDefault="001F08F2">
          <w:pPr>
            <w:pStyle w:val="TOC2"/>
            <w:rPr>
              <w:rFonts w:asciiTheme="minorHAnsi" w:eastAsiaTheme="minorEastAsia" w:hAnsiTheme="minorHAnsi" w:cstheme="minorBidi"/>
              <w:noProof/>
              <w:szCs w:val="22"/>
              <w:lang w:eastAsia="en-AU"/>
            </w:rPr>
          </w:pPr>
          <w:hyperlink w:anchor="_Toc46851535" w:history="1">
            <w:r w:rsidR="00D72157" w:rsidRPr="003D2673">
              <w:rPr>
                <w:rStyle w:val="Hyperlink"/>
                <w:noProof/>
              </w:rPr>
              <w:t>1.3</w:t>
            </w:r>
            <w:r w:rsidR="00D72157">
              <w:rPr>
                <w:rFonts w:asciiTheme="minorHAnsi" w:eastAsiaTheme="minorEastAsia" w:hAnsiTheme="minorHAnsi" w:cstheme="minorBidi"/>
                <w:noProof/>
                <w:szCs w:val="22"/>
                <w:lang w:eastAsia="en-AU"/>
              </w:rPr>
              <w:tab/>
            </w:r>
            <w:r w:rsidR="00D72157" w:rsidRPr="003D2673">
              <w:rPr>
                <w:rStyle w:val="Hyperlink"/>
                <w:noProof/>
              </w:rPr>
              <w:t xml:space="preserve">COAG </w:t>
            </w:r>
            <w:r w:rsidR="00D72157" w:rsidRPr="003D2673">
              <w:rPr>
                <w:rStyle w:val="Hyperlink"/>
                <w:i/>
                <w:iCs/>
                <w:noProof/>
              </w:rPr>
              <w:t>National Waste Policy Action Plan</w:t>
            </w:r>
            <w:r w:rsidR="00D72157">
              <w:rPr>
                <w:noProof/>
                <w:webHidden/>
              </w:rPr>
              <w:tab/>
            </w:r>
            <w:r w:rsidR="00D72157">
              <w:rPr>
                <w:noProof/>
                <w:webHidden/>
              </w:rPr>
              <w:fldChar w:fldCharType="begin"/>
            </w:r>
            <w:r w:rsidR="00D72157">
              <w:rPr>
                <w:noProof/>
                <w:webHidden/>
              </w:rPr>
              <w:instrText xml:space="preserve"> PAGEREF _Toc46851535 \h </w:instrText>
            </w:r>
            <w:r w:rsidR="00D72157">
              <w:rPr>
                <w:noProof/>
                <w:webHidden/>
              </w:rPr>
            </w:r>
            <w:r w:rsidR="00D72157">
              <w:rPr>
                <w:noProof/>
                <w:webHidden/>
              </w:rPr>
              <w:fldChar w:fldCharType="separate"/>
            </w:r>
            <w:r w:rsidR="004925FA">
              <w:rPr>
                <w:noProof/>
                <w:webHidden/>
              </w:rPr>
              <w:t>4</w:t>
            </w:r>
            <w:r w:rsidR="00D72157">
              <w:rPr>
                <w:noProof/>
                <w:webHidden/>
              </w:rPr>
              <w:fldChar w:fldCharType="end"/>
            </w:r>
          </w:hyperlink>
        </w:p>
        <w:p w14:paraId="0705A1AF" w14:textId="51DD054F" w:rsidR="00D72157" w:rsidRDefault="001F08F2">
          <w:pPr>
            <w:pStyle w:val="TOC1"/>
            <w:tabs>
              <w:tab w:val="left" w:pos="480"/>
            </w:tabs>
            <w:rPr>
              <w:rFonts w:asciiTheme="minorHAnsi" w:eastAsiaTheme="minorEastAsia" w:hAnsiTheme="minorHAnsi" w:cstheme="minorBidi"/>
              <w:noProof/>
              <w:szCs w:val="22"/>
              <w:lang w:eastAsia="en-AU"/>
            </w:rPr>
          </w:pPr>
          <w:hyperlink w:anchor="_Toc46851536" w:history="1">
            <w:r w:rsidR="00D72157" w:rsidRPr="003D2673">
              <w:rPr>
                <w:rStyle w:val="Hyperlink"/>
                <w:noProof/>
              </w:rPr>
              <w:t>2</w:t>
            </w:r>
            <w:r w:rsidR="00D72157">
              <w:rPr>
                <w:rFonts w:asciiTheme="minorHAnsi" w:eastAsiaTheme="minorEastAsia" w:hAnsiTheme="minorHAnsi" w:cstheme="minorBidi"/>
                <w:noProof/>
                <w:szCs w:val="22"/>
                <w:lang w:eastAsia="en-AU"/>
              </w:rPr>
              <w:tab/>
            </w:r>
            <w:r w:rsidR="00D72157" w:rsidRPr="003D2673">
              <w:rPr>
                <w:rStyle w:val="Hyperlink"/>
                <w:noProof/>
              </w:rPr>
              <w:t>Current organics waste generation and recovery rates</w:t>
            </w:r>
            <w:r w:rsidR="00D72157">
              <w:rPr>
                <w:noProof/>
                <w:webHidden/>
              </w:rPr>
              <w:tab/>
            </w:r>
            <w:r w:rsidR="00D72157">
              <w:rPr>
                <w:noProof/>
                <w:webHidden/>
              </w:rPr>
              <w:fldChar w:fldCharType="begin"/>
            </w:r>
            <w:r w:rsidR="00D72157">
              <w:rPr>
                <w:noProof/>
                <w:webHidden/>
              </w:rPr>
              <w:instrText xml:space="preserve"> PAGEREF _Toc46851536 \h </w:instrText>
            </w:r>
            <w:r w:rsidR="00D72157">
              <w:rPr>
                <w:noProof/>
                <w:webHidden/>
              </w:rPr>
            </w:r>
            <w:r w:rsidR="00D72157">
              <w:rPr>
                <w:noProof/>
                <w:webHidden/>
              </w:rPr>
              <w:fldChar w:fldCharType="separate"/>
            </w:r>
            <w:r w:rsidR="004925FA">
              <w:rPr>
                <w:noProof/>
                <w:webHidden/>
              </w:rPr>
              <w:t>5</w:t>
            </w:r>
            <w:r w:rsidR="00D72157">
              <w:rPr>
                <w:noProof/>
                <w:webHidden/>
              </w:rPr>
              <w:fldChar w:fldCharType="end"/>
            </w:r>
          </w:hyperlink>
        </w:p>
        <w:p w14:paraId="7E1862A1" w14:textId="4A738850" w:rsidR="00D72157" w:rsidRDefault="001F08F2">
          <w:pPr>
            <w:pStyle w:val="TOC1"/>
            <w:tabs>
              <w:tab w:val="left" w:pos="480"/>
            </w:tabs>
            <w:rPr>
              <w:rFonts w:asciiTheme="minorHAnsi" w:eastAsiaTheme="minorEastAsia" w:hAnsiTheme="minorHAnsi" w:cstheme="minorBidi"/>
              <w:noProof/>
              <w:szCs w:val="22"/>
              <w:lang w:eastAsia="en-AU"/>
            </w:rPr>
          </w:pPr>
          <w:hyperlink w:anchor="_Toc46851537" w:history="1">
            <w:r w:rsidR="00D72157" w:rsidRPr="003D2673">
              <w:rPr>
                <w:rStyle w:val="Hyperlink"/>
                <w:noProof/>
              </w:rPr>
              <w:t>3</w:t>
            </w:r>
            <w:r w:rsidR="00D72157">
              <w:rPr>
                <w:rFonts w:asciiTheme="minorHAnsi" w:eastAsiaTheme="minorEastAsia" w:hAnsiTheme="minorHAnsi" w:cstheme="minorBidi"/>
                <w:noProof/>
                <w:szCs w:val="22"/>
                <w:lang w:eastAsia="en-AU"/>
              </w:rPr>
              <w:tab/>
            </w:r>
            <w:r w:rsidR="00D72157" w:rsidRPr="003D2673">
              <w:rPr>
                <w:rStyle w:val="Hyperlink"/>
                <w:noProof/>
              </w:rPr>
              <w:t>Current Australian recycled organics markets</w:t>
            </w:r>
            <w:r w:rsidR="00D72157">
              <w:rPr>
                <w:noProof/>
                <w:webHidden/>
              </w:rPr>
              <w:tab/>
            </w:r>
            <w:r w:rsidR="00D72157">
              <w:rPr>
                <w:noProof/>
                <w:webHidden/>
              </w:rPr>
              <w:fldChar w:fldCharType="begin"/>
            </w:r>
            <w:r w:rsidR="00D72157">
              <w:rPr>
                <w:noProof/>
                <w:webHidden/>
              </w:rPr>
              <w:instrText xml:space="preserve"> PAGEREF _Toc46851537 \h </w:instrText>
            </w:r>
            <w:r w:rsidR="00D72157">
              <w:rPr>
                <w:noProof/>
                <w:webHidden/>
              </w:rPr>
            </w:r>
            <w:r w:rsidR="00D72157">
              <w:rPr>
                <w:noProof/>
                <w:webHidden/>
              </w:rPr>
              <w:fldChar w:fldCharType="separate"/>
            </w:r>
            <w:r w:rsidR="004925FA">
              <w:rPr>
                <w:noProof/>
                <w:webHidden/>
              </w:rPr>
              <w:t>12</w:t>
            </w:r>
            <w:r w:rsidR="00D72157">
              <w:rPr>
                <w:noProof/>
                <w:webHidden/>
              </w:rPr>
              <w:fldChar w:fldCharType="end"/>
            </w:r>
          </w:hyperlink>
        </w:p>
        <w:p w14:paraId="088CB334" w14:textId="5E3EB13F" w:rsidR="00D72157" w:rsidRDefault="001F08F2">
          <w:pPr>
            <w:pStyle w:val="TOC1"/>
            <w:tabs>
              <w:tab w:val="left" w:pos="480"/>
            </w:tabs>
            <w:rPr>
              <w:rFonts w:asciiTheme="minorHAnsi" w:eastAsiaTheme="minorEastAsia" w:hAnsiTheme="minorHAnsi" w:cstheme="minorBidi"/>
              <w:noProof/>
              <w:szCs w:val="22"/>
              <w:lang w:eastAsia="en-AU"/>
            </w:rPr>
          </w:pPr>
          <w:hyperlink w:anchor="_Toc46851538" w:history="1">
            <w:r w:rsidR="00D72157" w:rsidRPr="003D2673">
              <w:rPr>
                <w:rStyle w:val="Hyperlink"/>
                <w:noProof/>
              </w:rPr>
              <w:t>4</w:t>
            </w:r>
            <w:r w:rsidR="00D72157">
              <w:rPr>
                <w:rFonts w:asciiTheme="minorHAnsi" w:eastAsiaTheme="minorEastAsia" w:hAnsiTheme="minorHAnsi" w:cstheme="minorBidi"/>
                <w:noProof/>
                <w:szCs w:val="22"/>
                <w:lang w:eastAsia="en-AU"/>
              </w:rPr>
              <w:tab/>
            </w:r>
            <w:r w:rsidR="00D72157" w:rsidRPr="003D2673">
              <w:rPr>
                <w:rStyle w:val="Hyperlink"/>
                <w:noProof/>
              </w:rPr>
              <w:t>International organics recovery rates and Australian opportunities</w:t>
            </w:r>
            <w:r w:rsidR="00D72157">
              <w:rPr>
                <w:noProof/>
                <w:webHidden/>
              </w:rPr>
              <w:tab/>
            </w:r>
            <w:r w:rsidR="00D72157">
              <w:rPr>
                <w:noProof/>
                <w:webHidden/>
              </w:rPr>
              <w:fldChar w:fldCharType="begin"/>
            </w:r>
            <w:r w:rsidR="00D72157">
              <w:rPr>
                <w:noProof/>
                <w:webHidden/>
              </w:rPr>
              <w:instrText xml:space="preserve"> PAGEREF _Toc46851538 \h </w:instrText>
            </w:r>
            <w:r w:rsidR="00D72157">
              <w:rPr>
                <w:noProof/>
                <w:webHidden/>
              </w:rPr>
            </w:r>
            <w:r w:rsidR="00D72157">
              <w:rPr>
                <w:noProof/>
                <w:webHidden/>
              </w:rPr>
              <w:fldChar w:fldCharType="separate"/>
            </w:r>
            <w:r w:rsidR="004925FA">
              <w:rPr>
                <w:noProof/>
                <w:webHidden/>
              </w:rPr>
              <w:t>13</w:t>
            </w:r>
            <w:r w:rsidR="00D72157">
              <w:rPr>
                <w:noProof/>
                <w:webHidden/>
              </w:rPr>
              <w:fldChar w:fldCharType="end"/>
            </w:r>
          </w:hyperlink>
        </w:p>
        <w:p w14:paraId="18C376FC" w14:textId="1CC0F717" w:rsidR="00D72157" w:rsidRDefault="001F08F2">
          <w:pPr>
            <w:pStyle w:val="TOC2"/>
            <w:rPr>
              <w:rFonts w:asciiTheme="minorHAnsi" w:eastAsiaTheme="minorEastAsia" w:hAnsiTheme="minorHAnsi" w:cstheme="minorBidi"/>
              <w:noProof/>
              <w:szCs w:val="22"/>
              <w:lang w:eastAsia="en-AU"/>
            </w:rPr>
          </w:pPr>
          <w:hyperlink w:anchor="_Toc46851539" w:history="1">
            <w:r w:rsidR="00D72157" w:rsidRPr="003D2673">
              <w:rPr>
                <w:rStyle w:val="Hyperlink"/>
                <w:noProof/>
              </w:rPr>
              <w:t>4.1</w:t>
            </w:r>
            <w:r w:rsidR="00D72157">
              <w:rPr>
                <w:rFonts w:asciiTheme="minorHAnsi" w:eastAsiaTheme="minorEastAsia" w:hAnsiTheme="minorHAnsi" w:cstheme="minorBidi"/>
                <w:noProof/>
                <w:szCs w:val="22"/>
                <w:lang w:eastAsia="en-AU"/>
              </w:rPr>
              <w:tab/>
            </w:r>
            <w:r w:rsidR="00D72157" w:rsidRPr="003D2673">
              <w:rPr>
                <w:rStyle w:val="Hyperlink"/>
                <w:noProof/>
              </w:rPr>
              <w:t>United Kingdom</w:t>
            </w:r>
            <w:r w:rsidR="00D72157">
              <w:rPr>
                <w:noProof/>
                <w:webHidden/>
              </w:rPr>
              <w:tab/>
            </w:r>
            <w:r w:rsidR="00D72157">
              <w:rPr>
                <w:noProof/>
                <w:webHidden/>
              </w:rPr>
              <w:fldChar w:fldCharType="begin"/>
            </w:r>
            <w:r w:rsidR="00D72157">
              <w:rPr>
                <w:noProof/>
                <w:webHidden/>
              </w:rPr>
              <w:instrText xml:space="preserve"> PAGEREF _Toc46851539 \h </w:instrText>
            </w:r>
            <w:r w:rsidR="00D72157">
              <w:rPr>
                <w:noProof/>
                <w:webHidden/>
              </w:rPr>
            </w:r>
            <w:r w:rsidR="00D72157">
              <w:rPr>
                <w:noProof/>
                <w:webHidden/>
              </w:rPr>
              <w:fldChar w:fldCharType="separate"/>
            </w:r>
            <w:r w:rsidR="004925FA">
              <w:rPr>
                <w:noProof/>
                <w:webHidden/>
              </w:rPr>
              <w:t>13</w:t>
            </w:r>
            <w:r w:rsidR="00D72157">
              <w:rPr>
                <w:noProof/>
                <w:webHidden/>
              </w:rPr>
              <w:fldChar w:fldCharType="end"/>
            </w:r>
          </w:hyperlink>
        </w:p>
        <w:p w14:paraId="1DB851A7" w14:textId="2D364592" w:rsidR="00D72157" w:rsidRDefault="001F08F2">
          <w:pPr>
            <w:pStyle w:val="TOC2"/>
            <w:rPr>
              <w:rFonts w:asciiTheme="minorHAnsi" w:eastAsiaTheme="minorEastAsia" w:hAnsiTheme="minorHAnsi" w:cstheme="minorBidi"/>
              <w:noProof/>
              <w:szCs w:val="22"/>
              <w:lang w:eastAsia="en-AU"/>
            </w:rPr>
          </w:pPr>
          <w:hyperlink w:anchor="_Toc46851540" w:history="1">
            <w:r w:rsidR="00D72157" w:rsidRPr="003D2673">
              <w:rPr>
                <w:rStyle w:val="Hyperlink"/>
                <w:noProof/>
              </w:rPr>
              <w:t>4.2</w:t>
            </w:r>
            <w:r w:rsidR="00D72157">
              <w:rPr>
                <w:rFonts w:asciiTheme="minorHAnsi" w:eastAsiaTheme="minorEastAsia" w:hAnsiTheme="minorHAnsi" w:cstheme="minorBidi"/>
                <w:noProof/>
                <w:szCs w:val="22"/>
                <w:lang w:eastAsia="en-AU"/>
              </w:rPr>
              <w:tab/>
            </w:r>
            <w:r w:rsidR="00D72157" w:rsidRPr="003D2673">
              <w:rPr>
                <w:rStyle w:val="Hyperlink"/>
                <w:noProof/>
              </w:rPr>
              <w:t>Italy</w:t>
            </w:r>
            <w:r w:rsidR="00D72157">
              <w:rPr>
                <w:noProof/>
                <w:webHidden/>
              </w:rPr>
              <w:tab/>
            </w:r>
            <w:r w:rsidR="00D72157">
              <w:rPr>
                <w:noProof/>
                <w:webHidden/>
              </w:rPr>
              <w:fldChar w:fldCharType="begin"/>
            </w:r>
            <w:r w:rsidR="00D72157">
              <w:rPr>
                <w:noProof/>
                <w:webHidden/>
              </w:rPr>
              <w:instrText xml:space="preserve"> PAGEREF _Toc46851540 \h </w:instrText>
            </w:r>
            <w:r w:rsidR="00D72157">
              <w:rPr>
                <w:noProof/>
                <w:webHidden/>
              </w:rPr>
            </w:r>
            <w:r w:rsidR="00D72157">
              <w:rPr>
                <w:noProof/>
                <w:webHidden/>
              </w:rPr>
              <w:fldChar w:fldCharType="separate"/>
            </w:r>
            <w:r w:rsidR="004925FA">
              <w:rPr>
                <w:noProof/>
                <w:webHidden/>
              </w:rPr>
              <w:t>16</w:t>
            </w:r>
            <w:r w:rsidR="00D72157">
              <w:rPr>
                <w:noProof/>
                <w:webHidden/>
              </w:rPr>
              <w:fldChar w:fldCharType="end"/>
            </w:r>
          </w:hyperlink>
        </w:p>
        <w:p w14:paraId="43213EAC" w14:textId="29686EC0" w:rsidR="00D72157" w:rsidRDefault="001F08F2">
          <w:pPr>
            <w:pStyle w:val="TOC2"/>
            <w:rPr>
              <w:rFonts w:asciiTheme="minorHAnsi" w:eastAsiaTheme="minorEastAsia" w:hAnsiTheme="minorHAnsi" w:cstheme="minorBidi"/>
              <w:noProof/>
              <w:szCs w:val="22"/>
              <w:lang w:eastAsia="en-AU"/>
            </w:rPr>
          </w:pPr>
          <w:hyperlink w:anchor="_Toc46851541" w:history="1">
            <w:r w:rsidR="00D72157" w:rsidRPr="003D2673">
              <w:rPr>
                <w:rStyle w:val="Hyperlink"/>
                <w:noProof/>
              </w:rPr>
              <w:t>4.3</w:t>
            </w:r>
            <w:r w:rsidR="00D72157">
              <w:rPr>
                <w:rFonts w:asciiTheme="minorHAnsi" w:eastAsiaTheme="minorEastAsia" w:hAnsiTheme="minorHAnsi" w:cstheme="minorBidi"/>
                <w:noProof/>
                <w:szCs w:val="22"/>
                <w:lang w:eastAsia="en-AU"/>
              </w:rPr>
              <w:tab/>
            </w:r>
            <w:r w:rsidR="00D72157" w:rsidRPr="003D2673">
              <w:rPr>
                <w:rStyle w:val="Hyperlink"/>
                <w:noProof/>
              </w:rPr>
              <w:t>Germany</w:t>
            </w:r>
            <w:r w:rsidR="00D72157">
              <w:rPr>
                <w:noProof/>
                <w:webHidden/>
              </w:rPr>
              <w:tab/>
            </w:r>
            <w:r w:rsidR="00D72157">
              <w:rPr>
                <w:noProof/>
                <w:webHidden/>
              </w:rPr>
              <w:fldChar w:fldCharType="begin"/>
            </w:r>
            <w:r w:rsidR="00D72157">
              <w:rPr>
                <w:noProof/>
                <w:webHidden/>
              </w:rPr>
              <w:instrText xml:space="preserve"> PAGEREF _Toc46851541 \h </w:instrText>
            </w:r>
            <w:r w:rsidR="00D72157">
              <w:rPr>
                <w:noProof/>
                <w:webHidden/>
              </w:rPr>
            </w:r>
            <w:r w:rsidR="00D72157">
              <w:rPr>
                <w:noProof/>
                <w:webHidden/>
              </w:rPr>
              <w:fldChar w:fldCharType="separate"/>
            </w:r>
            <w:r w:rsidR="004925FA">
              <w:rPr>
                <w:noProof/>
                <w:webHidden/>
              </w:rPr>
              <w:t>17</w:t>
            </w:r>
            <w:r w:rsidR="00D72157">
              <w:rPr>
                <w:noProof/>
                <w:webHidden/>
              </w:rPr>
              <w:fldChar w:fldCharType="end"/>
            </w:r>
          </w:hyperlink>
        </w:p>
        <w:p w14:paraId="6D6E1F81" w14:textId="50C3A50F" w:rsidR="00D72157" w:rsidRDefault="001F08F2">
          <w:pPr>
            <w:pStyle w:val="TOC1"/>
            <w:tabs>
              <w:tab w:val="left" w:pos="480"/>
            </w:tabs>
            <w:rPr>
              <w:rFonts w:asciiTheme="minorHAnsi" w:eastAsiaTheme="minorEastAsia" w:hAnsiTheme="minorHAnsi" w:cstheme="minorBidi"/>
              <w:noProof/>
              <w:szCs w:val="22"/>
              <w:lang w:eastAsia="en-AU"/>
            </w:rPr>
          </w:pPr>
          <w:hyperlink w:anchor="_Toc46851542" w:history="1">
            <w:r w:rsidR="00D72157" w:rsidRPr="003D2673">
              <w:rPr>
                <w:rStyle w:val="Hyperlink"/>
                <w:noProof/>
              </w:rPr>
              <w:t>5</w:t>
            </w:r>
            <w:r w:rsidR="00D72157">
              <w:rPr>
                <w:rFonts w:asciiTheme="minorHAnsi" w:eastAsiaTheme="minorEastAsia" w:hAnsiTheme="minorHAnsi" w:cstheme="minorBidi"/>
                <w:noProof/>
                <w:szCs w:val="22"/>
                <w:lang w:eastAsia="en-AU"/>
              </w:rPr>
              <w:tab/>
            </w:r>
            <w:r w:rsidR="00D72157" w:rsidRPr="003D2673">
              <w:rPr>
                <w:rStyle w:val="Hyperlink"/>
                <w:noProof/>
              </w:rPr>
              <w:t>Conclusions</w:t>
            </w:r>
            <w:r w:rsidR="00D72157">
              <w:rPr>
                <w:noProof/>
                <w:webHidden/>
              </w:rPr>
              <w:tab/>
            </w:r>
            <w:r w:rsidR="00D72157">
              <w:rPr>
                <w:noProof/>
                <w:webHidden/>
              </w:rPr>
              <w:fldChar w:fldCharType="begin"/>
            </w:r>
            <w:r w:rsidR="00D72157">
              <w:rPr>
                <w:noProof/>
                <w:webHidden/>
              </w:rPr>
              <w:instrText xml:space="preserve"> PAGEREF _Toc46851542 \h </w:instrText>
            </w:r>
            <w:r w:rsidR="00D72157">
              <w:rPr>
                <w:noProof/>
                <w:webHidden/>
              </w:rPr>
            </w:r>
            <w:r w:rsidR="00D72157">
              <w:rPr>
                <w:noProof/>
                <w:webHidden/>
              </w:rPr>
              <w:fldChar w:fldCharType="separate"/>
            </w:r>
            <w:r w:rsidR="004925FA">
              <w:rPr>
                <w:noProof/>
                <w:webHidden/>
              </w:rPr>
              <w:t>19</w:t>
            </w:r>
            <w:r w:rsidR="00D72157">
              <w:rPr>
                <w:noProof/>
                <w:webHidden/>
              </w:rPr>
              <w:fldChar w:fldCharType="end"/>
            </w:r>
          </w:hyperlink>
        </w:p>
        <w:p w14:paraId="34BB7B98" w14:textId="237821E4" w:rsidR="00D72157" w:rsidRDefault="001F08F2">
          <w:pPr>
            <w:pStyle w:val="TOC1"/>
            <w:tabs>
              <w:tab w:val="left" w:pos="480"/>
            </w:tabs>
            <w:rPr>
              <w:rFonts w:asciiTheme="minorHAnsi" w:eastAsiaTheme="minorEastAsia" w:hAnsiTheme="minorHAnsi" w:cstheme="minorBidi"/>
              <w:noProof/>
              <w:szCs w:val="22"/>
              <w:lang w:eastAsia="en-AU"/>
            </w:rPr>
          </w:pPr>
          <w:hyperlink w:anchor="_Toc46851543" w:history="1">
            <w:r w:rsidR="00D72157" w:rsidRPr="003D2673">
              <w:rPr>
                <w:rStyle w:val="Hyperlink"/>
                <w:noProof/>
              </w:rPr>
              <w:t>6</w:t>
            </w:r>
            <w:r w:rsidR="00D72157">
              <w:rPr>
                <w:rFonts w:asciiTheme="minorHAnsi" w:eastAsiaTheme="minorEastAsia" w:hAnsiTheme="minorHAnsi" w:cstheme="minorBidi"/>
                <w:noProof/>
                <w:szCs w:val="22"/>
                <w:lang w:eastAsia="en-AU"/>
              </w:rPr>
              <w:tab/>
            </w:r>
            <w:r w:rsidR="00D72157" w:rsidRPr="003D2673">
              <w:rPr>
                <w:rStyle w:val="Hyperlink"/>
                <w:noProof/>
              </w:rPr>
              <w:t>References</w:t>
            </w:r>
            <w:r w:rsidR="00D72157">
              <w:rPr>
                <w:noProof/>
                <w:webHidden/>
              </w:rPr>
              <w:tab/>
            </w:r>
            <w:r w:rsidR="00D72157">
              <w:rPr>
                <w:noProof/>
                <w:webHidden/>
              </w:rPr>
              <w:fldChar w:fldCharType="begin"/>
            </w:r>
            <w:r w:rsidR="00D72157">
              <w:rPr>
                <w:noProof/>
                <w:webHidden/>
              </w:rPr>
              <w:instrText xml:space="preserve"> PAGEREF _Toc46851543 \h </w:instrText>
            </w:r>
            <w:r w:rsidR="00D72157">
              <w:rPr>
                <w:noProof/>
                <w:webHidden/>
              </w:rPr>
            </w:r>
            <w:r w:rsidR="00D72157">
              <w:rPr>
                <w:noProof/>
                <w:webHidden/>
              </w:rPr>
              <w:fldChar w:fldCharType="separate"/>
            </w:r>
            <w:r w:rsidR="004925FA">
              <w:rPr>
                <w:noProof/>
                <w:webHidden/>
              </w:rPr>
              <w:t>21</w:t>
            </w:r>
            <w:r w:rsidR="00D72157">
              <w:rPr>
                <w:noProof/>
                <w:webHidden/>
              </w:rPr>
              <w:fldChar w:fldCharType="end"/>
            </w:r>
          </w:hyperlink>
        </w:p>
        <w:p w14:paraId="188B3D76" w14:textId="17814712" w:rsidR="007F0F63" w:rsidRDefault="007F0F63">
          <w:r>
            <w:rPr>
              <w:b/>
              <w:bCs/>
              <w:noProof/>
            </w:rPr>
            <w:fldChar w:fldCharType="end"/>
          </w:r>
        </w:p>
      </w:sdtContent>
    </w:sdt>
    <w:p w14:paraId="30C198D5" w14:textId="77777777" w:rsidR="00A5011D" w:rsidRPr="001669B4" w:rsidRDefault="00A5011D" w:rsidP="00F002A9">
      <w:pPr>
        <w:tabs>
          <w:tab w:val="left" w:pos="7557"/>
        </w:tabs>
        <w:rPr>
          <w:rFonts w:asciiTheme="minorHAnsi" w:hAnsiTheme="minorHAnsi"/>
        </w:rPr>
        <w:sectPr w:rsidR="00A5011D" w:rsidRPr="001669B4" w:rsidSect="00462361">
          <w:headerReference w:type="default" r:id="rId17"/>
          <w:footerReference w:type="default" r:id="rId18"/>
          <w:headerReference w:type="first" r:id="rId19"/>
          <w:pgSz w:w="11906" w:h="16838"/>
          <w:pgMar w:top="1810" w:right="1440" w:bottom="1440" w:left="1440" w:header="708" w:footer="708" w:gutter="0"/>
          <w:pgNumType w:fmt="lowerRoman" w:start="2"/>
          <w:cols w:space="708"/>
          <w:docGrid w:linePitch="360"/>
        </w:sectPr>
      </w:pPr>
    </w:p>
    <w:p w14:paraId="5098E7C3" w14:textId="77777777" w:rsidR="000B0B81" w:rsidRDefault="000B0B81" w:rsidP="000B0B81">
      <w:pPr>
        <w:pStyle w:val="Heading1"/>
      </w:pPr>
      <w:bookmarkStart w:id="2" w:name="_Toc454452462"/>
      <w:bookmarkStart w:id="3" w:name="_Toc40923315"/>
      <w:bookmarkStart w:id="4" w:name="_Toc46851532"/>
      <w:bookmarkEnd w:id="2"/>
      <w:r>
        <w:lastRenderedPageBreak/>
        <w:t>Introduction</w:t>
      </w:r>
      <w:bookmarkEnd w:id="3"/>
      <w:bookmarkEnd w:id="4"/>
    </w:p>
    <w:p w14:paraId="17925CCA" w14:textId="682904EB" w:rsidR="002F6308" w:rsidRDefault="00404EA0" w:rsidP="002F6308">
      <w:pPr>
        <w:pStyle w:val="RECnormaltext"/>
      </w:pPr>
      <w:r>
        <w:t>T</w:t>
      </w:r>
      <w:r w:rsidR="000B0B81">
        <w:t xml:space="preserve">he Department of Agriculture, Water and the Environment (DAWE) engaged Randell Environmental Consulting (REC) to complete analysis of </w:t>
      </w:r>
      <w:r w:rsidR="006A6DC0">
        <w:t xml:space="preserve">the </w:t>
      </w:r>
      <w:r w:rsidR="006A6DC0" w:rsidRPr="006A6DC0">
        <w:rPr>
          <w:i/>
          <w:iCs/>
        </w:rPr>
        <w:t>Opportunities to increase organics recovery</w:t>
      </w:r>
      <w:r w:rsidR="006A6DC0" w:rsidRPr="006A6DC0">
        <w:t xml:space="preserve"> </w:t>
      </w:r>
      <w:r w:rsidR="000B0B81">
        <w:t>(the project).</w:t>
      </w:r>
      <w:r w:rsidR="002F6308">
        <w:t xml:space="preserve">  </w:t>
      </w:r>
    </w:p>
    <w:p w14:paraId="11B3C8F2" w14:textId="64FE714B" w:rsidR="000B0B81" w:rsidRDefault="000B0B81" w:rsidP="000B0B81">
      <w:pPr>
        <w:pStyle w:val="PlainText"/>
      </w:pPr>
      <w:r>
        <w:t xml:space="preserve">This concise report includes analysis of: </w:t>
      </w:r>
    </w:p>
    <w:p w14:paraId="5697569F" w14:textId="0627A070" w:rsidR="00486812" w:rsidRDefault="00486812" w:rsidP="00486812">
      <w:pPr>
        <w:pStyle w:val="RECdotpoint"/>
      </w:pPr>
      <w:r>
        <w:t>current organics recovery rates</w:t>
      </w:r>
      <w:r w:rsidR="00191BE3">
        <w:t xml:space="preserve"> (including recycling and energy recovery) from the municipal solid waste (MSW), commercial and industrial (C&amp;I), and construction and demolition (C&amp;D)</w:t>
      </w:r>
      <w:r w:rsidR="007B4F93">
        <w:t xml:space="preserve"> </w:t>
      </w:r>
      <w:r w:rsidR="00191BE3">
        <w:t>waste stream</w:t>
      </w:r>
      <w:r w:rsidR="0051040F">
        <w:t>s</w:t>
      </w:r>
    </w:p>
    <w:p w14:paraId="06E2EF47" w14:textId="77777777" w:rsidR="00486812" w:rsidRDefault="00486812" w:rsidP="00486812">
      <w:pPr>
        <w:pStyle w:val="RECdotpoint"/>
      </w:pPr>
      <w:r>
        <w:t>the new national waste policy targets and what they would mean for organics generation and recovery if successfully implemented</w:t>
      </w:r>
    </w:p>
    <w:p w14:paraId="4B021E48" w14:textId="79DB7B53" w:rsidR="00486812" w:rsidRDefault="00486812" w:rsidP="00486812">
      <w:pPr>
        <w:pStyle w:val="RECdotpoint"/>
      </w:pPr>
      <w:r>
        <w:t xml:space="preserve">an overview of the </w:t>
      </w:r>
      <w:r w:rsidR="007908EA">
        <w:t xml:space="preserve">opportunities </w:t>
      </w:r>
      <w:r>
        <w:t>for improved recovery and potential future recovery rates based on what has been achieved internationally and what could be considered best practice.</w:t>
      </w:r>
    </w:p>
    <w:p w14:paraId="2B507F6F" w14:textId="0F20C7EC" w:rsidR="00486812" w:rsidRDefault="00486812" w:rsidP="00486812">
      <w:pPr>
        <w:pStyle w:val="RECnormaltext"/>
      </w:pPr>
      <w:r>
        <w:t xml:space="preserve">The report </w:t>
      </w:r>
      <w:r w:rsidR="00CE197A">
        <w:t xml:space="preserve">is </w:t>
      </w:r>
      <w:r>
        <w:t xml:space="preserve">based on desktop </w:t>
      </w:r>
      <w:r w:rsidR="00CE197A">
        <w:t xml:space="preserve">literature </w:t>
      </w:r>
      <w:r>
        <w:t>review</w:t>
      </w:r>
      <w:r w:rsidR="00CE197A">
        <w:t>. C</w:t>
      </w:r>
      <w:r w:rsidR="00D8778B">
        <w:t>onsultation with stakeholders was beyond the project scope</w:t>
      </w:r>
      <w:r>
        <w:t>.</w:t>
      </w:r>
    </w:p>
    <w:p w14:paraId="53B0E193" w14:textId="6613F69D" w:rsidR="00AD794D" w:rsidRDefault="00AD794D" w:rsidP="00AD794D">
      <w:pPr>
        <w:pStyle w:val="Heading2"/>
      </w:pPr>
      <w:bookmarkStart w:id="5" w:name="_Toc46851533"/>
      <w:r>
        <w:t>Scope</w:t>
      </w:r>
      <w:bookmarkEnd w:id="5"/>
    </w:p>
    <w:p w14:paraId="041BD555" w14:textId="074C1512" w:rsidR="00A12F33" w:rsidRDefault="00A12F33" w:rsidP="00486812">
      <w:pPr>
        <w:pStyle w:val="RECnormaltext"/>
      </w:pPr>
      <w:r>
        <w:t xml:space="preserve">‘Organic waste’ is a very broad term. Technically it could apply to anything that has once </w:t>
      </w:r>
      <w:r w:rsidR="00FA786B">
        <w:t xml:space="preserve">grown or </w:t>
      </w:r>
      <w:r>
        <w:t>lived and organic waste needs to be clearly defined for the scope of the project analysis.</w:t>
      </w:r>
    </w:p>
    <w:p w14:paraId="5ABBC503" w14:textId="3BD47FEE" w:rsidR="00FA786B" w:rsidRDefault="00A12F33" w:rsidP="002F6308">
      <w:pPr>
        <w:pStyle w:val="RECnormaltext"/>
        <w:rPr>
          <w:szCs w:val="22"/>
        </w:rPr>
      </w:pPr>
      <w:r>
        <w:t xml:space="preserve">In the most recent </w:t>
      </w:r>
      <w:hyperlink r:id="rId20" w:history="1">
        <w:r w:rsidRPr="008935A6">
          <w:rPr>
            <w:rStyle w:val="Hyperlink"/>
          </w:rPr>
          <w:t>National waste report 2018</w:t>
        </w:r>
      </w:hyperlink>
      <w:r w:rsidR="00AD794D">
        <w:rPr>
          <w:szCs w:val="22"/>
        </w:rPr>
        <w:t xml:space="preserve"> </w:t>
      </w:r>
      <w:r w:rsidR="00EC1723">
        <w:rPr>
          <w:szCs w:val="22"/>
        </w:rPr>
        <w:t xml:space="preserve">(NWR 2018) </w:t>
      </w:r>
      <w:r w:rsidR="00AD794D">
        <w:rPr>
          <w:szCs w:val="22"/>
        </w:rPr>
        <w:t>the material category ‘organics’ refer</w:t>
      </w:r>
      <w:r>
        <w:rPr>
          <w:szCs w:val="22"/>
        </w:rPr>
        <w:t>red</w:t>
      </w:r>
      <w:r w:rsidR="00AD794D">
        <w:rPr>
          <w:szCs w:val="22"/>
        </w:rPr>
        <w:t xml:space="preserve"> to the </w:t>
      </w:r>
      <w:r>
        <w:rPr>
          <w:szCs w:val="22"/>
        </w:rPr>
        <w:t>‘</w:t>
      </w:r>
      <w:r w:rsidR="00AD794D">
        <w:rPr>
          <w:szCs w:val="22"/>
        </w:rPr>
        <w:t>core waste types</w:t>
      </w:r>
      <w:r>
        <w:rPr>
          <w:szCs w:val="22"/>
        </w:rPr>
        <w:t>’</w:t>
      </w:r>
      <w:r>
        <w:rPr>
          <w:rStyle w:val="FootnoteReference"/>
          <w:szCs w:val="22"/>
        </w:rPr>
        <w:footnoteReference w:id="1"/>
      </w:r>
      <w:r w:rsidR="00AD794D">
        <w:rPr>
          <w:szCs w:val="22"/>
        </w:rPr>
        <w:t xml:space="preserve"> of food, garden organics and timber. It </w:t>
      </w:r>
      <w:r w:rsidR="00FA786B">
        <w:rPr>
          <w:szCs w:val="22"/>
        </w:rPr>
        <w:t xml:space="preserve">excluded </w:t>
      </w:r>
      <w:r w:rsidR="00AD794D">
        <w:rPr>
          <w:szCs w:val="22"/>
        </w:rPr>
        <w:t xml:space="preserve">paper, cardboard, textiles, rubber and leather, and hazardous organics, </w:t>
      </w:r>
      <w:r w:rsidR="00FA786B">
        <w:rPr>
          <w:szCs w:val="22"/>
        </w:rPr>
        <w:t xml:space="preserve">because these wastes </w:t>
      </w:r>
      <w:r w:rsidR="00AD794D">
        <w:rPr>
          <w:szCs w:val="22"/>
        </w:rPr>
        <w:t xml:space="preserve">are </w:t>
      </w:r>
      <w:r w:rsidR="00FA786B">
        <w:rPr>
          <w:szCs w:val="22"/>
        </w:rPr>
        <w:t xml:space="preserve">typically managed separately </w:t>
      </w:r>
      <w:r w:rsidR="00EC3DCB">
        <w:rPr>
          <w:szCs w:val="22"/>
        </w:rPr>
        <w:t xml:space="preserve">to </w:t>
      </w:r>
      <w:r w:rsidR="00FA786B">
        <w:rPr>
          <w:szCs w:val="22"/>
        </w:rPr>
        <w:t xml:space="preserve">other </w:t>
      </w:r>
      <w:r w:rsidR="00D940B4">
        <w:rPr>
          <w:szCs w:val="22"/>
        </w:rPr>
        <w:t xml:space="preserve">core </w:t>
      </w:r>
      <w:r w:rsidR="00FA786B">
        <w:rPr>
          <w:szCs w:val="22"/>
        </w:rPr>
        <w:t>organic wastes</w:t>
      </w:r>
      <w:r w:rsidR="00AD794D">
        <w:rPr>
          <w:szCs w:val="22"/>
        </w:rPr>
        <w:t>.</w:t>
      </w:r>
      <w:r w:rsidR="00FA786B">
        <w:rPr>
          <w:szCs w:val="22"/>
        </w:rPr>
        <w:t xml:space="preserve"> </w:t>
      </w:r>
    </w:p>
    <w:p w14:paraId="647DC9DD" w14:textId="77777777" w:rsidR="002F6308" w:rsidRDefault="00FA786B" w:rsidP="002F6308">
      <w:pPr>
        <w:pStyle w:val="RECnormaltext"/>
      </w:pPr>
      <w:r>
        <w:t xml:space="preserve">DAWE are currently preparing the next national waste report, being delivered by Blue Environment Pty Ltd (BE). REC has consulted BE regarding the scope of organics being reported in the </w:t>
      </w:r>
      <w:r w:rsidR="009D0C19">
        <w:t>next NWR. At the time of writing, BE planned to report against a slightly amended definition of organics to include the following wastes: food, domestic garden, C&amp;I food and other</w:t>
      </w:r>
      <w:r w:rsidR="00026C16">
        <w:t xml:space="preserve"> (including timber waste)</w:t>
      </w:r>
      <w:r w:rsidR="009D0C19">
        <w:t>.</w:t>
      </w:r>
      <w:r w:rsidR="00E74D49">
        <w:t xml:space="preserve"> </w:t>
      </w:r>
      <w:r>
        <w:t xml:space="preserve">The project analysis focuses on the </w:t>
      </w:r>
      <w:r w:rsidR="00E74D49">
        <w:t xml:space="preserve">same scope of </w:t>
      </w:r>
      <w:r>
        <w:t>organics waste</w:t>
      </w:r>
      <w:r w:rsidR="0057153A">
        <w:t>,</w:t>
      </w:r>
      <w:r>
        <w:t xml:space="preserve"> </w:t>
      </w:r>
      <w:r w:rsidR="00E74D49">
        <w:t>i.e. food, domestic garden, C&amp;I food</w:t>
      </w:r>
      <w:r w:rsidR="00EC3DCB">
        <w:t xml:space="preserve">, </w:t>
      </w:r>
      <w:r w:rsidR="00026C16">
        <w:t>timber</w:t>
      </w:r>
      <w:r w:rsidR="00EC3DCB">
        <w:t xml:space="preserve"> and other</w:t>
      </w:r>
      <w:r w:rsidR="00E74D49">
        <w:t>.</w:t>
      </w:r>
      <w:r w:rsidR="00026C16">
        <w:t xml:space="preserve"> </w:t>
      </w:r>
    </w:p>
    <w:p w14:paraId="6B2E7385" w14:textId="5FFB90FC" w:rsidR="00026C16" w:rsidRDefault="00026C16" w:rsidP="002F6308">
      <w:pPr>
        <w:pStyle w:val="RECnormaltext"/>
      </w:pPr>
      <w:r>
        <w:t xml:space="preserve">The project analysis </w:t>
      </w:r>
      <w:r w:rsidR="00D940B4">
        <w:t xml:space="preserve">does not cover </w:t>
      </w:r>
      <w:r>
        <w:t xml:space="preserve">paper, cardboard, textiles, rubber and leather, </w:t>
      </w:r>
      <w:r w:rsidR="0057153A">
        <w:t xml:space="preserve">biosolids </w:t>
      </w:r>
      <w:r>
        <w:t xml:space="preserve">and hazardous organics </w:t>
      </w:r>
      <w:r w:rsidR="0057153A">
        <w:t xml:space="preserve">as well as organics </w:t>
      </w:r>
      <w:r w:rsidR="002F6308">
        <w:t xml:space="preserve">generated by </w:t>
      </w:r>
      <w:r w:rsidR="0057153A">
        <w:t>agriculture and fisheries</w:t>
      </w:r>
      <w:r w:rsidR="002F6308">
        <w:t xml:space="preserve"> industries</w:t>
      </w:r>
      <w:r w:rsidR="0057153A">
        <w:t>.</w:t>
      </w:r>
      <w:r>
        <w:t xml:space="preserve"> </w:t>
      </w:r>
      <w:r w:rsidR="00404EA0">
        <w:rPr>
          <w:rFonts w:eastAsia="Times New Roman"/>
          <w:lang w:val="en-US"/>
        </w:rPr>
        <w:t>It is recommended that further analysis at the ‘total organics’ scope be considered.</w:t>
      </w:r>
    </w:p>
    <w:p w14:paraId="2F9CC071" w14:textId="2D12BADF" w:rsidR="003E556B" w:rsidRDefault="003E556B" w:rsidP="00026C16">
      <w:pPr>
        <w:pStyle w:val="RECnormaltext"/>
        <w:rPr>
          <w:szCs w:val="22"/>
        </w:rPr>
      </w:pPr>
      <w:r>
        <w:rPr>
          <w:szCs w:val="22"/>
        </w:rPr>
        <w:t xml:space="preserve">The project analysis is focused on Australia’s current organics recovery </w:t>
      </w:r>
      <w:r w:rsidR="00D940B4">
        <w:rPr>
          <w:szCs w:val="22"/>
        </w:rPr>
        <w:t xml:space="preserve">rate </w:t>
      </w:r>
      <w:r>
        <w:rPr>
          <w:szCs w:val="22"/>
        </w:rPr>
        <w:t xml:space="preserve">and analysis of rates achieved internationally to identify the </w:t>
      </w:r>
      <w:r w:rsidR="002F6308">
        <w:rPr>
          <w:szCs w:val="22"/>
        </w:rPr>
        <w:t>‘</w:t>
      </w:r>
      <w:r>
        <w:rPr>
          <w:szCs w:val="22"/>
        </w:rPr>
        <w:t>size</w:t>
      </w:r>
      <w:r w:rsidR="002F6308">
        <w:rPr>
          <w:szCs w:val="22"/>
        </w:rPr>
        <w:t>’</w:t>
      </w:r>
      <w:r>
        <w:rPr>
          <w:szCs w:val="22"/>
        </w:rPr>
        <w:t xml:space="preserve"> of the opportunities in Australia. The analysis is focused on the tonnage recovery outcomes and does not delve into </w:t>
      </w:r>
      <w:r w:rsidR="00E2558B">
        <w:rPr>
          <w:szCs w:val="22"/>
        </w:rPr>
        <w:t xml:space="preserve">detailed analysis of </w:t>
      </w:r>
      <w:r w:rsidR="00D940B4">
        <w:rPr>
          <w:szCs w:val="22"/>
        </w:rPr>
        <w:t>‘</w:t>
      </w:r>
      <w:r>
        <w:rPr>
          <w:szCs w:val="22"/>
        </w:rPr>
        <w:t>how</w:t>
      </w:r>
      <w:r w:rsidR="00D940B4">
        <w:rPr>
          <w:szCs w:val="22"/>
        </w:rPr>
        <w:t>’</w:t>
      </w:r>
      <w:r>
        <w:rPr>
          <w:szCs w:val="22"/>
        </w:rPr>
        <w:t xml:space="preserve"> each country has achieved organics recovery. There are a wide range of policy interventions</w:t>
      </w:r>
      <w:r w:rsidR="00E2558B">
        <w:rPr>
          <w:szCs w:val="22"/>
        </w:rPr>
        <w:t xml:space="preserve"> and infrastructure options </w:t>
      </w:r>
      <w:r>
        <w:rPr>
          <w:szCs w:val="22"/>
        </w:rPr>
        <w:t xml:space="preserve">for organics recovery in place globally and it is beyond the project scope to </w:t>
      </w:r>
      <w:r w:rsidR="00E2558B">
        <w:rPr>
          <w:szCs w:val="22"/>
        </w:rPr>
        <w:t xml:space="preserve">provide detailed </w:t>
      </w:r>
      <w:r>
        <w:rPr>
          <w:szCs w:val="22"/>
        </w:rPr>
        <w:t>analys</w:t>
      </w:r>
      <w:r w:rsidR="00E2558B">
        <w:rPr>
          <w:szCs w:val="22"/>
        </w:rPr>
        <w:t>is</w:t>
      </w:r>
      <w:r>
        <w:rPr>
          <w:szCs w:val="22"/>
        </w:rPr>
        <w:t xml:space="preserve"> what policy or infrastructure options would be most appropriate in the Australian context.</w:t>
      </w:r>
      <w:r w:rsidR="00E2558B">
        <w:rPr>
          <w:szCs w:val="22"/>
        </w:rPr>
        <w:t xml:space="preserve"> </w:t>
      </w:r>
      <w:r w:rsidR="002F6308">
        <w:rPr>
          <w:szCs w:val="22"/>
        </w:rPr>
        <w:br/>
      </w:r>
      <w:r w:rsidR="002F6308">
        <w:rPr>
          <w:szCs w:val="22"/>
        </w:rPr>
        <w:lastRenderedPageBreak/>
        <w:t>O</w:t>
      </w:r>
      <w:r w:rsidR="00E2558B">
        <w:rPr>
          <w:szCs w:val="22"/>
        </w:rPr>
        <w:t xml:space="preserve">pportunities </w:t>
      </w:r>
      <w:r w:rsidR="002F6308">
        <w:rPr>
          <w:szCs w:val="22"/>
        </w:rPr>
        <w:t xml:space="preserve">for Australia </w:t>
      </w:r>
      <w:r w:rsidR="00E2558B">
        <w:rPr>
          <w:szCs w:val="22"/>
        </w:rPr>
        <w:t>are discussed in broad terms only, commensurate with the project scope and budget.</w:t>
      </w:r>
    </w:p>
    <w:p w14:paraId="0BE70A2A" w14:textId="77777777" w:rsidR="00241BF4" w:rsidRDefault="00241BF4" w:rsidP="00241BF4">
      <w:pPr>
        <w:pStyle w:val="Heading2"/>
      </w:pPr>
      <w:bookmarkStart w:id="6" w:name="_Toc40923317"/>
      <w:bookmarkStart w:id="7" w:name="_Toc46851534"/>
      <w:r>
        <w:t>National waste policy 2018 and targets for organics</w:t>
      </w:r>
      <w:bookmarkEnd w:id="6"/>
      <w:bookmarkEnd w:id="7"/>
    </w:p>
    <w:p w14:paraId="397DB783" w14:textId="77777777" w:rsidR="00241BF4" w:rsidRDefault="00241BF4" w:rsidP="004C170B">
      <w:pPr>
        <w:pStyle w:val="RECnormaltext"/>
      </w:pPr>
      <w:r>
        <w:t xml:space="preserve">The 2018 </w:t>
      </w:r>
      <w:r w:rsidRPr="00D65D5D">
        <w:rPr>
          <w:i/>
          <w:iCs/>
        </w:rPr>
        <w:t>National Waste Policy</w:t>
      </w:r>
      <w:r>
        <w:t xml:space="preserve"> provides the national waste management policy direction until 2030.</w:t>
      </w:r>
    </w:p>
    <w:p w14:paraId="26F5F6A8" w14:textId="77777777" w:rsidR="00241BF4" w:rsidRDefault="00241BF4" w:rsidP="00241BF4">
      <w:pPr>
        <w:pStyle w:val="RECnormaltext"/>
      </w:pPr>
      <w:r>
        <w:t>The policy includes five principles for waste management with the aim of supporting a circular economy, included below.</w:t>
      </w:r>
    </w:p>
    <w:p w14:paraId="45044B3F" w14:textId="77777777" w:rsidR="00241BF4" w:rsidRDefault="00241BF4" w:rsidP="00241BF4">
      <w:pPr>
        <w:pStyle w:val="RECnumberlist"/>
        <w:numPr>
          <w:ilvl w:val="0"/>
          <w:numId w:val="11"/>
        </w:numPr>
        <w:ind w:left="426"/>
      </w:pPr>
      <w:r>
        <w:t>Avoid waste:</w:t>
      </w:r>
    </w:p>
    <w:p w14:paraId="50C77CEA" w14:textId="77777777" w:rsidR="00241BF4" w:rsidRDefault="00241BF4" w:rsidP="00241BF4">
      <w:pPr>
        <w:pStyle w:val="RECnumberlist"/>
        <w:numPr>
          <w:ilvl w:val="1"/>
          <w:numId w:val="9"/>
        </w:numPr>
        <w:ind w:left="709"/>
      </w:pPr>
      <w:r>
        <w:t>Prioritise waste avoidance, encourage efficient use, reuse and repair</w:t>
      </w:r>
    </w:p>
    <w:p w14:paraId="100FEC5C" w14:textId="77777777" w:rsidR="00241BF4" w:rsidRDefault="00241BF4" w:rsidP="00241BF4">
      <w:pPr>
        <w:pStyle w:val="RECnumberlist"/>
        <w:numPr>
          <w:ilvl w:val="1"/>
          <w:numId w:val="9"/>
        </w:numPr>
        <w:ind w:left="709"/>
      </w:pPr>
      <w:r>
        <w:t>Design products so waste is minimised, they are made to last and we can more easily recover materials.</w:t>
      </w:r>
    </w:p>
    <w:p w14:paraId="4DEB469C" w14:textId="77777777" w:rsidR="00241BF4" w:rsidRDefault="00241BF4" w:rsidP="00241BF4">
      <w:pPr>
        <w:pStyle w:val="RECnumberlist"/>
        <w:ind w:left="426"/>
      </w:pPr>
      <w:r>
        <w:t>Improve resource recovery:</w:t>
      </w:r>
    </w:p>
    <w:p w14:paraId="5600A98F" w14:textId="77777777" w:rsidR="00241BF4" w:rsidRDefault="00241BF4" w:rsidP="00241BF4">
      <w:pPr>
        <w:pStyle w:val="RECnumberlist"/>
        <w:numPr>
          <w:ilvl w:val="1"/>
          <w:numId w:val="9"/>
        </w:numPr>
        <w:ind w:left="709"/>
      </w:pPr>
      <w:r>
        <w:t>Improve material collection systems and processes for recycling</w:t>
      </w:r>
    </w:p>
    <w:p w14:paraId="7275B973" w14:textId="77777777" w:rsidR="00241BF4" w:rsidRDefault="00241BF4" w:rsidP="00241BF4">
      <w:pPr>
        <w:pStyle w:val="RECnumberlist"/>
        <w:numPr>
          <w:ilvl w:val="1"/>
          <w:numId w:val="9"/>
        </w:numPr>
        <w:ind w:left="709"/>
      </w:pPr>
      <w:r>
        <w:t>Improve the quality of recycled material we produce.</w:t>
      </w:r>
    </w:p>
    <w:p w14:paraId="29585D33" w14:textId="77777777" w:rsidR="00241BF4" w:rsidRDefault="00241BF4" w:rsidP="00241BF4">
      <w:pPr>
        <w:pStyle w:val="RECnumberlist"/>
        <w:ind w:left="426"/>
      </w:pPr>
      <w:r>
        <w:t xml:space="preserve">Increase use of recycled material and build demand and markets for recycled products. </w:t>
      </w:r>
    </w:p>
    <w:p w14:paraId="3DFC4113" w14:textId="77777777" w:rsidR="00241BF4" w:rsidRDefault="00241BF4" w:rsidP="00241BF4">
      <w:pPr>
        <w:pStyle w:val="RECnumberlist"/>
        <w:ind w:left="426"/>
      </w:pPr>
      <w:r>
        <w:t>Better manage material flows to benefit human health, the environment and the economy.</w:t>
      </w:r>
    </w:p>
    <w:p w14:paraId="11593DB0" w14:textId="77777777" w:rsidR="00241BF4" w:rsidRDefault="00241BF4" w:rsidP="00241BF4">
      <w:pPr>
        <w:pStyle w:val="RECnumberlist"/>
        <w:ind w:left="426"/>
      </w:pPr>
      <w:r>
        <w:t>Improve information to support innovation, guide investment and enable informed consumer decisions.</w:t>
      </w:r>
    </w:p>
    <w:p w14:paraId="27A03CDD" w14:textId="77777777" w:rsidR="00241BF4" w:rsidRPr="008C0517" w:rsidRDefault="00241BF4" w:rsidP="00241BF4">
      <w:pPr>
        <w:pStyle w:val="Heading2"/>
      </w:pPr>
      <w:bookmarkStart w:id="8" w:name="_Toc34996642"/>
      <w:bookmarkStart w:id="9" w:name="_Toc40923318"/>
      <w:bookmarkStart w:id="10" w:name="_Toc46851535"/>
      <w:r>
        <w:t xml:space="preserve">COAG </w:t>
      </w:r>
      <w:r w:rsidRPr="005C37CB">
        <w:rPr>
          <w:i/>
          <w:iCs/>
        </w:rPr>
        <w:t>National Waste Policy Action Plan</w:t>
      </w:r>
      <w:bookmarkEnd w:id="8"/>
      <w:bookmarkEnd w:id="9"/>
      <w:bookmarkEnd w:id="10"/>
    </w:p>
    <w:p w14:paraId="494BBF67" w14:textId="77777777" w:rsidR="00241BF4" w:rsidRDefault="00241BF4" w:rsidP="00241BF4">
      <w:pPr>
        <w:pStyle w:val="RECnormaltext"/>
      </w:pPr>
      <w:r>
        <w:rPr>
          <w:lang w:eastAsia="en-AU"/>
        </w:rPr>
        <w:t>On the 9</w:t>
      </w:r>
      <w:r w:rsidRPr="00A66EA9">
        <w:rPr>
          <w:vertAlign w:val="superscript"/>
          <w:lang w:eastAsia="en-AU"/>
        </w:rPr>
        <w:t>th</w:t>
      </w:r>
      <w:r>
        <w:rPr>
          <w:lang w:eastAsia="en-AU"/>
        </w:rPr>
        <w:t xml:space="preserve"> November 2019 </w:t>
      </w:r>
      <w:r>
        <w:t xml:space="preserve">Environment ministers agreed to a new </w:t>
      </w:r>
      <w:r w:rsidRPr="0024607A">
        <w:rPr>
          <w:i/>
          <w:iCs/>
        </w:rPr>
        <w:t>National Waste Policy Action Plan</w:t>
      </w:r>
      <w:r>
        <w:t xml:space="preserve"> that will drive the implementation of Australia’s </w:t>
      </w:r>
      <w:r w:rsidRPr="00D27634">
        <w:rPr>
          <w:i/>
          <w:iCs/>
        </w:rPr>
        <w:t>National Waste Policy 2018</w:t>
      </w:r>
      <w:r>
        <w:t>.</w:t>
      </w:r>
    </w:p>
    <w:p w14:paraId="79FAB971" w14:textId="5DCE4A9C" w:rsidR="00241BF4" w:rsidRDefault="00241BF4" w:rsidP="00241BF4">
      <w:pPr>
        <w:pStyle w:val="RECnormaltext"/>
      </w:pPr>
      <w:r>
        <w:t>It includes the following key waste management targets that are relevant for organics</w:t>
      </w:r>
      <w:r w:rsidR="000F1818">
        <w:t>:</w:t>
      </w:r>
    </w:p>
    <w:p w14:paraId="22A91AE4" w14:textId="2CF0992A" w:rsidR="00241BF4" w:rsidRPr="00AF5053" w:rsidRDefault="00241BF4" w:rsidP="00241BF4">
      <w:pPr>
        <w:pStyle w:val="RECdotpoint"/>
      </w:pPr>
      <w:r>
        <w:t>Target 2</w:t>
      </w:r>
      <w:r w:rsidR="000F1818">
        <w:t xml:space="preserve"> – </w:t>
      </w:r>
      <w:r>
        <w:t>r</w:t>
      </w:r>
      <w:r w:rsidRPr="00AF5053">
        <w:t>educe total waste generated in Australia by 10% per person by 2030</w:t>
      </w:r>
    </w:p>
    <w:p w14:paraId="4C79539A" w14:textId="495EB7A8" w:rsidR="00241BF4" w:rsidRPr="00AF5053" w:rsidRDefault="00241BF4" w:rsidP="00241BF4">
      <w:pPr>
        <w:pStyle w:val="RECdotpoint"/>
      </w:pPr>
      <w:r>
        <w:t>Target 3</w:t>
      </w:r>
      <w:r w:rsidR="000F1818">
        <w:t xml:space="preserve"> – </w:t>
      </w:r>
      <w:r w:rsidRPr="00AF5053">
        <w:t>80% average resource recovery rate from all waste streams following the waste hierarchy by 2030</w:t>
      </w:r>
    </w:p>
    <w:p w14:paraId="65890C51" w14:textId="2F2FF834" w:rsidR="00241BF4" w:rsidRDefault="00241BF4" w:rsidP="00241BF4">
      <w:pPr>
        <w:pStyle w:val="RECdotpoint"/>
      </w:pPr>
      <w:r>
        <w:t>Target 4</w:t>
      </w:r>
      <w:r w:rsidR="000F1818">
        <w:t xml:space="preserve"> – </w:t>
      </w:r>
      <w:r>
        <w:t>significantly increase the use of recycled content by governments and industry</w:t>
      </w:r>
    </w:p>
    <w:p w14:paraId="55AA634E" w14:textId="70ADFD31" w:rsidR="00241BF4" w:rsidRDefault="00241BF4" w:rsidP="00241BF4">
      <w:pPr>
        <w:pStyle w:val="RECdotpoint"/>
      </w:pPr>
      <w:r>
        <w:t>Target 6</w:t>
      </w:r>
      <w:r w:rsidR="000F1818">
        <w:t xml:space="preserve"> –</w:t>
      </w:r>
      <w:r>
        <w:t xml:space="preserve"> </w:t>
      </w:r>
      <w:r w:rsidR="000F1818">
        <w:t>h</w:t>
      </w:r>
      <w:r>
        <w:t xml:space="preserve">alve the amount of organic waste sent to landfill for disposal by 2030. </w:t>
      </w:r>
    </w:p>
    <w:p w14:paraId="04B0860D" w14:textId="26316934" w:rsidR="00241BF4" w:rsidRDefault="00241BF4" w:rsidP="00241BF4">
      <w:pPr>
        <w:pStyle w:val="RECnormaltext"/>
      </w:pPr>
      <w:r w:rsidRPr="0024607A">
        <w:t xml:space="preserve">The Commonwealth agreed to </w:t>
      </w:r>
      <w:r>
        <w:t>a le</w:t>
      </w:r>
      <w:r w:rsidRPr="0024607A">
        <w:t>ading role</w:t>
      </w:r>
      <w:r>
        <w:t xml:space="preserve"> in implementing the action plan and </w:t>
      </w:r>
      <w:r w:rsidRPr="0024607A">
        <w:t xml:space="preserve">will report progress </w:t>
      </w:r>
      <w:r>
        <w:t>at t</w:t>
      </w:r>
      <w:r w:rsidRPr="0024607A">
        <w:t>he next</w:t>
      </w:r>
      <w:r>
        <w:t xml:space="preserve"> meeting of ministers</w:t>
      </w:r>
      <w:r w:rsidRPr="0024607A">
        <w:t>.</w:t>
      </w:r>
    </w:p>
    <w:p w14:paraId="40E8A18B" w14:textId="722EBA3B" w:rsidR="00CF6301" w:rsidRDefault="00D27634" w:rsidP="00D27634">
      <w:pPr>
        <w:pStyle w:val="RECnormaltext"/>
      </w:pPr>
      <w:r w:rsidRPr="0003482B">
        <w:t>An assessment by Blue Environment in 2018 projected national waste generation increasing</w:t>
      </w:r>
      <w:r>
        <w:t xml:space="preserve"> to </w:t>
      </w:r>
      <w:r w:rsidR="00CF6301">
        <w:br/>
      </w:r>
      <w:r w:rsidRPr="0003482B">
        <w:t>70.7 Mt</w:t>
      </w:r>
      <w:r>
        <w:t xml:space="preserve"> by 2030</w:t>
      </w:r>
      <w:r w:rsidRPr="0003482B">
        <w:t xml:space="preserve"> and the total recovery reaching 50.2 Mt (“business as usual” </w:t>
      </w:r>
      <w:r>
        <w:t>scenario</w:t>
      </w:r>
      <w:r w:rsidRPr="0003482B">
        <w:t xml:space="preserve">). This equates to an estimated recovery rate of 71% or 9 % (or 6.4 Mt tonnes) below the 80% overall recovery rate target in the </w:t>
      </w:r>
      <w:r w:rsidRPr="002574BE">
        <w:rPr>
          <w:i/>
          <w:iCs/>
        </w:rPr>
        <w:t>National Waste Policy Action Plan</w:t>
      </w:r>
      <w:r w:rsidRPr="0003482B">
        <w:t>.</w:t>
      </w:r>
      <w:r>
        <w:t xml:space="preserve"> This report estimates what share of this projected </w:t>
      </w:r>
      <w:r w:rsidR="00D72157">
        <w:br/>
      </w:r>
      <w:r>
        <w:t xml:space="preserve">6.4 Mt shortfall an increase in organics recovery could contribute. </w:t>
      </w:r>
    </w:p>
    <w:p w14:paraId="153C151A" w14:textId="2F6C7ED5" w:rsidR="00241BF4" w:rsidRDefault="00D27634" w:rsidP="00241BF4">
      <w:pPr>
        <w:pStyle w:val="RECnormaltext"/>
      </w:pPr>
      <w:r>
        <w:t>This report focuses on the potential of increases in organics recovery to meet the Targets 3 and 6 of the action plan</w:t>
      </w:r>
      <w:r w:rsidR="00CF6301">
        <w:t>. The opportunities for avoidance of organics waste (in particular food waste) to contribute to Target 2 are not included in the analysis</w:t>
      </w:r>
      <w:r w:rsidR="00D72157">
        <w:t xml:space="preserve"> (i.e. this analysis focuses on recovery not avoidance)</w:t>
      </w:r>
      <w:r w:rsidR="00CF6301">
        <w:t>.</w:t>
      </w:r>
    </w:p>
    <w:p w14:paraId="7A9BD437" w14:textId="0A485129" w:rsidR="000B0B81" w:rsidRDefault="000B0B81" w:rsidP="000B0B81">
      <w:pPr>
        <w:pStyle w:val="Heading1"/>
      </w:pPr>
      <w:bookmarkStart w:id="11" w:name="_Toc40923316"/>
      <w:bookmarkStart w:id="12" w:name="_Toc46851536"/>
      <w:r>
        <w:lastRenderedPageBreak/>
        <w:t xml:space="preserve">Current </w:t>
      </w:r>
      <w:r w:rsidR="00CE197A">
        <w:t>organics waste</w:t>
      </w:r>
      <w:r>
        <w:t xml:space="preserve"> generation and </w:t>
      </w:r>
      <w:r w:rsidR="00CE197A">
        <w:t xml:space="preserve">recovery </w:t>
      </w:r>
      <w:r>
        <w:t>rates</w:t>
      </w:r>
      <w:bookmarkEnd w:id="11"/>
      <w:bookmarkEnd w:id="12"/>
    </w:p>
    <w:p w14:paraId="4BB093A4" w14:textId="4E12C76D" w:rsidR="00006E9B" w:rsidRDefault="003661D5" w:rsidP="000B0B81">
      <w:pPr>
        <w:pStyle w:val="RECnormaltext"/>
      </w:pPr>
      <w:r>
        <w:t xml:space="preserve">The </w:t>
      </w:r>
      <w:r w:rsidR="00AD0802">
        <w:t xml:space="preserve">publishing of the </w:t>
      </w:r>
      <w:r>
        <w:t xml:space="preserve">NWR 2018, </w:t>
      </w:r>
      <w:r w:rsidR="00AA2877">
        <w:t xml:space="preserve">included a </w:t>
      </w:r>
      <w:hyperlink r:id="rId21" w:history="1">
        <w:r w:rsidR="00E97A46">
          <w:rPr>
            <w:rStyle w:val="Hyperlink"/>
          </w:rPr>
          <w:t>N</w:t>
        </w:r>
        <w:r w:rsidR="00AA2877" w:rsidRPr="00EC3DCB">
          <w:rPr>
            <w:rStyle w:val="Hyperlink"/>
          </w:rPr>
          <w:t xml:space="preserve">ational </w:t>
        </w:r>
        <w:r w:rsidR="00E97A46">
          <w:rPr>
            <w:rStyle w:val="Hyperlink"/>
          </w:rPr>
          <w:t>W</w:t>
        </w:r>
        <w:r w:rsidR="00AA2877" w:rsidRPr="00EC3DCB">
          <w:rPr>
            <w:rStyle w:val="Hyperlink"/>
          </w:rPr>
          <w:t xml:space="preserve">aste </w:t>
        </w:r>
        <w:r w:rsidR="00E97A46">
          <w:rPr>
            <w:rStyle w:val="Hyperlink"/>
          </w:rPr>
          <w:t>D</w:t>
        </w:r>
        <w:r w:rsidR="00AA2877" w:rsidRPr="00EC3DCB">
          <w:rPr>
            <w:rStyle w:val="Hyperlink"/>
          </w:rPr>
          <w:t>atabase</w:t>
        </w:r>
      </w:hyperlink>
      <w:r w:rsidR="00AA2877">
        <w:t xml:space="preserve"> </w:t>
      </w:r>
      <w:r w:rsidR="00006E9B">
        <w:t xml:space="preserve">and data from 2007 to 2017. The database is </w:t>
      </w:r>
      <w:r w:rsidR="00AA2877">
        <w:t xml:space="preserve">the source of the data </w:t>
      </w:r>
      <w:r w:rsidR="00006E9B">
        <w:t xml:space="preserve">analysed </w:t>
      </w:r>
      <w:r w:rsidR="00AA2877">
        <w:t>in this section</w:t>
      </w:r>
      <w:r w:rsidR="00A50ACB">
        <w:t xml:space="preserve">. </w:t>
      </w:r>
    </w:p>
    <w:p w14:paraId="0779C808" w14:textId="0FE0EFA7" w:rsidR="000B0B81" w:rsidRDefault="00733E13" w:rsidP="000B0B81">
      <w:pPr>
        <w:pStyle w:val="RECnormaltext"/>
      </w:pPr>
      <w:r>
        <w:t xml:space="preserve">Figure </w:t>
      </w:r>
      <w:r>
        <w:rPr>
          <w:noProof/>
        </w:rPr>
        <w:t>1</w:t>
      </w:r>
      <w:r w:rsidR="000B0B81">
        <w:t xml:space="preserve"> details Australia’s </w:t>
      </w:r>
      <w:r w:rsidR="00AD0802" w:rsidRPr="00DE5453">
        <w:t>organic waste</w:t>
      </w:r>
      <w:r w:rsidR="000B0B81" w:rsidRPr="008139A4">
        <w:rPr>
          <w:b/>
          <w:bCs/>
        </w:rPr>
        <w:t xml:space="preserve"> </w:t>
      </w:r>
      <w:r w:rsidR="000B0B81">
        <w:t xml:space="preserve">generation and </w:t>
      </w:r>
      <w:r w:rsidR="00AD0802">
        <w:t xml:space="preserve">management </w:t>
      </w:r>
      <w:r w:rsidR="000B0B81">
        <w:t>from 2007 to 201</w:t>
      </w:r>
      <w:r w:rsidR="00AD0802">
        <w:t>7</w:t>
      </w:r>
      <w:r w:rsidR="000B0B81">
        <w:t>.</w:t>
      </w:r>
      <w:r w:rsidR="000E5FBA">
        <w:t xml:space="preserve"> </w:t>
      </w:r>
      <w:r w:rsidR="000B0B81">
        <w:t>Over the 1</w:t>
      </w:r>
      <w:r w:rsidR="00AD0802">
        <w:t>0</w:t>
      </w:r>
      <w:r w:rsidR="000B0B81">
        <w:t xml:space="preserve">-year period Australia’s </w:t>
      </w:r>
      <w:r w:rsidR="002A3F67">
        <w:t>organic</w:t>
      </w:r>
      <w:r w:rsidR="00DE5453">
        <w:t xml:space="preserve"> waste</w:t>
      </w:r>
      <w:r w:rsidR="002A3F67">
        <w:t xml:space="preserve"> </w:t>
      </w:r>
      <w:r w:rsidR="000B0B81">
        <w:t xml:space="preserve">generation </w:t>
      </w:r>
      <w:r w:rsidR="00DE5453">
        <w:t xml:space="preserve">was </w:t>
      </w:r>
      <w:r w:rsidR="002A3F67">
        <w:t>around 14-15 Mt a</w:t>
      </w:r>
      <w:r w:rsidR="000B0B81">
        <w:t xml:space="preserve">nd the </w:t>
      </w:r>
      <w:r w:rsidR="002A3F67">
        <w:t xml:space="preserve">recovery </w:t>
      </w:r>
      <w:r w:rsidR="0067635A">
        <w:t xml:space="preserve">rate </w:t>
      </w:r>
      <w:r w:rsidR="00DE5453">
        <w:t>(</w:t>
      </w:r>
      <w:r w:rsidR="002A3F67">
        <w:t>via recycling or an energy from waste facility</w:t>
      </w:r>
      <w:r w:rsidR="00EC3DCB">
        <w:rPr>
          <w:rStyle w:val="FootnoteReference"/>
        </w:rPr>
        <w:footnoteReference w:id="2"/>
      </w:r>
      <w:r w:rsidR="00DE5453">
        <w:t>)</w:t>
      </w:r>
      <w:r w:rsidR="002A3F67">
        <w:t xml:space="preserve"> </w:t>
      </w:r>
      <w:r w:rsidR="000B0B81">
        <w:t>increas</w:t>
      </w:r>
      <w:r w:rsidR="00DE5453">
        <w:t>ed</w:t>
      </w:r>
      <w:r w:rsidR="002A3F67">
        <w:t xml:space="preserve">, from around </w:t>
      </w:r>
      <w:r w:rsidR="009E139E">
        <w:t>40</w:t>
      </w:r>
      <w:r w:rsidR="002A3F67">
        <w:t>%</w:t>
      </w:r>
      <w:r w:rsidR="0067635A">
        <w:t xml:space="preserve"> (5.6 Mt)</w:t>
      </w:r>
      <w:r w:rsidR="002A3F67">
        <w:t xml:space="preserve"> to </w:t>
      </w:r>
      <w:r w:rsidR="00DE5453">
        <w:t>6</w:t>
      </w:r>
      <w:r w:rsidR="009E139E">
        <w:t>2</w:t>
      </w:r>
      <w:r w:rsidR="00DE5453">
        <w:t>%</w:t>
      </w:r>
      <w:r w:rsidR="0067635A">
        <w:t xml:space="preserve"> (8.8 Mt)</w:t>
      </w:r>
      <w:r w:rsidR="00DE5453">
        <w:t xml:space="preserve"> per annum</w:t>
      </w:r>
      <w:r w:rsidR="001126EB">
        <w:t xml:space="preserve">. In 2017, </w:t>
      </w:r>
      <w:r w:rsidR="001513AB">
        <w:t>the recycling rate</w:t>
      </w:r>
      <w:r w:rsidR="00FA0A13">
        <w:t xml:space="preserve"> (e.g. composting)</w:t>
      </w:r>
      <w:r w:rsidR="001513AB">
        <w:t xml:space="preserve"> was 52%</w:t>
      </w:r>
      <w:r w:rsidR="001126EB">
        <w:t xml:space="preserve"> </w:t>
      </w:r>
      <w:r w:rsidR="001513AB">
        <w:t xml:space="preserve">and the rate of recovery via </w:t>
      </w:r>
      <w:r w:rsidR="001126EB">
        <w:t>energy from waste facilities</w:t>
      </w:r>
      <w:r w:rsidR="001513AB">
        <w:t xml:space="preserve"> was 10%.</w:t>
      </w:r>
      <w:r w:rsidR="00006E9B" w:rsidRPr="00006E9B">
        <w:t xml:space="preserve"> </w:t>
      </w:r>
      <w:r w:rsidR="00006E9B" w:rsidRPr="00006E9B">
        <w:rPr>
          <w:b/>
          <w:bCs/>
        </w:rPr>
        <w:t>Note:</w:t>
      </w:r>
      <w:r w:rsidR="00006E9B">
        <w:t xml:space="preserve"> since 2017 there has been some development in MSW organics recovery. In particular, the amount of combined food and garden organics (FOGO) waste collections from households in Australia have increased. The 2020 recovery rates for MSW organics are likely to be slightly higher than in 2017.</w:t>
      </w:r>
    </w:p>
    <w:p w14:paraId="65FBA276" w14:textId="424E0CF7" w:rsidR="000B0B81" w:rsidRDefault="000B0B81" w:rsidP="000B0B81">
      <w:pPr>
        <w:pStyle w:val="Caption"/>
      </w:pPr>
      <w:bookmarkStart w:id="13" w:name="_Ref38309275"/>
      <w:r>
        <w:t xml:space="preserve">Figure </w:t>
      </w:r>
      <w:r w:rsidR="001F08F2">
        <w:fldChar w:fldCharType="begin"/>
      </w:r>
      <w:r w:rsidR="001F08F2">
        <w:instrText xml:space="preserve"> SEQ Figure \* ARABIC </w:instrText>
      </w:r>
      <w:r w:rsidR="001F08F2">
        <w:fldChar w:fldCharType="separate"/>
      </w:r>
      <w:r w:rsidR="004925FA">
        <w:rPr>
          <w:noProof/>
        </w:rPr>
        <w:t>1</w:t>
      </w:r>
      <w:r w:rsidR="001F08F2">
        <w:rPr>
          <w:noProof/>
        </w:rPr>
        <w:fldChar w:fldCharType="end"/>
      </w:r>
      <w:bookmarkEnd w:id="13"/>
      <w:r>
        <w:t xml:space="preserve">  Australian </w:t>
      </w:r>
      <w:r w:rsidR="00AD0802">
        <w:t xml:space="preserve">organic waste generation and management </w:t>
      </w:r>
      <w:r>
        <w:t>(2007 to 201</w:t>
      </w:r>
      <w:r w:rsidR="00AD0802">
        <w:t>7</w:t>
      </w:r>
      <w:r>
        <w:t>)</w:t>
      </w:r>
    </w:p>
    <w:p w14:paraId="7BEBFB2D" w14:textId="48AC096C" w:rsidR="00353E65" w:rsidRDefault="00855676" w:rsidP="000B0B81">
      <w:pPr>
        <w:pStyle w:val="RECnormaltext"/>
        <w:keepNext/>
      </w:pPr>
      <w:r>
        <w:rPr>
          <w:noProof/>
        </w:rPr>
        <w:drawing>
          <wp:inline distT="0" distB="0" distL="0" distR="0" wp14:anchorId="0AF25EF0" wp14:editId="57E569ED">
            <wp:extent cx="5279891" cy="2497911"/>
            <wp:effectExtent l="0" t="0" r="0" b="0"/>
            <wp:docPr id="1" name="Chart 1">
              <a:extLst xmlns:a="http://schemas.openxmlformats.org/drawingml/2006/main">
                <a:ext uri="{FF2B5EF4-FFF2-40B4-BE49-F238E27FC236}">
                  <a16:creationId xmlns:a16="http://schemas.microsoft.com/office/drawing/2014/main" id="{897D0E97-1C91-4ADD-BBB5-E67D3560A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2C9680" w14:textId="3942987E" w:rsidR="0047470F" w:rsidRDefault="001057D0" w:rsidP="0047470F">
      <w:pPr>
        <w:pStyle w:val="RECnormaltext"/>
      </w:pPr>
      <w:r>
        <w:t xml:space="preserve">Figure </w:t>
      </w:r>
      <w:r>
        <w:rPr>
          <w:noProof/>
        </w:rPr>
        <w:t>2</w:t>
      </w:r>
      <w:r>
        <w:t xml:space="preserve"> </w:t>
      </w:r>
      <w:r w:rsidR="0047470F">
        <w:t>details Australia’s</w:t>
      </w:r>
      <w:r>
        <w:t xml:space="preserve"> organics waste generation by generating stream (MSW, C&amp;I and C&amp;D)</w:t>
      </w:r>
      <w:r w:rsidR="0047470F" w:rsidRPr="008139A4">
        <w:rPr>
          <w:b/>
          <w:bCs/>
        </w:rPr>
        <w:t xml:space="preserve"> </w:t>
      </w:r>
      <w:r w:rsidR="00734FB1" w:rsidRPr="00734FB1">
        <w:t xml:space="preserve">from </w:t>
      </w:r>
      <w:r w:rsidR="0047470F">
        <w:t>2007 to 2017.</w:t>
      </w:r>
      <w:r w:rsidR="0030356D">
        <w:t xml:space="preserve"> In 2017, o</w:t>
      </w:r>
      <w:r w:rsidR="005D607C">
        <w:t xml:space="preserve">rganics waste generation </w:t>
      </w:r>
      <w:r w:rsidR="0030356D">
        <w:t>was</w:t>
      </w:r>
      <w:r w:rsidR="005D607C">
        <w:t xml:space="preserve"> mostly from the MSW (52%) and C&amp;I (42%) st</w:t>
      </w:r>
      <w:r w:rsidR="0051040F">
        <w:t>r</w:t>
      </w:r>
      <w:r w:rsidR="005D607C">
        <w:t>eams with timber waste</w:t>
      </w:r>
      <w:r w:rsidR="0030356D">
        <w:t xml:space="preserve"> (mostly)</w:t>
      </w:r>
      <w:r w:rsidR="005D607C">
        <w:t xml:space="preserve"> from the C&amp;D stream </w:t>
      </w:r>
      <w:r w:rsidR="0030356D">
        <w:t xml:space="preserve">making up </w:t>
      </w:r>
      <w:r w:rsidR="005D607C">
        <w:t>the remaining 6%.</w:t>
      </w:r>
    </w:p>
    <w:p w14:paraId="22968392" w14:textId="1630DB12" w:rsidR="0047470F" w:rsidRDefault="00DA5758" w:rsidP="00855676">
      <w:pPr>
        <w:pStyle w:val="Caption"/>
      </w:pPr>
      <w:bookmarkStart w:id="14" w:name="_Ref42871006"/>
      <w:r>
        <w:rPr>
          <w:noProof/>
        </w:rPr>
        <w:drawing>
          <wp:anchor distT="0" distB="0" distL="114300" distR="114300" simplePos="0" relativeHeight="251658240" behindDoc="0" locked="0" layoutInCell="1" allowOverlap="1" wp14:anchorId="70BEE9DE" wp14:editId="5F77DB8D">
            <wp:simplePos x="0" y="0"/>
            <wp:positionH relativeFrom="margin">
              <wp:align>left</wp:align>
            </wp:positionH>
            <wp:positionV relativeFrom="paragraph">
              <wp:posOffset>158750</wp:posOffset>
            </wp:positionV>
            <wp:extent cx="4975860" cy="2508885"/>
            <wp:effectExtent l="0" t="0" r="0" b="5715"/>
            <wp:wrapSquare wrapText="bothSides"/>
            <wp:docPr id="2" name="Chart 2">
              <a:extLst xmlns:a="http://schemas.openxmlformats.org/drawingml/2006/main">
                <a:ext uri="{FF2B5EF4-FFF2-40B4-BE49-F238E27FC236}">
                  <a16:creationId xmlns:a16="http://schemas.microsoft.com/office/drawing/2014/main" id="{B561FEAA-253C-44C2-AF43-8FCFDD1EB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47470F">
        <w:t xml:space="preserve">Figure </w:t>
      </w:r>
      <w:r w:rsidR="001F08F2">
        <w:fldChar w:fldCharType="begin"/>
      </w:r>
      <w:r w:rsidR="001F08F2">
        <w:instrText xml:space="preserve"> SEQ Figure \* ARABIC </w:instrText>
      </w:r>
      <w:r w:rsidR="001F08F2">
        <w:fldChar w:fldCharType="separate"/>
      </w:r>
      <w:r w:rsidR="004925FA">
        <w:rPr>
          <w:noProof/>
        </w:rPr>
        <w:t>2</w:t>
      </w:r>
      <w:r w:rsidR="001F08F2">
        <w:rPr>
          <w:noProof/>
        </w:rPr>
        <w:fldChar w:fldCharType="end"/>
      </w:r>
      <w:bookmarkEnd w:id="14"/>
      <w:r w:rsidR="0047470F">
        <w:t xml:space="preserve">  Australian </w:t>
      </w:r>
      <w:r w:rsidR="001057D0">
        <w:t xml:space="preserve">organics </w:t>
      </w:r>
      <w:r w:rsidR="0047470F">
        <w:t xml:space="preserve">waste generation </w:t>
      </w:r>
      <w:r w:rsidR="001057D0">
        <w:t xml:space="preserve">by stream </w:t>
      </w:r>
      <w:r w:rsidR="0047470F">
        <w:t>(2007 to 2017)</w:t>
      </w:r>
    </w:p>
    <w:p w14:paraId="2CE1E5B3" w14:textId="59ADFF1D" w:rsidR="0047470F" w:rsidRDefault="0047470F" w:rsidP="00855676">
      <w:pPr>
        <w:pStyle w:val="RECnormaltext"/>
      </w:pPr>
    </w:p>
    <w:p w14:paraId="11A89C3F" w14:textId="1703B767" w:rsidR="00353E65" w:rsidRDefault="00353E65" w:rsidP="00855676">
      <w:pPr>
        <w:pStyle w:val="RECnormaltext"/>
      </w:pPr>
    </w:p>
    <w:p w14:paraId="773D5AC4" w14:textId="77777777" w:rsidR="00353E65" w:rsidRDefault="00353E65" w:rsidP="00855676">
      <w:pPr>
        <w:pStyle w:val="RECnormaltext"/>
      </w:pPr>
    </w:p>
    <w:p w14:paraId="7F132986" w14:textId="77777777" w:rsidR="00855676" w:rsidRDefault="00855676" w:rsidP="00855676">
      <w:pPr>
        <w:pStyle w:val="RECnormaltext"/>
      </w:pPr>
    </w:p>
    <w:p w14:paraId="6113A981" w14:textId="77777777" w:rsidR="00855676" w:rsidRDefault="00855676" w:rsidP="00855676">
      <w:pPr>
        <w:pStyle w:val="RECnormaltext"/>
      </w:pPr>
    </w:p>
    <w:p w14:paraId="1017CF9C" w14:textId="77777777" w:rsidR="00855676" w:rsidRDefault="00855676" w:rsidP="00855676">
      <w:pPr>
        <w:pStyle w:val="RECnormaltext"/>
      </w:pPr>
    </w:p>
    <w:p w14:paraId="795CB1F7" w14:textId="77777777" w:rsidR="00855676" w:rsidRDefault="00855676" w:rsidP="00855676">
      <w:pPr>
        <w:pStyle w:val="RECnormaltext"/>
      </w:pPr>
    </w:p>
    <w:p w14:paraId="2FA0B9D1" w14:textId="77777777" w:rsidR="00855676" w:rsidRDefault="00855676" w:rsidP="00855676">
      <w:pPr>
        <w:pStyle w:val="RECnormaltext"/>
      </w:pPr>
    </w:p>
    <w:p w14:paraId="18B246AD" w14:textId="77777777" w:rsidR="00855676" w:rsidRDefault="00855676" w:rsidP="00855676">
      <w:pPr>
        <w:pStyle w:val="RECnormaltext"/>
      </w:pPr>
    </w:p>
    <w:p w14:paraId="736AEB13" w14:textId="77777777" w:rsidR="00855676" w:rsidRDefault="00855676" w:rsidP="00855676">
      <w:pPr>
        <w:pStyle w:val="RECnormaltext"/>
      </w:pPr>
    </w:p>
    <w:p w14:paraId="6A13DB48" w14:textId="576FB82C" w:rsidR="00F4189F" w:rsidRDefault="002A2C29" w:rsidP="00855676">
      <w:pPr>
        <w:pStyle w:val="RECnormaltext"/>
      </w:pPr>
      <w:r>
        <w:rPr>
          <w:noProof/>
        </w:rPr>
        <w:lastRenderedPageBreak/>
        <w:drawing>
          <wp:anchor distT="0" distB="0" distL="114300" distR="114300" simplePos="0" relativeHeight="251650048" behindDoc="0" locked="0" layoutInCell="1" allowOverlap="1" wp14:anchorId="0A85FED5" wp14:editId="26746F93">
            <wp:simplePos x="0" y="0"/>
            <wp:positionH relativeFrom="margin">
              <wp:align>left</wp:align>
            </wp:positionH>
            <wp:positionV relativeFrom="paragraph">
              <wp:posOffset>999490</wp:posOffset>
            </wp:positionV>
            <wp:extent cx="5367020" cy="2623820"/>
            <wp:effectExtent l="0" t="0" r="5080" b="5080"/>
            <wp:wrapSquare wrapText="bothSides"/>
            <wp:docPr id="3" name="Chart 3">
              <a:extLst xmlns:a="http://schemas.openxmlformats.org/drawingml/2006/main">
                <a:ext uri="{FF2B5EF4-FFF2-40B4-BE49-F238E27FC236}">
                  <a16:creationId xmlns:a16="http://schemas.microsoft.com/office/drawing/2014/main" id="{563AC5E9-5051-4CC8-9A93-8C2334D14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095626">
        <w:t>Figure 3</w:t>
      </w:r>
      <w:r w:rsidR="00CD3C11">
        <w:t xml:space="preserve"> </w:t>
      </w:r>
      <w:r w:rsidR="00F4189F">
        <w:t xml:space="preserve">details Australia’s organics waste generation </w:t>
      </w:r>
      <w:r w:rsidR="00734FB1">
        <w:t xml:space="preserve">and management </w:t>
      </w:r>
      <w:r w:rsidR="00F4189F">
        <w:t>by generating stream (MSW, C&amp;I and C&amp;D)</w:t>
      </w:r>
      <w:r w:rsidR="00F4189F" w:rsidRPr="008139A4">
        <w:rPr>
          <w:b/>
          <w:bCs/>
        </w:rPr>
        <w:t xml:space="preserve"> </w:t>
      </w:r>
      <w:r w:rsidR="00734FB1">
        <w:t xml:space="preserve">from </w:t>
      </w:r>
      <w:r w:rsidR="00F4189F">
        <w:t xml:space="preserve">2007 to 2017. In 2017, </w:t>
      </w:r>
      <w:r w:rsidR="00734FB1">
        <w:t>the recovery rates were 37</w:t>
      </w:r>
      <w:r w:rsidR="00F4189F">
        <w:t>%</w:t>
      </w:r>
      <w:r w:rsidR="00734FB1">
        <w:t xml:space="preserve"> </w:t>
      </w:r>
      <w:r w:rsidR="0021579E">
        <w:t xml:space="preserve">for </w:t>
      </w:r>
      <w:r w:rsidR="00734FB1">
        <w:t xml:space="preserve">MSW, 62% </w:t>
      </w:r>
      <w:r w:rsidR="0021579E">
        <w:t xml:space="preserve">for </w:t>
      </w:r>
      <w:r w:rsidR="00734FB1">
        <w:t xml:space="preserve">C&amp;I, and </w:t>
      </w:r>
      <w:r w:rsidR="00F4189F">
        <w:t>42%</w:t>
      </w:r>
      <w:r w:rsidR="0021579E">
        <w:t xml:space="preserve"> for</w:t>
      </w:r>
      <w:r w:rsidR="00734FB1">
        <w:t xml:space="preserve"> C&amp;D</w:t>
      </w:r>
      <w:r w:rsidR="0021579E">
        <w:t>. This</w:t>
      </w:r>
      <w:r w:rsidR="00734FB1">
        <w:t xml:space="preserve"> </w:t>
      </w:r>
      <w:r w:rsidR="00390C6F">
        <w:t xml:space="preserve">highlights </w:t>
      </w:r>
      <w:r w:rsidR="00A17675">
        <w:t xml:space="preserve">that </w:t>
      </w:r>
      <w:r w:rsidR="00390C6F">
        <w:t>the greatest opportunities for increasing recovery are</w:t>
      </w:r>
      <w:r w:rsidR="00A17675">
        <w:t xml:space="preserve"> likely to be </w:t>
      </w:r>
      <w:r w:rsidR="00390C6F">
        <w:t>in the MSW s</w:t>
      </w:r>
      <w:r w:rsidR="00F4189F">
        <w:t>t</w:t>
      </w:r>
      <w:r w:rsidR="00E97A46">
        <w:t>r</w:t>
      </w:r>
      <w:r w:rsidR="00F4189F">
        <w:t>eam</w:t>
      </w:r>
      <w:r w:rsidR="00A17675">
        <w:t xml:space="preserve"> </w:t>
      </w:r>
      <w:r w:rsidR="00006E9B">
        <w:t xml:space="preserve">as it has </w:t>
      </w:r>
      <w:r w:rsidR="00A17675">
        <w:t xml:space="preserve">the </w:t>
      </w:r>
      <w:r w:rsidR="0021579E">
        <w:t>highest tonnage</w:t>
      </w:r>
      <w:r w:rsidR="00A17675">
        <w:t xml:space="preserve"> </w:t>
      </w:r>
      <w:r w:rsidR="00006E9B">
        <w:t xml:space="preserve">and </w:t>
      </w:r>
      <w:r w:rsidR="00A17675">
        <w:t>the lowest recovery rate</w:t>
      </w:r>
      <w:r w:rsidR="00390C6F">
        <w:t>.</w:t>
      </w:r>
      <w:r w:rsidR="00F4189F">
        <w:t xml:space="preserve"> </w:t>
      </w:r>
    </w:p>
    <w:p w14:paraId="16D03A6A" w14:textId="28897480" w:rsidR="00F4189F" w:rsidRDefault="00083985" w:rsidP="00F4189F">
      <w:pPr>
        <w:pStyle w:val="Caption"/>
        <w:keepNext/>
      </w:pPr>
      <w:r>
        <w:rPr>
          <w:noProof/>
        </w:rPr>
        <mc:AlternateContent>
          <mc:Choice Requires="wps">
            <w:drawing>
              <wp:anchor distT="0" distB="0" distL="114300" distR="114300" simplePos="0" relativeHeight="251653120" behindDoc="0" locked="0" layoutInCell="1" allowOverlap="1" wp14:anchorId="0D262469" wp14:editId="2E2712C7">
                <wp:simplePos x="0" y="0"/>
                <wp:positionH relativeFrom="column">
                  <wp:posOffset>-8255</wp:posOffset>
                </wp:positionH>
                <wp:positionV relativeFrom="paragraph">
                  <wp:posOffset>163195</wp:posOffset>
                </wp:positionV>
                <wp:extent cx="396240" cy="344805"/>
                <wp:effectExtent l="0" t="0" r="3810" b="0"/>
                <wp:wrapNone/>
                <wp:docPr id="491" name="Text Box 491"/>
                <wp:cNvGraphicFramePr/>
                <a:graphic xmlns:a="http://schemas.openxmlformats.org/drawingml/2006/main">
                  <a:graphicData uri="http://schemas.microsoft.com/office/word/2010/wordprocessingShape">
                    <wps:wsp>
                      <wps:cNvSpPr txBox="1"/>
                      <wps:spPr>
                        <a:xfrm>
                          <a:off x="0" y="0"/>
                          <a:ext cx="396240" cy="344805"/>
                        </a:xfrm>
                        <a:prstGeom prst="rect">
                          <a:avLst/>
                        </a:prstGeom>
                        <a:solidFill>
                          <a:schemeClr val="lt1"/>
                        </a:solidFill>
                        <a:ln w="6350">
                          <a:noFill/>
                        </a:ln>
                      </wps:spPr>
                      <wps:txbx>
                        <w:txbxContent>
                          <w:p w14:paraId="72AD7AD9" w14:textId="107391CA" w:rsidR="009238BE" w:rsidRPr="004A1450" w:rsidRDefault="009238BE">
                            <w:pPr>
                              <w:rPr>
                                <w:b/>
                                <w:bCs/>
                              </w:rPr>
                            </w:pPr>
                            <w:r w:rsidRPr="004A1450">
                              <w:rPr>
                                <w:b/>
                                <w:bCs/>
                              </w:rPr>
                              <w:t>(</w:t>
                            </w:r>
                            <w:r>
                              <w:rPr>
                                <w:b/>
                                <w:bCs/>
                              </w:rPr>
                              <w:t>a</w:t>
                            </w:r>
                            <w:r w:rsidRPr="004A1450">
                              <w:rPr>
                                <w:b/>
                                <w:bCs/>
                              </w:rPr>
                              <w:t>)</w:t>
                            </w:r>
                          </w:p>
                          <w:p w14:paraId="368EDD8B" w14:textId="77777777" w:rsidR="009238BE" w:rsidRPr="004A1450" w:rsidRDefault="009238B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2469" id="Text Box 491" o:spid="_x0000_s1030" type="#_x0000_t202" style="position:absolute;margin-left:-.65pt;margin-top:12.85pt;width:31.2pt;height:2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" fillcolor="white [3201]" stroked="f" strokeweight=".5pt">
                <v:textbox>
                  <w:txbxContent>
                    <w:p w14:paraId="72AD7AD9" w14:textId="107391CA" w:rsidR="009238BE" w:rsidRPr="004A1450" w:rsidRDefault="009238BE">
                      <w:pPr>
                        <w:rPr>
                          <w:b/>
                          <w:bCs/>
                        </w:rPr>
                      </w:pPr>
                      <w:r w:rsidRPr="004A1450">
                        <w:rPr>
                          <w:b/>
                          <w:bCs/>
                        </w:rPr>
                        <w:t>(</w:t>
                      </w:r>
                      <w:r>
                        <w:rPr>
                          <w:b/>
                          <w:bCs/>
                        </w:rPr>
                        <w:t>a</w:t>
                      </w:r>
                      <w:r w:rsidRPr="004A1450">
                        <w:rPr>
                          <w:b/>
                          <w:bCs/>
                        </w:rPr>
                        <w:t>)</w:t>
                      </w:r>
                    </w:p>
                    <w:p w14:paraId="368EDD8B" w14:textId="77777777" w:rsidR="009238BE" w:rsidRPr="004A1450" w:rsidRDefault="009238BE">
                      <w:pPr>
                        <w:rPr>
                          <w:b/>
                          <w:bCs/>
                        </w:rPr>
                      </w:pPr>
                    </w:p>
                  </w:txbxContent>
                </v:textbox>
              </v:shape>
            </w:pict>
          </mc:Fallback>
        </mc:AlternateContent>
      </w:r>
      <w:r w:rsidR="002A2C29">
        <w:rPr>
          <w:noProof/>
        </w:rPr>
        <w:drawing>
          <wp:anchor distT="0" distB="0" distL="114300" distR="114300" simplePos="0" relativeHeight="251649024" behindDoc="0" locked="0" layoutInCell="1" allowOverlap="1" wp14:anchorId="7D7B53E0" wp14:editId="63BB3F21">
            <wp:simplePos x="0" y="0"/>
            <wp:positionH relativeFrom="margin">
              <wp:align>left</wp:align>
            </wp:positionH>
            <wp:positionV relativeFrom="paragraph">
              <wp:posOffset>2729865</wp:posOffset>
            </wp:positionV>
            <wp:extent cx="5331460" cy="2623820"/>
            <wp:effectExtent l="0" t="0" r="2540" b="5080"/>
            <wp:wrapSquare wrapText="bothSides"/>
            <wp:docPr id="5" name="Chart 5">
              <a:extLst xmlns:a="http://schemas.openxmlformats.org/drawingml/2006/main">
                <a:ext uri="{FF2B5EF4-FFF2-40B4-BE49-F238E27FC236}">
                  <a16:creationId xmlns:a16="http://schemas.microsoft.com/office/drawing/2014/main" id="{CDA54A8B-4F00-492F-90C4-FC28D163C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F4189F">
        <w:t xml:space="preserve">Figure </w:t>
      </w:r>
      <w:r w:rsidR="001F08F2">
        <w:fldChar w:fldCharType="begin"/>
      </w:r>
      <w:r w:rsidR="001F08F2">
        <w:instrText xml:space="preserve"> SEQ Figure \* ARABIC </w:instrText>
      </w:r>
      <w:r w:rsidR="001F08F2">
        <w:fldChar w:fldCharType="separate"/>
      </w:r>
      <w:r w:rsidR="004925FA">
        <w:rPr>
          <w:noProof/>
        </w:rPr>
        <w:t>3</w:t>
      </w:r>
      <w:r w:rsidR="001F08F2">
        <w:rPr>
          <w:noProof/>
        </w:rPr>
        <w:fldChar w:fldCharType="end"/>
      </w:r>
      <w:r w:rsidR="00F4189F">
        <w:t xml:space="preserve">  Australian organics waste generation by stream (a) MSW, (b) C&amp;I and (c) C&amp;D (2007 to 2017)</w:t>
      </w:r>
    </w:p>
    <w:p w14:paraId="0A7CBCCF" w14:textId="5356566B" w:rsidR="00F4189F" w:rsidRDefault="004A1450" w:rsidP="000B0B81">
      <w:pPr>
        <w:pStyle w:val="RECnormaltext"/>
      </w:pPr>
      <w:r>
        <w:rPr>
          <w:noProof/>
        </w:rPr>
        <mc:AlternateContent>
          <mc:Choice Requires="wps">
            <w:drawing>
              <wp:anchor distT="0" distB="0" distL="114300" distR="114300" simplePos="0" relativeHeight="251657216" behindDoc="0" locked="0" layoutInCell="1" allowOverlap="1" wp14:anchorId="01F10E47" wp14:editId="20267090">
                <wp:simplePos x="0" y="0"/>
                <wp:positionH relativeFrom="column">
                  <wp:posOffset>-2875</wp:posOffset>
                </wp:positionH>
                <wp:positionV relativeFrom="paragraph">
                  <wp:posOffset>5149718</wp:posOffset>
                </wp:positionV>
                <wp:extent cx="396815" cy="345057"/>
                <wp:effectExtent l="0" t="0" r="3810" b="0"/>
                <wp:wrapNone/>
                <wp:docPr id="493" name="Text Box 493"/>
                <wp:cNvGraphicFramePr/>
                <a:graphic xmlns:a="http://schemas.openxmlformats.org/drawingml/2006/main">
                  <a:graphicData uri="http://schemas.microsoft.com/office/word/2010/wordprocessingShape">
                    <wps:wsp>
                      <wps:cNvSpPr txBox="1"/>
                      <wps:spPr>
                        <a:xfrm>
                          <a:off x="0" y="0"/>
                          <a:ext cx="396815" cy="345057"/>
                        </a:xfrm>
                        <a:prstGeom prst="rect">
                          <a:avLst/>
                        </a:prstGeom>
                        <a:solidFill>
                          <a:schemeClr val="lt1"/>
                        </a:solidFill>
                        <a:ln w="6350">
                          <a:noFill/>
                        </a:ln>
                      </wps:spPr>
                      <wps:txbx>
                        <w:txbxContent>
                          <w:p w14:paraId="37D9B66E" w14:textId="116AD50C" w:rsidR="009238BE" w:rsidRPr="004A1450" w:rsidRDefault="009238BE" w:rsidP="004A1450">
                            <w:pPr>
                              <w:rPr>
                                <w:b/>
                                <w:bCs/>
                              </w:rPr>
                            </w:pPr>
                            <w:r w:rsidRPr="004A1450">
                              <w:rPr>
                                <w:b/>
                                <w:bCs/>
                              </w:rPr>
                              <w:t>(</w:t>
                            </w:r>
                            <w:r>
                              <w:rPr>
                                <w:b/>
                                <w:bCs/>
                              </w:rPr>
                              <w:t>c</w:t>
                            </w:r>
                            <w:r w:rsidRPr="004A1450">
                              <w:rPr>
                                <w:b/>
                                <w:bCs/>
                              </w:rPr>
                              <w:t>)</w:t>
                            </w:r>
                          </w:p>
                          <w:p w14:paraId="36386ACF" w14:textId="77777777" w:rsidR="009238BE" w:rsidRPr="004A1450" w:rsidRDefault="009238BE" w:rsidP="004A145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0E47" id="Text Box 493" o:spid="_x0000_s1031" type="#_x0000_t202" style="position:absolute;margin-left:-.25pt;margin-top:405.5pt;width:31.25pt;height:2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" fillcolor="white [3201]" stroked="f" strokeweight=".5pt">
                <v:textbox>
                  <w:txbxContent>
                    <w:p w14:paraId="37D9B66E" w14:textId="116AD50C" w:rsidR="009238BE" w:rsidRPr="004A1450" w:rsidRDefault="009238BE" w:rsidP="004A1450">
                      <w:pPr>
                        <w:rPr>
                          <w:b/>
                          <w:bCs/>
                        </w:rPr>
                      </w:pPr>
                      <w:r w:rsidRPr="004A1450">
                        <w:rPr>
                          <w:b/>
                          <w:bCs/>
                        </w:rPr>
                        <w:t>(</w:t>
                      </w:r>
                      <w:r>
                        <w:rPr>
                          <w:b/>
                          <w:bCs/>
                        </w:rPr>
                        <w:t>c</w:t>
                      </w:r>
                      <w:r w:rsidRPr="004A1450">
                        <w:rPr>
                          <w:b/>
                          <w:bCs/>
                        </w:rPr>
                        <w:t>)</w:t>
                      </w:r>
                    </w:p>
                    <w:p w14:paraId="36386ACF" w14:textId="77777777" w:rsidR="009238BE" w:rsidRPr="004A1450" w:rsidRDefault="009238BE" w:rsidP="004A1450">
                      <w:pPr>
                        <w:rPr>
                          <w:b/>
                          <w:bCs/>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AA46DBD" wp14:editId="13D46B5A">
                <wp:simplePos x="0" y="0"/>
                <wp:positionH relativeFrom="column">
                  <wp:posOffset>0</wp:posOffset>
                </wp:positionH>
                <wp:positionV relativeFrom="paragraph">
                  <wp:posOffset>2478405</wp:posOffset>
                </wp:positionV>
                <wp:extent cx="396815" cy="345057"/>
                <wp:effectExtent l="0" t="0" r="3810" b="0"/>
                <wp:wrapNone/>
                <wp:docPr id="492" name="Text Box 492"/>
                <wp:cNvGraphicFramePr/>
                <a:graphic xmlns:a="http://schemas.openxmlformats.org/drawingml/2006/main">
                  <a:graphicData uri="http://schemas.microsoft.com/office/word/2010/wordprocessingShape">
                    <wps:wsp>
                      <wps:cNvSpPr txBox="1"/>
                      <wps:spPr>
                        <a:xfrm>
                          <a:off x="0" y="0"/>
                          <a:ext cx="396815" cy="345057"/>
                        </a:xfrm>
                        <a:prstGeom prst="rect">
                          <a:avLst/>
                        </a:prstGeom>
                        <a:solidFill>
                          <a:schemeClr val="lt1"/>
                        </a:solidFill>
                        <a:ln w="6350">
                          <a:noFill/>
                        </a:ln>
                      </wps:spPr>
                      <wps:txbx>
                        <w:txbxContent>
                          <w:p w14:paraId="25AA6350" w14:textId="77133B60" w:rsidR="009238BE" w:rsidRPr="004A1450" w:rsidRDefault="009238BE" w:rsidP="004A1450">
                            <w:pPr>
                              <w:rPr>
                                <w:b/>
                                <w:bCs/>
                              </w:rPr>
                            </w:pPr>
                            <w:r w:rsidRPr="004A1450">
                              <w:rPr>
                                <w:b/>
                                <w:bCs/>
                              </w:rPr>
                              <w:t>(</w:t>
                            </w:r>
                            <w:r>
                              <w:rPr>
                                <w:b/>
                                <w:bCs/>
                              </w:rPr>
                              <w:t>b</w:t>
                            </w:r>
                            <w:r w:rsidRPr="004A1450">
                              <w:rPr>
                                <w:b/>
                                <w:bCs/>
                              </w:rPr>
                              <w:t>)</w:t>
                            </w:r>
                          </w:p>
                          <w:p w14:paraId="14B0C3CA" w14:textId="77777777" w:rsidR="009238BE" w:rsidRPr="004A1450" w:rsidRDefault="009238BE" w:rsidP="004A145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6DBD" id="Text Box 492" o:spid="_x0000_s1032" type="#_x0000_t202" style="position:absolute;margin-left:0;margin-top:195.15pt;width:31.25pt;height:2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" fillcolor="white [3201]" stroked="f" strokeweight=".5pt">
                <v:textbox>
                  <w:txbxContent>
                    <w:p w14:paraId="25AA6350" w14:textId="77133B60" w:rsidR="009238BE" w:rsidRPr="004A1450" w:rsidRDefault="009238BE" w:rsidP="004A1450">
                      <w:pPr>
                        <w:rPr>
                          <w:b/>
                          <w:bCs/>
                        </w:rPr>
                      </w:pPr>
                      <w:r w:rsidRPr="004A1450">
                        <w:rPr>
                          <w:b/>
                          <w:bCs/>
                        </w:rPr>
                        <w:t>(</w:t>
                      </w:r>
                      <w:r>
                        <w:rPr>
                          <w:b/>
                          <w:bCs/>
                        </w:rPr>
                        <w:t>b</w:t>
                      </w:r>
                      <w:r w:rsidRPr="004A1450">
                        <w:rPr>
                          <w:b/>
                          <w:bCs/>
                        </w:rPr>
                        <w:t>)</w:t>
                      </w:r>
                    </w:p>
                    <w:p w14:paraId="14B0C3CA" w14:textId="77777777" w:rsidR="009238BE" w:rsidRPr="004A1450" w:rsidRDefault="009238BE" w:rsidP="004A1450">
                      <w:pPr>
                        <w:rPr>
                          <w:b/>
                          <w:bCs/>
                        </w:rPr>
                      </w:pPr>
                    </w:p>
                  </w:txbxContent>
                </v:textbox>
              </v:shape>
            </w:pict>
          </mc:Fallback>
        </mc:AlternateContent>
      </w:r>
    </w:p>
    <w:p w14:paraId="78512A0B" w14:textId="06158AAA" w:rsidR="00F4189F" w:rsidRDefault="002A2C29" w:rsidP="000B0B81">
      <w:pPr>
        <w:pStyle w:val="RECnormaltext"/>
      </w:pPr>
      <w:r>
        <w:rPr>
          <w:noProof/>
        </w:rPr>
        <w:drawing>
          <wp:anchor distT="0" distB="0" distL="114300" distR="114300" simplePos="0" relativeHeight="251648000" behindDoc="0" locked="0" layoutInCell="1" allowOverlap="1" wp14:anchorId="30BB4427" wp14:editId="0A63862E">
            <wp:simplePos x="0" y="0"/>
            <wp:positionH relativeFrom="column">
              <wp:posOffset>22415</wp:posOffset>
            </wp:positionH>
            <wp:positionV relativeFrom="paragraph">
              <wp:posOffset>4881245</wp:posOffset>
            </wp:positionV>
            <wp:extent cx="5320145" cy="2648198"/>
            <wp:effectExtent l="0" t="0" r="0" b="0"/>
            <wp:wrapSquare wrapText="bothSides"/>
            <wp:docPr id="6" name="Chart 6">
              <a:extLst xmlns:a="http://schemas.openxmlformats.org/drawingml/2006/main">
                <a:ext uri="{FF2B5EF4-FFF2-40B4-BE49-F238E27FC236}">
                  <a16:creationId xmlns:a16="http://schemas.microsoft.com/office/drawing/2014/main" id="{7688673E-1969-47AE-88D3-E9ED86CE3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10606FD8" w14:textId="54DB8F4E" w:rsidR="001126EB" w:rsidRDefault="001126EB" w:rsidP="000B0B81">
      <w:pPr>
        <w:pStyle w:val="RECnormaltext"/>
      </w:pPr>
      <w:r>
        <w:lastRenderedPageBreak/>
        <w:t xml:space="preserve">The analysis that follows ‘drills down’ into organic </w:t>
      </w:r>
      <w:r w:rsidR="000035D3">
        <w:t xml:space="preserve">waste </w:t>
      </w:r>
      <w:r>
        <w:t>material types generation and management from 2007 to 2017.</w:t>
      </w:r>
    </w:p>
    <w:p w14:paraId="374A8C85" w14:textId="5DFCB079" w:rsidR="000B0B81" w:rsidRDefault="00733E13" w:rsidP="000B0B81">
      <w:pPr>
        <w:pStyle w:val="RECnormaltext"/>
      </w:pPr>
      <w:r>
        <w:t>Figure</w:t>
      </w:r>
      <w:r w:rsidR="00095626">
        <w:t xml:space="preserve"> 4</w:t>
      </w:r>
      <w:r w:rsidR="000B0B81">
        <w:t xml:space="preserve"> details Australia’s</w:t>
      </w:r>
      <w:r w:rsidR="000B0B81" w:rsidRPr="008139A4">
        <w:rPr>
          <w:b/>
          <w:bCs/>
        </w:rPr>
        <w:t xml:space="preserve"> </w:t>
      </w:r>
      <w:r w:rsidR="00DE5453">
        <w:rPr>
          <w:b/>
          <w:bCs/>
        </w:rPr>
        <w:t xml:space="preserve">food waste </w:t>
      </w:r>
      <w:r w:rsidR="000B0B81">
        <w:t xml:space="preserve">generation and </w:t>
      </w:r>
      <w:r w:rsidR="00DE5453">
        <w:t xml:space="preserve">management </w:t>
      </w:r>
      <w:r w:rsidR="000B0B81">
        <w:t>from 2007 to 201</w:t>
      </w:r>
      <w:r w:rsidR="00DE5453">
        <w:t>7</w:t>
      </w:r>
      <w:r w:rsidR="000B0B81">
        <w:t xml:space="preserve">. </w:t>
      </w:r>
    </w:p>
    <w:p w14:paraId="41FD89DB" w14:textId="569723DC" w:rsidR="000B0B81" w:rsidRDefault="000B0B81" w:rsidP="000B0B81">
      <w:pPr>
        <w:pStyle w:val="Caption"/>
        <w:keepNext/>
      </w:pPr>
      <w:bookmarkStart w:id="15" w:name="_Ref40778307"/>
      <w:r>
        <w:t xml:space="preserve">Figure </w:t>
      </w:r>
      <w:r w:rsidR="001F08F2">
        <w:fldChar w:fldCharType="begin"/>
      </w:r>
      <w:r w:rsidR="001F08F2">
        <w:instrText xml:space="preserve"> SEQ Figure \* ARABIC </w:instrText>
      </w:r>
      <w:r w:rsidR="001F08F2">
        <w:fldChar w:fldCharType="separate"/>
      </w:r>
      <w:r w:rsidR="004925FA">
        <w:rPr>
          <w:noProof/>
        </w:rPr>
        <w:t>4</w:t>
      </w:r>
      <w:r w:rsidR="001F08F2">
        <w:rPr>
          <w:noProof/>
        </w:rPr>
        <w:fldChar w:fldCharType="end"/>
      </w:r>
      <w:bookmarkEnd w:id="15"/>
      <w:r>
        <w:t xml:space="preserve">  Australian </w:t>
      </w:r>
      <w:r w:rsidR="00DE5453">
        <w:t xml:space="preserve">food waste </w:t>
      </w:r>
      <w:r>
        <w:t xml:space="preserve">generation and </w:t>
      </w:r>
      <w:r w:rsidR="00DE5453">
        <w:t>management</w:t>
      </w:r>
      <w:r>
        <w:t xml:space="preserve"> (2007 to 201</w:t>
      </w:r>
      <w:r w:rsidR="00DE5453">
        <w:t>7</w:t>
      </w:r>
      <w:r>
        <w:t>)</w:t>
      </w:r>
    </w:p>
    <w:p w14:paraId="369E7D10" w14:textId="27D99FF3" w:rsidR="000B0B81" w:rsidRDefault="000B0B81" w:rsidP="000B0B81">
      <w:pPr>
        <w:pStyle w:val="RECnormaltext"/>
      </w:pPr>
      <w:r w:rsidRPr="00010F65">
        <w:t xml:space="preserve"> </w:t>
      </w:r>
      <w:r w:rsidR="00083985">
        <w:rPr>
          <w:noProof/>
        </w:rPr>
        <w:drawing>
          <wp:inline distT="0" distB="0" distL="0" distR="0" wp14:anchorId="62D9F3EF" wp14:editId="50D527BA">
            <wp:extent cx="5610225" cy="2771775"/>
            <wp:effectExtent l="0" t="0" r="0" b="0"/>
            <wp:docPr id="7" name="Chart 7">
              <a:extLst xmlns:a="http://schemas.openxmlformats.org/drawingml/2006/main">
                <a:ext uri="{FF2B5EF4-FFF2-40B4-BE49-F238E27FC236}">
                  <a16:creationId xmlns:a16="http://schemas.microsoft.com/office/drawing/2014/main" id="{CD9B2C13-0499-485E-9724-58C666068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6D98E0" w14:textId="0FBD7B87" w:rsidR="001513AB" w:rsidRDefault="00DE5453" w:rsidP="001513AB">
      <w:pPr>
        <w:pStyle w:val="RECnormaltext"/>
      </w:pPr>
      <w:r>
        <w:t xml:space="preserve">Over the 10-year period Australia’s food waste generation </w:t>
      </w:r>
      <w:r w:rsidR="00312490">
        <w:t>fell from</w:t>
      </w:r>
      <w:r>
        <w:t xml:space="preserve"> around 4.8 Mt to around 4.3 Mt and the rate of recovery increased, from </w:t>
      </w:r>
      <w:r w:rsidR="000035D3">
        <w:t xml:space="preserve">just </w:t>
      </w:r>
      <w:r w:rsidR="00312490">
        <w:t>1</w:t>
      </w:r>
      <w:r>
        <w:t xml:space="preserve">% to </w:t>
      </w:r>
      <w:r w:rsidR="00312490">
        <w:t>13</w:t>
      </w:r>
      <w:r>
        <w:t xml:space="preserve">% per </w:t>
      </w:r>
      <w:r w:rsidR="00312490">
        <w:t>annum</w:t>
      </w:r>
      <w:r>
        <w:t xml:space="preserve">. </w:t>
      </w:r>
      <w:r w:rsidR="001513AB">
        <w:t xml:space="preserve">In 2017, the recycling rate </w:t>
      </w:r>
      <w:r w:rsidR="00FA0A13">
        <w:t xml:space="preserve">(e.g. composting) </w:t>
      </w:r>
      <w:r w:rsidR="001513AB">
        <w:t>was 11% and the rate of recovery via energy from waste facilities was 2%.</w:t>
      </w:r>
    </w:p>
    <w:p w14:paraId="25677784" w14:textId="77777777" w:rsidR="00241BF4" w:rsidRDefault="00312490" w:rsidP="000B0B81">
      <w:pPr>
        <w:pStyle w:val="RECnormaltext"/>
      </w:pPr>
      <w:r>
        <w:t>Whilst there appears to</w:t>
      </w:r>
      <w:r w:rsidR="00924DE4">
        <w:t xml:space="preserve"> have been </w:t>
      </w:r>
      <w:r>
        <w:t>some improvements in</w:t>
      </w:r>
      <w:r w:rsidR="00FA0A13">
        <w:t xml:space="preserve"> reducing </w:t>
      </w:r>
      <w:r>
        <w:t>food waste generation since 2007</w:t>
      </w:r>
      <w:r w:rsidR="00924DE4">
        <w:t xml:space="preserve"> (</w:t>
      </w:r>
      <w:r>
        <w:t>noting population increased over this period</w:t>
      </w:r>
      <w:r w:rsidR="00924DE4">
        <w:t>)</w:t>
      </w:r>
      <w:r>
        <w:t xml:space="preserve"> there was no significant improvement in food waste recovery rates between 2015 and 2017. </w:t>
      </w:r>
    </w:p>
    <w:p w14:paraId="2B80B710" w14:textId="77777777" w:rsidR="00241BF4" w:rsidRDefault="00312490" w:rsidP="000B0B81">
      <w:pPr>
        <w:pStyle w:val="RECnormaltext"/>
      </w:pPr>
      <w:r>
        <w:t>With a recovery rate of just 13%</w:t>
      </w:r>
      <w:r w:rsidR="00FC303B">
        <w:t>, in 2017,</w:t>
      </w:r>
      <w:r>
        <w:t xml:space="preserve"> </w:t>
      </w:r>
      <w:r w:rsidRPr="008C06E4">
        <w:rPr>
          <w:u w:val="single"/>
        </w:rPr>
        <w:t>and</w:t>
      </w:r>
      <w:r>
        <w:t xml:space="preserve"> generation of over 4 Mt there</w:t>
      </w:r>
      <w:r w:rsidR="00924DE4">
        <w:t xml:space="preserve"> remains a significant </w:t>
      </w:r>
      <w:r>
        <w:t>opportunity to improve organics recovery by increasing the rate of food waste recovery.</w:t>
      </w:r>
      <w:r w:rsidR="00241BF4">
        <w:t xml:space="preserve"> </w:t>
      </w:r>
    </w:p>
    <w:p w14:paraId="6FDCAB2E" w14:textId="11F61B89" w:rsidR="009040D3" w:rsidRDefault="00A21FFB" w:rsidP="00A21FFB">
      <w:pPr>
        <w:pStyle w:val="RECnormaltext"/>
        <w:shd w:val="clear" w:color="auto" w:fill="BFBFBF" w:themeFill="background1" w:themeFillShade="BF"/>
      </w:pPr>
      <w:r w:rsidRPr="00817E63">
        <w:rPr>
          <w:b/>
          <w:bCs/>
        </w:rPr>
        <w:t>Potential opportunity:</w:t>
      </w:r>
      <w:r>
        <w:t xml:space="preserve"> </w:t>
      </w:r>
    </w:p>
    <w:p w14:paraId="19F84538" w14:textId="7CBC488E" w:rsidR="00D87F7A" w:rsidRDefault="00D87F7A" w:rsidP="00A21FFB">
      <w:pPr>
        <w:pStyle w:val="RECnormaltext"/>
        <w:shd w:val="clear" w:color="auto" w:fill="BFBFBF" w:themeFill="background1" w:themeFillShade="BF"/>
      </w:pPr>
      <w:r>
        <w:t xml:space="preserve">Based on 2017 tonnages, the </w:t>
      </w:r>
      <w:r w:rsidRPr="0024607A">
        <w:rPr>
          <w:i/>
          <w:iCs/>
        </w:rPr>
        <w:t>National Waste Policy Action Plan</w:t>
      </w:r>
      <w:r>
        <w:t xml:space="preserve"> </w:t>
      </w:r>
      <w:r w:rsidRPr="000035D3">
        <w:t xml:space="preserve">Target 6 </w:t>
      </w:r>
      <w:r>
        <w:t>(to h</w:t>
      </w:r>
      <w:r w:rsidRPr="000035D3">
        <w:t xml:space="preserve">alve the amount of </w:t>
      </w:r>
      <w:r w:rsidRPr="00D87F7A">
        <w:rPr>
          <w:u w:val="single"/>
        </w:rPr>
        <w:t xml:space="preserve">all </w:t>
      </w:r>
      <w:r w:rsidRPr="00D87F7A">
        <w:t>organic waste</w:t>
      </w:r>
      <w:r w:rsidRPr="000035D3">
        <w:t xml:space="preserve"> sent to landfill</w:t>
      </w:r>
      <w:r>
        <w:t>) aims to recover 2.7 Mt of additional organics from landfill</w:t>
      </w:r>
      <w:r w:rsidR="00B10389">
        <w:t xml:space="preserve"> in the year 2030</w:t>
      </w:r>
      <w:r>
        <w:t xml:space="preserve">. </w:t>
      </w:r>
    </w:p>
    <w:p w14:paraId="47B8E132" w14:textId="382FE0D8" w:rsidR="00D87F7A" w:rsidRDefault="00D87F7A" w:rsidP="00A21FFB">
      <w:pPr>
        <w:pStyle w:val="RECnormaltext"/>
        <w:shd w:val="clear" w:color="auto" w:fill="BFBFBF" w:themeFill="background1" w:themeFillShade="BF"/>
      </w:pPr>
      <w:r>
        <w:t xml:space="preserve">Figure </w:t>
      </w:r>
      <w:r>
        <w:rPr>
          <w:noProof/>
        </w:rPr>
        <w:t>1</w:t>
      </w:r>
      <w:r>
        <w:t xml:space="preserve"> and Figure </w:t>
      </w:r>
      <w:r w:rsidR="00095626">
        <w:t>4</w:t>
      </w:r>
      <w:r>
        <w:t xml:space="preserve"> show that, in 2017, food organics made-up</w:t>
      </w:r>
      <w:r w:rsidRPr="009040D3">
        <w:rPr>
          <w:b/>
          <w:bCs/>
        </w:rPr>
        <w:t xml:space="preserve"> 70% </w:t>
      </w:r>
      <w:r>
        <w:t>of the organic waste sent to landfill (3.8 Mt of 5.4 Mt).</w:t>
      </w:r>
    </w:p>
    <w:p w14:paraId="15E72A53" w14:textId="10DB0441" w:rsidR="00241BF4" w:rsidRDefault="00241BF4" w:rsidP="00A21FFB">
      <w:pPr>
        <w:pStyle w:val="RECnormaltext"/>
        <w:shd w:val="clear" w:color="auto" w:fill="BFBFBF" w:themeFill="background1" w:themeFillShade="BF"/>
      </w:pPr>
      <w:r>
        <w:t xml:space="preserve">If </w:t>
      </w:r>
      <w:r w:rsidRPr="00D87F7A">
        <w:rPr>
          <w:u w:val="single"/>
        </w:rPr>
        <w:t xml:space="preserve">food waste </w:t>
      </w:r>
      <w:r w:rsidR="000035D3" w:rsidRPr="00D87F7A">
        <w:rPr>
          <w:u w:val="single"/>
        </w:rPr>
        <w:t xml:space="preserve">organics </w:t>
      </w:r>
      <w:r w:rsidR="009040D3" w:rsidRPr="00D87F7A">
        <w:rPr>
          <w:u w:val="single"/>
        </w:rPr>
        <w:t>(only)</w:t>
      </w:r>
      <w:r w:rsidR="009040D3">
        <w:t xml:space="preserve"> </w:t>
      </w:r>
      <w:r w:rsidR="000035D3">
        <w:t>were</w:t>
      </w:r>
      <w:r>
        <w:t xml:space="preserve"> removed from landfill, the </w:t>
      </w:r>
      <w:r w:rsidRPr="0024607A">
        <w:rPr>
          <w:i/>
          <w:iCs/>
        </w:rPr>
        <w:t>National Waste Policy Action Plan</w:t>
      </w:r>
      <w:r>
        <w:t xml:space="preserve"> </w:t>
      </w:r>
      <w:r w:rsidRPr="000035D3">
        <w:t>Target 6</w:t>
      </w:r>
      <w:r w:rsidR="000035D3" w:rsidRPr="000035D3">
        <w:t xml:space="preserve"> </w:t>
      </w:r>
      <w:r w:rsidR="000035D3">
        <w:t>(to h</w:t>
      </w:r>
      <w:r w:rsidR="000035D3" w:rsidRPr="000035D3">
        <w:t xml:space="preserve">alve the amount of </w:t>
      </w:r>
      <w:r w:rsidR="000035D3">
        <w:t xml:space="preserve">all </w:t>
      </w:r>
      <w:r w:rsidR="000035D3" w:rsidRPr="000035D3">
        <w:t>organic waste sent to landfill by 2030</w:t>
      </w:r>
      <w:r w:rsidR="000035D3">
        <w:t>)</w:t>
      </w:r>
      <w:r>
        <w:t xml:space="preserve"> would be met and exceeded.</w:t>
      </w:r>
    </w:p>
    <w:p w14:paraId="066DA902" w14:textId="05265706" w:rsidR="007401D5" w:rsidRDefault="007401D5" w:rsidP="007401D5">
      <w:pPr>
        <w:pStyle w:val="RECnormaltext"/>
      </w:pPr>
    </w:p>
    <w:p w14:paraId="2AE53089" w14:textId="3583C9D1" w:rsidR="007401D5" w:rsidRDefault="007401D5" w:rsidP="007401D5">
      <w:pPr>
        <w:pStyle w:val="RECnormaltext"/>
      </w:pPr>
    </w:p>
    <w:p w14:paraId="1BE22CCC" w14:textId="4EDD47BB" w:rsidR="007401D5" w:rsidRDefault="007401D5" w:rsidP="007401D5">
      <w:pPr>
        <w:pStyle w:val="RECnormaltext"/>
      </w:pPr>
    </w:p>
    <w:p w14:paraId="1A159E90" w14:textId="4A70B4AE" w:rsidR="007401D5" w:rsidRDefault="007401D5" w:rsidP="007401D5">
      <w:pPr>
        <w:pStyle w:val="RECnormaltext"/>
      </w:pPr>
    </w:p>
    <w:p w14:paraId="60D06428" w14:textId="359F306B" w:rsidR="007401D5" w:rsidRDefault="007401D5" w:rsidP="007401D5">
      <w:pPr>
        <w:pStyle w:val="RECnormaltext"/>
      </w:pPr>
    </w:p>
    <w:p w14:paraId="37114333" w14:textId="2C4BDC90" w:rsidR="007401D5" w:rsidRDefault="007401D5" w:rsidP="007401D5">
      <w:pPr>
        <w:pStyle w:val="RECnormaltext"/>
      </w:pPr>
    </w:p>
    <w:p w14:paraId="75593C67" w14:textId="7B6F2F2E" w:rsidR="007401D5" w:rsidRDefault="007401D5" w:rsidP="007401D5">
      <w:pPr>
        <w:pStyle w:val="RECnormaltext"/>
      </w:pPr>
    </w:p>
    <w:p w14:paraId="57CC027B" w14:textId="4337E9A0" w:rsidR="000B0B81" w:rsidRDefault="0071513D" w:rsidP="000B0B81">
      <w:pPr>
        <w:pStyle w:val="RECnormaltext"/>
      </w:pPr>
      <w:r>
        <w:lastRenderedPageBreak/>
        <w:t xml:space="preserve">Figure </w:t>
      </w:r>
      <w:r w:rsidR="00095626">
        <w:t>5</w:t>
      </w:r>
      <w:r w:rsidR="000B0B81">
        <w:t xml:space="preserve"> details</w:t>
      </w:r>
      <w:r w:rsidR="00B8745A">
        <w:t xml:space="preserve"> </w:t>
      </w:r>
      <w:r w:rsidR="008C06E4">
        <w:t xml:space="preserve">Australia’s </w:t>
      </w:r>
      <w:r w:rsidR="00B35C57" w:rsidRPr="0037758A">
        <w:rPr>
          <w:b/>
          <w:bCs/>
        </w:rPr>
        <w:t xml:space="preserve">C&amp;I </w:t>
      </w:r>
      <w:r w:rsidR="008C06E4" w:rsidRPr="0037758A">
        <w:rPr>
          <w:b/>
          <w:bCs/>
        </w:rPr>
        <w:t>food</w:t>
      </w:r>
      <w:r w:rsidR="008C06E4">
        <w:t xml:space="preserve"> waste generation and management</w:t>
      </w:r>
      <w:r w:rsidR="00B35C57">
        <w:t xml:space="preserve"> from 2007 to 2017</w:t>
      </w:r>
      <w:r w:rsidR="000B0B81">
        <w:t>.</w:t>
      </w:r>
    </w:p>
    <w:p w14:paraId="48881002" w14:textId="7B2BF3AF" w:rsidR="000B0B81" w:rsidRDefault="000B0B81" w:rsidP="000B0B81">
      <w:pPr>
        <w:pStyle w:val="Caption"/>
      </w:pPr>
      <w:bookmarkStart w:id="16" w:name="_Ref40778434"/>
      <w:r>
        <w:t xml:space="preserve">Figure </w:t>
      </w:r>
      <w:r w:rsidR="001F08F2">
        <w:fldChar w:fldCharType="begin"/>
      </w:r>
      <w:r w:rsidR="001F08F2">
        <w:instrText xml:space="preserve"> SEQ Figure \* ARABIC </w:instrText>
      </w:r>
      <w:r w:rsidR="001F08F2">
        <w:fldChar w:fldCharType="separate"/>
      </w:r>
      <w:r w:rsidR="004925FA">
        <w:rPr>
          <w:noProof/>
        </w:rPr>
        <w:t>5</w:t>
      </w:r>
      <w:r w:rsidR="001F08F2">
        <w:rPr>
          <w:noProof/>
        </w:rPr>
        <w:fldChar w:fldCharType="end"/>
      </w:r>
      <w:bookmarkEnd w:id="16"/>
      <w:r>
        <w:t xml:space="preserve"> </w:t>
      </w:r>
      <w:r w:rsidR="00737EC7">
        <w:t xml:space="preserve">Australian </w:t>
      </w:r>
      <w:r w:rsidR="00B8745A">
        <w:t xml:space="preserve">C&amp;I </w:t>
      </w:r>
      <w:r w:rsidR="00737EC7">
        <w:t>food waste generation and management (2007 to 2017)</w:t>
      </w:r>
    </w:p>
    <w:p w14:paraId="26DB0913" w14:textId="3A66AB14" w:rsidR="000B0B81" w:rsidRDefault="00083985" w:rsidP="00B35C57">
      <w:pPr>
        <w:pStyle w:val="RECnormaltext"/>
      </w:pPr>
      <w:r>
        <w:rPr>
          <w:noProof/>
        </w:rPr>
        <w:drawing>
          <wp:inline distT="0" distB="0" distL="0" distR="0" wp14:anchorId="0FBE0260" wp14:editId="0AC42722">
            <wp:extent cx="5610225" cy="2771775"/>
            <wp:effectExtent l="0" t="0" r="0" b="0"/>
            <wp:docPr id="8" name="Chart 8">
              <a:extLst xmlns:a="http://schemas.openxmlformats.org/drawingml/2006/main">
                <a:ext uri="{FF2B5EF4-FFF2-40B4-BE49-F238E27FC236}">
                  <a16:creationId xmlns:a16="http://schemas.microsoft.com/office/drawing/2014/main" id="{A057CD8F-6255-4B77-A1A4-3F9E9AA49D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DE1959" w14:textId="77777777" w:rsidR="00B10389" w:rsidRDefault="00B10389" w:rsidP="001513AB">
      <w:pPr>
        <w:pStyle w:val="RECnormaltext"/>
      </w:pPr>
    </w:p>
    <w:p w14:paraId="5FBC37E9" w14:textId="69B3751A" w:rsidR="001513AB" w:rsidRDefault="009238BE" w:rsidP="001513AB">
      <w:pPr>
        <w:pStyle w:val="RECnormaltext"/>
      </w:pPr>
      <w:r>
        <w:t xml:space="preserve">C&amp;I food waste is generated by the hospitality and food manufacturing industries. </w:t>
      </w:r>
      <w:r w:rsidR="00B35C57">
        <w:t xml:space="preserve">Over the 10-year period Australia’s C&amp;I food waste generation fell from around </w:t>
      </w:r>
      <w:r w:rsidR="0037758A">
        <w:t>1.6</w:t>
      </w:r>
      <w:r w:rsidR="00B35C57">
        <w:t xml:space="preserve"> Mt to around </w:t>
      </w:r>
      <w:r w:rsidR="0037758A">
        <w:t>1.1</w:t>
      </w:r>
      <w:r w:rsidR="00B35C57">
        <w:t xml:space="preserve"> Mt and the rate of recovery increased, from </w:t>
      </w:r>
      <w:r w:rsidR="00E558B2">
        <w:t xml:space="preserve">just </w:t>
      </w:r>
      <w:r w:rsidR="00B35C57">
        <w:t xml:space="preserve">1% to </w:t>
      </w:r>
      <w:r w:rsidR="0037758A">
        <w:t>19</w:t>
      </w:r>
      <w:r w:rsidR="00B35C57">
        <w:t xml:space="preserve">% per annum. </w:t>
      </w:r>
      <w:r w:rsidR="001513AB">
        <w:t xml:space="preserve">In 2017, the recycling rate </w:t>
      </w:r>
      <w:r w:rsidR="00FA0A13">
        <w:t xml:space="preserve">(e.g. composting) </w:t>
      </w:r>
      <w:r w:rsidR="001513AB">
        <w:t>was 15% and the rate of recovery via energy from waste facilities was 4%.</w:t>
      </w:r>
    </w:p>
    <w:p w14:paraId="3E5B678B" w14:textId="2D90F3EC" w:rsidR="00D44110" w:rsidRDefault="00B35C57" w:rsidP="00B35C57">
      <w:pPr>
        <w:pStyle w:val="RECnormaltext"/>
      </w:pPr>
      <w:r>
        <w:t xml:space="preserve">Whilst there appears to have been some improvements in </w:t>
      </w:r>
      <w:r w:rsidR="00FA0A13">
        <w:t xml:space="preserve">reducing </w:t>
      </w:r>
      <w:r w:rsidR="0037758A">
        <w:t xml:space="preserve">C&amp;I </w:t>
      </w:r>
      <w:r>
        <w:t xml:space="preserve">food waste generation since 2007 (noting population increased over this period) there was no significant improvement in food waste recovery rates between 2015 and 2017. </w:t>
      </w:r>
    </w:p>
    <w:p w14:paraId="14BE7ABC" w14:textId="302DD868" w:rsidR="00BE458C" w:rsidRDefault="00D44110" w:rsidP="00BE458C">
      <w:pPr>
        <w:pStyle w:val="RECnormaltext"/>
      </w:pPr>
      <w:r>
        <w:t>In 2017, the tonnages of C&amp;I food waste recovery (225,000 tonnes) represent</w:t>
      </w:r>
      <w:r w:rsidR="002962A3">
        <w:t>ed</w:t>
      </w:r>
      <w:r>
        <w:t xml:space="preserve"> 42% of the total food waste recovery</w:t>
      </w:r>
      <w:r w:rsidR="009040D3">
        <w:t xml:space="preserve"> </w:t>
      </w:r>
      <w:r w:rsidR="00BE458C">
        <w:t xml:space="preserve">of </w:t>
      </w:r>
      <w:r>
        <w:t>around 540,000 tonnes</w:t>
      </w:r>
      <w:r w:rsidR="009040D3">
        <w:t xml:space="preserve"> (see Figure </w:t>
      </w:r>
      <w:r w:rsidR="009040D3">
        <w:rPr>
          <w:noProof/>
        </w:rPr>
        <w:t>2</w:t>
      </w:r>
      <w:r w:rsidR="009040D3">
        <w:t xml:space="preserve">). </w:t>
      </w:r>
      <w:r w:rsidR="00BE458C">
        <w:t xml:space="preserve"> </w:t>
      </w:r>
      <w:r w:rsidR="00FA0A13">
        <w:t xml:space="preserve">However, </w:t>
      </w:r>
      <w:r w:rsidR="00BE458C">
        <w:t xml:space="preserve">C&amp;I food waste only made </w:t>
      </w:r>
      <w:r w:rsidR="00FA0A13">
        <w:t>up</w:t>
      </w:r>
      <w:r w:rsidR="00BE458C">
        <w:t xml:space="preserve"> 27% of the total food waste generation in 2017, illustrating that C&amp;I food waste recovery is significantly better than food waste recovery from the MSW stream.</w:t>
      </w:r>
      <w:r w:rsidR="00BE458C" w:rsidRPr="00BE458C">
        <w:t xml:space="preserve"> </w:t>
      </w:r>
      <w:r w:rsidR="00BE458C">
        <w:t xml:space="preserve">However, with a recovery rate of 19%, in 2017, </w:t>
      </w:r>
      <w:r w:rsidR="00BE458C" w:rsidRPr="00BE458C">
        <w:t xml:space="preserve">and </w:t>
      </w:r>
      <w:r w:rsidR="00BE458C">
        <w:t>generation of over 1 Mt there remains a significant opportunity to improve organics recovery by increasing the rate of C&amp;I food waste recovery.</w:t>
      </w:r>
      <w:r w:rsidR="009238BE">
        <w:t xml:space="preserve"> The expansion of segregated food organics (FO) only collection services in the hospitality and food manufacturing industries presents a significant opportunity to increase food waste recovery.</w:t>
      </w:r>
    </w:p>
    <w:p w14:paraId="71BE445B" w14:textId="2B5158C3" w:rsidR="007401D5" w:rsidRDefault="007401D5">
      <w:pPr>
        <w:rPr>
          <w:rFonts w:asciiTheme="minorHAnsi" w:hAnsiTheme="minorHAnsi" w:cs="Arial"/>
          <w:color w:val="auto"/>
          <w:szCs w:val="20"/>
        </w:rPr>
      </w:pPr>
      <w:r>
        <w:br w:type="page"/>
      </w:r>
    </w:p>
    <w:p w14:paraId="5EBACB25" w14:textId="5547FC76" w:rsidR="0071513D" w:rsidRDefault="00A407B6" w:rsidP="0071513D">
      <w:pPr>
        <w:pStyle w:val="RECnormaltext"/>
      </w:pPr>
      <w:r>
        <w:lastRenderedPageBreak/>
        <w:t xml:space="preserve">Figure </w:t>
      </w:r>
      <w:r w:rsidR="00095626">
        <w:t>6</w:t>
      </w:r>
      <w:r>
        <w:t xml:space="preserve"> </w:t>
      </w:r>
      <w:r w:rsidR="0071513D">
        <w:t xml:space="preserve">details Australia’s </w:t>
      </w:r>
      <w:r w:rsidR="00AC0735">
        <w:rPr>
          <w:b/>
          <w:bCs/>
        </w:rPr>
        <w:t xml:space="preserve">garden organics </w:t>
      </w:r>
      <w:r w:rsidR="00AC0735" w:rsidRPr="00AC0735">
        <w:t>waste</w:t>
      </w:r>
      <w:r w:rsidR="00AC0735">
        <w:rPr>
          <w:b/>
          <w:bCs/>
        </w:rPr>
        <w:t xml:space="preserve"> </w:t>
      </w:r>
      <w:r w:rsidR="0071513D">
        <w:t>generation and management from 2007 to 2017.</w:t>
      </w:r>
    </w:p>
    <w:p w14:paraId="73550A24" w14:textId="0ED75BCA" w:rsidR="00B8745A" w:rsidRDefault="00B8745A" w:rsidP="00B8745A">
      <w:pPr>
        <w:pStyle w:val="Caption"/>
      </w:pPr>
      <w:bookmarkStart w:id="17" w:name="_Ref42678323"/>
      <w:r>
        <w:t xml:space="preserve">Figure </w:t>
      </w:r>
      <w:r w:rsidR="001F08F2">
        <w:fldChar w:fldCharType="begin"/>
      </w:r>
      <w:r w:rsidR="001F08F2">
        <w:instrText xml:space="preserve"> SEQ Figure \* ARABIC </w:instrText>
      </w:r>
      <w:r w:rsidR="001F08F2">
        <w:fldChar w:fldCharType="separate"/>
      </w:r>
      <w:r w:rsidR="004925FA">
        <w:rPr>
          <w:noProof/>
        </w:rPr>
        <w:t>6</w:t>
      </w:r>
      <w:r w:rsidR="001F08F2">
        <w:rPr>
          <w:noProof/>
        </w:rPr>
        <w:fldChar w:fldCharType="end"/>
      </w:r>
      <w:bookmarkEnd w:id="17"/>
      <w:r>
        <w:t xml:space="preserve"> Australian garden organics waste generation and management (2007 to 2017)</w:t>
      </w:r>
    </w:p>
    <w:p w14:paraId="08E796B5" w14:textId="57CE1438" w:rsidR="00B8745A" w:rsidRDefault="00083985" w:rsidP="000B0B81">
      <w:pPr>
        <w:pStyle w:val="RECnormaltext"/>
      </w:pPr>
      <w:r>
        <w:rPr>
          <w:noProof/>
        </w:rPr>
        <w:drawing>
          <wp:inline distT="0" distB="0" distL="0" distR="0" wp14:anchorId="17EA89E7" wp14:editId="1FEBE43F">
            <wp:extent cx="5610225" cy="2771775"/>
            <wp:effectExtent l="0" t="0" r="0" b="0"/>
            <wp:docPr id="9" name="Chart 9">
              <a:extLst xmlns:a="http://schemas.openxmlformats.org/drawingml/2006/main">
                <a:ext uri="{FF2B5EF4-FFF2-40B4-BE49-F238E27FC236}">
                  <a16:creationId xmlns:a16="http://schemas.microsoft.com/office/drawing/2014/main" id="{31E0D395-5D52-42F8-93A3-BB340AF53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7B321F" w14:textId="2B064EE9" w:rsidR="00093556" w:rsidRDefault="00093556" w:rsidP="00093556">
      <w:pPr>
        <w:pStyle w:val="RECnormaltext"/>
      </w:pPr>
      <w:r>
        <w:t>Over the 10-year period Australia’s garden organics waste generation increased significantly from around 2.5 Mt to around 4.4 Mt and the rate of recovery increased from around 34% to 69% per annum. In 2017, almost all garden organics recovery was via recycling (e.g. composting) with recovery via energy from waste facilities falling to just 40</w:t>
      </w:r>
      <w:r w:rsidR="00612350">
        <w:t>,000 tonnes (&lt;1%) from a high of 140,000 tonnes in 2011</w:t>
      </w:r>
      <w:r>
        <w:t>.</w:t>
      </w:r>
    </w:p>
    <w:p w14:paraId="553E86A2" w14:textId="7824C552" w:rsidR="00093556" w:rsidRDefault="00612350" w:rsidP="00093556">
      <w:pPr>
        <w:pStyle w:val="RECnormaltext"/>
      </w:pPr>
      <w:r>
        <w:t xml:space="preserve">The significant increase of around 75% in garden organics generation over the 10-year period could be due to increased reporting </w:t>
      </w:r>
      <w:r w:rsidR="001A0F0C">
        <w:t>and/</w:t>
      </w:r>
      <w:r>
        <w:t>or due to increase</w:t>
      </w:r>
      <w:r w:rsidR="00163479">
        <w:t>s</w:t>
      </w:r>
      <w:r>
        <w:t xml:space="preserve"> in the provision of garden waste bins, resulting in increased collections</w:t>
      </w:r>
      <w:r w:rsidR="006018B8">
        <w:t xml:space="preserve"> and reported generation</w:t>
      </w:r>
      <w:r>
        <w:t xml:space="preserve">. </w:t>
      </w:r>
    </w:p>
    <w:p w14:paraId="5ABFD79B" w14:textId="48D42A24" w:rsidR="00093556" w:rsidRDefault="00093556" w:rsidP="00093556">
      <w:pPr>
        <w:pStyle w:val="RECnormaltext"/>
      </w:pPr>
      <w:r>
        <w:t xml:space="preserve">In 2017, the tonnages of </w:t>
      </w:r>
      <w:r w:rsidR="00CF3011">
        <w:t xml:space="preserve">garden organics </w:t>
      </w:r>
      <w:r>
        <w:t xml:space="preserve">waste recovery </w:t>
      </w:r>
      <w:r w:rsidR="000E631B">
        <w:t xml:space="preserve">of </w:t>
      </w:r>
      <w:r w:rsidR="00CF3011">
        <w:t>3 Mt</w:t>
      </w:r>
      <w:r>
        <w:t xml:space="preserve"> </w:t>
      </w:r>
      <w:r w:rsidR="000E631B">
        <w:t>represent</w:t>
      </w:r>
      <w:r w:rsidR="00CF3011">
        <w:t xml:space="preserve"> 34</w:t>
      </w:r>
      <w:r>
        <w:t xml:space="preserve">% of the total </w:t>
      </w:r>
      <w:r w:rsidR="00CF3011">
        <w:t>organics</w:t>
      </w:r>
      <w:r>
        <w:t xml:space="preserve"> recovery</w:t>
      </w:r>
      <w:r w:rsidR="00CF3011">
        <w:t xml:space="preserve"> of </w:t>
      </w:r>
      <w:r>
        <w:t xml:space="preserve">around </w:t>
      </w:r>
      <w:r w:rsidR="00CF3011">
        <w:t>8.8 Mt</w:t>
      </w:r>
      <w:r>
        <w:t xml:space="preserve">. </w:t>
      </w:r>
      <w:r w:rsidR="00CF3011">
        <w:t xml:space="preserve">With a recovery rate of almost 70% in 2017, </w:t>
      </w:r>
      <w:r w:rsidR="000E631B">
        <w:t xml:space="preserve">the </w:t>
      </w:r>
      <w:r w:rsidR="00CF3011">
        <w:t xml:space="preserve">garden organics recovery rate is far higher than </w:t>
      </w:r>
      <w:r w:rsidR="00163479">
        <w:t xml:space="preserve">food </w:t>
      </w:r>
      <w:r w:rsidR="00CF3011">
        <w:t>organics, which reflects the large number of households with a dedicated g</w:t>
      </w:r>
      <w:r w:rsidR="009040D3">
        <w:t xml:space="preserve">arden </w:t>
      </w:r>
      <w:r w:rsidR="00CF3011">
        <w:t xml:space="preserve">waste bin and a </w:t>
      </w:r>
      <w:r w:rsidR="000E631B">
        <w:t>well-developed</w:t>
      </w:r>
      <w:r w:rsidR="00CF3011">
        <w:t xml:space="preserve"> composting industry around Australia. There remains some opportunity </w:t>
      </w:r>
      <w:r>
        <w:t xml:space="preserve">to improve </w:t>
      </w:r>
      <w:r w:rsidR="00CF3011">
        <w:t xml:space="preserve">garden </w:t>
      </w:r>
      <w:r>
        <w:t>organics recovery</w:t>
      </w:r>
      <w:r w:rsidR="00350DC8">
        <w:t>,</w:t>
      </w:r>
      <w:r>
        <w:t xml:space="preserve"> </w:t>
      </w:r>
      <w:r w:rsidR="00CF3011">
        <w:t xml:space="preserve">however, increases </w:t>
      </w:r>
      <w:r w:rsidR="000E631B">
        <w:t>will likely</w:t>
      </w:r>
      <w:r w:rsidR="00CF3011">
        <w:t xml:space="preserve"> be modest compared to food waste.</w:t>
      </w:r>
    </w:p>
    <w:p w14:paraId="02E63E34" w14:textId="1C0AC919" w:rsidR="000E631B" w:rsidRDefault="000E631B" w:rsidP="00093556">
      <w:pPr>
        <w:pStyle w:val="RECnormaltext"/>
      </w:pPr>
    </w:p>
    <w:p w14:paraId="64D17C34" w14:textId="5396C99B" w:rsidR="000E631B" w:rsidRDefault="000E631B" w:rsidP="00093556">
      <w:pPr>
        <w:pStyle w:val="RECnormaltext"/>
      </w:pPr>
    </w:p>
    <w:p w14:paraId="5AC11CAB" w14:textId="3D75B266" w:rsidR="000E631B" w:rsidRDefault="000E631B" w:rsidP="00093556">
      <w:pPr>
        <w:pStyle w:val="RECnormaltext"/>
      </w:pPr>
    </w:p>
    <w:p w14:paraId="6749CA92" w14:textId="14ED22E0" w:rsidR="000E631B" w:rsidRDefault="000E631B" w:rsidP="00093556">
      <w:pPr>
        <w:pStyle w:val="RECnormaltext"/>
      </w:pPr>
    </w:p>
    <w:p w14:paraId="685FAB10" w14:textId="39326DCA" w:rsidR="000E631B" w:rsidRDefault="000E631B" w:rsidP="00093556">
      <w:pPr>
        <w:pStyle w:val="RECnormaltext"/>
      </w:pPr>
    </w:p>
    <w:p w14:paraId="5EAAA437" w14:textId="536AB6E8" w:rsidR="000E631B" w:rsidRDefault="000E631B" w:rsidP="00093556">
      <w:pPr>
        <w:pStyle w:val="RECnormaltext"/>
      </w:pPr>
    </w:p>
    <w:p w14:paraId="3FF7D5D2" w14:textId="21D2B694" w:rsidR="000E631B" w:rsidRDefault="000E631B" w:rsidP="00093556">
      <w:pPr>
        <w:pStyle w:val="RECnormaltext"/>
      </w:pPr>
    </w:p>
    <w:p w14:paraId="2BB304B6" w14:textId="69870281" w:rsidR="000E631B" w:rsidRDefault="000E631B" w:rsidP="00093556">
      <w:pPr>
        <w:pStyle w:val="RECnormaltext"/>
      </w:pPr>
    </w:p>
    <w:p w14:paraId="7B7804B9" w14:textId="77777777" w:rsidR="00BA7070" w:rsidRDefault="00BA7070" w:rsidP="00093556">
      <w:pPr>
        <w:pStyle w:val="RECnormaltext"/>
      </w:pPr>
    </w:p>
    <w:p w14:paraId="6325EC92" w14:textId="40F1869D" w:rsidR="000E631B" w:rsidRDefault="000E631B" w:rsidP="00093556">
      <w:pPr>
        <w:pStyle w:val="RECnormaltext"/>
      </w:pPr>
    </w:p>
    <w:p w14:paraId="0CC60C41" w14:textId="24D0DD93" w:rsidR="000E631B" w:rsidRDefault="000E631B" w:rsidP="00093556">
      <w:pPr>
        <w:pStyle w:val="RECnormaltext"/>
      </w:pPr>
    </w:p>
    <w:p w14:paraId="68DA7F06" w14:textId="1B849AFD" w:rsidR="00783349" w:rsidRDefault="00783349" w:rsidP="00783349">
      <w:pPr>
        <w:pStyle w:val="RECnormaltext"/>
      </w:pPr>
      <w:r>
        <w:lastRenderedPageBreak/>
        <w:t xml:space="preserve">Figure </w:t>
      </w:r>
      <w:r w:rsidR="00095626">
        <w:t>7</w:t>
      </w:r>
      <w:r>
        <w:t xml:space="preserve"> details Australia’s </w:t>
      </w:r>
      <w:r>
        <w:rPr>
          <w:b/>
          <w:bCs/>
        </w:rPr>
        <w:t>timber</w:t>
      </w:r>
      <w:r>
        <w:t xml:space="preserve"> waste generation and management from 2007 to 2017.</w:t>
      </w:r>
    </w:p>
    <w:p w14:paraId="5DB76F06" w14:textId="538ED887" w:rsidR="00B8745A" w:rsidRDefault="00B8745A" w:rsidP="00B8745A">
      <w:pPr>
        <w:pStyle w:val="Caption"/>
      </w:pPr>
      <w:bookmarkStart w:id="18" w:name="_Ref42678366"/>
      <w:r>
        <w:t xml:space="preserve">Figure </w:t>
      </w:r>
      <w:r w:rsidR="001F08F2">
        <w:fldChar w:fldCharType="begin"/>
      </w:r>
      <w:r w:rsidR="001F08F2">
        <w:instrText xml:space="preserve"> SEQ Figure \* ARABIC </w:instrText>
      </w:r>
      <w:r w:rsidR="001F08F2">
        <w:fldChar w:fldCharType="separate"/>
      </w:r>
      <w:r w:rsidR="004925FA">
        <w:rPr>
          <w:noProof/>
        </w:rPr>
        <w:t>7</w:t>
      </w:r>
      <w:r w:rsidR="001F08F2">
        <w:rPr>
          <w:noProof/>
        </w:rPr>
        <w:fldChar w:fldCharType="end"/>
      </w:r>
      <w:bookmarkEnd w:id="18"/>
      <w:r>
        <w:t xml:space="preserve"> Australian timber waste generation and management (2007 to 2017)</w:t>
      </w:r>
    </w:p>
    <w:p w14:paraId="41726D20" w14:textId="4EFC272E" w:rsidR="00B8745A" w:rsidRDefault="00083985" w:rsidP="000B0B81">
      <w:pPr>
        <w:pStyle w:val="RECnormaltext"/>
      </w:pPr>
      <w:r>
        <w:rPr>
          <w:noProof/>
        </w:rPr>
        <w:drawing>
          <wp:inline distT="0" distB="0" distL="0" distR="0" wp14:anchorId="3A77E0B6" wp14:editId="34FD1646">
            <wp:extent cx="5610225" cy="2771775"/>
            <wp:effectExtent l="0" t="0" r="0" b="0"/>
            <wp:docPr id="10" name="Chart 10">
              <a:extLst xmlns:a="http://schemas.openxmlformats.org/drawingml/2006/main">
                <a:ext uri="{FF2B5EF4-FFF2-40B4-BE49-F238E27FC236}">
                  <a16:creationId xmlns:a16="http://schemas.microsoft.com/office/drawing/2014/main" id="{34E4F665-8264-4ACB-8988-4857E9DF7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D05230" w14:textId="343CCFDE" w:rsidR="007908EA" w:rsidRDefault="007908EA" w:rsidP="00337CC2">
      <w:pPr>
        <w:pStyle w:val="RECnormaltext"/>
      </w:pPr>
      <w:r>
        <w:t>Timber wastes are generated mostly by the construction and demolition industr</w:t>
      </w:r>
      <w:r w:rsidR="00B45DB6">
        <w:t xml:space="preserve">ies </w:t>
      </w:r>
      <w:r>
        <w:t>and refer</w:t>
      </w:r>
      <w:r w:rsidR="00F203A0">
        <w:t>s</w:t>
      </w:r>
      <w:r>
        <w:t xml:space="preserve"> to </w:t>
      </w:r>
      <w:r w:rsidR="00B45DB6">
        <w:t>wastes such as fence palings, structural timbers and processed timber such as medium density fibreboard (MDF) that is widely used in cabinet making. Waste timber is often processed, painted and/or treated with chemicals to preserve the timber and prevent termite attack. Timber waste does not include the waste generated by the forestry and saw milling industries – it refers to post consumer timber waste.</w:t>
      </w:r>
    </w:p>
    <w:p w14:paraId="4F800E54" w14:textId="1BE48DBF" w:rsidR="00337CC2" w:rsidRDefault="000E631B" w:rsidP="00337CC2">
      <w:pPr>
        <w:pStyle w:val="RECnormaltext"/>
      </w:pPr>
      <w:r>
        <w:t xml:space="preserve">Over the 10-year period Australia’s </w:t>
      </w:r>
      <w:r w:rsidR="00223F6B">
        <w:t xml:space="preserve">timber </w:t>
      </w:r>
      <w:r>
        <w:t xml:space="preserve">waste generation increased </w:t>
      </w:r>
      <w:r w:rsidR="00337CC2">
        <w:t xml:space="preserve">slightly </w:t>
      </w:r>
      <w:r>
        <w:t>from around 2.</w:t>
      </w:r>
      <w:r w:rsidR="00337CC2">
        <w:t>2</w:t>
      </w:r>
      <w:r>
        <w:t xml:space="preserve"> Mt to around </w:t>
      </w:r>
      <w:r w:rsidR="00337CC2">
        <w:t>2.</w:t>
      </w:r>
      <w:r>
        <w:t xml:space="preserve">4 Mt and the rate of recovery </w:t>
      </w:r>
      <w:r w:rsidR="00337CC2">
        <w:t xml:space="preserve">also </w:t>
      </w:r>
      <w:r>
        <w:t>increased from around 3</w:t>
      </w:r>
      <w:r w:rsidR="00337CC2">
        <w:t>2</w:t>
      </w:r>
      <w:r>
        <w:t xml:space="preserve">% to </w:t>
      </w:r>
      <w:r w:rsidR="00337CC2">
        <w:t>46</w:t>
      </w:r>
      <w:r>
        <w:t xml:space="preserve">% per annum. </w:t>
      </w:r>
      <w:r w:rsidR="00337CC2">
        <w:t xml:space="preserve">In 2017, the recycling rate </w:t>
      </w:r>
      <w:r w:rsidR="00163479">
        <w:t xml:space="preserve">(e.g. mulching or similar) </w:t>
      </w:r>
      <w:r w:rsidR="00337CC2">
        <w:t>was 43% and the rate of recovery via energy from waste facilities was 3%.</w:t>
      </w:r>
    </w:p>
    <w:p w14:paraId="0F38EC2B" w14:textId="77777777" w:rsidR="00145FA0" w:rsidRDefault="009545DA" w:rsidP="00AE2829">
      <w:pPr>
        <w:pStyle w:val="RECnormaltext"/>
      </w:pPr>
      <w:r>
        <w:t>Whilst there ha</w:t>
      </w:r>
      <w:r w:rsidR="00AE2829">
        <w:t>ve</w:t>
      </w:r>
      <w:r>
        <w:t xml:space="preserve"> been improvements in timber waste recycling rates, the uses for recycled timbers </w:t>
      </w:r>
      <w:r w:rsidR="00432A7C">
        <w:t xml:space="preserve">are often of limited </w:t>
      </w:r>
      <w:r w:rsidR="00AE2829">
        <w:t>value</w:t>
      </w:r>
      <w:r w:rsidR="009040D3">
        <w:t xml:space="preserve">. For example, </w:t>
      </w:r>
      <w:r w:rsidR="00AE2829">
        <w:t xml:space="preserve">shredded </w:t>
      </w:r>
      <w:r w:rsidR="00223F6B">
        <w:t xml:space="preserve">timber </w:t>
      </w:r>
      <w:r w:rsidR="009040D3">
        <w:t xml:space="preserve">wastes </w:t>
      </w:r>
      <w:r w:rsidR="00163479">
        <w:t>are</w:t>
      </w:r>
      <w:r w:rsidR="00AE2829">
        <w:t xml:space="preserve"> </w:t>
      </w:r>
      <w:r w:rsidR="00350DC8">
        <w:t xml:space="preserve">often </w:t>
      </w:r>
      <w:r w:rsidR="00AE2829">
        <w:t>used as hard</w:t>
      </w:r>
      <w:r w:rsidR="009040D3">
        <w:t xml:space="preserve">-stand </w:t>
      </w:r>
      <w:r w:rsidR="00AE2829">
        <w:t>areas at landfills</w:t>
      </w:r>
      <w:r w:rsidR="009040D3">
        <w:t>. In addition, waste timber</w:t>
      </w:r>
      <w:r w:rsidR="00AE2829">
        <w:t xml:space="preserve"> and </w:t>
      </w:r>
      <w:r w:rsidR="00223F6B">
        <w:t>can</w:t>
      </w:r>
      <w:r w:rsidR="00AE2829">
        <w:t xml:space="preserve"> also present contamination</w:t>
      </w:r>
      <w:r w:rsidR="009040D3">
        <w:t xml:space="preserve"> and emissions</w:t>
      </w:r>
      <w:r w:rsidR="00AE2829">
        <w:t xml:space="preserve"> risks from </w:t>
      </w:r>
      <w:r w:rsidR="009040D3">
        <w:t xml:space="preserve">processed, </w:t>
      </w:r>
      <w:r w:rsidR="00AE2829">
        <w:t xml:space="preserve">treated and painted timbers. </w:t>
      </w:r>
    </w:p>
    <w:p w14:paraId="3E0AA332" w14:textId="7297DF08" w:rsidR="009545DA" w:rsidRDefault="00AE2829" w:rsidP="00AE2829">
      <w:pPr>
        <w:pStyle w:val="RECnormaltext"/>
      </w:pPr>
      <w:r>
        <w:t>There has been little improvement in the amount of timber waste sent to energy from waste facilities. Timber waste can provide a valuable</w:t>
      </w:r>
      <w:r w:rsidR="00223F6B">
        <w:t>,</w:t>
      </w:r>
      <w:r>
        <w:t xml:space="preserve"> high calorific value</w:t>
      </w:r>
      <w:r w:rsidR="00223F6B">
        <w:t>,</w:t>
      </w:r>
      <w:r>
        <w:t xml:space="preserve"> waste stream for refuse derived fuels (RDFs). </w:t>
      </w:r>
      <w:r w:rsidR="009545DA">
        <w:t>With a</w:t>
      </w:r>
      <w:r>
        <w:t xml:space="preserve">n energy </w:t>
      </w:r>
      <w:r w:rsidR="009545DA">
        <w:t xml:space="preserve">recovery rate of just </w:t>
      </w:r>
      <w:r>
        <w:t>3</w:t>
      </w:r>
      <w:r w:rsidR="009545DA">
        <w:t xml:space="preserve">%, in 2017, </w:t>
      </w:r>
      <w:r w:rsidR="009545DA" w:rsidRPr="00AE2829">
        <w:t>and</w:t>
      </w:r>
      <w:r w:rsidR="009545DA">
        <w:t xml:space="preserve"> </w:t>
      </w:r>
      <w:r>
        <w:t>around 1.2 Mt of timber waste being sent to landfill there may</w:t>
      </w:r>
      <w:r w:rsidR="00223F6B">
        <w:t xml:space="preserve"> </w:t>
      </w:r>
      <w:r>
        <w:t xml:space="preserve">be </w:t>
      </w:r>
      <w:r w:rsidR="009545DA">
        <w:t>significant opportunit</w:t>
      </w:r>
      <w:r w:rsidR="00223F6B">
        <w:t>ies</w:t>
      </w:r>
      <w:r w:rsidR="009545DA">
        <w:t xml:space="preserve"> to improve organics recovery by increasing the rate of </w:t>
      </w:r>
      <w:r>
        <w:t xml:space="preserve">timber waste </w:t>
      </w:r>
      <w:r w:rsidR="00223F6B">
        <w:t xml:space="preserve">sent to </w:t>
      </w:r>
      <w:r w:rsidR="00145FA0">
        <w:t>energy from waste facilities (not anerobic digestion facilities)</w:t>
      </w:r>
      <w:r w:rsidR="009545DA">
        <w:t>.</w:t>
      </w:r>
      <w:r w:rsidR="004710FC">
        <w:t xml:space="preserve"> </w:t>
      </w:r>
      <w:r w:rsidR="004710FC">
        <w:rPr>
          <w:rFonts w:eastAsia="Times New Roman"/>
          <w:lang w:val="en-US"/>
        </w:rPr>
        <w:t xml:space="preserve">These facilities could be in Australia or overseas. </w:t>
      </w:r>
      <w:r>
        <w:t xml:space="preserve">Energy from waste facilities that are using </w:t>
      </w:r>
      <w:r w:rsidR="00350DC8">
        <w:t xml:space="preserve">post-consumer </w:t>
      </w:r>
      <w:r>
        <w:t xml:space="preserve">waste timber as a fuel source would need to have appropriate emissions control systems in place, due to </w:t>
      </w:r>
      <w:r w:rsidR="00594626">
        <w:t xml:space="preserve">potential </w:t>
      </w:r>
      <w:r>
        <w:t xml:space="preserve">contaminants present in </w:t>
      </w:r>
      <w:r w:rsidR="00350DC8">
        <w:t xml:space="preserve">processed, </w:t>
      </w:r>
      <w:r>
        <w:t>painted and treated waste timbers.</w:t>
      </w:r>
    </w:p>
    <w:p w14:paraId="0630FF8C" w14:textId="20C84739" w:rsidR="000E631B" w:rsidRDefault="000E631B" w:rsidP="000E631B">
      <w:pPr>
        <w:pStyle w:val="RECnormaltext"/>
      </w:pPr>
    </w:p>
    <w:p w14:paraId="3E611360" w14:textId="2D311029" w:rsidR="000E631B" w:rsidRDefault="000E631B" w:rsidP="000E631B">
      <w:pPr>
        <w:pStyle w:val="RECnormaltext"/>
      </w:pPr>
    </w:p>
    <w:p w14:paraId="4E45B6E8" w14:textId="6386BD18" w:rsidR="000E631B" w:rsidRDefault="000E631B" w:rsidP="000E631B">
      <w:pPr>
        <w:pStyle w:val="RECnormaltext"/>
      </w:pPr>
    </w:p>
    <w:p w14:paraId="43112141" w14:textId="033584CC" w:rsidR="000E631B" w:rsidRDefault="000E631B" w:rsidP="000E631B">
      <w:pPr>
        <w:pStyle w:val="RECnormaltext"/>
      </w:pPr>
    </w:p>
    <w:p w14:paraId="373432D8" w14:textId="688F4CCE" w:rsidR="000E631B" w:rsidRDefault="000E631B" w:rsidP="000E631B">
      <w:pPr>
        <w:pStyle w:val="RECnormaltext"/>
      </w:pPr>
    </w:p>
    <w:p w14:paraId="2147FBAC" w14:textId="6A19926A" w:rsidR="00783349" w:rsidRDefault="00783349" w:rsidP="00783349">
      <w:pPr>
        <w:pStyle w:val="RECnormaltext"/>
      </w:pPr>
      <w:r>
        <w:lastRenderedPageBreak/>
        <w:t xml:space="preserve">Figure </w:t>
      </w:r>
      <w:r w:rsidR="00095626">
        <w:t>8</w:t>
      </w:r>
      <w:r>
        <w:t xml:space="preserve"> details Australia’s </w:t>
      </w:r>
      <w:r w:rsidR="00AC0735">
        <w:rPr>
          <w:b/>
          <w:bCs/>
        </w:rPr>
        <w:t>other organics</w:t>
      </w:r>
      <w:r>
        <w:t xml:space="preserve"> waste generation and management from 2007 to 2017.</w:t>
      </w:r>
    </w:p>
    <w:p w14:paraId="06F7DC9B" w14:textId="6F8A0DAA" w:rsidR="00B8745A" w:rsidRDefault="00B8745A" w:rsidP="00B8745A">
      <w:pPr>
        <w:pStyle w:val="Caption"/>
      </w:pPr>
      <w:bookmarkStart w:id="19" w:name="_Ref42678378"/>
      <w:r>
        <w:t xml:space="preserve">Figure </w:t>
      </w:r>
      <w:r w:rsidR="001F08F2">
        <w:fldChar w:fldCharType="begin"/>
      </w:r>
      <w:r w:rsidR="001F08F2">
        <w:instrText xml:space="preserve"> SEQ Figure \* ARABIC </w:instrText>
      </w:r>
      <w:r w:rsidR="001F08F2">
        <w:fldChar w:fldCharType="separate"/>
      </w:r>
      <w:r w:rsidR="004925FA">
        <w:rPr>
          <w:noProof/>
        </w:rPr>
        <w:t>8</w:t>
      </w:r>
      <w:r w:rsidR="001F08F2">
        <w:rPr>
          <w:noProof/>
        </w:rPr>
        <w:fldChar w:fldCharType="end"/>
      </w:r>
      <w:bookmarkEnd w:id="19"/>
      <w:r>
        <w:t xml:space="preserve"> Australian other organics waste generation and management (2007 to 2017)</w:t>
      </w:r>
    </w:p>
    <w:p w14:paraId="7C664FD3" w14:textId="10A1CB09" w:rsidR="00B8745A" w:rsidRDefault="00083985" w:rsidP="000B0B81">
      <w:pPr>
        <w:pStyle w:val="RECnormaltext"/>
      </w:pPr>
      <w:r>
        <w:rPr>
          <w:noProof/>
        </w:rPr>
        <w:drawing>
          <wp:inline distT="0" distB="0" distL="0" distR="0" wp14:anchorId="29F6E286" wp14:editId="3FC6E8F5">
            <wp:extent cx="5610225" cy="2771775"/>
            <wp:effectExtent l="0" t="0" r="0" b="0"/>
            <wp:docPr id="11" name="Chart 11">
              <a:extLst xmlns:a="http://schemas.openxmlformats.org/drawingml/2006/main">
                <a:ext uri="{FF2B5EF4-FFF2-40B4-BE49-F238E27FC236}">
                  <a16:creationId xmlns:a16="http://schemas.microsoft.com/office/drawing/2014/main" id="{38072AC7-7DB2-460B-8FED-C6798308B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A0D190" w14:textId="7489EC48" w:rsidR="000E631B" w:rsidRDefault="000E631B" w:rsidP="000E631B">
      <w:pPr>
        <w:pStyle w:val="RECnormaltext"/>
      </w:pPr>
      <w:r>
        <w:t xml:space="preserve">Over the 10-year period Australia’s </w:t>
      </w:r>
      <w:r w:rsidR="0019461B">
        <w:t xml:space="preserve">other </w:t>
      </w:r>
      <w:r>
        <w:t xml:space="preserve">organics waste generation increased significantly from around </w:t>
      </w:r>
      <w:r w:rsidR="0019461B">
        <w:t>0.5</w:t>
      </w:r>
      <w:r>
        <w:t xml:space="preserve"> Mt to around </w:t>
      </w:r>
      <w:r w:rsidR="0019461B">
        <w:t>1.7</w:t>
      </w:r>
      <w:r>
        <w:t xml:space="preserve"> Mt and the rate of recovery increased from around </w:t>
      </w:r>
      <w:r w:rsidR="0019461B">
        <w:t>29</w:t>
      </w:r>
      <w:r>
        <w:t xml:space="preserve">% to </w:t>
      </w:r>
      <w:r w:rsidR="0019461B">
        <w:t>80</w:t>
      </w:r>
      <w:r>
        <w:t xml:space="preserve">% per annum. In 2017, all </w:t>
      </w:r>
      <w:r w:rsidR="0019461B">
        <w:t xml:space="preserve">other </w:t>
      </w:r>
      <w:r>
        <w:t>organics recovery was via recycling (e.g. composting</w:t>
      </w:r>
      <w:r w:rsidR="0019461B">
        <w:t>, mulching, etc.</w:t>
      </w:r>
      <w:r>
        <w:t>) with</w:t>
      </w:r>
      <w:r w:rsidR="0019461B">
        <w:t xml:space="preserve"> no </w:t>
      </w:r>
      <w:r>
        <w:t xml:space="preserve">recovery via energy from waste facilities </w:t>
      </w:r>
      <w:r w:rsidR="0019461B">
        <w:t>reported</w:t>
      </w:r>
      <w:r>
        <w:t>.</w:t>
      </w:r>
    </w:p>
    <w:p w14:paraId="24C6CB1D" w14:textId="4668175A" w:rsidR="00B14C3A" w:rsidRDefault="000E631B" w:rsidP="000E631B">
      <w:pPr>
        <w:pStyle w:val="RECnormaltext"/>
      </w:pPr>
      <w:r>
        <w:t xml:space="preserve">The </w:t>
      </w:r>
      <w:r w:rsidR="0019461B">
        <w:t xml:space="preserve">large </w:t>
      </w:r>
      <w:r>
        <w:t xml:space="preserve">increase of around </w:t>
      </w:r>
      <w:r w:rsidR="0019461B">
        <w:t>220</w:t>
      </w:r>
      <w:r>
        <w:t xml:space="preserve">% in </w:t>
      </w:r>
      <w:r w:rsidR="0019461B">
        <w:t xml:space="preserve">other </w:t>
      </w:r>
      <w:r>
        <w:t xml:space="preserve">organics generation over the 10-year period </w:t>
      </w:r>
      <w:r w:rsidR="009748F0">
        <w:t xml:space="preserve">is likely </w:t>
      </w:r>
      <w:r>
        <w:t>due to increased reporting.</w:t>
      </w:r>
      <w:r w:rsidR="00B14C3A">
        <w:t xml:space="preserve"> What each jurisdiction in Australia includes in </w:t>
      </w:r>
      <w:r w:rsidR="0097475E">
        <w:t>‘</w:t>
      </w:r>
      <w:r w:rsidR="00B14C3A">
        <w:t>other organics</w:t>
      </w:r>
      <w:r w:rsidR="0097475E">
        <w:t>’</w:t>
      </w:r>
      <w:r w:rsidR="00B14C3A">
        <w:t xml:space="preserve"> varies and is </w:t>
      </w:r>
      <w:r w:rsidR="0097475E">
        <w:t xml:space="preserve">often </w:t>
      </w:r>
      <w:r w:rsidR="00B14C3A">
        <w:t xml:space="preserve">not </w:t>
      </w:r>
      <w:r w:rsidR="0097475E">
        <w:t>detailed</w:t>
      </w:r>
      <w:r w:rsidR="00B14C3A">
        <w:t xml:space="preserve">. It is likely that in 2015 significant additional </w:t>
      </w:r>
      <w:r w:rsidR="0097475E">
        <w:t>‘</w:t>
      </w:r>
      <w:r w:rsidR="00B14C3A">
        <w:t>othe</w:t>
      </w:r>
      <w:r w:rsidR="0097475E">
        <w:t>r’</w:t>
      </w:r>
      <w:r w:rsidR="00B14C3A">
        <w:t xml:space="preserve"> material type</w:t>
      </w:r>
      <w:r w:rsidR="00350DC8">
        <w:t>s</w:t>
      </w:r>
      <w:r w:rsidR="00B14C3A">
        <w:t xml:space="preserve"> </w:t>
      </w:r>
      <w:r w:rsidR="00350DC8">
        <w:t>were</w:t>
      </w:r>
      <w:r w:rsidR="00B14C3A">
        <w:t xml:space="preserve"> included in reporting, causing a sudden increase</w:t>
      </w:r>
      <w:r w:rsidR="009748F0">
        <w:t xml:space="preserve"> in the recycling tonnages</w:t>
      </w:r>
      <w:r w:rsidR="00B14C3A">
        <w:t>.</w:t>
      </w:r>
    </w:p>
    <w:p w14:paraId="52945754" w14:textId="42D316D7" w:rsidR="00CB25B4" w:rsidRDefault="00B14C3A" w:rsidP="000E631B">
      <w:pPr>
        <w:pStyle w:val="RECnormaltext"/>
      </w:pPr>
      <w:r>
        <w:t xml:space="preserve">Due to the lack of information regarding the wastes </w:t>
      </w:r>
      <w:r w:rsidR="0097475E">
        <w:t xml:space="preserve">that </w:t>
      </w:r>
      <w:r>
        <w:t xml:space="preserve">are included in ‘other organics’, and the 2017 recovery rate </w:t>
      </w:r>
      <w:r w:rsidR="0097475E">
        <w:t xml:space="preserve">already </w:t>
      </w:r>
      <w:r>
        <w:t>being at 80%, there is little value in analysing opportunities for additional recovery</w:t>
      </w:r>
      <w:r w:rsidR="00D0023B">
        <w:t xml:space="preserve"> from </w:t>
      </w:r>
      <w:r w:rsidR="00350DC8">
        <w:t xml:space="preserve">the </w:t>
      </w:r>
      <w:r w:rsidR="001D7A3E">
        <w:t>‘</w:t>
      </w:r>
      <w:r w:rsidR="00D0023B">
        <w:t>other organics</w:t>
      </w:r>
      <w:r w:rsidR="001D7A3E">
        <w:t>’</w:t>
      </w:r>
      <w:r w:rsidR="00350DC8">
        <w:t xml:space="preserve"> tonnages</w:t>
      </w:r>
      <w:r>
        <w:t xml:space="preserve">. The project analysis will focus on organics opportunities where the waste </w:t>
      </w:r>
      <w:r w:rsidR="0097475E">
        <w:t xml:space="preserve">type </w:t>
      </w:r>
      <w:r>
        <w:t>is more clearly defined and the tonnage opportunities are greater</w:t>
      </w:r>
      <w:r w:rsidR="00D0023B">
        <w:t xml:space="preserve"> (i.e. food</w:t>
      </w:r>
      <w:r w:rsidR="00E10C9F">
        <w:t>,</w:t>
      </w:r>
      <w:r w:rsidR="00D0023B">
        <w:t xml:space="preserve"> timber</w:t>
      </w:r>
      <w:r w:rsidR="00E10C9F">
        <w:t xml:space="preserve"> and garden</w:t>
      </w:r>
      <w:r w:rsidR="00D0023B">
        <w:t>)</w:t>
      </w:r>
      <w:r>
        <w:t xml:space="preserve">. </w:t>
      </w:r>
      <w:r w:rsidR="000E631B">
        <w:t xml:space="preserve"> </w:t>
      </w:r>
    </w:p>
    <w:p w14:paraId="37201231" w14:textId="77777777" w:rsidR="00856826" w:rsidRDefault="00856826" w:rsidP="000E631B">
      <w:pPr>
        <w:pStyle w:val="RECnormaltext"/>
      </w:pPr>
    </w:p>
    <w:p w14:paraId="1A61366C" w14:textId="77777777" w:rsidR="00CB25B4" w:rsidRDefault="00CB25B4">
      <w:pPr>
        <w:rPr>
          <w:rFonts w:asciiTheme="minorHAnsi" w:hAnsiTheme="minorHAnsi" w:cs="Arial"/>
          <w:color w:val="auto"/>
          <w:szCs w:val="20"/>
        </w:rPr>
      </w:pPr>
      <w:r>
        <w:br w:type="page"/>
      </w:r>
    </w:p>
    <w:p w14:paraId="174C6D5B" w14:textId="4613B8FD" w:rsidR="005D2667" w:rsidRDefault="00D45B03" w:rsidP="005D2667">
      <w:pPr>
        <w:pStyle w:val="Heading1"/>
      </w:pPr>
      <w:bookmarkStart w:id="20" w:name="_Toc46851537"/>
      <w:r>
        <w:lastRenderedPageBreak/>
        <w:t xml:space="preserve">Current </w:t>
      </w:r>
      <w:r w:rsidR="005D2667">
        <w:t xml:space="preserve">Australian </w:t>
      </w:r>
      <w:r>
        <w:t>r</w:t>
      </w:r>
      <w:r w:rsidR="005D2667">
        <w:t>ecycled organics markets</w:t>
      </w:r>
      <w:bookmarkEnd w:id="20"/>
      <w:r w:rsidR="005D2667">
        <w:t xml:space="preserve"> </w:t>
      </w:r>
    </w:p>
    <w:p w14:paraId="1FB1B2AA" w14:textId="44226E36" w:rsidR="005D2667" w:rsidRDefault="00CB25B4" w:rsidP="000E631B">
      <w:pPr>
        <w:pStyle w:val="RECnormaltext"/>
      </w:pPr>
      <w:r>
        <w:t>Sustainability Victoria 2013 provided a detailed analysis of the recycled organics market in Victoria. While the Australian market will vary to an extent, the Victorian analysis provides insight into the current markets for recycled organics from composting facilities in Australia.</w:t>
      </w:r>
    </w:p>
    <w:p w14:paraId="1FE73018" w14:textId="7CB794CC" w:rsidR="00BC51D8" w:rsidRDefault="00674128" w:rsidP="000E631B">
      <w:pPr>
        <w:pStyle w:val="RECnormaltext"/>
      </w:pPr>
      <w:r>
        <w:fldChar w:fldCharType="begin"/>
      </w:r>
      <w:r>
        <w:instrText xml:space="preserve"> REF _Ref42974003 \h </w:instrText>
      </w:r>
      <w:r>
        <w:fldChar w:fldCharType="separate"/>
      </w:r>
      <w:r w:rsidR="004925FA">
        <w:t xml:space="preserve">Figure </w:t>
      </w:r>
      <w:r w:rsidR="004925FA">
        <w:rPr>
          <w:noProof/>
        </w:rPr>
        <w:t>9</w:t>
      </w:r>
      <w:r>
        <w:fldChar w:fldCharType="end"/>
      </w:r>
      <w:r>
        <w:t xml:space="preserve"> provides a summary of Victoria’s recycled organics supply, products, and uses (off-take markets). The Victorian composting industry currently depends heavily on the urban amenity market</w:t>
      </w:r>
      <w:r w:rsidR="00BC51D8">
        <w:t xml:space="preserve"> </w:t>
      </w:r>
      <w:r w:rsidR="000908F1">
        <w:t xml:space="preserve">(domestic and local government use of compost in gardens and public use areas) </w:t>
      </w:r>
      <w:r w:rsidR="00BC51D8">
        <w:t xml:space="preserve">and this is understood to be the case across much of Australia. The urban amenity market has limited scope for development and is an inefficient off-take market to shift large tonnages of recycled organics (due to the large amounts of packaging, logistics, </w:t>
      </w:r>
      <w:r w:rsidR="00D45B03">
        <w:t xml:space="preserve">handling, storage, </w:t>
      </w:r>
      <w:r w:rsidR="00BC51D8">
        <w:t xml:space="preserve">etc.). </w:t>
      </w:r>
    </w:p>
    <w:p w14:paraId="07E6E2AE" w14:textId="145C5644" w:rsidR="00674128" w:rsidRDefault="00BC51D8" w:rsidP="000E631B">
      <w:pPr>
        <w:pStyle w:val="RECnormaltext"/>
      </w:pPr>
      <w:r>
        <w:t>Section 4, provides examples of international composting markets that often include a very large portion</w:t>
      </w:r>
      <w:r w:rsidR="00AA3CA8">
        <w:t xml:space="preserve"> (80%+)</w:t>
      </w:r>
      <w:r>
        <w:t xml:space="preserve"> of agriculture and horticulture market</w:t>
      </w:r>
      <w:r w:rsidR="00AA3CA8">
        <w:t xml:space="preserve"> off-take</w:t>
      </w:r>
      <w:r>
        <w:t>. This market accounted for only around 10% of the Victorian market in 2013.</w:t>
      </w:r>
    </w:p>
    <w:p w14:paraId="35662314" w14:textId="2C022539" w:rsidR="000C6EE5" w:rsidRDefault="000C6EE5" w:rsidP="000E631B">
      <w:pPr>
        <w:pStyle w:val="RECnormaltext"/>
      </w:pPr>
      <w:r>
        <w:t>Currently the agriculture and horticulture off-take market for compost in Australia needs targeted market development. Currently there is a low demand and price point for recycled organics in the agriculture and horticulture market. This contributes to urban amenity providing the largest current market share, currently.</w:t>
      </w:r>
    </w:p>
    <w:p w14:paraId="470CA588" w14:textId="62BC5540" w:rsidR="005D2667" w:rsidRDefault="00CC7D7D" w:rsidP="00CB25B4">
      <w:pPr>
        <w:pStyle w:val="Caption"/>
      </w:pPr>
      <w:bookmarkStart w:id="21" w:name="_Ref42974003"/>
      <w:r>
        <w:rPr>
          <w:noProof/>
        </w:rPr>
        <w:drawing>
          <wp:anchor distT="0" distB="0" distL="114300" distR="114300" simplePos="0" relativeHeight="251667456" behindDoc="0" locked="0" layoutInCell="1" allowOverlap="1" wp14:anchorId="493005CC" wp14:editId="08854F5C">
            <wp:simplePos x="0" y="0"/>
            <wp:positionH relativeFrom="column">
              <wp:posOffset>-343535</wp:posOffset>
            </wp:positionH>
            <wp:positionV relativeFrom="paragraph">
              <wp:posOffset>197040</wp:posOffset>
            </wp:positionV>
            <wp:extent cx="6407150" cy="37642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07150" cy="3764280"/>
                    </a:xfrm>
                    <a:prstGeom prst="rect">
                      <a:avLst/>
                    </a:prstGeom>
                  </pic:spPr>
                </pic:pic>
              </a:graphicData>
            </a:graphic>
          </wp:anchor>
        </w:drawing>
      </w:r>
      <w:r w:rsidR="00CB25B4">
        <w:t xml:space="preserve">Figure </w:t>
      </w:r>
      <w:r w:rsidR="001F08F2">
        <w:fldChar w:fldCharType="begin"/>
      </w:r>
      <w:r w:rsidR="001F08F2">
        <w:instrText xml:space="preserve"> SEQ Figure \* ARABIC </w:instrText>
      </w:r>
      <w:r w:rsidR="001F08F2">
        <w:fldChar w:fldCharType="separate"/>
      </w:r>
      <w:r w:rsidR="004925FA">
        <w:rPr>
          <w:noProof/>
        </w:rPr>
        <w:t>9</w:t>
      </w:r>
      <w:r w:rsidR="001F08F2">
        <w:rPr>
          <w:noProof/>
        </w:rPr>
        <w:fldChar w:fldCharType="end"/>
      </w:r>
      <w:bookmarkEnd w:id="21"/>
      <w:r w:rsidR="00CB25B4">
        <w:t xml:space="preserve"> Victorian recycled organics supply chain and end markets summary (SV 2013)</w:t>
      </w:r>
    </w:p>
    <w:p w14:paraId="3367D593" w14:textId="3D8C9646" w:rsidR="0010221C" w:rsidRDefault="0010221C" w:rsidP="00CC7D7D">
      <w:pPr>
        <w:pStyle w:val="RECnormaltext"/>
      </w:pPr>
      <w:r>
        <w:t xml:space="preserve">In </w:t>
      </w:r>
      <w:r w:rsidRPr="0010221C">
        <w:t xml:space="preserve">October 2018 the </w:t>
      </w:r>
      <w:r>
        <w:t xml:space="preserve">NSW </w:t>
      </w:r>
      <w:r w:rsidRPr="0010221C">
        <w:t xml:space="preserve">EPA revoked the general and specific </w:t>
      </w:r>
      <w:r w:rsidRPr="0010221C">
        <w:rPr>
          <w:i/>
          <w:iCs/>
        </w:rPr>
        <w:t xml:space="preserve">Resource Recovery Orders and Resource Recovery Exemptions </w:t>
      </w:r>
      <w:r w:rsidRPr="0010221C">
        <w:t xml:space="preserve">for the application of Mixed Waste Organic Outputs </w:t>
      </w:r>
      <w:r>
        <w:t>(</w:t>
      </w:r>
      <w:r w:rsidRPr="0010221C">
        <w:t>MWOO</w:t>
      </w:r>
      <w:r>
        <w:t>)</w:t>
      </w:r>
      <w:r w:rsidRPr="0010221C">
        <w:t xml:space="preserve"> to land due to risks associated with chemical and physical contaminants.</w:t>
      </w:r>
      <w:r>
        <w:t xml:space="preserve"> Part of </w:t>
      </w:r>
      <w:r w:rsidR="00CC7D7D">
        <w:t>realising opportunities for organic wastes will need to involve the development of organics source segregation collection infrastructure (rather than targeting organics in mixed waste collections).</w:t>
      </w:r>
    </w:p>
    <w:p w14:paraId="4F014391" w14:textId="747EF735" w:rsidR="00A21FFB" w:rsidRDefault="00A21FFB">
      <w:pPr>
        <w:rPr>
          <w:rFonts w:asciiTheme="minorHAnsi" w:hAnsiTheme="minorHAnsi" w:cs="Arial"/>
          <w:color w:val="auto"/>
          <w:szCs w:val="20"/>
        </w:rPr>
      </w:pPr>
      <w:r>
        <w:br w:type="page"/>
      </w:r>
    </w:p>
    <w:p w14:paraId="4FF3C656" w14:textId="6C3CC532" w:rsidR="000B0B81" w:rsidRDefault="000B0B81" w:rsidP="003F72F8">
      <w:pPr>
        <w:pStyle w:val="Heading1"/>
      </w:pPr>
      <w:bookmarkStart w:id="22" w:name="_Ref40796664"/>
      <w:bookmarkStart w:id="23" w:name="_Toc46851538"/>
      <w:r>
        <w:lastRenderedPageBreak/>
        <w:t xml:space="preserve">International </w:t>
      </w:r>
      <w:r w:rsidR="0057469F">
        <w:t>organics recovery</w:t>
      </w:r>
      <w:r>
        <w:t xml:space="preserve"> rates</w:t>
      </w:r>
      <w:bookmarkEnd w:id="22"/>
      <w:r w:rsidR="007908EA">
        <w:t xml:space="preserve"> and Australian opportunities</w:t>
      </w:r>
      <w:bookmarkEnd w:id="23"/>
    </w:p>
    <w:p w14:paraId="560CABD4" w14:textId="026FE28E" w:rsidR="000B0B81" w:rsidRDefault="000B0B81" w:rsidP="000B0B81">
      <w:pPr>
        <w:pStyle w:val="RECnormaltext"/>
      </w:pPr>
      <w:r>
        <w:t xml:space="preserve">This section provides a review of </w:t>
      </w:r>
      <w:r w:rsidR="00F16EC2">
        <w:t xml:space="preserve">organics recovery </w:t>
      </w:r>
      <w:r>
        <w:t>rates internationally to develop a benchmark for rates that could be achieved in Australia in future.</w:t>
      </w:r>
      <w:r w:rsidR="00A21FFB">
        <w:t xml:space="preserve"> As noted above this section </w:t>
      </w:r>
      <w:r w:rsidR="001B14F8">
        <w:t xml:space="preserve">has a </w:t>
      </w:r>
      <w:r w:rsidR="00A21FFB">
        <w:t>focus on food organics</w:t>
      </w:r>
      <w:r w:rsidR="0002384A">
        <w:t xml:space="preserve"> as these wastes have the highest tonnages and low recovery rates, currently.</w:t>
      </w:r>
      <w:r w:rsidR="00C55B0A">
        <w:t xml:space="preserve"> There is also a focus on the MSW stream as it is Australia’s largest </w:t>
      </w:r>
      <w:r w:rsidR="00350DC8">
        <w:t xml:space="preserve">organics </w:t>
      </w:r>
      <w:r w:rsidR="00C55B0A">
        <w:t>waste stream with the lowest recovery rate</w:t>
      </w:r>
      <w:r w:rsidR="00350DC8">
        <w:t xml:space="preserve">. MSW organics are </w:t>
      </w:r>
      <w:r w:rsidR="00C55B0A">
        <w:t>also</w:t>
      </w:r>
      <w:r w:rsidR="001B14F8">
        <w:t>,</w:t>
      </w:r>
      <w:r w:rsidR="00C55B0A">
        <w:t xml:space="preserve"> </w:t>
      </w:r>
      <w:r w:rsidR="00350DC8">
        <w:t>by far</w:t>
      </w:r>
      <w:r w:rsidR="001B14F8">
        <w:t>,</w:t>
      </w:r>
      <w:r w:rsidR="00350DC8">
        <w:t xml:space="preserve"> the most </w:t>
      </w:r>
      <w:r w:rsidR="00C55B0A">
        <w:t>widely reported</w:t>
      </w:r>
      <w:r w:rsidR="00A4342B">
        <w:t xml:space="preserve"> organics stream</w:t>
      </w:r>
      <w:r w:rsidR="00C55B0A">
        <w:t>, globally</w:t>
      </w:r>
      <w:r w:rsidR="00A4342B">
        <w:t>, enabling a more complete international comparison of opportunities</w:t>
      </w:r>
      <w:r w:rsidR="00C55B0A">
        <w:t>.</w:t>
      </w:r>
    </w:p>
    <w:p w14:paraId="0F85D0E7" w14:textId="7A4717E0" w:rsidR="00B67DB3" w:rsidRDefault="001F08F2" w:rsidP="000B0B81">
      <w:pPr>
        <w:pStyle w:val="RECnormaltext"/>
      </w:pPr>
      <w:hyperlink r:id="rId33" w:history="1">
        <w:r w:rsidR="00B67DB3" w:rsidRPr="00B67DB3">
          <w:rPr>
            <w:rStyle w:val="Hyperlink"/>
          </w:rPr>
          <w:t>ISWA 2020</w:t>
        </w:r>
      </w:hyperlink>
      <w:r w:rsidR="00B67DB3">
        <w:t xml:space="preserve"> provides a </w:t>
      </w:r>
      <w:r w:rsidR="001B14F8">
        <w:t xml:space="preserve">good and </w:t>
      </w:r>
      <w:r w:rsidR="00B67DB3">
        <w:t xml:space="preserve">current </w:t>
      </w:r>
      <w:r w:rsidR="001B14F8">
        <w:t xml:space="preserve">overview </w:t>
      </w:r>
      <w:r w:rsidR="00B67DB3">
        <w:t xml:space="preserve">of </w:t>
      </w:r>
      <w:r w:rsidR="00C55B0A">
        <w:t xml:space="preserve">MSW </w:t>
      </w:r>
      <w:r w:rsidR="00B67DB3">
        <w:t>organics collection systems around the world and is a key reference for this section.</w:t>
      </w:r>
    </w:p>
    <w:p w14:paraId="0FECA680" w14:textId="66302682" w:rsidR="00B6007E" w:rsidRDefault="00B65FAC" w:rsidP="000B0B81">
      <w:pPr>
        <w:pStyle w:val="RECnormaltext"/>
      </w:pPr>
      <w:r>
        <w:t xml:space="preserve">Analysis of organics recovery in the UK, Italy and Germany </w:t>
      </w:r>
      <w:r w:rsidR="001B14F8">
        <w:t>are</w:t>
      </w:r>
      <w:r>
        <w:t xml:space="preserve"> provided below as these countries have significantly higher organics recovery than Australia. </w:t>
      </w:r>
    </w:p>
    <w:p w14:paraId="7D6596D8" w14:textId="64A97783" w:rsidR="000B0B81" w:rsidRDefault="000B0B81" w:rsidP="0002384A">
      <w:pPr>
        <w:pStyle w:val="Heading2"/>
      </w:pPr>
      <w:bookmarkStart w:id="24" w:name="_Toc40923319"/>
      <w:bookmarkStart w:id="25" w:name="_Toc46851539"/>
      <w:r>
        <w:t>United Kingdom</w:t>
      </w:r>
      <w:bookmarkEnd w:id="24"/>
      <w:bookmarkEnd w:id="25"/>
      <w:r>
        <w:t xml:space="preserve"> </w:t>
      </w:r>
    </w:p>
    <w:p w14:paraId="1AABFDFB" w14:textId="0595B4F0" w:rsidR="005811C4" w:rsidRDefault="006F63B8" w:rsidP="00095C24">
      <w:pPr>
        <w:pStyle w:val="RECnormaltext"/>
      </w:pPr>
      <w:r>
        <w:t>Historically,</w:t>
      </w:r>
      <w:r w:rsidR="005811C4">
        <w:t xml:space="preserve"> </w:t>
      </w:r>
      <w:r>
        <w:t xml:space="preserve">the </w:t>
      </w:r>
      <w:r w:rsidR="005811C4">
        <w:t>UK</w:t>
      </w:r>
      <w:r>
        <w:t>’s</w:t>
      </w:r>
      <w:r w:rsidR="005811C4">
        <w:t xml:space="preserve"> organics recovery </w:t>
      </w:r>
      <w:r>
        <w:t xml:space="preserve">has been </w:t>
      </w:r>
      <w:r w:rsidR="005811C4">
        <w:t>driven by their</w:t>
      </w:r>
      <w:r w:rsidR="005811C4" w:rsidRPr="006F63B8">
        <w:rPr>
          <w:i/>
          <w:iCs/>
        </w:rPr>
        <w:t xml:space="preserve"> </w:t>
      </w:r>
      <w:r w:rsidRPr="006F63B8">
        <w:rPr>
          <w:i/>
          <w:iCs/>
        </w:rPr>
        <w:t>EU-Landfill Directive (1999/31/EC)</w:t>
      </w:r>
      <w:r w:rsidR="00773B27">
        <w:rPr>
          <w:rStyle w:val="FootnoteReference"/>
          <w:i/>
          <w:iCs/>
        </w:rPr>
        <w:footnoteReference w:id="3"/>
      </w:r>
      <w:r>
        <w:t xml:space="preserve"> </w:t>
      </w:r>
      <w:r w:rsidR="00211B10" w:rsidRPr="00211B10">
        <w:t xml:space="preserve">response </w:t>
      </w:r>
      <w:r w:rsidR="005811C4">
        <w:t xml:space="preserve">that was to </w:t>
      </w:r>
      <w:r w:rsidR="00211B10" w:rsidRPr="00211B10">
        <w:t xml:space="preserve">reduce biodegradable waste landfilled to 35% of 1995 levels by 2020. </w:t>
      </w:r>
    </w:p>
    <w:p w14:paraId="2C310239" w14:textId="1A0ADF6A" w:rsidR="00AC32B9" w:rsidRDefault="00AC32B9" w:rsidP="00AC32B9">
      <w:pPr>
        <w:pStyle w:val="RECnormaltext"/>
      </w:pPr>
      <w:r>
        <w:t>Since leaving the EU</w:t>
      </w:r>
      <w:r w:rsidR="006F63B8">
        <w:t>,</w:t>
      </w:r>
      <w:r>
        <w:t xml:space="preserve"> England and Scotland rely solely on landfill levies to reduce landfilling of </w:t>
      </w:r>
      <w:r w:rsidR="005A42E0">
        <w:t>MSW organics</w:t>
      </w:r>
      <w:r>
        <w:t xml:space="preserve">. Northern Ireland and Wales have a landfill allowances scheme (LAS) in place which requires waste disposal authorities to limit the amount of </w:t>
      </w:r>
      <w:r w:rsidR="005A42E0">
        <w:t xml:space="preserve">MSW organics </w:t>
      </w:r>
      <w:r>
        <w:t>that they send to landfill.</w:t>
      </w:r>
    </w:p>
    <w:p w14:paraId="6CC5DCED" w14:textId="2D1C2E4F" w:rsidR="00AC32B9" w:rsidRDefault="00AC32B9" w:rsidP="00AC32B9">
      <w:pPr>
        <w:pStyle w:val="RECnormaltext"/>
      </w:pPr>
      <w:r>
        <w:t xml:space="preserve">Northern Ireland also has in place the </w:t>
      </w:r>
      <w:r w:rsidRPr="00AC32B9">
        <w:rPr>
          <w:i/>
          <w:iCs/>
        </w:rPr>
        <w:t>Food Waste Regulations (Northern Ireland) (2015)</w:t>
      </w:r>
      <w:r>
        <w:t xml:space="preserve">, which requires the separate collection and subsequent treatment of food waste and prohibits its disposal to sewer. The </w:t>
      </w:r>
      <w:r w:rsidRPr="00AC32B9">
        <w:rPr>
          <w:i/>
          <w:iCs/>
        </w:rPr>
        <w:t>Waste (Scotland) Regulations (2012)</w:t>
      </w:r>
      <w:r>
        <w:t xml:space="preserve"> also require local authorities to offer a food waste recycling service in non-rural areas and places a ban on </w:t>
      </w:r>
      <w:r w:rsidR="005A42E0">
        <w:t xml:space="preserve">MSW organics </w:t>
      </w:r>
      <w:r>
        <w:t xml:space="preserve">going to landfill by 2021. The </w:t>
      </w:r>
      <w:r w:rsidRPr="00AC32B9">
        <w:rPr>
          <w:i/>
          <w:iCs/>
        </w:rPr>
        <w:t>Waste (Wales) Measure (2010)</w:t>
      </w:r>
      <w:r>
        <w:t xml:space="preserve"> sets out requirement</w:t>
      </w:r>
      <w:r w:rsidR="005A42E0">
        <w:t>s</w:t>
      </w:r>
      <w:r>
        <w:t xml:space="preserve"> that every Welsh local authority must meet an annual recycling target (70% by 2025).</w:t>
      </w:r>
    </w:p>
    <w:p w14:paraId="5812C015" w14:textId="286C6384" w:rsidR="00AC32B9" w:rsidRDefault="00AC32B9" w:rsidP="00AC32B9">
      <w:pPr>
        <w:pStyle w:val="RECnormaltext"/>
      </w:pPr>
      <w:r>
        <w:t>WRAP (the Waste &amp; Resources Action Programme) also have several</w:t>
      </w:r>
      <w:r w:rsidR="005A42E0">
        <w:t>,</w:t>
      </w:r>
      <w:r>
        <w:t xml:space="preserve"> UK wide</w:t>
      </w:r>
      <w:r w:rsidR="005A42E0">
        <w:t>,</w:t>
      </w:r>
      <w:r>
        <w:t xml:space="preserve"> food focused programs:</w:t>
      </w:r>
    </w:p>
    <w:p w14:paraId="03B22AF9" w14:textId="5CA08240" w:rsidR="00AC32B9" w:rsidRDefault="00AC32B9" w:rsidP="00353E65">
      <w:pPr>
        <w:pStyle w:val="RECdotpoint"/>
      </w:pPr>
      <w:r w:rsidRPr="00AC32B9">
        <w:rPr>
          <w:rStyle w:val="RECdotnotlistChar"/>
          <w:i/>
          <w:iCs/>
        </w:rPr>
        <w:t>Courtauld Commitment</w:t>
      </w:r>
      <w:r>
        <w:t xml:space="preserve"> – </w:t>
      </w:r>
      <w:r w:rsidR="006F63B8">
        <w:t xml:space="preserve">that </w:t>
      </w:r>
      <w:r>
        <w:t>aims to improve resource efficiency and reduce food waste</w:t>
      </w:r>
    </w:p>
    <w:p w14:paraId="4B07BAA3" w14:textId="5131ABAD" w:rsidR="005B0E39" w:rsidRDefault="00AC32B9" w:rsidP="00353E65">
      <w:pPr>
        <w:pStyle w:val="RECdotpoint"/>
      </w:pPr>
      <w:r w:rsidRPr="005B0E39">
        <w:rPr>
          <w:i/>
          <w:iCs/>
        </w:rPr>
        <w:t>Hospitality and Food Service Agreement</w:t>
      </w:r>
      <w:r>
        <w:t xml:space="preserve"> – </w:t>
      </w:r>
      <w:r w:rsidR="006F63B8">
        <w:t xml:space="preserve">that </w:t>
      </w:r>
      <w:r>
        <w:t xml:space="preserve">aims </w:t>
      </w:r>
      <w:r w:rsidR="005B0E39">
        <w:t>to</w:t>
      </w:r>
      <w:r>
        <w:t xml:space="preserve"> </w:t>
      </w:r>
      <w:r w:rsidR="005B0E39">
        <w:t>improve food waste recovery from these sectors</w:t>
      </w:r>
    </w:p>
    <w:p w14:paraId="1B795553" w14:textId="41E1E29E" w:rsidR="005B0E39" w:rsidRDefault="005B0E39" w:rsidP="005B0E39">
      <w:pPr>
        <w:pStyle w:val="RECdotpoint"/>
      </w:pPr>
      <w:r w:rsidRPr="005B0E39">
        <w:rPr>
          <w:i/>
          <w:iCs/>
        </w:rPr>
        <w:t>‘</w:t>
      </w:r>
      <w:r w:rsidR="00AC32B9" w:rsidRPr="005B0E39">
        <w:rPr>
          <w:i/>
          <w:iCs/>
        </w:rPr>
        <w:t>Love Food Hate Waste’</w:t>
      </w:r>
      <w:r w:rsidR="00AC32B9">
        <w:t xml:space="preserve"> campaign</w:t>
      </w:r>
      <w:r>
        <w:t xml:space="preserve"> – a </w:t>
      </w:r>
      <w:r w:rsidR="006F63B8">
        <w:t xml:space="preserve">community </w:t>
      </w:r>
      <w:r>
        <w:t>engagement and information campaign to reduce food waste generation and improve recovery.</w:t>
      </w:r>
    </w:p>
    <w:p w14:paraId="66E772BC" w14:textId="1E1EB010" w:rsidR="00095C24" w:rsidRDefault="00095C24" w:rsidP="00095C24">
      <w:pPr>
        <w:pStyle w:val="RECnormaltext"/>
      </w:pPr>
      <w:r>
        <w:t xml:space="preserve">WRAP 2020 estimated annual food waste arisings in UK households, hospitality and food service (HaFS), food manufacture, retail and wholesale sectors in 2018 at around 9.5 million tonnes. </w:t>
      </w:r>
    </w:p>
    <w:p w14:paraId="09A173E2" w14:textId="6C19D75A" w:rsidR="00D262B0" w:rsidRDefault="00D262B0" w:rsidP="00095C24">
      <w:pPr>
        <w:pStyle w:val="RECnormaltext"/>
      </w:pPr>
      <w:r>
        <w:t xml:space="preserve">Figure </w:t>
      </w:r>
      <w:r w:rsidR="00095626">
        <w:t>10</w:t>
      </w:r>
      <w:r>
        <w:t xml:space="preserve"> </w:t>
      </w:r>
      <w:r w:rsidR="008374EA">
        <w:t xml:space="preserve">includes the food waste generating sectors (WRAP 2020 page 2). Households (or MSW) generated 70% of the UK food waste and the remaining </w:t>
      </w:r>
      <w:r w:rsidR="00F459B0">
        <w:t xml:space="preserve">30% of </w:t>
      </w:r>
      <w:r w:rsidR="008374EA">
        <w:t xml:space="preserve">food waste </w:t>
      </w:r>
      <w:r w:rsidR="005A42E0">
        <w:t>was t</w:t>
      </w:r>
      <w:r w:rsidR="008374EA">
        <w:t>he C&amp;I stream.</w:t>
      </w:r>
    </w:p>
    <w:p w14:paraId="279A72CE" w14:textId="3CF0CC69" w:rsidR="005B0E39" w:rsidRDefault="005B0E39" w:rsidP="00095C24">
      <w:pPr>
        <w:pStyle w:val="RECnormaltext"/>
      </w:pPr>
    </w:p>
    <w:p w14:paraId="7CDEA338" w14:textId="7FC913A8" w:rsidR="0097403A" w:rsidRDefault="0097403A" w:rsidP="00095C24">
      <w:pPr>
        <w:pStyle w:val="RECnormaltext"/>
      </w:pPr>
    </w:p>
    <w:p w14:paraId="2B71F9D3" w14:textId="1940FA46" w:rsidR="00095C24" w:rsidRDefault="00095C24" w:rsidP="00095C24">
      <w:pPr>
        <w:pStyle w:val="Caption"/>
      </w:pPr>
      <w:bookmarkStart w:id="26" w:name="_Ref42769699"/>
      <w:r>
        <w:lastRenderedPageBreak/>
        <w:t xml:space="preserve">Figure </w:t>
      </w:r>
      <w:r w:rsidR="001F08F2">
        <w:fldChar w:fldCharType="begin"/>
      </w:r>
      <w:r w:rsidR="001F08F2">
        <w:instrText xml:space="preserve"> SEQ Figure \* ARABIC </w:instrText>
      </w:r>
      <w:r w:rsidR="001F08F2">
        <w:fldChar w:fldCharType="separate"/>
      </w:r>
      <w:r w:rsidR="004925FA">
        <w:rPr>
          <w:noProof/>
        </w:rPr>
        <w:t>10</w:t>
      </w:r>
      <w:r w:rsidR="001F08F2">
        <w:rPr>
          <w:noProof/>
        </w:rPr>
        <w:fldChar w:fldCharType="end"/>
      </w:r>
      <w:bookmarkEnd w:id="26"/>
      <w:r>
        <w:t xml:space="preserve"> UK food waste generation by sector 2018 (millions of tonnes)</w:t>
      </w:r>
    </w:p>
    <w:p w14:paraId="34618522" w14:textId="73EB0D94" w:rsidR="00095C24" w:rsidRDefault="005B0E39" w:rsidP="00095C24">
      <w:pPr>
        <w:pStyle w:val="RECnormaltext"/>
      </w:pPr>
      <w:r>
        <w:rPr>
          <w:noProof/>
        </w:rPr>
        <w:drawing>
          <wp:anchor distT="0" distB="0" distL="114300" distR="114300" simplePos="0" relativeHeight="251651072" behindDoc="0" locked="0" layoutInCell="1" allowOverlap="1" wp14:anchorId="33CF07D5" wp14:editId="19D51149">
            <wp:simplePos x="0" y="0"/>
            <wp:positionH relativeFrom="column">
              <wp:posOffset>1052195</wp:posOffset>
            </wp:positionH>
            <wp:positionV relativeFrom="paragraph">
              <wp:posOffset>109382</wp:posOffset>
            </wp:positionV>
            <wp:extent cx="3626485" cy="20046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a:ext>
                      </a:extLst>
                    </a:blip>
                    <a:stretch>
                      <a:fillRect/>
                    </a:stretch>
                  </pic:blipFill>
                  <pic:spPr>
                    <a:xfrm>
                      <a:off x="0" y="0"/>
                      <a:ext cx="3626485" cy="2004695"/>
                    </a:xfrm>
                    <a:prstGeom prst="rect">
                      <a:avLst/>
                    </a:prstGeom>
                  </pic:spPr>
                </pic:pic>
              </a:graphicData>
            </a:graphic>
          </wp:anchor>
        </w:drawing>
      </w:r>
    </w:p>
    <w:p w14:paraId="052275A0" w14:textId="233A5DA8" w:rsidR="00095C24" w:rsidRDefault="00095C24" w:rsidP="00095C24">
      <w:pPr>
        <w:pStyle w:val="RECnormaltext"/>
      </w:pPr>
    </w:p>
    <w:p w14:paraId="2EE0E11B" w14:textId="71AF5812" w:rsidR="00095C24" w:rsidRDefault="00095C24" w:rsidP="00095C24">
      <w:pPr>
        <w:pStyle w:val="RECnormaltext"/>
        <w:jc w:val="center"/>
      </w:pPr>
    </w:p>
    <w:p w14:paraId="739E139C" w14:textId="77777777" w:rsidR="00095C24" w:rsidRDefault="00095C24" w:rsidP="00095C24">
      <w:pPr>
        <w:pStyle w:val="RECnormaltext"/>
      </w:pPr>
    </w:p>
    <w:p w14:paraId="4C37F86D" w14:textId="77777777" w:rsidR="00095C24" w:rsidRDefault="00095C24" w:rsidP="000B0B81">
      <w:pPr>
        <w:pStyle w:val="RECnormaltext"/>
      </w:pPr>
    </w:p>
    <w:p w14:paraId="7A8D92EF" w14:textId="2043E26D" w:rsidR="00095C24" w:rsidRDefault="00095C24" w:rsidP="000B0B81">
      <w:pPr>
        <w:pStyle w:val="RECnormaltext"/>
      </w:pPr>
    </w:p>
    <w:p w14:paraId="67523235" w14:textId="754986BE" w:rsidR="00095C24" w:rsidRDefault="00095C24" w:rsidP="000B0B81">
      <w:pPr>
        <w:pStyle w:val="RECnormaltext"/>
      </w:pPr>
    </w:p>
    <w:p w14:paraId="20C32CC6" w14:textId="7A99643E" w:rsidR="00095C24" w:rsidRDefault="00095C24" w:rsidP="000B0B81">
      <w:pPr>
        <w:pStyle w:val="RECnormaltext"/>
      </w:pPr>
    </w:p>
    <w:p w14:paraId="530A2FEA" w14:textId="77777777" w:rsidR="00DE3EFA" w:rsidRDefault="00DE3EFA" w:rsidP="00372F4D">
      <w:pPr>
        <w:pStyle w:val="RECnormaltext"/>
      </w:pPr>
    </w:p>
    <w:p w14:paraId="0148ED10" w14:textId="36811E69" w:rsidR="00083985" w:rsidRDefault="00372F4D" w:rsidP="00B6007E">
      <w:pPr>
        <w:pStyle w:val="RECnormaltext"/>
      </w:pPr>
      <w:r>
        <w:t xml:space="preserve">WRAP 2020, page 3, also details the management of food waste in the UK in 2018. Figure </w:t>
      </w:r>
      <w:r w:rsidR="00095626">
        <w:t>11</w:t>
      </w:r>
      <w:r>
        <w:t xml:space="preserve"> includes the WRAP 2020 summary and it shows that of the 9.5 Mt of food waste generated: 1.9 Mt </w:t>
      </w:r>
      <w:r w:rsidR="00423857">
        <w:t xml:space="preserve">(20%) </w:t>
      </w:r>
      <w:r>
        <w:t>was recycled by composting or anerobic digestion</w:t>
      </w:r>
      <w:r w:rsidR="000C6EE5">
        <w:t>;</w:t>
      </w:r>
      <w:r>
        <w:t xml:space="preserve"> 4.4 </w:t>
      </w:r>
      <w:r w:rsidR="00423857">
        <w:t xml:space="preserve">Mt (46%) </w:t>
      </w:r>
      <w:r>
        <w:t xml:space="preserve">was sent to energy recovery or </w:t>
      </w:r>
      <w:r w:rsidR="00936CDB">
        <w:t>‘</w:t>
      </w:r>
      <w:r>
        <w:t>landspreading</w:t>
      </w:r>
      <w:r w:rsidR="00936CDB">
        <w:t>’</w:t>
      </w:r>
      <w:r w:rsidR="00380632">
        <w:rPr>
          <w:rStyle w:val="FootnoteReference"/>
        </w:rPr>
        <w:footnoteReference w:id="4"/>
      </w:r>
      <w:r>
        <w:t xml:space="preserve"> and 3.2 Mt (34%) was sent to landfill</w:t>
      </w:r>
      <w:r w:rsidR="00423857">
        <w:t xml:space="preserve">. </w:t>
      </w:r>
      <w:bookmarkStart w:id="27" w:name="_Ref40782543"/>
    </w:p>
    <w:p w14:paraId="4F6EC3E2" w14:textId="187CEB31" w:rsidR="000B0B81" w:rsidRDefault="000C6EE5" w:rsidP="000B0B81">
      <w:pPr>
        <w:pStyle w:val="Caption"/>
      </w:pPr>
      <w:r w:rsidRPr="000C6EE5">
        <w:rPr>
          <w:noProof/>
        </w:rPr>
        <w:drawing>
          <wp:anchor distT="0" distB="0" distL="114300" distR="114300" simplePos="0" relativeHeight="251665408" behindDoc="0" locked="0" layoutInCell="1" allowOverlap="1" wp14:anchorId="4616078F" wp14:editId="49717DE0">
            <wp:simplePos x="0" y="0"/>
            <wp:positionH relativeFrom="margin">
              <wp:posOffset>-223406</wp:posOffset>
            </wp:positionH>
            <wp:positionV relativeFrom="paragraph">
              <wp:posOffset>165431</wp:posOffset>
            </wp:positionV>
            <wp:extent cx="6391369" cy="4858603"/>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392671" cy="4859593"/>
                    </a:xfrm>
                    <a:prstGeom prst="rect">
                      <a:avLst/>
                    </a:prstGeom>
                  </pic:spPr>
                </pic:pic>
              </a:graphicData>
            </a:graphic>
            <wp14:sizeRelH relativeFrom="margin">
              <wp14:pctWidth>0</wp14:pctWidth>
            </wp14:sizeRelH>
            <wp14:sizeRelV relativeFrom="margin">
              <wp14:pctHeight>0</wp14:pctHeight>
            </wp14:sizeRelV>
          </wp:anchor>
        </w:drawing>
      </w:r>
      <w:r w:rsidR="000B0B81">
        <w:t xml:space="preserve">Figure </w:t>
      </w:r>
      <w:r w:rsidR="001F08F2">
        <w:fldChar w:fldCharType="begin"/>
      </w:r>
      <w:r w:rsidR="001F08F2">
        <w:instrText xml:space="preserve"> SEQ Figure \* ARABIC </w:instrText>
      </w:r>
      <w:r w:rsidR="001F08F2">
        <w:fldChar w:fldCharType="separate"/>
      </w:r>
      <w:r w:rsidR="004925FA">
        <w:rPr>
          <w:noProof/>
        </w:rPr>
        <w:t>11</w:t>
      </w:r>
      <w:r w:rsidR="001F08F2">
        <w:rPr>
          <w:noProof/>
        </w:rPr>
        <w:fldChar w:fldCharType="end"/>
      </w:r>
      <w:bookmarkEnd w:id="27"/>
      <w:r w:rsidR="000B0B81">
        <w:t xml:space="preserve"> UK</w:t>
      </w:r>
      <w:r w:rsidR="00372F4D">
        <w:t xml:space="preserve"> food waste management summary in 2018 </w:t>
      </w:r>
    </w:p>
    <w:p w14:paraId="31947F98" w14:textId="5B7A3DF2" w:rsidR="00E138F0" w:rsidRDefault="00E138F0" w:rsidP="00F75EF8">
      <w:pPr>
        <w:pStyle w:val="RECnormaltext"/>
      </w:pPr>
      <w:bookmarkStart w:id="28" w:name="_Toc40923320"/>
      <w:r>
        <w:lastRenderedPageBreak/>
        <w:t xml:space="preserve">The UK has very </w:t>
      </w:r>
      <w:r w:rsidR="002F4CAF">
        <w:t>well-established</w:t>
      </w:r>
      <w:r>
        <w:t xml:space="preserve"> organics collection and processing infrastructure. </w:t>
      </w:r>
    </w:p>
    <w:p w14:paraId="2EB0E459" w14:textId="395F7250" w:rsidR="00E138F0" w:rsidRDefault="00E138F0" w:rsidP="00F75EF8">
      <w:pPr>
        <w:pStyle w:val="RECnormaltext"/>
      </w:pPr>
      <w:r>
        <w:t>Regarding organics collection, a</w:t>
      </w:r>
      <w:r w:rsidR="00F75EF8">
        <w:t>ccording to WRAP’s</w:t>
      </w:r>
      <w:r>
        <w:t xml:space="preserve"> statistics </w:t>
      </w:r>
      <w:hyperlink r:id="rId36" w:history="1">
        <w:r w:rsidRPr="00E138F0">
          <w:rPr>
            <w:rStyle w:val="Hyperlink"/>
          </w:rPr>
          <w:t>website</w:t>
        </w:r>
      </w:hyperlink>
      <w:r w:rsidR="00F75EF8">
        <w:t>, in 2016/2017</w:t>
      </w:r>
      <w:r>
        <w:t>:</w:t>
      </w:r>
    </w:p>
    <w:p w14:paraId="4F99388D" w14:textId="1911B234" w:rsidR="00E138F0" w:rsidRDefault="00F75EF8" w:rsidP="00E138F0">
      <w:pPr>
        <w:pStyle w:val="RECdotpoint"/>
      </w:pPr>
      <w:r>
        <w:t xml:space="preserve">almost 96% of all households </w:t>
      </w:r>
      <w:r w:rsidR="00E138F0">
        <w:t xml:space="preserve">in the UK </w:t>
      </w:r>
      <w:r>
        <w:t xml:space="preserve">were connected to a separate collection scheme for </w:t>
      </w:r>
      <w:r w:rsidR="00E138F0">
        <w:t xml:space="preserve">garden organics </w:t>
      </w:r>
      <w:r>
        <w:t>waste</w:t>
      </w:r>
    </w:p>
    <w:p w14:paraId="0AD16157" w14:textId="77777777" w:rsidR="00E138F0" w:rsidRDefault="00F75EF8" w:rsidP="00E138F0">
      <w:pPr>
        <w:pStyle w:val="RECdotpoint"/>
      </w:pPr>
      <w:r>
        <w:t>about 38% of all households were connected to a separate kerbside collection for food waste</w:t>
      </w:r>
    </w:p>
    <w:p w14:paraId="1F774421" w14:textId="3DCBD2DD" w:rsidR="00F75EF8" w:rsidRDefault="00E138F0" w:rsidP="00353E65">
      <w:pPr>
        <w:pStyle w:val="RECdotpoint"/>
      </w:pPr>
      <w:r>
        <w:t xml:space="preserve">and </w:t>
      </w:r>
      <w:r w:rsidR="00F75EF8">
        <w:t xml:space="preserve">another 19% </w:t>
      </w:r>
      <w:r>
        <w:t xml:space="preserve">were connected to </w:t>
      </w:r>
      <w:r w:rsidR="00F75EF8">
        <w:t>commingled collection of both food</w:t>
      </w:r>
      <w:r>
        <w:t xml:space="preserve"> </w:t>
      </w:r>
      <w:r w:rsidR="00F75EF8">
        <w:t>and g</w:t>
      </w:r>
      <w:r w:rsidR="0067536C">
        <w:t>arden</w:t>
      </w:r>
      <w:r w:rsidR="00F75EF8">
        <w:t xml:space="preserve"> waste </w:t>
      </w:r>
      <w:r>
        <w:t>(FOGO)</w:t>
      </w:r>
      <w:r w:rsidR="00F75EF8">
        <w:t>.</w:t>
      </w:r>
    </w:p>
    <w:p w14:paraId="1A808AE6" w14:textId="1C5C1A02" w:rsidR="00E138F0" w:rsidRDefault="00E138F0" w:rsidP="00F75EF8">
      <w:pPr>
        <w:pStyle w:val="RECnormaltext"/>
      </w:pPr>
      <w:r>
        <w:t>Regarding organics processing, ISWA 2020 explains:</w:t>
      </w:r>
    </w:p>
    <w:p w14:paraId="1702E342" w14:textId="7723F1C0" w:rsidR="00E138F0" w:rsidRDefault="00F75EF8" w:rsidP="00353E65">
      <w:pPr>
        <w:pStyle w:val="RECdotpoint"/>
      </w:pPr>
      <w:r>
        <w:t xml:space="preserve">362 composting facilities and 259 </w:t>
      </w:r>
      <w:r w:rsidR="00E138F0">
        <w:t>anerobic digestion (AD) plants</w:t>
      </w:r>
      <w:r w:rsidR="00176D1F">
        <w:t xml:space="preserve"> were operating in 2012</w:t>
      </w:r>
    </w:p>
    <w:p w14:paraId="001DCE4D" w14:textId="403EE92E" w:rsidR="00E138F0" w:rsidRDefault="00E138F0" w:rsidP="00353E65">
      <w:pPr>
        <w:pStyle w:val="RECdotpoint"/>
      </w:pPr>
      <w:r>
        <w:t xml:space="preserve">162 of the </w:t>
      </w:r>
      <w:r w:rsidR="00F75EF8">
        <w:t xml:space="preserve">operating AD plants in the UK, </w:t>
      </w:r>
      <w:r>
        <w:t>were processing primary production wastes directly from farms</w:t>
      </w:r>
    </w:p>
    <w:p w14:paraId="0D5D1B48" w14:textId="7B83AEB2" w:rsidR="00482CF8" w:rsidRDefault="000F2FFF" w:rsidP="00482CF8">
      <w:pPr>
        <w:pStyle w:val="RECdotpoint"/>
      </w:pPr>
      <w:r>
        <w:t>f</w:t>
      </w:r>
      <w:r w:rsidR="00E138F0">
        <w:t xml:space="preserve">or </w:t>
      </w:r>
      <w:r w:rsidR="00F75EF8">
        <w:t>AD plants (both urban and agricultural) the</w:t>
      </w:r>
      <w:r w:rsidR="00E138F0">
        <w:t xml:space="preserve"> </w:t>
      </w:r>
      <w:r w:rsidR="00F75EF8">
        <w:t xml:space="preserve">largest volume of feedstock recycled was </w:t>
      </w:r>
      <w:r w:rsidR="00E138F0">
        <w:t>p</w:t>
      </w:r>
      <w:r w:rsidR="00F75EF8">
        <w:t>ostconsumer</w:t>
      </w:r>
      <w:r w:rsidR="00E138F0">
        <w:t xml:space="preserve"> </w:t>
      </w:r>
      <w:r w:rsidR="00F75EF8">
        <w:t>food waste (35%) followed by crops</w:t>
      </w:r>
      <w:r w:rsidR="00E138F0">
        <w:t xml:space="preserve"> </w:t>
      </w:r>
      <w:r w:rsidR="00F75EF8">
        <w:t>(26%).</w:t>
      </w:r>
    </w:p>
    <w:p w14:paraId="2B28DC7A" w14:textId="47A9D55F" w:rsidR="00482CF8" w:rsidRDefault="00687C5C" w:rsidP="00482CF8">
      <w:pPr>
        <w:pStyle w:val="RECnormaltext"/>
      </w:pPr>
      <w:r>
        <w:t>EC</w:t>
      </w:r>
      <w:r w:rsidR="00770CCF">
        <w:t>N</w:t>
      </w:r>
      <w:r>
        <w:t xml:space="preserve"> 2017</w:t>
      </w:r>
      <w:r w:rsidR="007B74E6">
        <w:t xml:space="preserve"> (</w:t>
      </w:r>
      <w:r>
        <w:t>b</w:t>
      </w:r>
      <w:r w:rsidR="007B74E6">
        <w:t>)</w:t>
      </w:r>
      <w:r>
        <w:t xml:space="preserve"> provides a summary of the market distribution for recycled organics, from composting </w:t>
      </w:r>
      <w:r w:rsidR="00770CCF">
        <w:t xml:space="preserve">facilities, in 2012, and in included below. Agriculture and horticulture markets dominated at around 80% of the composting off-take market. </w:t>
      </w:r>
    </w:p>
    <w:p w14:paraId="0C639B50" w14:textId="3E315CA0" w:rsidR="00482CF8" w:rsidRDefault="00482CF8" w:rsidP="00482CF8">
      <w:pPr>
        <w:pStyle w:val="Caption"/>
      </w:pPr>
      <w:r>
        <w:t xml:space="preserve">Figure </w:t>
      </w:r>
      <w:r w:rsidR="001F08F2">
        <w:fldChar w:fldCharType="begin"/>
      </w:r>
      <w:r w:rsidR="001F08F2">
        <w:instrText xml:space="preserve"> SEQ Figure \* ARABIC </w:instrText>
      </w:r>
      <w:r w:rsidR="001F08F2">
        <w:fldChar w:fldCharType="separate"/>
      </w:r>
      <w:r w:rsidR="004925FA">
        <w:rPr>
          <w:noProof/>
        </w:rPr>
        <w:t>12</w:t>
      </w:r>
      <w:r w:rsidR="001F08F2">
        <w:rPr>
          <w:noProof/>
        </w:rPr>
        <w:fldChar w:fldCharType="end"/>
      </w:r>
      <w:r>
        <w:t xml:space="preserve"> UK recycled organics market distribution 2012 (ECN 2017 b)</w:t>
      </w:r>
    </w:p>
    <w:p w14:paraId="4942CF60" w14:textId="443E5CC4" w:rsidR="00482CF8" w:rsidRPr="00482CF8" w:rsidRDefault="00381589" w:rsidP="00482CF8">
      <w:pPr>
        <w:pStyle w:val="RECnormaltext"/>
      </w:pPr>
      <w:r>
        <w:rPr>
          <w:noProof/>
        </w:rPr>
        <w:drawing>
          <wp:anchor distT="0" distB="0" distL="114300" distR="114300" simplePos="0" relativeHeight="251664384" behindDoc="0" locked="0" layoutInCell="1" allowOverlap="1" wp14:anchorId="2B0AA4C9" wp14:editId="27799EAD">
            <wp:simplePos x="0" y="0"/>
            <wp:positionH relativeFrom="margin">
              <wp:align>right</wp:align>
            </wp:positionH>
            <wp:positionV relativeFrom="paragraph">
              <wp:posOffset>235585</wp:posOffset>
            </wp:positionV>
            <wp:extent cx="5835650" cy="29203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835650" cy="2920365"/>
                    </a:xfrm>
                    <a:prstGeom prst="rect">
                      <a:avLst/>
                    </a:prstGeom>
                    <a:ln>
                      <a:noFill/>
                    </a:ln>
                    <a:extLst>
                      <a:ext uri="{53640926-AAD7-44D8-BBD7-CCE9431645EC}">
                        <a14:shadowObscured xmlns:a14="http://schemas.microsoft.com/office/drawing/2010/main"/>
                      </a:ext>
                    </a:extLst>
                  </pic:spPr>
                </pic:pic>
              </a:graphicData>
            </a:graphic>
          </wp:anchor>
        </w:drawing>
      </w:r>
    </w:p>
    <w:p w14:paraId="0495718D" w14:textId="5FA47C38" w:rsidR="00482CF8" w:rsidRDefault="00482CF8" w:rsidP="00381589">
      <w:pPr>
        <w:pStyle w:val="RECnormaltext"/>
        <w:jc w:val="center"/>
      </w:pPr>
    </w:p>
    <w:p w14:paraId="74026691" w14:textId="7C5005AA" w:rsidR="00770CCF" w:rsidRDefault="00770CCF" w:rsidP="00770CCF">
      <w:pPr>
        <w:pStyle w:val="RECnormaltext"/>
      </w:pPr>
      <w:r>
        <w:t xml:space="preserve">ECN 2017 b also notes that in 2014 over </w:t>
      </w:r>
      <w:r w:rsidRPr="00770CCF">
        <w:t xml:space="preserve">4.5 </w:t>
      </w:r>
      <w:r>
        <w:t xml:space="preserve">Mt </w:t>
      </w:r>
      <w:r w:rsidRPr="00770CCF">
        <w:t>of digestate was produced</w:t>
      </w:r>
      <w:r>
        <w:t xml:space="preserve"> from AD facilities and that </w:t>
      </w:r>
      <w:r w:rsidRPr="00770CCF">
        <w:t xml:space="preserve">over 2.4 </w:t>
      </w:r>
      <w:r>
        <w:t xml:space="preserve">Mt </w:t>
      </w:r>
      <w:r w:rsidRPr="00770CCF">
        <w:t>of digestate</w:t>
      </w:r>
      <w:r>
        <w:t xml:space="preserve"> (54%)</w:t>
      </w:r>
      <w:r w:rsidRPr="00770CCF">
        <w:t xml:space="preserve"> was certified </w:t>
      </w:r>
      <w:r w:rsidR="007B74E6">
        <w:t>at</w:t>
      </w:r>
      <w:r>
        <w:t xml:space="preserve"> </w:t>
      </w:r>
      <w:r w:rsidRPr="00770CCF">
        <w:t>42 AD facilities</w:t>
      </w:r>
      <w:r>
        <w:t xml:space="preserve"> for land application and this would have been </w:t>
      </w:r>
      <w:r w:rsidRPr="00770CCF">
        <w:t>applied to agricultural land.</w:t>
      </w:r>
    </w:p>
    <w:p w14:paraId="5BB8BA06" w14:textId="6449F6FF" w:rsidR="00482CF8" w:rsidRDefault="00482CF8" w:rsidP="00482CF8">
      <w:pPr>
        <w:pStyle w:val="RECnormaltext"/>
      </w:pPr>
      <w:r>
        <w:br w:type="page"/>
      </w:r>
    </w:p>
    <w:p w14:paraId="4FEB3279" w14:textId="2EDA60CE" w:rsidR="000B0B81" w:rsidRDefault="00923448" w:rsidP="00F74740">
      <w:pPr>
        <w:pStyle w:val="Heading2"/>
      </w:pPr>
      <w:bookmarkStart w:id="29" w:name="_Toc46851540"/>
      <w:r>
        <w:lastRenderedPageBreak/>
        <w:t>Italy</w:t>
      </w:r>
      <w:bookmarkEnd w:id="28"/>
      <w:bookmarkEnd w:id="29"/>
    </w:p>
    <w:p w14:paraId="5CBDE2FE" w14:textId="3BEF6CEB" w:rsidR="00F74740" w:rsidRDefault="00B36188" w:rsidP="000B0B81">
      <w:pPr>
        <w:pStyle w:val="RECnormaltext"/>
      </w:pPr>
      <w:r>
        <w:t xml:space="preserve">According to ISWA 2020, in 2016, Italy generated around 30 Mt of MSW of which around 8 Mt </w:t>
      </w:r>
      <w:r w:rsidR="00E90822">
        <w:t>was</w:t>
      </w:r>
      <w:r>
        <w:t xml:space="preserve"> organic wastes</w:t>
      </w:r>
      <w:r w:rsidR="00E90822">
        <w:t>. A</w:t>
      </w:r>
      <w:r>
        <w:t xml:space="preserve">round 6 Mt </w:t>
      </w:r>
      <w:r w:rsidR="00151970">
        <w:t>or 72%</w:t>
      </w:r>
      <w:r w:rsidR="00E90822">
        <w:t xml:space="preserve"> of MSW organics generation </w:t>
      </w:r>
      <w:r w:rsidR="00151970">
        <w:t>was recovered</w:t>
      </w:r>
      <w:r w:rsidR="00E90822">
        <w:t xml:space="preserve"> of which around </w:t>
      </w:r>
      <w:r w:rsidR="00F4367B">
        <w:br/>
      </w:r>
      <w:r w:rsidR="00E90822">
        <w:t>4 Mt</w:t>
      </w:r>
      <w:r w:rsidR="00F4367B">
        <w:t xml:space="preserve"> was food organics</w:t>
      </w:r>
      <w:r w:rsidR="00151970">
        <w:t>.</w:t>
      </w:r>
      <w:r w:rsidR="00E90822">
        <w:t xml:space="preserve"> </w:t>
      </w:r>
      <w:r w:rsidR="000B0B81">
        <w:t xml:space="preserve"> </w:t>
      </w:r>
    </w:p>
    <w:p w14:paraId="6B325A2C" w14:textId="2C5CB1A7" w:rsidR="00BE0E96" w:rsidRDefault="00BE0E96" w:rsidP="00BE0E96">
      <w:pPr>
        <w:pStyle w:val="RECnormaltext"/>
      </w:pPr>
      <w:r>
        <w:t xml:space="preserve">The Italian </w:t>
      </w:r>
      <w:r w:rsidRPr="00BE0E96">
        <w:rPr>
          <w:i/>
          <w:iCs/>
        </w:rPr>
        <w:t>Waste Framework Law (DL 152/2006)</w:t>
      </w:r>
      <w:r>
        <w:rPr>
          <w:i/>
          <w:iCs/>
        </w:rPr>
        <w:t xml:space="preserve">, </w:t>
      </w:r>
      <w:r>
        <w:t>2006, requires single municipalities to collect separately and recycle a minimum of 65% of all MSW. This has driven separate collection of organic waste, in particular food waste.</w:t>
      </w:r>
      <w:r w:rsidR="00E41133">
        <w:t xml:space="preserve"> </w:t>
      </w:r>
      <w:r>
        <w:t xml:space="preserve">Compost </w:t>
      </w:r>
      <w:r w:rsidR="00E41133">
        <w:t>that is generated from source separated organics has been deemed a p</w:t>
      </w:r>
      <w:r>
        <w:t>roduct</w:t>
      </w:r>
      <w:r w:rsidR="00E41133">
        <w:t xml:space="preserve"> in Italy for about 20 years. Digestate from AD facilities, however, is considered a waste and needs to be composted before use as </w:t>
      </w:r>
      <w:r>
        <w:t>a soil</w:t>
      </w:r>
      <w:r w:rsidR="00E41133">
        <w:t xml:space="preserve"> </w:t>
      </w:r>
      <w:r>
        <w:t>conditioner or organic fertiliser.</w:t>
      </w:r>
    </w:p>
    <w:p w14:paraId="47457670" w14:textId="4EDD85C5" w:rsidR="007B74E6" w:rsidRDefault="00BE619D" w:rsidP="000B0B81">
      <w:pPr>
        <w:pStyle w:val="RECnormaltext"/>
      </w:pPr>
      <w:r>
        <w:t xml:space="preserve">Italy has a network of around 330 composting and AD facilities to process segregated MSW organics. </w:t>
      </w:r>
      <w:r w:rsidR="00A006EE">
        <w:t xml:space="preserve">Around half of </w:t>
      </w:r>
      <w:r w:rsidR="00031123">
        <w:t xml:space="preserve">Italy’s </w:t>
      </w:r>
      <w:r w:rsidR="00A006EE">
        <w:t xml:space="preserve">4 Mt of food recovery was processed by composting facilities with the other half </w:t>
      </w:r>
      <w:r w:rsidR="00031123">
        <w:t xml:space="preserve">processed by </w:t>
      </w:r>
      <w:r w:rsidR="00A006EE">
        <w:t>AD facilities. Almost all of Italy’s garden organics were processed by composting facilities.</w:t>
      </w:r>
      <w:r w:rsidR="007B74E6">
        <w:rPr>
          <w:rStyle w:val="FootnoteReference"/>
        </w:rPr>
        <w:footnoteReference w:id="5"/>
      </w:r>
      <w:r w:rsidR="00A006EE">
        <w:t xml:space="preserve"> </w:t>
      </w:r>
    </w:p>
    <w:p w14:paraId="3946A984" w14:textId="3B05062C" w:rsidR="002C7915" w:rsidRDefault="002C7915" w:rsidP="000B0B81">
      <w:pPr>
        <w:pStyle w:val="RECnormaltext"/>
      </w:pPr>
      <w:r>
        <w:t xml:space="preserve">Italy’s 2016 recovery rate </w:t>
      </w:r>
      <w:r w:rsidR="00A6672B">
        <w:t xml:space="preserve">for </w:t>
      </w:r>
      <w:r>
        <w:t xml:space="preserve">MSW organics of 70% is consistent with the UK </w:t>
      </w:r>
      <w:r w:rsidR="00A6672B">
        <w:t>recovery rate for organics and is in stark contrast with Australia’s MSW organics recovery rate of 37% in 2017. Like the UK, Italy has achieved high rates of MSW organics recovery through source segregation of food and garden organics and processing via a combination of composting</w:t>
      </w:r>
      <w:r w:rsidR="00212E1B">
        <w:t xml:space="preserve"> (for garden and some food)</w:t>
      </w:r>
      <w:r w:rsidR="00A6672B">
        <w:t xml:space="preserve"> and AD</w:t>
      </w:r>
      <w:r w:rsidR="00212E1B">
        <w:t xml:space="preserve"> (for food wastes)</w:t>
      </w:r>
      <w:r w:rsidR="00A6672B">
        <w:t>.</w:t>
      </w:r>
    </w:p>
    <w:p w14:paraId="606E1183" w14:textId="77777777" w:rsidR="00212E1B" w:rsidRDefault="00212E1B" w:rsidP="000B0B81">
      <w:pPr>
        <w:pStyle w:val="RECnormaltext"/>
      </w:pPr>
    </w:p>
    <w:p w14:paraId="5A23C490" w14:textId="77777777" w:rsidR="00212E1B" w:rsidRDefault="00A6672B" w:rsidP="00A6672B">
      <w:pPr>
        <w:pStyle w:val="RECnormaltext"/>
        <w:shd w:val="clear" w:color="auto" w:fill="BFBFBF" w:themeFill="background1" w:themeFillShade="BF"/>
      </w:pPr>
      <w:bookmarkStart w:id="30" w:name="_Hlk42962233"/>
      <w:r w:rsidRPr="00817E63">
        <w:rPr>
          <w:b/>
          <w:bCs/>
        </w:rPr>
        <w:t>Potential opportunity:</w:t>
      </w:r>
      <w:r>
        <w:t xml:space="preserve"> </w:t>
      </w:r>
    </w:p>
    <w:p w14:paraId="5B5F27F1" w14:textId="422B617A" w:rsidR="00212E1B" w:rsidRDefault="00212E1B" w:rsidP="00A6672B">
      <w:pPr>
        <w:pStyle w:val="RECnormaltext"/>
        <w:shd w:val="clear" w:color="auto" w:fill="BFBFBF" w:themeFill="background1" w:themeFillShade="BF"/>
      </w:pPr>
      <w:r>
        <w:t>I</w:t>
      </w:r>
      <w:r w:rsidR="00A6672B">
        <w:t xml:space="preserve">f Australia were to recover food waste at the same rate as the UK and Italy (70%), an </w:t>
      </w:r>
      <w:r w:rsidR="00A6672B" w:rsidRPr="00212E1B">
        <w:rPr>
          <w:u w:val="single"/>
        </w:rPr>
        <w:t>additional</w:t>
      </w:r>
      <w:r w:rsidR="00A6672B">
        <w:t xml:space="preserve"> </w:t>
      </w:r>
      <w:r w:rsidR="00644DD2">
        <w:br/>
      </w:r>
      <w:r w:rsidR="00A6672B">
        <w:t xml:space="preserve">2.5 Mt of food waste would be recovered, above 2017 recovery tonnages. </w:t>
      </w:r>
    </w:p>
    <w:p w14:paraId="2F883BD0" w14:textId="77777777" w:rsidR="005F0997" w:rsidRDefault="00A6672B" w:rsidP="00A6672B">
      <w:pPr>
        <w:pStyle w:val="RECnormaltext"/>
        <w:shd w:val="clear" w:color="auto" w:fill="BFBFBF" w:themeFill="background1" w:themeFillShade="BF"/>
      </w:pPr>
      <w:r>
        <w:t xml:space="preserve">This </w:t>
      </w:r>
      <w:bookmarkEnd w:id="30"/>
      <w:r>
        <w:t xml:space="preserve">would </w:t>
      </w:r>
      <w:r w:rsidR="00212E1B">
        <w:t xml:space="preserve">almost </w:t>
      </w:r>
      <w:r>
        <w:t xml:space="preserve">meet </w:t>
      </w:r>
      <w:r w:rsidR="00212E1B">
        <w:t xml:space="preserve">the </w:t>
      </w:r>
      <w:r w:rsidRPr="0024607A">
        <w:rPr>
          <w:i/>
          <w:iCs/>
        </w:rPr>
        <w:t>National Waste Policy Action Plan</w:t>
      </w:r>
      <w:r>
        <w:t xml:space="preserve"> Target 6 (</w:t>
      </w:r>
      <w:r w:rsidR="005F0997">
        <w:t>h</w:t>
      </w:r>
      <w:r>
        <w:t xml:space="preserve">alf </w:t>
      </w:r>
      <w:r w:rsidR="005F0997">
        <w:t xml:space="preserve">organics </w:t>
      </w:r>
      <w:r>
        <w:t xml:space="preserve">to landfill). </w:t>
      </w:r>
    </w:p>
    <w:p w14:paraId="3004CBBB" w14:textId="4BEBC8EE" w:rsidR="00A6672B" w:rsidRDefault="00A6672B" w:rsidP="00A6672B">
      <w:pPr>
        <w:pStyle w:val="RECnormaltext"/>
        <w:shd w:val="clear" w:color="auto" w:fill="BFBFBF" w:themeFill="background1" w:themeFillShade="BF"/>
      </w:pPr>
      <w:r>
        <w:t>It would also result in an overall organics recovery rate of 79% and almost meet Target 3 (</w:t>
      </w:r>
      <w:r w:rsidRPr="00AF5053">
        <w:t>80% average resource recovery rate</w:t>
      </w:r>
      <w:r>
        <w:t xml:space="preserve">) for the organics stream, further illustrating the need to focus on food waste. </w:t>
      </w:r>
    </w:p>
    <w:p w14:paraId="4308A0DF" w14:textId="28CCB0CE" w:rsidR="00A6672B" w:rsidRDefault="00A6672B" w:rsidP="00A6672B">
      <w:pPr>
        <w:pStyle w:val="RECnormaltext"/>
        <w:shd w:val="clear" w:color="auto" w:fill="BFBFBF" w:themeFill="background1" w:themeFillShade="BF"/>
      </w:pPr>
      <w:r>
        <w:t>To achieve the UK and Italian food waste recovery rate would require a major increase in energy recovery from food organics via AD and/or major increases in food waste composting. It would also require a national program for the implementation of FOGO collections from households</w:t>
      </w:r>
      <w:r w:rsidR="00644DD2">
        <w:t xml:space="preserve"> </w:t>
      </w:r>
      <w:r w:rsidR="00644DD2">
        <w:rPr>
          <w:rFonts w:eastAsia="Times New Roman"/>
          <w:lang w:val="en-US"/>
        </w:rPr>
        <w:t>and possibly from businesses</w:t>
      </w:r>
      <w:r>
        <w:t>.</w:t>
      </w:r>
    </w:p>
    <w:p w14:paraId="04E0F34A" w14:textId="6A71E46B" w:rsidR="00482CF8" w:rsidRDefault="00482CF8">
      <w:pPr>
        <w:rPr>
          <w:rFonts w:asciiTheme="minorHAnsi" w:hAnsiTheme="minorHAnsi" w:cs="Arial"/>
          <w:color w:val="auto"/>
          <w:szCs w:val="20"/>
        </w:rPr>
      </w:pPr>
      <w:r>
        <w:br w:type="page"/>
      </w:r>
    </w:p>
    <w:p w14:paraId="657A2E00" w14:textId="1EA87EC0" w:rsidR="00B6007E" w:rsidRDefault="00B6007E" w:rsidP="00B6007E">
      <w:pPr>
        <w:pStyle w:val="Heading2"/>
      </w:pPr>
      <w:bookmarkStart w:id="31" w:name="_Toc46851541"/>
      <w:bookmarkStart w:id="32" w:name="_Toc40923321"/>
      <w:r>
        <w:lastRenderedPageBreak/>
        <w:t>Germany</w:t>
      </w:r>
      <w:bookmarkEnd w:id="31"/>
    </w:p>
    <w:p w14:paraId="39B3DE72" w14:textId="7EB52E4B" w:rsidR="00E01E6F" w:rsidRDefault="0084059B" w:rsidP="00E01E6F">
      <w:pPr>
        <w:pStyle w:val="RECnormaltext"/>
      </w:pPr>
      <w:r>
        <w:t>EEA 2013 explains that i</w:t>
      </w:r>
      <w:r w:rsidR="00E01E6F">
        <w:t xml:space="preserve">n the early 2000’s Germany implemented strong responses to the </w:t>
      </w:r>
      <w:r w:rsidR="00923E8A" w:rsidRPr="006F63B8">
        <w:rPr>
          <w:i/>
          <w:iCs/>
        </w:rPr>
        <w:t>EU-Landfill Directive (1999/31/EC)</w:t>
      </w:r>
      <w:r w:rsidR="00923E8A">
        <w:t xml:space="preserve"> </w:t>
      </w:r>
      <w:r w:rsidR="00E01E6F">
        <w:t>that included</w:t>
      </w:r>
      <w:r>
        <w:t xml:space="preserve"> the following:</w:t>
      </w:r>
    </w:p>
    <w:p w14:paraId="21DE87C1" w14:textId="4EBAD0AB" w:rsidR="0084059B" w:rsidRPr="0084059B" w:rsidRDefault="00407324" w:rsidP="0084059B">
      <w:pPr>
        <w:pStyle w:val="RECdotpoint"/>
      </w:pPr>
      <w:r>
        <w:t xml:space="preserve">a </w:t>
      </w:r>
      <w:r w:rsidR="0084059B" w:rsidRPr="0084059B">
        <w:t>max</w:t>
      </w:r>
      <w:r>
        <w:t xml:space="preserve">imum of </w:t>
      </w:r>
      <w:r w:rsidR="0084059B" w:rsidRPr="0084059B">
        <w:t xml:space="preserve">5 % carbon content in waste direct landfilled </w:t>
      </w:r>
    </w:p>
    <w:p w14:paraId="60C219F2" w14:textId="1A84525C" w:rsidR="00E01E6F" w:rsidRDefault="00407324" w:rsidP="00E01E6F">
      <w:pPr>
        <w:pStyle w:val="RECdotpoint"/>
      </w:pPr>
      <w:r>
        <w:t>n</w:t>
      </w:r>
      <w:r w:rsidR="0084059B">
        <w:t xml:space="preserve">o </w:t>
      </w:r>
      <w:r w:rsidR="00E01E6F">
        <w:t>biodegradable waste to landfills by 2006</w:t>
      </w:r>
    </w:p>
    <w:p w14:paraId="73B229FD" w14:textId="4AA6F67C" w:rsidR="00A460AA" w:rsidRDefault="0084059B" w:rsidP="00E01E6F">
      <w:pPr>
        <w:pStyle w:val="RECdotpoint"/>
      </w:pPr>
      <w:r>
        <w:t>m</w:t>
      </w:r>
      <w:r w:rsidR="00E01E6F">
        <w:t xml:space="preserve">andatory separate collection of </w:t>
      </w:r>
      <w:r w:rsidR="00407324">
        <w:t xml:space="preserve">organics </w:t>
      </w:r>
      <w:r w:rsidR="0055193C">
        <w:t>implemented in 2015</w:t>
      </w:r>
      <w:r>
        <w:t>.</w:t>
      </w:r>
    </w:p>
    <w:p w14:paraId="1A71704C" w14:textId="6F03C218" w:rsidR="00E01E6F" w:rsidRDefault="003945AD" w:rsidP="005F0997">
      <w:pPr>
        <w:pStyle w:val="RECnormaltext"/>
      </w:pPr>
      <w:r>
        <w:t>ISWA 2020 details Germany’s amount of organic waste (‘biowaste’) recovery compared to other countries across the EU. In 2016, Germany recovered 113 kg/capita of organic waste</w:t>
      </w:r>
      <w:r w:rsidR="00644DD2">
        <w:t>. T</w:t>
      </w:r>
      <w:r w:rsidR="005F0997">
        <w:t xml:space="preserve">hat </w:t>
      </w:r>
      <w:r>
        <w:t>is significantly higher tha</w:t>
      </w:r>
      <w:r w:rsidR="005F0997">
        <w:t>n</w:t>
      </w:r>
      <w:r>
        <w:t xml:space="preserve"> the EU average of 78 kg/capita, reflecting the large variance in organics recovery</w:t>
      </w:r>
      <w:r w:rsidR="007E3E6F">
        <w:t xml:space="preserve"> that has been achieved across the EU with differing implementation of </w:t>
      </w:r>
      <w:r w:rsidR="00923E8A">
        <w:t xml:space="preserve">the </w:t>
      </w:r>
      <w:r w:rsidR="00923E8A" w:rsidRPr="006F63B8">
        <w:rPr>
          <w:i/>
          <w:iCs/>
        </w:rPr>
        <w:t>EU-Landfill Directive (1999/31/EC)</w:t>
      </w:r>
      <w:r w:rsidR="007E3E6F">
        <w:t>.</w:t>
      </w:r>
      <w:r w:rsidR="000E0C5C">
        <w:t xml:space="preserve"> </w:t>
      </w:r>
    </w:p>
    <w:p w14:paraId="0CB54666" w14:textId="7A8425E4" w:rsidR="00BC040D" w:rsidRDefault="00BC040D" w:rsidP="00A460AA">
      <w:pPr>
        <w:pStyle w:val="RECdotpoint"/>
        <w:numPr>
          <w:ilvl w:val="0"/>
          <w:numId w:val="0"/>
        </w:numPr>
      </w:pPr>
      <w:r>
        <w:fldChar w:fldCharType="begin"/>
      </w:r>
      <w:r>
        <w:instrText xml:space="preserve"> REF _Ref42959270 \h </w:instrText>
      </w:r>
      <w:r>
        <w:fldChar w:fldCharType="separate"/>
      </w:r>
      <w:r w:rsidR="004925FA">
        <w:t xml:space="preserve">Figure </w:t>
      </w:r>
      <w:r w:rsidR="004925FA">
        <w:rPr>
          <w:noProof/>
        </w:rPr>
        <w:t>13</w:t>
      </w:r>
      <w:r>
        <w:fldChar w:fldCharType="end"/>
      </w:r>
      <w:r>
        <w:t xml:space="preserve"> includes a chart f</w:t>
      </w:r>
      <w:r w:rsidR="005F0997">
        <w:t xml:space="preserve">rom </w:t>
      </w:r>
      <w:r>
        <w:t xml:space="preserve">EEA </w:t>
      </w:r>
      <w:r w:rsidR="005F0997">
        <w:t xml:space="preserve">2013. It </w:t>
      </w:r>
      <w:r>
        <w:t xml:space="preserve">illustrates Germany’s rate of landfilling of biodegradable wastes (all organic wastes) and the </w:t>
      </w:r>
      <w:r w:rsidRPr="006F63B8">
        <w:rPr>
          <w:i/>
          <w:iCs/>
        </w:rPr>
        <w:t>EU-Landfill Directive (1999/31/EC)</w:t>
      </w:r>
      <w:r>
        <w:rPr>
          <w:i/>
          <w:iCs/>
        </w:rPr>
        <w:t xml:space="preserve"> </w:t>
      </w:r>
      <w:r>
        <w:t xml:space="preserve">targets </w:t>
      </w:r>
      <w:r w:rsidR="005F0997">
        <w:t>for</w:t>
      </w:r>
      <w:r>
        <w:t xml:space="preserve"> the progressive reduction of biodegradable waste landfilling from levels landfilled in 1995</w:t>
      </w:r>
      <w:r w:rsidR="005F0997">
        <w:t>.</w:t>
      </w:r>
      <w:r>
        <w:t xml:space="preserve"> The chart illustrates that since 2006 Germany have effectively not sent untreated organic waste to landfill.</w:t>
      </w:r>
    </w:p>
    <w:p w14:paraId="6903CA4C" w14:textId="67829DEF" w:rsidR="00923E8A" w:rsidRDefault="00B811A2" w:rsidP="00B811A2">
      <w:pPr>
        <w:pStyle w:val="Caption"/>
      </w:pPr>
      <w:bookmarkStart w:id="33" w:name="_Ref42959270"/>
      <w:r>
        <w:rPr>
          <w:noProof/>
        </w:rPr>
        <w:drawing>
          <wp:anchor distT="0" distB="0" distL="114300" distR="114300" simplePos="0" relativeHeight="251659264" behindDoc="0" locked="0" layoutInCell="1" allowOverlap="1" wp14:anchorId="65CBBE56" wp14:editId="7DFF23A6">
            <wp:simplePos x="0" y="0"/>
            <wp:positionH relativeFrom="margin">
              <wp:align>left</wp:align>
            </wp:positionH>
            <wp:positionV relativeFrom="paragraph">
              <wp:posOffset>248285</wp:posOffset>
            </wp:positionV>
            <wp:extent cx="5521960" cy="2981325"/>
            <wp:effectExtent l="0" t="0" r="254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521960" cy="298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4" w:name="_Hlk42961511"/>
      <w:r>
        <w:t xml:space="preserve">Figure </w:t>
      </w:r>
      <w:r w:rsidR="001F08F2">
        <w:fldChar w:fldCharType="begin"/>
      </w:r>
      <w:r w:rsidR="001F08F2">
        <w:instrText xml:space="preserve"> SEQ Figure \* ARABIC </w:instrText>
      </w:r>
      <w:r w:rsidR="001F08F2">
        <w:fldChar w:fldCharType="separate"/>
      </w:r>
      <w:r w:rsidR="004925FA">
        <w:rPr>
          <w:noProof/>
        </w:rPr>
        <w:t>13</w:t>
      </w:r>
      <w:r w:rsidR="001F08F2">
        <w:rPr>
          <w:noProof/>
        </w:rPr>
        <w:fldChar w:fldCharType="end"/>
      </w:r>
      <w:bookmarkEnd w:id="33"/>
      <w:r>
        <w:t xml:space="preserve"> Germany’s landfilling of biodegradable waste and EU landfill directive targets</w:t>
      </w:r>
      <w:bookmarkEnd w:id="34"/>
    </w:p>
    <w:p w14:paraId="7D5D92A1" w14:textId="77777777" w:rsidR="00253A47" w:rsidRDefault="00253A47" w:rsidP="00454BCE">
      <w:pPr>
        <w:pStyle w:val="RECnormaltext"/>
      </w:pPr>
    </w:p>
    <w:p w14:paraId="72F62AA1" w14:textId="4007914A" w:rsidR="00811A3C" w:rsidRDefault="00454BCE" w:rsidP="00454BCE">
      <w:pPr>
        <w:pStyle w:val="RECnormaltext"/>
      </w:pPr>
      <w:r>
        <w:t>BMU 2018 explains that in 2015, Germany processed around 7.4 Mt of organics at 868 composting facilities, and 6.5 Mt of organics at 1,392 AD facilities (including combined digestion and composting facilities). The organics were processed into 4 Mt of compost and 4 Mt of AD digestate for use in various sectors as fertilisers or soil additives.</w:t>
      </w:r>
    </w:p>
    <w:p w14:paraId="7D9BEBD1" w14:textId="00F1868A" w:rsidR="00454BCE" w:rsidRDefault="006E727D" w:rsidP="006E727D">
      <w:pPr>
        <w:pStyle w:val="RECnormaltext"/>
      </w:pPr>
      <w:r>
        <w:fldChar w:fldCharType="begin"/>
      </w:r>
      <w:r>
        <w:instrText xml:space="preserve"> REF _Ref42961756 \h </w:instrText>
      </w:r>
      <w:r>
        <w:fldChar w:fldCharType="separate"/>
      </w:r>
      <w:r w:rsidR="004925FA">
        <w:t xml:space="preserve">Figure </w:t>
      </w:r>
      <w:r w:rsidR="004925FA">
        <w:rPr>
          <w:noProof/>
        </w:rPr>
        <w:t>14</w:t>
      </w:r>
      <w:r>
        <w:fldChar w:fldCharType="end"/>
      </w:r>
      <w:r>
        <w:t xml:space="preserve"> includes BMU 2018’s analysis of the </w:t>
      </w:r>
      <w:r w:rsidR="005F0997">
        <w:t xml:space="preserve">off-take markets for </w:t>
      </w:r>
      <w:r>
        <w:t>composting and AD processes. Of particular note is the 62% of compost being used in the agriculture and forestry industries and that almost all AD digestate is used in agriculture and forestry.</w:t>
      </w:r>
    </w:p>
    <w:p w14:paraId="44276D97" w14:textId="09E0B9E4" w:rsidR="00454BCE" w:rsidRDefault="00454BCE" w:rsidP="006E727D">
      <w:pPr>
        <w:pStyle w:val="RECnormaltext"/>
      </w:pPr>
    </w:p>
    <w:p w14:paraId="0D4819C0" w14:textId="22109DE3" w:rsidR="00253A47" w:rsidRDefault="00253A47" w:rsidP="006E727D">
      <w:pPr>
        <w:pStyle w:val="RECnormaltext"/>
      </w:pPr>
    </w:p>
    <w:p w14:paraId="1E6C64DE" w14:textId="27E9939F" w:rsidR="000911E6" w:rsidRDefault="002D5863" w:rsidP="00810C30">
      <w:pPr>
        <w:pStyle w:val="Caption"/>
      </w:pPr>
      <w:bookmarkStart w:id="35" w:name="_Ref42961756"/>
      <w:r>
        <w:rPr>
          <w:noProof/>
        </w:rPr>
        <w:lastRenderedPageBreak/>
        <w:drawing>
          <wp:anchor distT="0" distB="0" distL="114300" distR="114300" simplePos="0" relativeHeight="251660288" behindDoc="0" locked="0" layoutInCell="1" allowOverlap="1" wp14:anchorId="6FE6AF45" wp14:editId="66171C9D">
            <wp:simplePos x="0" y="0"/>
            <wp:positionH relativeFrom="margin">
              <wp:align>left</wp:align>
            </wp:positionH>
            <wp:positionV relativeFrom="paragraph">
              <wp:posOffset>160020</wp:posOffset>
            </wp:positionV>
            <wp:extent cx="4902835" cy="22923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902835" cy="2292350"/>
                    </a:xfrm>
                    <a:prstGeom prst="rect">
                      <a:avLst/>
                    </a:prstGeom>
                  </pic:spPr>
                </pic:pic>
              </a:graphicData>
            </a:graphic>
            <wp14:sizeRelH relativeFrom="margin">
              <wp14:pctWidth>0</wp14:pctWidth>
            </wp14:sizeRelH>
            <wp14:sizeRelV relativeFrom="margin">
              <wp14:pctHeight>0</wp14:pctHeight>
            </wp14:sizeRelV>
          </wp:anchor>
        </w:drawing>
      </w:r>
      <w:r w:rsidR="00810C30">
        <w:t xml:space="preserve">Figure </w:t>
      </w:r>
      <w:r w:rsidR="001F08F2">
        <w:fldChar w:fldCharType="begin"/>
      </w:r>
      <w:r w:rsidR="001F08F2">
        <w:instrText xml:space="preserve"> SEQ Figure \* ARABIC </w:instrText>
      </w:r>
      <w:r w:rsidR="001F08F2">
        <w:fldChar w:fldCharType="separate"/>
      </w:r>
      <w:r w:rsidR="004925FA">
        <w:rPr>
          <w:noProof/>
        </w:rPr>
        <w:t>14</w:t>
      </w:r>
      <w:r w:rsidR="001F08F2">
        <w:rPr>
          <w:noProof/>
        </w:rPr>
        <w:fldChar w:fldCharType="end"/>
      </w:r>
      <w:bookmarkEnd w:id="35"/>
      <w:r w:rsidR="00810C30">
        <w:t xml:space="preserve"> Germany’s use of (a) composting and (b) AD </w:t>
      </w:r>
      <w:r w:rsidR="00342B3F">
        <w:t xml:space="preserve">off-take markets </w:t>
      </w:r>
      <w:r w:rsidR="00810C30">
        <w:t>2015 (BMU 2018)</w:t>
      </w:r>
    </w:p>
    <w:p w14:paraId="242350CA" w14:textId="454D616D" w:rsidR="00253A47" w:rsidRDefault="002D5863" w:rsidP="00A460AA">
      <w:pPr>
        <w:pStyle w:val="RECdotpoint"/>
        <w:numPr>
          <w:ilvl w:val="0"/>
          <w:numId w:val="0"/>
        </w:numPr>
      </w:pPr>
      <w:r w:rsidRPr="002C6CDE">
        <w:rPr>
          <w:noProof/>
        </w:rPr>
        <mc:AlternateContent>
          <mc:Choice Requires="wps">
            <w:drawing>
              <wp:anchor distT="0" distB="0" distL="114300" distR="114300" simplePos="0" relativeHeight="251662336" behindDoc="0" locked="0" layoutInCell="1" allowOverlap="1" wp14:anchorId="23781EEC" wp14:editId="449F6F5C">
                <wp:simplePos x="0" y="0"/>
                <wp:positionH relativeFrom="margin">
                  <wp:align>left</wp:align>
                </wp:positionH>
                <wp:positionV relativeFrom="paragraph">
                  <wp:posOffset>6350</wp:posOffset>
                </wp:positionV>
                <wp:extent cx="396240" cy="344805"/>
                <wp:effectExtent l="0" t="0" r="3810" b="0"/>
                <wp:wrapSquare wrapText="bothSides"/>
                <wp:docPr id="28" name="Text Box 28"/>
                <wp:cNvGraphicFramePr/>
                <a:graphic xmlns:a="http://schemas.openxmlformats.org/drawingml/2006/main">
                  <a:graphicData uri="http://schemas.microsoft.com/office/word/2010/wordprocessingShape">
                    <wps:wsp>
                      <wps:cNvSpPr txBox="1"/>
                      <wps:spPr>
                        <a:xfrm>
                          <a:off x="0" y="0"/>
                          <a:ext cx="396240" cy="344805"/>
                        </a:xfrm>
                        <a:prstGeom prst="rect">
                          <a:avLst/>
                        </a:prstGeom>
                        <a:solidFill>
                          <a:schemeClr val="lt1"/>
                        </a:solidFill>
                        <a:ln w="6350">
                          <a:noFill/>
                        </a:ln>
                      </wps:spPr>
                      <wps:txbx>
                        <w:txbxContent>
                          <w:p w14:paraId="7AC24CAB" w14:textId="77777777" w:rsidR="009238BE" w:rsidRPr="004A1450" w:rsidRDefault="009238BE" w:rsidP="002C6CDE">
                            <w:pPr>
                              <w:rPr>
                                <w:b/>
                                <w:bCs/>
                              </w:rPr>
                            </w:pPr>
                            <w:r w:rsidRPr="004A1450">
                              <w:rPr>
                                <w:b/>
                                <w:bCs/>
                              </w:rPr>
                              <w:t>(</w:t>
                            </w:r>
                            <w:r>
                              <w:rPr>
                                <w:b/>
                                <w:bCs/>
                              </w:rPr>
                              <w:t>a</w:t>
                            </w:r>
                            <w:r w:rsidRPr="004A1450">
                              <w:rPr>
                                <w:b/>
                                <w:bCs/>
                              </w:rPr>
                              <w:t>)</w:t>
                            </w:r>
                          </w:p>
                          <w:p w14:paraId="0B043AC1" w14:textId="77777777" w:rsidR="009238BE" w:rsidRPr="004A1450" w:rsidRDefault="009238BE" w:rsidP="002C6CD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81EEC" id="Text Box 28" o:spid="_x0000_s1033" type="#_x0000_t202" style="position:absolute;margin-left:0;margin-top:.5pt;width:31.2pt;height:27.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" fillcolor="white [3201]" stroked="f" strokeweight=".5pt">
                <v:textbox>
                  <w:txbxContent>
                    <w:p w14:paraId="7AC24CAB" w14:textId="77777777" w:rsidR="009238BE" w:rsidRPr="004A1450" w:rsidRDefault="009238BE" w:rsidP="002C6CDE">
                      <w:pPr>
                        <w:rPr>
                          <w:b/>
                          <w:bCs/>
                        </w:rPr>
                      </w:pPr>
                      <w:r w:rsidRPr="004A1450">
                        <w:rPr>
                          <w:b/>
                          <w:bCs/>
                        </w:rPr>
                        <w:t>(</w:t>
                      </w:r>
                      <w:r>
                        <w:rPr>
                          <w:b/>
                          <w:bCs/>
                        </w:rPr>
                        <w:t>a</w:t>
                      </w:r>
                      <w:r w:rsidRPr="004A1450">
                        <w:rPr>
                          <w:b/>
                          <w:bCs/>
                        </w:rPr>
                        <w:t>)</w:t>
                      </w:r>
                    </w:p>
                    <w:p w14:paraId="0B043AC1" w14:textId="77777777" w:rsidR="009238BE" w:rsidRPr="004A1450" w:rsidRDefault="009238BE" w:rsidP="002C6CDE">
                      <w:pPr>
                        <w:rPr>
                          <w:b/>
                          <w:bCs/>
                        </w:rPr>
                      </w:pPr>
                    </w:p>
                  </w:txbxContent>
                </v:textbox>
                <w10:wrap type="square" anchorx="margin"/>
              </v:shape>
            </w:pict>
          </mc:Fallback>
        </mc:AlternateContent>
      </w:r>
    </w:p>
    <w:p w14:paraId="69FD4689" w14:textId="77777777" w:rsidR="002D5863" w:rsidRDefault="002D5863" w:rsidP="00A460AA">
      <w:pPr>
        <w:pStyle w:val="RECdotpoint"/>
        <w:numPr>
          <w:ilvl w:val="0"/>
          <w:numId w:val="0"/>
        </w:numPr>
      </w:pPr>
    </w:p>
    <w:p w14:paraId="5C538CDB" w14:textId="77777777" w:rsidR="002D5863" w:rsidRDefault="002D5863" w:rsidP="00A460AA">
      <w:pPr>
        <w:pStyle w:val="RECdotpoint"/>
        <w:numPr>
          <w:ilvl w:val="0"/>
          <w:numId w:val="0"/>
        </w:numPr>
      </w:pPr>
    </w:p>
    <w:p w14:paraId="618E8B49" w14:textId="77777777" w:rsidR="002D5863" w:rsidRDefault="002D5863" w:rsidP="00A460AA">
      <w:pPr>
        <w:pStyle w:val="RECdotpoint"/>
        <w:numPr>
          <w:ilvl w:val="0"/>
          <w:numId w:val="0"/>
        </w:numPr>
      </w:pPr>
    </w:p>
    <w:p w14:paraId="08C317E1" w14:textId="77777777" w:rsidR="002D5863" w:rsidRDefault="002D5863" w:rsidP="00A460AA">
      <w:pPr>
        <w:pStyle w:val="RECdotpoint"/>
        <w:numPr>
          <w:ilvl w:val="0"/>
          <w:numId w:val="0"/>
        </w:numPr>
      </w:pPr>
    </w:p>
    <w:p w14:paraId="6E91F974" w14:textId="77777777" w:rsidR="002D5863" w:rsidRDefault="002D5863" w:rsidP="00A460AA">
      <w:pPr>
        <w:pStyle w:val="RECdotpoint"/>
        <w:numPr>
          <w:ilvl w:val="0"/>
          <w:numId w:val="0"/>
        </w:numPr>
      </w:pPr>
    </w:p>
    <w:p w14:paraId="549CB73A" w14:textId="77777777" w:rsidR="002D5863" w:rsidRDefault="002D5863" w:rsidP="00A460AA">
      <w:pPr>
        <w:pStyle w:val="RECdotpoint"/>
        <w:numPr>
          <w:ilvl w:val="0"/>
          <w:numId w:val="0"/>
        </w:numPr>
      </w:pPr>
    </w:p>
    <w:p w14:paraId="53DE5CB0" w14:textId="77777777" w:rsidR="002D5863" w:rsidRDefault="002D5863" w:rsidP="00A460AA">
      <w:pPr>
        <w:pStyle w:val="RECdotpoint"/>
        <w:numPr>
          <w:ilvl w:val="0"/>
          <w:numId w:val="0"/>
        </w:numPr>
      </w:pPr>
    </w:p>
    <w:p w14:paraId="75D22D63" w14:textId="5527C56B" w:rsidR="002D5863" w:rsidRDefault="0058295D" w:rsidP="00A460AA">
      <w:pPr>
        <w:pStyle w:val="RECdotpoint"/>
        <w:numPr>
          <w:ilvl w:val="0"/>
          <w:numId w:val="0"/>
        </w:numPr>
      </w:pPr>
      <w:r w:rsidRPr="002C6CDE">
        <w:rPr>
          <w:noProof/>
        </w:rPr>
        <mc:AlternateContent>
          <mc:Choice Requires="wps">
            <w:drawing>
              <wp:anchor distT="0" distB="0" distL="114300" distR="114300" simplePos="0" relativeHeight="251663360" behindDoc="0" locked="0" layoutInCell="1" allowOverlap="1" wp14:anchorId="0AF63CB8" wp14:editId="74D97C63">
                <wp:simplePos x="0" y="0"/>
                <wp:positionH relativeFrom="margin">
                  <wp:posOffset>0</wp:posOffset>
                </wp:positionH>
                <wp:positionV relativeFrom="paragraph">
                  <wp:posOffset>265430</wp:posOffset>
                </wp:positionV>
                <wp:extent cx="396240" cy="344805"/>
                <wp:effectExtent l="0" t="0" r="3810" b="0"/>
                <wp:wrapSquare wrapText="bothSides"/>
                <wp:docPr id="29" name="Text Box 29"/>
                <wp:cNvGraphicFramePr/>
                <a:graphic xmlns:a="http://schemas.openxmlformats.org/drawingml/2006/main">
                  <a:graphicData uri="http://schemas.microsoft.com/office/word/2010/wordprocessingShape">
                    <wps:wsp>
                      <wps:cNvSpPr txBox="1"/>
                      <wps:spPr>
                        <a:xfrm>
                          <a:off x="0" y="0"/>
                          <a:ext cx="396240" cy="344805"/>
                        </a:xfrm>
                        <a:prstGeom prst="rect">
                          <a:avLst/>
                        </a:prstGeom>
                        <a:solidFill>
                          <a:schemeClr val="lt1"/>
                        </a:solidFill>
                        <a:ln w="6350">
                          <a:noFill/>
                        </a:ln>
                      </wps:spPr>
                      <wps:txbx>
                        <w:txbxContent>
                          <w:p w14:paraId="31DD4115" w14:textId="77777777" w:rsidR="009238BE" w:rsidRPr="004A1450" w:rsidRDefault="009238BE" w:rsidP="002C6CDE">
                            <w:pPr>
                              <w:rPr>
                                <w:b/>
                                <w:bCs/>
                              </w:rPr>
                            </w:pPr>
                            <w:r w:rsidRPr="004A1450">
                              <w:rPr>
                                <w:b/>
                                <w:bCs/>
                              </w:rPr>
                              <w:t>(</w:t>
                            </w:r>
                            <w:r>
                              <w:rPr>
                                <w:b/>
                                <w:bCs/>
                              </w:rPr>
                              <w:t>b</w:t>
                            </w:r>
                            <w:r w:rsidRPr="004A1450">
                              <w:rPr>
                                <w:b/>
                                <w:bCs/>
                              </w:rPr>
                              <w:t>)</w:t>
                            </w:r>
                          </w:p>
                          <w:p w14:paraId="101680BF" w14:textId="77777777" w:rsidR="009238BE" w:rsidRPr="004A1450" w:rsidRDefault="009238BE" w:rsidP="002C6CD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63CB8" id="Text Box 29" o:spid="_x0000_s1034" type="#_x0000_t202" style="position:absolute;margin-left:0;margin-top:20.9pt;width:31.2pt;height:27.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" fillcolor="white [3201]" stroked="f" strokeweight=".5pt">
                <v:textbox>
                  <w:txbxContent>
                    <w:p w14:paraId="31DD4115" w14:textId="77777777" w:rsidR="009238BE" w:rsidRPr="004A1450" w:rsidRDefault="009238BE" w:rsidP="002C6CDE">
                      <w:pPr>
                        <w:rPr>
                          <w:b/>
                          <w:bCs/>
                        </w:rPr>
                      </w:pPr>
                      <w:r w:rsidRPr="004A1450">
                        <w:rPr>
                          <w:b/>
                          <w:bCs/>
                        </w:rPr>
                        <w:t>(</w:t>
                      </w:r>
                      <w:r>
                        <w:rPr>
                          <w:b/>
                          <w:bCs/>
                        </w:rPr>
                        <w:t>b</w:t>
                      </w:r>
                      <w:r w:rsidRPr="004A1450">
                        <w:rPr>
                          <w:b/>
                          <w:bCs/>
                        </w:rPr>
                        <w:t>)</w:t>
                      </w:r>
                    </w:p>
                    <w:p w14:paraId="101680BF" w14:textId="77777777" w:rsidR="009238BE" w:rsidRPr="004A1450" w:rsidRDefault="009238BE" w:rsidP="002C6CDE">
                      <w:pPr>
                        <w:rPr>
                          <w:b/>
                          <w:bCs/>
                        </w:rPr>
                      </w:pPr>
                    </w:p>
                  </w:txbxContent>
                </v:textbox>
                <w10:wrap type="square" anchorx="margin"/>
              </v:shape>
            </w:pict>
          </mc:Fallback>
        </mc:AlternateContent>
      </w:r>
    </w:p>
    <w:p w14:paraId="56DECE9B" w14:textId="64A626B4" w:rsidR="002D5863" w:rsidRDefault="002D5863" w:rsidP="00A460AA">
      <w:pPr>
        <w:pStyle w:val="RECdotpoint"/>
        <w:numPr>
          <w:ilvl w:val="0"/>
          <w:numId w:val="0"/>
        </w:numPr>
      </w:pPr>
      <w:r>
        <w:rPr>
          <w:noProof/>
        </w:rPr>
        <w:drawing>
          <wp:anchor distT="0" distB="0" distL="114300" distR="114300" simplePos="0" relativeHeight="251661312" behindDoc="0" locked="0" layoutInCell="1" allowOverlap="1" wp14:anchorId="75C6C931" wp14:editId="7BDEAAE1">
            <wp:simplePos x="0" y="0"/>
            <wp:positionH relativeFrom="margin">
              <wp:posOffset>0</wp:posOffset>
            </wp:positionH>
            <wp:positionV relativeFrom="paragraph">
              <wp:posOffset>70040</wp:posOffset>
            </wp:positionV>
            <wp:extent cx="4902835" cy="2311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902835" cy="2311400"/>
                    </a:xfrm>
                    <a:prstGeom prst="rect">
                      <a:avLst/>
                    </a:prstGeom>
                  </pic:spPr>
                </pic:pic>
              </a:graphicData>
            </a:graphic>
            <wp14:sizeRelH relativeFrom="margin">
              <wp14:pctWidth>0</wp14:pctWidth>
            </wp14:sizeRelH>
            <wp14:sizeRelV relativeFrom="margin">
              <wp14:pctHeight>0</wp14:pctHeight>
            </wp14:sizeRelV>
          </wp:anchor>
        </w:drawing>
      </w:r>
    </w:p>
    <w:p w14:paraId="3B55F57F" w14:textId="77777777" w:rsidR="002D5863" w:rsidRDefault="002D5863" w:rsidP="00A460AA">
      <w:pPr>
        <w:pStyle w:val="RECdotpoint"/>
        <w:numPr>
          <w:ilvl w:val="0"/>
          <w:numId w:val="0"/>
        </w:numPr>
      </w:pPr>
    </w:p>
    <w:p w14:paraId="0951B993" w14:textId="07057477" w:rsidR="002D5863" w:rsidRDefault="002D5863" w:rsidP="00A460AA">
      <w:pPr>
        <w:pStyle w:val="RECdotpoint"/>
        <w:numPr>
          <w:ilvl w:val="0"/>
          <w:numId w:val="0"/>
        </w:numPr>
      </w:pPr>
    </w:p>
    <w:p w14:paraId="49BA7858" w14:textId="77777777" w:rsidR="002D5863" w:rsidRDefault="002D5863" w:rsidP="00A460AA">
      <w:pPr>
        <w:pStyle w:val="RECdotpoint"/>
        <w:numPr>
          <w:ilvl w:val="0"/>
          <w:numId w:val="0"/>
        </w:numPr>
      </w:pPr>
    </w:p>
    <w:p w14:paraId="68110732" w14:textId="23F6A333" w:rsidR="002D5863" w:rsidRDefault="002D5863" w:rsidP="00A460AA">
      <w:pPr>
        <w:pStyle w:val="RECdotpoint"/>
        <w:numPr>
          <w:ilvl w:val="0"/>
          <w:numId w:val="0"/>
        </w:numPr>
      </w:pPr>
    </w:p>
    <w:p w14:paraId="79B0D083" w14:textId="77777777" w:rsidR="002D5863" w:rsidRDefault="002D5863" w:rsidP="00A460AA">
      <w:pPr>
        <w:pStyle w:val="RECdotpoint"/>
        <w:numPr>
          <w:ilvl w:val="0"/>
          <w:numId w:val="0"/>
        </w:numPr>
      </w:pPr>
    </w:p>
    <w:p w14:paraId="113E224B" w14:textId="4F75FDF4" w:rsidR="002D5863" w:rsidRDefault="002D5863" w:rsidP="00A460AA">
      <w:pPr>
        <w:pStyle w:val="RECdotpoint"/>
        <w:numPr>
          <w:ilvl w:val="0"/>
          <w:numId w:val="0"/>
        </w:numPr>
      </w:pPr>
    </w:p>
    <w:p w14:paraId="46FE9126" w14:textId="77777777" w:rsidR="002D5863" w:rsidRDefault="002D5863" w:rsidP="00A460AA">
      <w:pPr>
        <w:pStyle w:val="RECdotpoint"/>
        <w:numPr>
          <w:ilvl w:val="0"/>
          <w:numId w:val="0"/>
        </w:numPr>
      </w:pPr>
    </w:p>
    <w:p w14:paraId="0CC1E287" w14:textId="77777777" w:rsidR="002D5863" w:rsidRDefault="002D5863" w:rsidP="00A460AA">
      <w:pPr>
        <w:pStyle w:val="RECdotpoint"/>
        <w:numPr>
          <w:ilvl w:val="0"/>
          <w:numId w:val="0"/>
        </w:numPr>
      </w:pPr>
    </w:p>
    <w:p w14:paraId="1D8E5E5D" w14:textId="417445E3" w:rsidR="002D5863" w:rsidRDefault="002D5863" w:rsidP="00A460AA">
      <w:pPr>
        <w:pStyle w:val="RECdotpoint"/>
        <w:numPr>
          <w:ilvl w:val="0"/>
          <w:numId w:val="0"/>
        </w:numPr>
      </w:pPr>
    </w:p>
    <w:p w14:paraId="625811B7" w14:textId="0A729662" w:rsidR="00811A3C" w:rsidRDefault="0025728A" w:rsidP="002720F5">
      <w:pPr>
        <w:pStyle w:val="RECnormaltext"/>
      </w:pPr>
      <w:r>
        <w:t xml:space="preserve">Historically, Germany has also processed a lot of </w:t>
      </w:r>
      <w:r w:rsidR="00342B3F">
        <w:t xml:space="preserve">residual waste bin </w:t>
      </w:r>
      <w:r>
        <w:t xml:space="preserve">MSW </w:t>
      </w:r>
      <w:r w:rsidR="00454BCE">
        <w:t xml:space="preserve">wastes </w:t>
      </w:r>
      <w:r>
        <w:t>by mechanical biological treatment (MBT) plants</w:t>
      </w:r>
      <w:r w:rsidR="0088000C">
        <w:t>, t</w:t>
      </w:r>
      <w:r>
        <w:t>hat remove and/or treat the organics</w:t>
      </w:r>
      <w:r w:rsidR="0088000C">
        <w:t xml:space="preserve">, as well as energy from waste facilities. </w:t>
      </w:r>
    </w:p>
    <w:p w14:paraId="5AF554CF" w14:textId="2161E118" w:rsidR="0088000C" w:rsidRDefault="0088000C" w:rsidP="00A460AA">
      <w:pPr>
        <w:pStyle w:val="RECdotpoint"/>
        <w:numPr>
          <w:ilvl w:val="0"/>
          <w:numId w:val="0"/>
        </w:numPr>
      </w:pPr>
      <w:r>
        <w:t xml:space="preserve">Germany has been able achieve almost complete recovery of </w:t>
      </w:r>
      <w:r w:rsidR="002720F5">
        <w:t xml:space="preserve">collected </w:t>
      </w:r>
      <w:r>
        <w:t>organics via a combination of:</w:t>
      </w:r>
    </w:p>
    <w:p w14:paraId="155EF0DC" w14:textId="2BD5ECA7" w:rsidR="0088000C" w:rsidRDefault="0088000C" w:rsidP="00937E94">
      <w:pPr>
        <w:pStyle w:val="RECdotpoint"/>
      </w:pPr>
      <w:r>
        <w:t>landfill bans</w:t>
      </w:r>
      <w:r w:rsidR="002D5863">
        <w:t xml:space="preserve"> and </w:t>
      </w:r>
      <w:r>
        <w:t>source segregation of food and garden organics</w:t>
      </w:r>
    </w:p>
    <w:p w14:paraId="4BE38CBE" w14:textId="6E2C9D07" w:rsidR="0088000C" w:rsidRDefault="0088000C" w:rsidP="0088000C">
      <w:pPr>
        <w:pStyle w:val="RECdotpoint"/>
      </w:pPr>
      <w:r>
        <w:t>implementing a large network of composting, AD, MBT and energy from waste infrastructure</w:t>
      </w:r>
    </w:p>
    <w:p w14:paraId="18B60FC0" w14:textId="42B887E3" w:rsidR="002F4592" w:rsidRDefault="002F4592" w:rsidP="0088000C">
      <w:pPr>
        <w:pStyle w:val="RECdotpoint"/>
      </w:pPr>
      <w:r>
        <w:t>developing strong off-take markets in agriculture and forestry for both compost and AD digestate.</w:t>
      </w:r>
    </w:p>
    <w:p w14:paraId="16CCE89F" w14:textId="77777777" w:rsidR="002720F5" w:rsidRDefault="002D5863" w:rsidP="002D5863">
      <w:pPr>
        <w:pStyle w:val="RECdotpoint"/>
        <w:numPr>
          <w:ilvl w:val="0"/>
          <w:numId w:val="0"/>
        </w:numPr>
        <w:shd w:val="clear" w:color="auto" w:fill="BFBFBF" w:themeFill="background1" w:themeFillShade="BF"/>
      </w:pPr>
      <w:r w:rsidRPr="00817E63">
        <w:rPr>
          <w:b/>
          <w:bCs/>
        </w:rPr>
        <w:t>Potential opportunity:</w:t>
      </w:r>
      <w:r>
        <w:t xml:space="preserve"> </w:t>
      </w:r>
    </w:p>
    <w:p w14:paraId="2DEDAC3D" w14:textId="4D5D382A" w:rsidR="002720F5" w:rsidRDefault="002720F5" w:rsidP="002D5863">
      <w:pPr>
        <w:pStyle w:val="RECdotpoint"/>
        <w:numPr>
          <w:ilvl w:val="0"/>
          <w:numId w:val="0"/>
        </w:numPr>
        <w:shd w:val="clear" w:color="auto" w:fill="BFBFBF" w:themeFill="background1" w:themeFillShade="BF"/>
      </w:pPr>
      <w:r>
        <w:t>T</w:t>
      </w:r>
      <w:r w:rsidR="002D5863">
        <w:t xml:space="preserve">he </w:t>
      </w:r>
      <w:r w:rsidR="000367F7">
        <w:t xml:space="preserve">UK and </w:t>
      </w:r>
      <w:r w:rsidR="002D5863">
        <w:t xml:space="preserve">German success in developing major compost and AD digestate </w:t>
      </w:r>
      <w:r>
        <w:t xml:space="preserve">off-take </w:t>
      </w:r>
      <w:r w:rsidR="002D5863">
        <w:t>markets in agriculture and forestry provide an example of the potential for these markets that require significant development in Australia.</w:t>
      </w:r>
    </w:p>
    <w:p w14:paraId="6E23B08D" w14:textId="71F90245" w:rsidR="00D72157" w:rsidRDefault="00D72157" w:rsidP="00D72157">
      <w:pPr>
        <w:pStyle w:val="Heading1"/>
        <w:numPr>
          <w:ilvl w:val="0"/>
          <w:numId w:val="0"/>
        </w:numPr>
      </w:pPr>
      <w:bookmarkStart w:id="36" w:name="_Toc40923330"/>
      <w:bookmarkStart w:id="37" w:name="_Toc46851542"/>
      <w:bookmarkEnd w:id="32"/>
    </w:p>
    <w:p w14:paraId="78D910E4" w14:textId="77777777" w:rsidR="00D72157" w:rsidRPr="00D72157" w:rsidRDefault="00D72157" w:rsidP="00D72157">
      <w:pPr>
        <w:pStyle w:val="RECnormaltext"/>
      </w:pPr>
    </w:p>
    <w:p w14:paraId="4082CDEE" w14:textId="5EBF5B70" w:rsidR="000B0B81" w:rsidRDefault="000B0B81" w:rsidP="000B0B81">
      <w:pPr>
        <w:pStyle w:val="Heading1"/>
      </w:pPr>
      <w:r>
        <w:lastRenderedPageBreak/>
        <w:t>Conclusions</w:t>
      </w:r>
      <w:bookmarkEnd w:id="36"/>
      <w:bookmarkEnd w:id="37"/>
    </w:p>
    <w:p w14:paraId="134C40FB" w14:textId="77777777" w:rsidR="00D72157" w:rsidRDefault="00D72157" w:rsidP="00D72157">
      <w:pPr>
        <w:pStyle w:val="RECnormaltext"/>
        <w:spacing w:after="120"/>
      </w:pPr>
      <w:r>
        <w:t>Over the 10-year period from 2007 to 2017, Australia’s organic waste generation was around 14-15 Mt and the recovery rate (via recycling or an energy from waste facility) increased, from around 40% (5.6 Mt) to 62% (8.8 Mt) per annum. In 2017, the recycling rate (e.g. composting) was 52% and the rate of recovery via energy from waste facilities was 10%.</w:t>
      </w:r>
      <w:r w:rsidRPr="00006E9B">
        <w:t xml:space="preserve"> </w:t>
      </w:r>
    </w:p>
    <w:p w14:paraId="6F65A2CA" w14:textId="77777777" w:rsidR="00D72157" w:rsidRDefault="00D72157" w:rsidP="00D72157">
      <w:pPr>
        <w:pStyle w:val="RECnormaltext"/>
        <w:spacing w:after="120"/>
      </w:pPr>
      <w:r>
        <w:t>In 2017, organics waste generation was mostly from the MSW (52%) and the C&amp;I (42%) streams, with timber waste (mostly) from the C&amp;D stream making up the remaining 6%. In 2017, the recovery rates were 37% for MSW, 62% for C&amp;I, and 42% for C&amp;D. This highlights that the greatest opportunities for increasing recovery are likely to be in the MSW stream as it has the highest tonnage and the lowest recovery rate.</w:t>
      </w:r>
    </w:p>
    <w:p w14:paraId="292315C5" w14:textId="77777777" w:rsidR="00D72157" w:rsidRDefault="00D72157" w:rsidP="00D72157">
      <w:pPr>
        <w:pStyle w:val="RECnormaltext"/>
        <w:shd w:val="clear" w:color="auto" w:fill="FFFFFF" w:themeFill="background1"/>
      </w:pPr>
      <w:r w:rsidRPr="00A81B0D">
        <w:t>MSW organics</w:t>
      </w:r>
      <w:r>
        <w:t xml:space="preserve"> recovery rates in many countries in the European Union (UN) are 70% or more (in stark contrast with Australia’s MSW organics recovery rate of 37% in 2017). For example, Italy and the United Kingdom have achieved recovery rates for MSW organics of 70% through source segregation of food and garden organics and processing via a combination of composting (for garden and some food) and anerobic digestion (AD) (for food wastes).</w:t>
      </w:r>
    </w:p>
    <w:p w14:paraId="4207001B" w14:textId="77777777" w:rsidR="00D72157" w:rsidRDefault="00D72157" w:rsidP="00D72157">
      <w:pPr>
        <w:pStyle w:val="RECnormaltext"/>
        <w:shd w:val="clear" w:color="auto" w:fill="FFFFFF" w:themeFill="background1"/>
        <w:spacing w:after="120"/>
      </w:pPr>
      <w:r>
        <w:t xml:space="preserve">With a </w:t>
      </w:r>
      <w:r w:rsidRPr="00B10DAA">
        <w:rPr>
          <w:b/>
          <w:bCs/>
        </w:rPr>
        <w:t>food waste</w:t>
      </w:r>
      <w:r>
        <w:t xml:space="preserve"> recovery rate (across MSW and C&amp;I streams) of just 13%, in 2017, </w:t>
      </w:r>
      <w:r w:rsidRPr="008C06E4">
        <w:rPr>
          <w:u w:val="single"/>
        </w:rPr>
        <w:t>and</w:t>
      </w:r>
      <w:r>
        <w:t xml:space="preserve"> generation of over 4 Mt there remains a significant opportunity to improve organics recovery by increasing the rate of food waste recovery in Australia. In 2017, food organics made-up</w:t>
      </w:r>
      <w:r w:rsidRPr="009040D3">
        <w:rPr>
          <w:b/>
          <w:bCs/>
        </w:rPr>
        <w:t xml:space="preserve"> 70% </w:t>
      </w:r>
      <w:r>
        <w:t xml:space="preserve">of the organic waste sent to landfill (3.8 Mt of 5.4 Mt). </w:t>
      </w:r>
    </w:p>
    <w:p w14:paraId="7ED0158D" w14:textId="77777777" w:rsidR="00D72157" w:rsidRDefault="00D72157" w:rsidP="00D72157">
      <w:pPr>
        <w:pStyle w:val="RECnormaltext"/>
        <w:shd w:val="clear" w:color="auto" w:fill="FFFFFF" w:themeFill="background1"/>
      </w:pPr>
      <w:r>
        <w:t xml:space="preserve">The </w:t>
      </w:r>
      <w:r w:rsidRPr="0024607A">
        <w:rPr>
          <w:i/>
          <w:iCs/>
        </w:rPr>
        <w:t>National Waste Policy Action Plan</w:t>
      </w:r>
      <w:r>
        <w:t xml:space="preserve"> </w:t>
      </w:r>
      <w:r w:rsidRPr="000035D3">
        <w:t xml:space="preserve">Target 6 </w:t>
      </w:r>
      <w:r>
        <w:t>(to h</w:t>
      </w:r>
      <w:r w:rsidRPr="000035D3">
        <w:t xml:space="preserve">alve the amount of </w:t>
      </w:r>
      <w:r w:rsidRPr="00D87F7A">
        <w:rPr>
          <w:u w:val="single"/>
        </w:rPr>
        <w:t xml:space="preserve">all </w:t>
      </w:r>
      <w:r w:rsidRPr="00D87F7A">
        <w:t>organic waste</w:t>
      </w:r>
      <w:r w:rsidRPr="000035D3">
        <w:t xml:space="preserve"> sent to landfill</w:t>
      </w:r>
      <w:r>
        <w:t xml:space="preserve">) aims to recover 2.7 Mt of additional organics from landfill by the year 2030. If all of the 3.8 Mt of </w:t>
      </w:r>
      <w:r w:rsidRPr="00D87F7A">
        <w:rPr>
          <w:u w:val="single"/>
        </w:rPr>
        <w:t>food waste organics (only)</w:t>
      </w:r>
      <w:r>
        <w:t xml:space="preserve"> were removed from landfill, the </w:t>
      </w:r>
      <w:r w:rsidRPr="0024607A">
        <w:rPr>
          <w:i/>
          <w:iCs/>
        </w:rPr>
        <w:t>National Waste Policy Action Plan</w:t>
      </w:r>
      <w:r>
        <w:t xml:space="preserve"> </w:t>
      </w:r>
      <w:r w:rsidRPr="000035D3">
        <w:t xml:space="preserve">Target 6 </w:t>
      </w:r>
      <w:r>
        <w:t>would be met and exceeded</w:t>
      </w:r>
    </w:p>
    <w:p w14:paraId="0FD7C979" w14:textId="77777777" w:rsidR="00D72157" w:rsidRDefault="00D72157" w:rsidP="00D72157">
      <w:pPr>
        <w:pStyle w:val="RECnormaltext"/>
        <w:shd w:val="clear" w:color="auto" w:fill="FFFFFF" w:themeFill="background1"/>
      </w:pPr>
      <w:r>
        <w:t xml:space="preserve">If Australia were to recover food waste at the same rate as the EU (70%), an </w:t>
      </w:r>
      <w:r w:rsidRPr="00066C46">
        <w:t xml:space="preserve">additional </w:t>
      </w:r>
      <w:r>
        <w:t xml:space="preserve">2.5 Mt of food waste would be recovered, above 2017 recovery tonnages. This would almost meet the </w:t>
      </w:r>
      <w:r w:rsidRPr="0024607A">
        <w:rPr>
          <w:i/>
          <w:iCs/>
        </w:rPr>
        <w:t>National Waste Policy Action Plan</w:t>
      </w:r>
      <w:r>
        <w:t xml:space="preserve"> Target 6 (half organics to landfill). It would also result in an overall organics recovery rate of 79% and almost meet Target 3 (</w:t>
      </w:r>
      <w:r w:rsidRPr="00AF5053">
        <w:t>80% average resource recovery rate</w:t>
      </w:r>
      <w:r>
        <w:t xml:space="preserve">) for the organics stream, further illustrating the need to focus on food waste. </w:t>
      </w:r>
    </w:p>
    <w:p w14:paraId="6458D530" w14:textId="77777777" w:rsidR="00D72157" w:rsidRDefault="00D72157" w:rsidP="00D72157">
      <w:pPr>
        <w:pStyle w:val="RECnormaltext"/>
        <w:shd w:val="clear" w:color="auto" w:fill="FFFFFF" w:themeFill="background1"/>
      </w:pPr>
      <w:r>
        <w:t>To achieve the higher food waste recovery rate would require a major increase in energy recovery from food organics via AD and/or major increases in food waste composting. It would also require a national increase in the implementation of FOGO collections from households and food organics (FO) collections from businesses.</w:t>
      </w:r>
    </w:p>
    <w:p w14:paraId="3EF76F0D" w14:textId="77777777" w:rsidR="00D72157" w:rsidRDefault="00D72157" w:rsidP="00D72157">
      <w:pPr>
        <w:pStyle w:val="RECnormaltext"/>
      </w:pPr>
      <w:r w:rsidRPr="00E96A4C">
        <w:t xml:space="preserve">In 2017, the tonnages of </w:t>
      </w:r>
      <w:r w:rsidRPr="00E96A4C">
        <w:rPr>
          <w:b/>
          <w:bCs/>
        </w:rPr>
        <w:t>C&amp;I food waste</w:t>
      </w:r>
      <w:r w:rsidRPr="00E96A4C">
        <w:t xml:space="preserve"> recovery (225,000 tonnes) represented 42% of the total food waste recovery of around 540,000 tonnes.  However, C&amp;I food waste only made up 27% of the total food waste generation in 2017, illustrating that C&amp;I food waste recovery is significantly better than food waste recovery from the MSW stream. However, with a recovery rate of 19%, in 2017, and generation of over 1 Mt there remains a significant opportunity to improve organics recovery by increasing the rate of C&amp;I food waste recovery. The expansion of segregated FO only collection services in the hospitality and food manufacturing industries presents a significant opportunity to increase food waste recovery.</w:t>
      </w:r>
    </w:p>
    <w:p w14:paraId="356C0CAE" w14:textId="77777777" w:rsidR="00D72157" w:rsidRDefault="00D72157" w:rsidP="00D72157">
      <w:pPr>
        <w:pStyle w:val="RECnormaltext"/>
        <w:shd w:val="clear" w:color="auto" w:fill="FFFFFF" w:themeFill="background1"/>
        <w:spacing w:before="120" w:after="120"/>
      </w:pPr>
      <w:r>
        <w:t xml:space="preserve">In 2017, the tonnages of </w:t>
      </w:r>
      <w:r w:rsidRPr="00B10DAA">
        <w:rPr>
          <w:b/>
          <w:bCs/>
        </w:rPr>
        <w:t>garden organics</w:t>
      </w:r>
      <w:r>
        <w:t xml:space="preserve"> waste recovery of 3 Mt represent 34% of the total organics recovery of around 8.8 Mt. With a recovery rate of almost 70% in 2017, the garden organics recovery </w:t>
      </w:r>
      <w:r>
        <w:lastRenderedPageBreak/>
        <w:t>rate is far higher than food organics, which reflects the large number of households with a dedicated garden waste bin and a well-developed composting industry around Australia. There remains some opportunity to improve garden organics recovery, however, increases will likely be modest compared to food waste.</w:t>
      </w:r>
    </w:p>
    <w:p w14:paraId="0D2F4994" w14:textId="77777777" w:rsidR="00D72157" w:rsidRDefault="00D72157" w:rsidP="00D72157">
      <w:pPr>
        <w:pStyle w:val="RECnormaltext"/>
        <w:shd w:val="clear" w:color="auto" w:fill="FFFFFF" w:themeFill="background1"/>
        <w:spacing w:after="120"/>
      </w:pPr>
      <w:r w:rsidRPr="00594626">
        <w:rPr>
          <w:b/>
          <w:bCs/>
        </w:rPr>
        <w:t xml:space="preserve">Timber wastes </w:t>
      </w:r>
      <w:r>
        <w:t xml:space="preserve">such as fence palings, structural timbers and processed timber such as medium density fibreboard (MDF) can provide a valuable, high calorific value, waste stream for refuse derived fuels (RDFs). Since 2007, there has been little improvement in the amount of timber waste sent to energy from waste facilities. With an energy recovery rate of just 3%, in 2017, </w:t>
      </w:r>
      <w:r w:rsidRPr="00AE2829">
        <w:t>and</w:t>
      </w:r>
      <w:r>
        <w:t xml:space="preserve"> around 1.2 Mt of timber waste being sent to landfill there may be significant opportunities to improve organics recovery by increasing the rate of timber waste sent to energy from waste facilities (not anerobic digestion facilities). Energy from waste facilities that are using post-consumer waste timber as a fuel source would need to have appropriate emissions control systems in place, due to potential contaminants present in processed, painted and treated waste timbers.</w:t>
      </w:r>
    </w:p>
    <w:p w14:paraId="6A26687D" w14:textId="77777777" w:rsidR="00D72157" w:rsidRDefault="00D72157" w:rsidP="00D72157">
      <w:pPr>
        <w:pStyle w:val="RECnormaltext"/>
        <w:shd w:val="clear" w:color="auto" w:fill="FFFFFF" w:themeFill="background1"/>
      </w:pPr>
      <w:r>
        <w:t>The Australian composting industry currently depends heavily on the urban amenity market (domestic and local government use of compost in gardens and public use areas). The urban amenity market has limited scope for development and is an inefficient off-take market to shift large bulk tonnages of recycled organics (due to the large amounts of packaging, logistics, handling, storage, etc.). Internationally, composting markets often include a very large portion (80%+) of agriculture and horticulture market off-take. This market accounted for only around 10% of the Victorian market in 2013. The EU success in developing major compost and AD digestate off-take markets in agriculture and forestry provide an example of the potential for these markets that require significant development in Australia. Part of the EU success has been wide spread source segregation of organics which has enabled the generation of higher quality end products with less risk of contamination (than organics recovered from the residual or mixed waste bin).</w:t>
      </w:r>
    </w:p>
    <w:p w14:paraId="5E836650" w14:textId="77777777" w:rsidR="00D72157" w:rsidRPr="00B14822" w:rsidRDefault="00D72157" w:rsidP="00D72157">
      <w:pPr>
        <w:pStyle w:val="RECnormaltext"/>
        <w:shd w:val="clear" w:color="auto" w:fill="FFFFFF" w:themeFill="background1"/>
      </w:pPr>
      <w:r>
        <w:t xml:space="preserve">If Australia could increase food waste recovery to 70% (as has been achieved in some countries in the EU) by 2030 this would result in an additional 2.5 Mt of recovered organics. </w:t>
      </w:r>
      <w:r w:rsidRPr="00B14822">
        <w:t>This would contribute 39% of the 6.4 Mt shortfall in recovery projected by Blue Environment. If hal</w:t>
      </w:r>
      <w:r>
        <w:t xml:space="preserve">f of the timber wastes currently being landfilled were processed into fuel for energy recovery, this would result in around another 0.6 Mt of recovery and result in a 48% contribution to the projected recovery shortfall.  </w:t>
      </w:r>
    </w:p>
    <w:p w14:paraId="034323CB" w14:textId="77777777" w:rsidR="00D72157" w:rsidRDefault="00D72157" w:rsidP="00C959B8">
      <w:pPr>
        <w:pStyle w:val="RECnormaltext"/>
      </w:pPr>
    </w:p>
    <w:p w14:paraId="42483459" w14:textId="108016BD" w:rsidR="005C1A16" w:rsidRDefault="005C1A16" w:rsidP="007B5DA1">
      <w:pPr>
        <w:pStyle w:val="RECnormaltext"/>
      </w:pPr>
    </w:p>
    <w:p w14:paraId="1E8D1AC0" w14:textId="311F4E47" w:rsidR="005C1A16" w:rsidRDefault="005C1A16" w:rsidP="00C959B8">
      <w:pPr>
        <w:rPr>
          <w:rFonts w:asciiTheme="minorHAnsi" w:hAnsiTheme="minorHAnsi" w:cs="Arial"/>
          <w:color w:val="auto"/>
          <w:szCs w:val="20"/>
        </w:rPr>
      </w:pPr>
    </w:p>
    <w:p w14:paraId="079B30B9" w14:textId="77777777" w:rsidR="00D924CE" w:rsidRDefault="00D924CE" w:rsidP="00C959B8"/>
    <w:p w14:paraId="1A28E88B" w14:textId="77777777" w:rsidR="00D924CE" w:rsidRDefault="00D924CE" w:rsidP="000B0B81"/>
    <w:p w14:paraId="3EB02CA9" w14:textId="2124C1BB" w:rsidR="000B0B81" w:rsidRDefault="000B0B81" w:rsidP="000B0B81">
      <w:pPr>
        <w:rPr>
          <w:rFonts w:asciiTheme="minorHAnsi" w:eastAsiaTheme="majorEastAsia" w:hAnsiTheme="minorHAnsi" w:cstheme="majorBidi"/>
          <w:b/>
          <w:bCs/>
          <w:color w:val="92D050"/>
          <w:sz w:val="28"/>
          <w:szCs w:val="28"/>
        </w:rPr>
      </w:pPr>
      <w:r>
        <w:br w:type="page"/>
      </w:r>
    </w:p>
    <w:p w14:paraId="07AE238C" w14:textId="77777777" w:rsidR="000B0B81" w:rsidRDefault="000B0B81" w:rsidP="000B0B81">
      <w:pPr>
        <w:pStyle w:val="Heading1"/>
      </w:pPr>
      <w:bookmarkStart w:id="38" w:name="_Toc40923331"/>
      <w:bookmarkStart w:id="39" w:name="_Toc46851543"/>
      <w:r>
        <w:lastRenderedPageBreak/>
        <w:t>References</w:t>
      </w:r>
      <w:bookmarkEnd w:id="38"/>
      <w:bookmarkEnd w:id="39"/>
    </w:p>
    <w:p w14:paraId="03287088" w14:textId="26FAD22C" w:rsidR="002C5295" w:rsidRDefault="002C5295" w:rsidP="000B0B81">
      <w:pPr>
        <w:pStyle w:val="RECnormaltext"/>
      </w:pPr>
      <w:r>
        <w:t xml:space="preserve">Department of Agriculture, Water and the Environment (DAWE), </w:t>
      </w:r>
      <w:hyperlink r:id="rId41" w:history="1">
        <w:r w:rsidRPr="002C5295">
          <w:rPr>
            <w:rStyle w:val="Hyperlink"/>
            <w:i/>
            <w:iCs/>
          </w:rPr>
          <w:t>2018 National waste report database</w:t>
        </w:r>
      </w:hyperlink>
      <w:r>
        <w:t xml:space="preserve"> </w:t>
      </w:r>
    </w:p>
    <w:p w14:paraId="1FF377A3" w14:textId="322E36A4" w:rsidR="005168E4" w:rsidRDefault="005168E4" w:rsidP="000B0B81">
      <w:pPr>
        <w:pStyle w:val="RECnormaltext"/>
      </w:pPr>
      <w:r>
        <w:t xml:space="preserve">Environment Agency 2013, </w:t>
      </w:r>
      <w:hyperlink r:id="rId42" w:history="1">
        <w:r w:rsidRPr="005168E4">
          <w:rPr>
            <w:rStyle w:val="Hyperlink"/>
            <w:i/>
            <w:iCs/>
          </w:rPr>
          <w:t>How to comply with your landspreading permit</w:t>
        </w:r>
      </w:hyperlink>
    </w:p>
    <w:p w14:paraId="18719701" w14:textId="5893C9BE" w:rsidR="00C47A88" w:rsidRPr="002F14CB" w:rsidRDefault="002F14CB" w:rsidP="002F14CB">
      <w:pPr>
        <w:pStyle w:val="RECnormaltext"/>
      </w:pPr>
      <w:r w:rsidRPr="002F14CB">
        <w:t>European Compost Network (ECN</w:t>
      </w:r>
      <w:r w:rsidR="00482CF8">
        <w:t>), 2017 (a</w:t>
      </w:r>
      <w:r w:rsidRPr="002F14CB">
        <w:t>)</w:t>
      </w:r>
      <w:r>
        <w:t xml:space="preserve">, </w:t>
      </w:r>
      <w:hyperlink r:id="rId43" w:history="1">
        <w:r w:rsidRPr="002F14CB">
          <w:rPr>
            <w:rStyle w:val="Hyperlink"/>
            <w:i/>
            <w:iCs/>
          </w:rPr>
          <w:t xml:space="preserve">2017 ECN Country report Germany </w:t>
        </w:r>
      </w:hyperlink>
    </w:p>
    <w:p w14:paraId="154F3160" w14:textId="59FD94A9" w:rsidR="00DD3651" w:rsidRPr="002F14CB" w:rsidRDefault="00DD3651" w:rsidP="00DD3651">
      <w:pPr>
        <w:pStyle w:val="RECnormaltext"/>
      </w:pPr>
      <w:r w:rsidRPr="002F14CB">
        <w:t>European Compost Network (ECN)</w:t>
      </w:r>
      <w:r>
        <w:t>,</w:t>
      </w:r>
      <w:r w:rsidR="00482CF8">
        <w:t xml:space="preserve"> 2017 (b),</w:t>
      </w:r>
      <w:r>
        <w:t xml:space="preserve"> </w:t>
      </w:r>
      <w:hyperlink r:id="rId44" w:history="1">
        <w:r w:rsidRPr="002F14CB">
          <w:rPr>
            <w:rStyle w:val="Hyperlink"/>
            <w:i/>
            <w:iCs/>
          </w:rPr>
          <w:t>201</w:t>
        </w:r>
        <w:r>
          <w:rPr>
            <w:rStyle w:val="Hyperlink"/>
            <w:i/>
            <w:iCs/>
          </w:rPr>
          <w:t>7</w:t>
        </w:r>
        <w:r w:rsidRPr="002F14CB">
          <w:rPr>
            <w:rStyle w:val="Hyperlink"/>
            <w:i/>
            <w:iCs/>
          </w:rPr>
          <w:t xml:space="preserve"> ECN Country report </w:t>
        </w:r>
        <w:r>
          <w:rPr>
            <w:rStyle w:val="Hyperlink"/>
            <w:i/>
            <w:iCs/>
          </w:rPr>
          <w:t>U</w:t>
        </w:r>
        <w:r w:rsidR="00C2284E">
          <w:rPr>
            <w:rStyle w:val="Hyperlink"/>
            <w:i/>
            <w:iCs/>
          </w:rPr>
          <w:t xml:space="preserve">nited </w:t>
        </w:r>
        <w:r>
          <w:rPr>
            <w:rStyle w:val="Hyperlink"/>
            <w:i/>
            <w:iCs/>
          </w:rPr>
          <w:t>K</w:t>
        </w:r>
        <w:r w:rsidR="00C2284E">
          <w:rPr>
            <w:rStyle w:val="Hyperlink"/>
            <w:i/>
            <w:iCs/>
          </w:rPr>
          <w:t>ingdom</w:t>
        </w:r>
        <w:r w:rsidRPr="002F14CB">
          <w:rPr>
            <w:rStyle w:val="Hyperlink"/>
            <w:i/>
            <w:iCs/>
          </w:rPr>
          <w:t xml:space="preserve"> </w:t>
        </w:r>
      </w:hyperlink>
    </w:p>
    <w:p w14:paraId="425F3C2D" w14:textId="02343113" w:rsidR="00DD3651" w:rsidRPr="002F14CB" w:rsidRDefault="00DD3651" w:rsidP="00DD3651">
      <w:pPr>
        <w:pStyle w:val="RECnormaltext"/>
      </w:pPr>
      <w:r w:rsidRPr="002F14CB">
        <w:t>European Compost Network (ECN)</w:t>
      </w:r>
      <w:r>
        <w:t>,</w:t>
      </w:r>
      <w:r w:rsidR="00482CF8">
        <w:t xml:space="preserve"> 2019,</w:t>
      </w:r>
      <w:r>
        <w:t xml:space="preserve"> </w:t>
      </w:r>
      <w:hyperlink r:id="rId45" w:history="1">
        <w:r w:rsidRPr="002F14CB">
          <w:rPr>
            <w:rStyle w:val="Hyperlink"/>
            <w:i/>
            <w:iCs/>
          </w:rPr>
          <w:t>201</w:t>
        </w:r>
        <w:r>
          <w:rPr>
            <w:rStyle w:val="Hyperlink"/>
            <w:i/>
            <w:iCs/>
          </w:rPr>
          <w:t>9</w:t>
        </w:r>
        <w:r w:rsidRPr="002F14CB">
          <w:rPr>
            <w:rStyle w:val="Hyperlink"/>
            <w:i/>
            <w:iCs/>
          </w:rPr>
          <w:t xml:space="preserve"> ECN Country report </w:t>
        </w:r>
        <w:r>
          <w:rPr>
            <w:rStyle w:val="Hyperlink"/>
            <w:i/>
            <w:iCs/>
          </w:rPr>
          <w:t>Italy</w:t>
        </w:r>
        <w:r w:rsidRPr="002F14CB">
          <w:rPr>
            <w:rStyle w:val="Hyperlink"/>
            <w:i/>
            <w:iCs/>
          </w:rPr>
          <w:t xml:space="preserve"> </w:t>
        </w:r>
      </w:hyperlink>
    </w:p>
    <w:p w14:paraId="1B588518" w14:textId="31F30E44" w:rsidR="005168E4" w:rsidRDefault="0084059B" w:rsidP="000B0B81">
      <w:pPr>
        <w:pStyle w:val="RECnormaltext"/>
        <w:rPr>
          <w:i/>
          <w:iCs/>
        </w:rPr>
      </w:pPr>
      <w:r>
        <w:t xml:space="preserve">European Environment Agency (EEA), 2013 </w:t>
      </w:r>
      <w:hyperlink r:id="rId46" w:anchor=":~:text=There%20is%20no%20national%20waste%20management%20planning%20in%20Germany.&amp;text=For%20waste%20generated%20by%20households,these%20are%20districts%20and%20towns)." w:history="1">
        <w:r w:rsidRPr="0084059B">
          <w:rPr>
            <w:rStyle w:val="Hyperlink"/>
            <w:i/>
            <w:iCs/>
          </w:rPr>
          <w:t>Municipal waste management in Germany</w:t>
        </w:r>
      </w:hyperlink>
    </w:p>
    <w:p w14:paraId="2030DC9A" w14:textId="547714A1" w:rsidR="005A5291" w:rsidRDefault="005A5291" w:rsidP="000B0B81">
      <w:pPr>
        <w:pStyle w:val="RECnormaltext"/>
      </w:pPr>
      <w:r>
        <w:t xml:space="preserve">Eurostat online </w:t>
      </w:r>
      <w:hyperlink r:id="rId47" w:history="1">
        <w:r w:rsidRPr="005A5291">
          <w:rPr>
            <w:rStyle w:val="Hyperlink"/>
          </w:rPr>
          <w:t>database</w:t>
        </w:r>
      </w:hyperlink>
    </w:p>
    <w:p w14:paraId="00ED991F" w14:textId="775F3ABA" w:rsidR="005375C7" w:rsidRPr="005375C7" w:rsidRDefault="005375C7" w:rsidP="005375C7">
      <w:pPr>
        <w:pStyle w:val="RECnormaltext"/>
        <w:rPr>
          <w:i/>
          <w:iCs/>
        </w:rPr>
      </w:pPr>
      <w:r>
        <w:t xml:space="preserve">German </w:t>
      </w:r>
      <w:r w:rsidRPr="005375C7">
        <w:t>Federal Ministry for the Environment, Nature Conservation and Nuclear Safety (BMU),</w:t>
      </w:r>
      <w:r w:rsidR="00407324">
        <w:t xml:space="preserve"> 2018</w:t>
      </w:r>
      <w:r w:rsidRPr="005375C7">
        <w:t xml:space="preserve"> </w:t>
      </w:r>
      <w:hyperlink r:id="rId48" w:history="1">
        <w:r w:rsidRPr="005375C7">
          <w:rPr>
            <w:rStyle w:val="Hyperlink"/>
            <w:i/>
            <w:iCs/>
          </w:rPr>
          <w:t>Waste Management in Germany 2018 Facts, data, diagrams</w:t>
        </w:r>
      </w:hyperlink>
    </w:p>
    <w:p w14:paraId="6813632E" w14:textId="1B5CF466" w:rsidR="005168E4" w:rsidRDefault="00211B10" w:rsidP="000B0B81">
      <w:pPr>
        <w:pStyle w:val="RECnormaltext"/>
      </w:pPr>
      <w:r>
        <w:t xml:space="preserve">International </w:t>
      </w:r>
      <w:r w:rsidR="00B67DB3">
        <w:t>Solid Waste Association (</w:t>
      </w:r>
      <w:r w:rsidRPr="00211B10">
        <w:t>ISWA</w:t>
      </w:r>
      <w:r w:rsidR="00B67DB3">
        <w:t xml:space="preserve">) 2020 </w:t>
      </w:r>
      <w:hyperlink r:id="rId49" w:history="1">
        <w:r w:rsidRPr="00B67DB3">
          <w:rPr>
            <w:rStyle w:val="Hyperlink"/>
            <w:i/>
            <w:iCs/>
          </w:rPr>
          <w:t>Global Assessment of Municipal Organic Waste Production and Recycling</w:t>
        </w:r>
      </w:hyperlink>
    </w:p>
    <w:p w14:paraId="37F0D1FB" w14:textId="6AE48FC4" w:rsidR="00937E94" w:rsidRDefault="008C58A5" w:rsidP="008C58A5">
      <w:pPr>
        <w:pStyle w:val="RECnormaltext"/>
      </w:pPr>
      <w:r>
        <w:t xml:space="preserve">Sustainability Victoria, 2013, </w:t>
      </w:r>
      <w:hyperlink r:id="rId50" w:history="1">
        <w:r w:rsidRPr="008C58A5">
          <w:rPr>
            <w:rStyle w:val="Hyperlink"/>
            <w:i/>
            <w:iCs/>
          </w:rPr>
          <w:t>Recycled Organics Market Analysis, Sustainability Victoria 2013</w:t>
        </w:r>
      </w:hyperlink>
    </w:p>
    <w:p w14:paraId="586A5936" w14:textId="5818A639" w:rsidR="00095C24" w:rsidRPr="00095C24" w:rsidRDefault="00095C24" w:rsidP="00095C24">
      <w:pPr>
        <w:pStyle w:val="RECnormaltext"/>
        <w:rPr>
          <w:i/>
          <w:iCs/>
        </w:rPr>
      </w:pPr>
      <w:r>
        <w:t xml:space="preserve">WRAP 2020, </w:t>
      </w:r>
      <w:hyperlink r:id="rId51" w:history="1">
        <w:r w:rsidRPr="00095C24">
          <w:rPr>
            <w:rStyle w:val="Hyperlink"/>
            <w:i/>
            <w:iCs/>
          </w:rPr>
          <w:t>Food surplus and waste in the UK – key facts Updated January 2020</w:t>
        </w:r>
      </w:hyperlink>
    </w:p>
    <w:p w14:paraId="236A5971" w14:textId="77777777" w:rsidR="000B0B81" w:rsidRDefault="000B0B81" w:rsidP="000B0B81">
      <w:pPr>
        <w:pStyle w:val="RECnormaltext"/>
      </w:pPr>
    </w:p>
    <w:p w14:paraId="41F60085" w14:textId="77777777" w:rsidR="000B0B81" w:rsidRPr="002C6AA7" w:rsidRDefault="000B0B81" w:rsidP="000B0B81">
      <w:pPr>
        <w:pStyle w:val="RECnormaltext"/>
      </w:pPr>
    </w:p>
    <w:p w14:paraId="687FA931" w14:textId="77777777" w:rsidR="000B0B81" w:rsidRPr="00E901A2" w:rsidRDefault="000B0B81" w:rsidP="00866B6C">
      <w:pPr>
        <w:pStyle w:val="RECnormaltext"/>
        <w:rPr>
          <w:lang w:eastAsia="en-AU"/>
        </w:rPr>
      </w:pPr>
    </w:p>
    <w:p w14:paraId="361A52B3" w14:textId="77777777" w:rsidR="005375C7" w:rsidRDefault="005375C7">
      <w:pPr>
        <w:pStyle w:val="RECnormaltext"/>
      </w:pPr>
    </w:p>
    <w:sectPr w:rsidR="005375C7" w:rsidSect="009040D3">
      <w:headerReference w:type="default" r:id="rId52"/>
      <w:footerReference w:type="default" r:id="rId53"/>
      <w:pgSz w:w="11906" w:h="16838" w:code="9"/>
      <w:pgMar w:top="1702" w:right="1440" w:bottom="993" w:left="1276" w:header="708" w:footer="4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14B22" w14:textId="77777777" w:rsidR="009238BE" w:rsidRDefault="009238BE" w:rsidP="00FD3295">
      <w:r>
        <w:separator/>
      </w:r>
    </w:p>
  </w:endnote>
  <w:endnote w:type="continuationSeparator" w:id="0">
    <w:p w14:paraId="72C6B118" w14:textId="77777777" w:rsidR="009238BE" w:rsidRDefault="009238BE" w:rsidP="00FD3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Pro">
    <w:altName w:val="Calibri"/>
    <w:panose1 w:val="00000000000000000000"/>
    <w:charset w:val="00"/>
    <w:family w:val="swiss"/>
    <w:notTrueType/>
    <w:pitch w:val="variable"/>
    <w:sig w:usb0="A00002BF" w:usb1="4000207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DINPro-Bold">
    <w:altName w:val="Calibri"/>
    <w:panose1 w:val="00000000000000000000"/>
    <w:charset w:val="00"/>
    <w:family w:val="swiss"/>
    <w:notTrueType/>
    <w:pitch w:val="variable"/>
    <w:sig w:usb0="A00002B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Interstate-Bold">
    <w:altName w:val="Courier Ne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7B4A3" w14:textId="0C34F92B" w:rsidR="009238BE" w:rsidRPr="009753CD" w:rsidRDefault="009238BE" w:rsidP="00462361">
    <w:pPr>
      <w:pStyle w:val="Footer"/>
      <w:pBdr>
        <w:top w:val="single" w:sz="8" w:space="1" w:color="92D050"/>
      </w:pBdr>
      <w:shd w:val="clear" w:color="auto" w:fill="FFFFFF" w:themeFill="background1"/>
      <w:rPr>
        <w:rFonts w:asciiTheme="minorHAnsi" w:hAnsiTheme="minorHAnsi"/>
        <w:sz w:val="16"/>
        <w:szCs w:val="16"/>
      </w:rPr>
    </w:pPr>
    <w:r>
      <w:rPr>
        <w:rFonts w:asciiTheme="minorHAnsi" w:hAnsiTheme="minorHAnsi"/>
        <w:sz w:val="16"/>
        <w:szCs w:val="16"/>
      </w:rPr>
      <w:t>O</w:t>
    </w:r>
    <w:r w:rsidRPr="000B0B81">
      <w:rPr>
        <w:rFonts w:asciiTheme="minorHAnsi" w:hAnsiTheme="minorHAnsi"/>
        <w:sz w:val="16"/>
        <w:szCs w:val="16"/>
      </w:rPr>
      <w:t xml:space="preserve">pportunities </w:t>
    </w:r>
    <w:r>
      <w:rPr>
        <w:rFonts w:asciiTheme="minorHAnsi" w:hAnsiTheme="minorHAnsi"/>
        <w:sz w:val="16"/>
        <w:szCs w:val="16"/>
      </w:rPr>
      <w:t>to increase organic</w:t>
    </w:r>
    <w:r w:rsidR="0098327A">
      <w:rPr>
        <w:rFonts w:asciiTheme="minorHAnsi" w:hAnsiTheme="minorHAnsi"/>
        <w:sz w:val="16"/>
        <w:szCs w:val="16"/>
      </w:rPr>
      <w:t xml:space="preserve"> waste </w:t>
    </w:r>
    <w:r>
      <w:rPr>
        <w:rFonts w:asciiTheme="minorHAnsi" w:hAnsiTheme="minorHAnsi"/>
        <w:sz w:val="16"/>
        <w:szCs w:val="16"/>
      </w:rPr>
      <w:t xml:space="preserve">recovery </w:t>
    </w:r>
    <w:r w:rsidRPr="009753CD">
      <w:rPr>
        <w:rFonts w:asciiTheme="minorHAnsi" w:hAnsiTheme="minorHAnsi"/>
        <w:sz w:val="16"/>
        <w:szCs w:val="16"/>
      </w:rPr>
      <w:tab/>
    </w:r>
    <w:r w:rsidRPr="009753CD">
      <w:rPr>
        <w:rFonts w:asciiTheme="minorHAnsi" w:hAnsiTheme="minorHAnsi"/>
        <w:sz w:val="16"/>
        <w:szCs w:val="16"/>
      </w:rPr>
      <w:tab/>
    </w:r>
    <w:r>
      <w:rPr>
        <w:rFonts w:asciiTheme="minorHAnsi" w:hAnsiTheme="minorHAnsi"/>
        <w:sz w:val="16"/>
        <w:szCs w:val="16"/>
      </w:rPr>
      <w:t xml:space="preserve"> </w:t>
    </w:r>
    <w:r w:rsidR="008B56CD">
      <w:rPr>
        <w:rFonts w:asciiTheme="minorHAnsi" w:hAnsiTheme="minorHAnsi"/>
        <w:sz w:val="16"/>
        <w:szCs w:val="16"/>
      </w:rPr>
      <w:t>Final</w:t>
    </w:r>
    <w:r>
      <w:rPr>
        <w:rFonts w:asciiTheme="minorHAnsi" w:hAnsiTheme="minorHAnsi"/>
        <w:sz w:val="16"/>
        <w:szCs w:val="16"/>
      </w:rPr>
      <w:t xml:space="preserve"> report</w:t>
    </w:r>
  </w:p>
  <w:p w14:paraId="0589C578" w14:textId="77777777" w:rsidR="009238BE" w:rsidRPr="009753CD" w:rsidRDefault="001F08F2" w:rsidP="00462361">
    <w:pPr>
      <w:pStyle w:val="Footer"/>
      <w:jc w:val="center"/>
      <w:rPr>
        <w:rFonts w:asciiTheme="minorHAnsi" w:hAnsiTheme="minorHAnsi"/>
        <w:sz w:val="16"/>
        <w:szCs w:val="16"/>
      </w:rPr>
    </w:pPr>
    <w:sdt>
      <w:sdtPr>
        <w:rPr>
          <w:rFonts w:asciiTheme="minorHAnsi" w:hAnsiTheme="minorHAnsi"/>
          <w:sz w:val="16"/>
          <w:szCs w:val="16"/>
        </w:rPr>
        <w:id w:val="1189258331"/>
        <w:docPartObj>
          <w:docPartGallery w:val="Page Numbers (Bottom of Page)"/>
          <w:docPartUnique/>
        </w:docPartObj>
      </w:sdtPr>
      <w:sdtEndPr>
        <w:rPr>
          <w:noProof/>
        </w:rPr>
      </w:sdtEndPr>
      <w:sdtContent>
        <w:r w:rsidR="009238BE" w:rsidRPr="009753CD">
          <w:rPr>
            <w:rFonts w:asciiTheme="minorHAnsi" w:hAnsiTheme="minorHAnsi"/>
            <w:sz w:val="16"/>
            <w:szCs w:val="16"/>
          </w:rPr>
          <w:fldChar w:fldCharType="begin"/>
        </w:r>
        <w:r w:rsidR="009238BE" w:rsidRPr="009753CD">
          <w:rPr>
            <w:rFonts w:asciiTheme="minorHAnsi" w:hAnsiTheme="minorHAnsi"/>
            <w:sz w:val="16"/>
            <w:szCs w:val="16"/>
          </w:rPr>
          <w:instrText xml:space="preserve"> PAGE   \* MERGEFORMAT </w:instrText>
        </w:r>
        <w:r w:rsidR="009238BE" w:rsidRPr="009753CD">
          <w:rPr>
            <w:rFonts w:asciiTheme="minorHAnsi" w:hAnsiTheme="minorHAnsi"/>
            <w:sz w:val="16"/>
            <w:szCs w:val="16"/>
          </w:rPr>
          <w:fldChar w:fldCharType="separate"/>
        </w:r>
        <w:r w:rsidR="009238BE">
          <w:rPr>
            <w:rFonts w:asciiTheme="minorHAnsi" w:hAnsiTheme="minorHAnsi"/>
            <w:sz w:val="16"/>
            <w:szCs w:val="16"/>
          </w:rPr>
          <w:t>i</w:t>
        </w:r>
        <w:r w:rsidR="009238BE" w:rsidRPr="009753CD">
          <w:rPr>
            <w:rFonts w:asciiTheme="minorHAnsi" w:hAnsiTheme="minorHAnsi"/>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DFC99" w14:textId="0AA8CD8F" w:rsidR="009238BE" w:rsidRPr="009753CD" w:rsidRDefault="009238BE" w:rsidP="00F002A9">
    <w:pPr>
      <w:pStyle w:val="Footer"/>
      <w:pBdr>
        <w:top w:val="single" w:sz="8" w:space="1" w:color="92D050"/>
      </w:pBdr>
      <w:shd w:val="clear" w:color="auto" w:fill="FFFFFF" w:themeFill="background1"/>
      <w:rPr>
        <w:rFonts w:asciiTheme="minorHAnsi" w:hAnsiTheme="minorHAnsi"/>
        <w:sz w:val="16"/>
        <w:szCs w:val="16"/>
      </w:rPr>
    </w:pPr>
    <w:r>
      <w:rPr>
        <w:rFonts w:asciiTheme="minorHAnsi" w:hAnsiTheme="minorHAnsi"/>
        <w:sz w:val="16"/>
        <w:szCs w:val="16"/>
      </w:rPr>
      <w:t>O</w:t>
    </w:r>
    <w:r w:rsidRPr="000B0B81">
      <w:rPr>
        <w:rFonts w:asciiTheme="minorHAnsi" w:hAnsiTheme="minorHAnsi"/>
        <w:sz w:val="16"/>
        <w:szCs w:val="16"/>
      </w:rPr>
      <w:t xml:space="preserve">pportunities </w:t>
    </w:r>
    <w:r>
      <w:rPr>
        <w:rFonts w:asciiTheme="minorHAnsi" w:hAnsiTheme="minorHAnsi"/>
        <w:sz w:val="16"/>
        <w:szCs w:val="16"/>
      </w:rPr>
      <w:t>to increase organic</w:t>
    </w:r>
    <w:r w:rsidR="0098327A">
      <w:rPr>
        <w:rFonts w:asciiTheme="minorHAnsi" w:hAnsiTheme="minorHAnsi"/>
        <w:sz w:val="16"/>
        <w:szCs w:val="16"/>
      </w:rPr>
      <w:t xml:space="preserve"> waste</w:t>
    </w:r>
    <w:r>
      <w:rPr>
        <w:rFonts w:asciiTheme="minorHAnsi" w:hAnsiTheme="minorHAnsi"/>
        <w:sz w:val="16"/>
        <w:szCs w:val="16"/>
      </w:rPr>
      <w:t xml:space="preserve"> recovery </w:t>
    </w:r>
    <w:r w:rsidRPr="009753CD">
      <w:rPr>
        <w:rFonts w:asciiTheme="minorHAnsi" w:hAnsiTheme="minorHAnsi"/>
        <w:sz w:val="16"/>
        <w:szCs w:val="16"/>
      </w:rPr>
      <w:tab/>
    </w:r>
    <w:r w:rsidRPr="009753CD">
      <w:rPr>
        <w:rFonts w:asciiTheme="minorHAnsi" w:hAnsiTheme="minorHAnsi"/>
        <w:sz w:val="16"/>
        <w:szCs w:val="16"/>
      </w:rPr>
      <w:tab/>
    </w:r>
    <w:r>
      <w:rPr>
        <w:rFonts w:asciiTheme="minorHAnsi" w:hAnsiTheme="minorHAnsi"/>
        <w:sz w:val="16"/>
        <w:szCs w:val="16"/>
      </w:rPr>
      <w:t xml:space="preserve"> </w:t>
    </w:r>
    <w:r w:rsidR="008B56CD">
      <w:rPr>
        <w:rFonts w:asciiTheme="minorHAnsi" w:hAnsiTheme="minorHAnsi"/>
        <w:sz w:val="16"/>
        <w:szCs w:val="16"/>
      </w:rPr>
      <w:t>Final</w:t>
    </w:r>
    <w:r>
      <w:rPr>
        <w:rFonts w:asciiTheme="minorHAnsi" w:hAnsiTheme="minorHAnsi"/>
        <w:sz w:val="16"/>
        <w:szCs w:val="16"/>
      </w:rPr>
      <w:t xml:space="preserve"> report</w:t>
    </w:r>
  </w:p>
  <w:p w14:paraId="16704DCE" w14:textId="77777777" w:rsidR="009238BE" w:rsidRPr="009753CD" w:rsidRDefault="001F08F2" w:rsidP="00F002A9">
    <w:pPr>
      <w:pStyle w:val="Footer"/>
      <w:jc w:val="center"/>
      <w:rPr>
        <w:rFonts w:asciiTheme="minorHAnsi" w:hAnsiTheme="minorHAnsi"/>
        <w:sz w:val="16"/>
        <w:szCs w:val="16"/>
      </w:rPr>
    </w:pPr>
    <w:sdt>
      <w:sdtPr>
        <w:rPr>
          <w:rFonts w:asciiTheme="minorHAnsi" w:hAnsiTheme="minorHAnsi"/>
          <w:sz w:val="16"/>
          <w:szCs w:val="16"/>
        </w:rPr>
        <w:id w:val="-704329674"/>
        <w:docPartObj>
          <w:docPartGallery w:val="Page Numbers (Bottom of Page)"/>
          <w:docPartUnique/>
        </w:docPartObj>
      </w:sdtPr>
      <w:sdtEndPr>
        <w:rPr>
          <w:noProof/>
        </w:rPr>
      </w:sdtEndPr>
      <w:sdtContent>
        <w:r w:rsidR="009238BE" w:rsidRPr="009753CD">
          <w:rPr>
            <w:rFonts w:asciiTheme="minorHAnsi" w:hAnsiTheme="minorHAnsi"/>
            <w:sz w:val="16"/>
            <w:szCs w:val="16"/>
          </w:rPr>
          <w:fldChar w:fldCharType="begin"/>
        </w:r>
        <w:r w:rsidR="009238BE" w:rsidRPr="009753CD">
          <w:rPr>
            <w:rFonts w:asciiTheme="minorHAnsi" w:hAnsiTheme="minorHAnsi"/>
            <w:sz w:val="16"/>
            <w:szCs w:val="16"/>
          </w:rPr>
          <w:instrText xml:space="preserve"> PAGE   \* MERGEFORMAT </w:instrText>
        </w:r>
        <w:r w:rsidR="009238BE" w:rsidRPr="009753CD">
          <w:rPr>
            <w:rFonts w:asciiTheme="minorHAnsi" w:hAnsiTheme="minorHAnsi"/>
            <w:sz w:val="16"/>
            <w:szCs w:val="16"/>
          </w:rPr>
          <w:fldChar w:fldCharType="separate"/>
        </w:r>
        <w:r w:rsidR="009238BE">
          <w:rPr>
            <w:rFonts w:asciiTheme="minorHAnsi" w:hAnsiTheme="minorHAnsi"/>
            <w:noProof/>
            <w:sz w:val="16"/>
            <w:szCs w:val="16"/>
          </w:rPr>
          <w:t>i</w:t>
        </w:r>
        <w:r w:rsidR="009238BE" w:rsidRPr="009753CD">
          <w:rPr>
            <w:rFonts w:asciiTheme="minorHAnsi" w:hAnsiTheme="minorHAnsi"/>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9ACA7" w14:textId="1B60B691" w:rsidR="009238BE" w:rsidRPr="009753CD" w:rsidRDefault="009238BE" w:rsidP="0034596E">
    <w:pPr>
      <w:pStyle w:val="Footer"/>
      <w:pBdr>
        <w:top w:val="single" w:sz="8" w:space="1" w:color="92D050"/>
      </w:pBdr>
      <w:shd w:val="clear" w:color="auto" w:fill="FFFFFF" w:themeFill="background1"/>
      <w:rPr>
        <w:rFonts w:asciiTheme="minorHAnsi" w:hAnsiTheme="minorHAnsi"/>
        <w:sz w:val="16"/>
        <w:szCs w:val="16"/>
      </w:rPr>
    </w:pPr>
    <w:r>
      <w:rPr>
        <w:rFonts w:asciiTheme="minorHAnsi" w:hAnsiTheme="minorHAnsi"/>
        <w:sz w:val="16"/>
        <w:szCs w:val="16"/>
      </w:rPr>
      <w:t>O</w:t>
    </w:r>
    <w:r w:rsidRPr="000B0B81">
      <w:rPr>
        <w:rFonts w:asciiTheme="minorHAnsi" w:hAnsiTheme="minorHAnsi"/>
        <w:sz w:val="16"/>
        <w:szCs w:val="16"/>
      </w:rPr>
      <w:t xml:space="preserve">pportunities </w:t>
    </w:r>
    <w:r>
      <w:rPr>
        <w:rFonts w:asciiTheme="minorHAnsi" w:hAnsiTheme="minorHAnsi"/>
        <w:sz w:val="16"/>
        <w:szCs w:val="16"/>
      </w:rPr>
      <w:t>to increase organi</w:t>
    </w:r>
    <w:r w:rsidR="0098327A">
      <w:rPr>
        <w:rFonts w:asciiTheme="minorHAnsi" w:hAnsiTheme="minorHAnsi"/>
        <w:sz w:val="16"/>
        <w:szCs w:val="16"/>
      </w:rPr>
      <w:t>c waste</w:t>
    </w:r>
    <w:r>
      <w:rPr>
        <w:rFonts w:asciiTheme="minorHAnsi" w:hAnsiTheme="minorHAnsi"/>
        <w:sz w:val="16"/>
        <w:szCs w:val="16"/>
      </w:rPr>
      <w:t xml:space="preserve"> recovery</w:t>
    </w:r>
    <w:r w:rsidRPr="009753CD">
      <w:rPr>
        <w:rFonts w:asciiTheme="minorHAnsi" w:hAnsiTheme="minorHAnsi"/>
        <w:sz w:val="16"/>
        <w:szCs w:val="16"/>
      </w:rPr>
      <w:tab/>
    </w:r>
    <w:r w:rsidRPr="009753CD">
      <w:rPr>
        <w:rFonts w:asciiTheme="minorHAnsi" w:hAnsiTheme="minorHAnsi"/>
        <w:sz w:val="16"/>
        <w:szCs w:val="16"/>
      </w:rPr>
      <w:tab/>
    </w:r>
    <w:r>
      <w:rPr>
        <w:rFonts w:asciiTheme="minorHAnsi" w:hAnsiTheme="minorHAnsi"/>
        <w:sz w:val="16"/>
        <w:szCs w:val="16"/>
      </w:rPr>
      <w:t xml:space="preserve"> </w:t>
    </w:r>
    <w:r w:rsidR="008B56CD">
      <w:rPr>
        <w:rFonts w:asciiTheme="minorHAnsi" w:hAnsiTheme="minorHAnsi"/>
        <w:sz w:val="16"/>
        <w:szCs w:val="16"/>
      </w:rPr>
      <w:t>Final</w:t>
    </w:r>
    <w:r>
      <w:rPr>
        <w:rFonts w:asciiTheme="minorHAnsi" w:hAnsiTheme="minorHAnsi"/>
        <w:sz w:val="16"/>
        <w:szCs w:val="16"/>
      </w:rPr>
      <w:t xml:space="preserve"> report</w:t>
    </w:r>
  </w:p>
  <w:p w14:paraId="6FE16EB6" w14:textId="77777777" w:rsidR="009238BE" w:rsidRPr="009753CD" w:rsidRDefault="001F08F2" w:rsidP="00F002A9">
    <w:pPr>
      <w:pStyle w:val="Footer"/>
      <w:jc w:val="center"/>
      <w:rPr>
        <w:rFonts w:asciiTheme="minorHAnsi" w:hAnsiTheme="minorHAnsi"/>
        <w:sz w:val="16"/>
        <w:szCs w:val="16"/>
      </w:rPr>
    </w:pPr>
    <w:sdt>
      <w:sdtPr>
        <w:rPr>
          <w:rFonts w:asciiTheme="minorHAnsi" w:hAnsiTheme="minorHAnsi"/>
          <w:sz w:val="16"/>
          <w:szCs w:val="16"/>
        </w:rPr>
        <w:id w:val="1931539201"/>
        <w:docPartObj>
          <w:docPartGallery w:val="Page Numbers (Bottom of Page)"/>
          <w:docPartUnique/>
        </w:docPartObj>
      </w:sdtPr>
      <w:sdtEndPr>
        <w:rPr>
          <w:noProof/>
        </w:rPr>
      </w:sdtEndPr>
      <w:sdtContent>
        <w:r w:rsidR="009238BE" w:rsidRPr="009753CD">
          <w:rPr>
            <w:rFonts w:asciiTheme="minorHAnsi" w:hAnsiTheme="minorHAnsi"/>
            <w:sz w:val="16"/>
            <w:szCs w:val="16"/>
          </w:rPr>
          <w:fldChar w:fldCharType="begin"/>
        </w:r>
        <w:r w:rsidR="009238BE" w:rsidRPr="009753CD">
          <w:rPr>
            <w:rFonts w:asciiTheme="minorHAnsi" w:hAnsiTheme="minorHAnsi"/>
            <w:sz w:val="16"/>
            <w:szCs w:val="16"/>
          </w:rPr>
          <w:instrText xml:space="preserve"> PAGE   \* MERGEFORMAT </w:instrText>
        </w:r>
        <w:r w:rsidR="009238BE" w:rsidRPr="009753CD">
          <w:rPr>
            <w:rFonts w:asciiTheme="minorHAnsi" w:hAnsiTheme="minorHAnsi"/>
            <w:sz w:val="16"/>
            <w:szCs w:val="16"/>
          </w:rPr>
          <w:fldChar w:fldCharType="separate"/>
        </w:r>
        <w:r w:rsidR="009238BE">
          <w:rPr>
            <w:rFonts w:asciiTheme="minorHAnsi" w:hAnsiTheme="minorHAnsi"/>
            <w:noProof/>
            <w:sz w:val="16"/>
            <w:szCs w:val="16"/>
          </w:rPr>
          <w:t>1</w:t>
        </w:r>
        <w:r w:rsidR="009238BE" w:rsidRPr="009753CD">
          <w:rPr>
            <w:rFonts w:asciiTheme="minorHAnsi" w:hAnsiTheme="minorHAnsi"/>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88269" w14:textId="77777777" w:rsidR="009238BE" w:rsidRDefault="009238BE" w:rsidP="00FD3295">
      <w:r>
        <w:separator/>
      </w:r>
    </w:p>
  </w:footnote>
  <w:footnote w:type="continuationSeparator" w:id="0">
    <w:p w14:paraId="24881E43" w14:textId="77777777" w:rsidR="009238BE" w:rsidRDefault="009238BE" w:rsidP="00FD3295">
      <w:r>
        <w:continuationSeparator/>
      </w:r>
    </w:p>
  </w:footnote>
  <w:footnote w:id="1">
    <w:p w14:paraId="75E602BC" w14:textId="11D8C2D5" w:rsidR="009238BE" w:rsidRDefault="009238BE">
      <w:pPr>
        <w:pStyle w:val="FootnoteText"/>
      </w:pPr>
      <w:r>
        <w:rPr>
          <w:rStyle w:val="FootnoteReference"/>
        </w:rPr>
        <w:footnoteRef/>
      </w:r>
      <w:r>
        <w:t xml:space="preserve"> NWR 2018 defied core waste as: </w:t>
      </w:r>
      <w:r w:rsidRPr="00A12F33">
        <w:t>waste generally managed by the waste and resource recovery sector, comprising solid non-hazardous waste and hazardous waste including liquids, and generated in the municipal, construction and demolition, and commercial and industrial sectors generally excluding primary production and including biosolids</w:t>
      </w:r>
      <w:r>
        <w:t>.</w:t>
      </w:r>
    </w:p>
  </w:footnote>
  <w:footnote w:id="2">
    <w:p w14:paraId="291CBEC4" w14:textId="2AA737A5" w:rsidR="009238BE" w:rsidRDefault="009238BE">
      <w:pPr>
        <w:pStyle w:val="FootnoteText"/>
      </w:pPr>
      <w:r>
        <w:rPr>
          <w:rStyle w:val="FootnoteReference"/>
        </w:rPr>
        <w:footnoteRef/>
      </w:r>
      <w:r>
        <w:t xml:space="preserve"> This excludes energy recovery from the capture and combustion of methane generated when organics are sent to landfill. </w:t>
      </w:r>
    </w:p>
  </w:footnote>
  <w:footnote w:id="3">
    <w:p w14:paraId="5B4B151B" w14:textId="1B02BBD1" w:rsidR="009238BE" w:rsidRDefault="009238BE" w:rsidP="00773B27">
      <w:pPr>
        <w:pStyle w:val="FootnoteText"/>
      </w:pPr>
      <w:r>
        <w:rPr>
          <w:rStyle w:val="FootnoteReference"/>
        </w:rPr>
        <w:footnoteRef/>
      </w:r>
      <w:r>
        <w:t xml:space="preserve"> EU-Landfill Directive (1999/31/EC) mandated that EU Member States reduce the amount of biodegradable municipal waste that they landfill to 35% of 1995 levels by 2016 (for some countries by 2020).</w:t>
      </w:r>
    </w:p>
  </w:footnote>
  <w:footnote w:id="4">
    <w:p w14:paraId="6AC0446D" w14:textId="3361393E" w:rsidR="009238BE" w:rsidRDefault="009238BE">
      <w:pPr>
        <w:pStyle w:val="FootnoteText"/>
      </w:pPr>
      <w:r>
        <w:rPr>
          <w:rStyle w:val="FootnoteReference"/>
        </w:rPr>
        <w:footnoteRef/>
      </w:r>
      <w:r>
        <w:t xml:space="preserve"> Environment Agency 2013 defines landspreading as </w:t>
      </w:r>
      <w:r w:rsidRPr="00380632">
        <w:rPr>
          <w:i/>
          <w:iCs/>
        </w:rPr>
        <w:t xml:space="preserve">the application of waste to land, any method of applying waste to the surface of the soil or directly within the body of the soil </w:t>
      </w:r>
      <w:r>
        <w:t>(rooting zone). Landspreading is subject to permit and management conditions and must be beneficial to the land.</w:t>
      </w:r>
    </w:p>
  </w:footnote>
  <w:footnote w:id="5">
    <w:p w14:paraId="2361C3AA" w14:textId="623EBB4D" w:rsidR="009238BE" w:rsidRDefault="009238BE">
      <w:pPr>
        <w:pStyle w:val="FootnoteText"/>
      </w:pPr>
      <w:r>
        <w:rPr>
          <w:rStyle w:val="FootnoteReference"/>
        </w:rPr>
        <w:footnoteRef/>
      </w:r>
      <w:r>
        <w:t xml:space="preserve"> </w:t>
      </w:r>
      <w:r w:rsidRPr="007B74E6">
        <w:t>AD facilities are well suited for processing segregated food wastes and are typically not well suited to processing garden organics.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497A7" w14:textId="77777777" w:rsidR="009238BE" w:rsidRDefault="009238BE" w:rsidP="00141564">
    <w:pPr>
      <w:pStyle w:val="Header"/>
      <w:jc w:val="right"/>
    </w:pPr>
    <w:r w:rsidRPr="00EB34BF">
      <w:rPr>
        <w:noProof/>
      </w:rPr>
      <w:drawing>
        <wp:anchor distT="0" distB="0" distL="114300" distR="114300" simplePos="0" relativeHeight="251653632" behindDoc="0" locked="0" layoutInCell="1" allowOverlap="1" wp14:anchorId="0B067005" wp14:editId="21505B4F">
          <wp:simplePos x="0" y="0"/>
          <wp:positionH relativeFrom="column">
            <wp:posOffset>2113280</wp:posOffset>
          </wp:positionH>
          <wp:positionV relativeFrom="paragraph">
            <wp:posOffset>-8255</wp:posOffset>
          </wp:positionV>
          <wp:extent cx="3710833" cy="717869"/>
          <wp:effectExtent l="0" t="0" r="4445" b="635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 cstate="email">
                    <a:extLst>
                      <a:ext uri="{28A0092B-C50C-407E-A947-70E740481C1C}">
                        <a14:useLocalDpi xmlns:a14="http://schemas.microsoft.com/office/drawing/2010/main"/>
                      </a:ext>
                    </a:extLst>
                  </a:blip>
                  <a:stretch>
                    <a:fillRect/>
                  </a:stretch>
                </pic:blipFill>
                <pic:spPr>
                  <a:xfrm>
                    <a:off x="0" y="0"/>
                    <a:ext cx="3710833" cy="71786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5B30B" w14:textId="06888454" w:rsidR="009238BE" w:rsidRDefault="009238BE" w:rsidP="007972CD">
    <w:pPr>
      <w:pStyle w:val="Header"/>
      <w:jc w:val="right"/>
    </w:pPr>
    <w:r>
      <w:rPr>
        <w:noProof/>
      </w:rPr>
      <w:drawing>
        <wp:anchor distT="0" distB="0" distL="114300" distR="114300" simplePos="0" relativeHeight="251651583" behindDoc="0" locked="0" layoutInCell="1" allowOverlap="1" wp14:anchorId="3E493467" wp14:editId="2DC6B9B3">
          <wp:simplePos x="0" y="0"/>
          <wp:positionH relativeFrom="column">
            <wp:posOffset>-1913890</wp:posOffset>
          </wp:positionH>
          <wp:positionV relativeFrom="paragraph">
            <wp:posOffset>-445580</wp:posOffset>
          </wp:positionV>
          <wp:extent cx="14229268" cy="10675917"/>
          <wp:effectExtent l="0" t="0" r="1270" b="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fill 2013 comm use cogdogblog.jpg"/>
                  <pic:cNvPicPr/>
                </pic:nvPicPr>
                <pic:blipFill>
                  <a:blip r:embed="rId1"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4229268" cy="10675917"/>
                  </a:xfrm>
                  <a:prstGeom prst="rect">
                    <a:avLst/>
                  </a:prstGeom>
                </pic:spPr>
              </pic:pic>
            </a:graphicData>
          </a:graphic>
          <wp14:sizeRelH relativeFrom="page">
            <wp14:pctWidth>0</wp14:pctWidth>
          </wp14:sizeRelH>
          <wp14:sizeRelV relativeFrom="page">
            <wp14:pctHeight>0</wp14:pctHeight>
          </wp14:sizeRelV>
        </wp:anchor>
      </w:drawing>
    </w:r>
    <w:r w:rsidRPr="00EB34BF">
      <w:rPr>
        <w:noProof/>
      </w:rPr>
      <w:drawing>
        <wp:anchor distT="0" distB="0" distL="114300" distR="114300" simplePos="0" relativeHeight="251656704" behindDoc="0" locked="0" layoutInCell="1" allowOverlap="1" wp14:anchorId="6A122027" wp14:editId="22CBB5CD">
          <wp:simplePos x="0" y="0"/>
          <wp:positionH relativeFrom="column">
            <wp:posOffset>2136981</wp:posOffset>
          </wp:positionH>
          <wp:positionV relativeFrom="paragraph">
            <wp:posOffset>-635</wp:posOffset>
          </wp:positionV>
          <wp:extent cx="3710833" cy="717869"/>
          <wp:effectExtent l="0" t="0" r="4445" b="635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 cstate="email">
                    <a:extLst>
                      <a:ext uri="{28A0092B-C50C-407E-A947-70E740481C1C}">
                        <a14:useLocalDpi xmlns:a14="http://schemas.microsoft.com/office/drawing/2010/main"/>
                      </a:ext>
                    </a:extLst>
                  </a:blip>
                  <a:stretch>
                    <a:fillRect/>
                  </a:stretch>
                </pic:blipFill>
                <pic:spPr>
                  <a:xfrm>
                    <a:off x="0" y="0"/>
                    <a:ext cx="3710833" cy="71786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6A825" w14:textId="2E391156" w:rsidR="008B56CD" w:rsidRPr="000B0B81" w:rsidRDefault="008B56CD" w:rsidP="008B56CD">
    <w:pPr>
      <w:pStyle w:val="SubTitle0"/>
    </w:pPr>
    <w:r w:rsidRPr="00EB34BF">
      <w:rPr>
        <w:noProof/>
      </w:rPr>
      <w:drawing>
        <wp:anchor distT="0" distB="0" distL="114300" distR="114300" simplePos="0" relativeHeight="251664896" behindDoc="0" locked="0" layoutInCell="1" allowOverlap="1" wp14:anchorId="252BD690" wp14:editId="5B4B38A1">
          <wp:simplePos x="0" y="0"/>
          <wp:positionH relativeFrom="column">
            <wp:posOffset>3529775</wp:posOffset>
          </wp:positionH>
          <wp:positionV relativeFrom="paragraph">
            <wp:posOffset>-79375</wp:posOffset>
          </wp:positionV>
          <wp:extent cx="2753841" cy="532737"/>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 cstate="email">
                    <a:extLst>
                      <a:ext uri="{28A0092B-C50C-407E-A947-70E740481C1C}">
                        <a14:useLocalDpi xmlns:a14="http://schemas.microsoft.com/office/drawing/2010/main"/>
                      </a:ext>
                    </a:extLst>
                  </a:blip>
                  <a:stretch>
                    <a:fillRect/>
                  </a:stretch>
                </pic:blipFill>
                <pic:spPr>
                  <a:xfrm>
                    <a:off x="0" y="0"/>
                    <a:ext cx="2753841" cy="532737"/>
                  </a:xfrm>
                  <a:prstGeom prst="rect">
                    <a:avLst/>
                  </a:prstGeom>
                </pic:spPr>
              </pic:pic>
            </a:graphicData>
          </a:graphic>
          <wp14:sizeRelH relativeFrom="margin">
            <wp14:pctWidth>0</wp14:pctWidth>
          </wp14:sizeRelH>
          <wp14:sizeRelV relativeFrom="margin">
            <wp14:pctHeight>0</wp14:pctHeight>
          </wp14:sizeRelV>
        </wp:anchor>
      </w:drawing>
    </w:r>
    <w:r w:rsidRPr="000B0B81">
      <w:t>Report SNAPSHOT</w:t>
    </w:r>
  </w:p>
  <w:p w14:paraId="56FC3937" w14:textId="6C19A0C2" w:rsidR="008B56CD" w:rsidRDefault="008B56CD" w:rsidP="0014156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01352" w14:textId="21B970A8" w:rsidR="009238BE" w:rsidRPr="003B713E" w:rsidRDefault="009238BE" w:rsidP="00B10DAA">
    <w:pPr>
      <w:pStyle w:val="SubTitle0"/>
    </w:pPr>
    <w:r w:rsidRPr="00EB34BF">
      <w:rPr>
        <w:noProof/>
      </w:rPr>
      <w:drawing>
        <wp:anchor distT="0" distB="0" distL="114300" distR="114300" simplePos="0" relativeHeight="251652608" behindDoc="0" locked="0" layoutInCell="1" allowOverlap="1" wp14:anchorId="44BA061E" wp14:editId="0B124A1A">
          <wp:simplePos x="0" y="0"/>
          <wp:positionH relativeFrom="column">
            <wp:posOffset>3340469</wp:posOffset>
          </wp:positionH>
          <wp:positionV relativeFrom="paragraph">
            <wp:posOffset>-110679</wp:posOffset>
          </wp:positionV>
          <wp:extent cx="2926534" cy="565974"/>
          <wp:effectExtent l="0" t="0" r="762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 cstate="email">
                    <a:extLst>
                      <a:ext uri="{28A0092B-C50C-407E-A947-70E740481C1C}">
                        <a14:useLocalDpi xmlns:a14="http://schemas.microsoft.com/office/drawing/2010/main"/>
                      </a:ext>
                    </a:extLst>
                  </a:blip>
                  <a:stretch>
                    <a:fillRect/>
                  </a:stretch>
                </pic:blipFill>
                <pic:spPr>
                  <a:xfrm>
                    <a:off x="0" y="0"/>
                    <a:ext cx="2926534" cy="565974"/>
                  </a:xfrm>
                  <a:prstGeom prst="rect">
                    <a:avLst/>
                  </a:prstGeom>
                </pic:spPr>
              </pic:pic>
            </a:graphicData>
          </a:graphic>
          <wp14:sizeRelH relativeFrom="margin">
            <wp14:pctWidth>0</wp14:pctWidth>
          </wp14:sizeRelH>
          <wp14:sizeRelV relativeFrom="margin">
            <wp14:pctHeight>0</wp14:pctHeight>
          </wp14:sizeRelV>
        </wp:anchor>
      </w:drawing>
    </w:r>
    <w:r w:rsidRPr="003B713E">
      <w:t>Report SNAPSHOT</w:t>
    </w:r>
  </w:p>
  <w:p w14:paraId="74CA60FE" w14:textId="56F21FC3" w:rsidR="009238BE" w:rsidRDefault="009238BE" w:rsidP="00B10DAA">
    <w:pPr>
      <w:pStyle w:val="Header"/>
      <w:tabs>
        <w:tab w:val="right" w:pos="9192"/>
      </w:tabs>
    </w:pP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9EFD4" w14:textId="77777777" w:rsidR="009238BE" w:rsidRDefault="009238BE" w:rsidP="00141564">
    <w:pPr>
      <w:pStyle w:val="Header"/>
      <w:jc w:val="right"/>
    </w:pPr>
    <w:r>
      <w:rPr>
        <w:noProof/>
        <w:lang w:eastAsia="en-AU"/>
      </w:rPr>
      <w:drawing>
        <wp:anchor distT="0" distB="0" distL="114300" distR="114300" simplePos="0" relativeHeight="251660288" behindDoc="1" locked="0" layoutInCell="1" allowOverlap="1" wp14:anchorId="0846531F" wp14:editId="2E6B0C71">
          <wp:simplePos x="0" y="0"/>
          <wp:positionH relativeFrom="column">
            <wp:posOffset>-2345704</wp:posOffset>
          </wp:positionH>
          <wp:positionV relativeFrom="paragraph">
            <wp:posOffset>736063</wp:posOffset>
          </wp:positionV>
          <wp:extent cx="11462163" cy="8596622"/>
          <wp:effectExtent l="4127"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687.JPG"/>
                  <pic:cNvPicPr/>
                </pic:nvPicPr>
                <pic:blipFill>
                  <a:blip r:embed="rId1" cstate="email">
                    <a:lum bright="70000" contrast="-70000"/>
                    <a:extLst>
                      <a:ext uri="{BEBA8EAE-BF5A-486C-A8C5-ECC9F3942E4B}">
                        <a14:imgProps xmlns:a14="http://schemas.microsoft.com/office/drawing/2010/main">
                          <a14:imgLayer r:embed="rId2">
                            <a14:imgEffect>
                              <a14:saturation sat="86000"/>
                            </a14:imgEffect>
                          </a14:imgLayer>
                        </a14:imgProps>
                      </a:ext>
                      <a:ext uri="{28A0092B-C50C-407E-A947-70E740481C1C}">
                        <a14:useLocalDpi xmlns:a14="http://schemas.microsoft.com/office/drawing/2010/main"/>
                      </a:ext>
                    </a:extLst>
                  </a:blip>
                  <a:stretch>
                    <a:fillRect/>
                  </a:stretch>
                </pic:blipFill>
                <pic:spPr>
                  <a:xfrm rot="5400000">
                    <a:off x="0" y="0"/>
                    <a:ext cx="11467294" cy="860047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5A5D8ED5" wp14:editId="5BC90F02">
          <wp:simplePos x="0" y="0"/>
          <wp:positionH relativeFrom="column">
            <wp:posOffset>2375535</wp:posOffset>
          </wp:positionH>
          <wp:positionV relativeFrom="paragraph">
            <wp:posOffset>635</wp:posOffset>
          </wp:positionV>
          <wp:extent cx="3594100" cy="683895"/>
          <wp:effectExtent l="0" t="0" r="6350" b="1905"/>
          <wp:wrapSquare wrapText="bothSides"/>
          <wp:docPr id="34" name="Picture 34"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3594100" cy="683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D2CAC" w14:textId="77777777" w:rsidR="009238BE" w:rsidRDefault="009238BE" w:rsidP="007972CD">
    <w:pPr>
      <w:pStyle w:val="Header"/>
      <w:jc w:val="right"/>
    </w:pPr>
    <w:r>
      <w:rPr>
        <w:noProof/>
        <w:lang w:eastAsia="en-AU"/>
      </w:rPr>
      <w:drawing>
        <wp:inline distT="0" distB="0" distL="0" distR="0" wp14:anchorId="18233689" wp14:editId="4B51B643">
          <wp:extent cx="3240915" cy="616689"/>
          <wp:effectExtent l="0" t="0" r="0" b="0"/>
          <wp:docPr id="17" name="Picture 17"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3279280" cy="623989"/>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A8F65" w14:textId="77777777" w:rsidR="009238BE" w:rsidRDefault="009238BE" w:rsidP="00141564">
    <w:pPr>
      <w:pStyle w:val="Header"/>
      <w:jc w:val="right"/>
    </w:pPr>
    <w:r>
      <w:rPr>
        <w:noProof/>
        <w:lang w:eastAsia="en-AU"/>
      </w:rPr>
      <w:drawing>
        <wp:anchor distT="0" distB="0" distL="114300" distR="114300" simplePos="0" relativeHeight="251656192" behindDoc="0" locked="0" layoutInCell="1" allowOverlap="1" wp14:anchorId="212EDA68" wp14:editId="18CA0FD2">
          <wp:simplePos x="0" y="0"/>
          <wp:positionH relativeFrom="column">
            <wp:posOffset>3229610</wp:posOffset>
          </wp:positionH>
          <wp:positionV relativeFrom="paragraph">
            <wp:posOffset>-97155</wp:posOffset>
          </wp:positionV>
          <wp:extent cx="2531745" cy="481330"/>
          <wp:effectExtent l="0" t="0" r="1905" b="0"/>
          <wp:wrapSquare wrapText="bothSides"/>
          <wp:docPr id="25" name="Picture 25"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531745" cy="481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FC2DE" w14:textId="77777777" w:rsidR="009238BE" w:rsidRDefault="009238BE" w:rsidP="007972CD">
    <w:pPr>
      <w:pStyle w:val="Header"/>
      <w:jc w:val="right"/>
    </w:pPr>
    <w:r>
      <w:rPr>
        <w:noProof/>
        <w:lang w:eastAsia="en-AU"/>
      </w:rPr>
      <w:drawing>
        <wp:inline distT="0" distB="0" distL="0" distR="0" wp14:anchorId="73F3CD5E" wp14:editId="1ACD98D9">
          <wp:extent cx="2314227" cy="440357"/>
          <wp:effectExtent l="0" t="0" r="0" b="0"/>
          <wp:docPr id="26" name="Picture 26"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335713" cy="44444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F8502" w14:textId="77777777" w:rsidR="009238BE" w:rsidRDefault="009238BE" w:rsidP="00141564">
    <w:pPr>
      <w:pStyle w:val="Header"/>
      <w:jc w:val="right"/>
    </w:pPr>
    <w:r>
      <w:rPr>
        <w:noProof/>
        <w:lang w:eastAsia="en-AU"/>
      </w:rPr>
      <w:drawing>
        <wp:anchor distT="0" distB="0" distL="114300" distR="114300" simplePos="0" relativeHeight="251655680" behindDoc="0" locked="0" layoutInCell="1" allowOverlap="1" wp14:anchorId="72FA9876" wp14:editId="5C6D8117">
          <wp:simplePos x="0" y="0"/>
          <wp:positionH relativeFrom="column">
            <wp:posOffset>3229610</wp:posOffset>
          </wp:positionH>
          <wp:positionV relativeFrom="paragraph">
            <wp:posOffset>-97155</wp:posOffset>
          </wp:positionV>
          <wp:extent cx="2531745" cy="481330"/>
          <wp:effectExtent l="0" t="0" r="1905" b="0"/>
          <wp:wrapSquare wrapText="bothSides"/>
          <wp:docPr id="490" name="Picture 490"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531745" cy="481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A38EA"/>
    <w:multiLevelType w:val="multilevel"/>
    <w:tmpl w:val="DA5C9C04"/>
    <w:styleLink w:val="Dotpoints"/>
    <w:lvl w:ilvl="0">
      <w:start w:val="1"/>
      <w:numFmt w:val="bullet"/>
      <w:lvlText w:val=""/>
      <w:lvlJc w:val="left"/>
      <w:pPr>
        <w:ind w:left="720" w:hanging="360"/>
      </w:pPr>
      <w:rPr>
        <w:rFonts w:ascii="Symbol" w:hAnsi="Symbol" w:hint="default"/>
        <w:color w:val="auto"/>
      </w:rPr>
    </w:lvl>
    <w:lvl w:ilvl="1">
      <w:start w:val="1"/>
      <w:numFmt w:val="bullet"/>
      <w:lvlText w:val=""/>
      <w:lvlJc w:val="left"/>
      <w:pPr>
        <w:ind w:left="1080" w:hanging="360"/>
      </w:pPr>
      <w:rPr>
        <w:rFonts w:ascii="Symbol" w:hAnsi="Symbol" w:hint="default"/>
        <w:color w:val="auto"/>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5A236AC"/>
    <w:multiLevelType w:val="multilevel"/>
    <w:tmpl w:val="0809001D"/>
    <w:styleLink w:val="Style4"/>
    <w:lvl w:ilvl="0">
      <w:start w:val="1"/>
      <w:numFmt w:val="bullet"/>
      <w:lvlText w:val=""/>
      <w:lvlJc w:val="left"/>
      <w:pPr>
        <w:ind w:left="360" w:hanging="360"/>
      </w:pPr>
      <w:rPr>
        <w:rFonts w:ascii="Wingdings 2" w:hAnsi="Wingdings 2"/>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615FA8"/>
    <w:multiLevelType w:val="hybridMultilevel"/>
    <w:tmpl w:val="E3BAED7C"/>
    <w:lvl w:ilvl="0" w:tplc="3F22681A">
      <w:start w:val="1"/>
      <w:numFmt w:val="decimal"/>
      <w:pStyle w:val="Subtitle"/>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0D24D5"/>
    <w:multiLevelType w:val="multilevel"/>
    <w:tmpl w:val="FB58EFD6"/>
    <w:lvl w:ilvl="0">
      <w:start w:val="1"/>
      <w:numFmt w:val="decimal"/>
      <w:pStyle w:val="GANumberedHeading1"/>
      <w:lvlText w:val="%1.0"/>
      <w:lvlJc w:val="left"/>
      <w:pPr>
        <w:tabs>
          <w:tab w:val="num" w:pos="794"/>
        </w:tabs>
        <w:ind w:left="794" w:hanging="794"/>
      </w:pPr>
      <w:rPr>
        <w:rFonts w:ascii="Arial" w:hAnsi="Arial" w:hint="default"/>
        <w:b/>
        <w:i w:val="0"/>
        <w:color w:val="000000"/>
        <w:sz w:val="24"/>
        <w:szCs w:val="24"/>
      </w:rPr>
    </w:lvl>
    <w:lvl w:ilvl="1">
      <w:start w:val="1"/>
      <w:numFmt w:val="decimal"/>
      <w:pStyle w:val="GANumberedHeading2"/>
      <w:lvlText w:val="%1.%2"/>
      <w:lvlJc w:val="left"/>
      <w:pPr>
        <w:tabs>
          <w:tab w:val="num" w:pos="907"/>
        </w:tabs>
        <w:ind w:left="907" w:hanging="907"/>
      </w:pPr>
      <w:rPr>
        <w:rFonts w:ascii="Arial" w:hAnsi="Arial" w:hint="default"/>
        <w:b/>
        <w:i w:val="0"/>
        <w:caps w:val="0"/>
        <w:strike w:val="0"/>
        <w:dstrike w:val="0"/>
        <w:vanish w:val="0"/>
        <w:color w:val="000000"/>
        <w:sz w:val="24"/>
        <w:szCs w:val="24"/>
        <w:vertAlign w:val="baseline"/>
      </w:rPr>
    </w:lvl>
    <w:lvl w:ilvl="2">
      <w:start w:val="1"/>
      <w:numFmt w:val="decimal"/>
      <w:pStyle w:val="GANumberedHeading3"/>
      <w:lvlText w:val="%1.%2.%3"/>
      <w:lvlJc w:val="left"/>
      <w:pPr>
        <w:tabs>
          <w:tab w:val="num" w:pos="1021"/>
        </w:tabs>
        <w:ind w:left="1021" w:hanging="1021"/>
      </w:pPr>
      <w:rPr>
        <w:rFonts w:ascii="Arial" w:hAnsi="Arial" w:hint="default"/>
        <w:b/>
        <w:i w:val="0"/>
        <w:caps w:val="0"/>
        <w:strike w:val="0"/>
        <w:dstrike w:val="0"/>
        <w:vanish w:val="0"/>
        <w:color w:val="000000"/>
        <w:sz w:val="22"/>
        <w:szCs w:val="22"/>
        <w:vertAlign w:val="baseline"/>
      </w:rPr>
    </w:lvl>
    <w:lvl w:ilvl="3">
      <w:start w:val="1"/>
      <w:numFmt w:val="decimal"/>
      <w:pStyle w:val="GANumberedHeading4"/>
      <w:lvlText w:val="%1.%2.%3.%4"/>
      <w:lvlJc w:val="left"/>
      <w:pPr>
        <w:tabs>
          <w:tab w:val="num" w:pos="1247"/>
        </w:tabs>
        <w:ind w:left="1247" w:hanging="1247"/>
      </w:pPr>
      <w:rPr>
        <w:rFonts w:ascii="Arial" w:hAnsi="Arial" w:hint="default"/>
        <w:b/>
        <w:i/>
        <w:caps w:val="0"/>
        <w:strike w:val="0"/>
        <w:dstrike w:val="0"/>
        <w:vanish w:val="0"/>
        <w:color w:val="000000"/>
        <w:sz w:val="22"/>
        <w:szCs w:val="22"/>
        <w:vertAlign w:val="baseline"/>
      </w:rPr>
    </w:lvl>
    <w:lvl w:ilvl="4">
      <w:start w:val="1"/>
      <w:numFmt w:val="decimal"/>
      <w:pStyle w:val="GANumberedHeading5"/>
      <w:lvlText w:val="%1.%2.%3.%4.%5"/>
      <w:lvlJc w:val="left"/>
      <w:pPr>
        <w:tabs>
          <w:tab w:val="num" w:pos="1418"/>
        </w:tabs>
        <w:ind w:left="1418" w:hanging="1418"/>
      </w:pPr>
      <w:rPr>
        <w:rFonts w:ascii="Arial" w:hAnsi="Arial" w:hint="default"/>
        <w:b/>
        <w:i w:val="0"/>
        <w:caps w:val="0"/>
        <w:strike w:val="0"/>
        <w:dstrike w:val="0"/>
        <w:vanish w:val="0"/>
        <w:color w:val="000000"/>
        <w:sz w:val="22"/>
        <w:szCs w:val="22"/>
        <w:vertAlign w:val="baseline"/>
      </w:rPr>
    </w:lvl>
    <w:lvl w:ilvl="5">
      <w:start w:val="1"/>
      <w:numFmt w:val="decimal"/>
      <w:pStyle w:val="GANumberedHeading6"/>
      <w:lvlText w:val="%1.%2.%3.%4.%5.%6"/>
      <w:lvlJc w:val="left"/>
      <w:pPr>
        <w:tabs>
          <w:tab w:val="num" w:pos="1588"/>
        </w:tabs>
        <w:ind w:left="1588" w:hanging="1588"/>
      </w:pPr>
      <w:rPr>
        <w:rFonts w:ascii="Arial" w:hAnsi="Arial" w:hint="default"/>
        <w:b/>
        <w:i/>
        <w:caps w:val="0"/>
        <w:strike w:val="0"/>
        <w:dstrike w:val="0"/>
        <w:vanish w:val="0"/>
        <w:color w:val="000000"/>
        <w:sz w:val="22"/>
        <w:szCs w:val="22"/>
        <w:vertAlign w:val="baseli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AD24F75"/>
    <w:multiLevelType w:val="hybridMultilevel"/>
    <w:tmpl w:val="1D0CB8B8"/>
    <w:lvl w:ilvl="0" w:tplc="16EEE754">
      <w:start w:val="1"/>
      <w:numFmt w:val="bullet"/>
      <w:pStyle w:val="REC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C1B0A"/>
    <w:multiLevelType w:val="multilevel"/>
    <w:tmpl w:val="1CF64994"/>
    <w:styleLink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1180008B"/>
    <w:multiLevelType w:val="hybridMultilevel"/>
    <w:tmpl w:val="271E144C"/>
    <w:lvl w:ilvl="0" w:tplc="71C638F2">
      <w:start w:val="1"/>
      <w:numFmt w:val="decimal"/>
      <w:pStyle w:val="NumberedList"/>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B27EEE"/>
    <w:multiLevelType w:val="multilevel"/>
    <w:tmpl w:val="1AE87CA2"/>
    <w:lvl w:ilvl="0">
      <w:start w:val="1"/>
      <w:numFmt w:val="upperLetter"/>
      <w:pStyle w:val="GAAppendixHeading"/>
      <w:suff w:val="nothing"/>
      <w:lvlText w:val="APPENDIX %1"/>
      <w:lvlJc w:val="right"/>
      <w:pPr>
        <w:ind w:left="0" w:firstLine="0"/>
      </w:pPr>
      <w:rPr>
        <w:rFonts w:hint="default"/>
        <w:b/>
        <w:i w:val="0"/>
        <w:caps/>
        <w:color w:val="00000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DDF3C89"/>
    <w:multiLevelType w:val="multilevel"/>
    <w:tmpl w:val="1CF64994"/>
    <w:numStyleLink w:val="Headings"/>
  </w:abstractNum>
  <w:abstractNum w:abstractNumId="9" w15:restartNumberingAfterBreak="0">
    <w:nsid w:val="1EA44427"/>
    <w:multiLevelType w:val="hybridMultilevel"/>
    <w:tmpl w:val="19042DCE"/>
    <w:lvl w:ilvl="0" w:tplc="C450E2E0">
      <w:start w:val="1"/>
      <w:numFmt w:val="decimal"/>
      <w:pStyle w:val="RECnumber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1B7C1D"/>
    <w:multiLevelType w:val="multilevel"/>
    <w:tmpl w:val="C6BCD108"/>
    <w:lvl w:ilvl="0">
      <w:start w:val="1"/>
      <w:numFmt w:val="bullet"/>
      <w:pStyle w:val="Bullets"/>
      <w:lvlText w:val=""/>
      <w:lvlJc w:val="left"/>
      <w:pPr>
        <w:tabs>
          <w:tab w:val="num" w:pos="454"/>
        </w:tabs>
        <w:ind w:left="454" w:hanging="454"/>
      </w:pPr>
      <w:rPr>
        <w:rFonts w:ascii="Wingdings 2" w:hAnsi="Wingdings 2" w:hint="default"/>
        <w:color w:val="000000" w:themeColor="text1"/>
        <w:position w:val="-6"/>
        <w:sz w:val="28"/>
        <w:szCs w:val="28"/>
      </w:rPr>
    </w:lvl>
    <w:lvl w:ilvl="1">
      <w:start w:val="1"/>
      <w:numFmt w:val="bullet"/>
      <w:lvlText w:val=""/>
      <w:lvlJc w:val="left"/>
      <w:pPr>
        <w:tabs>
          <w:tab w:val="num" w:pos="794"/>
        </w:tabs>
        <w:ind w:left="794" w:hanging="340"/>
      </w:pPr>
      <w:rPr>
        <w:rFonts w:ascii="Wingdings" w:hAnsi="Wingdings" w:hint="default"/>
        <w:color w:val="000000"/>
        <w:sz w:val="24"/>
        <w:szCs w:val="24"/>
      </w:rPr>
    </w:lvl>
    <w:lvl w:ilvl="2">
      <w:start w:val="1"/>
      <w:numFmt w:val="bullet"/>
      <w:lvlText w:val=""/>
      <w:lvlJc w:val="left"/>
      <w:pPr>
        <w:tabs>
          <w:tab w:val="num" w:pos="1080"/>
        </w:tabs>
        <w:ind w:left="1080" w:hanging="360"/>
      </w:pPr>
      <w:rPr>
        <w:rFonts w:ascii="Symbol" w:hAnsi="Symbol" w:hint="default"/>
        <w:color w:val="000000"/>
      </w:rPr>
    </w:lvl>
    <w:lvl w:ilvl="3">
      <w:start w:val="1"/>
      <w:numFmt w:val="bullet"/>
      <w:lvlText w:val=""/>
      <w:lvlJc w:val="left"/>
      <w:pPr>
        <w:tabs>
          <w:tab w:val="num" w:pos="1440"/>
        </w:tabs>
        <w:ind w:left="1440" w:hanging="360"/>
      </w:pPr>
      <w:rPr>
        <w:rFonts w:ascii="Symbol" w:hAnsi="Symbol" w:hint="default"/>
        <w:color w:val="000000"/>
      </w:rPr>
    </w:lvl>
    <w:lvl w:ilvl="4">
      <w:start w:val="1"/>
      <w:numFmt w:val="bullet"/>
      <w:lvlText w:val=""/>
      <w:lvlJc w:val="left"/>
      <w:pPr>
        <w:tabs>
          <w:tab w:val="num" w:pos="1800"/>
        </w:tabs>
        <w:ind w:left="1800" w:hanging="360"/>
      </w:pPr>
      <w:rPr>
        <w:rFonts w:ascii="Symbol" w:hAnsi="Symbol" w:hint="default"/>
        <w:color w:val="000000"/>
      </w:rPr>
    </w:lvl>
    <w:lvl w:ilvl="5">
      <w:start w:val="1"/>
      <w:numFmt w:val="bullet"/>
      <w:lvlText w:val=""/>
      <w:lvlJc w:val="left"/>
      <w:pPr>
        <w:tabs>
          <w:tab w:val="num" w:pos="2160"/>
        </w:tabs>
        <w:ind w:left="2160" w:hanging="360"/>
      </w:pPr>
      <w:rPr>
        <w:rFonts w:ascii="Wingdings" w:hAnsi="Wingdings" w:hint="default"/>
        <w:color w:val="000000"/>
      </w:rPr>
    </w:lvl>
    <w:lvl w:ilvl="6">
      <w:start w:val="1"/>
      <w:numFmt w:val="bullet"/>
      <w:lvlText w:val=""/>
      <w:lvlJc w:val="left"/>
      <w:pPr>
        <w:tabs>
          <w:tab w:val="num" w:pos="2520"/>
        </w:tabs>
        <w:ind w:left="2520" w:hanging="360"/>
      </w:pPr>
      <w:rPr>
        <w:rFonts w:ascii="Wingdings" w:hAnsi="Wingdings" w:hint="default"/>
        <w:color w:val="000000"/>
      </w:rPr>
    </w:lvl>
    <w:lvl w:ilvl="7">
      <w:start w:val="1"/>
      <w:numFmt w:val="bullet"/>
      <w:lvlText w:val=""/>
      <w:lvlJc w:val="left"/>
      <w:pPr>
        <w:tabs>
          <w:tab w:val="num" w:pos="2880"/>
        </w:tabs>
        <w:ind w:left="2880" w:hanging="360"/>
      </w:pPr>
      <w:rPr>
        <w:rFonts w:ascii="Symbol" w:hAnsi="Symbol" w:hint="default"/>
        <w:color w:val="000000"/>
      </w:rPr>
    </w:lvl>
    <w:lvl w:ilvl="8">
      <w:start w:val="1"/>
      <w:numFmt w:val="bullet"/>
      <w:lvlText w:val=""/>
      <w:lvlJc w:val="left"/>
      <w:pPr>
        <w:tabs>
          <w:tab w:val="num" w:pos="3240"/>
        </w:tabs>
        <w:ind w:left="3240" w:hanging="360"/>
      </w:pPr>
      <w:rPr>
        <w:rFonts w:ascii="Symbol" w:hAnsi="Symbol" w:hint="default"/>
        <w:color w:val="000000"/>
      </w:rPr>
    </w:lvl>
  </w:abstractNum>
  <w:abstractNum w:abstractNumId="11" w15:restartNumberingAfterBreak="0">
    <w:nsid w:val="1F467837"/>
    <w:multiLevelType w:val="multilevel"/>
    <w:tmpl w:val="0C09001D"/>
    <w:styleLink w:val="REClistnumber"/>
    <w:lvl w:ilvl="0">
      <w:start w:val="1"/>
      <w:numFmt w:val="decimal"/>
      <w:lvlText w:val="%1)"/>
      <w:lvlJc w:val="left"/>
      <w:pPr>
        <w:ind w:left="360" w:hanging="360"/>
      </w:pPr>
      <w:rPr>
        <w:rFonts w:ascii="DINPro" w:hAnsi="DINPr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902B8F"/>
    <w:multiLevelType w:val="multilevel"/>
    <w:tmpl w:val="7C764FCE"/>
    <w:styleLink w:val="StyleOutlinenumberedWingdings2symbol8ptCustomColorRG1"/>
    <w:lvl w:ilvl="0">
      <w:start w:val="1"/>
      <w:numFmt w:val="bullet"/>
      <w:lvlText w:val=""/>
      <w:lvlJc w:val="left"/>
      <w:pPr>
        <w:tabs>
          <w:tab w:val="num" w:pos="454"/>
        </w:tabs>
        <w:ind w:left="454" w:hanging="454"/>
      </w:pPr>
      <w:rPr>
        <w:rFonts w:ascii="Symbol" w:hAnsi="Symbol" w:hint="default"/>
        <w:color w:val="53534B"/>
        <w:position w:val="-6"/>
        <w:sz w:val="16"/>
        <w:szCs w:val="28"/>
      </w:rPr>
    </w:lvl>
    <w:lvl w:ilvl="1">
      <w:start w:val="1"/>
      <w:numFmt w:val="bullet"/>
      <w:lvlText w:val=""/>
      <w:lvlJc w:val="left"/>
      <w:pPr>
        <w:tabs>
          <w:tab w:val="num" w:pos="794"/>
        </w:tabs>
        <w:ind w:left="794" w:hanging="340"/>
      </w:pPr>
      <w:rPr>
        <w:rFonts w:ascii="Wingdings 2" w:hAnsi="Wingdings 2"/>
        <w:color w:val="53534B"/>
        <w:sz w:val="16"/>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381F465C"/>
    <w:multiLevelType w:val="multilevel"/>
    <w:tmpl w:val="0809001D"/>
    <w:styleLink w:val="GolderBullets"/>
    <w:lvl w:ilvl="0">
      <w:start w:val="1"/>
      <w:numFmt w:val="bullet"/>
      <w:lvlText w:val=""/>
      <w:lvlJc w:val="left"/>
      <w:pPr>
        <w:ind w:left="360" w:hanging="360"/>
      </w:pPr>
      <w:rPr>
        <w:rFonts w:ascii="Wingdings 2" w:hAnsi="Wingdings 2"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D7E5C1E"/>
    <w:multiLevelType w:val="multilevel"/>
    <w:tmpl w:val="0809001D"/>
    <w:styleLink w:val="Style3"/>
    <w:lvl w:ilvl="0">
      <w:start w:val="1"/>
      <w:numFmt w:val="bullet"/>
      <w:lvlText w:val=""/>
      <w:lvlJc w:val="left"/>
      <w:pPr>
        <w:ind w:left="360" w:hanging="360"/>
      </w:pPr>
      <w:rPr>
        <w:rFonts w:ascii="Wingdings 2" w:hAnsi="Wingdings 2"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2087553"/>
    <w:multiLevelType w:val="multilevel"/>
    <w:tmpl w:val="9F1A0EFA"/>
    <w:lvl w:ilvl="0">
      <w:start w:val="1"/>
      <w:numFmt w:val="upperLetter"/>
      <w:pStyle w:val="AppendixLabelSP-SA"/>
      <w:suff w:val="nothing"/>
      <w:lvlText w:val="ANEXO %1"/>
      <w:lvlJc w:val="right"/>
      <w:pPr>
        <w:ind w:left="0" w:firstLine="0"/>
      </w:pPr>
      <w:rPr>
        <w:rFonts w:ascii="Arial" w:hAnsi="Arial" w:cs="Times New Roman" w:hint="default"/>
        <w:b/>
        <w:bCs w:val="0"/>
        <w:i w:val="0"/>
        <w:iCs w:val="0"/>
        <w:caps/>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3072C38"/>
    <w:multiLevelType w:val="multilevel"/>
    <w:tmpl w:val="0809001D"/>
    <w:styleLink w:val="Style2"/>
    <w:lvl w:ilvl="0">
      <w:start w:val="1"/>
      <w:numFmt w:val="bullet"/>
      <w:lvlText w:val=""/>
      <w:lvlJc w:val="left"/>
      <w:pPr>
        <w:ind w:left="360" w:hanging="360"/>
      </w:pPr>
      <w:rPr>
        <w:rFonts w:ascii="Wingdings 2" w:hAnsi="Wingdings 2"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26486A"/>
    <w:multiLevelType w:val="hybridMultilevel"/>
    <w:tmpl w:val="3988A6BC"/>
    <w:lvl w:ilvl="0" w:tplc="7FA448F6">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33D10D7"/>
    <w:multiLevelType w:val="hybridMultilevel"/>
    <w:tmpl w:val="575CE534"/>
    <w:lvl w:ilvl="0" w:tplc="AAFC14C6">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E5656B6"/>
    <w:multiLevelType w:val="hybridMultilevel"/>
    <w:tmpl w:val="543AD026"/>
    <w:lvl w:ilvl="0" w:tplc="0AE671B2">
      <w:start w:val="1"/>
      <w:numFmt w:val="lowerLetter"/>
      <w:pStyle w:val="Smallletters"/>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FA203A9"/>
    <w:multiLevelType w:val="multilevel"/>
    <w:tmpl w:val="0B0AD7EE"/>
    <w:styleLink w:val="StyleOutlinenumberedWingdings2symbol8ptCustomColorRG"/>
    <w:lvl w:ilvl="0">
      <w:start w:val="1"/>
      <w:numFmt w:val="bullet"/>
      <w:lvlText w:val=""/>
      <w:lvlJc w:val="left"/>
      <w:pPr>
        <w:tabs>
          <w:tab w:val="num" w:pos="454"/>
        </w:tabs>
        <w:ind w:left="454" w:hanging="454"/>
      </w:pPr>
      <w:rPr>
        <w:rFonts w:ascii="Wingdings 2" w:hAnsi="Wingdings 2" w:hint="default"/>
        <w:color w:val="53534B"/>
        <w:position w:val="-6"/>
        <w:sz w:val="16"/>
      </w:rPr>
    </w:lvl>
    <w:lvl w:ilvl="1">
      <w:start w:val="1"/>
      <w:numFmt w:val="bullet"/>
      <w:lvlText w:val="o"/>
      <w:lvlJc w:val="left"/>
      <w:pPr>
        <w:tabs>
          <w:tab w:val="num" w:pos="794"/>
        </w:tabs>
        <w:ind w:left="794" w:hanging="340"/>
      </w:pPr>
      <w:rPr>
        <w:rFonts w:ascii="Courier New" w:hAnsi="Courier New" w:cs="Courier New" w:hint="default"/>
        <w:b w:val="0"/>
        <w:i w:val="0"/>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622A2B03"/>
    <w:multiLevelType w:val="multilevel"/>
    <w:tmpl w:val="3A60BDDE"/>
    <w:lvl w:ilvl="0">
      <w:start w:val="1"/>
      <w:numFmt w:val="upperLetter"/>
      <w:pStyle w:val="AppendixLabelFR"/>
      <w:suff w:val="nothing"/>
      <w:lvlText w:val="ANNEXE %1"/>
      <w:lvlJc w:val="right"/>
      <w:pPr>
        <w:ind w:left="0" w:firstLine="0"/>
      </w:pPr>
      <w:rPr>
        <w:rFonts w:ascii="Arial" w:hAnsi="Arial" w:cs="Times New Roman" w:hint="default"/>
        <w:b/>
        <w:bCs w:val="0"/>
        <w:i w:val="0"/>
        <w:iCs w:val="0"/>
        <w:caps/>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A2E30F2"/>
    <w:multiLevelType w:val="hybridMultilevel"/>
    <w:tmpl w:val="FABCA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ED5F6F"/>
    <w:multiLevelType w:val="hybridMultilevel"/>
    <w:tmpl w:val="9BA24718"/>
    <w:lvl w:ilvl="0" w:tplc="C0EE07BC">
      <w:start w:val="1"/>
      <w:numFmt w:val="bullet"/>
      <w:pStyle w:val="RECdotnotlis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8856311"/>
    <w:multiLevelType w:val="multilevel"/>
    <w:tmpl w:val="0809001D"/>
    <w:styleLink w:val="Style5"/>
    <w:lvl w:ilvl="0">
      <w:start w:val="1"/>
      <w:numFmt w:val="bullet"/>
      <w:lvlText w:val=""/>
      <w:lvlJc w:val="left"/>
      <w:pPr>
        <w:ind w:left="360" w:hanging="360"/>
      </w:pPr>
      <w:rPr>
        <w:rFonts w:ascii="Wingdings 2" w:hAnsi="Wingdings 2"/>
        <w:color w:val="53534B"/>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90C263D"/>
    <w:multiLevelType w:val="multilevel"/>
    <w:tmpl w:val="66CE6F46"/>
    <w:lvl w:ilvl="0">
      <w:start w:val="1"/>
      <w:numFmt w:val="upperLetter"/>
      <w:pStyle w:val="AppendixLabelEN"/>
      <w:suff w:val="nothing"/>
      <w:lvlText w:val="APPENDIX %1"/>
      <w:lvlJc w:val="right"/>
      <w:pPr>
        <w:ind w:left="0" w:firstLine="0"/>
      </w:pPr>
      <w:rPr>
        <w:rFonts w:ascii="Arial" w:hAnsi="Arial" w:cs="Times New Roman" w:hint="default"/>
        <w:b/>
        <w:bCs w:val="0"/>
        <w:i w:val="0"/>
        <w:iCs w:val="0"/>
        <w:caps/>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D020B3F"/>
    <w:multiLevelType w:val="hybridMultilevel"/>
    <w:tmpl w:val="5DD0716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num w:numId="1">
    <w:abstractNumId w:val="2"/>
  </w:num>
  <w:num w:numId="2">
    <w:abstractNumId w:val="5"/>
  </w:num>
  <w:num w:numId="3">
    <w:abstractNumId w:val="0"/>
  </w:num>
  <w:num w:numId="4">
    <w:abstractNumId w:val="23"/>
  </w:num>
  <w:num w:numId="5">
    <w:abstractNumId w:val="8"/>
  </w:num>
  <w:num w:numId="6">
    <w:abstractNumId w:val="8"/>
    <w:lvlOverride w:ilvl="0">
      <w:lvl w:ilvl="0">
        <w:start w:val="1"/>
        <w:numFmt w:val="decimal"/>
        <w:pStyle w:val="Heading1"/>
        <w:lvlText w:val="%1"/>
        <w:lvlJc w:val="left"/>
        <w:pPr>
          <w:ind w:left="0" w:firstLine="0"/>
        </w:pPr>
        <w:rPr>
          <w:rFonts w:hint="default"/>
        </w:rPr>
      </w:lvl>
    </w:lvlOverride>
  </w:num>
  <w:num w:numId="7">
    <w:abstractNumId w:val="11"/>
  </w:num>
  <w:num w:numId="8">
    <w:abstractNumId w:val="4"/>
  </w:num>
  <w:num w:numId="9">
    <w:abstractNumId w:val="9"/>
  </w:num>
  <w:num w:numId="10">
    <w:abstractNumId w:val="26"/>
  </w:num>
  <w:num w:numId="11">
    <w:abstractNumId w:val="9"/>
    <w:lvlOverride w:ilvl="0">
      <w:startOverride w:val="1"/>
    </w:lvlOverride>
  </w:num>
  <w:num w:numId="12">
    <w:abstractNumId w:val="10"/>
  </w:num>
  <w:num w:numId="13">
    <w:abstractNumId w:val="6"/>
  </w:num>
  <w:num w:numId="14">
    <w:abstractNumId w:val="17"/>
  </w:num>
  <w:num w:numId="15">
    <w:abstractNumId w:val="19"/>
  </w:num>
  <w:num w:numId="16">
    <w:abstractNumId w:val="3"/>
  </w:num>
  <w:num w:numId="17">
    <w:abstractNumId w:val="16"/>
  </w:num>
  <w:num w:numId="18">
    <w:abstractNumId w:val="14"/>
  </w:num>
  <w:num w:numId="19">
    <w:abstractNumId w:val="1"/>
  </w:num>
  <w:num w:numId="20">
    <w:abstractNumId w:val="13"/>
  </w:num>
  <w:num w:numId="21">
    <w:abstractNumId w:val="24"/>
  </w:num>
  <w:num w:numId="22">
    <w:abstractNumId w:val="20"/>
  </w:num>
  <w:num w:numId="23">
    <w:abstractNumId w:val="12"/>
  </w:num>
  <w:num w:numId="24">
    <w:abstractNumId w:val="25"/>
  </w:num>
  <w:num w:numId="25">
    <w:abstractNumId w:val="21"/>
  </w:num>
  <w:num w:numId="26">
    <w:abstractNumId w:val="15"/>
  </w:num>
  <w:num w:numId="27">
    <w:abstractNumId w:val="7"/>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8"/>
    <w:lvlOverride w:ilvl="0"/>
  </w:num>
  <w:num w:numId="33">
    <w:abstractNumId w:val="9"/>
    <w:lvlOverride w:ilvl="0">
      <w:startOverride w:val="1"/>
    </w:lvlOverride>
  </w:num>
  <w:num w:numId="34">
    <w:abstractNumId w:val="18"/>
  </w:num>
  <w:num w:numId="35">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lickAndTypeStyle w:val="RECnormaltext"/>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4AE"/>
    <w:rsid w:val="0000025D"/>
    <w:rsid w:val="0000356F"/>
    <w:rsid w:val="000035D3"/>
    <w:rsid w:val="00004A2F"/>
    <w:rsid w:val="00006E9B"/>
    <w:rsid w:val="000111C5"/>
    <w:rsid w:val="00011747"/>
    <w:rsid w:val="000130C7"/>
    <w:rsid w:val="00016430"/>
    <w:rsid w:val="0002384A"/>
    <w:rsid w:val="0002437F"/>
    <w:rsid w:val="00026C16"/>
    <w:rsid w:val="00031123"/>
    <w:rsid w:val="000323B6"/>
    <w:rsid w:val="00033183"/>
    <w:rsid w:val="00036152"/>
    <w:rsid w:val="000367F7"/>
    <w:rsid w:val="00040494"/>
    <w:rsid w:val="0004520B"/>
    <w:rsid w:val="00064262"/>
    <w:rsid w:val="00064B48"/>
    <w:rsid w:val="00066C46"/>
    <w:rsid w:val="00072212"/>
    <w:rsid w:val="00074635"/>
    <w:rsid w:val="00076C82"/>
    <w:rsid w:val="000773FE"/>
    <w:rsid w:val="00083985"/>
    <w:rsid w:val="00086D0F"/>
    <w:rsid w:val="000908F1"/>
    <w:rsid w:val="000911E6"/>
    <w:rsid w:val="00091DFC"/>
    <w:rsid w:val="00093556"/>
    <w:rsid w:val="00093D1A"/>
    <w:rsid w:val="00095626"/>
    <w:rsid w:val="00095C24"/>
    <w:rsid w:val="00097E0A"/>
    <w:rsid w:val="000A430D"/>
    <w:rsid w:val="000A45C3"/>
    <w:rsid w:val="000B0B81"/>
    <w:rsid w:val="000B20A3"/>
    <w:rsid w:val="000B7353"/>
    <w:rsid w:val="000C28AB"/>
    <w:rsid w:val="000C2C0A"/>
    <w:rsid w:val="000C43EE"/>
    <w:rsid w:val="000C6EE5"/>
    <w:rsid w:val="000C7EE4"/>
    <w:rsid w:val="000D26E7"/>
    <w:rsid w:val="000D4CDA"/>
    <w:rsid w:val="000D556D"/>
    <w:rsid w:val="000D5A36"/>
    <w:rsid w:val="000E0C5C"/>
    <w:rsid w:val="000E3C71"/>
    <w:rsid w:val="000E5FBA"/>
    <w:rsid w:val="000E631B"/>
    <w:rsid w:val="000F1818"/>
    <w:rsid w:val="000F2595"/>
    <w:rsid w:val="000F2FFF"/>
    <w:rsid w:val="000F4A41"/>
    <w:rsid w:val="0010221C"/>
    <w:rsid w:val="00103BF0"/>
    <w:rsid w:val="00105009"/>
    <w:rsid w:val="001057D0"/>
    <w:rsid w:val="001072E7"/>
    <w:rsid w:val="001126EB"/>
    <w:rsid w:val="0011678D"/>
    <w:rsid w:val="001204C1"/>
    <w:rsid w:val="001251EA"/>
    <w:rsid w:val="001308AD"/>
    <w:rsid w:val="00141564"/>
    <w:rsid w:val="00142281"/>
    <w:rsid w:val="0014412F"/>
    <w:rsid w:val="00144830"/>
    <w:rsid w:val="00145FA0"/>
    <w:rsid w:val="00150E89"/>
    <w:rsid w:val="001513AB"/>
    <w:rsid w:val="00151970"/>
    <w:rsid w:val="00151F58"/>
    <w:rsid w:val="00161D67"/>
    <w:rsid w:val="00163479"/>
    <w:rsid w:val="001669B4"/>
    <w:rsid w:val="00167AF7"/>
    <w:rsid w:val="00171682"/>
    <w:rsid w:val="00176D1F"/>
    <w:rsid w:val="001770F1"/>
    <w:rsid w:val="00191BE3"/>
    <w:rsid w:val="00193DE9"/>
    <w:rsid w:val="0019461B"/>
    <w:rsid w:val="00197570"/>
    <w:rsid w:val="001A03F0"/>
    <w:rsid w:val="001A0F0C"/>
    <w:rsid w:val="001B0C6A"/>
    <w:rsid w:val="001B14F8"/>
    <w:rsid w:val="001B1DCF"/>
    <w:rsid w:val="001B4690"/>
    <w:rsid w:val="001B607B"/>
    <w:rsid w:val="001C3AE3"/>
    <w:rsid w:val="001C6117"/>
    <w:rsid w:val="001C6188"/>
    <w:rsid w:val="001D3FEF"/>
    <w:rsid w:val="001D7A3E"/>
    <w:rsid w:val="001E3629"/>
    <w:rsid w:val="001E622F"/>
    <w:rsid w:val="001F08F2"/>
    <w:rsid w:val="001F0F7B"/>
    <w:rsid w:val="00204719"/>
    <w:rsid w:val="0020742B"/>
    <w:rsid w:val="00211B10"/>
    <w:rsid w:val="00211D87"/>
    <w:rsid w:val="00211F2C"/>
    <w:rsid w:val="00212E1B"/>
    <w:rsid w:val="0021579E"/>
    <w:rsid w:val="002172C8"/>
    <w:rsid w:val="00221CFB"/>
    <w:rsid w:val="0022239C"/>
    <w:rsid w:val="00223F6B"/>
    <w:rsid w:val="00225BC9"/>
    <w:rsid w:val="00227B80"/>
    <w:rsid w:val="002326E7"/>
    <w:rsid w:val="0023602A"/>
    <w:rsid w:val="00241BF4"/>
    <w:rsid w:val="00245BE3"/>
    <w:rsid w:val="00247992"/>
    <w:rsid w:val="00250C00"/>
    <w:rsid w:val="00252766"/>
    <w:rsid w:val="00253A47"/>
    <w:rsid w:val="0025728A"/>
    <w:rsid w:val="002574BE"/>
    <w:rsid w:val="00260621"/>
    <w:rsid w:val="00260EA6"/>
    <w:rsid w:val="00264407"/>
    <w:rsid w:val="00272062"/>
    <w:rsid w:val="002720D1"/>
    <w:rsid w:val="002720F5"/>
    <w:rsid w:val="002746F2"/>
    <w:rsid w:val="0028204B"/>
    <w:rsid w:val="002831CE"/>
    <w:rsid w:val="00292026"/>
    <w:rsid w:val="00294E7D"/>
    <w:rsid w:val="00295ED9"/>
    <w:rsid w:val="002962A3"/>
    <w:rsid w:val="00296CBF"/>
    <w:rsid w:val="002A288F"/>
    <w:rsid w:val="002A2C29"/>
    <w:rsid w:val="002A3F67"/>
    <w:rsid w:val="002B1FDC"/>
    <w:rsid w:val="002B4645"/>
    <w:rsid w:val="002B4E08"/>
    <w:rsid w:val="002C4D0F"/>
    <w:rsid w:val="002C5295"/>
    <w:rsid w:val="002C6CDE"/>
    <w:rsid w:val="002C7915"/>
    <w:rsid w:val="002D5863"/>
    <w:rsid w:val="002E3886"/>
    <w:rsid w:val="002E4C5E"/>
    <w:rsid w:val="002F14CB"/>
    <w:rsid w:val="002F15B3"/>
    <w:rsid w:val="002F30F4"/>
    <w:rsid w:val="002F4592"/>
    <w:rsid w:val="002F4CAF"/>
    <w:rsid w:val="002F6308"/>
    <w:rsid w:val="002F7E30"/>
    <w:rsid w:val="0030208E"/>
    <w:rsid w:val="00302800"/>
    <w:rsid w:val="0030356D"/>
    <w:rsid w:val="00306B09"/>
    <w:rsid w:val="003076A5"/>
    <w:rsid w:val="00312490"/>
    <w:rsid w:val="00313C12"/>
    <w:rsid w:val="0032488F"/>
    <w:rsid w:val="003255CE"/>
    <w:rsid w:val="003308E1"/>
    <w:rsid w:val="00332618"/>
    <w:rsid w:val="00332951"/>
    <w:rsid w:val="00333774"/>
    <w:rsid w:val="00336474"/>
    <w:rsid w:val="00337CC2"/>
    <w:rsid w:val="00342B3F"/>
    <w:rsid w:val="0034427B"/>
    <w:rsid w:val="0034596E"/>
    <w:rsid w:val="00350844"/>
    <w:rsid w:val="00350DC8"/>
    <w:rsid w:val="00353E65"/>
    <w:rsid w:val="00355D1D"/>
    <w:rsid w:val="00356A0B"/>
    <w:rsid w:val="00360742"/>
    <w:rsid w:val="003659B2"/>
    <w:rsid w:val="003661D5"/>
    <w:rsid w:val="00372F4D"/>
    <w:rsid w:val="0037758A"/>
    <w:rsid w:val="0037766F"/>
    <w:rsid w:val="00380632"/>
    <w:rsid w:val="00381589"/>
    <w:rsid w:val="00390C6F"/>
    <w:rsid w:val="00392BA2"/>
    <w:rsid w:val="003945AD"/>
    <w:rsid w:val="003969CD"/>
    <w:rsid w:val="003A3347"/>
    <w:rsid w:val="003A4642"/>
    <w:rsid w:val="003B564B"/>
    <w:rsid w:val="003B59B3"/>
    <w:rsid w:val="003B713E"/>
    <w:rsid w:val="003C159B"/>
    <w:rsid w:val="003C1EC1"/>
    <w:rsid w:val="003C5D8C"/>
    <w:rsid w:val="003C75A5"/>
    <w:rsid w:val="003D0EC7"/>
    <w:rsid w:val="003D2D4F"/>
    <w:rsid w:val="003D4419"/>
    <w:rsid w:val="003E3B37"/>
    <w:rsid w:val="003E556B"/>
    <w:rsid w:val="003E75BA"/>
    <w:rsid w:val="003F49F3"/>
    <w:rsid w:val="003F5014"/>
    <w:rsid w:val="003F704E"/>
    <w:rsid w:val="003F72F8"/>
    <w:rsid w:val="00403FA9"/>
    <w:rsid w:val="00404EA0"/>
    <w:rsid w:val="00406893"/>
    <w:rsid w:val="00407324"/>
    <w:rsid w:val="00407668"/>
    <w:rsid w:val="00413829"/>
    <w:rsid w:val="00420A1F"/>
    <w:rsid w:val="00423857"/>
    <w:rsid w:val="004260AC"/>
    <w:rsid w:val="004301CD"/>
    <w:rsid w:val="00432A7C"/>
    <w:rsid w:val="00433F54"/>
    <w:rsid w:val="00435652"/>
    <w:rsid w:val="00436245"/>
    <w:rsid w:val="0043761D"/>
    <w:rsid w:val="004454E7"/>
    <w:rsid w:val="00446A08"/>
    <w:rsid w:val="00451F3D"/>
    <w:rsid w:val="00452179"/>
    <w:rsid w:val="004532DA"/>
    <w:rsid w:val="00454BC0"/>
    <w:rsid w:val="00454BCE"/>
    <w:rsid w:val="00462361"/>
    <w:rsid w:val="00464B5B"/>
    <w:rsid w:val="004710FC"/>
    <w:rsid w:val="004718EB"/>
    <w:rsid w:val="00472D2A"/>
    <w:rsid w:val="0047470F"/>
    <w:rsid w:val="004749BC"/>
    <w:rsid w:val="004762F0"/>
    <w:rsid w:val="00477291"/>
    <w:rsid w:val="00481BBE"/>
    <w:rsid w:val="00482CF8"/>
    <w:rsid w:val="0048548D"/>
    <w:rsid w:val="00486812"/>
    <w:rsid w:val="004925FA"/>
    <w:rsid w:val="0049303B"/>
    <w:rsid w:val="004A1450"/>
    <w:rsid w:val="004A2CD0"/>
    <w:rsid w:val="004A60B0"/>
    <w:rsid w:val="004A7F30"/>
    <w:rsid w:val="004B2AD9"/>
    <w:rsid w:val="004B2F63"/>
    <w:rsid w:val="004B7822"/>
    <w:rsid w:val="004C0E66"/>
    <w:rsid w:val="004C15B9"/>
    <w:rsid w:val="004C170B"/>
    <w:rsid w:val="004C30F5"/>
    <w:rsid w:val="004D58F5"/>
    <w:rsid w:val="004D640F"/>
    <w:rsid w:val="004E283D"/>
    <w:rsid w:val="004F05C6"/>
    <w:rsid w:val="004F14DC"/>
    <w:rsid w:val="004F43F7"/>
    <w:rsid w:val="004F6839"/>
    <w:rsid w:val="004F7A8F"/>
    <w:rsid w:val="00500257"/>
    <w:rsid w:val="0051040F"/>
    <w:rsid w:val="005130E3"/>
    <w:rsid w:val="00513DE2"/>
    <w:rsid w:val="005168E4"/>
    <w:rsid w:val="00520D9A"/>
    <w:rsid w:val="00521FED"/>
    <w:rsid w:val="005254B1"/>
    <w:rsid w:val="005344CC"/>
    <w:rsid w:val="005375C7"/>
    <w:rsid w:val="005416F5"/>
    <w:rsid w:val="00545A22"/>
    <w:rsid w:val="005474A0"/>
    <w:rsid w:val="005504D7"/>
    <w:rsid w:val="0055193C"/>
    <w:rsid w:val="00552D17"/>
    <w:rsid w:val="005560F0"/>
    <w:rsid w:val="005564CA"/>
    <w:rsid w:val="00562F2B"/>
    <w:rsid w:val="005714D5"/>
    <w:rsid w:val="0057153A"/>
    <w:rsid w:val="0057469F"/>
    <w:rsid w:val="005811C4"/>
    <w:rsid w:val="00581A4F"/>
    <w:rsid w:val="00582367"/>
    <w:rsid w:val="0058295D"/>
    <w:rsid w:val="00587E1F"/>
    <w:rsid w:val="00592D2F"/>
    <w:rsid w:val="00594626"/>
    <w:rsid w:val="005A42E0"/>
    <w:rsid w:val="005A5291"/>
    <w:rsid w:val="005B0E39"/>
    <w:rsid w:val="005B12D6"/>
    <w:rsid w:val="005B3078"/>
    <w:rsid w:val="005B3A48"/>
    <w:rsid w:val="005B4438"/>
    <w:rsid w:val="005B5CAE"/>
    <w:rsid w:val="005C1A16"/>
    <w:rsid w:val="005C227F"/>
    <w:rsid w:val="005C2506"/>
    <w:rsid w:val="005C5CEF"/>
    <w:rsid w:val="005D1BDC"/>
    <w:rsid w:val="005D2667"/>
    <w:rsid w:val="005D3B91"/>
    <w:rsid w:val="005D4A8C"/>
    <w:rsid w:val="005D607C"/>
    <w:rsid w:val="005E5D65"/>
    <w:rsid w:val="005F0997"/>
    <w:rsid w:val="005F223C"/>
    <w:rsid w:val="006018B8"/>
    <w:rsid w:val="006069B6"/>
    <w:rsid w:val="00610A32"/>
    <w:rsid w:val="00612350"/>
    <w:rsid w:val="0061387C"/>
    <w:rsid w:val="00613A34"/>
    <w:rsid w:val="00616E44"/>
    <w:rsid w:val="006257B9"/>
    <w:rsid w:val="0063238E"/>
    <w:rsid w:val="00636E79"/>
    <w:rsid w:val="006378D5"/>
    <w:rsid w:val="00640FA3"/>
    <w:rsid w:val="006419DD"/>
    <w:rsid w:val="00644DD2"/>
    <w:rsid w:val="00647C5A"/>
    <w:rsid w:val="006551ED"/>
    <w:rsid w:val="0066055E"/>
    <w:rsid w:val="00660B17"/>
    <w:rsid w:val="00670FA5"/>
    <w:rsid w:val="00674128"/>
    <w:rsid w:val="0067536C"/>
    <w:rsid w:val="0067635A"/>
    <w:rsid w:val="00676BD7"/>
    <w:rsid w:val="00677B09"/>
    <w:rsid w:val="00677B39"/>
    <w:rsid w:val="00685662"/>
    <w:rsid w:val="00687C5C"/>
    <w:rsid w:val="006933DF"/>
    <w:rsid w:val="006A03BE"/>
    <w:rsid w:val="006A6DC0"/>
    <w:rsid w:val="006B0BCC"/>
    <w:rsid w:val="006C5A1E"/>
    <w:rsid w:val="006D0C62"/>
    <w:rsid w:val="006D24C7"/>
    <w:rsid w:val="006D42B3"/>
    <w:rsid w:val="006E727D"/>
    <w:rsid w:val="006E7743"/>
    <w:rsid w:val="006F2B37"/>
    <w:rsid w:val="006F4B32"/>
    <w:rsid w:val="006F6001"/>
    <w:rsid w:val="006F63B8"/>
    <w:rsid w:val="006F6E0B"/>
    <w:rsid w:val="0070052F"/>
    <w:rsid w:val="00704ACA"/>
    <w:rsid w:val="0070636E"/>
    <w:rsid w:val="0071513D"/>
    <w:rsid w:val="00720FD7"/>
    <w:rsid w:val="00730985"/>
    <w:rsid w:val="00733E13"/>
    <w:rsid w:val="00734ECB"/>
    <w:rsid w:val="00734FB1"/>
    <w:rsid w:val="00737EC7"/>
    <w:rsid w:val="007401D5"/>
    <w:rsid w:val="00745003"/>
    <w:rsid w:val="00751BBE"/>
    <w:rsid w:val="00760D51"/>
    <w:rsid w:val="007624CA"/>
    <w:rsid w:val="0077017D"/>
    <w:rsid w:val="00770211"/>
    <w:rsid w:val="00770CCF"/>
    <w:rsid w:val="00772E83"/>
    <w:rsid w:val="00773653"/>
    <w:rsid w:val="00773B27"/>
    <w:rsid w:val="0078131A"/>
    <w:rsid w:val="00782FF3"/>
    <w:rsid w:val="00783349"/>
    <w:rsid w:val="007908EA"/>
    <w:rsid w:val="00796C60"/>
    <w:rsid w:val="007972CD"/>
    <w:rsid w:val="007A1BDC"/>
    <w:rsid w:val="007A5E75"/>
    <w:rsid w:val="007A6DE9"/>
    <w:rsid w:val="007A7723"/>
    <w:rsid w:val="007A7A4F"/>
    <w:rsid w:val="007B468B"/>
    <w:rsid w:val="007B4F93"/>
    <w:rsid w:val="007B5DA1"/>
    <w:rsid w:val="007B6814"/>
    <w:rsid w:val="007B74E6"/>
    <w:rsid w:val="007C63BC"/>
    <w:rsid w:val="007D0B92"/>
    <w:rsid w:val="007D6DF3"/>
    <w:rsid w:val="007E3936"/>
    <w:rsid w:val="007E3E6F"/>
    <w:rsid w:val="007E4104"/>
    <w:rsid w:val="007E576A"/>
    <w:rsid w:val="007F0F63"/>
    <w:rsid w:val="007F5371"/>
    <w:rsid w:val="008005E2"/>
    <w:rsid w:val="00800BC8"/>
    <w:rsid w:val="008018E8"/>
    <w:rsid w:val="0080747B"/>
    <w:rsid w:val="00810C30"/>
    <w:rsid w:val="00811A3C"/>
    <w:rsid w:val="00811BDD"/>
    <w:rsid w:val="0081748C"/>
    <w:rsid w:val="008225CA"/>
    <w:rsid w:val="008230EF"/>
    <w:rsid w:val="008236EA"/>
    <w:rsid w:val="00825402"/>
    <w:rsid w:val="00825854"/>
    <w:rsid w:val="00830E60"/>
    <w:rsid w:val="00832843"/>
    <w:rsid w:val="00832B55"/>
    <w:rsid w:val="008330C8"/>
    <w:rsid w:val="0083541D"/>
    <w:rsid w:val="008374EA"/>
    <w:rsid w:val="0084059B"/>
    <w:rsid w:val="00841092"/>
    <w:rsid w:val="00842626"/>
    <w:rsid w:val="00854A3E"/>
    <w:rsid w:val="00855676"/>
    <w:rsid w:val="00856826"/>
    <w:rsid w:val="00860549"/>
    <w:rsid w:val="0086454B"/>
    <w:rsid w:val="00866B6C"/>
    <w:rsid w:val="0086713A"/>
    <w:rsid w:val="0088000C"/>
    <w:rsid w:val="00887C82"/>
    <w:rsid w:val="008A5DEC"/>
    <w:rsid w:val="008B020A"/>
    <w:rsid w:val="008B169E"/>
    <w:rsid w:val="008B56CD"/>
    <w:rsid w:val="008B7B30"/>
    <w:rsid w:val="008C06E4"/>
    <w:rsid w:val="008C0765"/>
    <w:rsid w:val="008C3219"/>
    <w:rsid w:val="008C3461"/>
    <w:rsid w:val="008C58A5"/>
    <w:rsid w:val="008D36F9"/>
    <w:rsid w:val="008E2CB6"/>
    <w:rsid w:val="008E7915"/>
    <w:rsid w:val="008F093D"/>
    <w:rsid w:val="008F307A"/>
    <w:rsid w:val="008F398E"/>
    <w:rsid w:val="008F4A18"/>
    <w:rsid w:val="008F6DA8"/>
    <w:rsid w:val="008F7242"/>
    <w:rsid w:val="0090071D"/>
    <w:rsid w:val="00902F0D"/>
    <w:rsid w:val="009040D3"/>
    <w:rsid w:val="00916084"/>
    <w:rsid w:val="0092124F"/>
    <w:rsid w:val="00923448"/>
    <w:rsid w:val="00923874"/>
    <w:rsid w:val="009238BE"/>
    <w:rsid w:val="00923E8A"/>
    <w:rsid w:val="00924BE3"/>
    <w:rsid w:val="00924DE4"/>
    <w:rsid w:val="009304C5"/>
    <w:rsid w:val="00933E9B"/>
    <w:rsid w:val="00936945"/>
    <w:rsid w:val="00936CDB"/>
    <w:rsid w:val="00937E94"/>
    <w:rsid w:val="0094147D"/>
    <w:rsid w:val="00945648"/>
    <w:rsid w:val="00946799"/>
    <w:rsid w:val="00950413"/>
    <w:rsid w:val="009545DA"/>
    <w:rsid w:val="009564E5"/>
    <w:rsid w:val="00962763"/>
    <w:rsid w:val="009709BE"/>
    <w:rsid w:val="00973860"/>
    <w:rsid w:val="0097403A"/>
    <w:rsid w:val="0097475E"/>
    <w:rsid w:val="009748F0"/>
    <w:rsid w:val="009753CD"/>
    <w:rsid w:val="009761DA"/>
    <w:rsid w:val="00980D6A"/>
    <w:rsid w:val="00982674"/>
    <w:rsid w:val="0098327A"/>
    <w:rsid w:val="009833CD"/>
    <w:rsid w:val="00985D3A"/>
    <w:rsid w:val="009867C9"/>
    <w:rsid w:val="009A0C8A"/>
    <w:rsid w:val="009A694B"/>
    <w:rsid w:val="009B177A"/>
    <w:rsid w:val="009C34E5"/>
    <w:rsid w:val="009D04CB"/>
    <w:rsid w:val="009D0C19"/>
    <w:rsid w:val="009D20C6"/>
    <w:rsid w:val="009D22C0"/>
    <w:rsid w:val="009D4B73"/>
    <w:rsid w:val="009E139E"/>
    <w:rsid w:val="009E3173"/>
    <w:rsid w:val="009E3344"/>
    <w:rsid w:val="009E33E2"/>
    <w:rsid w:val="009E56F6"/>
    <w:rsid w:val="009E6C58"/>
    <w:rsid w:val="009E7350"/>
    <w:rsid w:val="009F2834"/>
    <w:rsid w:val="009F354A"/>
    <w:rsid w:val="00A006EE"/>
    <w:rsid w:val="00A054E0"/>
    <w:rsid w:val="00A05AF6"/>
    <w:rsid w:val="00A10C61"/>
    <w:rsid w:val="00A117D5"/>
    <w:rsid w:val="00A12F33"/>
    <w:rsid w:val="00A13CA7"/>
    <w:rsid w:val="00A17675"/>
    <w:rsid w:val="00A20DFD"/>
    <w:rsid w:val="00A21FFB"/>
    <w:rsid w:val="00A2635D"/>
    <w:rsid w:val="00A27817"/>
    <w:rsid w:val="00A30B26"/>
    <w:rsid w:val="00A324B6"/>
    <w:rsid w:val="00A36AD0"/>
    <w:rsid w:val="00A371FB"/>
    <w:rsid w:val="00A407B6"/>
    <w:rsid w:val="00A4342B"/>
    <w:rsid w:val="00A4355C"/>
    <w:rsid w:val="00A43A5A"/>
    <w:rsid w:val="00A460AA"/>
    <w:rsid w:val="00A5011D"/>
    <w:rsid w:val="00A50ACB"/>
    <w:rsid w:val="00A51DA4"/>
    <w:rsid w:val="00A573BD"/>
    <w:rsid w:val="00A65CD6"/>
    <w:rsid w:val="00A6672B"/>
    <w:rsid w:val="00A671C6"/>
    <w:rsid w:val="00A67217"/>
    <w:rsid w:val="00A74209"/>
    <w:rsid w:val="00A81AC6"/>
    <w:rsid w:val="00A81B0D"/>
    <w:rsid w:val="00A82B39"/>
    <w:rsid w:val="00A8396C"/>
    <w:rsid w:val="00A869DD"/>
    <w:rsid w:val="00A87DFD"/>
    <w:rsid w:val="00AA165F"/>
    <w:rsid w:val="00AA2877"/>
    <w:rsid w:val="00AA3CA8"/>
    <w:rsid w:val="00AA7515"/>
    <w:rsid w:val="00AB17BA"/>
    <w:rsid w:val="00AB3F89"/>
    <w:rsid w:val="00AC0735"/>
    <w:rsid w:val="00AC23F8"/>
    <w:rsid w:val="00AC3001"/>
    <w:rsid w:val="00AC32B9"/>
    <w:rsid w:val="00AC71C5"/>
    <w:rsid w:val="00AD0802"/>
    <w:rsid w:val="00AD794D"/>
    <w:rsid w:val="00AE2829"/>
    <w:rsid w:val="00AE44CE"/>
    <w:rsid w:val="00AE46BD"/>
    <w:rsid w:val="00AE487E"/>
    <w:rsid w:val="00AE608C"/>
    <w:rsid w:val="00AF23FE"/>
    <w:rsid w:val="00AF3BA3"/>
    <w:rsid w:val="00AF3BDF"/>
    <w:rsid w:val="00AF7C3F"/>
    <w:rsid w:val="00B10389"/>
    <w:rsid w:val="00B1040B"/>
    <w:rsid w:val="00B10DAA"/>
    <w:rsid w:val="00B10EE0"/>
    <w:rsid w:val="00B12F74"/>
    <w:rsid w:val="00B14822"/>
    <w:rsid w:val="00B14C3A"/>
    <w:rsid w:val="00B22962"/>
    <w:rsid w:val="00B23155"/>
    <w:rsid w:val="00B35C57"/>
    <w:rsid w:val="00B36188"/>
    <w:rsid w:val="00B44B09"/>
    <w:rsid w:val="00B45A2A"/>
    <w:rsid w:val="00B45DB6"/>
    <w:rsid w:val="00B4766B"/>
    <w:rsid w:val="00B5178B"/>
    <w:rsid w:val="00B6007E"/>
    <w:rsid w:val="00B6016E"/>
    <w:rsid w:val="00B65918"/>
    <w:rsid w:val="00B65FAC"/>
    <w:rsid w:val="00B67B0E"/>
    <w:rsid w:val="00B67DB3"/>
    <w:rsid w:val="00B7055E"/>
    <w:rsid w:val="00B71F5E"/>
    <w:rsid w:val="00B75691"/>
    <w:rsid w:val="00B811A2"/>
    <w:rsid w:val="00B82848"/>
    <w:rsid w:val="00B847C3"/>
    <w:rsid w:val="00B861EB"/>
    <w:rsid w:val="00B8745A"/>
    <w:rsid w:val="00B96289"/>
    <w:rsid w:val="00BA367E"/>
    <w:rsid w:val="00BA47B2"/>
    <w:rsid w:val="00BA7070"/>
    <w:rsid w:val="00BB3F04"/>
    <w:rsid w:val="00BB4467"/>
    <w:rsid w:val="00BB4BE7"/>
    <w:rsid w:val="00BB5F3B"/>
    <w:rsid w:val="00BB7724"/>
    <w:rsid w:val="00BC040D"/>
    <w:rsid w:val="00BC38B7"/>
    <w:rsid w:val="00BC51D8"/>
    <w:rsid w:val="00BD1B6C"/>
    <w:rsid w:val="00BD2B98"/>
    <w:rsid w:val="00BD352A"/>
    <w:rsid w:val="00BD4336"/>
    <w:rsid w:val="00BD6D6C"/>
    <w:rsid w:val="00BE0E96"/>
    <w:rsid w:val="00BE2FD4"/>
    <w:rsid w:val="00BE458C"/>
    <w:rsid w:val="00BE60EC"/>
    <w:rsid w:val="00BE619D"/>
    <w:rsid w:val="00BE63F3"/>
    <w:rsid w:val="00BF7246"/>
    <w:rsid w:val="00C06351"/>
    <w:rsid w:val="00C11F01"/>
    <w:rsid w:val="00C126EE"/>
    <w:rsid w:val="00C1418F"/>
    <w:rsid w:val="00C224AC"/>
    <w:rsid w:val="00C2284E"/>
    <w:rsid w:val="00C309FB"/>
    <w:rsid w:val="00C31DAF"/>
    <w:rsid w:val="00C3452F"/>
    <w:rsid w:val="00C36721"/>
    <w:rsid w:val="00C44045"/>
    <w:rsid w:val="00C47A88"/>
    <w:rsid w:val="00C47AAC"/>
    <w:rsid w:val="00C51678"/>
    <w:rsid w:val="00C54726"/>
    <w:rsid w:val="00C55B0A"/>
    <w:rsid w:val="00C6152C"/>
    <w:rsid w:val="00C61C83"/>
    <w:rsid w:val="00C632EC"/>
    <w:rsid w:val="00C65D22"/>
    <w:rsid w:val="00C867C9"/>
    <w:rsid w:val="00C9007C"/>
    <w:rsid w:val="00C91084"/>
    <w:rsid w:val="00C959B8"/>
    <w:rsid w:val="00C964B6"/>
    <w:rsid w:val="00C96E7E"/>
    <w:rsid w:val="00CA0A17"/>
    <w:rsid w:val="00CA1014"/>
    <w:rsid w:val="00CA2321"/>
    <w:rsid w:val="00CA239E"/>
    <w:rsid w:val="00CA328B"/>
    <w:rsid w:val="00CA6A3D"/>
    <w:rsid w:val="00CA6C2E"/>
    <w:rsid w:val="00CB0664"/>
    <w:rsid w:val="00CB25B4"/>
    <w:rsid w:val="00CC7426"/>
    <w:rsid w:val="00CC7D7D"/>
    <w:rsid w:val="00CD3C11"/>
    <w:rsid w:val="00CD6ABE"/>
    <w:rsid w:val="00CD7136"/>
    <w:rsid w:val="00CE06C8"/>
    <w:rsid w:val="00CE197A"/>
    <w:rsid w:val="00CE1E55"/>
    <w:rsid w:val="00CE36BA"/>
    <w:rsid w:val="00CE7C75"/>
    <w:rsid w:val="00CF3011"/>
    <w:rsid w:val="00CF5708"/>
    <w:rsid w:val="00CF5AA2"/>
    <w:rsid w:val="00CF6301"/>
    <w:rsid w:val="00D0023B"/>
    <w:rsid w:val="00D0075C"/>
    <w:rsid w:val="00D007D4"/>
    <w:rsid w:val="00D01E5A"/>
    <w:rsid w:val="00D105B9"/>
    <w:rsid w:val="00D135AE"/>
    <w:rsid w:val="00D13D0E"/>
    <w:rsid w:val="00D154D8"/>
    <w:rsid w:val="00D15F0A"/>
    <w:rsid w:val="00D17511"/>
    <w:rsid w:val="00D262B0"/>
    <w:rsid w:val="00D27634"/>
    <w:rsid w:val="00D34C3D"/>
    <w:rsid w:val="00D36AF2"/>
    <w:rsid w:val="00D40FEE"/>
    <w:rsid w:val="00D43213"/>
    <w:rsid w:val="00D44110"/>
    <w:rsid w:val="00D454B6"/>
    <w:rsid w:val="00D45B03"/>
    <w:rsid w:val="00D45FC8"/>
    <w:rsid w:val="00D5158A"/>
    <w:rsid w:val="00D6191D"/>
    <w:rsid w:val="00D61DAB"/>
    <w:rsid w:val="00D72157"/>
    <w:rsid w:val="00D85497"/>
    <w:rsid w:val="00D85678"/>
    <w:rsid w:val="00D8778B"/>
    <w:rsid w:val="00D87F7A"/>
    <w:rsid w:val="00D924CE"/>
    <w:rsid w:val="00D92993"/>
    <w:rsid w:val="00D940B4"/>
    <w:rsid w:val="00DA2DD8"/>
    <w:rsid w:val="00DA4402"/>
    <w:rsid w:val="00DA4977"/>
    <w:rsid w:val="00DA5758"/>
    <w:rsid w:val="00DB07A6"/>
    <w:rsid w:val="00DB2FF3"/>
    <w:rsid w:val="00DB54AE"/>
    <w:rsid w:val="00DB584E"/>
    <w:rsid w:val="00DB5A9C"/>
    <w:rsid w:val="00DD29A8"/>
    <w:rsid w:val="00DD34A1"/>
    <w:rsid w:val="00DD3651"/>
    <w:rsid w:val="00DD43D1"/>
    <w:rsid w:val="00DD5DBB"/>
    <w:rsid w:val="00DE2E04"/>
    <w:rsid w:val="00DE3EFA"/>
    <w:rsid w:val="00DE5453"/>
    <w:rsid w:val="00DF52FB"/>
    <w:rsid w:val="00DF64B6"/>
    <w:rsid w:val="00E012E8"/>
    <w:rsid w:val="00E01E6F"/>
    <w:rsid w:val="00E04FEF"/>
    <w:rsid w:val="00E10C9F"/>
    <w:rsid w:val="00E138F0"/>
    <w:rsid w:val="00E15D22"/>
    <w:rsid w:val="00E170EC"/>
    <w:rsid w:val="00E23B44"/>
    <w:rsid w:val="00E2558B"/>
    <w:rsid w:val="00E263B7"/>
    <w:rsid w:val="00E402EB"/>
    <w:rsid w:val="00E41133"/>
    <w:rsid w:val="00E46232"/>
    <w:rsid w:val="00E47F4D"/>
    <w:rsid w:val="00E50F6B"/>
    <w:rsid w:val="00E5115F"/>
    <w:rsid w:val="00E558B2"/>
    <w:rsid w:val="00E56FB8"/>
    <w:rsid w:val="00E62A1D"/>
    <w:rsid w:val="00E64B9B"/>
    <w:rsid w:val="00E67654"/>
    <w:rsid w:val="00E67F2A"/>
    <w:rsid w:val="00E70AA6"/>
    <w:rsid w:val="00E7239E"/>
    <w:rsid w:val="00E73BFE"/>
    <w:rsid w:val="00E73CF6"/>
    <w:rsid w:val="00E74D49"/>
    <w:rsid w:val="00E81C62"/>
    <w:rsid w:val="00E82B03"/>
    <w:rsid w:val="00E83CE5"/>
    <w:rsid w:val="00E86456"/>
    <w:rsid w:val="00E901A2"/>
    <w:rsid w:val="00E90822"/>
    <w:rsid w:val="00E90D9C"/>
    <w:rsid w:val="00E94E8F"/>
    <w:rsid w:val="00E96A4C"/>
    <w:rsid w:val="00E975BA"/>
    <w:rsid w:val="00E97A46"/>
    <w:rsid w:val="00EA394C"/>
    <w:rsid w:val="00EA5FBA"/>
    <w:rsid w:val="00EA7C98"/>
    <w:rsid w:val="00EB50FB"/>
    <w:rsid w:val="00EB5BD7"/>
    <w:rsid w:val="00EC0D6A"/>
    <w:rsid w:val="00EC1723"/>
    <w:rsid w:val="00EC1BDC"/>
    <w:rsid w:val="00EC3B50"/>
    <w:rsid w:val="00EC3DCB"/>
    <w:rsid w:val="00ED3207"/>
    <w:rsid w:val="00ED3CE3"/>
    <w:rsid w:val="00ED4BB1"/>
    <w:rsid w:val="00ED6AC3"/>
    <w:rsid w:val="00EE2FCD"/>
    <w:rsid w:val="00EE34FF"/>
    <w:rsid w:val="00EE5833"/>
    <w:rsid w:val="00EF718F"/>
    <w:rsid w:val="00F002A9"/>
    <w:rsid w:val="00F04015"/>
    <w:rsid w:val="00F1204B"/>
    <w:rsid w:val="00F1564D"/>
    <w:rsid w:val="00F16471"/>
    <w:rsid w:val="00F16EC2"/>
    <w:rsid w:val="00F17A45"/>
    <w:rsid w:val="00F203A0"/>
    <w:rsid w:val="00F2309C"/>
    <w:rsid w:val="00F27C40"/>
    <w:rsid w:val="00F30D8B"/>
    <w:rsid w:val="00F335D4"/>
    <w:rsid w:val="00F4189F"/>
    <w:rsid w:val="00F4367B"/>
    <w:rsid w:val="00F459B0"/>
    <w:rsid w:val="00F476E6"/>
    <w:rsid w:val="00F52168"/>
    <w:rsid w:val="00F55D64"/>
    <w:rsid w:val="00F562C2"/>
    <w:rsid w:val="00F56398"/>
    <w:rsid w:val="00F57E33"/>
    <w:rsid w:val="00F6032A"/>
    <w:rsid w:val="00F65809"/>
    <w:rsid w:val="00F6740F"/>
    <w:rsid w:val="00F70A1B"/>
    <w:rsid w:val="00F74740"/>
    <w:rsid w:val="00F75EF8"/>
    <w:rsid w:val="00F77226"/>
    <w:rsid w:val="00F774F2"/>
    <w:rsid w:val="00F778A8"/>
    <w:rsid w:val="00F8613C"/>
    <w:rsid w:val="00F8721D"/>
    <w:rsid w:val="00F92292"/>
    <w:rsid w:val="00F95368"/>
    <w:rsid w:val="00F96D63"/>
    <w:rsid w:val="00F97BAB"/>
    <w:rsid w:val="00FA0A13"/>
    <w:rsid w:val="00FA25E7"/>
    <w:rsid w:val="00FA6D8A"/>
    <w:rsid w:val="00FA786B"/>
    <w:rsid w:val="00FB2CC3"/>
    <w:rsid w:val="00FB2DA0"/>
    <w:rsid w:val="00FB6F76"/>
    <w:rsid w:val="00FB7D98"/>
    <w:rsid w:val="00FC303B"/>
    <w:rsid w:val="00FC40BE"/>
    <w:rsid w:val="00FD2734"/>
    <w:rsid w:val="00FD3295"/>
    <w:rsid w:val="00FD428A"/>
    <w:rsid w:val="00FD5408"/>
    <w:rsid w:val="00FE65B9"/>
    <w:rsid w:val="00FE7195"/>
    <w:rsid w:val="00FF56D8"/>
    <w:rsid w:val="00FF5BF2"/>
    <w:rsid w:val="00FF78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77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C Normal"/>
    <w:rsid w:val="000D4CDA"/>
    <w:rPr>
      <w:rFonts w:ascii="Calibri" w:hAnsi="Calibri" w:cs="Calibri"/>
      <w:color w:val="000000" w:themeColor="text1"/>
    </w:rPr>
  </w:style>
  <w:style w:type="paragraph" w:styleId="Heading1">
    <w:name w:val="heading 1"/>
    <w:next w:val="RECnormaltext"/>
    <w:link w:val="Heading1Char"/>
    <w:qFormat/>
    <w:rsid w:val="00AC71C5"/>
    <w:pPr>
      <w:keepNext/>
      <w:keepLines/>
      <w:numPr>
        <w:numId w:val="5"/>
      </w:numPr>
      <w:spacing w:before="240" w:after="240"/>
      <w:outlineLvl w:val="0"/>
    </w:pPr>
    <w:rPr>
      <w:rFonts w:eastAsiaTheme="majorEastAsia" w:cstheme="majorBidi"/>
      <w:b/>
      <w:bCs/>
      <w:color w:val="92D050"/>
      <w:sz w:val="28"/>
      <w:szCs w:val="28"/>
    </w:rPr>
  </w:style>
  <w:style w:type="paragraph" w:styleId="Heading2">
    <w:name w:val="heading 2"/>
    <w:basedOn w:val="Heading1"/>
    <w:next w:val="RECnormaltext"/>
    <w:link w:val="Heading2Char"/>
    <w:unhideWhenUsed/>
    <w:qFormat/>
    <w:rsid w:val="00AC71C5"/>
    <w:pPr>
      <w:numPr>
        <w:ilvl w:val="1"/>
      </w:numPr>
      <w:spacing w:before="200"/>
      <w:outlineLvl w:val="1"/>
    </w:pPr>
    <w:rPr>
      <w:bCs w:val="0"/>
      <w:sz w:val="26"/>
      <w:szCs w:val="26"/>
    </w:rPr>
  </w:style>
  <w:style w:type="paragraph" w:styleId="Heading3">
    <w:name w:val="heading 3"/>
    <w:basedOn w:val="Heading2"/>
    <w:next w:val="RECnormaltext"/>
    <w:link w:val="Heading3Char"/>
    <w:uiPriority w:val="9"/>
    <w:unhideWhenUsed/>
    <w:qFormat/>
    <w:rsid w:val="00A573BD"/>
    <w:pPr>
      <w:numPr>
        <w:ilvl w:val="2"/>
        <w:numId w:val="6"/>
      </w:numPr>
      <w:spacing w:after="120"/>
      <w:outlineLvl w:val="2"/>
    </w:pPr>
    <w:rPr>
      <w:bCs/>
      <w:sz w:val="24"/>
    </w:rPr>
  </w:style>
  <w:style w:type="paragraph" w:styleId="Heading4">
    <w:name w:val="heading 4"/>
    <w:basedOn w:val="Heading3"/>
    <w:next w:val="Normal"/>
    <w:link w:val="Heading4Char"/>
    <w:autoRedefine/>
    <w:uiPriority w:val="9"/>
    <w:unhideWhenUsed/>
    <w:qFormat/>
    <w:rsid w:val="003C5D8C"/>
    <w:pPr>
      <w:numPr>
        <w:ilvl w:val="3"/>
      </w:numPr>
      <w:outlineLvl w:val="3"/>
    </w:pPr>
    <w:rPr>
      <w:b w:val="0"/>
      <w:bCs w:val="0"/>
      <w:iCs/>
    </w:rPr>
  </w:style>
  <w:style w:type="paragraph" w:styleId="Heading5">
    <w:name w:val="heading 5"/>
    <w:basedOn w:val="Heading4"/>
    <w:next w:val="Normal"/>
    <w:link w:val="Heading5Char"/>
    <w:rsid w:val="00BE2FD4"/>
    <w:pPr>
      <w:keepNext w:val="0"/>
      <w:keepLines w:val="0"/>
      <w:numPr>
        <w:ilvl w:val="0"/>
        <w:numId w:val="0"/>
      </w:numPr>
      <w:spacing w:before="0" w:after="160" w:line="280" w:lineRule="atLeast"/>
      <w:outlineLvl w:val="4"/>
    </w:pPr>
    <w:rPr>
      <w:rFonts w:ascii="Times New Roman" w:eastAsia="Times New Roman" w:hAnsi="Times New Roman" w:cs="Times New Roman"/>
      <w:iCs w:val="0"/>
      <w:color w:val="000000"/>
      <w:sz w:val="28"/>
      <w:szCs w:val="28"/>
    </w:rPr>
  </w:style>
  <w:style w:type="paragraph" w:styleId="Heading6">
    <w:name w:val="heading 6"/>
    <w:basedOn w:val="Normal"/>
    <w:next w:val="Normal"/>
    <w:link w:val="Heading6Char"/>
    <w:rsid w:val="00BE2FD4"/>
    <w:pPr>
      <w:spacing w:before="240" w:after="60" w:line="280" w:lineRule="atLeast"/>
      <w:outlineLvl w:val="5"/>
    </w:pPr>
    <w:rPr>
      <w:rFonts w:ascii="Times New Roman" w:eastAsia="Times New Roman" w:hAnsi="Times New Roman" w:cs="Times New Roman"/>
      <w:b/>
      <w:bCs/>
      <w:color w:val="000000"/>
      <w:sz w:val="20"/>
    </w:rPr>
  </w:style>
  <w:style w:type="paragraph" w:styleId="Heading7">
    <w:name w:val="heading 7"/>
    <w:basedOn w:val="Normal"/>
    <w:next w:val="Heading8"/>
    <w:link w:val="Heading7Char"/>
    <w:rsid w:val="00BE2FD4"/>
    <w:pPr>
      <w:spacing w:after="0" w:line="240" w:lineRule="auto"/>
      <w:outlineLvl w:val="6"/>
    </w:pPr>
    <w:rPr>
      <w:rFonts w:ascii="Arial" w:eastAsia="Times New Roman" w:hAnsi="Arial" w:cs="Times New Roman"/>
      <w:color w:val="000000"/>
      <w:sz w:val="20"/>
      <w:szCs w:val="20"/>
    </w:rPr>
  </w:style>
  <w:style w:type="paragraph" w:styleId="Heading8">
    <w:name w:val="heading 8"/>
    <w:basedOn w:val="Heading7"/>
    <w:next w:val="Normal"/>
    <w:link w:val="Heading8Char"/>
    <w:rsid w:val="00BE2FD4"/>
    <w:pPr>
      <w:outlineLvl w:val="7"/>
    </w:pPr>
  </w:style>
  <w:style w:type="paragraph" w:styleId="Heading9">
    <w:name w:val="heading 9"/>
    <w:basedOn w:val="Normal"/>
    <w:next w:val="Normal"/>
    <w:link w:val="Heading9Char"/>
    <w:rsid w:val="00BE2FD4"/>
    <w:pPr>
      <w:spacing w:before="240" w:after="60" w:line="280" w:lineRule="atLeast"/>
      <w:outlineLvl w:val="8"/>
    </w:pPr>
    <w:rPr>
      <w:rFonts w:ascii="Arial" w:eastAsia="Times New Roman"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56D8"/>
    <w:pPr>
      <w:tabs>
        <w:tab w:val="center" w:pos="4513"/>
        <w:tab w:val="right" w:pos="9026"/>
      </w:tabs>
      <w:spacing w:after="0" w:line="240" w:lineRule="auto"/>
    </w:pPr>
  </w:style>
  <w:style w:type="character" w:customStyle="1" w:styleId="HeaderChar">
    <w:name w:val="Header Char"/>
    <w:basedOn w:val="DefaultParagraphFont"/>
    <w:link w:val="Header"/>
    <w:rsid w:val="00FF56D8"/>
  </w:style>
  <w:style w:type="paragraph" w:styleId="Footer">
    <w:name w:val="footer"/>
    <w:basedOn w:val="Normal"/>
    <w:link w:val="FooterChar"/>
    <w:unhideWhenUsed/>
    <w:rsid w:val="00FF56D8"/>
    <w:pPr>
      <w:tabs>
        <w:tab w:val="center" w:pos="4513"/>
        <w:tab w:val="right" w:pos="9026"/>
      </w:tabs>
      <w:spacing w:after="0" w:line="240" w:lineRule="auto"/>
    </w:pPr>
  </w:style>
  <w:style w:type="character" w:customStyle="1" w:styleId="FooterChar">
    <w:name w:val="Footer Char"/>
    <w:basedOn w:val="DefaultParagraphFont"/>
    <w:link w:val="Footer"/>
    <w:rsid w:val="00FF56D8"/>
  </w:style>
  <w:style w:type="paragraph" w:styleId="BalloonText">
    <w:name w:val="Balloon Text"/>
    <w:basedOn w:val="Normal"/>
    <w:link w:val="BalloonTextChar"/>
    <w:semiHidden/>
    <w:unhideWhenUsed/>
    <w:rsid w:val="00FF5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F56D8"/>
    <w:rPr>
      <w:rFonts w:ascii="Tahoma" w:hAnsi="Tahoma" w:cs="Tahoma"/>
      <w:sz w:val="16"/>
      <w:szCs w:val="16"/>
    </w:rPr>
  </w:style>
  <w:style w:type="paragraph" w:styleId="Title">
    <w:name w:val="Title"/>
    <w:basedOn w:val="Normal"/>
    <w:next w:val="Normal"/>
    <w:link w:val="TitleChar"/>
    <w:uiPriority w:val="99"/>
    <w:qFormat/>
    <w:rsid w:val="00FF56D8"/>
    <w:pPr>
      <w:pBdr>
        <w:bottom w:val="single" w:sz="4" w:space="1" w:color="92D050"/>
      </w:pBdr>
      <w:spacing w:before="1240" w:after="1360" w:line="240" w:lineRule="auto"/>
    </w:pPr>
    <w:rPr>
      <w:rFonts w:ascii="DINPro-Bold" w:eastAsia="Times New Roman" w:hAnsi="DINPro-Bold"/>
      <w:b/>
      <w:color w:val="92D050"/>
      <w:sz w:val="48"/>
      <w:szCs w:val="48"/>
    </w:rPr>
  </w:style>
  <w:style w:type="character" w:customStyle="1" w:styleId="TitleChar">
    <w:name w:val="Title Char"/>
    <w:basedOn w:val="DefaultParagraphFont"/>
    <w:link w:val="Title"/>
    <w:uiPriority w:val="99"/>
    <w:rsid w:val="00FF56D8"/>
    <w:rPr>
      <w:rFonts w:ascii="DINPro-Bold" w:eastAsia="Times New Roman" w:hAnsi="DINPro-Bold" w:cs="Calibri"/>
      <w:b/>
      <w:color w:val="92D050"/>
      <w:sz w:val="48"/>
      <w:szCs w:val="48"/>
    </w:rPr>
  </w:style>
  <w:style w:type="paragraph" w:customStyle="1" w:styleId="Client">
    <w:name w:val="Client"/>
    <w:next w:val="Normal"/>
    <w:link w:val="ClientChar"/>
    <w:uiPriority w:val="99"/>
    <w:semiHidden/>
    <w:rsid w:val="00FF56D8"/>
    <w:pPr>
      <w:spacing w:after="4320" w:line="240" w:lineRule="auto"/>
    </w:pPr>
    <w:rPr>
      <w:rFonts w:ascii="Arial Rounded MT Bold" w:eastAsia="Times New Roman" w:hAnsi="Arial Rounded MT Bold" w:cs="Arial"/>
      <w:b/>
      <w:color w:val="0000FF"/>
      <w:sz w:val="36"/>
      <w:szCs w:val="36"/>
    </w:rPr>
  </w:style>
  <w:style w:type="character" w:customStyle="1" w:styleId="Grey">
    <w:name w:val="Grey"/>
    <w:uiPriority w:val="99"/>
    <w:semiHidden/>
    <w:rsid w:val="00FF56D8"/>
    <w:rPr>
      <w:rFonts w:cs="Times New Roman"/>
      <w:color w:val="A6A6A6"/>
    </w:rPr>
  </w:style>
  <w:style w:type="paragraph" w:customStyle="1" w:styleId="SubTitle0">
    <w:name w:val="Sub Title"/>
    <w:basedOn w:val="Client"/>
    <w:link w:val="SubTitleChar"/>
    <w:qFormat/>
    <w:rsid w:val="00B10DAA"/>
    <w:pPr>
      <w:spacing w:before="240" w:after="0"/>
      <w:ind w:left="-851"/>
    </w:pPr>
    <w:rPr>
      <w:rFonts w:ascii="Bell MT" w:hAnsi="Bell MT"/>
      <w:color w:val="92D050"/>
      <w:sz w:val="48"/>
      <w:szCs w:val="48"/>
    </w:rPr>
  </w:style>
  <w:style w:type="paragraph" w:customStyle="1" w:styleId="Subsubtitle">
    <w:name w:val="Subsubtitle"/>
    <w:link w:val="SubsubtitleChar"/>
    <w:uiPriority w:val="99"/>
    <w:semiHidden/>
    <w:rsid w:val="00FF56D8"/>
    <w:pPr>
      <w:spacing w:after="0" w:line="240" w:lineRule="auto"/>
    </w:pPr>
    <w:rPr>
      <w:rFonts w:ascii="Arial Rounded MT Bold" w:eastAsia="Times New Roman" w:hAnsi="Arial Rounded MT Bold" w:cs="Arial"/>
      <w:b/>
      <w:color w:val="0000FF"/>
      <w:sz w:val="20"/>
    </w:rPr>
  </w:style>
  <w:style w:type="character" w:customStyle="1" w:styleId="ClientChar">
    <w:name w:val="Client Char"/>
    <w:basedOn w:val="DefaultParagraphFont"/>
    <w:link w:val="Client"/>
    <w:uiPriority w:val="99"/>
    <w:semiHidden/>
    <w:rsid w:val="00FF56D8"/>
    <w:rPr>
      <w:rFonts w:ascii="Arial Rounded MT Bold" w:eastAsia="Times New Roman" w:hAnsi="Arial Rounded MT Bold" w:cs="Arial"/>
      <w:b/>
      <w:color w:val="0000FF"/>
      <w:sz w:val="36"/>
      <w:szCs w:val="36"/>
    </w:rPr>
  </w:style>
  <w:style w:type="character" w:customStyle="1" w:styleId="SubTitleChar">
    <w:name w:val="Sub Title Char"/>
    <w:basedOn w:val="ClientChar"/>
    <w:link w:val="SubTitle0"/>
    <w:rsid w:val="00B10DAA"/>
    <w:rPr>
      <w:rFonts w:ascii="Bell MT" w:eastAsia="Times New Roman" w:hAnsi="Bell MT" w:cs="Arial"/>
      <w:b/>
      <w:color w:val="92D050"/>
      <w:sz w:val="48"/>
      <w:szCs w:val="48"/>
    </w:rPr>
  </w:style>
  <w:style w:type="character" w:customStyle="1" w:styleId="SubsubtitleChar">
    <w:name w:val="Subsubtitle Char"/>
    <w:link w:val="Subsubtitle"/>
    <w:uiPriority w:val="99"/>
    <w:semiHidden/>
    <w:locked/>
    <w:rsid w:val="00FF56D8"/>
    <w:rPr>
      <w:rFonts w:ascii="Arial Rounded MT Bold" w:eastAsia="Times New Roman" w:hAnsi="Arial Rounded MT Bold" w:cs="Arial"/>
      <w:b/>
      <w:color w:val="0000FF"/>
      <w:sz w:val="20"/>
    </w:rPr>
  </w:style>
  <w:style w:type="paragraph" w:customStyle="1" w:styleId="NonTOCHeading3">
    <w:name w:val="Non TOC Heading 3"/>
    <w:basedOn w:val="Subsubtitle"/>
    <w:next w:val="RECnormaltext"/>
    <w:link w:val="NonTOCHeading3Char"/>
    <w:autoRedefine/>
    <w:qFormat/>
    <w:rsid w:val="00036152"/>
    <w:pPr>
      <w:spacing w:after="120"/>
    </w:pPr>
    <w:rPr>
      <w:rFonts w:asciiTheme="minorHAnsi" w:hAnsiTheme="minorHAnsi"/>
      <w:color w:val="92D050"/>
      <w:sz w:val="24"/>
      <w:szCs w:val="24"/>
    </w:rPr>
  </w:style>
  <w:style w:type="paragraph" w:customStyle="1" w:styleId="SectionHeader">
    <w:name w:val="Section Header"/>
    <w:link w:val="SectionHeaderChar"/>
    <w:uiPriority w:val="99"/>
    <w:rsid w:val="009D04CB"/>
    <w:pPr>
      <w:spacing w:after="360" w:line="240" w:lineRule="auto"/>
    </w:pPr>
    <w:rPr>
      <w:rFonts w:ascii="DINPro-Bold" w:eastAsia="Times New Roman" w:hAnsi="DINPro-Bold" w:cs="Arial"/>
      <w:b/>
      <w:color w:val="92D050"/>
      <w:sz w:val="36"/>
      <w:szCs w:val="36"/>
    </w:rPr>
  </w:style>
  <w:style w:type="character" w:customStyle="1" w:styleId="NonTOCHeading3Char">
    <w:name w:val="Non TOC Heading 3 Char"/>
    <w:basedOn w:val="SubsubtitleChar"/>
    <w:link w:val="NonTOCHeading3"/>
    <w:rsid w:val="00036152"/>
    <w:rPr>
      <w:rFonts w:ascii="Arial Rounded MT Bold" w:eastAsia="Times New Roman" w:hAnsi="Arial Rounded MT Bold" w:cs="Arial"/>
      <w:b/>
      <w:color w:val="92D050"/>
      <w:sz w:val="24"/>
      <w:szCs w:val="24"/>
    </w:rPr>
  </w:style>
  <w:style w:type="paragraph" w:customStyle="1" w:styleId="Titlepagetext">
    <w:name w:val="Title page text"/>
    <w:basedOn w:val="Normal"/>
    <w:link w:val="TitlepagetextChar"/>
    <w:uiPriority w:val="99"/>
    <w:semiHidden/>
    <w:rsid w:val="009D04CB"/>
    <w:pPr>
      <w:spacing w:after="0" w:line="240" w:lineRule="auto"/>
    </w:pPr>
    <w:rPr>
      <w:rFonts w:eastAsia="Times New Roman" w:cs="Arial"/>
      <w:b/>
      <w:color w:val="0000FF"/>
      <w:sz w:val="20"/>
      <w:szCs w:val="20"/>
    </w:rPr>
  </w:style>
  <w:style w:type="character" w:customStyle="1" w:styleId="TitlepagetextChar">
    <w:name w:val="Title page text Char"/>
    <w:link w:val="Titlepagetext"/>
    <w:uiPriority w:val="99"/>
    <w:semiHidden/>
    <w:locked/>
    <w:rsid w:val="009D04CB"/>
    <w:rPr>
      <w:rFonts w:ascii="Calibri" w:eastAsia="Times New Roman" w:hAnsi="Calibri" w:cs="Arial"/>
      <w:b/>
      <w:color w:val="0000FF"/>
      <w:sz w:val="20"/>
      <w:szCs w:val="20"/>
    </w:rPr>
  </w:style>
  <w:style w:type="paragraph" w:customStyle="1" w:styleId="NonTOCHeading2">
    <w:name w:val="Non TOC Heading 2"/>
    <w:basedOn w:val="SectionHeader"/>
    <w:link w:val="NonTOCHeading2Char"/>
    <w:qFormat/>
    <w:rsid w:val="00AC71C5"/>
    <w:rPr>
      <w:rFonts w:asciiTheme="minorHAnsi" w:hAnsiTheme="minorHAnsi"/>
      <w:sz w:val="28"/>
    </w:rPr>
  </w:style>
  <w:style w:type="paragraph" w:customStyle="1" w:styleId="RECnormaltext">
    <w:name w:val="REC normal text"/>
    <w:link w:val="RECnormaltextChar"/>
    <w:qFormat/>
    <w:rsid w:val="00A2635D"/>
    <w:pPr>
      <w:spacing w:after="80"/>
    </w:pPr>
    <w:rPr>
      <w:rFonts w:cs="Arial"/>
      <w:szCs w:val="20"/>
    </w:rPr>
  </w:style>
  <w:style w:type="character" w:customStyle="1" w:styleId="SectionHeaderChar">
    <w:name w:val="Section Header Char"/>
    <w:basedOn w:val="DefaultParagraphFont"/>
    <w:link w:val="SectionHeader"/>
    <w:uiPriority w:val="99"/>
    <w:rsid w:val="009D04CB"/>
    <w:rPr>
      <w:rFonts w:ascii="DINPro-Bold" w:eastAsia="Times New Roman" w:hAnsi="DINPro-Bold" w:cs="Arial"/>
      <w:b/>
      <w:color w:val="92D050"/>
      <w:sz w:val="36"/>
      <w:szCs w:val="36"/>
    </w:rPr>
  </w:style>
  <w:style w:type="character" w:customStyle="1" w:styleId="NonTOCHeading2Char">
    <w:name w:val="Non TOC Heading 2 Char"/>
    <w:basedOn w:val="SectionHeaderChar"/>
    <w:link w:val="NonTOCHeading2"/>
    <w:rsid w:val="00AC71C5"/>
    <w:rPr>
      <w:rFonts w:ascii="DINPro-Bold" w:eastAsia="Times New Roman" w:hAnsi="DINPro-Bold" w:cs="Arial"/>
      <w:b/>
      <w:color w:val="92D050"/>
      <w:sz w:val="28"/>
      <w:szCs w:val="36"/>
    </w:rPr>
  </w:style>
  <w:style w:type="character" w:customStyle="1" w:styleId="RECnormaltextChar">
    <w:name w:val="REC normal text Char"/>
    <w:basedOn w:val="DefaultParagraphFont"/>
    <w:link w:val="RECnormaltext"/>
    <w:rsid w:val="00A2635D"/>
    <w:rPr>
      <w:rFonts w:cs="Arial"/>
      <w:szCs w:val="20"/>
    </w:rPr>
  </w:style>
  <w:style w:type="paragraph" w:customStyle="1" w:styleId="FooterOdd">
    <w:name w:val="Footer Odd"/>
    <w:basedOn w:val="Normal"/>
    <w:rsid w:val="00CA6C2E"/>
    <w:pPr>
      <w:pBdr>
        <w:top w:val="single" w:sz="4" w:space="1" w:color="4F81BD" w:themeColor="accent1"/>
      </w:pBdr>
      <w:spacing w:after="180" w:line="264" w:lineRule="auto"/>
      <w:jc w:val="right"/>
    </w:pPr>
    <w:rPr>
      <w:rFonts w:cs="Times New Roman"/>
      <w:sz w:val="16"/>
      <w:szCs w:val="20"/>
      <w:lang w:val="en-US" w:eastAsia="ja-JP"/>
    </w:rPr>
  </w:style>
  <w:style w:type="character" w:styleId="PageNumber">
    <w:name w:val="page number"/>
    <w:rsid w:val="00F002A9"/>
    <w:rPr>
      <w:rFonts w:cs="Times New Roman"/>
    </w:rPr>
  </w:style>
  <w:style w:type="paragraph" w:customStyle="1" w:styleId="Contentsheader">
    <w:name w:val="Contents header"/>
    <w:basedOn w:val="Normal"/>
    <w:link w:val="ContentsheaderChar"/>
    <w:uiPriority w:val="99"/>
    <w:semiHidden/>
    <w:rsid w:val="00A2635D"/>
    <w:pPr>
      <w:spacing w:after="240" w:line="240" w:lineRule="auto"/>
    </w:pPr>
    <w:rPr>
      <w:rFonts w:eastAsia="Times New Roman" w:cs="Arial"/>
      <w:b/>
      <w:color w:val="92D050"/>
      <w:sz w:val="36"/>
      <w:szCs w:val="28"/>
    </w:rPr>
  </w:style>
  <w:style w:type="character" w:customStyle="1" w:styleId="ContentsheaderChar">
    <w:name w:val="Contents header Char"/>
    <w:link w:val="Contentsheader"/>
    <w:uiPriority w:val="99"/>
    <w:semiHidden/>
    <w:locked/>
    <w:rsid w:val="00A2635D"/>
    <w:rPr>
      <w:rFonts w:ascii="Calibri" w:eastAsia="Times New Roman" w:hAnsi="Calibri" w:cs="Arial"/>
      <w:b/>
      <w:color w:val="92D050"/>
      <w:sz w:val="36"/>
      <w:szCs w:val="28"/>
    </w:rPr>
  </w:style>
  <w:style w:type="character" w:customStyle="1" w:styleId="Heading1Char">
    <w:name w:val="Heading 1 Char"/>
    <w:basedOn w:val="DefaultParagraphFont"/>
    <w:link w:val="Heading1"/>
    <w:rsid w:val="00AC71C5"/>
    <w:rPr>
      <w:rFonts w:eastAsiaTheme="majorEastAsia" w:cstheme="majorBidi"/>
      <w:b/>
      <w:bCs/>
      <w:color w:val="92D050"/>
      <w:sz w:val="28"/>
      <w:szCs w:val="28"/>
    </w:rPr>
  </w:style>
  <w:style w:type="paragraph" w:styleId="TOCHeading">
    <w:name w:val="TOC Heading"/>
    <w:basedOn w:val="Heading1"/>
    <w:next w:val="Normal"/>
    <w:uiPriority w:val="39"/>
    <w:unhideWhenUsed/>
    <w:qFormat/>
    <w:rsid w:val="00E90D9C"/>
    <w:pPr>
      <w:outlineLvl w:val="9"/>
    </w:pPr>
    <w:rPr>
      <w:lang w:val="en-US" w:eastAsia="ja-JP"/>
    </w:rPr>
  </w:style>
  <w:style w:type="paragraph" w:styleId="TOC1">
    <w:name w:val="toc 1"/>
    <w:basedOn w:val="RECnormaltext"/>
    <w:next w:val="RECnormaltext"/>
    <w:autoRedefine/>
    <w:uiPriority w:val="39"/>
    <w:unhideWhenUsed/>
    <w:rsid w:val="007F0F63"/>
    <w:pPr>
      <w:tabs>
        <w:tab w:val="right" w:leader="dot" w:pos="9016"/>
      </w:tabs>
      <w:spacing w:after="100"/>
    </w:pPr>
    <w:rPr>
      <w:rFonts w:ascii="Calibri" w:hAnsi="Calibri"/>
    </w:rPr>
  </w:style>
  <w:style w:type="character" w:styleId="Hyperlink">
    <w:name w:val="Hyperlink"/>
    <w:basedOn w:val="DefaultParagraphFont"/>
    <w:uiPriority w:val="99"/>
    <w:unhideWhenUsed/>
    <w:rsid w:val="00A2635D"/>
    <w:rPr>
      <w:rFonts w:asciiTheme="minorHAnsi" w:hAnsiTheme="minorHAnsi"/>
      <w:color w:val="0000FF" w:themeColor="hyperlink"/>
      <w:u w:val="single"/>
    </w:rPr>
  </w:style>
  <w:style w:type="character" w:customStyle="1" w:styleId="Heading2Char">
    <w:name w:val="Heading 2 Char"/>
    <w:basedOn w:val="DefaultParagraphFont"/>
    <w:link w:val="Heading2"/>
    <w:rsid w:val="00AC71C5"/>
    <w:rPr>
      <w:rFonts w:eastAsiaTheme="majorEastAsia" w:cstheme="majorBidi"/>
      <w:b/>
      <w:color w:val="92D050"/>
      <w:sz w:val="26"/>
      <w:szCs w:val="26"/>
    </w:rPr>
  </w:style>
  <w:style w:type="paragraph" w:styleId="Subtitle">
    <w:name w:val="Subtitle"/>
    <w:basedOn w:val="Normal"/>
    <w:next w:val="Normal"/>
    <w:link w:val="SubtitleChar0"/>
    <w:uiPriority w:val="11"/>
    <w:rsid w:val="00973860"/>
    <w:pPr>
      <w:numPr>
        <w:numId w:val="1"/>
      </w:numPr>
    </w:pPr>
    <w:rPr>
      <w:rFonts w:asciiTheme="majorHAnsi" w:eastAsiaTheme="majorEastAsia" w:hAnsiTheme="majorHAnsi" w:cstheme="majorBidi"/>
      <w:i/>
      <w:iCs/>
      <w:color w:val="4F81BD" w:themeColor="accent1"/>
      <w:spacing w:val="15"/>
      <w:szCs w:val="24"/>
    </w:rPr>
  </w:style>
  <w:style w:type="paragraph" w:styleId="BodyText">
    <w:name w:val="Body Text"/>
    <w:basedOn w:val="Normal"/>
    <w:link w:val="BodyTextChar"/>
    <w:uiPriority w:val="99"/>
    <w:semiHidden/>
    <w:unhideWhenUsed/>
    <w:rsid w:val="00973860"/>
    <w:pPr>
      <w:spacing w:after="120"/>
    </w:pPr>
  </w:style>
  <w:style w:type="character" w:customStyle="1" w:styleId="BodyTextChar">
    <w:name w:val="Body Text Char"/>
    <w:basedOn w:val="DefaultParagraphFont"/>
    <w:link w:val="BodyText"/>
    <w:uiPriority w:val="99"/>
    <w:semiHidden/>
    <w:rsid w:val="00973860"/>
    <w:rPr>
      <w:rFonts w:ascii="DINPro" w:hAnsi="DINPro" w:cs="Calibri"/>
      <w:color w:val="000000" w:themeColor="text1"/>
      <w:sz w:val="24"/>
    </w:rPr>
  </w:style>
  <w:style w:type="character" w:customStyle="1" w:styleId="SubtitleChar0">
    <w:name w:val="Subtitle Char"/>
    <w:basedOn w:val="DefaultParagraphFont"/>
    <w:link w:val="Subtitle"/>
    <w:uiPriority w:val="11"/>
    <w:rsid w:val="00973860"/>
    <w:rPr>
      <w:rFonts w:asciiTheme="majorHAnsi" w:eastAsiaTheme="majorEastAsia" w:hAnsiTheme="majorHAnsi" w:cstheme="majorBidi"/>
      <w:i/>
      <w:iCs/>
      <w:color w:val="4F81BD" w:themeColor="accent1"/>
      <w:spacing w:val="15"/>
      <w:szCs w:val="24"/>
    </w:rPr>
  </w:style>
  <w:style w:type="paragraph" w:styleId="ListParagraph">
    <w:name w:val="List Paragraph"/>
    <w:aliases w:val="Bullet List"/>
    <w:basedOn w:val="Normal"/>
    <w:link w:val="ListParagraphChar"/>
    <w:uiPriority w:val="34"/>
    <w:qFormat/>
    <w:rsid w:val="00AC71C5"/>
    <w:pPr>
      <w:ind w:left="720"/>
      <w:contextualSpacing/>
    </w:pPr>
    <w:rPr>
      <w:rFonts w:asciiTheme="minorHAnsi" w:hAnsiTheme="minorHAnsi"/>
    </w:rPr>
  </w:style>
  <w:style w:type="character" w:customStyle="1" w:styleId="Heading3Char">
    <w:name w:val="Heading 3 Char"/>
    <w:basedOn w:val="DefaultParagraphFont"/>
    <w:link w:val="Heading3"/>
    <w:rsid w:val="00A573BD"/>
    <w:rPr>
      <w:rFonts w:eastAsiaTheme="majorEastAsia" w:cstheme="majorBidi"/>
      <w:b/>
      <w:bCs/>
      <w:color w:val="92D050"/>
      <w:sz w:val="24"/>
      <w:szCs w:val="26"/>
    </w:rPr>
  </w:style>
  <w:style w:type="character" w:customStyle="1" w:styleId="Heading4Char">
    <w:name w:val="Heading 4 Char"/>
    <w:basedOn w:val="DefaultParagraphFont"/>
    <w:link w:val="Heading4"/>
    <w:rsid w:val="003C5D8C"/>
    <w:rPr>
      <w:rFonts w:eastAsiaTheme="majorEastAsia" w:cstheme="majorBidi"/>
      <w:iCs/>
      <w:color w:val="92D050"/>
      <w:sz w:val="24"/>
      <w:szCs w:val="26"/>
    </w:rPr>
  </w:style>
  <w:style w:type="numbering" w:customStyle="1" w:styleId="Headings">
    <w:name w:val="Headings"/>
    <w:uiPriority w:val="99"/>
    <w:rsid w:val="003C5D8C"/>
    <w:pPr>
      <w:numPr>
        <w:numId w:val="2"/>
      </w:numPr>
    </w:pPr>
  </w:style>
  <w:style w:type="paragraph" w:styleId="TOC2">
    <w:name w:val="toc 2"/>
    <w:basedOn w:val="RECnormaltext"/>
    <w:next w:val="RECnormaltext"/>
    <w:autoRedefine/>
    <w:uiPriority w:val="39"/>
    <w:unhideWhenUsed/>
    <w:rsid w:val="007F0F63"/>
    <w:pPr>
      <w:tabs>
        <w:tab w:val="left" w:pos="880"/>
        <w:tab w:val="right" w:leader="dot" w:pos="9016"/>
      </w:tabs>
      <w:spacing w:after="100"/>
      <w:ind w:left="240"/>
    </w:pPr>
    <w:rPr>
      <w:rFonts w:ascii="Calibri" w:hAnsi="Calibri"/>
    </w:rPr>
  </w:style>
  <w:style w:type="numbering" w:customStyle="1" w:styleId="Dotpoints">
    <w:name w:val="Dot points"/>
    <w:uiPriority w:val="99"/>
    <w:rsid w:val="005504D7"/>
    <w:pPr>
      <w:numPr>
        <w:numId w:val="3"/>
      </w:numPr>
    </w:pPr>
  </w:style>
  <w:style w:type="paragraph" w:customStyle="1" w:styleId="RECdotpoint">
    <w:name w:val="REC dot point"/>
    <w:basedOn w:val="RECnormaltext"/>
    <w:link w:val="RECdotpointChar"/>
    <w:qFormat/>
    <w:rsid w:val="00AC71C5"/>
    <w:pPr>
      <w:numPr>
        <w:numId w:val="8"/>
      </w:numPr>
      <w:spacing w:before="80"/>
    </w:pPr>
  </w:style>
  <w:style w:type="paragraph" w:customStyle="1" w:styleId="RECdotnotlist">
    <w:name w:val="REC dot (not list)"/>
    <w:basedOn w:val="RECnormaltext"/>
    <w:link w:val="RECdotnotlistChar"/>
    <w:qFormat/>
    <w:rsid w:val="00AC71C5"/>
    <w:pPr>
      <w:numPr>
        <w:numId w:val="4"/>
      </w:numPr>
      <w:ind w:left="284" w:right="567" w:hanging="284"/>
    </w:pPr>
    <w:rPr>
      <w:rFonts w:cs="Calibri"/>
    </w:rPr>
  </w:style>
  <w:style w:type="character" w:customStyle="1" w:styleId="RECdotpointChar">
    <w:name w:val="REC dot point Char"/>
    <w:basedOn w:val="RECnormaltextChar"/>
    <w:link w:val="RECdotpoint"/>
    <w:rsid w:val="00AC71C5"/>
    <w:rPr>
      <w:rFonts w:cs="Arial"/>
      <w:szCs w:val="20"/>
    </w:rPr>
  </w:style>
  <w:style w:type="character" w:customStyle="1" w:styleId="RECdotnotlistChar">
    <w:name w:val="REC dot (not list) Char"/>
    <w:basedOn w:val="RECnormaltextChar"/>
    <w:link w:val="RECdotnotlist"/>
    <w:rsid w:val="00AC71C5"/>
    <w:rPr>
      <w:rFonts w:cs="Calibri"/>
      <w:szCs w:val="20"/>
    </w:rPr>
  </w:style>
  <w:style w:type="paragraph" w:customStyle="1" w:styleId="RECnumberlist0">
    <w:name w:val="REC number list"/>
    <w:basedOn w:val="ListParagraph"/>
    <w:link w:val="RECnumberlistChar"/>
    <w:rsid w:val="007E4104"/>
    <w:pPr>
      <w:spacing w:after="0" w:line="260" w:lineRule="atLeast"/>
      <w:ind w:left="284" w:hanging="284"/>
    </w:pPr>
    <w:rPr>
      <w:rFonts w:eastAsia="Times New Roman"/>
      <w:b/>
      <w:color w:val="181818"/>
      <w:sz w:val="20"/>
    </w:rPr>
  </w:style>
  <w:style w:type="character" w:customStyle="1" w:styleId="RECnumberlistChar">
    <w:name w:val="REC number list Char"/>
    <w:basedOn w:val="DefaultParagraphFont"/>
    <w:link w:val="RECnumberlist0"/>
    <w:rsid w:val="007E4104"/>
    <w:rPr>
      <w:rFonts w:ascii="DINPro" w:eastAsia="Times New Roman" w:hAnsi="DINPro" w:cs="Calibri"/>
      <w:b/>
      <w:color w:val="181818"/>
      <w:sz w:val="20"/>
    </w:rPr>
  </w:style>
  <w:style w:type="paragraph" w:customStyle="1" w:styleId="referencetotitle">
    <w:name w:val="reference to title"/>
    <w:basedOn w:val="RECnormaltext"/>
    <w:next w:val="RECnormaltext"/>
    <w:link w:val="referencetotitleChar"/>
    <w:qFormat/>
    <w:rsid w:val="00AC71C5"/>
    <w:rPr>
      <w:i/>
    </w:rPr>
  </w:style>
  <w:style w:type="character" w:customStyle="1" w:styleId="referencetotitleChar">
    <w:name w:val="reference to title Char"/>
    <w:basedOn w:val="RECnormaltextChar"/>
    <w:link w:val="referencetotitle"/>
    <w:rsid w:val="00AC71C5"/>
    <w:rPr>
      <w:rFonts w:cs="Arial"/>
      <w:i/>
      <w:sz w:val="20"/>
      <w:szCs w:val="20"/>
    </w:rPr>
  </w:style>
  <w:style w:type="numbering" w:customStyle="1" w:styleId="REClistnumber">
    <w:name w:val="REC list (number)"/>
    <w:uiPriority w:val="99"/>
    <w:rsid w:val="002B4645"/>
    <w:pPr>
      <w:numPr>
        <w:numId w:val="7"/>
      </w:numPr>
    </w:pPr>
  </w:style>
  <w:style w:type="paragraph" w:customStyle="1" w:styleId="RECnumberlist">
    <w:name w:val="REC number (list)"/>
    <w:basedOn w:val="RECnormaltext"/>
    <w:next w:val="RECnormaltext"/>
    <w:link w:val="RECnumberlistChar0"/>
    <w:qFormat/>
    <w:rsid w:val="00636E79"/>
    <w:pPr>
      <w:numPr>
        <w:numId w:val="9"/>
      </w:numPr>
      <w:spacing w:before="80"/>
    </w:pPr>
  </w:style>
  <w:style w:type="character" w:customStyle="1" w:styleId="RECnumberlistChar0">
    <w:name w:val="REC number (list) Char"/>
    <w:basedOn w:val="DefaultParagraphFont"/>
    <w:link w:val="RECnumberlist"/>
    <w:rsid w:val="00A2635D"/>
    <w:rPr>
      <w:rFonts w:cs="Arial"/>
      <w:szCs w:val="20"/>
    </w:rPr>
  </w:style>
  <w:style w:type="character" w:styleId="SubtleEmphasis">
    <w:name w:val="Subtle Emphasis"/>
    <w:basedOn w:val="DefaultParagraphFont"/>
    <w:uiPriority w:val="19"/>
    <w:rsid w:val="00C31DAF"/>
    <w:rPr>
      <w:i/>
      <w:iCs/>
      <w:color w:val="808080" w:themeColor="text1" w:themeTint="7F"/>
    </w:rPr>
  </w:style>
  <w:style w:type="table" w:styleId="TableGrid">
    <w:name w:val="Table Grid"/>
    <w:basedOn w:val="TableNormal"/>
    <w:rsid w:val="00166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2635D"/>
    <w:pPr>
      <w:spacing w:after="0" w:line="240" w:lineRule="auto"/>
    </w:pPr>
    <w:rPr>
      <w:rFonts w:asciiTheme="minorHAnsi" w:hAnsiTheme="minorHAnsi" w:cstheme="minorBidi"/>
      <w:color w:val="auto"/>
      <w:sz w:val="18"/>
      <w:szCs w:val="20"/>
    </w:rPr>
  </w:style>
  <w:style w:type="character" w:customStyle="1" w:styleId="FootnoteTextChar">
    <w:name w:val="Footnote Text Char"/>
    <w:basedOn w:val="DefaultParagraphFont"/>
    <w:link w:val="FootnoteText"/>
    <w:uiPriority w:val="99"/>
    <w:rsid w:val="00A2635D"/>
    <w:rPr>
      <w:sz w:val="18"/>
      <w:szCs w:val="20"/>
    </w:rPr>
  </w:style>
  <w:style w:type="character" w:styleId="FootnoteReference">
    <w:name w:val="footnote reference"/>
    <w:basedOn w:val="DefaultParagraphFont"/>
    <w:uiPriority w:val="99"/>
    <w:unhideWhenUsed/>
    <w:rsid w:val="009C34E5"/>
    <w:rPr>
      <w:rFonts w:ascii="Calibri" w:hAnsi="Calibri"/>
      <w:vertAlign w:val="superscript"/>
    </w:rPr>
  </w:style>
  <w:style w:type="paragraph" w:styleId="Caption">
    <w:name w:val="caption"/>
    <w:basedOn w:val="Normal"/>
    <w:next w:val="Normal"/>
    <w:autoRedefine/>
    <w:unhideWhenUsed/>
    <w:qFormat/>
    <w:rsid w:val="00454BC0"/>
    <w:pPr>
      <w:spacing w:after="0" w:line="240" w:lineRule="auto"/>
    </w:pPr>
    <w:rPr>
      <w:rFonts w:cstheme="minorBidi"/>
      <w:b/>
      <w:bCs/>
      <w:color w:val="auto"/>
      <w:sz w:val="20"/>
      <w:szCs w:val="18"/>
    </w:rPr>
  </w:style>
  <w:style w:type="paragraph" w:styleId="TOC3">
    <w:name w:val="toc 3"/>
    <w:basedOn w:val="RECnormaltext"/>
    <w:next w:val="RECnormaltext"/>
    <w:autoRedefine/>
    <w:uiPriority w:val="39"/>
    <w:unhideWhenUsed/>
    <w:rsid w:val="007F0F63"/>
    <w:pPr>
      <w:spacing w:after="100"/>
      <w:ind w:left="480"/>
    </w:pPr>
    <w:rPr>
      <w:rFonts w:ascii="Calibri" w:hAnsi="Calibri"/>
    </w:rPr>
  </w:style>
  <w:style w:type="paragraph" w:styleId="NoSpacing">
    <w:name w:val="No Spacing"/>
    <w:uiPriority w:val="1"/>
    <w:qFormat/>
    <w:rsid w:val="00AC71C5"/>
    <w:pPr>
      <w:spacing w:after="0" w:line="240" w:lineRule="auto"/>
    </w:pPr>
    <w:rPr>
      <w:rFonts w:cs="Calibri"/>
      <w:color w:val="000000" w:themeColor="text1"/>
      <w:sz w:val="24"/>
    </w:rPr>
  </w:style>
  <w:style w:type="table" w:styleId="MediumShading1-Accent3">
    <w:name w:val="Medium Shading 1 Accent 3"/>
    <w:basedOn w:val="TableNormal"/>
    <w:uiPriority w:val="63"/>
    <w:rsid w:val="0082540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82540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CommentReference">
    <w:name w:val="annotation reference"/>
    <w:basedOn w:val="DefaultParagraphFont"/>
    <w:semiHidden/>
    <w:unhideWhenUsed/>
    <w:rsid w:val="00A2635D"/>
    <w:rPr>
      <w:rFonts w:asciiTheme="minorHAnsi" w:hAnsiTheme="minorHAnsi"/>
      <w:sz w:val="16"/>
      <w:szCs w:val="16"/>
    </w:rPr>
  </w:style>
  <w:style w:type="paragraph" w:styleId="CommentText">
    <w:name w:val="annotation text"/>
    <w:basedOn w:val="Normal"/>
    <w:link w:val="CommentTextChar"/>
    <w:semiHidden/>
    <w:unhideWhenUsed/>
    <w:rsid w:val="00A2635D"/>
    <w:pPr>
      <w:spacing w:line="240" w:lineRule="auto"/>
    </w:pPr>
    <w:rPr>
      <w:sz w:val="20"/>
      <w:szCs w:val="20"/>
    </w:rPr>
  </w:style>
  <w:style w:type="character" w:customStyle="1" w:styleId="CommentTextChar">
    <w:name w:val="Comment Text Char"/>
    <w:basedOn w:val="DefaultParagraphFont"/>
    <w:link w:val="CommentText"/>
    <w:semiHidden/>
    <w:rsid w:val="00A2635D"/>
    <w:rPr>
      <w:rFonts w:ascii="Calibri" w:hAnsi="Calibri" w:cs="Calibri"/>
      <w:color w:val="000000" w:themeColor="text1"/>
      <w:sz w:val="20"/>
      <w:szCs w:val="20"/>
    </w:rPr>
  </w:style>
  <w:style w:type="paragraph" w:styleId="CommentSubject">
    <w:name w:val="annotation subject"/>
    <w:basedOn w:val="CommentText"/>
    <w:next w:val="CommentText"/>
    <w:link w:val="CommentSubjectChar"/>
    <w:semiHidden/>
    <w:unhideWhenUsed/>
    <w:rsid w:val="00A2635D"/>
    <w:rPr>
      <w:b/>
      <w:bCs/>
    </w:rPr>
  </w:style>
  <w:style w:type="character" w:customStyle="1" w:styleId="CommentSubjectChar">
    <w:name w:val="Comment Subject Char"/>
    <w:basedOn w:val="CommentTextChar"/>
    <w:link w:val="CommentSubject"/>
    <w:semiHidden/>
    <w:rsid w:val="00A2635D"/>
    <w:rPr>
      <w:rFonts w:ascii="Calibri" w:hAnsi="Calibri" w:cs="Calibri"/>
      <w:b/>
      <w:bCs/>
      <w:color w:val="000000" w:themeColor="text1"/>
      <w:sz w:val="20"/>
      <w:szCs w:val="20"/>
    </w:rPr>
  </w:style>
  <w:style w:type="paragraph" w:customStyle="1" w:styleId="Style1">
    <w:name w:val="Style1"/>
    <w:basedOn w:val="FootnoteText"/>
    <w:rsid w:val="00A2635D"/>
  </w:style>
  <w:style w:type="character" w:styleId="FollowedHyperlink">
    <w:name w:val="FollowedHyperlink"/>
    <w:basedOn w:val="DefaultParagraphFont"/>
    <w:uiPriority w:val="99"/>
    <w:semiHidden/>
    <w:unhideWhenUsed/>
    <w:rsid w:val="00924BE3"/>
    <w:rPr>
      <w:color w:val="954F72"/>
      <w:u w:val="single"/>
    </w:rPr>
  </w:style>
  <w:style w:type="paragraph" w:customStyle="1" w:styleId="msonormal0">
    <w:name w:val="msonormal"/>
    <w:basedOn w:val="Normal"/>
    <w:rsid w:val="00924BE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71">
    <w:name w:val="xl71"/>
    <w:basedOn w:val="Normal"/>
    <w:rsid w:val="00924BE3"/>
    <w:pPr>
      <w:shd w:val="clear" w:color="000000" w:fill="FFFFFF"/>
      <w:spacing w:before="100" w:beforeAutospacing="1" w:after="100" w:afterAutospacing="1" w:line="240" w:lineRule="auto"/>
    </w:pPr>
    <w:rPr>
      <w:rFonts w:ascii="Times New Roman" w:eastAsia="Times New Roman" w:hAnsi="Times New Roman" w:cs="Times New Roman"/>
      <w:color w:val="auto"/>
      <w:sz w:val="18"/>
      <w:szCs w:val="18"/>
      <w:lang w:eastAsia="en-AU"/>
    </w:rPr>
  </w:style>
  <w:style w:type="paragraph" w:customStyle="1" w:styleId="xl72">
    <w:name w:val="xl72"/>
    <w:basedOn w:val="Normal"/>
    <w:rsid w:val="00924BE3"/>
    <w:pPr>
      <w:shd w:val="clear" w:color="000000" w:fill="FFFFFF"/>
      <w:spacing w:before="100" w:beforeAutospacing="1" w:after="100" w:afterAutospacing="1" w:line="240" w:lineRule="auto"/>
      <w:jc w:val="center"/>
    </w:pPr>
    <w:rPr>
      <w:rFonts w:ascii="Times New Roman" w:eastAsia="Times New Roman" w:hAnsi="Times New Roman" w:cs="Times New Roman"/>
      <w:color w:val="auto"/>
      <w:sz w:val="18"/>
      <w:szCs w:val="18"/>
      <w:lang w:eastAsia="en-AU"/>
    </w:rPr>
  </w:style>
  <w:style w:type="paragraph" w:customStyle="1" w:styleId="xl73">
    <w:name w:val="xl73"/>
    <w:basedOn w:val="Normal"/>
    <w:rsid w:val="00924BE3"/>
    <w:pPr>
      <w:shd w:val="clear" w:color="000000" w:fill="FFFFFF"/>
      <w:spacing w:before="100" w:beforeAutospacing="1" w:after="100" w:afterAutospacing="1" w:line="240" w:lineRule="auto"/>
      <w:jc w:val="center"/>
    </w:pPr>
    <w:rPr>
      <w:rFonts w:ascii="Times New Roman" w:eastAsia="Times New Roman" w:hAnsi="Times New Roman" w:cs="Times New Roman"/>
      <w:b/>
      <w:bCs/>
      <w:color w:val="auto"/>
      <w:sz w:val="18"/>
      <w:szCs w:val="18"/>
      <w:lang w:eastAsia="en-AU"/>
    </w:rPr>
  </w:style>
  <w:style w:type="paragraph" w:customStyle="1" w:styleId="xl74">
    <w:name w:val="xl74"/>
    <w:basedOn w:val="Normal"/>
    <w:rsid w:val="00924BE3"/>
    <w:pPr>
      <w:shd w:val="clear" w:color="000000" w:fill="FFFFFF"/>
      <w:spacing w:before="100" w:beforeAutospacing="1" w:after="100" w:afterAutospacing="1" w:line="240" w:lineRule="auto"/>
    </w:pPr>
    <w:rPr>
      <w:rFonts w:ascii="Times New Roman" w:eastAsia="Times New Roman" w:hAnsi="Times New Roman" w:cs="Times New Roman"/>
      <w:color w:val="auto"/>
      <w:sz w:val="18"/>
      <w:szCs w:val="18"/>
      <w:lang w:eastAsia="en-AU"/>
    </w:rPr>
  </w:style>
  <w:style w:type="paragraph" w:customStyle="1" w:styleId="xl75">
    <w:name w:val="xl75"/>
    <w:basedOn w:val="Normal"/>
    <w:rsid w:val="00924BE3"/>
    <w:pPr>
      <w:shd w:val="clear" w:color="000000" w:fill="FFFFFF"/>
      <w:spacing w:before="100" w:beforeAutospacing="1" w:after="100" w:afterAutospacing="1" w:line="240" w:lineRule="auto"/>
      <w:jc w:val="center"/>
    </w:pPr>
    <w:rPr>
      <w:rFonts w:ascii="Times New Roman" w:eastAsia="Times New Roman" w:hAnsi="Times New Roman" w:cs="Times New Roman"/>
      <w:color w:val="auto"/>
      <w:sz w:val="18"/>
      <w:szCs w:val="18"/>
      <w:lang w:eastAsia="en-AU"/>
    </w:rPr>
  </w:style>
  <w:style w:type="paragraph" w:customStyle="1" w:styleId="xl76">
    <w:name w:val="xl76"/>
    <w:basedOn w:val="Normal"/>
    <w:rsid w:val="00924BE3"/>
    <w:pPr>
      <w:pBdr>
        <w:left w:val="single" w:sz="4" w:space="0" w:color="BFBFBF"/>
      </w:pBdr>
      <w:shd w:val="clear" w:color="000000" w:fill="FFFFFF"/>
      <w:spacing w:before="100" w:beforeAutospacing="1" w:after="100" w:afterAutospacing="1" w:line="240" w:lineRule="auto"/>
      <w:jc w:val="center"/>
    </w:pPr>
    <w:rPr>
      <w:rFonts w:ascii="Times New Roman" w:eastAsia="Times New Roman" w:hAnsi="Times New Roman" w:cs="Times New Roman"/>
      <w:b/>
      <w:bCs/>
      <w:color w:val="auto"/>
      <w:sz w:val="18"/>
      <w:szCs w:val="18"/>
      <w:lang w:eastAsia="en-AU"/>
    </w:rPr>
  </w:style>
  <w:style w:type="paragraph" w:customStyle="1" w:styleId="xl77">
    <w:name w:val="xl77"/>
    <w:basedOn w:val="Normal"/>
    <w:rsid w:val="00924BE3"/>
    <w:pPr>
      <w:pBdr>
        <w:right w:val="single" w:sz="4" w:space="0" w:color="BFBFBF"/>
      </w:pBdr>
      <w:shd w:val="clear" w:color="000000" w:fill="FFFFFF"/>
      <w:spacing w:before="100" w:beforeAutospacing="1" w:after="100" w:afterAutospacing="1" w:line="240" w:lineRule="auto"/>
      <w:jc w:val="center"/>
    </w:pPr>
    <w:rPr>
      <w:rFonts w:ascii="Times New Roman" w:eastAsia="Times New Roman" w:hAnsi="Times New Roman" w:cs="Times New Roman"/>
      <w:b/>
      <w:bCs/>
      <w:color w:val="auto"/>
      <w:sz w:val="18"/>
      <w:szCs w:val="18"/>
      <w:lang w:eastAsia="en-AU"/>
    </w:rPr>
  </w:style>
  <w:style w:type="paragraph" w:customStyle="1" w:styleId="xl78">
    <w:name w:val="xl78"/>
    <w:basedOn w:val="Normal"/>
    <w:rsid w:val="00924BE3"/>
    <w:pPr>
      <w:pBdr>
        <w:left w:val="single" w:sz="4" w:space="0" w:color="BFBFBF"/>
      </w:pBdr>
      <w:shd w:val="clear" w:color="000000" w:fill="FFFFFF"/>
      <w:spacing w:before="100" w:beforeAutospacing="1" w:after="100" w:afterAutospacing="1" w:line="240" w:lineRule="auto"/>
      <w:jc w:val="center"/>
    </w:pPr>
    <w:rPr>
      <w:rFonts w:ascii="Times New Roman" w:eastAsia="Times New Roman" w:hAnsi="Times New Roman" w:cs="Times New Roman"/>
      <w:color w:val="auto"/>
      <w:sz w:val="18"/>
      <w:szCs w:val="18"/>
      <w:lang w:eastAsia="en-AU"/>
    </w:rPr>
  </w:style>
  <w:style w:type="paragraph" w:customStyle="1" w:styleId="xl79">
    <w:name w:val="xl79"/>
    <w:basedOn w:val="Normal"/>
    <w:rsid w:val="00924BE3"/>
    <w:pPr>
      <w:pBdr>
        <w:right w:val="single" w:sz="4" w:space="0" w:color="BFBFBF"/>
      </w:pBdr>
      <w:shd w:val="clear" w:color="000000" w:fill="FFFFFF"/>
      <w:spacing w:before="100" w:beforeAutospacing="1" w:after="100" w:afterAutospacing="1" w:line="240" w:lineRule="auto"/>
      <w:jc w:val="center"/>
    </w:pPr>
    <w:rPr>
      <w:rFonts w:ascii="Times New Roman" w:eastAsia="Times New Roman" w:hAnsi="Times New Roman" w:cs="Times New Roman"/>
      <w:color w:val="auto"/>
      <w:sz w:val="18"/>
      <w:szCs w:val="18"/>
      <w:lang w:eastAsia="en-AU"/>
    </w:rPr>
  </w:style>
  <w:style w:type="paragraph" w:customStyle="1" w:styleId="xl80">
    <w:name w:val="xl80"/>
    <w:basedOn w:val="Normal"/>
    <w:rsid w:val="00924BE3"/>
    <w:pPr>
      <w:pBdr>
        <w:top w:val="single" w:sz="4" w:space="0" w:color="E7E6E6"/>
        <w:bottom w:val="single" w:sz="4" w:space="0" w:color="E7E6E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en-AU"/>
    </w:rPr>
  </w:style>
  <w:style w:type="character" w:customStyle="1" w:styleId="ListParagraphChar">
    <w:name w:val="List Paragraph Char"/>
    <w:aliases w:val="Bullet List Char"/>
    <w:basedOn w:val="DefaultParagraphFont"/>
    <w:link w:val="ListParagraph"/>
    <w:uiPriority w:val="99"/>
    <w:rsid w:val="00C1418F"/>
    <w:rPr>
      <w:rFonts w:cs="Calibri"/>
      <w:color w:val="000000" w:themeColor="text1"/>
    </w:rPr>
  </w:style>
  <w:style w:type="paragraph" w:customStyle="1" w:styleId="PTNormalResponse">
    <w:name w:val="PT Normal Response"/>
    <w:basedOn w:val="Normal"/>
    <w:rsid w:val="00C1418F"/>
    <w:pPr>
      <w:spacing w:before="120" w:after="60" w:line="240" w:lineRule="auto"/>
    </w:pPr>
    <w:rPr>
      <w:rFonts w:ascii="Arial" w:eastAsia="Times New Roman" w:hAnsi="Arial" w:cs="Times New Roman"/>
      <w:color w:val="auto"/>
      <w:sz w:val="20"/>
      <w:szCs w:val="20"/>
    </w:rPr>
  </w:style>
  <w:style w:type="paragraph" w:customStyle="1" w:styleId="xl81">
    <w:name w:val="xl81"/>
    <w:basedOn w:val="Normal"/>
    <w:rsid w:val="00076C82"/>
    <w:pPr>
      <w:pBdr>
        <w:right w:val="single" w:sz="4" w:space="0" w:color="BFBFBF"/>
      </w:pBdr>
      <w:shd w:val="clear" w:color="000000" w:fill="FFFFFF"/>
      <w:spacing w:before="100" w:beforeAutospacing="1" w:after="100" w:afterAutospacing="1" w:line="240" w:lineRule="auto"/>
      <w:jc w:val="center"/>
    </w:pPr>
    <w:rPr>
      <w:rFonts w:ascii="Times New Roman" w:eastAsia="Times New Roman" w:hAnsi="Times New Roman" w:cs="Times New Roman"/>
      <w:color w:val="auto"/>
      <w:sz w:val="18"/>
      <w:szCs w:val="18"/>
      <w:lang w:eastAsia="en-AU"/>
    </w:rPr>
  </w:style>
  <w:style w:type="paragraph" w:customStyle="1" w:styleId="xl82">
    <w:name w:val="xl82"/>
    <w:basedOn w:val="Normal"/>
    <w:rsid w:val="00076C82"/>
    <w:pPr>
      <w:pBdr>
        <w:top w:val="single" w:sz="4" w:space="0" w:color="E7E6E6"/>
        <w:bottom w:val="single" w:sz="4" w:space="0" w:color="E7E6E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en-AU"/>
    </w:rPr>
  </w:style>
  <w:style w:type="character" w:styleId="UnresolvedMention">
    <w:name w:val="Unresolved Mention"/>
    <w:basedOn w:val="DefaultParagraphFont"/>
    <w:uiPriority w:val="99"/>
    <w:semiHidden/>
    <w:unhideWhenUsed/>
    <w:rsid w:val="00A13CA7"/>
    <w:rPr>
      <w:color w:val="605E5C"/>
      <w:shd w:val="clear" w:color="auto" w:fill="E1DFDD"/>
    </w:rPr>
  </w:style>
  <w:style w:type="character" w:customStyle="1" w:styleId="Heading5Char">
    <w:name w:val="Heading 5 Char"/>
    <w:basedOn w:val="DefaultParagraphFont"/>
    <w:link w:val="Heading5"/>
    <w:rsid w:val="00BE2FD4"/>
    <w:rPr>
      <w:rFonts w:ascii="Times New Roman" w:eastAsia="Times New Roman" w:hAnsi="Times New Roman" w:cs="Times New Roman"/>
      <w:color w:val="000000"/>
      <w:sz w:val="28"/>
      <w:szCs w:val="28"/>
    </w:rPr>
  </w:style>
  <w:style w:type="character" w:customStyle="1" w:styleId="Heading6Char">
    <w:name w:val="Heading 6 Char"/>
    <w:basedOn w:val="DefaultParagraphFont"/>
    <w:link w:val="Heading6"/>
    <w:rsid w:val="00BE2FD4"/>
    <w:rPr>
      <w:rFonts w:ascii="Times New Roman" w:eastAsia="Times New Roman" w:hAnsi="Times New Roman" w:cs="Times New Roman"/>
      <w:b/>
      <w:bCs/>
      <w:color w:val="000000"/>
      <w:sz w:val="20"/>
    </w:rPr>
  </w:style>
  <w:style w:type="character" w:customStyle="1" w:styleId="Heading7Char">
    <w:name w:val="Heading 7 Char"/>
    <w:basedOn w:val="DefaultParagraphFont"/>
    <w:link w:val="Heading7"/>
    <w:rsid w:val="00BE2FD4"/>
    <w:rPr>
      <w:rFonts w:ascii="Arial" w:eastAsia="Times New Roman" w:hAnsi="Arial" w:cs="Times New Roman"/>
      <w:color w:val="000000"/>
      <w:sz w:val="20"/>
      <w:szCs w:val="20"/>
    </w:rPr>
  </w:style>
  <w:style w:type="character" w:customStyle="1" w:styleId="Heading8Char">
    <w:name w:val="Heading 8 Char"/>
    <w:basedOn w:val="DefaultParagraphFont"/>
    <w:link w:val="Heading8"/>
    <w:rsid w:val="00BE2FD4"/>
    <w:rPr>
      <w:rFonts w:ascii="Arial" w:eastAsia="Times New Roman" w:hAnsi="Arial" w:cs="Times New Roman"/>
      <w:color w:val="000000"/>
      <w:sz w:val="20"/>
      <w:szCs w:val="20"/>
    </w:rPr>
  </w:style>
  <w:style w:type="character" w:customStyle="1" w:styleId="Heading9Char">
    <w:name w:val="Heading 9 Char"/>
    <w:basedOn w:val="DefaultParagraphFont"/>
    <w:link w:val="Heading9"/>
    <w:rsid w:val="00BE2FD4"/>
    <w:rPr>
      <w:rFonts w:ascii="Arial" w:eastAsia="Times New Roman" w:hAnsi="Arial" w:cs="Arial"/>
      <w:color w:val="000000"/>
      <w:sz w:val="20"/>
    </w:rPr>
  </w:style>
  <w:style w:type="paragraph" w:customStyle="1" w:styleId="CompanyName">
    <w:name w:val="Company Name"/>
    <w:basedOn w:val="Normal"/>
    <w:next w:val="Normal"/>
    <w:rsid w:val="00BE2FD4"/>
    <w:pPr>
      <w:spacing w:after="1080" w:line="260" w:lineRule="atLeast"/>
    </w:pPr>
    <w:rPr>
      <w:rFonts w:ascii="Arial" w:eastAsia="Times New Roman" w:hAnsi="Arial" w:cs="Times New Roman"/>
      <w:b/>
      <w:caps/>
      <w:color w:val="000000"/>
      <w:sz w:val="20"/>
      <w:szCs w:val="20"/>
    </w:rPr>
  </w:style>
  <w:style w:type="paragraph" w:customStyle="1" w:styleId="AddressBlock">
    <w:name w:val="Address Block"/>
    <w:basedOn w:val="Normal"/>
    <w:rsid w:val="00BE2FD4"/>
    <w:pPr>
      <w:spacing w:after="0" w:line="280" w:lineRule="atLeast"/>
    </w:pPr>
    <w:rPr>
      <w:rFonts w:ascii="Arial" w:eastAsia="Times New Roman" w:hAnsi="Arial" w:cs="Times New Roman"/>
      <w:color w:val="000000"/>
      <w:sz w:val="20"/>
      <w:szCs w:val="20"/>
    </w:rPr>
  </w:style>
  <w:style w:type="paragraph" w:customStyle="1" w:styleId="Signatories">
    <w:name w:val="Signatories"/>
    <w:basedOn w:val="Normal"/>
    <w:rsid w:val="00BE2FD4"/>
    <w:pPr>
      <w:tabs>
        <w:tab w:val="left" w:pos="5387"/>
      </w:tabs>
      <w:spacing w:after="0" w:line="240" w:lineRule="auto"/>
    </w:pPr>
    <w:rPr>
      <w:rFonts w:ascii="Arial" w:eastAsia="Times New Roman" w:hAnsi="Arial" w:cs="Times New Roman"/>
      <w:color w:val="000000"/>
      <w:sz w:val="20"/>
      <w:szCs w:val="20"/>
    </w:rPr>
  </w:style>
  <w:style w:type="paragraph" w:customStyle="1" w:styleId="GreenFooter">
    <w:name w:val="Green Footer"/>
    <w:basedOn w:val="Footer"/>
    <w:rsid w:val="00BE2FD4"/>
    <w:pPr>
      <w:tabs>
        <w:tab w:val="clear" w:pos="4513"/>
        <w:tab w:val="clear" w:pos="9026"/>
      </w:tabs>
      <w:spacing w:before="60" w:after="80"/>
    </w:pPr>
    <w:rPr>
      <w:rFonts w:ascii="Arial" w:eastAsia="Times New Roman" w:hAnsi="Arial" w:cs="Times New Roman"/>
      <w:b/>
      <w:color w:val="43B02A"/>
      <w:sz w:val="12"/>
      <w:szCs w:val="12"/>
    </w:rPr>
  </w:style>
  <w:style w:type="paragraph" w:customStyle="1" w:styleId="FooterCompanyName">
    <w:name w:val="Footer Company Name"/>
    <w:basedOn w:val="Footer"/>
    <w:rsid w:val="00BE2FD4"/>
    <w:pPr>
      <w:tabs>
        <w:tab w:val="clear" w:pos="4513"/>
        <w:tab w:val="clear" w:pos="9026"/>
      </w:tabs>
      <w:spacing w:after="160"/>
    </w:pPr>
    <w:rPr>
      <w:rFonts w:ascii="Arial" w:eastAsia="Times New Roman" w:hAnsi="Arial" w:cs="Times New Roman"/>
      <w:b/>
      <w:color w:val="000000"/>
      <w:sz w:val="12"/>
      <w:szCs w:val="12"/>
    </w:rPr>
  </w:style>
  <w:style w:type="paragraph" w:customStyle="1" w:styleId="CaptionFigures">
    <w:name w:val="Caption Figures"/>
    <w:basedOn w:val="Normal"/>
    <w:next w:val="Normal"/>
    <w:rsid w:val="00BE2FD4"/>
    <w:pPr>
      <w:tabs>
        <w:tab w:val="left" w:pos="851"/>
      </w:tabs>
      <w:spacing w:line="240" w:lineRule="auto"/>
    </w:pPr>
    <w:rPr>
      <w:rFonts w:ascii="Arial" w:eastAsia="Times New Roman" w:hAnsi="Arial" w:cs="Times New Roman"/>
      <w:b/>
      <w:bCs/>
      <w:color w:val="000000"/>
      <w:sz w:val="18"/>
      <w:szCs w:val="18"/>
    </w:rPr>
  </w:style>
  <w:style w:type="paragraph" w:customStyle="1" w:styleId="Bullets">
    <w:name w:val="Bullets"/>
    <w:basedOn w:val="Normal"/>
    <w:link w:val="BulletsChar"/>
    <w:qFormat/>
    <w:rsid w:val="00BE2FD4"/>
    <w:pPr>
      <w:numPr>
        <w:numId w:val="12"/>
      </w:numPr>
      <w:spacing w:after="160" w:line="280" w:lineRule="atLeast"/>
    </w:pPr>
    <w:rPr>
      <w:rFonts w:ascii="Arial" w:eastAsia="Times New Roman" w:hAnsi="Arial" w:cs="Times New Roman"/>
      <w:sz w:val="20"/>
      <w:szCs w:val="24"/>
    </w:rPr>
  </w:style>
  <w:style w:type="table" w:customStyle="1" w:styleId="GATableStyle">
    <w:name w:val="GA Table Style"/>
    <w:basedOn w:val="TableContemporary"/>
    <w:rsid w:val="00BE2FD4"/>
    <w:pPr>
      <w:spacing w:after="0"/>
      <w:contextualSpacing/>
    </w:pPr>
    <w:rPr>
      <w:rFonts w:ascii="Arial" w:hAnsi="Arial"/>
      <w:lang w:val="en-US" w:eastAsia="en-AU"/>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BE2FD4"/>
    <w:pPr>
      <w:spacing w:after="120" w:line="280" w:lineRule="atLeast"/>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IndentedText">
    <w:name w:val="Indented Text"/>
    <w:basedOn w:val="Normal"/>
    <w:rsid w:val="00BE2FD4"/>
    <w:pPr>
      <w:spacing w:after="160" w:line="280" w:lineRule="atLeast"/>
      <w:ind w:left="454"/>
    </w:pPr>
    <w:rPr>
      <w:rFonts w:ascii="Arial" w:eastAsia="Times New Roman" w:hAnsi="Arial" w:cs="Times New Roman"/>
      <w:color w:val="000000"/>
      <w:sz w:val="20"/>
      <w:szCs w:val="20"/>
    </w:rPr>
  </w:style>
  <w:style w:type="paragraph" w:customStyle="1" w:styleId="NumberedList">
    <w:name w:val="Numbered List"/>
    <w:basedOn w:val="Normal"/>
    <w:rsid w:val="00BE2FD4"/>
    <w:pPr>
      <w:numPr>
        <w:numId w:val="13"/>
      </w:numPr>
      <w:spacing w:after="160" w:line="280" w:lineRule="atLeast"/>
    </w:pPr>
    <w:rPr>
      <w:rFonts w:ascii="Arial" w:eastAsia="Times New Roman" w:hAnsi="Arial" w:cs="Times New Roman"/>
      <w:color w:val="000000"/>
      <w:sz w:val="20"/>
      <w:szCs w:val="20"/>
    </w:rPr>
  </w:style>
  <w:style w:type="paragraph" w:customStyle="1" w:styleId="RomanNumbered">
    <w:name w:val="Roman Numbered"/>
    <w:basedOn w:val="Smallletters"/>
    <w:rsid w:val="00BE2FD4"/>
    <w:pPr>
      <w:numPr>
        <w:numId w:val="14"/>
      </w:numPr>
    </w:pPr>
    <w:rPr>
      <w:szCs w:val="24"/>
    </w:rPr>
  </w:style>
  <w:style w:type="paragraph" w:customStyle="1" w:styleId="Smallletters">
    <w:name w:val="Small letters"/>
    <w:basedOn w:val="Normal"/>
    <w:rsid w:val="00BE2FD4"/>
    <w:pPr>
      <w:numPr>
        <w:numId w:val="15"/>
      </w:numPr>
      <w:spacing w:after="160" w:line="280" w:lineRule="atLeast"/>
    </w:pPr>
    <w:rPr>
      <w:rFonts w:ascii="Arial" w:eastAsia="Times New Roman" w:hAnsi="Arial" w:cs="Times New Roman"/>
      <w:color w:val="000000"/>
      <w:sz w:val="20"/>
      <w:szCs w:val="20"/>
    </w:rPr>
  </w:style>
  <w:style w:type="paragraph" w:customStyle="1" w:styleId="SmallTextBold">
    <w:name w:val="Small Text Bold"/>
    <w:basedOn w:val="Normal"/>
    <w:rsid w:val="00BE2FD4"/>
    <w:pPr>
      <w:spacing w:after="160" w:line="280" w:lineRule="atLeast"/>
    </w:pPr>
    <w:rPr>
      <w:rFonts w:ascii="Arial" w:eastAsia="Times New Roman" w:hAnsi="Arial" w:cs="Times New Roman"/>
      <w:b/>
      <w:color w:val="000000"/>
      <w:sz w:val="18"/>
      <w:szCs w:val="18"/>
    </w:rPr>
  </w:style>
  <w:style w:type="paragraph" w:customStyle="1" w:styleId="SmallTextNormal">
    <w:name w:val="Small Text Normal"/>
    <w:basedOn w:val="Normal"/>
    <w:rsid w:val="00BE2FD4"/>
    <w:pPr>
      <w:spacing w:after="160" w:line="280" w:lineRule="atLeast"/>
    </w:pPr>
    <w:rPr>
      <w:rFonts w:ascii="Arial" w:eastAsia="Times New Roman" w:hAnsi="Arial" w:cs="Times New Roman"/>
      <w:color w:val="000000"/>
      <w:sz w:val="18"/>
      <w:szCs w:val="18"/>
    </w:rPr>
  </w:style>
  <w:style w:type="paragraph" w:styleId="DocumentMap">
    <w:name w:val="Document Map"/>
    <w:basedOn w:val="Normal"/>
    <w:link w:val="DocumentMapChar"/>
    <w:semiHidden/>
    <w:rsid w:val="00BE2FD4"/>
    <w:pPr>
      <w:shd w:val="clear" w:color="auto" w:fill="000080"/>
      <w:spacing w:after="160" w:line="280" w:lineRule="atLeast"/>
    </w:pPr>
    <w:rPr>
      <w:rFonts w:ascii="Tahoma" w:eastAsia="Times New Roman" w:hAnsi="Tahoma" w:cs="Tahoma"/>
      <w:color w:val="000000"/>
      <w:sz w:val="20"/>
      <w:szCs w:val="20"/>
    </w:rPr>
  </w:style>
  <w:style w:type="character" w:customStyle="1" w:styleId="DocumentMapChar">
    <w:name w:val="Document Map Char"/>
    <w:basedOn w:val="DefaultParagraphFont"/>
    <w:link w:val="DocumentMap"/>
    <w:semiHidden/>
    <w:rsid w:val="00BE2FD4"/>
    <w:rPr>
      <w:rFonts w:ascii="Tahoma" w:eastAsia="Times New Roman" w:hAnsi="Tahoma" w:cs="Tahoma"/>
      <w:color w:val="000000"/>
      <w:sz w:val="20"/>
      <w:szCs w:val="20"/>
      <w:shd w:val="clear" w:color="auto" w:fill="000080"/>
    </w:rPr>
  </w:style>
  <w:style w:type="paragraph" w:customStyle="1" w:styleId="Initials">
    <w:name w:val="Initials"/>
    <w:basedOn w:val="Normal"/>
    <w:rsid w:val="00BE2FD4"/>
    <w:pPr>
      <w:spacing w:after="160" w:line="200" w:lineRule="atLeast"/>
    </w:pPr>
    <w:rPr>
      <w:rFonts w:ascii="Arial" w:eastAsia="Times New Roman" w:hAnsi="Arial" w:cs="Times New Roman"/>
      <w:color w:val="000000"/>
      <w:sz w:val="18"/>
      <w:szCs w:val="20"/>
    </w:rPr>
  </w:style>
  <w:style w:type="paragraph" w:customStyle="1" w:styleId="GANumberedHeading1">
    <w:name w:val="GA Numbered Heading 1"/>
    <w:basedOn w:val="Normal"/>
    <w:next w:val="Normal"/>
    <w:rsid w:val="00BE2FD4"/>
    <w:pPr>
      <w:keepNext/>
      <w:numPr>
        <w:numId w:val="16"/>
      </w:numPr>
      <w:spacing w:after="80" w:line="240" w:lineRule="atLeast"/>
      <w:outlineLvl w:val="0"/>
    </w:pPr>
    <w:rPr>
      <w:rFonts w:ascii="Arial" w:eastAsia="Times New Roman" w:hAnsi="Arial" w:cs="Times New Roman"/>
      <w:b/>
      <w:caps/>
      <w:color w:val="000000"/>
      <w:sz w:val="24"/>
      <w:szCs w:val="24"/>
    </w:rPr>
  </w:style>
  <w:style w:type="paragraph" w:customStyle="1" w:styleId="GANumberedHeading2">
    <w:name w:val="GA Numbered Heading 2"/>
    <w:basedOn w:val="Normal"/>
    <w:next w:val="Normal"/>
    <w:rsid w:val="00BE2FD4"/>
    <w:pPr>
      <w:keepNext/>
      <w:numPr>
        <w:ilvl w:val="1"/>
        <w:numId w:val="16"/>
      </w:numPr>
      <w:tabs>
        <w:tab w:val="left" w:pos="907"/>
      </w:tabs>
      <w:spacing w:after="80" w:line="240" w:lineRule="atLeast"/>
      <w:outlineLvl w:val="1"/>
    </w:pPr>
    <w:rPr>
      <w:rFonts w:ascii="Arial" w:eastAsia="Times New Roman" w:hAnsi="Arial" w:cs="Times New Roman"/>
      <w:b/>
      <w:color w:val="000000"/>
      <w:sz w:val="24"/>
      <w:szCs w:val="24"/>
    </w:rPr>
  </w:style>
  <w:style w:type="paragraph" w:customStyle="1" w:styleId="GANumberedHeading3">
    <w:name w:val="GA Numbered Heading 3"/>
    <w:basedOn w:val="Normal"/>
    <w:next w:val="Normal"/>
    <w:rsid w:val="00BE2FD4"/>
    <w:pPr>
      <w:keepNext/>
      <w:numPr>
        <w:ilvl w:val="2"/>
        <w:numId w:val="16"/>
      </w:numPr>
      <w:tabs>
        <w:tab w:val="left" w:pos="1021"/>
      </w:tabs>
      <w:spacing w:after="80" w:line="240" w:lineRule="atLeast"/>
      <w:outlineLvl w:val="2"/>
    </w:pPr>
    <w:rPr>
      <w:rFonts w:ascii="Arial" w:eastAsia="Times New Roman" w:hAnsi="Arial" w:cs="Times New Roman"/>
      <w:b/>
      <w:color w:val="000000"/>
    </w:rPr>
  </w:style>
  <w:style w:type="paragraph" w:customStyle="1" w:styleId="GANumberedHeading4">
    <w:name w:val="GA Numbered Heading 4"/>
    <w:basedOn w:val="Normal"/>
    <w:next w:val="Normal"/>
    <w:rsid w:val="00BE2FD4"/>
    <w:pPr>
      <w:keepNext/>
      <w:numPr>
        <w:ilvl w:val="3"/>
        <w:numId w:val="16"/>
      </w:numPr>
      <w:tabs>
        <w:tab w:val="left" w:pos="1247"/>
      </w:tabs>
      <w:spacing w:after="80" w:line="240" w:lineRule="atLeast"/>
      <w:outlineLvl w:val="3"/>
    </w:pPr>
    <w:rPr>
      <w:rFonts w:ascii="Arial" w:eastAsia="Times New Roman" w:hAnsi="Arial" w:cs="Times New Roman"/>
      <w:b/>
      <w:i/>
      <w:color w:val="000000"/>
      <w:szCs w:val="24"/>
    </w:rPr>
  </w:style>
  <w:style w:type="paragraph" w:customStyle="1" w:styleId="GANumberedHeading5">
    <w:name w:val="GA Numbered Heading 5"/>
    <w:basedOn w:val="Normal"/>
    <w:next w:val="Normal"/>
    <w:rsid w:val="00BE2FD4"/>
    <w:pPr>
      <w:keepNext/>
      <w:numPr>
        <w:ilvl w:val="4"/>
        <w:numId w:val="16"/>
      </w:numPr>
      <w:tabs>
        <w:tab w:val="left" w:pos="1418"/>
      </w:tabs>
      <w:spacing w:after="80" w:line="240" w:lineRule="atLeast"/>
      <w:outlineLvl w:val="4"/>
    </w:pPr>
    <w:rPr>
      <w:rFonts w:ascii="Arial" w:eastAsia="Times New Roman" w:hAnsi="Arial" w:cs="Times New Roman"/>
      <w:b/>
      <w:color w:val="000000"/>
      <w:sz w:val="20"/>
    </w:rPr>
  </w:style>
  <w:style w:type="paragraph" w:customStyle="1" w:styleId="GANumberedHeading6">
    <w:name w:val="GA Numbered Heading 6"/>
    <w:basedOn w:val="Normal"/>
    <w:next w:val="Normal"/>
    <w:rsid w:val="00BE2FD4"/>
    <w:pPr>
      <w:keepNext/>
      <w:numPr>
        <w:ilvl w:val="5"/>
        <w:numId w:val="16"/>
      </w:numPr>
      <w:tabs>
        <w:tab w:val="left" w:pos="1588"/>
      </w:tabs>
      <w:spacing w:after="80" w:line="240" w:lineRule="atLeast"/>
      <w:outlineLvl w:val="5"/>
    </w:pPr>
    <w:rPr>
      <w:rFonts w:ascii="Arial" w:eastAsia="Times New Roman" w:hAnsi="Arial" w:cs="Times New Roman"/>
      <w:b/>
      <w:i/>
      <w:color w:val="000000"/>
      <w:sz w:val="20"/>
    </w:rPr>
  </w:style>
  <w:style w:type="paragraph" w:customStyle="1" w:styleId="GAcaption">
    <w:name w:val="GA caption"/>
    <w:basedOn w:val="Caption"/>
    <w:next w:val="Normal"/>
    <w:rsid w:val="00BE2FD4"/>
    <w:pPr>
      <w:spacing w:after="160" w:line="200" w:lineRule="atLeast"/>
    </w:pPr>
    <w:rPr>
      <w:rFonts w:ascii="Arial" w:eastAsia="Times New Roman" w:hAnsi="Arial" w:cs="Times New Roman"/>
      <w:color w:val="000000"/>
      <w:szCs w:val="20"/>
    </w:rPr>
  </w:style>
  <w:style w:type="paragraph" w:customStyle="1" w:styleId="AwardsFooter">
    <w:name w:val="Awards Footer"/>
    <w:basedOn w:val="Footer"/>
    <w:next w:val="Footer"/>
    <w:rsid w:val="00BE2FD4"/>
    <w:pPr>
      <w:tabs>
        <w:tab w:val="clear" w:pos="4513"/>
        <w:tab w:val="clear" w:pos="9026"/>
      </w:tabs>
      <w:spacing w:before="480" w:after="160"/>
    </w:pPr>
    <w:rPr>
      <w:rFonts w:ascii="Arial" w:eastAsia="Times New Roman" w:hAnsi="Arial" w:cs="Times New Roman"/>
      <w:color w:val="000000"/>
      <w:sz w:val="12"/>
      <w:szCs w:val="12"/>
    </w:rPr>
  </w:style>
  <w:style w:type="paragraph" w:customStyle="1" w:styleId="FilePath">
    <w:name w:val="FilePath"/>
    <w:basedOn w:val="Normal"/>
    <w:next w:val="Normal"/>
    <w:rsid w:val="00BE2FD4"/>
    <w:pPr>
      <w:spacing w:after="160" w:line="240" w:lineRule="auto"/>
    </w:pPr>
    <w:rPr>
      <w:rFonts w:ascii="Arial" w:eastAsia="Times New Roman" w:hAnsi="Arial" w:cs="Arial"/>
      <w:color w:val="000000"/>
      <w:sz w:val="12"/>
      <w:szCs w:val="12"/>
    </w:rPr>
  </w:style>
  <w:style w:type="paragraph" w:customStyle="1" w:styleId="CaptionTables">
    <w:name w:val="Caption Tables"/>
    <w:basedOn w:val="Normal"/>
    <w:next w:val="Normal"/>
    <w:rsid w:val="00BE2FD4"/>
    <w:pPr>
      <w:keepNext/>
      <w:tabs>
        <w:tab w:val="left" w:pos="851"/>
      </w:tabs>
      <w:spacing w:after="60" w:line="240" w:lineRule="auto"/>
    </w:pPr>
    <w:rPr>
      <w:rFonts w:ascii="Arial" w:eastAsia="Times New Roman" w:hAnsi="Arial" w:cs="Times New Roman"/>
      <w:b/>
      <w:bCs/>
      <w:color w:val="000000"/>
      <w:sz w:val="18"/>
    </w:rPr>
  </w:style>
  <w:style w:type="paragraph" w:customStyle="1" w:styleId="TableCells">
    <w:name w:val="Table Cells"/>
    <w:basedOn w:val="Normal"/>
    <w:rsid w:val="00BE2FD4"/>
    <w:pPr>
      <w:spacing w:after="0" w:line="280" w:lineRule="atLeast"/>
    </w:pPr>
    <w:rPr>
      <w:rFonts w:ascii="Arial" w:eastAsia="Times New Roman" w:hAnsi="Arial" w:cs="Times New Roman"/>
      <w:color w:val="000000"/>
      <w:sz w:val="20"/>
      <w:szCs w:val="20"/>
    </w:rPr>
  </w:style>
  <w:style w:type="paragraph" w:styleId="NormalWeb">
    <w:name w:val="Normal (Web)"/>
    <w:basedOn w:val="Normal"/>
    <w:uiPriority w:val="99"/>
    <w:semiHidden/>
    <w:unhideWhenUsed/>
    <w:rsid w:val="00BE2FD4"/>
    <w:pPr>
      <w:spacing w:before="100" w:beforeAutospacing="1" w:after="100" w:afterAutospacing="1" w:line="240" w:lineRule="auto"/>
    </w:pPr>
    <w:rPr>
      <w:rFonts w:ascii="Times New Roman" w:eastAsiaTheme="minorEastAsia" w:hAnsi="Times New Roman" w:cs="Times New Roman"/>
      <w:color w:val="000000"/>
      <w:sz w:val="24"/>
      <w:szCs w:val="24"/>
      <w:lang w:eastAsia="en-GB"/>
    </w:rPr>
  </w:style>
  <w:style w:type="paragraph" w:styleId="HTMLPreformatted">
    <w:name w:val="HTML Preformatted"/>
    <w:basedOn w:val="Normal"/>
    <w:link w:val="HTMLPreformattedChar"/>
    <w:semiHidden/>
    <w:unhideWhenUsed/>
    <w:rsid w:val="00BE2FD4"/>
    <w:pPr>
      <w:spacing w:after="160" w:line="240" w:lineRule="auto"/>
    </w:pPr>
    <w:rPr>
      <w:rFonts w:ascii="Consolas" w:eastAsia="Times New Roman" w:hAnsi="Consolas" w:cs="Times New Roman"/>
      <w:color w:val="000000"/>
      <w:sz w:val="20"/>
      <w:szCs w:val="20"/>
    </w:rPr>
  </w:style>
  <w:style w:type="character" w:customStyle="1" w:styleId="HTMLPreformattedChar">
    <w:name w:val="HTML Preformatted Char"/>
    <w:basedOn w:val="DefaultParagraphFont"/>
    <w:link w:val="HTMLPreformatted"/>
    <w:semiHidden/>
    <w:rsid w:val="00BE2FD4"/>
    <w:rPr>
      <w:rFonts w:ascii="Consolas" w:eastAsia="Times New Roman" w:hAnsi="Consolas" w:cs="Times New Roman"/>
      <w:color w:val="000000"/>
      <w:sz w:val="20"/>
      <w:szCs w:val="20"/>
    </w:rPr>
  </w:style>
  <w:style w:type="paragraph" w:customStyle="1" w:styleId="Subject">
    <w:name w:val="Subject"/>
    <w:basedOn w:val="Normal"/>
    <w:rsid w:val="00BE2FD4"/>
    <w:pPr>
      <w:spacing w:before="120" w:after="0" w:line="240" w:lineRule="auto"/>
    </w:pPr>
    <w:rPr>
      <w:rFonts w:ascii="Arial" w:eastAsia="Times New Roman" w:hAnsi="Arial" w:cs="Times New Roman"/>
      <w:b/>
      <w:bCs/>
      <w:caps/>
      <w:color w:val="000000"/>
      <w:sz w:val="20"/>
      <w:szCs w:val="20"/>
    </w:rPr>
  </w:style>
  <w:style w:type="paragraph" w:customStyle="1" w:styleId="SignatureTitle">
    <w:name w:val="Signature Title"/>
    <w:basedOn w:val="Signatories"/>
    <w:rsid w:val="00BE2FD4"/>
    <w:pPr>
      <w:tabs>
        <w:tab w:val="clear" w:pos="5387"/>
        <w:tab w:val="left" w:pos="4820"/>
      </w:tabs>
    </w:pPr>
    <w:rPr>
      <w:i/>
      <w:sz w:val="18"/>
    </w:rPr>
  </w:style>
  <w:style w:type="paragraph" w:customStyle="1" w:styleId="Greeting">
    <w:name w:val="Greeting"/>
    <w:basedOn w:val="Normal"/>
    <w:rsid w:val="00BE2FD4"/>
    <w:pPr>
      <w:spacing w:before="360" w:after="120" w:line="280" w:lineRule="atLeast"/>
    </w:pPr>
    <w:rPr>
      <w:rFonts w:ascii="Arial" w:eastAsia="Times New Roman" w:hAnsi="Arial" w:cs="Times New Roman"/>
      <w:color w:val="000000"/>
      <w:sz w:val="20"/>
      <w:szCs w:val="20"/>
    </w:rPr>
  </w:style>
  <w:style w:type="paragraph" w:customStyle="1" w:styleId="CCTable">
    <w:name w:val="CC Table"/>
    <w:basedOn w:val="Normal"/>
    <w:rsid w:val="00BE2FD4"/>
    <w:pPr>
      <w:spacing w:after="160" w:line="240" w:lineRule="auto"/>
    </w:pPr>
    <w:rPr>
      <w:rFonts w:ascii="Arial" w:eastAsia="Times New Roman" w:hAnsi="Arial" w:cs="Times New Roman"/>
      <w:color w:val="000000"/>
      <w:sz w:val="20"/>
      <w:szCs w:val="20"/>
    </w:rPr>
  </w:style>
  <w:style w:type="table" w:styleId="ColorfulGrid-Accent2">
    <w:name w:val="Colorful Grid Accent 2"/>
    <w:basedOn w:val="TableNormal"/>
    <w:uiPriority w:val="73"/>
    <w:semiHidden/>
    <w:unhideWhenUsed/>
    <w:rsid w:val="00BE2FD4"/>
    <w:pPr>
      <w:spacing w:after="0" w:line="240" w:lineRule="auto"/>
    </w:pPr>
    <w:rPr>
      <w:rFonts w:ascii="Times New Roman" w:eastAsia="Times New Roman" w:hAnsi="Times New Roman" w:cs="Times New Roman"/>
      <w:color w:val="000000" w:themeColor="text1"/>
      <w:sz w:val="20"/>
      <w:szCs w:val="20"/>
      <w:lang w:val="en-GB" w:eastAsia="en-GB"/>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Style2">
    <w:name w:val="Style2"/>
    <w:uiPriority w:val="99"/>
    <w:rsid w:val="00BE2FD4"/>
    <w:pPr>
      <w:numPr>
        <w:numId w:val="17"/>
      </w:numPr>
    </w:pPr>
  </w:style>
  <w:style w:type="numbering" w:customStyle="1" w:styleId="Style3">
    <w:name w:val="Style3"/>
    <w:uiPriority w:val="99"/>
    <w:rsid w:val="00BE2FD4"/>
    <w:pPr>
      <w:numPr>
        <w:numId w:val="18"/>
      </w:numPr>
    </w:pPr>
  </w:style>
  <w:style w:type="numbering" w:customStyle="1" w:styleId="Style4">
    <w:name w:val="Style4"/>
    <w:uiPriority w:val="99"/>
    <w:rsid w:val="00BE2FD4"/>
    <w:pPr>
      <w:numPr>
        <w:numId w:val="19"/>
      </w:numPr>
    </w:pPr>
  </w:style>
  <w:style w:type="numbering" w:customStyle="1" w:styleId="GolderBullets">
    <w:name w:val="Golder_Bullets"/>
    <w:uiPriority w:val="99"/>
    <w:rsid w:val="00BE2FD4"/>
    <w:pPr>
      <w:numPr>
        <w:numId w:val="20"/>
      </w:numPr>
    </w:pPr>
  </w:style>
  <w:style w:type="numbering" w:customStyle="1" w:styleId="Style5">
    <w:name w:val="Style5"/>
    <w:uiPriority w:val="99"/>
    <w:rsid w:val="00BE2FD4"/>
    <w:pPr>
      <w:numPr>
        <w:numId w:val="21"/>
      </w:numPr>
    </w:pPr>
  </w:style>
  <w:style w:type="numbering" w:customStyle="1" w:styleId="StyleOutlinenumberedWingdings2symbol8ptCustomColorRG">
    <w:name w:val="Style Outline numbered Wingdings 2 (symbol) 8 pt Custom Color(RG..."/>
    <w:basedOn w:val="NoList"/>
    <w:rsid w:val="00BE2FD4"/>
    <w:pPr>
      <w:numPr>
        <w:numId w:val="22"/>
      </w:numPr>
    </w:pPr>
  </w:style>
  <w:style w:type="numbering" w:customStyle="1" w:styleId="StyleOutlinenumberedWingdings2symbol8ptCustomColorRG1">
    <w:name w:val="Style Outline numbered Wingdings 2 (symbol) 8 pt Custom Color(RG...1"/>
    <w:basedOn w:val="NoList"/>
    <w:rsid w:val="00BE2FD4"/>
    <w:pPr>
      <w:numPr>
        <w:numId w:val="23"/>
      </w:numPr>
    </w:pPr>
  </w:style>
  <w:style w:type="paragraph" w:customStyle="1" w:styleId="MemoTitle">
    <w:name w:val="Memo Title"/>
    <w:basedOn w:val="Normal"/>
    <w:rsid w:val="00BE2FD4"/>
    <w:pPr>
      <w:framePr w:hSpace="181" w:wrap="around" w:vAnchor="page" w:hAnchor="page" w:x="1135" w:y="2439"/>
      <w:spacing w:after="120" w:line="220" w:lineRule="atLeast"/>
      <w:suppressOverlap/>
      <w:jc w:val="right"/>
    </w:pPr>
    <w:rPr>
      <w:rFonts w:ascii="Arial" w:eastAsia="Times New Roman" w:hAnsi="Arial" w:cs="Times New Roman"/>
      <w:b/>
      <w:color w:val="000000"/>
      <w:sz w:val="28"/>
    </w:rPr>
  </w:style>
  <w:style w:type="paragraph" w:customStyle="1" w:styleId="MailTableTitles">
    <w:name w:val="Mail Table Titles"/>
    <w:basedOn w:val="Normal"/>
    <w:rsid w:val="00BE2FD4"/>
    <w:pPr>
      <w:spacing w:before="40" w:after="0" w:line="240" w:lineRule="auto"/>
    </w:pPr>
    <w:rPr>
      <w:rFonts w:ascii="Arial" w:eastAsia="Times New Roman" w:hAnsi="Arial" w:cs="Times New Roman"/>
      <w:b/>
      <w:bCs/>
      <w:caps/>
      <w:color w:val="000000"/>
      <w:sz w:val="20"/>
      <w:szCs w:val="20"/>
    </w:rPr>
  </w:style>
  <w:style w:type="paragraph" w:customStyle="1" w:styleId="AppendixLabelEN">
    <w:name w:val="Appendix Label EN"/>
    <w:basedOn w:val="Normal"/>
    <w:next w:val="Normal"/>
    <w:rsid w:val="00BE2FD4"/>
    <w:pPr>
      <w:numPr>
        <w:numId w:val="24"/>
      </w:numPr>
      <w:spacing w:before="3720" w:after="240" w:line="280" w:lineRule="atLeast"/>
      <w:jc w:val="right"/>
    </w:pPr>
    <w:rPr>
      <w:rFonts w:ascii="Arial" w:eastAsia="Times New Roman" w:hAnsi="Arial" w:cs="Times New Roman"/>
      <w:b/>
      <w:color w:val="000000"/>
      <w:sz w:val="20"/>
      <w:szCs w:val="20"/>
      <w:lang w:val="en-CA"/>
    </w:rPr>
  </w:style>
  <w:style w:type="paragraph" w:customStyle="1" w:styleId="AppendixLabelFR">
    <w:name w:val="Appendix Label FR"/>
    <w:basedOn w:val="Normal"/>
    <w:next w:val="Normal"/>
    <w:rsid w:val="00BE2FD4"/>
    <w:pPr>
      <w:numPr>
        <w:numId w:val="25"/>
      </w:numPr>
      <w:spacing w:before="3720" w:after="240" w:line="280" w:lineRule="atLeast"/>
      <w:jc w:val="right"/>
    </w:pPr>
    <w:rPr>
      <w:rFonts w:ascii="Arial" w:eastAsia="Times New Roman" w:hAnsi="Arial" w:cs="Times New Roman"/>
      <w:b/>
      <w:color w:val="000000"/>
      <w:sz w:val="20"/>
      <w:szCs w:val="20"/>
      <w:lang w:val="en-CA"/>
    </w:rPr>
  </w:style>
  <w:style w:type="paragraph" w:customStyle="1" w:styleId="AppendixLabelSP-SA">
    <w:name w:val="Appendix Label SP-SA"/>
    <w:basedOn w:val="Normal"/>
    <w:next w:val="Normal"/>
    <w:rsid w:val="00BE2FD4"/>
    <w:pPr>
      <w:numPr>
        <w:numId w:val="26"/>
      </w:numPr>
      <w:spacing w:before="3720" w:after="240" w:line="280" w:lineRule="atLeast"/>
      <w:jc w:val="right"/>
    </w:pPr>
    <w:rPr>
      <w:rFonts w:ascii="Arial" w:eastAsia="Times New Roman" w:hAnsi="Arial" w:cs="Times New Roman"/>
      <w:b/>
      <w:caps/>
      <w:color w:val="000000"/>
      <w:sz w:val="20"/>
      <w:szCs w:val="20"/>
      <w:lang w:val="en-CA"/>
    </w:rPr>
  </w:style>
  <w:style w:type="paragraph" w:customStyle="1" w:styleId="AppendixTitle">
    <w:name w:val="Appendix Title"/>
    <w:basedOn w:val="Normal"/>
    <w:next w:val="Normal"/>
    <w:rsid w:val="00BE2FD4"/>
    <w:pPr>
      <w:spacing w:after="160" w:line="480" w:lineRule="exact"/>
      <w:ind w:left="3686"/>
      <w:jc w:val="right"/>
    </w:pPr>
    <w:rPr>
      <w:rFonts w:ascii="Arial" w:eastAsia="Times New Roman" w:hAnsi="Arial" w:cs="Times New Roman"/>
      <w:color w:val="43B02A"/>
      <w:sz w:val="40"/>
      <w:szCs w:val="20"/>
    </w:rPr>
  </w:style>
  <w:style w:type="paragraph" w:customStyle="1" w:styleId="RecipientName">
    <w:name w:val="Recipient Name"/>
    <w:basedOn w:val="Normal"/>
    <w:rsid w:val="00BE2FD4"/>
    <w:pPr>
      <w:spacing w:after="120" w:line="280" w:lineRule="atLeast"/>
    </w:pPr>
    <w:rPr>
      <w:rFonts w:ascii="Arial" w:eastAsia="Times New Roman" w:hAnsi="Arial" w:cs="Times New Roman"/>
      <w:b/>
      <w:bCs/>
      <w:color w:val="auto"/>
      <w:sz w:val="20"/>
      <w:szCs w:val="20"/>
    </w:rPr>
  </w:style>
  <w:style w:type="paragraph" w:customStyle="1" w:styleId="TopofLetterhead">
    <w:name w:val="Top of Letterhead"/>
    <w:basedOn w:val="Normal"/>
    <w:rsid w:val="00BE2FD4"/>
    <w:pPr>
      <w:spacing w:before="480" w:after="240" w:line="280" w:lineRule="atLeast"/>
    </w:pPr>
    <w:rPr>
      <w:rFonts w:ascii="Arial" w:eastAsia="Times New Roman" w:hAnsi="Arial" w:cs="Times New Roman"/>
      <w:color w:val="auto"/>
      <w:sz w:val="20"/>
      <w:szCs w:val="20"/>
    </w:rPr>
  </w:style>
  <w:style w:type="paragraph" w:customStyle="1" w:styleId="TypeHere">
    <w:name w:val="Type Here"/>
    <w:basedOn w:val="Normal"/>
    <w:next w:val="Normal"/>
    <w:rsid w:val="00BE2FD4"/>
    <w:pPr>
      <w:spacing w:after="120" w:line="280" w:lineRule="atLeast"/>
    </w:pPr>
    <w:rPr>
      <w:rFonts w:ascii="Arial" w:eastAsia="Times New Roman" w:hAnsi="Arial" w:cs="Times New Roman"/>
      <w:color w:val="auto"/>
      <w:sz w:val="20"/>
      <w:szCs w:val="20"/>
    </w:rPr>
  </w:style>
  <w:style w:type="paragraph" w:customStyle="1" w:styleId="MainTableText">
    <w:name w:val="Main Table Text"/>
    <w:basedOn w:val="Normal"/>
    <w:rsid w:val="00BE2FD4"/>
    <w:pPr>
      <w:framePr w:hSpace="181" w:wrap="around" w:vAnchor="page" w:hAnchor="page" w:x="1078" w:y="2439"/>
      <w:spacing w:after="0" w:line="240" w:lineRule="auto"/>
      <w:suppressOverlap/>
    </w:pPr>
    <w:rPr>
      <w:rFonts w:ascii="Arial" w:eastAsia="Times New Roman" w:hAnsi="Arial" w:cs="Times New Roman"/>
      <w:color w:val="000000"/>
      <w:sz w:val="20"/>
      <w:szCs w:val="20"/>
    </w:rPr>
  </w:style>
  <w:style w:type="paragraph" w:customStyle="1" w:styleId="SpacerLine">
    <w:name w:val="Spacer Line"/>
    <w:basedOn w:val="Normal"/>
    <w:rsid w:val="00BE2FD4"/>
    <w:pPr>
      <w:spacing w:before="360" w:after="360" w:line="280" w:lineRule="atLeast"/>
    </w:pPr>
    <w:rPr>
      <w:rFonts w:ascii="Arial" w:eastAsia="Times New Roman" w:hAnsi="Arial" w:cs="Times New Roman"/>
      <w:color w:val="000000"/>
      <w:sz w:val="20"/>
      <w:szCs w:val="20"/>
    </w:rPr>
  </w:style>
  <w:style w:type="paragraph" w:customStyle="1" w:styleId="StyleMailTableTitlesRight">
    <w:name w:val="Style Mail Table Titles + Right"/>
    <w:basedOn w:val="MailTableTitles"/>
    <w:rsid w:val="00BE2FD4"/>
    <w:pPr>
      <w:jc w:val="right"/>
    </w:pPr>
    <w:rPr>
      <w:caps w:val="0"/>
    </w:rPr>
  </w:style>
  <w:style w:type="table" w:customStyle="1" w:styleId="GATableStyle1">
    <w:name w:val="GA Table Style1"/>
    <w:basedOn w:val="TableContemporary"/>
    <w:rsid w:val="00BE2FD4"/>
    <w:pPr>
      <w:spacing w:after="100" w:afterAutospacing="1"/>
      <w:contextualSpacing/>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istribution">
    <w:name w:val="Distribution"/>
    <w:basedOn w:val="Normal"/>
    <w:next w:val="Normal"/>
    <w:rsid w:val="00BE2FD4"/>
    <w:pPr>
      <w:spacing w:after="0" w:line="240" w:lineRule="atLeast"/>
    </w:pPr>
    <w:rPr>
      <w:rFonts w:ascii="Arial" w:eastAsia="Times New Roman" w:hAnsi="Arial" w:cs="Times New Roman"/>
      <w:b/>
      <w:bCs/>
      <w:color w:val="auto"/>
      <w:sz w:val="20"/>
      <w:szCs w:val="20"/>
    </w:rPr>
  </w:style>
  <w:style w:type="table" w:customStyle="1" w:styleId="GATableStyle2">
    <w:name w:val="GA Table Style2"/>
    <w:basedOn w:val="TableContemporary"/>
    <w:rsid w:val="00BE2FD4"/>
    <w:pPr>
      <w:spacing w:after="100" w:afterAutospacing="1"/>
      <w:contextualSpacing/>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ATableStyle3">
    <w:name w:val="GA Table Style3"/>
    <w:basedOn w:val="TableContemporary"/>
    <w:rsid w:val="00BE2FD4"/>
    <w:pPr>
      <w:spacing w:after="100" w:afterAutospacing="1"/>
      <w:contextualSpacing/>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ATableStyle4">
    <w:name w:val="GA Table Style4"/>
    <w:basedOn w:val="TableContemporary"/>
    <w:rsid w:val="00BE2FD4"/>
    <w:pPr>
      <w:spacing w:after="100" w:afterAutospacing="1"/>
      <w:contextualSpacing/>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ATableStyle5">
    <w:name w:val="GA Table Style5"/>
    <w:basedOn w:val="TableContemporary"/>
    <w:rsid w:val="00BE2FD4"/>
    <w:pPr>
      <w:spacing w:after="100" w:afterAutospacing="1"/>
      <w:contextualSpacing/>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ATableStyle6">
    <w:name w:val="GA Table Style6"/>
    <w:basedOn w:val="TableContemporary"/>
    <w:rsid w:val="00BE2FD4"/>
    <w:pPr>
      <w:spacing w:after="100" w:afterAutospacing="1"/>
      <w:contextualSpacing/>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ATableStyle7">
    <w:name w:val="GA Table Style7"/>
    <w:basedOn w:val="TableContemporary"/>
    <w:rsid w:val="00BE2FD4"/>
    <w:pPr>
      <w:spacing w:after="100" w:afterAutospacing="1"/>
      <w:contextualSpacing/>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GAAppendixHeading">
    <w:name w:val="GA Appendix Heading"/>
    <w:basedOn w:val="Normal"/>
    <w:next w:val="AppendixTitle"/>
    <w:autoRedefine/>
    <w:rsid w:val="00BE2FD4"/>
    <w:pPr>
      <w:numPr>
        <w:numId w:val="27"/>
      </w:numPr>
      <w:spacing w:before="3720" w:after="240" w:line="240" w:lineRule="auto"/>
      <w:jc w:val="right"/>
    </w:pPr>
    <w:rPr>
      <w:rFonts w:ascii="Arial" w:hAnsi="Arial" w:cs="Times New Roman"/>
      <w:b/>
      <w:caps/>
      <w:sz w:val="20"/>
      <w:szCs w:val="20"/>
    </w:rPr>
  </w:style>
  <w:style w:type="paragraph" w:customStyle="1" w:styleId="TableHeaderRow">
    <w:name w:val="Table Header Row"/>
    <w:basedOn w:val="Normal"/>
    <w:rsid w:val="00BE2FD4"/>
    <w:pPr>
      <w:spacing w:before="80" w:after="80" w:line="240" w:lineRule="auto"/>
    </w:pPr>
    <w:rPr>
      <w:rFonts w:ascii="Arial" w:eastAsia="Times New Roman" w:hAnsi="Arial" w:cs="Times New Roman"/>
      <w:b/>
      <w:color w:val="auto"/>
      <w:sz w:val="20"/>
      <w:szCs w:val="24"/>
    </w:rPr>
  </w:style>
  <w:style w:type="paragraph" w:customStyle="1" w:styleId="GAStandardH1Italic">
    <w:name w:val="GA Standard H1 Italic"/>
    <w:basedOn w:val="Normal"/>
    <w:next w:val="Normal"/>
    <w:rsid w:val="00BE2FD4"/>
    <w:pPr>
      <w:spacing w:after="80" w:line="240" w:lineRule="atLeast"/>
      <w:jc w:val="both"/>
    </w:pPr>
    <w:rPr>
      <w:rFonts w:ascii="Arial" w:eastAsia="Times New Roman" w:hAnsi="Arial" w:cs="Times New Roman"/>
      <w:b/>
      <w:i/>
      <w:color w:val="000000"/>
      <w:sz w:val="24"/>
      <w:szCs w:val="20"/>
    </w:rPr>
  </w:style>
  <w:style w:type="paragraph" w:customStyle="1" w:styleId="GAStandardH1Normal">
    <w:name w:val="GA Standard H1 Normal"/>
    <w:basedOn w:val="Normal"/>
    <w:next w:val="Normal"/>
    <w:rsid w:val="00BE2FD4"/>
    <w:pPr>
      <w:spacing w:after="80" w:line="240" w:lineRule="atLeast"/>
      <w:jc w:val="both"/>
    </w:pPr>
    <w:rPr>
      <w:rFonts w:ascii="Arial" w:eastAsia="Times New Roman" w:hAnsi="Arial" w:cs="Times New Roman"/>
      <w:b/>
      <w:color w:val="000000"/>
      <w:sz w:val="24"/>
      <w:szCs w:val="20"/>
    </w:rPr>
  </w:style>
  <w:style w:type="paragraph" w:customStyle="1" w:styleId="GAStandardH2Italic">
    <w:name w:val="GA Standard H2 Italic"/>
    <w:basedOn w:val="Normal"/>
    <w:next w:val="Normal"/>
    <w:rsid w:val="00BE2FD4"/>
    <w:pPr>
      <w:spacing w:after="80" w:line="240" w:lineRule="atLeast"/>
      <w:jc w:val="both"/>
    </w:pPr>
    <w:rPr>
      <w:rFonts w:ascii="Arial" w:eastAsia="Times New Roman" w:hAnsi="Arial" w:cs="Times New Roman"/>
      <w:b/>
      <w:i/>
      <w:color w:val="000000"/>
      <w:szCs w:val="20"/>
    </w:rPr>
  </w:style>
  <w:style w:type="paragraph" w:customStyle="1" w:styleId="GAStandardH2Normal">
    <w:name w:val="GA Standard H2 Normal"/>
    <w:basedOn w:val="Normal"/>
    <w:next w:val="Normal"/>
    <w:rsid w:val="00BE2FD4"/>
    <w:pPr>
      <w:spacing w:after="80" w:line="240" w:lineRule="atLeast"/>
      <w:jc w:val="both"/>
    </w:pPr>
    <w:rPr>
      <w:rFonts w:ascii="Arial" w:eastAsia="Times New Roman" w:hAnsi="Arial" w:cs="Times New Roman"/>
      <w:b/>
      <w:color w:val="000000"/>
      <w:szCs w:val="20"/>
    </w:rPr>
  </w:style>
  <w:style w:type="character" w:customStyle="1" w:styleId="BulletsChar">
    <w:name w:val="Bullets Char"/>
    <w:basedOn w:val="DefaultParagraphFont"/>
    <w:link w:val="Bullets"/>
    <w:locked/>
    <w:rsid w:val="00BE2FD4"/>
    <w:rPr>
      <w:rFonts w:ascii="Arial" w:eastAsia="Times New Roman" w:hAnsi="Arial" w:cs="Times New Roman"/>
      <w:color w:val="000000" w:themeColor="text1"/>
      <w:sz w:val="20"/>
      <w:szCs w:val="24"/>
    </w:rPr>
  </w:style>
  <w:style w:type="paragraph" w:customStyle="1" w:styleId="Default">
    <w:name w:val="Default"/>
    <w:rsid w:val="00BE2FD4"/>
    <w:pPr>
      <w:autoSpaceDE w:val="0"/>
      <w:autoSpaceDN w:val="0"/>
      <w:adjustRightInd w:val="0"/>
      <w:spacing w:after="0" w:line="240" w:lineRule="auto"/>
    </w:pPr>
    <w:rPr>
      <w:rFonts w:ascii="Interstate-Bold" w:eastAsia="Times New Roman" w:hAnsi="Interstate-Bold" w:cs="Interstate-Bold"/>
      <w:color w:val="000000"/>
      <w:sz w:val="24"/>
      <w:szCs w:val="24"/>
      <w:lang w:val="en-US" w:eastAsia="en-GB"/>
    </w:rPr>
  </w:style>
  <w:style w:type="paragraph" w:styleId="Revision">
    <w:name w:val="Revision"/>
    <w:hidden/>
    <w:uiPriority w:val="99"/>
    <w:semiHidden/>
    <w:rsid w:val="00BE2FD4"/>
    <w:pPr>
      <w:spacing w:after="0" w:line="240" w:lineRule="auto"/>
    </w:pPr>
    <w:rPr>
      <w:rFonts w:ascii="Arial" w:eastAsia="Times New Roman" w:hAnsi="Arial" w:cs="Times New Roman"/>
      <w:color w:val="000000"/>
      <w:sz w:val="20"/>
      <w:szCs w:val="20"/>
    </w:rPr>
  </w:style>
  <w:style w:type="paragraph" w:customStyle="1" w:styleId="H3">
    <w:name w:val="H3"/>
    <w:basedOn w:val="Normal"/>
    <w:link w:val="H3Char"/>
    <w:qFormat/>
    <w:rsid w:val="00BE2FD4"/>
    <w:pPr>
      <w:spacing w:after="0" w:line="240" w:lineRule="auto"/>
    </w:pPr>
    <w:rPr>
      <w:rFonts w:ascii="Arial" w:eastAsia="Times New Roman" w:hAnsi="Arial" w:cs="Times New Roman"/>
      <w:b/>
      <w:color w:val="004EA8"/>
      <w:sz w:val="24"/>
      <w:szCs w:val="24"/>
    </w:rPr>
  </w:style>
  <w:style w:type="character" w:customStyle="1" w:styleId="H3Char">
    <w:name w:val="H3 Char"/>
    <w:basedOn w:val="DefaultParagraphFont"/>
    <w:link w:val="H3"/>
    <w:rsid w:val="00BE2FD4"/>
    <w:rPr>
      <w:rFonts w:ascii="Arial" w:eastAsia="Times New Roman" w:hAnsi="Arial" w:cs="Times New Roman"/>
      <w:b/>
      <w:color w:val="004EA8"/>
      <w:sz w:val="24"/>
      <w:szCs w:val="24"/>
    </w:rPr>
  </w:style>
  <w:style w:type="paragraph" w:styleId="PlainText">
    <w:name w:val="Plain Text"/>
    <w:basedOn w:val="Normal"/>
    <w:link w:val="PlainTextChar"/>
    <w:uiPriority w:val="99"/>
    <w:unhideWhenUsed/>
    <w:rsid w:val="00F476E6"/>
    <w:pPr>
      <w:spacing w:after="0" w:line="240" w:lineRule="auto"/>
    </w:pPr>
    <w:rPr>
      <w:color w:val="auto"/>
    </w:rPr>
  </w:style>
  <w:style w:type="character" w:customStyle="1" w:styleId="PlainTextChar">
    <w:name w:val="Plain Text Char"/>
    <w:basedOn w:val="DefaultParagraphFont"/>
    <w:link w:val="PlainText"/>
    <w:uiPriority w:val="99"/>
    <w:rsid w:val="00F476E6"/>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33212">
      <w:bodyDiv w:val="1"/>
      <w:marLeft w:val="0"/>
      <w:marRight w:val="0"/>
      <w:marTop w:val="0"/>
      <w:marBottom w:val="0"/>
      <w:divBdr>
        <w:top w:val="none" w:sz="0" w:space="0" w:color="auto"/>
        <w:left w:val="none" w:sz="0" w:space="0" w:color="auto"/>
        <w:bottom w:val="none" w:sz="0" w:space="0" w:color="auto"/>
        <w:right w:val="none" w:sz="0" w:space="0" w:color="auto"/>
      </w:divBdr>
    </w:div>
    <w:div w:id="70662096">
      <w:bodyDiv w:val="1"/>
      <w:marLeft w:val="0"/>
      <w:marRight w:val="0"/>
      <w:marTop w:val="0"/>
      <w:marBottom w:val="0"/>
      <w:divBdr>
        <w:top w:val="none" w:sz="0" w:space="0" w:color="auto"/>
        <w:left w:val="none" w:sz="0" w:space="0" w:color="auto"/>
        <w:bottom w:val="none" w:sz="0" w:space="0" w:color="auto"/>
        <w:right w:val="none" w:sz="0" w:space="0" w:color="auto"/>
      </w:divBdr>
    </w:div>
    <w:div w:id="149252147">
      <w:bodyDiv w:val="1"/>
      <w:marLeft w:val="0"/>
      <w:marRight w:val="0"/>
      <w:marTop w:val="0"/>
      <w:marBottom w:val="0"/>
      <w:divBdr>
        <w:top w:val="none" w:sz="0" w:space="0" w:color="auto"/>
        <w:left w:val="none" w:sz="0" w:space="0" w:color="auto"/>
        <w:bottom w:val="none" w:sz="0" w:space="0" w:color="auto"/>
        <w:right w:val="none" w:sz="0" w:space="0" w:color="auto"/>
      </w:divBdr>
    </w:div>
    <w:div w:id="273176627">
      <w:bodyDiv w:val="1"/>
      <w:marLeft w:val="0"/>
      <w:marRight w:val="0"/>
      <w:marTop w:val="0"/>
      <w:marBottom w:val="0"/>
      <w:divBdr>
        <w:top w:val="none" w:sz="0" w:space="0" w:color="auto"/>
        <w:left w:val="none" w:sz="0" w:space="0" w:color="auto"/>
        <w:bottom w:val="none" w:sz="0" w:space="0" w:color="auto"/>
        <w:right w:val="none" w:sz="0" w:space="0" w:color="auto"/>
      </w:divBdr>
    </w:div>
    <w:div w:id="286283774">
      <w:bodyDiv w:val="1"/>
      <w:marLeft w:val="0"/>
      <w:marRight w:val="0"/>
      <w:marTop w:val="0"/>
      <w:marBottom w:val="0"/>
      <w:divBdr>
        <w:top w:val="none" w:sz="0" w:space="0" w:color="auto"/>
        <w:left w:val="none" w:sz="0" w:space="0" w:color="auto"/>
        <w:bottom w:val="none" w:sz="0" w:space="0" w:color="auto"/>
        <w:right w:val="none" w:sz="0" w:space="0" w:color="auto"/>
      </w:divBdr>
    </w:div>
    <w:div w:id="364253533">
      <w:bodyDiv w:val="1"/>
      <w:marLeft w:val="0"/>
      <w:marRight w:val="0"/>
      <w:marTop w:val="0"/>
      <w:marBottom w:val="0"/>
      <w:divBdr>
        <w:top w:val="none" w:sz="0" w:space="0" w:color="auto"/>
        <w:left w:val="none" w:sz="0" w:space="0" w:color="auto"/>
        <w:bottom w:val="none" w:sz="0" w:space="0" w:color="auto"/>
        <w:right w:val="none" w:sz="0" w:space="0" w:color="auto"/>
      </w:divBdr>
    </w:div>
    <w:div w:id="383523126">
      <w:bodyDiv w:val="1"/>
      <w:marLeft w:val="0"/>
      <w:marRight w:val="0"/>
      <w:marTop w:val="0"/>
      <w:marBottom w:val="0"/>
      <w:divBdr>
        <w:top w:val="none" w:sz="0" w:space="0" w:color="auto"/>
        <w:left w:val="none" w:sz="0" w:space="0" w:color="auto"/>
        <w:bottom w:val="none" w:sz="0" w:space="0" w:color="auto"/>
        <w:right w:val="none" w:sz="0" w:space="0" w:color="auto"/>
      </w:divBdr>
    </w:div>
    <w:div w:id="455485140">
      <w:bodyDiv w:val="1"/>
      <w:marLeft w:val="0"/>
      <w:marRight w:val="0"/>
      <w:marTop w:val="0"/>
      <w:marBottom w:val="0"/>
      <w:divBdr>
        <w:top w:val="none" w:sz="0" w:space="0" w:color="auto"/>
        <w:left w:val="none" w:sz="0" w:space="0" w:color="auto"/>
        <w:bottom w:val="none" w:sz="0" w:space="0" w:color="auto"/>
        <w:right w:val="none" w:sz="0" w:space="0" w:color="auto"/>
      </w:divBdr>
    </w:div>
    <w:div w:id="472410371">
      <w:bodyDiv w:val="1"/>
      <w:marLeft w:val="0"/>
      <w:marRight w:val="0"/>
      <w:marTop w:val="0"/>
      <w:marBottom w:val="0"/>
      <w:divBdr>
        <w:top w:val="none" w:sz="0" w:space="0" w:color="auto"/>
        <w:left w:val="none" w:sz="0" w:space="0" w:color="auto"/>
        <w:bottom w:val="none" w:sz="0" w:space="0" w:color="auto"/>
        <w:right w:val="none" w:sz="0" w:space="0" w:color="auto"/>
      </w:divBdr>
    </w:div>
    <w:div w:id="489442349">
      <w:bodyDiv w:val="1"/>
      <w:marLeft w:val="0"/>
      <w:marRight w:val="0"/>
      <w:marTop w:val="0"/>
      <w:marBottom w:val="0"/>
      <w:divBdr>
        <w:top w:val="none" w:sz="0" w:space="0" w:color="auto"/>
        <w:left w:val="none" w:sz="0" w:space="0" w:color="auto"/>
        <w:bottom w:val="none" w:sz="0" w:space="0" w:color="auto"/>
        <w:right w:val="none" w:sz="0" w:space="0" w:color="auto"/>
      </w:divBdr>
    </w:div>
    <w:div w:id="491873653">
      <w:bodyDiv w:val="1"/>
      <w:marLeft w:val="0"/>
      <w:marRight w:val="0"/>
      <w:marTop w:val="0"/>
      <w:marBottom w:val="0"/>
      <w:divBdr>
        <w:top w:val="none" w:sz="0" w:space="0" w:color="auto"/>
        <w:left w:val="none" w:sz="0" w:space="0" w:color="auto"/>
        <w:bottom w:val="none" w:sz="0" w:space="0" w:color="auto"/>
        <w:right w:val="none" w:sz="0" w:space="0" w:color="auto"/>
      </w:divBdr>
    </w:div>
    <w:div w:id="507838505">
      <w:bodyDiv w:val="1"/>
      <w:marLeft w:val="0"/>
      <w:marRight w:val="0"/>
      <w:marTop w:val="0"/>
      <w:marBottom w:val="0"/>
      <w:divBdr>
        <w:top w:val="none" w:sz="0" w:space="0" w:color="auto"/>
        <w:left w:val="none" w:sz="0" w:space="0" w:color="auto"/>
        <w:bottom w:val="none" w:sz="0" w:space="0" w:color="auto"/>
        <w:right w:val="none" w:sz="0" w:space="0" w:color="auto"/>
      </w:divBdr>
    </w:div>
    <w:div w:id="583996525">
      <w:bodyDiv w:val="1"/>
      <w:marLeft w:val="0"/>
      <w:marRight w:val="0"/>
      <w:marTop w:val="0"/>
      <w:marBottom w:val="0"/>
      <w:divBdr>
        <w:top w:val="none" w:sz="0" w:space="0" w:color="auto"/>
        <w:left w:val="none" w:sz="0" w:space="0" w:color="auto"/>
        <w:bottom w:val="none" w:sz="0" w:space="0" w:color="auto"/>
        <w:right w:val="none" w:sz="0" w:space="0" w:color="auto"/>
      </w:divBdr>
    </w:div>
    <w:div w:id="650445409">
      <w:bodyDiv w:val="1"/>
      <w:marLeft w:val="0"/>
      <w:marRight w:val="0"/>
      <w:marTop w:val="0"/>
      <w:marBottom w:val="0"/>
      <w:divBdr>
        <w:top w:val="none" w:sz="0" w:space="0" w:color="auto"/>
        <w:left w:val="none" w:sz="0" w:space="0" w:color="auto"/>
        <w:bottom w:val="none" w:sz="0" w:space="0" w:color="auto"/>
        <w:right w:val="none" w:sz="0" w:space="0" w:color="auto"/>
      </w:divBdr>
    </w:div>
    <w:div w:id="659313943">
      <w:bodyDiv w:val="1"/>
      <w:marLeft w:val="0"/>
      <w:marRight w:val="0"/>
      <w:marTop w:val="0"/>
      <w:marBottom w:val="0"/>
      <w:divBdr>
        <w:top w:val="none" w:sz="0" w:space="0" w:color="auto"/>
        <w:left w:val="none" w:sz="0" w:space="0" w:color="auto"/>
        <w:bottom w:val="none" w:sz="0" w:space="0" w:color="auto"/>
        <w:right w:val="none" w:sz="0" w:space="0" w:color="auto"/>
      </w:divBdr>
    </w:div>
    <w:div w:id="689986045">
      <w:bodyDiv w:val="1"/>
      <w:marLeft w:val="0"/>
      <w:marRight w:val="0"/>
      <w:marTop w:val="0"/>
      <w:marBottom w:val="0"/>
      <w:divBdr>
        <w:top w:val="none" w:sz="0" w:space="0" w:color="auto"/>
        <w:left w:val="none" w:sz="0" w:space="0" w:color="auto"/>
        <w:bottom w:val="none" w:sz="0" w:space="0" w:color="auto"/>
        <w:right w:val="none" w:sz="0" w:space="0" w:color="auto"/>
      </w:divBdr>
    </w:div>
    <w:div w:id="696855042">
      <w:bodyDiv w:val="1"/>
      <w:marLeft w:val="0"/>
      <w:marRight w:val="0"/>
      <w:marTop w:val="0"/>
      <w:marBottom w:val="0"/>
      <w:divBdr>
        <w:top w:val="none" w:sz="0" w:space="0" w:color="auto"/>
        <w:left w:val="none" w:sz="0" w:space="0" w:color="auto"/>
        <w:bottom w:val="none" w:sz="0" w:space="0" w:color="auto"/>
        <w:right w:val="none" w:sz="0" w:space="0" w:color="auto"/>
      </w:divBdr>
    </w:div>
    <w:div w:id="798036017">
      <w:bodyDiv w:val="1"/>
      <w:marLeft w:val="0"/>
      <w:marRight w:val="0"/>
      <w:marTop w:val="0"/>
      <w:marBottom w:val="0"/>
      <w:divBdr>
        <w:top w:val="none" w:sz="0" w:space="0" w:color="auto"/>
        <w:left w:val="none" w:sz="0" w:space="0" w:color="auto"/>
        <w:bottom w:val="none" w:sz="0" w:space="0" w:color="auto"/>
        <w:right w:val="none" w:sz="0" w:space="0" w:color="auto"/>
      </w:divBdr>
    </w:div>
    <w:div w:id="921916878">
      <w:bodyDiv w:val="1"/>
      <w:marLeft w:val="0"/>
      <w:marRight w:val="0"/>
      <w:marTop w:val="0"/>
      <w:marBottom w:val="0"/>
      <w:divBdr>
        <w:top w:val="none" w:sz="0" w:space="0" w:color="auto"/>
        <w:left w:val="none" w:sz="0" w:space="0" w:color="auto"/>
        <w:bottom w:val="none" w:sz="0" w:space="0" w:color="auto"/>
        <w:right w:val="none" w:sz="0" w:space="0" w:color="auto"/>
      </w:divBdr>
    </w:div>
    <w:div w:id="927273038">
      <w:bodyDiv w:val="1"/>
      <w:marLeft w:val="0"/>
      <w:marRight w:val="0"/>
      <w:marTop w:val="0"/>
      <w:marBottom w:val="0"/>
      <w:divBdr>
        <w:top w:val="none" w:sz="0" w:space="0" w:color="auto"/>
        <w:left w:val="none" w:sz="0" w:space="0" w:color="auto"/>
        <w:bottom w:val="none" w:sz="0" w:space="0" w:color="auto"/>
        <w:right w:val="none" w:sz="0" w:space="0" w:color="auto"/>
      </w:divBdr>
    </w:div>
    <w:div w:id="941495164">
      <w:bodyDiv w:val="1"/>
      <w:marLeft w:val="0"/>
      <w:marRight w:val="0"/>
      <w:marTop w:val="0"/>
      <w:marBottom w:val="0"/>
      <w:divBdr>
        <w:top w:val="none" w:sz="0" w:space="0" w:color="auto"/>
        <w:left w:val="none" w:sz="0" w:space="0" w:color="auto"/>
        <w:bottom w:val="none" w:sz="0" w:space="0" w:color="auto"/>
        <w:right w:val="none" w:sz="0" w:space="0" w:color="auto"/>
      </w:divBdr>
    </w:div>
    <w:div w:id="1019624003">
      <w:bodyDiv w:val="1"/>
      <w:marLeft w:val="0"/>
      <w:marRight w:val="0"/>
      <w:marTop w:val="0"/>
      <w:marBottom w:val="0"/>
      <w:divBdr>
        <w:top w:val="none" w:sz="0" w:space="0" w:color="auto"/>
        <w:left w:val="none" w:sz="0" w:space="0" w:color="auto"/>
        <w:bottom w:val="none" w:sz="0" w:space="0" w:color="auto"/>
        <w:right w:val="none" w:sz="0" w:space="0" w:color="auto"/>
      </w:divBdr>
    </w:div>
    <w:div w:id="1106384287">
      <w:bodyDiv w:val="1"/>
      <w:marLeft w:val="0"/>
      <w:marRight w:val="0"/>
      <w:marTop w:val="0"/>
      <w:marBottom w:val="0"/>
      <w:divBdr>
        <w:top w:val="none" w:sz="0" w:space="0" w:color="auto"/>
        <w:left w:val="none" w:sz="0" w:space="0" w:color="auto"/>
        <w:bottom w:val="none" w:sz="0" w:space="0" w:color="auto"/>
        <w:right w:val="none" w:sz="0" w:space="0" w:color="auto"/>
      </w:divBdr>
    </w:div>
    <w:div w:id="1223369050">
      <w:bodyDiv w:val="1"/>
      <w:marLeft w:val="0"/>
      <w:marRight w:val="0"/>
      <w:marTop w:val="0"/>
      <w:marBottom w:val="0"/>
      <w:divBdr>
        <w:top w:val="none" w:sz="0" w:space="0" w:color="auto"/>
        <w:left w:val="none" w:sz="0" w:space="0" w:color="auto"/>
        <w:bottom w:val="none" w:sz="0" w:space="0" w:color="auto"/>
        <w:right w:val="none" w:sz="0" w:space="0" w:color="auto"/>
      </w:divBdr>
    </w:div>
    <w:div w:id="1299070089">
      <w:bodyDiv w:val="1"/>
      <w:marLeft w:val="0"/>
      <w:marRight w:val="0"/>
      <w:marTop w:val="0"/>
      <w:marBottom w:val="0"/>
      <w:divBdr>
        <w:top w:val="none" w:sz="0" w:space="0" w:color="auto"/>
        <w:left w:val="none" w:sz="0" w:space="0" w:color="auto"/>
        <w:bottom w:val="none" w:sz="0" w:space="0" w:color="auto"/>
        <w:right w:val="none" w:sz="0" w:space="0" w:color="auto"/>
      </w:divBdr>
    </w:div>
    <w:div w:id="1315839109">
      <w:bodyDiv w:val="1"/>
      <w:marLeft w:val="0"/>
      <w:marRight w:val="0"/>
      <w:marTop w:val="0"/>
      <w:marBottom w:val="0"/>
      <w:divBdr>
        <w:top w:val="none" w:sz="0" w:space="0" w:color="auto"/>
        <w:left w:val="none" w:sz="0" w:space="0" w:color="auto"/>
        <w:bottom w:val="none" w:sz="0" w:space="0" w:color="auto"/>
        <w:right w:val="none" w:sz="0" w:space="0" w:color="auto"/>
      </w:divBdr>
    </w:div>
    <w:div w:id="1318999844">
      <w:bodyDiv w:val="1"/>
      <w:marLeft w:val="0"/>
      <w:marRight w:val="0"/>
      <w:marTop w:val="0"/>
      <w:marBottom w:val="0"/>
      <w:divBdr>
        <w:top w:val="none" w:sz="0" w:space="0" w:color="auto"/>
        <w:left w:val="none" w:sz="0" w:space="0" w:color="auto"/>
        <w:bottom w:val="none" w:sz="0" w:space="0" w:color="auto"/>
        <w:right w:val="none" w:sz="0" w:space="0" w:color="auto"/>
      </w:divBdr>
    </w:div>
    <w:div w:id="1448349491">
      <w:bodyDiv w:val="1"/>
      <w:marLeft w:val="0"/>
      <w:marRight w:val="0"/>
      <w:marTop w:val="0"/>
      <w:marBottom w:val="0"/>
      <w:divBdr>
        <w:top w:val="none" w:sz="0" w:space="0" w:color="auto"/>
        <w:left w:val="none" w:sz="0" w:space="0" w:color="auto"/>
        <w:bottom w:val="none" w:sz="0" w:space="0" w:color="auto"/>
        <w:right w:val="none" w:sz="0" w:space="0" w:color="auto"/>
      </w:divBdr>
    </w:div>
    <w:div w:id="1574776640">
      <w:bodyDiv w:val="1"/>
      <w:marLeft w:val="0"/>
      <w:marRight w:val="0"/>
      <w:marTop w:val="0"/>
      <w:marBottom w:val="0"/>
      <w:divBdr>
        <w:top w:val="none" w:sz="0" w:space="0" w:color="auto"/>
        <w:left w:val="none" w:sz="0" w:space="0" w:color="auto"/>
        <w:bottom w:val="none" w:sz="0" w:space="0" w:color="auto"/>
        <w:right w:val="none" w:sz="0" w:space="0" w:color="auto"/>
      </w:divBdr>
    </w:div>
    <w:div w:id="1632587004">
      <w:bodyDiv w:val="1"/>
      <w:marLeft w:val="0"/>
      <w:marRight w:val="0"/>
      <w:marTop w:val="0"/>
      <w:marBottom w:val="0"/>
      <w:divBdr>
        <w:top w:val="none" w:sz="0" w:space="0" w:color="auto"/>
        <w:left w:val="none" w:sz="0" w:space="0" w:color="auto"/>
        <w:bottom w:val="none" w:sz="0" w:space="0" w:color="auto"/>
        <w:right w:val="none" w:sz="0" w:space="0" w:color="auto"/>
      </w:divBdr>
    </w:div>
    <w:div w:id="1658609854">
      <w:bodyDiv w:val="1"/>
      <w:marLeft w:val="0"/>
      <w:marRight w:val="0"/>
      <w:marTop w:val="0"/>
      <w:marBottom w:val="0"/>
      <w:divBdr>
        <w:top w:val="none" w:sz="0" w:space="0" w:color="auto"/>
        <w:left w:val="none" w:sz="0" w:space="0" w:color="auto"/>
        <w:bottom w:val="none" w:sz="0" w:space="0" w:color="auto"/>
        <w:right w:val="none" w:sz="0" w:space="0" w:color="auto"/>
      </w:divBdr>
    </w:div>
    <w:div w:id="1700667401">
      <w:bodyDiv w:val="1"/>
      <w:marLeft w:val="0"/>
      <w:marRight w:val="0"/>
      <w:marTop w:val="0"/>
      <w:marBottom w:val="0"/>
      <w:divBdr>
        <w:top w:val="none" w:sz="0" w:space="0" w:color="auto"/>
        <w:left w:val="none" w:sz="0" w:space="0" w:color="auto"/>
        <w:bottom w:val="none" w:sz="0" w:space="0" w:color="auto"/>
        <w:right w:val="none" w:sz="0" w:space="0" w:color="auto"/>
      </w:divBdr>
    </w:div>
    <w:div w:id="1726492357">
      <w:bodyDiv w:val="1"/>
      <w:marLeft w:val="0"/>
      <w:marRight w:val="0"/>
      <w:marTop w:val="0"/>
      <w:marBottom w:val="0"/>
      <w:divBdr>
        <w:top w:val="none" w:sz="0" w:space="0" w:color="auto"/>
        <w:left w:val="none" w:sz="0" w:space="0" w:color="auto"/>
        <w:bottom w:val="none" w:sz="0" w:space="0" w:color="auto"/>
        <w:right w:val="none" w:sz="0" w:space="0" w:color="auto"/>
      </w:divBdr>
    </w:div>
    <w:div w:id="1762019176">
      <w:bodyDiv w:val="1"/>
      <w:marLeft w:val="0"/>
      <w:marRight w:val="0"/>
      <w:marTop w:val="0"/>
      <w:marBottom w:val="0"/>
      <w:divBdr>
        <w:top w:val="none" w:sz="0" w:space="0" w:color="auto"/>
        <w:left w:val="none" w:sz="0" w:space="0" w:color="auto"/>
        <w:bottom w:val="none" w:sz="0" w:space="0" w:color="auto"/>
        <w:right w:val="none" w:sz="0" w:space="0" w:color="auto"/>
      </w:divBdr>
    </w:div>
    <w:div w:id="1772898555">
      <w:bodyDiv w:val="1"/>
      <w:marLeft w:val="0"/>
      <w:marRight w:val="0"/>
      <w:marTop w:val="0"/>
      <w:marBottom w:val="0"/>
      <w:divBdr>
        <w:top w:val="none" w:sz="0" w:space="0" w:color="auto"/>
        <w:left w:val="none" w:sz="0" w:space="0" w:color="auto"/>
        <w:bottom w:val="none" w:sz="0" w:space="0" w:color="auto"/>
        <w:right w:val="none" w:sz="0" w:space="0" w:color="auto"/>
      </w:divBdr>
    </w:div>
    <w:div w:id="1809204802">
      <w:bodyDiv w:val="1"/>
      <w:marLeft w:val="0"/>
      <w:marRight w:val="0"/>
      <w:marTop w:val="0"/>
      <w:marBottom w:val="0"/>
      <w:divBdr>
        <w:top w:val="none" w:sz="0" w:space="0" w:color="auto"/>
        <w:left w:val="none" w:sz="0" w:space="0" w:color="auto"/>
        <w:bottom w:val="none" w:sz="0" w:space="0" w:color="auto"/>
        <w:right w:val="none" w:sz="0" w:space="0" w:color="auto"/>
      </w:divBdr>
    </w:div>
    <w:div w:id="1866746158">
      <w:bodyDiv w:val="1"/>
      <w:marLeft w:val="0"/>
      <w:marRight w:val="0"/>
      <w:marTop w:val="0"/>
      <w:marBottom w:val="0"/>
      <w:divBdr>
        <w:top w:val="none" w:sz="0" w:space="0" w:color="auto"/>
        <w:left w:val="none" w:sz="0" w:space="0" w:color="auto"/>
        <w:bottom w:val="none" w:sz="0" w:space="0" w:color="auto"/>
        <w:right w:val="none" w:sz="0" w:space="0" w:color="auto"/>
      </w:divBdr>
    </w:div>
    <w:div w:id="1872301097">
      <w:bodyDiv w:val="1"/>
      <w:marLeft w:val="0"/>
      <w:marRight w:val="0"/>
      <w:marTop w:val="0"/>
      <w:marBottom w:val="0"/>
      <w:divBdr>
        <w:top w:val="none" w:sz="0" w:space="0" w:color="auto"/>
        <w:left w:val="none" w:sz="0" w:space="0" w:color="auto"/>
        <w:bottom w:val="none" w:sz="0" w:space="0" w:color="auto"/>
        <w:right w:val="none" w:sz="0" w:space="0" w:color="auto"/>
      </w:divBdr>
    </w:div>
    <w:div w:id="2042512816">
      <w:bodyDiv w:val="1"/>
      <w:marLeft w:val="0"/>
      <w:marRight w:val="0"/>
      <w:marTop w:val="0"/>
      <w:marBottom w:val="0"/>
      <w:divBdr>
        <w:top w:val="none" w:sz="0" w:space="0" w:color="auto"/>
        <w:left w:val="none" w:sz="0" w:space="0" w:color="auto"/>
        <w:bottom w:val="none" w:sz="0" w:space="0" w:color="auto"/>
        <w:right w:val="none" w:sz="0" w:space="0" w:color="auto"/>
      </w:divBdr>
    </w:div>
    <w:div w:id="2086299948">
      <w:bodyDiv w:val="1"/>
      <w:marLeft w:val="0"/>
      <w:marRight w:val="0"/>
      <w:marTop w:val="0"/>
      <w:marBottom w:val="0"/>
      <w:divBdr>
        <w:top w:val="none" w:sz="0" w:space="0" w:color="auto"/>
        <w:left w:val="none" w:sz="0" w:space="0" w:color="auto"/>
        <w:bottom w:val="none" w:sz="0" w:space="0" w:color="auto"/>
        <w:right w:val="none" w:sz="0" w:space="0" w:color="auto"/>
      </w:divBdr>
    </w:div>
    <w:div w:id="209932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chart" Target="charts/chart5.xml"/><Relationship Id="rId39" Type="http://schemas.openxmlformats.org/officeDocument/2006/relationships/image" Target="media/image13.png"/><Relationship Id="rId21" Type="http://schemas.openxmlformats.org/officeDocument/2006/relationships/hyperlink" Target="https://www.environment.gov.au/protection/waste-resource-recovery/national-waste-reports/national-waste-report-2018" TargetMode="External"/><Relationship Id="rId34" Type="http://schemas.openxmlformats.org/officeDocument/2006/relationships/image" Target="media/image9.png"/><Relationship Id="rId42" Type="http://schemas.openxmlformats.org/officeDocument/2006/relationships/hyperlink" Target="https://assets.publishing.service.gov.uk/government/uploads/system/uploads/attachment_data/file/290130/LIT_5492_40c081.pdf" TargetMode="External"/><Relationship Id="rId47" Type="http://schemas.openxmlformats.org/officeDocument/2006/relationships/hyperlink" Target="https://ec.europa.eu/eurostat/databrowser/view/t2020_rt120/default/table?lang=en" TargetMode="External"/><Relationship Id="rId50" Type="http://schemas.openxmlformats.org/officeDocument/2006/relationships/hyperlink" Target="https://www.sustainability.vic.gov.au/About-Us/Publications/Recycled-Organics-Market-Analysi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chart" Target="charts/chart8.xml"/><Relationship Id="rId11" Type="http://schemas.openxmlformats.org/officeDocument/2006/relationships/hyperlink" Target="https://www.environment.gov.au/protection/waste-resource-recovery/national-waste-reports/national-waste-report-2018" TargetMode="External"/><Relationship Id="rId24" Type="http://schemas.openxmlformats.org/officeDocument/2006/relationships/chart" Target="charts/chart3.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www.compostnetwork.info/download/country-report-germany/" TargetMode="External"/><Relationship Id="rId53" Type="http://schemas.openxmlformats.org/officeDocument/2006/relationships/footer" Target="footer3.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0.png"/><Relationship Id="rId43" Type="http://schemas.openxmlformats.org/officeDocument/2006/relationships/hyperlink" Target="https://www.compostnetwork.info/download/country-report-germany/" TargetMode="External"/><Relationship Id="rId48" Type="http://schemas.openxmlformats.org/officeDocument/2006/relationships/hyperlink" Target="https://www.bmu.de/fileadmin/Daten_BMU/Pools/Broschueren/abfallwirtschaft_2018_en_bf.pdf" TargetMode="External"/><Relationship Id="rId56"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hyperlink" Target="https://wrap.org.uk/sites/files/wrap/Food_%20surplus_and_waste_in_the_UK_key_facts_Jan_2020.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chart" Target="charts/chart4.xml"/><Relationship Id="rId33" Type="http://schemas.openxmlformats.org/officeDocument/2006/relationships/hyperlink" Target="https://www.iswa.org/uploads/media/Report_1_Global_Assessment_of_Municipal_Organic_Waste_Compressed_v2.pdf" TargetMode="External"/><Relationship Id="rId38" Type="http://schemas.openxmlformats.org/officeDocument/2006/relationships/image" Target="media/image12.png"/><Relationship Id="rId46" Type="http://schemas.openxmlformats.org/officeDocument/2006/relationships/hyperlink" Target="https://www.eea.europa.eu/ds_resolveuid/OFV2PWDS36" TargetMode="External"/><Relationship Id="rId20" Type="http://schemas.openxmlformats.org/officeDocument/2006/relationships/hyperlink" Target="https://www.environment.gov.au/protection/waste-resource-recovery/national-waste-reports/national-waste-report-2018" TargetMode="External"/><Relationship Id="rId41" Type="http://schemas.openxmlformats.org/officeDocument/2006/relationships/hyperlink" Target="https://www.environment.gov.au/protection/waste-resource-recovery/national-waste-reports/national-waste-report-201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laportal.wrap.org.uk/Statistics.aspx" TargetMode="External"/><Relationship Id="rId49" Type="http://schemas.openxmlformats.org/officeDocument/2006/relationships/hyperlink" Target="https://www.iswa.org/uploads/media/Report_1_Global_Assessment_of_Municipal_Organic_Waste_Compressed_v2.pdf" TargetMode="External"/><Relationship Id="rId57" Type="http://schemas.openxmlformats.org/officeDocument/2006/relationships/customXml" Target="../customXml/item3.xml"/><Relationship Id="rId10" Type="http://schemas.openxmlformats.org/officeDocument/2006/relationships/hyperlink" Target="https://www.environment.gov.au/protection/waste-resource-recovery/national-waste-reports/national-waste-report-2018" TargetMode="External"/><Relationship Id="rId31" Type="http://schemas.openxmlformats.org/officeDocument/2006/relationships/chart" Target="charts/chart10.xml"/><Relationship Id="rId44" Type="http://schemas.openxmlformats.org/officeDocument/2006/relationships/hyperlink" Target="https://www.compostnetwork.info/download/country-report-germany/" TargetMode="External"/><Relationship Id="rId5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randellenvironmental-my.sharepoint.com/personal/paul_randellenvironmental_com_au/Documents/REC/PROJECTS/PREC115%20DoEE%20Flyash%20and%20organics/Organics/national-waste-database-2018%20organics%20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Generation!$Q$32</c:f>
              <c:strCache>
                <c:ptCount val="1"/>
                <c:pt idx="0">
                  <c:v>Recycling</c:v>
                </c:pt>
              </c:strCache>
            </c:strRef>
          </c:tx>
          <c:spPr>
            <a:solidFill>
              <a:srgbClr val="92D050"/>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Generation!$R$32:$AB$32</c:f>
              <c:numCache>
                <c:formatCode>_-* #,##0_-;\-* #,##0_-;_-* "-"??_-;_-@_-</c:formatCode>
                <c:ptCount val="8"/>
                <c:pt idx="0">
                  <c:v>5374409.3214514153</c:v>
                </c:pt>
                <c:pt idx="1">
                  <c:v>5478707.2769641774</c:v>
                </c:pt>
                <c:pt idx="2">
                  <c:v>5978325.7796296133</c:v>
                </c:pt>
                <c:pt idx="3">
                  <c:v>6620312.5777373575</c:v>
                </c:pt>
                <c:pt idx="4">
                  <c:v>7223581.8179110726</c:v>
                </c:pt>
                <c:pt idx="5">
                  <c:v>7439539.4542053305</c:v>
                </c:pt>
                <c:pt idx="6">
                  <c:v>7294099.6150570856</c:v>
                </c:pt>
                <c:pt idx="7">
                  <c:v>7298969.7411641665</c:v>
                </c:pt>
              </c:numCache>
            </c:numRef>
          </c:val>
          <c:extLst>
            <c:ext xmlns:c16="http://schemas.microsoft.com/office/drawing/2014/chart" uri="{C3380CC4-5D6E-409C-BE32-E72D297353CC}">
              <c16:uniqueId val="{00000000-F21B-4F23-87EB-D6A9E8842FF1}"/>
            </c:ext>
          </c:extLst>
        </c:ser>
        <c:ser>
          <c:idx val="3"/>
          <c:order val="2"/>
          <c:tx>
            <c:strRef>
              <c:f>Generation!$Q$33</c:f>
              <c:strCache>
                <c:ptCount val="1"/>
                <c:pt idx="0">
                  <c:v>Energy from waste facility</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Generation!$R$33:$AB$33</c:f>
              <c:numCache>
                <c:formatCode>_-* #,##0_-;\-* #,##0_-;_-* "-"??_-;_-@_-</c:formatCode>
                <c:ptCount val="8"/>
                <c:pt idx="0">
                  <c:v>188000</c:v>
                </c:pt>
                <c:pt idx="1">
                  <c:v>1377290.2793095622</c:v>
                </c:pt>
                <c:pt idx="2">
                  <c:v>1321484.0672381574</c:v>
                </c:pt>
                <c:pt idx="3">
                  <c:v>1401219.3397564758</c:v>
                </c:pt>
                <c:pt idx="4">
                  <c:v>1424600.0734989329</c:v>
                </c:pt>
                <c:pt idx="5">
                  <c:v>1401328.2882979268</c:v>
                </c:pt>
                <c:pt idx="6">
                  <c:v>1686467.8026284003</c:v>
                </c:pt>
                <c:pt idx="7">
                  <c:v>1472780.653952868</c:v>
                </c:pt>
              </c:numCache>
            </c:numRef>
          </c:val>
          <c:extLst>
            <c:ext xmlns:c16="http://schemas.microsoft.com/office/drawing/2014/chart" uri="{C3380CC4-5D6E-409C-BE32-E72D297353CC}">
              <c16:uniqueId val="{00000001-F21B-4F23-87EB-D6A9E8842FF1}"/>
            </c:ext>
          </c:extLst>
        </c:ser>
        <c:ser>
          <c:idx val="1"/>
          <c:order val="3"/>
          <c:tx>
            <c:strRef>
              <c:f>Generation!$Q$31</c:f>
              <c:strCache>
                <c:ptCount val="1"/>
                <c:pt idx="0">
                  <c:v>Landfill</c:v>
                </c:pt>
              </c:strCache>
            </c:strRef>
          </c:tx>
          <c:spPr>
            <a:solidFill>
              <a:schemeClr val="tx1">
                <a:lumMod val="65000"/>
                <a:lumOff val="35000"/>
              </a:schemeClr>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Generation!$R$31:$AB$31</c:f>
              <c:numCache>
                <c:formatCode>_-* #,##0_-;\-* #,##0_-;_-* "-"??_-;_-@_-</c:formatCode>
                <c:ptCount val="8"/>
                <c:pt idx="0">
                  <c:v>8363174.1431604428</c:v>
                </c:pt>
                <c:pt idx="1">
                  <c:v>7541565.9495020993</c:v>
                </c:pt>
                <c:pt idx="2">
                  <c:v>7233135.2721743621</c:v>
                </c:pt>
                <c:pt idx="3">
                  <c:v>6807823.6139060725</c:v>
                </c:pt>
                <c:pt idx="4">
                  <c:v>6374336.7176215891</c:v>
                </c:pt>
                <c:pt idx="5">
                  <c:v>6289534.8372669052</c:v>
                </c:pt>
                <c:pt idx="6">
                  <c:v>5212942.2648564205</c:v>
                </c:pt>
                <c:pt idx="7">
                  <c:v>5399497.8997585261</c:v>
                </c:pt>
              </c:numCache>
            </c:numRef>
          </c:val>
          <c:extLst>
            <c:ext xmlns:c16="http://schemas.microsoft.com/office/drawing/2014/chart" uri="{C3380CC4-5D6E-409C-BE32-E72D297353CC}">
              <c16:uniqueId val="{00000002-F21B-4F23-87EB-D6A9E8842FF1}"/>
            </c:ext>
          </c:extLst>
        </c:ser>
        <c:dLbls>
          <c:showLegendKey val="0"/>
          <c:showVal val="0"/>
          <c:showCatName val="0"/>
          <c:showSerName val="0"/>
          <c:showPercent val="0"/>
          <c:showBubbleSize val="0"/>
        </c:dLbls>
        <c:axId val="952026504"/>
        <c:axId val="952022568"/>
      </c:areaChart>
      <c:lineChart>
        <c:grouping val="standard"/>
        <c:varyColors val="0"/>
        <c:ser>
          <c:idx val="2"/>
          <c:order val="1"/>
          <c:tx>
            <c:strRef>
              <c:f>Generation!$Q$36</c:f>
              <c:strCache>
                <c:ptCount val="1"/>
                <c:pt idx="0">
                  <c:v>Recovery rate (%)</c:v>
                </c:pt>
              </c:strCache>
            </c:strRef>
          </c:tx>
          <c:spPr>
            <a:ln w="28575" cap="rnd">
              <a:solidFill>
                <a:srgbClr val="92D050"/>
              </a:solidFill>
              <a:round/>
            </a:ln>
            <a:effectLst/>
          </c:spPr>
          <c:marker>
            <c:symbol val="circle"/>
            <c:size val="5"/>
            <c:spPr>
              <a:solidFill>
                <a:srgbClr val="FF0000"/>
              </a:solidFill>
              <a:ln w="9525">
                <a:solidFill>
                  <a:srgbClr val="92D050"/>
                </a:solidFill>
              </a:ln>
              <a:effectLst/>
            </c:spPr>
          </c:marke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Generation!$R$36:$AB$36</c:f>
              <c:numCache>
                <c:formatCode>0%</c:formatCode>
                <c:ptCount val="8"/>
                <c:pt idx="0">
                  <c:v>0.39943815177200936</c:v>
                </c:pt>
                <c:pt idx="1">
                  <c:v>0.47619151348235661</c:v>
                </c:pt>
                <c:pt idx="2">
                  <c:v>0.50229391132173362</c:v>
                </c:pt>
                <c:pt idx="3">
                  <c:v>0.54092248988898528</c:v>
                </c:pt>
                <c:pt idx="4">
                  <c:v>0.57568122340089412</c:v>
                </c:pt>
                <c:pt idx="5">
                  <c:v>0.58431146797929778</c:v>
                </c:pt>
                <c:pt idx="6">
                  <c:v>0.63272352071817961</c:v>
                </c:pt>
                <c:pt idx="7">
                  <c:v>0.61898219638766561</c:v>
                </c:pt>
              </c:numCache>
            </c:numRef>
          </c:val>
          <c:smooth val="0"/>
          <c:extLst>
            <c:ext xmlns:c16="http://schemas.microsoft.com/office/drawing/2014/chart" uri="{C3380CC4-5D6E-409C-BE32-E72D297353CC}">
              <c16:uniqueId val="{00000003-F21B-4F23-87EB-D6A9E8842FF1}"/>
            </c:ext>
          </c:extLst>
        </c:ser>
        <c:dLbls>
          <c:showLegendKey val="0"/>
          <c:showVal val="0"/>
          <c:showCatName val="0"/>
          <c:showSerName val="0"/>
          <c:showPercent val="0"/>
          <c:showBubbleSize val="0"/>
        </c:dLbls>
        <c:marker val="1"/>
        <c:smooth val="0"/>
        <c:axId val="998123368"/>
        <c:axId val="998125664"/>
      </c:line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Millions of tonnes (Mt)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between"/>
        <c:dispUnits>
          <c:builtInUnit val="millions"/>
        </c:dispUnits>
      </c:valAx>
      <c:valAx>
        <c:axId val="99812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b" anchorCtr="1"/>
          <a:lstStyle/>
          <a:p>
            <a:pPr>
              <a:defRPr sz="900" b="0" i="0" u="none" strike="noStrike" kern="100" spc="-100" baseline="0">
                <a:solidFill>
                  <a:schemeClr val="tx1">
                    <a:lumMod val="65000"/>
                    <a:lumOff val="35000"/>
                  </a:schemeClr>
                </a:solidFill>
                <a:latin typeface="+mn-lt"/>
                <a:ea typeface="+mn-ea"/>
                <a:cs typeface="+mn-cs"/>
              </a:defRPr>
            </a:pPr>
            <a:endParaRPr lang="en-US"/>
          </a:p>
        </c:txPr>
        <c:crossAx val="998123368"/>
        <c:crosses val="max"/>
        <c:crossBetween val="between"/>
      </c:valAx>
      <c:catAx>
        <c:axId val="998123368"/>
        <c:scaling>
          <c:orientation val="minMax"/>
        </c:scaling>
        <c:delete val="1"/>
        <c:axPos val="b"/>
        <c:numFmt formatCode="General" sourceLinked="1"/>
        <c:majorTickMark val="out"/>
        <c:minorTickMark val="none"/>
        <c:tickLblPos val="nextTo"/>
        <c:crossAx val="99812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strRef>
              <c:f>'Other organics'!$R$6</c:f>
              <c:strCache>
                <c:ptCount val="1"/>
                <c:pt idx="0">
                  <c:v>Recycling</c:v>
                </c:pt>
              </c:strCache>
            </c:strRef>
          </c:tx>
          <c:spPr>
            <a:solidFill>
              <a:srgbClr val="92D050"/>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'Other organics'!$S$6:$AC$6</c:f>
              <c:numCache>
                <c:formatCode>_-* #,##0_-;\-* #,##0_-;_-* "-"??_-;_-@_-</c:formatCode>
                <c:ptCount val="8"/>
                <c:pt idx="0">
                  <c:v>158966</c:v>
                </c:pt>
                <c:pt idx="1">
                  <c:v>280602</c:v>
                </c:pt>
                <c:pt idx="2">
                  <c:v>494134</c:v>
                </c:pt>
                <c:pt idx="3">
                  <c:v>685827</c:v>
                </c:pt>
                <c:pt idx="4">
                  <c:v>733226.42446043168</c:v>
                </c:pt>
                <c:pt idx="5">
                  <c:v>1536702.8973451327</c:v>
                </c:pt>
                <c:pt idx="6">
                  <c:v>1417395.951256816</c:v>
                </c:pt>
                <c:pt idx="7">
                  <c:v>1381445.2277668314</c:v>
                </c:pt>
              </c:numCache>
            </c:numRef>
          </c:val>
          <c:extLst>
            <c:ext xmlns:c16="http://schemas.microsoft.com/office/drawing/2014/chart" uri="{C3380CC4-5D6E-409C-BE32-E72D297353CC}">
              <c16:uniqueId val="{00000000-3E6B-4849-8FD3-086612771EC1}"/>
            </c:ext>
          </c:extLst>
        </c:ser>
        <c:ser>
          <c:idx val="0"/>
          <c:order val="1"/>
          <c:tx>
            <c:strRef>
              <c:f>'Other organics'!$R$5</c:f>
              <c:strCache>
                <c:ptCount val="1"/>
                <c:pt idx="0">
                  <c:v>Landfill</c:v>
                </c:pt>
              </c:strCache>
            </c:strRef>
          </c:tx>
          <c:spPr>
            <a:solidFill>
              <a:schemeClr val="tx1">
                <a:lumMod val="65000"/>
                <a:lumOff val="35000"/>
              </a:schemeClr>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'Other organics'!$S$5:$AC$5</c:f>
              <c:numCache>
                <c:formatCode>_-* #,##0_-;\-* #,##0_-;_-* "-"??_-;_-@_-</c:formatCode>
                <c:ptCount val="8"/>
                <c:pt idx="0">
                  <c:v>381454.0465538929</c:v>
                </c:pt>
                <c:pt idx="1">
                  <c:v>379433.23245573381</c:v>
                </c:pt>
                <c:pt idx="2">
                  <c:v>222011.52109921156</c:v>
                </c:pt>
                <c:pt idx="3">
                  <c:v>206502.86026656392</c:v>
                </c:pt>
                <c:pt idx="4">
                  <c:v>178927.0743154856</c:v>
                </c:pt>
                <c:pt idx="5">
                  <c:v>323786.91777457384</c:v>
                </c:pt>
                <c:pt idx="6">
                  <c:v>326677.5031452991</c:v>
                </c:pt>
                <c:pt idx="7">
                  <c:v>337453.2928303401</c:v>
                </c:pt>
              </c:numCache>
            </c:numRef>
          </c:val>
          <c:extLst>
            <c:ext xmlns:c16="http://schemas.microsoft.com/office/drawing/2014/chart" uri="{C3380CC4-5D6E-409C-BE32-E72D297353CC}">
              <c16:uniqueId val="{00000001-3E6B-4849-8FD3-086612771EC1}"/>
            </c:ext>
          </c:extLst>
        </c:ser>
        <c:ser>
          <c:idx val="3"/>
          <c:order val="3"/>
          <c:tx>
            <c:strRef>
              <c:f>'Other organics'!$R$7</c:f>
              <c:strCache>
                <c:ptCount val="1"/>
                <c:pt idx="0">
                  <c:v>Energy from waste facility</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'Other organics'!$S$7:$AC$7</c:f>
              <c:numCache>
                <c:formatCode>_-* #,##0_-;\-* #,##0_-;_-* "-"??_-;_-@_-</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3E6B-4849-8FD3-086612771EC1}"/>
            </c:ext>
          </c:extLst>
        </c:ser>
        <c:dLbls>
          <c:showLegendKey val="0"/>
          <c:showVal val="0"/>
          <c:showCatName val="0"/>
          <c:showSerName val="0"/>
          <c:showPercent val="0"/>
          <c:showBubbleSize val="0"/>
        </c:dLbls>
        <c:axId val="952026504"/>
        <c:axId val="952022568"/>
      </c:areaChart>
      <c:lineChart>
        <c:grouping val="standard"/>
        <c:varyColors val="0"/>
        <c:ser>
          <c:idx val="2"/>
          <c:order val="2"/>
          <c:tx>
            <c:strRef>
              <c:f>'Other organics'!$R$10</c:f>
              <c:strCache>
                <c:ptCount val="1"/>
                <c:pt idx="0">
                  <c:v>Recovery rate (%)</c:v>
                </c:pt>
              </c:strCache>
            </c:strRef>
          </c:tx>
          <c:spPr>
            <a:ln w="28575" cap="rnd">
              <a:solidFill>
                <a:srgbClr val="92D050"/>
              </a:solidFill>
              <a:round/>
            </a:ln>
            <a:effectLst/>
          </c:spPr>
          <c:marker>
            <c:symbol val="circle"/>
            <c:size val="5"/>
            <c:spPr>
              <a:solidFill>
                <a:srgbClr val="FF0000"/>
              </a:solidFill>
              <a:ln w="9525">
                <a:solidFill>
                  <a:srgbClr val="92D050"/>
                </a:solidFill>
              </a:ln>
              <a:effectLst/>
            </c:spPr>
          </c:marke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'Other organics'!$S$10:$AC$10</c:f>
              <c:numCache>
                <c:formatCode>0%</c:formatCode>
                <c:ptCount val="8"/>
                <c:pt idx="0">
                  <c:v>0.29415267071175766</c:v>
                </c:pt>
                <c:pt idx="1">
                  <c:v>0.42513185084982408</c:v>
                </c:pt>
                <c:pt idx="2">
                  <c:v>0.68999104992174476</c:v>
                </c:pt>
                <c:pt idx="3">
                  <c:v>0.76858012999265124</c:v>
                </c:pt>
                <c:pt idx="4">
                  <c:v>0.80384104807403534</c:v>
                </c:pt>
                <c:pt idx="5">
                  <c:v>0.82596684209542903</c:v>
                </c:pt>
                <c:pt idx="6">
                  <c:v>0.81269280699115554</c:v>
                </c:pt>
                <c:pt idx="7">
                  <c:v>0.80368050307408279</c:v>
                </c:pt>
              </c:numCache>
            </c:numRef>
          </c:val>
          <c:smooth val="0"/>
          <c:extLst>
            <c:ext xmlns:c16="http://schemas.microsoft.com/office/drawing/2014/chart" uri="{C3380CC4-5D6E-409C-BE32-E72D297353CC}">
              <c16:uniqueId val="{00000003-3E6B-4849-8FD3-086612771EC1}"/>
            </c:ext>
          </c:extLst>
        </c:ser>
        <c:dLbls>
          <c:showLegendKey val="0"/>
          <c:showVal val="0"/>
          <c:showCatName val="0"/>
          <c:showSerName val="0"/>
          <c:showPercent val="0"/>
          <c:showBubbleSize val="0"/>
        </c:dLbls>
        <c:marker val="1"/>
        <c:smooth val="0"/>
        <c:axId val="998123368"/>
        <c:axId val="998125664"/>
      </c:line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between"/>
      </c:valAx>
      <c:valAx>
        <c:axId val="99812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23368"/>
        <c:crosses val="max"/>
        <c:crossBetween val="between"/>
      </c:valAx>
      <c:catAx>
        <c:axId val="998123368"/>
        <c:scaling>
          <c:orientation val="minMax"/>
        </c:scaling>
        <c:delete val="1"/>
        <c:axPos val="b"/>
        <c:numFmt formatCode="General" sourceLinked="1"/>
        <c:majorTickMark val="out"/>
        <c:minorTickMark val="none"/>
        <c:tickLblPos val="nextTo"/>
        <c:crossAx val="99812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strRef>
              <c:f>'Stream split'!$R$100</c:f>
              <c:strCache>
                <c:ptCount val="1"/>
                <c:pt idx="0">
                  <c:v>MSW</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split'!$S$100:$AC$100</c:f>
              <c:numCache>
                <c:formatCode>_-* #,##0_-;\-* #,##0_-;_-* "-"??_-;_-@_-</c:formatCode>
                <c:ptCount val="8"/>
                <c:pt idx="0">
                  <c:v>5739445.9166260706</c:v>
                </c:pt>
                <c:pt idx="1">
                  <c:v>5927640.1368052848</c:v>
                </c:pt>
                <c:pt idx="2">
                  <c:v>6116527.3903227914</c:v>
                </c:pt>
                <c:pt idx="3">
                  <c:v>6069152.8494595084</c:v>
                </c:pt>
                <c:pt idx="4">
                  <c:v>6628350.1470564203</c:v>
                </c:pt>
                <c:pt idx="5">
                  <c:v>6804109.6973095629</c:v>
                </c:pt>
                <c:pt idx="6">
                  <c:v>6481885.2888470329</c:v>
                </c:pt>
                <c:pt idx="7">
                  <c:v>6625995.1951212045</c:v>
                </c:pt>
              </c:numCache>
            </c:numRef>
          </c:val>
          <c:extLst>
            <c:ext xmlns:c16="http://schemas.microsoft.com/office/drawing/2014/chart" uri="{C3380CC4-5D6E-409C-BE32-E72D297353CC}">
              <c16:uniqueId val="{00000000-ABEF-4AB7-A5E9-89A97898C899}"/>
            </c:ext>
          </c:extLst>
        </c:ser>
        <c:ser>
          <c:idx val="3"/>
          <c:order val="1"/>
          <c:tx>
            <c:strRef>
              <c:f>'Stream split'!$R$101</c:f>
              <c:strCache>
                <c:ptCount val="1"/>
                <c:pt idx="0">
                  <c:v>C&amp;D</c:v>
                </c:pt>
              </c:strCache>
            </c:strRef>
          </c:tx>
          <c:spPr>
            <a:solidFill>
              <a:schemeClr val="accent4"/>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split'!$S$101:$AC$101</c:f>
              <c:numCache>
                <c:formatCode>_-* #,##0_-;\-* #,##0_-;_-* "-"??_-;_-@_-</c:formatCode>
                <c:ptCount val="8"/>
                <c:pt idx="0">
                  <c:v>831688.55475024681</c:v>
                </c:pt>
                <c:pt idx="1">
                  <c:v>1011501.3409063537</c:v>
                </c:pt>
                <c:pt idx="2">
                  <c:v>877907.53069277911</c:v>
                </c:pt>
                <c:pt idx="3">
                  <c:v>775155.24142039649</c:v>
                </c:pt>
                <c:pt idx="4">
                  <c:v>990852.54481664044</c:v>
                </c:pt>
                <c:pt idx="5">
                  <c:v>956520.57479661086</c:v>
                </c:pt>
                <c:pt idx="6">
                  <c:v>884701.98106296791</c:v>
                </c:pt>
                <c:pt idx="7">
                  <c:v>845957.02211712021</c:v>
                </c:pt>
              </c:numCache>
            </c:numRef>
          </c:val>
          <c:extLst>
            <c:ext xmlns:c16="http://schemas.microsoft.com/office/drawing/2014/chart" uri="{C3380CC4-5D6E-409C-BE32-E72D297353CC}">
              <c16:uniqueId val="{00000001-ABEF-4AB7-A5E9-89A97898C899}"/>
            </c:ext>
          </c:extLst>
        </c:ser>
        <c:ser>
          <c:idx val="0"/>
          <c:order val="2"/>
          <c:tx>
            <c:strRef>
              <c:f>'Stream split'!$R$99</c:f>
              <c:strCache>
                <c:ptCount val="1"/>
                <c:pt idx="0">
                  <c:v>C&amp;I</c:v>
                </c:pt>
              </c:strCache>
            </c:strRef>
          </c:tx>
          <c:spPr>
            <a:solidFill>
              <a:schemeClr val="accent1"/>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split'!$S$99:$AC$99</c:f>
              <c:numCache>
                <c:formatCode>_-* #,##0_-;\-* #,##0_-;_-* "-"??_-;_-@_-</c:formatCode>
                <c:ptCount val="8"/>
                <c:pt idx="0">
                  <c:v>4543632.3911956772</c:v>
                </c:pt>
                <c:pt idx="1">
                  <c:v>4779705.6607440542</c:v>
                </c:pt>
                <c:pt idx="2">
                  <c:v>4852263.0156800607</c:v>
                </c:pt>
                <c:pt idx="3">
                  <c:v>4735234.1512776241</c:v>
                </c:pt>
                <c:pt idx="4">
                  <c:v>4761914.1235761717</c:v>
                </c:pt>
                <c:pt idx="5">
                  <c:v>4785777.3807183802</c:v>
                </c:pt>
                <c:pt idx="6">
                  <c:v>5480897.7145548286</c:v>
                </c:pt>
                <c:pt idx="7">
                  <c:v>5353551.3388666771</c:v>
                </c:pt>
              </c:numCache>
            </c:numRef>
          </c:val>
          <c:extLst>
            <c:ext xmlns:c16="http://schemas.microsoft.com/office/drawing/2014/chart" uri="{C3380CC4-5D6E-409C-BE32-E72D297353CC}">
              <c16:uniqueId val="{00000002-ABEF-4AB7-A5E9-89A97898C899}"/>
            </c:ext>
          </c:extLst>
        </c:ser>
        <c:dLbls>
          <c:showLegendKey val="0"/>
          <c:showVal val="0"/>
          <c:showCatName val="0"/>
          <c:showSerName val="0"/>
          <c:showPercent val="0"/>
          <c:showBubbleSize val="0"/>
        </c:dLbls>
        <c:axId val="952026504"/>
        <c:axId val="952022568"/>
        <c:extLst>
          <c:ext xmlns:c15="http://schemas.microsoft.com/office/drawing/2012/chart" uri="{02D57815-91ED-43cb-92C2-25804820EDAC}">
            <c15:filteredAreaSeries>
              <c15:ser>
                <c:idx val="2"/>
                <c:order val="3"/>
                <c:tx>
                  <c:strRef>
                    <c:extLst>
                      <c:ext uri="{02D57815-91ED-43cb-92C2-25804820EDAC}">
                        <c15:formulaRef>
                          <c15:sqref>'Stream split'!$R$10</c15:sqref>
                        </c15:formulaRef>
                      </c:ext>
                    </c:extLst>
                    <c:strCache>
                      <c:ptCount val="1"/>
                      <c:pt idx="0">
                        <c:v>Recovery rate (%)</c:v>
                      </c:pt>
                    </c:strCache>
                  </c:strRef>
                </c:tx>
                <c:spPr>
                  <a:solidFill>
                    <a:schemeClr val="accent3"/>
                  </a:solidFill>
                  <a:ln>
                    <a:solidFill>
                      <a:srgbClr val="92D050"/>
                    </a:solidFill>
                  </a:ln>
                  <a:effectLst/>
                </c:spPr>
                <c:cat>
                  <c:numRef>
                    <c:extLst>
                      <c:ext uri="{02D57815-91ED-43cb-92C2-25804820EDAC}">
                        <c15:formulaRef>
                          <c15:sqref>Generation!$R$1:$AB$1</c15:sqref>
                        </c15:formulaRef>
                      </c:ext>
                    </c:extLst>
                    <c:numCache>
                      <c:formatCode>General</c:formatCode>
                      <c:ptCount val="8"/>
                      <c:pt idx="0">
                        <c:v>2007</c:v>
                      </c:pt>
                      <c:pt idx="1">
                        <c:v>2009</c:v>
                      </c:pt>
                      <c:pt idx="2">
                        <c:v>2010</c:v>
                      </c:pt>
                      <c:pt idx="3">
                        <c:v>2011</c:v>
                      </c:pt>
                      <c:pt idx="4">
                        <c:v>2014</c:v>
                      </c:pt>
                      <c:pt idx="5">
                        <c:v>2015</c:v>
                      </c:pt>
                      <c:pt idx="6">
                        <c:v>2016</c:v>
                      </c:pt>
                      <c:pt idx="7">
                        <c:v>2017</c:v>
                      </c:pt>
                    </c:numCache>
                  </c:numRef>
                </c:cat>
                <c:val>
                  <c:numRef>
                    <c:extLst>
                      <c:ext uri="{02D57815-91ED-43cb-92C2-25804820EDAC}">
                        <c15:formulaRef>
                          <c15:sqref>'Stream split'!$S$73:$AC$73</c15:sqref>
                        </c15:formulaRef>
                      </c:ext>
                    </c:extLst>
                    <c:numCache>
                      <c:formatCode>0%</c:formatCode>
                      <c:ptCount val="8"/>
                      <c:pt idx="0">
                        <c:v>0.22692345934388997</c:v>
                      </c:pt>
                      <c:pt idx="1">
                        <c:v>0.21899590194529903</c:v>
                      </c:pt>
                      <c:pt idx="2">
                        <c:v>0.2060542866710004</c:v>
                      </c:pt>
                      <c:pt idx="3">
                        <c:v>0.19311615532096318</c:v>
                      </c:pt>
                      <c:pt idx="4">
                        <c:v>0.21570765362341549</c:v>
                      </c:pt>
                      <c:pt idx="5">
                        <c:v>0.24039068061750041</c:v>
                      </c:pt>
                      <c:pt idx="6">
                        <c:v>0.40995659166341059</c:v>
                      </c:pt>
                      <c:pt idx="7">
                        <c:v>0.40290870419856195</c:v>
                      </c:pt>
                    </c:numCache>
                  </c:numRef>
                </c:val>
                <c:extLst>
                  <c:ext xmlns:c16="http://schemas.microsoft.com/office/drawing/2014/chart" uri="{C3380CC4-5D6E-409C-BE32-E72D297353CC}">
                    <c16:uniqueId val="{00000003-ABEF-4AB7-A5E9-89A97898C899}"/>
                  </c:ext>
                </c:extLst>
              </c15:ser>
            </c15:filteredAreaSeries>
          </c:ext>
        </c:extLst>
      </c:area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Millions of tonnes (Mt)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midCat"/>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strRef>
              <c:f>'Stream split'!$R$6</c:f>
              <c:strCache>
                <c:ptCount val="1"/>
                <c:pt idx="0">
                  <c:v>Recycling</c:v>
                </c:pt>
              </c:strCache>
            </c:strRef>
          </c:tx>
          <c:spPr>
            <a:solidFill>
              <a:srgbClr val="92D050"/>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split'!$S$36:$AC$36</c:f>
              <c:numCache>
                <c:formatCode>_-* #,##0_-;\-* #,##0_-;_-* "-"??_-;_-@_-</c:formatCode>
                <c:ptCount val="8"/>
                <c:pt idx="0">
                  <c:v>826227.01016321976</c:v>
                </c:pt>
                <c:pt idx="1">
                  <c:v>1020553.0650758547</c:v>
                </c:pt>
                <c:pt idx="2">
                  <c:v>1121049.7818053463</c:v>
                </c:pt>
                <c:pt idx="3">
                  <c:v>1249743.9323158883</c:v>
                </c:pt>
                <c:pt idx="4">
                  <c:v>2064166.3102576963</c:v>
                </c:pt>
                <c:pt idx="5">
                  <c:v>2197312.6122385128</c:v>
                </c:pt>
                <c:pt idx="6">
                  <c:v>2324621.9618273997</c:v>
                </c:pt>
                <c:pt idx="7">
                  <c:v>2427429.7665972998</c:v>
                </c:pt>
              </c:numCache>
            </c:numRef>
          </c:val>
          <c:extLst>
            <c:ext xmlns:c16="http://schemas.microsoft.com/office/drawing/2014/chart" uri="{C3380CC4-5D6E-409C-BE32-E72D297353CC}">
              <c16:uniqueId val="{00000000-D208-4F74-95F0-8946F149ACD0}"/>
            </c:ext>
          </c:extLst>
        </c:ser>
        <c:ser>
          <c:idx val="3"/>
          <c:order val="1"/>
          <c:tx>
            <c:strRef>
              <c:f>'Stream split'!$R$7</c:f>
              <c:strCache>
                <c:ptCount val="1"/>
                <c:pt idx="0">
                  <c:v>Energy from waste facility</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split'!$S$37:$AC$37</c:f>
              <c:numCache>
                <c:formatCode>_-* #,##0_-;\-* #,##0_-;_-* "-"??_-;_-@_-</c:formatCode>
                <c:ptCount val="8"/>
                <c:pt idx="0">
                  <c:v>139000</c:v>
                </c:pt>
                <c:pt idx="1">
                  <c:v>138999.99999999997</c:v>
                </c:pt>
                <c:pt idx="2">
                  <c:v>139000</c:v>
                </c:pt>
                <c:pt idx="3">
                  <c:v>139000</c:v>
                </c:pt>
                <c:pt idx="4">
                  <c:v>96518.000000000015</c:v>
                </c:pt>
                <c:pt idx="5">
                  <c:v>114430.9</c:v>
                </c:pt>
                <c:pt idx="6">
                  <c:v>123247.00000000001</c:v>
                </c:pt>
                <c:pt idx="7">
                  <c:v>37874</c:v>
                </c:pt>
              </c:numCache>
            </c:numRef>
          </c:val>
          <c:extLst>
            <c:ext xmlns:c16="http://schemas.microsoft.com/office/drawing/2014/chart" uri="{C3380CC4-5D6E-409C-BE32-E72D297353CC}">
              <c16:uniqueId val="{00000001-D208-4F74-95F0-8946F149ACD0}"/>
            </c:ext>
          </c:extLst>
        </c:ser>
        <c:ser>
          <c:idx val="0"/>
          <c:order val="2"/>
          <c:tx>
            <c:strRef>
              <c:f>'Stream split'!$R$5</c:f>
              <c:strCache>
                <c:ptCount val="1"/>
                <c:pt idx="0">
                  <c:v>Landfill</c:v>
                </c:pt>
              </c:strCache>
            </c:strRef>
          </c:tx>
          <c:spPr>
            <a:solidFill>
              <a:schemeClr val="tx1">
                <a:lumMod val="65000"/>
                <a:lumOff val="35000"/>
              </a:schemeClr>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split'!$S$35:$AC$35</c:f>
              <c:numCache>
                <c:formatCode>_-* #,##0_-;\-* #,##0_-;_-* "-"??_-;_-@_-</c:formatCode>
                <c:ptCount val="8"/>
                <c:pt idx="0">
                  <c:v>4774218.906462851</c:v>
                </c:pt>
                <c:pt idx="1">
                  <c:v>4768087.07172943</c:v>
                </c:pt>
                <c:pt idx="2">
                  <c:v>4856477.6085174456</c:v>
                </c:pt>
                <c:pt idx="3">
                  <c:v>4680408.9171436206</c:v>
                </c:pt>
                <c:pt idx="4">
                  <c:v>4467665.8367987238</c:v>
                </c:pt>
                <c:pt idx="5">
                  <c:v>4492366.1850710502</c:v>
                </c:pt>
                <c:pt idx="6">
                  <c:v>4034016.3270196337</c:v>
                </c:pt>
                <c:pt idx="7">
                  <c:v>4160691.4285239042</c:v>
                </c:pt>
              </c:numCache>
            </c:numRef>
          </c:val>
          <c:extLst>
            <c:ext xmlns:c16="http://schemas.microsoft.com/office/drawing/2014/chart" uri="{C3380CC4-5D6E-409C-BE32-E72D297353CC}">
              <c16:uniqueId val="{00000002-D208-4F74-95F0-8946F149ACD0}"/>
            </c:ext>
          </c:extLst>
        </c:ser>
        <c:dLbls>
          <c:showLegendKey val="0"/>
          <c:showVal val="0"/>
          <c:showCatName val="0"/>
          <c:showSerName val="0"/>
          <c:showPercent val="0"/>
          <c:showBubbleSize val="0"/>
        </c:dLbls>
        <c:axId val="952026504"/>
        <c:axId val="952022568"/>
      </c:areaChart>
      <c:lineChart>
        <c:grouping val="standard"/>
        <c:varyColors val="0"/>
        <c:ser>
          <c:idx val="2"/>
          <c:order val="3"/>
          <c:tx>
            <c:strRef>
              <c:f>'Stream split'!$R$10</c:f>
              <c:strCache>
                <c:ptCount val="1"/>
                <c:pt idx="0">
                  <c:v>Recovery rate (%)</c:v>
                </c:pt>
              </c:strCache>
            </c:strRef>
          </c:tx>
          <c:spPr>
            <a:ln w="28575" cap="rnd">
              <a:solidFill>
                <a:srgbClr val="92D050"/>
              </a:solidFill>
              <a:round/>
            </a:ln>
            <a:effectLst/>
          </c:spPr>
          <c:marker>
            <c:symbol val="circle"/>
            <c:size val="5"/>
            <c:spPr>
              <a:solidFill>
                <a:srgbClr val="FF0000"/>
              </a:solidFill>
              <a:ln w="9525">
                <a:solidFill>
                  <a:srgbClr val="92D050"/>
                </a:solidFill>
              </a:ln>
              <a:effectLst/>
            </c:spPr>
          </c:marke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split'!$S$40:$AC$40</c:f>
              <c:numCache>
                <c:formatCode>0%</c:formatCode>
                <c:ptCount val="8"/>
                <c:pt idx="0">
                  <c:v>0.1681742496025867</c:v>
                </c:pt>
                <c:pt idx="1">
                  <c:v>0.19561799271114294</c:v>
                </c:pt>
                <c:pt idx="2">
                  <c:v>0.20600737990627208</c:v>
                </c:pt>
                <c:pt idx="3">
                  <c:v>0.22882006216725348</c:v>
                </c:pt>
                <c:pt idx="4">
                  <c:v>0.32597618748569485</c:v>
                </c:pt>
                <c:pt idx="5">
                  <c:v>0.33975694324161287</c:v>
                </c:pt>
                <c:pt idx="6">
                  <c:v>0.37764768315775227</c:v>
                </c:pt>
                <c:pt idx="7">
                  <c:v>0.37206543228593508</c:v>
                </c:pt>
              </c:numCache>
            </c:numRef>
          </c:val>
          <c:smooth val="0"/>
          <c:extLst>
            <c:ext xmlns:c16="http://schemas.microsoft.com/office/drawing/2014/chart" uri="{C3380CC4-5D6E-409C-BE32-E72D297353CC}">
              <c16:uniqueId val="{00000003-D208-4F74-95F0-8946F149ACD0}"/>
            </c:ext>
          </c:extLst>
        </c:ser>
        <c:dLbls>
          <c:showLegendKey val="0"/>
          <c:showVal val="0"/>
          <c:showCatName val="0"/>
          <c:showSerName val="0"/>
          <c:showPercent val="0"/>
          <c:showBubbleSize val="0"/>
        </c:dLbls>
        <c:marker val="1"/>
        <c:smooth val="0"/>
        <c:axId val="998123368"/>
        <c:axId val="998125664"/>
      </c:line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between"/>
      </c:valAx>
      <c:valAx>
        <c:axId val="99812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23368"/>
        <c:crosses val="max"/>
        <c:crossBetween val="between"/>
      </c:valAx>
      <c:catAx>
        <c:axId val="998123368"/>
        <c:scaling>
          <c:orientation val="minMax"/>
        </c:scaling>
        <c:delete val="1"/>
        <c:axPos val="b"/>
        <c:numFmt formatCode="General" sourceLinked="1"/>
        <c:majorTickMark val="out"/>
        <c:minorTickMark val="none"/>
        <c:tickLblPos val="nextTo"/>
        <c:crossAx val="998125664"/>
        <c:crosses val="autoZero"/>
        <c:auto val="1"/>
        <c:lblAlgn val="ctr"/>
        <c:lblOffset val="100"/>
        <c:noMultiLvlLbl val="0"/>
      </c:cat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strRef>
              <c:f>'Stream split'!$R$6</c:f>
              <c:strCache>
                <c:ptCount val="1"/>
                <c:pt idx="0">
                  <c:v>Recycling</c:v>
                </c:pt>
              </c:strCache>
            </c:strRef>
          </c:tx>
          <c:spPr>
            <a:solidFill>
              <a:srgbClr val="92D050"/>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split'!$S$6:$AC$6</c:f>
              <c:numCache>
                <c:formatCode>_-* #,##0_-;\-* #,##0_-;_-* "-"??_-;_-@_-</c:formatCode>
                <c:ptCount val="8"/>
                <c:pt idx="0">
                  <c:v>1548636.0653076875</c:v>
                </c:pt>
                <c:pt idx="1">
                  <c:v>1557923.1960975099</c:v>
                </c:pt>
                <c:pt idx="2">
                  <c:v>1990132.2054777653</c:v>
                </c:pt>
                <c:pt idx="3">
                  <c:v>1971060.3561790942</c:v>
                </c:pt>
                <c:pt idx="4">
                  <c:v>2304279.2365418253</c:v>
                </c:pt>
                <c:pt idx="5">
                  <c:v>2428293.2830212084</c:v>
                </c:pt>
                <c:pt idx="6">
                  <c:v>3260763.5463581691</c:v>
                </c:pt>
                <c:pt idx="7">
                  <c:v>3184951.7882074239</c:v>
                </c:pt>
              </c:numCache>
            </c:numRef>
          </c:val>
          <c:extLst>
            <c:ext xmlns:c16="http://schemas.microsoft.com/office/drawing/2014/chart" uri="{C3380CC4-5D6E-409C-BE32-E72D297353CC}">
              <c16:uniqueId val="{00000000-8DCA-4C4C-86BF-4D6B76D12C83}"/>
            </c:ext>
          </c:extLst>
        </c:ser>
        <c:ser>
          <c:idx val="3"/>
          <c:order val="1"/>
          <c:tx>
            <c:strRef>
              <c:f>'Stream split'!$R$7</c:f>
              <c:strCache>
                <c:ptCount val="1"/>
                <c:pt idx="0">
                  <c:v>Energy from waste facility</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split'!$S$7:$AC$7</c:f>
              <c:numCache>
                <c:formatCode>_-* #,##0_-;\-* #,##0_-;_-* "-"??_-;_-@_-</c:formatCode>
                <c:ptCount val="8"/>
                <c:pt idx="0">
                  <c:v>49000</c:v>
                </c:pt>
                <c:pt idx="1">
                  <c:v>82000</c:v>
                </c:pt>
                <c:pt idx="2">
                  <c:v>82000</c:v>
                </c:pt>
                <c:pt idx="3">
                  <c:v>82000</c:v>
                </c:pt>
                <c:pt idx="4">
                  <c:v>133699.5409836066</c:v>
                </c:pt>
                <c:pt idx="5">
                  <c:v>99527.340983606584</c:v>
                </c:pt>
                <c:pt idx="6">
                  <c:v>150012</c:v>
                </c:pt>
                <c:pt idx="7">
                  <c:v>124406.99999999997</c:v>
                </c:pt>
              </c:numCache>
            </c:numRef>
          </c:val>
          <c:extLst>
            <c:ext xmlns:c16="http://schemas.microsoft.com/office/drawing/2014/chart" uri="{C3380CC4-5D6E-409C-BE32-E72D297353CC}">
              <c16:uniqueId val="{00000001-8DCA-4C4C-86BF-4D6B76D12C83}"/>
            </c:ext>
          </c:extLst>
        </c:ser>
        <c:ser>
          <c:idx val="0"/>
          <c:order val="2"/>
          <c:tx>
            <c:strRef>
              <c:f>'Stream split'!$R$5</c:f>
              <c:strCache>
                <c:ptCount val="1"/>
                <c:pt idx="0">
                  <c:v>Landfill</c:v>
                </c:pt>
              </c:strCache>
            </c:strRef>
          </c:tx>
          <c:spPr>
            <a:solidFill>
              <a:schemeClr val="tx1">
                <a:lumMod val="65000"/>
                <a:lumOff val="35000"/>
              </a:schemeClr>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split'!$S$5:$AC$5</c:f>
              <c:numCache>
                <c:formatCode>_-* #,##0_-;\-* #,##0_-;_-* "-"??_-;_-@_-</c:formatCode>
                <c:ptCount val="8"/>
                <c:pt idx="0">
                  <c:v>2945996.3258879897</c:v>
                </c:pt>
                <c:pt idx="1">
                  <c:v>3139782.4646465448</c:v>
                </c:pt>
                <c:pt idx="2">
                  <c:v>2780130.8102022954</c:v>
                </c:pt>
                <c:pt idx="3">
                  <c:v>2682173.7950985301</c:v>
                </c:pt>
                <c:pt idx="4">
                  <c:v>2323935.3460507398</c:v>
                </c:pt>
                <c:pt idx="5">
                  <c:v>2257956.7567135654</c:v>
                </c:pt>
                <c:pt idx="6">
                  <c:v>2070122.1681966598</c:v>
                </c:pt>
                <c:pt idx="7">
                  <c:v>2044192.5506592528</c:v>
                </c:pt>
              </c:numCache>
            </c:numRef>
          </c:val>
          <c:extLst>
            <c:ext xmlns:c16="http://schemas.microsoft.com/office/drawing/2014/chart" uri="{C3380CC4-5D6E-409C-BE32-E72D297353CC}">
              <c16:uniqueId val="{00000002-8DCA-4C4C-86BF-4D6B76D12C83}"/>
            </c:ext>
          </c:extLst>
        </c:ser>
        <c:dLbls>
          <c:showLegendKey val="0"/>
          <c:showVal val="0"/>
          <c:showCatName val="0"/>
          <c:showSerName val="0"/>
          <c:showPercent val="0"/>
          <c:showBubbleSize val="0"/>
        </c:dLbls>
        <c:axId val="952026504"/>
        <c:axId val="952022568"/>
      </c:areaChart>
      <c:lineChart>
        <c:grouping val="standard"/>
        <c:varyColors val="0"/>
        <c:ser>
          <c:idx val="2"/>
          <c:order val="3"/>
          <c:tx>
            <c:strRef>
              <c:f>'Stream split'!$R$10</c:f>
              <c:strCache>
                <c:ptCount val="1"/>
                <c:pt idx="0">
                  <c:v>Recovery rate (%)</c:v>
                </c:pt>
              </c:strCache>
            </c:strRef>
          </c:tx>
          <c:spPr>
            <a:ln w="28575" cap="rnd">
              <a:solidFill>
                <a:srgbClr val="92D050"/>
              </a:solidFill>
              <a:round/>
            </a:ln>
            <a:effectLst/>
          </c:spPr>
          <c:marker>
            <c:symbol val="circle"/>
            <c:size val="5"/>
            <c:spPr>
              <a:solidFill>
                <a:srgbClr val="FF0000"/>
              </a:solidFill>
              <a:ln w="9525">
                <a:solidFill>
                  <a:srgbClr val="92D050"/>
                </a:solidFill>
              </a:ln>
              <a:effectLst/>
            </c:spPr>
          </c:marke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split'!$S$10:$AC$10</c:f>
              <c:numCache>
                <c:formatCode>0%</c:formatCode>
                <c:ptCount val="8"/>
                <c:pt idx="0">
                  <c:v>0.35162089001818708</c:v>
                </c:pt>
                <c:pt idx="1">
                  <c:v>0.34310129378180665</c:v>
                </c:pt>
                <c:pt idx="2">
                  <c:v>0.42704449424560903</c:v>
                </c:pt>
                <c:pt idx="3">
                  <c:v>0.43357103167224653</c:v>
                </c:pt>
                <c:pt idx="4">
                  <c:v>0.51197453676349025</c:v>
                </c:pt>
                <c:pt idx="5">
                  <c:v>0.52819436068824632</c:v>
                </c:pt>
                <c:pt idx="6">
                  <c:v>0.62230235337190565</c:v>
                </c:pt>
                <c:pt idx="7">
                  <c:v>0.61816139955202154</c:v>
                </c:pt>
              </c:numCache>
            </c:numRef>
          </c:val>
          <c:smooth val="0"/>
          <c:extLst>
            <c:ext xmlns:c16="http://schemas.microsoft.com/office/drawing/2014/chart" uri="{C3380CC4-5D6E-409C-BE32-E72D297353CC}">
              <c16:uniqueId val="{00000003-8DCA-4C4C-86BF-4D6B76D12C83}"/>
            </c:ext>
          </c:extLst>
        </c:ser>
        <c:dLbls>
          <c:showLegendKey val="0"/>
          <c:showVal val="0"/>
          <c:showCatName val="0"/>
          <c:showSerName val="0"/>
          <c:showPercent val="0"/>
          <c:showBubbleSize val="0"/>
        </c:dLbls>
        <c:marker val="1"/>
        <c:smooth val="0"/>
        <c:axId val="998123368"/>
        <c:axId val="998125664"/>
      </c:line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between"/>
      </c:valAx>
      <c:valAx>
        <c:axId val="99812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23368"/>
        <c:crosses val="max"/>
        <c:crossBetween val="between"/>
      </c:valAx>
      <c:catAx>
        <c:axId val="998123368"/>
        <c:scaling>
          <c:orientation val="minMax"/>
        </c:scaling>
        <c:delete val="1"/>
        <c:axPos val="b"/>
        <c:numFmt formatCode="General" sourceLinked="1"/>
        <c:majorTickMark val="out"/>
        <c:minorTickMark val="none"/>
        <c:tickLblPos val="nextTo"/>
        <c:crossAx val="998125664"/>
        <c:crosses val="autoZero"/>
        <c:auto val="1"/>
        <c:lblAlgn val="ctr"/>
        <c:lblOffset val="100"/>
        <c:noMultiLvlLbl val="0"/>
      </c:cat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strRef>
              <c:f>'Stream split'!$R$6</c:f>
              <c:strCache>
                <c:ptCount val="1"/>
                <c:pt idx="0">
                  <c:v>Recycling</c:v>
                </c:pt>
              </c:strCache>
            </c:strRef>
          </c:tx>
          <c:spPr>
            <a:solidFill>
              <a:srgbClr val="92D050"/>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split'!$S$69:$AC$69</c:f>
              <c:numCache>
                <c:formatCode>_-* #,##0_-;\-* #,##0_-;_-* "-"??_-;_-@_-</c:formatCode>
                <c:ptCount val="8"/>
                <c:pt idx="0">
                  <c:v>188729.64394064623</c:v>
                </c:pt>
                <c:pt idx="1">
                  <c:v>221514.64847066632</c:v>
                </c:pt>
                <c:pt idx="2">
                  <c:v>180896.61</c:v>
                </c:pt>
                <c:pt idx="3">
                  <c:v>149695</c:v>
                </c:pt>
                <c:pt idx="4">
                  <c:v>213734.47752918766</c:v>
                </c:pt>
                <c:pt idx="5">
                  <c:v>229938.63199999998</c:v>
                </c:pt>
                <c:pt idx="6">
                  <c:v>362689.40879444155</c:v>
                </c:pt>
                <c:pt idx="7">
                  <c:v>340843.44758888311</c:v>
                </c:pt>
              </c:numCache>
            </c:numRef>
          </c:val>
          <c:extLst>
            <c:ext xmlns:c16="http://schemas.microsoft.com/office/drawing/2014/chart" uri="{C3380CC4-5D6E-409C-BE32-E72D297353CC}">
              <c16:uniqueId val="{00000000-8CDE-48D7-82B2-EA421DC3FCF4}"/>
            </c:ext>
          </c:extLst>
        </c:ser>
        <c:ser>
          <c:idx val="3"/>
          <c:order val="1"/>
          <c:tx>
            <c:strRef>
              <c:f>'Stream split'!$R$7</c:f>
              <c:strCache>
                <c:ptCount val="1"/>
                <c:pt idx="0">
                  <c:v>Energy from waste facility</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split'!$S$70:$AC$70</c:f>
              <c:numCache>
                <c:formatCode>_-* #,##0_-;\-* #,##0_-;_-* "-"??_-;_-@_-</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8CDE-48D7-82B2-EA421DC3FCF4}"/>
            </c:ext>
          </c:extLst>
        </c:ser>
        <c:ser>
          <c:idx val="0"/>
          <c:order val="2"/>
          <c:tx>
            <c:strRef>
              <c:f>'Stream split'!$R$5</c:f>
              <c:strCache>
                <c:ptCount val="1"/>
                <c:pt idx="0">
                  <c:v>Landfill</c:v>
                </c:pt>
              </c:strCache>
            </c:strRef>
          </c:tx>
          <c:spPr>
            <a:solidFill>
              <a:schemeClr val="tx1">
                <a:lumMod val="65000"/>
                <a:lumOff val="35000"/>
              </a:schemeClr>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split'!$S$68:$AC$68</c:f>
              <c:numCache>
                <c:formatCode>_-* #,##0_-;\-* #,##0_-;_-* "-"??_-;_-@_-</c:formatCode>
                <c:ptCount val="8"/>
                <c:pt idx="0">
                  <c:v>642958.91080960061</c:v>
                </c:pt>
                <c:pt idx="1">
                  <c:v>789986.69243568741</c:v>
                </c:pt>
                <c:pt idx="2">
                  <c:v>697010.92069277912</c:v>
                </c:pt>
                <c:pt idx="3">
                  <c:v>625460.24142039649</c:v>
                </c:pt>
                <c:pt idx="4">
                  <c:v>777118.06728745275</c:v>
                </c:pt>
                <c:pt idx="5">
                  <c:v>726581.94279661088</c:v>
                </c:pt>
                <c:pt idx="6">
                  <c:v>522012.57226852636</c:v>
                </c:pt>
                <c:pt idx="7">
                  <c:v>505113.57452823711</c:v>
                </c:pt>
              </c:numCache>
            </c:numRef>
          </c:val>
          <c:extLst>
            <c:ext xmlns:c16="http://schemas.microsoft.com/office/drawing/2014/chart" uri="{C3380CC4-5D6E-409C-BE32-E72D297353CC}">
              <c16:uniqueId val="{00000002-8CDE-48D7-82B2-EA421DC3FCF4}"/>
            </c:ext>
          </c:extLst>
        </c:ser>
        <c:dLbls>
          <c:showLegendKey val="0"/>
          <c:showVal val="0"/>
          <c:showCatName val="0"/>
          <c:showSerName val="0"/>
          <c:showPercent val="0"/>
          <c:showBubbleSize val="0"/>
        </c:dLbls>
        <c:axId val="952026504"/>
        <c:axId val="952022568"/>
      </c:areaChart>
      <c:lineChart>
        <c:grouping val="standard"/>
        <c:varyColors val="0"/>
        <c:ser>
          <c:idx val="2"/>
          <c:order val="3"/>
          <c:tx>
            <c:strRef>
              <c:f>'Stream split'!$R$10</c:f>
              <c:strCache>
                <c:ptCount val="1"/>
                <c:pt idx="0">
                  <c:v>Recovery rate (%)</c:v>
                </c:pt>
              </c:strCache>
            </c:strRef>
          </c:tx>
          <c:spPr>
            <a:ln w="28575" cap="rnd">
              <a:solidFill>
                <a:srgbClr val="92D050"/>
              </a:solidFill>
              <a:round/>
            </a:ln>
            <a:effectLst/>
          </c:spPr>
          <c:marker>
            <c:symbol val="circle"/>
            <c:size val="5"/>
            <c:spPr>
              <a:solidFill>
                <a:srgbClr val="FF0000"/>
              </a:solidFill>
              <a:ln w="9525">
                <a:solidFill>
                  <a:srgbClr val="92D050"/>
                </a:solidFill>
              </a:ln>
              <a:effectLst/>
            </c:spPr>
          </c:marke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'Stream split'!$S$73:$AC$73</c:f>
              <c:numCache>
                <c:formatCode>0%</c:formatCode>
                <c:ptCount val="8"/>
                <c:pt idx="0">
                  <c:v>0.22692345934388997</c:v>
                </c:pt>
                <c:pt idx="1">
                  <c:v>0.21899590194529903</c:v>
                </c:pt>
                <c:pt idx="2">
                  <c:v>0.2060542866710004</c:v>
                </c:pt>
                <c:pt idx="3">
                  <c:v>0.19311615532096318</c:v>
                </c:pt>
                <c:pt idx="4">
                  <c:v>0.21570765362341549</c:v>
                </c:pt>
                <c:pt idx="5">
                  <c:v>0.24039068061750041</c:v>
                </c:pt>
                <c:pt idx="6">
                  <c:v>0.40995659166341059</c:v>
                </c:pt>
                <c:pt idx="7">
                  <c:v>0.40290870419856195</c:v>
                </c:pt>
              </c:numCache>
            </c:numRef>
          </c:val>
          <c:smooth val="0"/>
          <c:extLst>
            <c:ext xmlns:c16="http://schemas.microsoft.com/office/drawing/2014/chart" uri="{C3380CC4-5D6E-409C-BE32-E72D297353CC}">
              <c16:uniqueId val="{00000003-8CDE-48D7-82B2-EA421DC3FCF4}"/>
            </c:ext>
          </c:extLst>
        </c:ser>
        <c:dLbls>
          <c:showLegendKey val="0"/>
          <c:showVal val="0"/>
          <c:showCatName val="0"/>
          <c:showSerName val="0"/>
          <c:showPercent val="0"/>
          <c:showBubbleSize val="0"/>
        </c:dLbls>
        <c:marker val="1"/>
        <c:smooth val="0"/>
        <c:axId val="998123368"/>
        <c:axId val="998125664"/>
      </c:line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between"/>
      </c:valAx>
      <c:valAx>
        <c:axId val="99812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23368"/>
        <c:crosses val="max"/>
        <c:crossBetween val="between"/>
      </c:valAx>
      <c:catAx>
        <c:axId val="998123368"/>
        <c:scaling>
          <c:orientation val="minMax"/>
        </c:scaling>
        <c:delete val="1"/>
        <c:axPos val="b"/>
        <c:numFmt formatCode="General" sourceLinked="1"/>
        <c:majorTickMark val="out"/>
        <c:minorTickMark val="none"/>
        <c:tickLblPos val="nextTo"/>
        <c:crossAx val="99812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1"/>
          <c:tx>
            <c:strRef>
              <c:f>'Food organics'!$R$6</c:f>
              <c:strCache>
                <c:ptCount val="1"/>
                <c:pt idx="0">
                  <c:v>Recycling</c:v>
                </c:pt>
              </c:strCache>
            </c:strRef>
          </c:tx>
          <c:spPr>
            <a:solidFill>
              <a:srgbClr val="92D050"/>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'Food organics'!$S$6:$AC$6</c:f>
              <c:numCache>
                <c:formatCode>_-* #,##0_-;\-* #,##0_-;_-* "-"??_-;_-@_-</c:formatCode>
                <c:ptCount val="8"/>
                <c:pt idx="0">
                  <c:v>39454</c:v>
                </c:pt>
                <c:pt idx="1">
                  <c:v>24543</c:v>
                </c:pt>
                <c:pt idx="2">
                  <c:v>45224</c:v>
                </c:pt>
                <c:pt idx="3">
                  <c:v>41753.021412536691</c:v>
                </c:pt>
                <c:pt idx="4">
                  <c:v>175875.96880433138</c:v>
                </c:pt>
                <c:pt idx="5">
                  <c:v>547798.44533011748</c:v>
                </c:pt>
                <c:pt idx="6">
                  <c:v>486949.13449497387</c:v>
                </c:pt>
                <c:pt idx="7">
                  <c:v>491065.86778133246</c:v>
                </c:pt>
              </c:numCache>
            </c:numRef>
          </c:val>
          <c:extLst>
            <c:ext xmlns:c16="http://schemas.microsoft.com/office/drawing/2014/chart" uri="{C3380CC4-5D6E-409C-BE32-E72D297353CC}">
              <c16:uniqueId val="{00000000-24BA-4126-AE59-2D89140C5797}"/>
            </c:ext>
          </c:extLst>
        </c:ser>
        <c:ser>
          <c:idx val="3"/>
          <c:order val="2"/>
          <c:tx>
            <c:strRef>
              <c:f>'Food organics'!$R$7</c:f>
              <c:strCache>
                <c:ptCount val="1"/>
                <c:pt idx="0">
                  <c:v>Energy from waste facility</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'Food organics'!$S$7:$AC$7</c:f>
              <c:numCache>
                <c:formatCode>_-* #,##0_-;\-* #,##0_-;_-* "-"??_-;_-@_-</c:formatCode>
                <c:ptCount val="8"/>
                <c:pt idx="0">
                  <c:v>0</c:v>
                </c:pt>
                <c:pt idx="1">
                  <c:v>0</c:v>
                </c:pt>
                <c:pt idx="2">
                  <c:v>0</c:v>
                </c:pt>
                <c:pt idx="3">
                  <c:v>0</c:v>
                </c:pt>
                <c:pt idx="4">
                  <c:v>30243.540983606563</c:v>
                </c:pt>
                <c:pt idx="5">
                  <c:v>30243.540983606566</c:v>
                </c:pt>
                <c:pt idx="6">
                  <c:v>50000</c:v>
                </c:pt>
                <c:pt idx="7">
                  <c:v>50000</c:v>
                </c:pt>
              </c:numCache>
            </c:numRef>
          </c:val>
          <c:extLst>
            <c:ext xmlns:c16="http://schemas.microsoft.com/office/drawing/2014/chart" uri="{C3380CC4-5D6E-409C-BE32-E72D297353CC}">
              <c16:uniqueId val="{00000001-24BA-4126-AE59-2D89140C5797}"/>
            </c:ext>
          </c:extLst>
        </c:ser>
        <c:ser>
          <c:idx val="0"/>
          <c:order val="3"/>
          <c:tx>
            <c:strRef>
              <c:f>'Food organics'!$R$5</c:f>
              <c:strCache>
                <c:ptCount val="1"/>
                <c:pt idx="0">
                  <c:v>Landfill</c:v>
                </c:pt>
              </c:strCache>
            </c:strRef>
          </c:tx>
          <c:spPr>
            <a:solidFill>
              <a:schemeClr val="tx1">
                <a:lumMod val="65000"/>
                <a:lumOff val="35000"/>
              </a:schemeClr>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'Food organics'!$S$5:$AC$5</c:f>
              <c:numCache>
                <c:formatCode>_-* #,##0_-;\-* #,##0_-;_-* "-"??_-;_-@_-</c:formatCode>
                <c:ptCount val="8"/>
                <c:pt idx="0">
                  <c:v>4791890.5001195073</c:v>
                </c:pt>
                <c:pt idx="1">
                  <c:v>4881297.6305340249</c:v>
                </c:pt>
                <c:pt idx="2">
                  <c:v>4766579.2661373466</c:v>
                </c:pt>
                <c:pt idx="3">
                  <c:v>4598740.9951805677</c:v>
                </c:pt>
                <c:pt idx="4">
                  <c:v>4520391.5371666187</c:v>
                </c:pt>
                <c:pt idx="5">
                  <c:v>4017183.9715874069</c:v>
                </c:pt>
                <c:pt idx="6">
                  <c:v>3727835.7621158659</c:v>
                </c:pt>
                <c:pt idx="7">
                  <c:v>3769546.1500287056</c:v>
                </c:pt>
              </c:numCache>
            </c:numRef>
          </c:val>
          <c:extLst>
            <c:ext xmlns:c16="http://schemas.microsoft.com/office/drawing/2014/chart" uri="{C3380CC4-5D6E-409C-BE32-E72D297353CC}">
              <c16:uniqueId val="{00000002-24BA-4126-AE59-2D89140C5797}"/>
            </c:ext>
          </c:extLst>
        </c:ser>
        <c:dLbls>
          <c:showLegendKey val="0"/>
          <c:showVal val="0"/>
          <c:showCatName val="0"/>
          <c:showSerName val="0"/>
          <c:showPercent val="0"/>
          <c:showBubbleSize val="0"/>
        </c:dLbls>
        <c:axId val="952026504"/>
        <c:axId val="952022568"/>
      </c:areaChart>
      <c:lineChart>
        <c:grouping val="standard"/>
        <c:varyColors val="0"/>
        <c:ser>
          <c:idx val="2"/>
          <c:order val="0"/>
          <c:tx>
            <c:strRef>
              <c:f>'Food organics'!$R$10</c:f>
              <c:strCache>
                <c:ptCount val="1"/>
                <c:pt idx="0">
                  <c:v>Recovery rate (%)</c:v>
                </c:pt>
              </c:strCache>
            </c:strRef>
          </c:tx>
          <c:spPr>
            <a:ln w="28575" cap="rnd">
              <a:solidFill>
                <a:srgbClr val="92D050"/>
              </a:solidFill>
              <a:round/>
            </a:ln>
            <a:effectLst/>
          </c:spPr>
          <c:marker>
            <c:symbol val="circle"/>
            <c:size val="5"/>
            <c:spPr>
              <a:solidFill>
                <a:srgbClr val="FF0000"/>
              </a:solidFill>
              <a:ln w="9525">
                <a:solidFill>
                  <a:srgbClr val="92D050"/>
                </a:solidFill>
              </a:ln>
              <a:effectLst/>
            </c:spPr>
          </c:marke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'Food organics'!$S$10:$AC$10</c:f>
              <c:numCache>
                <c:formatCode>0%</c:formatCode>
                <c:ptCount val="8"/>
                <c:pt idx="0">
                  <c:v>8.166256825408346E-3</c:v>
                </c:pt>
                <c:pt idx="1">
                  <c:v>5.0028123309273451E-3</c:v>
                </c:pt>
                <c:pt idx="2">
                  <c:v>9.3985554892196087E-3</c:v>
                </c:pt>
                <c:pt idx="3">
                  <c:v>8.9975380343643597E-3</c:v>
                </c:pt>
                <c:pt idx="4">
                  <c:v>4.3609230517031666E-2</c:v>
                </c:pt>
                <c:pt idx="5">
                  <c:v>0.12579185258993114</c:v>
                </c:pt>
                <c:pt idx="6">
                  <c:v>0.12590298163025271</c:v>
                </c:pt>
                <c:pt idx="7">
                  <c:v>0.12551950060590591</c:v>
                </c:pt>
              </c:numCache>
            </c:numRef>
          </c:val>
          <c:smooth val="0"/>
          <c:extLst>
            <c:ext xmlns:c16="http://schemas.microsoft.com/office/drawing/2014/chart" uri="{C3380CC4-5D6E-409C-BE32-E72D297353CC}">
              <c16:uniqueId val="{00000003-24BA-4126-AE59-2D89140C5797}"/>
            </c:ext>
          </c:extLst>
        </c:ser>
        <c:dLbls>
          <c:showLegendKey val="0"/>
          <c:showVal val="0"/>
          <c:showCatName val="0"/>
          <c:showSerName val="0"/>
          <c:showPercent val="0"/>
          <c:showBubbleSize val="0"/>
        </c:dLbls>
        <c:marker val="1"/>
        <c:smooth val="0"/>
        <c:axId val="998123368"/>
        <c:axId val="998125664"/>
      </c:line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between"/>
      </c:valAx>
      <c:valAx>
        <c:axId val="99812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23368"/>
        <c:crosses val="max"/>
        <c:crossBetween val="between"/>
      </c:valAx>
      <c:catAx>
        <c:axId val="998123368"/>
        <c:scaling>
          <c:orientation val="minMax"/>
        </c:scaling>
        <c:delete val="1"/>
        <c:axPos val="b"/>
        <c:numFmt formatCode="General" sourceLinked="1"/>
        <c:majorTickMark val="out"/>
        <c:minorTickMark val="none"/>
        <c:tickLblPos val="nextTo"/>
        <c:crossAx val="99812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strRef>
              <c:f>'C&amp;I food org'!$R$6</c:f>
              <c:strCache>
                <c:ptCount val="1"/>
                <c:pt idx="0">
                  <c:v>Recycling</c:v>
                </c:pt>
              </c:strCache>
            </c:strRef>
          </c:tx>
          <c:spPr>
            <a:solidFill>
              <a:srgbClr val="92D050"/>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'C&amp;I food org'!$S$6:$AC$6</c:f>
              <c:numCache>
                <c:formatCode>_-* #,##0_-;\-* #,##0_-;_-* "-"??_-;_-@_-</c:formatCode>
                <c:ptCount val="8"/>
                <c:pt idx="0">
                  <c:v>35473</c:v>
                </c:pt>
                <c:pt idx="1">
                  <c:v>12546</c:v>
                </c:pt>
                <c:pt idx="2">
                  <c:v>31971</c:v>
                </c:pt>
                <c:pt idx="3">
                  <c:v>22368</c:v>
                </c:pt>
                <c:pt idx="4">
                  <c:v>85913.177570093452</c:v>
                </c:pt>
                <c:pt idx="5">
                  <c:v>249973.86196614715</c:v>
                </c:pt>
                <c:pt idx="6">
                  <c:v>219145.4410095358</c:v>
                </c:pt>
                <c:pt idx="7">
                  <c:v>175766.81500972577</c:v>
                </c:pt>
              </c:numCache>
            </c:numRef>
          </c:val>
          <c:extLst>
            <c:ext xmlns:c16="http://schemas.microsoft.com/office/drawing/2014/chart" uri="{C3380CC4-5D6E-409C-BE32-E72D297353CC}">
              <c16:uniqueId val="{00000000-634A-4054-94E0-8CD1E63283EC}"/>
            </c:ext>
          </c:extLst>
        </c:ser>
        <c:ser>
          <c:idx val="3"/>
          <c:order val="1"/>
          <c:tx>
            <c:strRef>
              <c:f>'C&amp;I food org'!$R$7</c:f>
              <c:strCache>
                <c:ptCount val="1"/>
                <c:pt idx="0">
                  <c:v>Energy from waste facility</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'C&amp;I food org'!$S$7:$AC$7</c:f>
              <c:numCache>
                <c:formatCode>_-* #,##0_-;\-* #,##0_-;_-* "-"??_-;_-@_-</c:formatCode>
                <c:ptCount val="8"/>
                <c:pt idx="0">
                  <c:v>0</c:v>
                </c:pt>
                <c:pt idx="1">
                  <c:v>0</c:v>
                </c:pt>
                <c:pt idx="2">
                  <c:v>0</c:v>
                </c:pt>
                <c:pt idx="3">
                  <c:v>0</c:v>
                </c:pt>
                <c:pt idx="4">
                  <c:v>30243.540983606563</c:v>
                </c:pt>
                <c:pt idx="5">
                  <c:v>30243.540983606566</c:v>
                </c:pt>
                <c:pt idx="6">
                  <c:v>50000</c:v>
                </c:pt>
                <c:pt idx="7">
                  <c:v>50000</c:v>
                </c:pt>
              </c:numCache>
            </c:numRef>
          </c:val>
          <c:extLst>
            <c:ext xmlns:c16="http://schemas.microsoft.com/office/drawing/2014/chart" uri="{C3380CC4-5D6E-409C-BE32-E72D297353CC}">
              <c16:uniqueId val="{00000001-634A-4054-94E0-8CD1E63283EC}"/>
            </c:ext>
          </c:extLst>
        </c:ser>
        <c:ser>
          <c:idx val="0"/>
          <c:order val="2"/>
          <c:tx>
            <c:strRef>
              <c:f>'C&amp;I food org'!$R$5</c:f>
              <c:strCache>
                <c:ptCount val="1"/>
                <c:pt idx="0">
                  <c:v>Landfill</c:v>
                </c:pt>
              </c:strCache>
            </c:strRef>
          </c:tx>
          <c:spPr>
            <a:solidFill>
              <a:schemeClr val="tx1">
                <a:lumMod val="65000"/>
                <a:lumOff val="35000"/>
              </a:schemeClr>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'C&amp;I food org'!$S$5:$AC$5</c:f>
              <c:numCache>
                <c:formatCode>_-* #,##0_-;\-* #,##0_-;_-* "-"??_-;_-@_-</c:formatCode>
                <c:ptCount val="8"/>
                <c:pt idx="0">
                  <c:v>1563814.5892717161</c:v>
                </c:pt>
                <c:pt idx="1">
                  <c:v>1665531.6348525074</c:v>
                </c:pt>
                <c:pt idx="2">
                  <c:v>1459226.35801013</c:v>
                </c:pt>
                <c:pt idx="3">
                  <c:v>1398363.6874076549</c:v>
                </c:pt>
                <c:pt idx="4">
                  <c:v>1106939.406783042</c:v>
                </c:pt>
                <c:pt idx="5">
                  <c:v>1053755.2864531863</c:v>
                </c:pt>
                <c:pt idx="6">
                  <c:v>978919.0524381249</c:v>
                </c:pt>
                <c:pt idx="7">
                  <c:v>939555.15852045384</c:v>
                </c:pt>
              </c:numCache>
            </c:numRef>
          </c:val>
          <c:extLst>
            <c:ext xmlns:c16="http://schemas.microsoft.com/office/drawing/2014/chart" uri="{C3380CC4-5D6E-409C-BE32-E72D297353CC}">
              <c16:uniqueId val="{00000002-634A-4054-94E0-8CD1E63283EC}"/>
            </c:ext>
          </c:extLst>
        </c:ser>
        <c:dLbls>
          <c:showLegendKey val="0"/>
          <c:showVal val="0"/>
          <c:showCatName val="0"/>
          <c:showSerName val="0"/>
          <c:showPercent val="0"/>
          <c:showBubbleSize val="0"/>
        </c:dLbls>
        <c:axId val="952026504"/>
        <c:axId val="952022568"/>
      </c:areaChart>
      <c:lineChart>
        <c:grouping val="standard"/>
        <c:varyColors val="0"/>
        <c:ser>
          <c:idx val="2"/>
          <c:order val="3"/>
          <c:tx>
            <c:strRef>
              <c:f>'C&amp;I food org'!$R$10</c:f>
              <c:strCache>
                <c:ptCount val="1"/>
                <c:pt idx="0">
                  <c:v>Recovery rate (%)</c:v>
                </c:pt>
              </c:strCache>
            </c:strRef>
          </c:tx>
          <c:spPr>
            <a:ln w="28575" cap="rnd">
              <a:solidFill>
                <a:srgbClr val="92D050"/>
              </a:solidFill>
              <a:round/>
            </a:ln>
            <a:effectLst/>
          </c:spPr>
          <c:marker>
            <c:symbol val="circle"/>
            <c:size val="5"/>
            <c:spPr>
              <a:solidFill>
                <a:srgbClr val="FF0000"/>
              </a:solidFill>
              <a:ln w="9525">
                <a:solidFill>
                  <a:srgbClr val="92D050"/>
                </a:solidFill>
              </a:ln>
              <a:effectLst/>
            </c:spPr>
          </c:marke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'C&amp;I food org'!$S$10:$AC$10</c:f>
              <c:numCache>
                <c:formatCode>0%</c:formatCode>
                <c:ptCount val="8"/>
                <c:pt idx="0">
                  <c:v>2.2180501016801926E-2</c:v>
                </c:pt>
                <c:pt idx="1">
                  <c:v>7.4764121393601172E-3</c:v>
                </c:pt>
                <c:pt idx="2">
                  <c:v>2.1439818028287316E-2</c:v>
                </c:pt>
                <c:pt idx="3">
                  <c:v>1.5744000220628485E-2</c:v>
                </c:pt>
                <c:pt idx="4">
                  <c:v>9.4969410946110083E-2</c:v>
                </c:pt>
                <c:pt idx="5">
                  <c:v>0.21006232374605321</c:v>
                </c:pt>
                <c:pt idx="6">
                  <c:v>0.21565026681117003</c:v>
                </c:pt>
                <c:pt idx="7">
                  <c:v>0.1937377138146609</c:v>
                </c:pt>
              </c:numCache>
            </c:numRef>
          </c:val>
          <c:smooth val="0"/>
          <c:extLst>
            <c:ext xmlns:c16="http://schemas.microsoft.com/office/drawing/2014/chart" uri="{C3380CC4-5D6E-409C-BE32-E72D297353CC}">
              <c16:uniqueId val="{00000003-634A-4054-94E0-8CD1E63283EC}"/>
            </c:ext>
          </c:extLst>
        </c:ser>
        <c:dLbls>
          <c:showLegendKey val="0"/>
          <c:showVal val="0"/>
          <c:showCatName val="0"/>
          <c:showSerName val="0"/>
          <c:showPercent val="0"/>
          <c:showBubbleSize val="0"/>
        </c:dLbls>
        <c:marker val="1"/>
        <c:smooth val="0"/>
        <c:axId val="998123368"/>
        <c:axId val="998125664"/>
      </c:line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between"/>
      </c:valAx>
      <c:valAx>
        <c:axId val="99812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23368"/>
        <c:crosses val="max"/>
        <c:crossBetween val="between"/>
      </c:valAx>
      <c:catAx>
        <c:axId val="998123368"/>
        <c:scaling>
          <c:orientation val="minMax"/>
        </c:scaling>
        <c:delete val="1"/>
        <c:axPos val="b"/>
        <c:numFmt formatCode="General" sourceLinked="1"/>
        <c:majorTickMark val="out"/>
        <c:minorTickMark val="none"/>
        <c:tickLblPos val="nextTo"/>
        <c:crossAx val="99812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strRef>
              <c:f>'Garden organics'!$R$6</c:f>
              <c:strCache>
                <c:ptCount val="1"/>
                <c:pt idx="0">
                  <c:v>Recycling</c:v>
                </c:pt>
              </c:strCache>
            </c:strRef>
          </c:tx>
          <c:spPr>
            <a:solidFill>
              <a:srgbClr val="92D050"/>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'Garden organics'!$S$6:$AC$6</c:f>
              <c:numCache>
                <c:formatCode>_-* #,##0_-;\-* #,##0_-;_-* "-"??_-;_-@_-</c:formatCode>
                <c:ptCount val="8"/>
                <c:pt idx="0">
                  <c:v>710439.99231635348</c:v>
                </c:pt>
                <c:pt idx="1">
                  <c:v>926831.1399141557</c:v>
                </c:pt>
                <c:pt idx="2">
                  <c:v>981276.10091544432</c:v>
                </c:pt>
                <c:pt idx="3">
                  <c:v>1278688.7185325888</c:v>
                </c:pt>
                <c:pt idx="4">
                  <c:v>1780521.4272719368</c:v>
                </c:pt>
                <c:pt idx="5">
                  <c:v>2797721.9510081401</c:v>
                </c:pt>
                <c:pt idx="6">
                  <c:v>2950877.6495710309</c:v>
                </c:pt>
                <c:pt idx="7">
                  <c:v>2984275.8051364128</c:v>
                </c:pt>
              </c:numCache>
            </c:numRef>
          </c:val>
          <c:extLst>
            <c:ext xmlns:c16="http://schemas.microsoft.com/office/drawing/2014/chart" uri="{C3380CC4-5D6E-409C-BE32-E72D297353CC}">
              <c16:uniqueId val="{00000000-F4B3-4346-A090-6D75A6C393BB}"/>
            </c:ext>
          </c:extLst>
        </c:ser>
        <c:ser>
          <c:idx val="3"/>
          <c:order val="1"/>
          <c:tx>
            <c:strRef>
              <c:f>'Garden organics'!$R$7</c:f>
              <c:strCache>
                <c:ptCount val="1"/>
                <c:pt idx="0">
                  <c:v>Energy from waste facility</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'Garden organics'!$S$7:$AC$7</c:f>
              <c:numCache>
                <c:formatCode>_-* #,##0_-;\-* #,##0_-;_-* "-"??_-;_-@_-</c:formatCode>
                <c:ptCount val="8"/>
                <c:pt idx="0">
                  <c:v>139000</c:v>
                </c:pt>
                <c:pt idx="1">
                  <c:v>139000</c:v>
                </c:pt>
                <c:pt idx="2">
                  <c:v>139000</c:v>
                </c:pt>
                <c:pt idx="3">
                  <c:v>139000</c:v>
                </c:pt>
                <c:pt idx="4">
                  <c:v>96518</c:v>
                </c:pt>
                <c:pt idx="5">
                  <c:v>114430.9</c:v>
                </c:pt>
                <c:pt idx="6">
                  <c:v>126247.00000000001</c:v>
                </c:pt>
                <c:pt idx="7">
                  <c:v>39174</c:v>
                </c:pt>
              </c:numCache>
            </c:numRef>
          </c:val>
          <c:extLst>
            <c:ext xmlns:c16="http://schemas.microsoft.com/office/drawing/2014/chart" uri="{C3380CC4-5D6E-409C-BE32-E72D297353CC}">
              <c16:uniqueId val="{00000001-F4B3-4346-A090-6D75A6C393BB}"/>
            </c:ext>
          </c:extLst>
        </c:ser>
        <c:ser>
          <c:idx val="0"/>
          <c:order val="3"/>
          <c:tx>
            <c:strRef>
              <c:f>'Garden organics'!$R$5</c:f>
              <c:strCache>
                <c:ptCount val="1"/>
                <c:pt idx="0">
                  <c:v>Landfill</c:v>
                </c:pt>
              </c:strCache>
            </c:strRef>
          </c:tx>
          <c:spPr>
            <a:solidFill>
              <a:schemeClr val="tx1">
                <a:lumMod val="65000"/>
                <a:lumOff val="35000"/>
              </a:schemeClr>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'Garden organics'!$S$5:$AC$5</c:f>
              <c:numCache>
                <c:formatCode>_-* #,##0_-;\-* #,##0_-;_-* "-"??_-;_-@_-</c:formatCode>
                <c:ptCount val="8"/>
                <c:pt idx="0">
                  <c:v>1650728.1578821316</c:v>
                </c:pt>
                <c:pt idx="1">
                  <c:v>1701880.3287053197</c:v>
                </c:pt>
                <c:pt idx="2">
                  <c:v>1732183.2201144404</c:v>
                </c:pt>
                <c:pt idx="3">
                  <c:v>1640719.7163386764</c:v>
                </c:pt>
                <c:pt idx="4">
                  <c:v>1304436.0621781722</c:v>
                </c:pt>
                <c:pt idx="5">
                  <c:v>1591808.4715788867</c:v>
                </c:pt>
                <c:pt idx="6">
                  <c:v>1303073.5810687572</c:v>
                </c:pt>
                <c:pt idx="7">
                  <c:v>1329127.5354735467</c:v>
                </c:pt>
              </c:numCache>
            </c:numRef>
          </c:val>
          <c:extLst>
            <c:ext xmlns:c16="http://schemas.microsoft.com/office/drawing/2014/chart" uri="{C3380CC4-5D6E-409C-BE32-E72D297353CC}">
              <c16:uniqueId val="{00000002-F4B3-4346-A090-6D75A6C393BB}"/>
            </c:ext>
          </c:extLst>
        </c:ser>
        <c:dLbls>
          <c:showLegendKey val="0"/>
          <c:showVal val="0"/>
          <c:showCatName val="0"/>
          <c:showSerName val="0"/>
          <c:showPercent val="0"/>
          <c:showBubbleSize val="0"/>
        </c:dLbls>
        <c:axId val="952026504"/>
        <c:axId val="952022568"/>
      </c:areaChart>
      <c:lineChart>
        <c:grouping val="standard"/>
        <c:varyColors val="0"/>
        <c:ser>
          <c:idx val="2"/>
          <c:order val="2"/>
          <c:tx>
            <c:strRef>
              <c:f>'Garden organics'!$R$10</c:f>
              <c:strCache>
                <c:ptCount val="1"/>
                <c:pt idx="0">
                  <c:v>Recovery rate (%)</c:v>
                </c:pt>
              </c:strCache>
            </c:strRef>
          </c:tx>
          <c:spPr>
            <a:ln w="28575" cap="rnd">
              <a:solidFill>
                <a:srgbClr val="92D050"/>
              </a:solidFill>
              <a:round/>
            </a:ln>
            <a:effectLst/>
          </c:spPr>
          <c:marker>
            <c:symbol val="circle"/>
            <c:size val="5"/>
            <c:spPr>
              <a:solidFill>
                <a:srgbClr val="FF0000"/>
              </a:solidFill>
              <a:ln w="9525">
                <a:solidFill>
                  <a:srgbClr val="92D050"/>
                </a:solidFill>
              </a:ln>
              <a:effectLst/>
            </c:spPr>
          </c:marke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'Garden organics'!$S$10:$AC$10</c:f>
              <c:numCache>
                <c:formatCode>0%</c:formatCode>
                <c:ptCount val="8"/>
                <c:pt idx="0">
                  <c:v>0.33975314510302734</c:v>
                </c:pt>
                <c:pt idx="1">
                  <c:v>0.38509474415907541</c:v>
                </c:pt>
                <c:pt idx="2">
                  <c:v>0.39274043021618515</c:v>
                </c:pt>
                <c:pt idx="3">
                  <c:v>0.46353806194373193</c:v>
                </c:pt>
                <c:pt idx="4">
                  <c:v>0.58999022104563403</c:v>
                </c:pt>
                <c:pt idx="5">
                  <c:v>0.64657590117479746</c:v>
                </c:pt>
                <c:pt idx="6">
                  <c:v>0.70250808012439525</c:v>
                </c:pt>
                <c:pt idx="7" formatCode="0.0%">
                  <c:v>0.69463436684452207</c:v>
                </c:pt>
              </c:numCache>
            </c:numRef>
          </c:val>
          <c:smooth val="0"/>
          <c:extLst>
            <c:ext xmlns:c16="http://schemas.microsoft.com/office/drawing/2014/chart" uri="{C3380CC4-5D6E-409C-BE32-E72D297353CC}">
              <c16:uniqueId val="{00000003-F4B3-4346-A090-6D75A6C393BB}"/>
            </c:ext>
          </c:extLst>
        </c:ser>
        <c:dLbls>
          <c:showLegendKey val="0"/>
          <c:showVal val="0"/>
          <c:showCatName val="0"/>
          <c:showSerName val="0"/>
          <c:showPercent val="0"/>
          <c:showBubbleSize val="0"/>
        </c:dLbls>
        <c:marker val="1"/>
        <c:smooth val="0"/>
        <c:axId val="998123368"/>
        <c:axId val="998125664"/>
      </c:line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between"/>
      </c:valAx>
      <c:valAx>
        <c:axId val="99812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23368"/>
        <c:crosses val="max"/>
        <c:crossBetween val="between"/>
      </c:valAx>
      <c:catAx>
        <c:axId val="998123368"/>
        <c:scaling>
          <c:orientation val="minMax"/>
        </c:scaling>
        <c:delete val="1"/>
        <c:axPos val="b"/>
        <c:numFmt formatCode="General" sourceLinked="1"/>
        <c:majorTickMark val="out"/>
        <c:minorTickMark val="none"/>
        <c:tickLblPos val="nextTo"/>
        <c:crossAx val="99812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strRef>
              <c:f>Timber!$R$6</c:f>
              <c:strCache>
                <c:ptCount val="1"/>
                <c:pt idx="0">
                  <c:v>Recycling</c:v>
                </c:pt>
              </c:strCache>
            </c:strRef>
          </c:tx>
          <c:spPr>
            <a:solidFill>
              <a:srgbClr val="92D050"/>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Timber!$S$6:$AC$6</c:f>
              <c:numCache>
                <c:formatCode>_-* #,##0_-;\-* #,##0_-;_-* "-"??_-;_-@_-</c:formatCode>
                <c:ptCount val="8"/>
                <c:pt idx="0">
                  <c:v>646398.29748124164</c:v>
                </c:pt>
                <c:pt idx="1">
                  <c:v>612128.86727323476</c:v>
                </c:pt>
                <c:pt idx="2">
                  <c:v>626262.57217367738</c:v>
                </c:pt>
                <c:pt idx="3">
                  <c:v>576682.51623208425</c:v>
                </c:pt>
                <c:pt idx="4">
                  <c:v>656441.42400985654</c:v>
                </c:pt>
                <c:pt idx="5">
                  <c:v>1154005.0025899159</c:v>
                </c:pt>
                <c:pt idx="6">
                  <c:v>1065958.6787327016</c:v>
                </c:pt>
                <c:pt idx="7">
                  <c:v>998212.26905101701</c:v>
                </c:pt>
              </c:numCache>
            </c:numRef>
          </c:val>
          <c:extLst>
            <c:ext xmlns:c16="http://schemas.microsoft.com/office/drawing/2014/chart" uri="{C3380CC4-5D6E-409C-BE32-E72D297353CC}">
              <c16:uniqueId val="{00000000-0F2A-44ED-AE78-4F1FAB17D875}"/>
            </c:ext>
          </c:extLst>
        </c:ser>
        <c:ser>
          <c:idx val="3"/>
          <c:order val="1"/>
          <c:tx>
            <c:strRef>
              <c:f>Timber!$R$7</c:f>
              <c:strCache>
                <c:ptCount val="1"/>
                <c:pt idx="0">
                  <c:v>Energy from waste facility</c:v>
                </c:pt>
              </c:strCache>
            </c:strRef>
          </c:tx>
          <c:spPr>
            <a:solidFill>
              <a:schemeClr val="accent2"/>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Timber!$S$7:$AC$7</c:f>
              <c:numCache>
                <c:formatCode>_-* #,##0_-;\-* #,##0_-;_-* "-"??_-;_-@_-</c:formatCode>
                <c:ptCount val="8"/>
                <c:pt idx="0">
                  <c:v>49000</c:v>
                </c:pt>
                <c:pt idx="1">
                  <c:v>82000</c:v>
                </c:pt>
                <c:pt idx="2">
                  <c:v>82000</c:v>
                </c:pt>
                <c:pt idx="3">
                  <c:v>82000</c:v>
                </c:pt>
                <c:pt idx="4">
                  <c:v>103456</c:v>
                </c:pt>
                <c:pt idx="5">
                  <c:v>69283.8</c:v>
                </c:pt>
                <c:pt idx="6">
                  <c:v>97012</c:v>
                </c:pt>
                <c:pt idx="7">
                  <c:v>73107</c:v>
                </c:pt>
              </c:numCache>
            </c:numRef>
          </c:val>
          <c:extLst>
            <c:ext xmlns:c16="http://schemas.microsoft.com/office/drawing/2014/chart" uri="{C3380CC4-5D6E-409C-BE32-E72D297353CC}">
              <c16:uniqueId val="{00000001-0F2A-44ED-AE78-4F1FAB17D875}"/>
            </c:ext>
          </c:extLst>
        </c:ser>
        <c:ser>
          <c:idx val="0"/>
          <c:order val="2"/>
          <c:tx>
            <c:strRef>
              <c:f>Timber!$R$5</c:f>
              <c:strCache>
                <c:ptCount val="1"/>
                <c:pt idx="0">
                  <c:v>Landfill</c:v>
                </c:pt>
              </c:strCache>
            </c:strRef>
          </c:tx>
          <c:spPr>
            <a:solidFill>
              <a:schemeClr val="tx1">
                <a:lumMod val="65000"/>
                <a:lumOff val="35000"/>
              </a:schemeClr>
            </a:solidFill>
            <a:ln w="25400">
              <a:noFill/>
            </a:ln>
            <a:effectLst/>
          </c:spP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Timber!$S$5:$AC$5</c:f>
              <c:numCache>
                <c:formatCode>_-* #,##0_-;\-* #,##0_-;_-* "-"??_-;_-@_-</c:formatCode>
                <c:ptCount val="8"/>
                <c:pt idx="0">
                  <c:v>1468578.1651822028</c:v>
                </c:pt>
                <c:pt idx="1">
                  <c:v>1669439.2213308811</c:v>
                </c:pt>
                <c:pt idx="2">
                  <c:v>1552420.4480893884</c:v>
                </c:pt>
                <c:pt idx="3">
                  <c:v>1460036.2637923534</c:v>
                </c:pt>
                <c:pt idx="4">
                  <c:v>1564964.5764766396</c:v>
                </c:pt>
                <c:pt idx="5">
                  <c:v>1506557.4986901456</c:v>
                </c:pt>
                <c:pt idx="6">
                  <c:v>1268564.2211548979</c:v>
                </c:pt>
                <c:pt idx="7">
                  <c:v>1273870.5753788017</c:v>
                </c:pt>
              </c:numCache>
            </c:numRef>
          </c:val>
          <c:extLst>
            <c:ext xmlns:c16="http://schemas.microsoft.com/office/drawing/2014/chart" uri="{C3380CC4-5D6E-409C-BE32-E72D297353CC}">
              <c16:uniqueId val="{00000002-0F2A-44ED-AE78-4F1FAB17D875}"/>
            </c:ext>
          </c:extLst>
        </c:ser>
        <c:dLbls>
          <c:showLegendKey val="0"/>
          <c:showVal val="0"/>
          <c:showCatName val="0"/>
          <c:showSerName val="0"/>
          <c:showPercent val="0"/>
          <c:showBubbleSize val="0"/>
        </c:dLbls>
        <c:axId val="952026504"/>
        <c:axId val="952022568"/>
      </c:areaChart>
      <c:lineChart>
        <c:grouping val="standard"/>
        <c:varyColors val="0"/>
        <c:ser>
          <c:idx val="2"/>
          <c:order val="3"/>
          <c:tx>
            <c:strRef>
              <c:f>Timber!$R$10</c:f>
              <c:strCache>
                <c:ptCount val="1"/>
                <c:pt idx="0">
                  <c:v>Recovery rate (%)</c:v>
                </c:pt>
              </c:strCache>
            </c:strRef>
          </c:tx>
          <c:spPr>
            <a:ln w="28575" cap="rnd">
              <a:solidFill>
                <a:srgbClr val="92D050"/>
              </a:solidFill>
              <a:round/>
            </a:ln>
            <a:effectLst/>
          </c:spPr>
          <c:marker>
            <c:symbol val="circle"/>
            <c:size val="5"/>
            <c:spPr>
              <a:solidFill>
                <a:srgbClr val="FF0000"/>
              </a:solidFill>
              <a:ln w="9525">
                <a:solidFill>
                  <a:srgbClr val="92D050"/>
                </a:solidFill>
              </a:ln>
              <a:effectLst/>
            </c:spPr>
          </c:marker>
          <c:cat>
            <c:numRef>
              <c:f>Generation!$R$1:$AB$1</c:f>
              <c:numCache>
                <c:formatCode>General</c:formatCode>
                <c:ptCount val="8"/>
                <c:pt idx="0">
                  <c:v>2007</c:v>
                </c:pt>
                <c:pt idx="1">
                  <c:v>2009</c:v>
                </c:pt>
                <c:pt idx="2">
                  <c:v>2010</c:v>
                </c:pt>
                <c:pt idx="3">
                  <c:v>2011</c:v>
                </c:pt>
                <c:pt idx="4">
                  <c:v>2014</c:v>
                </c:pt>
                <c:pt idx="5">
                  <c:v>2015</c:v>
                </c:pt>
                <c:pt idx="6">
                  <c:v>2016</c:v>
                </c:pt>
                <c:pt idx="7">
                  <c:v>2017</c:v>
                </c:pt>
              </c:numCache>
            </c:numRef>
          </c:cat>
          <c:val>
            <c:numRef>
              <c:f>Timber!$S$10:$AC$10</c:f>
              <c:numCache>
                <c:formatCode>0%</c:formatCode>
                <c:ptCount val="8"/>
                <c:pt idx="0">
                  <c:v>0.32135206157711077</c:v>
                </c:pt>
                <c:pt idx="1">
                  <c:v>0.29367838845851729</c:v>
                </c:pt>
                <c:pt idx="2">
                  <c:v>0.31329583396935501</c:v>
                </c:pt>
                <c:pt idx="3">
                  <c:v>0.31088718448254227</c:v>
                </c:pt>
                <c:pt idx="4">
                  <c:v>0.32685700220092284</c:v>
                </c:pt>
                <c:pt idx="5">
                  <c:v>0.44811636538522315</c:v>
                </c:pt>
                <c:pt idx="6">
                  <c:v>0.47828664881037125</c:v>
                </c:pt>
                <c:pt idx="7">
                  <c:v>0.45681558428865049</c:v>
                </c:pt>
              </c:numCache>
            </c:numRef>
          </c:val>
          <c:smooth val="0"/>
          <c:extLst>
            <c:ext xmlns:c16="http://schemas.microsoft.com/office/drawing/2014/chart" uri="{C3380CC4-5D6E-409C-BE32-E72D297353CC}">
              <c16:uniqueId val="{00000003-0F2A-44ED-AE78-4F1FAB17D875}"/>
            </c:ext>
          </c:extLst>
        </c:ser>
        <c:dLbls>
          <c:showLegendKey val="0"/>
          <c:showVal val="0"/>
          <c:showCatName val="0"/>
          <c:showSerName val="0"/>
          <c:showPercent val="0"/>
          <c:showBubbleSize val="0"/>
        </c:dLbls>
        <c:marker val="1"/>
        <c:smooth val="0"/>
        <c:axId val="998123368"/>
        <c:axId val="998125664"/>
      </c:lineChart>
      <c:catAx>
        <c:axId val="95202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2568"/>
        <c:crosses val="autoZero"/>
        <c:auto val="1"/>
        <c:lblAlgn val="ctr"/>
        <c:lblOffset val="100"/>
        <c:noMultiLvlLbl val="0"/>
      </c:catAx>
      <c:valAx>
        <c:axId val="95202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26504"/>
        <c:crosses val="autoZero"/>
        <c:crossBetween val="between"/>
      </c:valAx>
      <c:valAx>
        <c:axId val="99812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23368"/>
        <c:crosses val="max"/>
        <c:crossBetween val="between"/>
      </c:valAx>
      <c:catAx>
        <c:axId val="998123368"/>
        <c:scaling>
          <c:orientation val="minMax"/>
        </c:scaling>
        <c:delete val="1"/>
        <c:axPos val="b"/>
        <c:numFmt formatCode="General" sourceLinked="1"/>
        <c:majorTickMark val="out"/>
        <c:minorTickMark val="none"/>
        <c:tickLblPos val="nextTo"/>
        <c:crossAx val="99812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9A7E70F-2C40-4798-80FB-566908EC4F48}">
  <ds:schemaRefs>
    <ds:schemaRef ds:uri="http://schemas.openxmlformats.org/officeDocument/2006/bibliography"/>
  </ds:schemaRefs>
</ds:datastoreItem>
</file>

<file path=customXml/itemProps2.xml><?xml version="1.0" encoding="utf-8"?>
<ds:datastoreItem xmlns:ds="http://schemas.openxmlformats.org/officeDocument/2006/customXml" ds:itemID="{7D3B652D-F679-4C89-8793-F7B3515F3F43}"/>
</file>

<file path=customXml/itemProps3.xml><?xml version="1.0" encoding="utf-8"?>
<ds:datastoreItem xmlns:ds="http://schemas.openxmlformats.org/officeDocument/2006/customXml" ds:itemID="{3619A693-58B1-4F22-B2D9-D993E551D33A}"/>
</file>

<file path=customXml/itemProps4.xml><?xml version="1.0" encoding="utf-8"?>
<ds:datastoreItem xmlns:ds="http://schemas.openxmlformats.org/officeDocument/2006/customXml" ds:itemID="{0883AD2E-E5F5-42DB-8ED3-A3140F932E86}"/>
</file>

<file path=docProps/app.xml><?xml version="1.0" encoding="utf-8"?>
<Properties xmlns="http://schemas.openxmlformats.org/officeDocument/2006/extended-properties" xmlns:vt="http://schemas.openxmlformats.org/officeDocument/2006/docPropsVTypes">
  <Template>Normal.dotm</Template>
  <TotalTime>0</TotalTime>
  <Pages>24</Pages>
  <Words>5676</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Opportunities to increase organic waste recovery</vt:lpstr>
    </vt:vector>
  </TitlesOfParts>
  <Company/>
  <LinksUpToDate>false</LinksUpToDate>
  <CharactersWithSpaces>37955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Opportunities to increase organic waste recovery</dc:title>
  <dc:creator/>
  <cp:lastModifiedBy/>
  <cp:revision>1</cp:revision>
  <dcterms:created xsi:type="dcterms:W3CDTF">2021-03-22T05:59:00Z</dcterms:created>
  <dcterms:modified xsi:type="dcterms:W3CDTF">2021-03-22T05:59:00Z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