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FA70C" w14:textId="77777777" w:rsidR="006F1A41" w:rsidRDefault="006F1A41">
      <w:pPr>
        <w:pStyle w:val="Date"/>
      </w:pPr>
    </w:p>
    <w:p w14:paraId="0D55CB81" w14:textId="569B5C2C" w:rsidR="000E455C" w:rsidRPr="002204C8" w:rsidRDefault="002204C8" w:rsidP="006F1A41">
      <w:pPr>
        <w:pStyle w:val="Date"/>
        <w:spacing w:before="0" w:after="0"/>
      </w:pPr>
      <w:r w:rsidRPr="002204C8">
        <w:t>March 2021</w:t>
      </w:r>
    </w:p>
    <w:p w14:paraId="7BF15D39" w14:textId="2D6BF7E7" w:rsidR="000E455C" w:rsidRPr="006606BF" w:rsidRDefault="001E5E1F" w:rsidP="00A76646">
      <w:pPr>
        <w:pStyle w:val="Heading2"/>
      </w:pPr>
      <w:r w:rsidRPr="006606BF">
        <w:t>Improv</w:t>
      </w:r>
      <w:r w:rsidR="006606BF">
        <w:t>ed</w:t>
      </w:r>
      <w:r w:rsidRPr="006606BF">
        <w:t xml:space="preserve"> </w:t>
      </w:r>
      <w:r w:rsidR="006606BF">
        <w:t>a</w:t>
      </w:r>
      <w:r w:rsidRPr="006606BF">
        <w:t xml:space="preserve">gricultural </w:t>
      </w:r>
      <w:r w:rsidR="006606BF">
        <w:t>e</w:t>
      </w:r>
      <w:r w:rsidRPr="006606BF">
        <w:t xml:space="preserve">xport </w:t>
      </w:r>
      <w:r w:rsidR="006606BF">
        <w:t>l</w:t>
      </w:r>
      <w:r w:rsidRPr="006606BF">
        <w:t>egislation</w:t>
      </w:r>
    </w:p>
    <w:p w14:paraId="5AFDBC49" w14:textId="43C31626" w:rsidR="001E5E1F" w:rsidRDefault="000F43D2" w:rsidP="006606BF">
      <w:pPr>
        <w:pStyle w:val="Heading1"/>
        <w:rPr>
          <w:sz w:val="32"/>
          <w:szCs w:val="32"/>
        </w:rPr>
      </w:pPr>
      <w:r w:rsidRPr="006F1A41">
        <w:t xml:space="preserve">Summary of </w:t>
      </w:r>
      <w:r w:rsidR="00B75B7E">
        <w:t xml:space="preserve">benefits </w:t>
      </w:r>
      <w:r w:rsidR="005239B3">
        <w:t xml:space="preserve">of the </w:t>
      </w:r>
      <w:r w:rsidR="00B75B7E" w:rsidRPr="006606BF">
        <w:rPr>
          <w:i/>
          <w:iCs/>
        </w:rPr>
        <w:t>Export Control Act 2020</w:t>
      </w:r>
    </w:p>
    <w:p w14:paraId="069C0692" w14:textId="66491195" w:rsidR="000E455C" w:rsidRDefault="00D750D0">
      <w:r>
        <w:t xml:space="preserve">The </w:t>
      </w:r>
      <w:r w:rsidR="00190D7E" w:rsidRPr="00A76646">
        <w:rPr>
          <w:i/>
          <w:iCs/>
        </w:rPr>
        <w:t xml:space="preserve">Export Control </w:t>
      </w:r>
      <w:r w:rsidR="002204C8" w:rsidRPr="00A76646">
        <w:rPr>
          <w:i/>
          <w:iCs/>
        </w:rPr>
        <w:t>Act 2020</w:t>
      </w:r>
      <w:r w:rsidR="00A50E45">
        <w:t xml:space="preserve"> </w:t>
      </w:r>
      <w:r w:rsidR="002204C8">
        <w:t>re</w:t>
      </w:r>
      <w:r>
        <w:t>place</w:t>
      </w:r>
      <w:r w:rsidR="006606BF">
        <w:t>d</w:t>
      </w:r>
      <w:r>
        <w:t xml:space="preserve"> the </w:t>
      </w:r>
      <w:r w:rsidRPr="00C765C8">
        <w:rPr>
          <w:rStyle w:val="Emphasis"/>
        </w:rPr>
        <w:t>Export Control Act 1982</w:t>
      </w:r>
      <w:r>
        <w:t xml:space="preserve"> and certain parts of the </w:t>
      </w:r>
      <w:r>
        <w:rPr>
          <w:rStyle w:val="Emphasis"/>
        </w:rPr>
        <w:t>Australian Meat and Live-stock Industry Act 1997</w:t>
      </w:r>
      <w:r>
        <w:t xml:space="preserve"> (</w:t>
      </w:r>
      <w:r w:rsidRPr="00190D7E">
        <w:t>AMLI Act)</w:t>
      </w:r>
      <w:r>
        <w:t xml:space="preserve"> </w:t>
      </w:r>
      <w:r w:rsidR="00A50E45">
        <w:t xml:space="preserve">when </w:t>
      </w:r>
      <w:r w:rsidR="006606BF">
        <w:t xml:space="preserve">it commenced on 28 March 2021. It is </w:t>
      </w:r>
      <w:r>
        <w:t>the Commonwealth</w:t>
      </w:r>
      <w:r w:rsidR="00AE1E6E">
        <w:t>'</w:t>
      </w:r>
      <w:r>
        <w:t xml:space="preserve">s primary legislation governing the control of </w:t>
      </w:r>
      <w:r w:rsidR="00F90E54">
        <w:t xml:space="preserve">agricultural </w:t>
      </w:r>
      <w:r>
        <w:t>exports.</w:t>
      </w:r>
      <w:r w:rsidR="00FA0AF3">
        <w:t xml:space="preserve"> The </w:t>
      </w:r>
      <w:r w:rsidR="00A50E45">
        <w:t xml:space="preserve">Australian Government introduced the new legislation </w:t>
      </w:r>
      <w:r w:rsidR="006606BF">
        <w:t xml:space="preserve">as part of a wider </w:t>
      </w:r>
      <w:r w:rsidR="00FA0AF3">
        <w:t xml:space="preserve">initiative </w:t>
      </w:r>
      <w:r w:rsidR="005E552E">
        <w:t xml:space="preserve">to </w:t>
      </w:r>
      <w:r w:rsidR="00A50E45">
        <w:t>strengthen</w:t>
      </w:r>
      <w:r w:rsidR="006606BF">
        <w:t xml:space="preserve"> Australia’s agricultural exports and market access.</w:t>
      </w:r>
    </w:p>
    <w:p w14:paraId="1ADAE73E" w14:textId="58ED542F" w:rsidR="0004749B" w:rsidRPr="00A76646" w:rsidRDefault="00D161A0" w:rsidP="002204C8">
      <w:pPr>
        <w:pStyle w:val="Heading2"/>
      </w:pPr>
      <w:r w:rsidRPr="00A76646">
        <w:t>Benefits</w:t>
      </w:r>
      <w:r w:rsidR="00731332" w:rsidRPr="00A76646">
        <w:t xml:space="preserve"> of the new export legislation</w:t>
      </w:r>
    </w:p>
    <w:p w14:paraId="09E4BDFB" w14:textId="2475F37D" w:rsidR="00F40C16" w:rsidRPr="0002408B" w:rsidRDefault="00F40C16" w:rsidP="00F40C16">
      <w:pPr>
        <w:pStyle w:val="ListParagraph"/>
        <w:numPr>
          <w:ilvl w:val="0"/>
          <w:numId w:val="33"/>
        </w:numPr>
        <w:spacing w:before="120"/>
        <w:ind w:left="360"/>
        <w:rPr>
          <w:rFonts w:ascii="Cambria" w:hAnsi="Cambria"/>
        </w:rPr>
      </w:pPr>
      <w:r w:rsidRPr="0002408B">
        <w:rPr>
          <w:rFonts w:ascii="Cambria" w:hAnsi="Cambria"/>
        </w:rPr>
        <w:t>The new legislation assists farmers, other primary producers and exporters by:</w:t>
      </w:r>
    </w:p>
    <w:p w14:paraId="2758ED5F" w14:textId="77777777" w:rsidR="00F40C16" w:rsidRPr="0002408B" w:rsidRDefault="00F40C16" w:rsidP="00F40C16">
      <w:pPr>
        <w:pStyle w:val="ListParagraph"/>
        <w:numPr>
          <w:ilvl w:val="1"/>
          <w:numId w:val="33"/>
        </w:numPr>
        <w:spacing w:before="120"/>
        <w:ind w:left="1080"/>
        <w:rPr>
          <w:rFonts w:ascii="Cambria" w:hAnsi="Cambria"/>
        </w:rPr>
      </w:pPr>
      <w:r w:rsidRPr="0002408B">
        <w:rPr>
          <w:rFonts w:ascii="Cambria" w:hAnsi="Cambria"/>
        </w:rPr>
        <w:t>reducing duplication, being more relevant and efficient and making export regulation easier to understand and comply with</w:t>
      </w:r>
    </w:p>
    <w:p w14:paraId="19972F47" w14:textId="77777777" w:rsidR="00F40C16" w:rsidRPr="0002408B" w:rsidRDefault="00F40C16" w:rsidP="00F40C16">
      <w:pPr>
        <w:pStyle w:val="ListParagraph"/>
        <w:numPr>
          <w:ilvl w:val="1"/>
          <w:numId w:val="33"/>
        </w:numPr>
        <w:spacing w:before="120"/>
        <w:ind w:left="1080"/>
        <w:rPr>
          <w:rFonts w:ascii="Cambria" w:hAnsi="Cambria"/>
        </w:rPr>
      </w:pPr>
      <w:r w:rsidRPr="0002408B">
        <w:rPr>
          <w:rFonts w:ascii="Cambria" w:hAnsi="Cambria"/>
        </w:rPr>
        <w:t>supporting the export of a broader range of agricultural exports, thereby encouraging farmers and prospective exporters to engage in international trade, particularly those involved in small, niche or emerging industries</w:t>
      </w:r>
    </w:p>
    <w:p w14:paraId="57FD817F" w14:textId="77777777" w:rsidR="00F40C16" w:rsidRPr="0002408B" w:rsidRDefault="00F40C16" w:rsidP="00F40C16">
      <w:pPr>
        <w:numPr>
          <w:ilvl w:val="1"/>
          <w:numId w:val="33"/>
        </w:numPr>
        <w:shd w:val="clear" w:color="auto" w:fill="FFFFFF"/>
        <w:spacing w:before="120" w:line="240" w:lineRule="auto"/>
        <w:ind w:left="1080"/>
        <w:rPr>
          <w:rFonts w:ascii="Cambria" w:eastAsia="Times New Roman" w:hAnsi="Cambria" w:cs="Calibri"/>
          <w:color w:val="000000"/>
          <w:lang w:eastAsia="en-AU"/>
        </w:rPr>
      </w:pPr>
      <w:r w:rsidRPr="0002408B">
        <w:rPr>
          <w:rFonts w:ascii="Cambria" w:eastAsia="Times New Roman" w:hAnsi="Cambria" w:cs="Calibri"/>
          <w:color w:val="000000"/>
          <w:lang w:eastAsia="en-AU"/>
        </w:rPr>
        <w:t xml:space="preserve">providing the flexibility to enable regulatory changes to be made much more quickly to support changes in importing country requirements   </w:t>
      </w:r>
    </w:p>
    <w:p w14:paraId="335DC2A6" w14:textId="77777777" w:rsidR="00F40C16" w:rsidRPr="0002408B" w:rsidRDefault="00F40C16" w:rsidP="00F40C16">
      <w:pPr>
        <w:numPr>
          <w:ilvl w:val="1"/>
          <w:numId w:val="33"/>
        </w:numPr>
        <w:shd w:val="clear" w:color="auto" w:fill="FFFFFF"/>
        <w:spacing w:before="120" w:line="240" w:lineRule="auto"/>
        <w:ind w:left="1080"/>
        <w:rPr>
          <w:rFonts w:ascii="Cambria" w:eastAsia="Times New Roman" w:hAnsi="Cambria" w:cs="Calibri"/>
          <w:color w:val="000000"/>
          <w:lang w:eastAsia="en-AU"/>
        </w:rPr>
      </w:pPr>
      <w:r w:rsidRPr="0002408B">
        <w:rPr>
          <w:rFonts w:ascii="Cambria" w:eastAsia="Times New Roman" w:hAnsi="Cambria" w:cs="Calibri"/>
          <w:color w:val="000000"/>
          <w:lang w:eastAsia="en-AU"/>
        </w:rPr>
        <w:t xml:space="preserve">encouraging the uptake of innovation by farmers and exporters to meet regulatory requirements </w:t>
      </w:r>
    </w:p>
    <w:p w14:paraId="2F012828" w14:textId="77777777" w:rsidR="00F40C16" w:rsidRPr="0002408B" w:rsidRDefault="00F40C16" w:rsidP="00FB7EF7">
      <w:pPr>
        <w:numPr>
          <w:ilvl w:val="1"/>
          <w:numId w:val="33"/>
        </w:numPr>
        <w:shd w:val="clear" w:color="auto" w:fill="FFFFFF"/>
        <w:spacing w:before="120" w:after="0" w:line="240" w:lineRule="auto"/>
        <w:ind w:left="1077" w:hanging="357"/>
        <w:rPr>
          <w:rFonts w:ascii="Cambria" w:eastAsia="Times New Roman" w:hAnsi="Cambria" w:cs="Calibri"/>
          <w:color w:val="000000"/>
          <w:lang w:eastAsia="en-AU"/>
        </w:rPr>
      </w:pPr>
      <w:r w:rsidRPr="0002408B">
        <w:rPr>
          <w:rFonts w:ascii="Cambria" w:eastAsia="Times New Roman" w:hAnsi="Cambria" w:cs="Calibri"/>
          <w:color w:val="000000"/>
          <w:lang w:eastAsia="en-AU"/>
        </w:rPr>
        <w:t>including provisions for automated decision making, where approved by the Secretary, that are aimed at making regulatory processes more efficient and effective.</w:t>
      </w:r>
    </w:p>
    <w:p w14:paraId="55DEA06B" w14:textId="7BFB6F47" w:rsidR="00F40C16" w:rsidRPr="0002408B" w:rsidRDefault="00F40C16" w:rsidP="00FB7EF7">
      <w:pPr>
        <w:pStyle w:val="ListParagraph"/>
        <w:numPr>
          <w:ilvl w:val="0"/>
          <w:numId w:val="33"/>
        </w:numPr>
        <w:spacing w:before="120"/>
        <w:ind w:left="357" w:hanging="357"/>
        <w:rPr>
          <w:rFonts w:ascii="Cambria" w:hAnsi="Cambria"/>
        </w:rPr>
      </w:pPr>
      <w:r w:rsidRPr="0002408B">
        <w:rPr>
          <w:rFonts w:ascii="Cambria" w:hAnsi="Cambria"/>
        </w:rPr>
        <w:t xml:space="preserve">In response to stakeholder feedback </w:t>
      </w:r>
      <w:r w:rsidR="003E7F66" w:rsidRPr="0002408B">
        <w:rPr>
          <w:rFonts w:ascii="Cambria" w:hAnsi="Cambria"/>
        </w:rPr>
        <w:t xml:space="preserve">provided as part of the </w:t>
      </w:r>
      <w:r w:rsidRPr="0002408B">
        <w:rPr>
          <w:rFonts w:ascii="Cambria" w:hAnsi="Cambria"/>
        </w:rPr>
        <w:t xml:space="preserve">2015 review of the previous export legislation, the new legislation </w:t>
      </w:r>
      <w:r w:rsidR="003E7F66" w:rsidRPr="0002408B">
        <w:rPr>
          <w:rFonts w:ascii="Cambria" w:hAnsi="Cambria"/>
        </w:rPr>
        <w:t xml:space="preserve">includes </w:t>
      </w:r>
      <w:r w:rsidRPr="0002408B">
        <w:rPr>
          <w:rFonts w:ascii="Cambria" w:hAnsi="Cambria"/>
        </w:rPr>
        <w:t>a broader range of penalties and sanctions. This i</w:t>
      </w:r>
      <w:r w:rsidR="003E7F66" w:rsidRPr="0002408B">
        <w:rPr>
          <w:rFonts w:ascii="Cambria" w:hAnsi="Cambria"/>
        </w:rPr>
        <w:t xml:space="preserve">s intended to </w:t>
      </w:r>
      <w:r w:rsidRPr="0002408B">
        <w:rPr>
          <w:rFonts w:ascii="Cambria" w:hAnsi="Cambria"/>
        </w:rPr>
        <w:t>provid</w:t>
      </w:r>
      <w:r w:rsidR="003E7F66" w:rsidRPr="0002408B">
        <w:rPr>
          <w:rFonts w:ascii="Cambria" w:hAnsi="Cambria"/>
        </w:rPr>
        <w:t>e</w:t>
      </w:r>
      <w:r w:rsidRPr="0002408B">
        <w:rPr>
          <w:rFonts w:ascii="Cambria" w:hAnsi="Cambria"/>
        </w:rPr>
        <w:t xml:space="preserve"> a higher level of deterrence for those who would seek to disregard our regulatory requirements and damage our export markets. It also enables more targeted regulatory action in instances where non-compliance does occur.</w:t>
      </w:r>
    </w:p>
    <w:p w14:paraId="05A1F6AE" w14:textId="4F4053B6" w:rsidR="00F40C16" w:rsidRPr="0002408B" w:rsidRDefault="002F0350" w:rsidP="00FB7EF7">
      <w:pPr>
        <w:pStyle w:val="ListParagraph"/>
        <w:numPr>
          <w:ilvl w:val="0"/>
          <w:numId w:val="33"/>
        </w:numPr>
        <w:spacing w:before="120"/>
        <w:ind w:left="357" w:hanging="357"/>
        <w:rPr>
          <w:rFonts w:ascii="Cambria" w:hAnsi="Cambria"/>
        </w:rPr>
      </w:pPr>
      <w:r w:rsidRPr="0002408B">
        <w:rPr>
          <w:rFonts w:ascii="Cambria" w:eastAsia="Times New Roman" w:hAnsi="Cambria" w:cs="Calibri"/>
          <w:color w:val="000000"/>
          <w:lang w:eastAsia="en-AU"/>
        </w:rPr>
        <w:t xml:space="preserve">The </w:t>
      </w:r>
      <w:r w:rsidR="00F40C16" w:rsidRPr="0002408B">
        <w:rPr>
          <w:rFonts w:ascii="Cambria" w:eastAsia="Times New Roman" w:hAnsi="Cambria" w:cs="Calibri"/>
          <w:color w:val="000000"/>
          <w:lang w:eastAsia="en-AU"/>
        </w:rPr>
        <w:t xml:space="preserve">new legislation maintains Australia’s </w:t>
      </w:r>
      <w:r w:rsidR="00F40C16" w:rsidRPr="0002408B">
        <w:rPr>
          <w:rFonts w:ascii="Cambria" w:hAnsi="Cambria"/>
        </w:rPr>
        <w:t>commitment to meeting:</w:t>
      </w:r>
    </w:p>
    <w:p w14:paraId="7E10E671" w14:textId="3DF943BF" w:rsidR="00E4011E" w:rsidRPr="0002408B" w:rsidRDefault="00021447" w:rsidP="00F40C16">
      <w:pPr>
        <w:pStyle w:val="ListParagraph"/>
        <w:numPr>
          <w:ilvl w:val="1"/>
          <w:numId w:val="33"/>
        </w:numPr>
        <w:spacing w:before="120"/>
        <w:ind w:left="1080"/>
        <w:rPr>
          <w:rFonts w:ascii="Cambria" w:hAnsi="Cambria"/>
        </w:rPr>
      </w:pPr>
      <w:r w:rsidRPr="0002408B">
        <w:rPr>
          <w:rFonts w:ascii="Cambria" w:hAnsi="Cambria"/>
        </w:rPr>
        <w:t xml:space="preserve">the </w:t>
      </w:r>
      <w:r w:rsidR="00F40C16" w:rsidRPr="0002408B">
        <w:rPr>
          <w:rFonts w:ascii="Cambria" w:hAnsi="Cambria"/>
        </w:rPr>
        <w:t>importing country requirements</w:t>
      </w:r>
      <w:r w:rsidRPr="0002408B">
        <w:rPr>
          <w:rFonts w:ascii="Cambria" w:hAnsi="Cambria"/>
        </w:rPr>
        <w:t xml:space="preserve"> of our trading partners</w:t>
      </w:r>
    </w:p>
    <w:p w14:paraId="1EA8D4CC" w14:textId="7C5C9392" w:rsidR="00021447" w:rsidRPr="0002408B" w:rsidRDefault="00021447" w:rsidP="00021447">
      <w:pPr>
        <w:pStyle w:val="ListParagraph"/>
        <w:numPr>
          <w:ilvl w:val="1"/>
          <w:numId w:val="33"/>
        </w:numPr>
        <w:spacing w:before="120"/>
        <w:ind w:left="1080"/>
        <w:rPr>
          <w:rFonts w:ascii="Cambria" w:hAnsi="Cambria"/>
        </w:rPr>
      </w:pPr>
      <w:r w:rsidRPr="0002408B">
        <w:rPr>
          <w:rFonts w:ascii="Cambria" w:hAnsi="Cambria"/>
        </w:rPr>
        <w:t>our international obligations, including those under the World Trade Organization (WTO) Agreement on the Application of Sanitary and Phytosanitary Measures (SPS Agreement).</w:t>
      </w:r>
    </w:p>
    <w:p w14:paraId="74F18AD7" w14:textId="100936F5" w:rsidR="000E455C" w:rsidRPr="00731332" w:rsidRDefault="00D750D0" w:rsidP="008B71A5">
      <w:pPr>
        <w:pStyle w:val="Heading2"/>
        <w:rPr>
          <w:sz w:val="20"/>
          <w:szCs w:val="20"/>
        </w:rPr>
      </w:pPr>
      <w:r w:rsidRPr="008B71A5">
        <w:t>Further information</w:t>
      </w:r>
    </w:p>
    <w:p w14:paraId="536229CA" w14:textId="287EB7D5" w:rsidR="004B17E0" w:rsidRPr="008B71A5" w:rsidRDefault="004B17E0">
      <w:pPr>
        <w:rPr>
          <w:lang w:eastAsia="ja-JP"/>
        </w:rPr>
      </w:pPr>
      <w:r w:rsidRPr="0071667F">
        <w:rPr>
          <w:lang w:eastAsia="ja-JP"/>
        </w:rPr>
        <w:t>Telephone 1800 502 437 or (61 2) 6272 4209 (from outside Australia)</w:t>
      </w:r>
    </w:p>
    <w:p w14:paraId="40788418" w14:textId="49929178" w:rsidR="00A50E45" w:rsidRDefault="00D750D0">
      <w:pPr>
        <w:rPr>
          <w:sz w:val="20"/>
          <w:szCs w:val="20"/>
          <w:lang w:eastAsia="ja-JP"/>
        </w:rPr>
      </w:pPr>
      <w:r w:rsidRPr="00731332">
        <w:rPr>
          <w:sz w:val="20"/>
          <w:szCs w:val="20"/>
          <w:lang w:eastAsia="ja-JP"/>
        </w:rPr>
        <w:t xml:space="preserve">Email </w:t>
      </w:r>
      <w:hyperlink r:id="rId11" w:history="1">
        <w:r w:rsidRPr="00731332">
          <w:rPr>
            <w:rStyle w:val="Hyperlink"/>
            <w:sz w:val="20"/>
            <w:szCs w:val="20"/>
            <w:lang w:eastAsia="ja-JP"/>
          </w:rPr>
          <w:t>exportlegislation@agriculture.gov.au</w:t>
        </w:r>
      </w:hyperlink>
    </w:p>
    <w:p w14:paraId="4A15A930" w14:textId="3CC08343" w:rsidR="000E455C" w:rsidRPr="00731332" w:rsidRDefault="00D750D0">
      <w:pPr>
        <w:rPr>
          <w:rStyle w:val="Hyperlink"/>
          <w:sz w:val="20"/>
          <w:szCs w:val="20"/>
          <w:lang w:eastAsia="ja-JP"/>
        </w:rPr>
      </w:pPr>
      <w:r w:rsidRPr="00731332">
        <w:rPr>
          <w:sz w:val="20"/>
          <w:szCs w:val="20"/>
          <w:lang w:eastAsia="ja-JP"/>
        </w:rPr>
        <w:t xml:space="preserve">Web </w:t>
      </w:r>
      <w:hyperlink r:id="rId12" w:history="1">
        <w:r w:rsidR="00CE7F36" w:rsidRPr="00731332">
          <w:rPr>
            <w:rStyle w:val="Hyperlink"/>
            <w:sz w:val="20"/>
            <w:szCs w:val="20"/>
            <w:lang w:eastAsia="ja-JP"/>
          </w:rPr>
          <w:t>agriculture.gov.au/market-access-trade/improving-export-legislation</w:t>
        </w:r>
      </w:hyperlink>
    </w:p>
    <w:p w14:paraId="3C088050" w14:textId="16E38702" w:rsidR="000E455C" w:rsidRDefault="00D750D0" w:rsidP="00C765C8">
      <w:pPr>
        <w:pStyle w:val="Normalsmall"/>
        <w:spacing w:before="600"/>
        <w:rPr>
          <w:lang w:eastAsia="ja-JP"/>
        </w:rPr>
      </w:pPr>
      <w:r>
        <w:rPr>
          <w:lang w:eastAsia="ja-JP"/>
        </w:rPr>
        <w:t>© Commonwealth of Australia 20</w:t>
      </w:r>
      <w:r w:rsidR="00A50E45">
        <w:rPr>
          <w:lang w:eastAsia="ja-JP"/>
        </w:rPr>
        <w:t>21</w:t>
      </w:r>
    </w:p>
    <w:p w14:paraId="2D2F49CA" w14:textId="7A0F2EBE" w:rsidR="000E455C" w:rsidRDefault="00D750D0">
      <w:pPr>
        <w:pStyle w:val="Normalsmall"/>
        <w:rPr>
          <w:lang w:eastAsia="ja-JP"/>
        </w:rPr>
      </w:pPr>
      <w:r>
        <w:rPr>
          <w:lang w:eastAsia="ja-JP"/>
        </w:rPr>
        <w:lastRenderedPageBreak/>
        <w:t>This work is copyright. It may be reproduced in whole or in part subject to the inclusion of an acknowledgement of the source and no commercial usage or sale.</w:t>
      </w:r>
    </w:p>
    <w:sectPr w:rsidR="000E455C" w:rsidSect="003B6479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14" w:right="1134" w:bottom="1134" w:left="992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E6F93" w14:textId="77777777" w:rsidR="00021447" w:rsidRDefault="00021447">
      <w:r>
        <w:separator/>
      </w:r>
    </w:p>
    <w:p w14:paraId="1F0B3D4F" w14:textId="77777777" w:rsidR="00021447" w:rsidRDefault="00021447"/>
    <w:p w14:paraId="0D3BD08D" w14:textId="77777777" w:rsidR="00021447" w:rsidRDefault="00021447"/>
  </w:endnote>
  <w:endnote w:type="continuationSeparator" w:id="0">
    <w:p w14:paraId="38619959" w14:textId="77777777" w:rsidR="00021447" w:rsidRDefault="00021447">
      <w:r>
        <w:continuationSeparator/>
      </w:r>
    </w:p>
    <w:p w14:paraId="1344B2F7" w14:textId="77777777" w:rsidR="00021447" w:rsidRDefault="00021447"/>
    <w:p w14:paraId="4D927A15" w14:textId="77777777" w:rsidR="00021447" w:rsidRDefault="00021447"/>
  </w:endnote>
  <w:endnote w:type="continuationNotice" w:id="1">
    <w:p w14:paraId="6263542F" w14:textId="77777777" w:rsidR="00021447" w:rsidRDefault="00021447">
      <w:pPr>
        <w:pStyle w:val="Footer"/>
      </w:pPr>
    </w:p>
    <w:p w14:paraId="17A18CF5" w14:textId="77777777" w:rsidR="00021447" w:rsidRDefault="00021447"/>
    <w:p w14:paraId="2BA94C7A" w14:textId="77777777" w:rsidR="00021447" w:rsidRDefault="000214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A3A4" w14:textId="77777777" w:rsidR="00021447" w:rsidRDefault="00021447">
    <w:pPr>
      <w:pStyle w:val="Footer"/>
    </w:pPr>
    <w:r>
      <w:t>Department of Agriculture</w:t>
    </w:r>
  </w:p>
  <w:p w14:paraId="5B637164" w14:textId="77777777" w:rsidR="00021447" w:rsidRDefault="0002144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CFA65" w14:textId="2849F2E0" w:rsidR="00021447" w:rsidRPr="004020C8" w:rsidRDefault="00021447" w:rsidP="00746785">
    <w:pPr>
      <w:pStyle w:val="Footer"/>
      <w:rPr>
        <w:szCs w:val="20"/>
      </w:rPr>
    </w:pPr>
    <w:r>
      <w:rPr>
        <w:szCs w:val="20"/>
      </w:rPr>
      <w:t>D</w:t>
    </w:r>
    <w:r w:rsidRPr="004020C8">
      <w:rPr>
        <w:szCs w:val="20"/>
      </w:rPr>
      <w:t>epartment of Agriculture</w:t>
    </w:r>
    <w:r>
      <w:rPr>
        <w:szCs w:val="20"/>
      </w:rPr>
      <w:t>, Water and the Environment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43F11" w14:textId="77777777" w:rsidR="00021447" w:rsidRDefault="00021447">
      <w:r>
        <w:separator/>
      </w:r>
    </w:p>
    <w:p w14:paraId="46342832" w14:textId="77777777" w:rsidR="00021447" w:rsidRDefault="00021447"/>
    <w:p w14:paraId="59F6E8C5" w14:textId="77777777" w:rsidR="00021447" w:rsidRDefault="00021447"/>
  </w:footnote>
  <w:footnote w:type="continuationSeparator" w:id="0">
    <w:p w14:paraId="47F88FDE" w14:textId="77777777" w:rsidR="00021447" w:rsidRDefault="00021447">
      <w:r>
        <w:continuationSeparator/>
      </w:r>
    </w:p>
    <w:p w14:paraId="25B40B7F" w14:textId="77777777" w:rsidR="00021447" w:rsidRDefault="00021447"/>
    <w:p w14:paraId="0729C46F" w14:textId="77777777" w:rsidR="00021447" w:rsidRDefault="00021447"/>
  </w:footnote>
  <w:footnote w:type="continuationNotice" w:id="1">
    <w:p w14:paraId="7E892AD1" w14:textId="77777777" w:rsidR="00021447" w:rsidRDefault="00021447">
      <w:pPr>
        <w:pStyle w:val="Footer"/>
      </w:pPr>
    </w:p>
    <w:p w14:paraId="6F3C933A" w14:textId="77777777" w:rsidR="00021447" w:rsidRDefault="00021447"/>
    <w:p w14:paraId="01E9094B" w14:textId="77777777" w:rsidR="00021447" w:rsidRDefault="000214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C9B4" w14:textId="6315F3A3" w:rsidR="00021447" w:rsidRDefault="00021447">
    <w:pPr>
      <w:pStyle w:val="Header"/>
    </w:pPr>
    <w:r>
      <w:t>Summary of Benefits – Export Control Act 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8F459" w14:textId="77777777" w:rsidR="00021447" w:rsidRDefault="00021447">
    <w:pPr>
      <w:pStyle w:val="Header"/>
      <w:jc w:val="left"/>
    </w:pPr>
    <w:r>
      <w:rPr>
        <w:noProof/>
        <w:u w:val="single"/>
        <w:lang w:eastAsia="en-AU"/>
      </w:rPr>
      <w:drawing>
        <wp:anchor distT="0" distB="0" distL="114300" distR="114300" simplePos="0" relativeHeight="251659264" behindDoc="1" locked="0" layoutInCell="1" allowOverlap="1" wp14:anchorId="790BC4C6" wp14:editId="63B32B92">
          <wp:simplePos x="0" y="0"/>
          <wp:positionH relativeFrom="page">
            <wp:align>left</wp:align>
          </wp:positionH>
          <wp:positionV relativeFrom="paragraph">
            <wp:posOffset>-349857</wp:posOffset>
          </wp:positionV>
          <wp:extent cx="7833995" cy="2425700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3995" cy="242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B6C74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B247F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0FEC1B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0C2FE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97FE7D78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8"/>
    <w:multiLevelType w:val="singleLevel"/>
    <w:tmpl w:val="33A84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C63221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8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C64A27"/>
    <w:multiLevelType w:val="hybridMultilevel"/>
    <w:tmpl w:val="506A57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4005351"/>
    <w:multiLevelType w:val="hybridMultilevel"/>
    <w:tmpl w:val="59C674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704130"/>
    <w:multiLevelType w:val="hybridMultilevel"/>
    <w:tmpl w:val="51324C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03637"/>
    <w:multiLevelType w:val="multilevel"/>
    <w:tmpl w:val="BE78A4F8"/>
    <w:numStyleLink w:val="Numberlist"/>
  </w:abstractNum>
  <w:abstractNum w:abstractNumId="17" w15:restartNumberingAfterBreak="0">
    <w:nsid w:val="394A15FE"/>
    <w:multiLevelType w:val="multilevel"/>
    <w:tmpl w:val="F36C17E8"/>
    <w:numStyleLink w:val="Headinglist"/>
  </w:abstractNum>
  <w:abstractNum w:abstractNumId="18" w15:restartNumberingAfterBreak="0">
    <w:nsid w:val="414F4729"/>
    <w:multiLevelType w:val="multilevel"/>
    <w:tmpl w:val="A0241B28"/>
    <w:numStyleLink w:val="List1"/>
  </w:abstractNum>
  <w:abstractNum w:abstractNumId="19" w15:restartNumberingAfterBreak="0">
    <w:nsid w:val="486800B4"/>
    <w:multiLevelType w:val="multilevel"/>
    <w:tmpl w:val="A0241B28"/>
    <w:numStyleLink w:val="List1"/>
  </w:abstractNum>
  <w:abstractNum w:abstractNumId="20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6159DC"/>
    <w:multiLevelType w:val="multilevel"/>
    <w:tmpl w:val="BE78A4F8"/>
    <w:numStyleLink w:val="Numberlist"/>
  </w:abstractNum>
  <w:abstractNum w:abstractNumId="22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4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7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C10A1"/>
    <w:multiLevelType w:val="multilevel"/>
    <w:tmpl w:val="BE78A4F8"/>
    <w:numStyleLink w:val="Numberlist"/>
  </w:abstractNum>
  <w:abstractNum w:abstractNumId="29" w15:restartNumberingAfterBreak="0">
    <w:nsid w:val="733934B7"/>
    <w:multiLevelType w:val="multilevel"/>
    <w:tmpl w:val="A0241B28"/>
    <w:numStyleLink w:val="List1"/>
  </w:abstractNum>
  <w:num w:numId="1">
    <w:abstractNumId w:val="6"/>
  </w:num>
  <w:num w:numId="2">
    <w:abstractNumId w:val="19"/>
  </w:num>
  <w:num w:numId="3">
    <w:abstractNumId w:val="20"/>
  </w:num>
  <w:num w:numId="4">
    <w:abstractNumId w:val="10"/>
  </w:num>
  <w:num w:numId="5">
    <w:abstractNumId w:val="25"/>
  </w:num>
  <w:num w:numId="6">
    <w:abstractNumId w:val="26"/>
  </w:num>
  <w:num w:numId="7">
    <w:abstractNumId w:val="7"/>
  </w:num>
  <w:num w:numId="8">
    <w:abstractNumId w:val="13"/>
  </w:num>
  <w:num w:numId="9">
    <w:abstractNumId w:val="17"/>
  </w:num>
  <w:num w:numId="10">
    <w:abstractNumId w:val="7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3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"/>
  </w:num>
  <w:num w:numId="20">
    <w:abstractNumId w:val="0"/>
  </w:num>
  <w:num w:numId="21">
    <w:abstractNumId w:val="16"/>
  </w:num>
  <w:num w:numId="22">
    <w:abstractNumId w:val="21"/>
  </w:num>
  <w:num w:numId="23">
    <w:abstractNumId w:val="28"/>
  </w:num>
  <w:num w:numId="24">
    <w:abstractNumId w:val="12"/>
  </w:num>
  <w:num w:numId="25">
    <w:abstractNumId w:val="18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2"/>
  </w:num>
  <w:num w:numId="29">
    <w:abstractNumId w:val="24"/>
  </w:num>
  <w:num w:numId="30">
    <w:abstractNumId w:val="8"/>
  </w:num>
  <w:num w:numId="31">
    <w:abstractNumId w:val="9"/>
  </w:num>
  <w:num w:numId="32">
    <w:abstractNumId w:val="14"/>
  </w:num>
  <w:num w:numId="3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55C"/>
    <w:rsid w:val="000147F4"/>
    <w:rsid w:val="00021447"/>
    <w:rsid w:val="00021590"/>
    <w:rsid w:val="0002408B"/>
    <w:rsid w:val="0004749B"/>
    <w:rsid w:val="00066D0B"/>
    <w:rsid w:val="000B4A06"/>
    <w:rsid w:val="000E455C"/>
    <w:rsid w:val="000F43D2"/>
    <w:rsid w:val="00126934"/>
    <w:rsid w:val="001370AF"/>
    <w:rsid w:val="001411D6"/>
    <w:rsid w:val="00190D7E"/>
    <w:rsid w:val="001A6968"/>
    <w:rsid w:val="001D0EF3"/>
    <w:rsid w:val="001E5E1F"/>
    <w:rsid w:val="00200AE9"/>
    <w:rsid w:val="002204C8"/>
    <w:rsid w:val="002F0350"/>
    <w:rsid w:val="003032C0"/>
    <w:rsid w:val="00342F98"/>
    <w:rsid w:val="003A449F"/>
    <w:rsid w:val="003B6479"/>
    <w:rsid w:val="003C147A"/>
    <w:rsid w:val="003E7F66"/>
    <w:rsid w:val="004020C8"/>
    <w:rsid w:val="00425AD0"/>
    <w:rsid w:val="00437B8B"/>
    <w:rsid w:val="0045326B"/>
    <w:rsid w:val="004B17E0"/>
    <w:rsid w:val="005239B3"/>
    <w:rsid w:val="00553E9D"/>
    <w:rsid w:val="0055447F"/>
    <w:rsid w:val="00581E73"/>
    <w:rsid w:val="005E552E"/>
    <w:rsid w:val="006156DF"/>
    <w:rsid w:val="00625D8D"/>
    <w:rsid w:val="006606BF"/>
    <w:rsid w:val="006F1A41"/>
    <w:rsid w:val="0070464B"/>
    <w:rsid w:val="00725D32"/>
    <w:rsid w:val="00731332"/>
    <w:rsid w:val="00746785"/>
    <w:rsid w:val="00826921"/>
    <w:rsid w:val="00826E2A"/>
    <w:rsid w:val="008922C5"/>
    <w:rsid w:val="008B71A5"/>
    <w:rsid w:val="00902E92"/>
    <w:rsid w:val="00911F4A"/>
    <w:rsid w:val="009253F4"/>
    <w:rsid w:val="00974CD6"/>
    <w:rsid w:val="009764AE"/>
    <w:rsid w:val="009C206F"/>
    <w:rsid w:val="00A50E45"/>
    <w:rsid w:val="00A76646"/>
    <w:rsid w:val="00A80FDA"/>
    <w:rsid w:val="00A92633"/>
    <w:rsid w:val="00AA1D89"/>
    <w:rsid w:val="00AE1E6E"/>
    <w:rsid w:val="00B0121B"/>
    <w:rsid w:val="00B100E3"/>
    <w:rsid w:val="00B55380"/>
    <w:rsid w:val="00B75B7E"/>
    <w:rsid w:val="00BD4F8E"/>
    <w:rsid w:val="00C6128D"/>
    <w:rsid w:val="00C765C8"/>
    <w:rsid w:val="00CE7F36"/>
    <w:rsid w:val="00D161A0"/>
    <w:rsid w:val="00D4039B"/>
    <w:rsid w:val="00D750D0"/>
    <w:rsid w:val="00DA1465"/>
    <w:rsid w:val="00DC4070"/>
    <w:rsid w:val="00DF7AD0"/>
    <w:rsid w:val="00E4011E"/>
    <w:rsid w:val="00EB5E9C"/>
    <w:rsid w:val="00EB6626"/>
    <w:rsid w:val="00EE3399"/>
    <w:rsid w:val="00F11000"/>
    <w:rsid w:val="00F40C16"/>
    <w:rsid w:val="00F90E54"/>
    <w:rsid w:val="00FA0AF3"/>
    <w:rsid w:val="00FB7EF7"/>
    <w:rsid w:val="00FC59C9"/>
    <w:rsid w:val="00FD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37CC7128"/>
  <w15:docId w15:val="{FA3EAC4F-E184-4D40-BF44-78414F3E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5C8"/>
    <w:pPr>
      <w:spacing w:after="120" w:line="276" w:lineRule="auto"/>
    </w:pPr>
    <w:rPr>
      <w:rFonts w:asciiTheme="majorHAnsi" w:eastAsiaTheme="minorHAnsi" w:hAnsiTheme="maj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widowControl w:val="0"/>
      <w:spacing w:before="360" w:after="24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C6128D"/>
    <w:pPr>
      <w:keepNext/>
      <w:spacing w:before="120" w:line="240" w:lineRule="auto"/>
      <w:ind w:left="720" w:hanging="720"/>
      <w:outlineLvl w:val="1"/>
    </w:pPr>
    <w:rPr>
      <w:rFonts w:ascii="Calibri" w:eastAsiaTheme="minorEastAsia" w:hAnsi="Calibri"/>
      <w:b/>
      <w:bCs/>
      <w:color w:val="5482AB"/>
      <w:sz w:val="28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ind w:left="964" w:hanging="964"/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ind w:left="964" w:hanging="964"/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HAnsi" w:hAnsi="Calibri" w:cstheme="minorBidi"/>
      <w:b/>
      <w:bCs/>
      <w:color w:val="000000"/>
      <w:spacing w:val="5"/>
      <w:kern w:val="28"/>
      <w:sz w:val="40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C6128D"/>
    <w:rPr>
      <w:rFonts w:ascii="Calibri" w:eastAsiaTheme="minorEastAsia" w:hAnsi="Calibri" w:cstheme="minorBidi"/>
      <w:b/>
      <w:bCs/>
      <w:color w:val="5482AB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pPr>
      <w:keepNext/>
      <w:spacing w:line="240" w:lineRule="auto"/>
    </w:pPr>
    <w:rPr>
      <w:rFonts w:ascii="Calibri" w:hAnsi="Calibri"/>
      <w:b/>
      <w:bCs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 w:after="360"/>
    </w:pPr>
    <w:rPr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/>
      <w:bCs/>
      <w:color w:val="000000"/>
      <w:spacing w:val="5"/>
      <w:kern w:val="28"/>
      <w:sz w:val="32"/>
      <w:szCs w:val="22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/>
    </w:pPr>
  </w:style>
  <w:style w:type="paragraph" w:styleId="TableofFigures">
    <w:name w:val="table of figures"/>
    <w:basedOn w:val="Normal"/>
    <w:next w:val="Normal"/>
    <w:uiPriority w:val="99"/>
    <w:pPr>
      <w:spacing w:before="120" w:line="240" w:lineRule="auto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/>
      <w:contextualSpacing/>
    </w:p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/>
    </w:p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Normal"/>
    <w:uiPriority w:val="14"/>
    <w:qFormat/>
    <w:pPr>
      <w:keepNext/>
      <w:spacing w:before="60" w:after="60" w:line="240" w:lineRule="auto"/>
    </w:pPr>
    <w:rPr>
      <w:b/>
      <w:sz w:val="19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/>
    </w:pPr>
    <w:rPr>
      <w:b/>
      <w:sz w:val="28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720"/>
    </w:p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Normal"/>
    <w:uiPriority w:val="15"/>
    <w:qFormat/>
    <w:pPr>
      <w:numPr>
        <w:numId w:val="4"/>
      </w:numPr>
      <w:spacing w:before="60" w:after="60" w:line="240" w:lineRule="auto"/>
      <w:ind w:left="284" w:hanging="284"/>
    </w:pPr>
    <w:rPr>
      <w:sz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line="240" w:lineRule="auto"/>
    </w:pPr>
    <w:rPr>
      <w:noProof/>
      <w:lang w:eastAsia="en-AU"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semiHidden/>
    <w:pPr>
      <w:numPr>
        <w:ilvl w:val="2"/>
        <w:numId w:val="5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asciiTheme="minorHAnsi" w:eastAsia="Calibri" w:hAnsiTheme="minorHAnsi"/>
      <w:color w:val="000000" w:themeColor="text1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  <w:style w:type="paragraph" w:styleId="Revision">
    <w:name w:val="Revision"/>
    <w:hidden/>
    <w:uiPriority w:val="99"/>
    <w:semiHidden/>
    <w:rPr>
      <w:rFonts w:eastAsiaTheme="minorHAnsi" w:cstheme="minorBidi"/>
      <w:sz w:val="22"/>
      <w:szCs w:val="22"/>
      <w:lang w:eastAsia="en-US"/>
    </w:rPr>
  </w:style>
  <w:style w:type="paragraph" w:customStyle="1" w:styleId="TableText">
    <w:name w:val="Table Text"/>
    <w:qFormat/>
    <w:rsid w:val="00553E9D"/>
    <w:pPr>
      <w:spacing w:before="60" w:after="60"/>
    </w:pPr>
    <w:rPr>
      <w:rFonts w:asciiTheme="majorHAnsi" w:eastAsia="Times New Roman" w:hAnsiTheme="majorHAnsi" w:cs="Arial"/>
      <w:color w:val="000000"/>
      <w:sz w:val="19"/>
      <w:szCs w:val="22"/>
      <w:lang w:val="en-GB"/>
    </w:rPr>
  </w:style>
  <w:style w:type="paragraph" w:styleId="Date">
    <w:name w:val="Date"/>
    <w:aliases w:val="Reference"/>
    <w:basedOn w:val="Normal"/>
    <w:next w:val="Normal"/>
    <w:link w:val="DateChar"/>
    <w:uiPriority w:val="99"/>
    <w:unhideWhenUsed/>
    <w:pPr>
      <w:spacing w:before="600"/>
    </w:pPr>
  </w:style>
  <w:style w:type="character" w:customStyle="1" w:styleId="DateChar">
    <w:name w:val="Date Char"/>
    <w:aliases w:val="Reference Char"/>
    <w:basedOn w:val="DefaultParagraphFont"/>
    <w:link w:val="Dat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aliases w:val="List Paragraph1,Recommendation,List Paragraph11,NFP GP Bulleted List,FooterText,numbered,Paragraphe de liste1,Bulletr List Paragraph,列出段落,列出段落1,List Paragraph2,List Paragraph21,Listeafsnit1,Parágrafo da Lista1,Párrafo de lista1,リスト段落1,L"/>
    <w:basedOn w:val="Normal"/>
    <w:link w:val="ListParagraphChar"/>
    <w:uiPriority w:val="34"/>
    <w:qFormat/>
    <w:rsid w:val="00D161A0"/>
    <w:pPr>
      <w:ind w:left="720"/>
      <w:contextualSpacing/>
    </w:pPr>
  </w:style>
  <w:style w:type="character" w:customStyle="1" w:styleId="ListParagraphChar">
    <w:name w:val="List Paragraph Char"/>
    <w:aliases w:val="List Paragraph1 Char,Recommendation Char,List Paragraph11 Char,NFP GP Bulleted List Char,FooterText Char,numbered Char,Paragraphe de liste1 Char,Bulletr List Paragraph Char,列出段落 Char,列出段落1 Char,List Paragraph2 Char,Listeafsnit1 Char"/>
    <w:link w:val="ListParagraph"/>
    <w:uiPriority w:val="34"/>
    <w:locked/>
    <w:rsid w:val="00F40C16"/>
    <w:rPr>
      <w:rFonts w:asciiTheme="majorHAnsi" w:eastAsiaTheme="minorHAnsi" w:hAnsiTheme="maj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market-access-trade/improving-export-legislatio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xportlegislation@agriculture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onath%20alakananda\Downloads\Standard-report-template-with-numbered-headings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6" ma:contentTypeDescription="Create a new document." ma:contentTypeScope="" ma:versionID="6720276c43cc8f6a7ca3ca8a8053be91">
  <xsd:schema xmlns:xsd="http://www.w3.org/2001/XMLSchema" xmlns:xs="http://www.w3.org/2001/XMLSchema" xmlns:p="http://schemas.microsoft.com/office/2006/metadata/properties" xmlns:ns2="2b53c995-2120-4bc0-8922-c25044d37f65" xmlns:ns3="c95b51c2-b2ac-4224-a5b5-069909057829" targetNamespace="http://schemas.microsoft.com/office/2006/metadata/properties" ma:root="true" ma:fieldsID="1f93a7e01b84e107d287d426a3363593" ns2:_="" ns3:_="">
    <xsd:import namespace="2b53c995-2120-4bc0-8922-c25044d37f65"/>
    <xsd:import namespace="c95b51c2-b2ac-4224-a5b5-0699090578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5616E9-8E23-4AA3-A030-58C43DE944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6444AB-D64E-4EB2-88B1-18A2D76DF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c95b51c2-b2ac-4224-a5b5-06990905782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b53c995-2120-4bc0-8922-c25044d37f6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Standard-report-template-with-numbered-headings (1).dotx</Template>
  <TotalTime>3</TotalTime>
  <Pages>2</Pages>
  <Words>398</Words>
  <Characters>2270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benefits of the Export Control Act 2020</vt:lpstr>
    </vt:vector>
  </TitlesOfParts>
  <Company/>
  <LinksUpToDate>false</LinksUpToDate>
  <CharactersWithSpaces>2663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benefits of the Export Control Act 2020</dc:title>
  <dc:creator>Department of Agriculture, Water and the Environment</dc:creator>
  <cp:lastPrinted>2019-08-09T05:10:00Z</cp:lastPrinted>
  <dcterms:created xsi:type="dcterms:W3CDTF">2021-03-30T03:10:00Z</dcterms:created>
  <dcterms:modified xsi:type="dcterms:W3CDTF">2021-03-30T03:23:00Z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0x0101008991DB94C8E2E14F9D69CDF9B52A3286</vt:lpwstr>
  </property>
</Properties>
</file>