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5CB81" w14:textId="6BF762A3" w:rsidR="000E455C" w:rsidRDefault="007524B7" w:rsidP="006F6C3C">
      <w:pPr>
        <w:pStyle w:val="Date"/>
      </w:pPr>
      <w:r>
        <w:t>March 2021</w:t>
      </w:r>
    </w:p>
    <w:p w14:paraId="08EA2EB1" w14:textId="77777777" w:rsidR="00E809C0" w:rsidRDefault="00E809C0" w:rsidP="00E809C0">
      <w:pPr>
        <w:pStyle w:val="Series"/>
      </w:pPr>
      <w:r>
        <w:t>Improved agricultural export legislation</w:t>
      </w:r>
    </w:p>
    <w:p w14:paraId="7BF15D39" w14:textId="7973BA5A" w:rsidR="000E455C" w:rsidRPr="00A14548" w:rsidRDefault="00903EBE" w:rsidP="00021590">
      <w:pPr>
        <w:pStyle w:val="Heading1"/>
        <w:rPr>
          <w:sz w:val="32"/>
          <w:szCs w:val="22"/>
        </w:rPr>
      </w:pPr>
      <w:r>
        <w:t>O</w:t>
      </w:r>
      <w:r w:rsidR="00D750D0">
        <w:t>utline</w:t>
      </w:r>
      <w:r w:rsidR="00EA2BF3">
        <w:t xml:space="preserve"> of the</w:t>
      </w:r>
      <w:r>
        <w:t xml:space="preserve"> </w:t>
      </w:r>
      <w:r w:rsidR="00D750D0" w:rsidRPr="00A14548">
        <w:t xml:space="preserve">Export Control (Consequential Amendments and Transitional Provisions) </w:t>
      </w:r>
      <w:r w:rsidR="00174458">
        <w:t>Act 2020</w:t>
      </w:r>
    </w:p>
    <w:p w14:paraId="75923F87" w14:textId="2133F1E2" w:rsidR="000E455C" w:rsidRPr="00C17F67" w:rsidRDefault="00D750D0">
      <w:r>
        <w:t xml:space="preserve">The </w:t>
      </w:r>
      <w:r w:rsidRPr="00C74B6C">
        <w:rPr>
          <w:i/>
          <w:iCs/>
        </w:rPr>
        <w:t>Export Control (Consequential Amendments and Transitional Provisions</w:t>
      </w:r>
      <w:r w:rsidRPr="00E62B8C">
        <w:rPr>
          <w:i/>
          <w:iCs/>
        </w:rPr>
        <w:t xml:space="preserve">) </w:t>
      </w:r>
      <w:r w:rsidR="00174458" w:rsidRPr="00E62B8C">
        <w:rPr>
          <w:i/>
          <w:iCs/>
        </w:rPr>
        <w:t>Act 2020</w:t>
      </w:r>
      <w:r>
        <w:t xml:space="preserve"> (</w:t>
      </w:r>
      <w:r w:rsidR="00E62B8C">
        <w:t xml:space="preserve">the </w:t>
      </w:r>
      <w:r w:rsidRPr="00190D7E">
        <w:t>C&amp;T</w:t>
      </w:r>
      <w:r w:rsidR="00174458">
        <w:t xml:space="preserve"> Act</w:t>
      </w:r>
      <w:r>
        <w:t>) make</w:t>
      </w:r>
      <w:r w:rsidR="00E62B8C">
        <w:t>s</w:t>
      </w:r>
      <w:r>
        <w:t xml:space="preserve"> consequential amendments and provide</w:t>
      </w:r>
      <w:r w:rsidR="00E62B8C">
        <w:t>s</w:t>
      </w:r>
      <w:r>
        <w:t xml:space="preserve"> transitional provisions to support the commencement of the </w:t>
      </w:r>
      <w:r w:rsidRPr="00C74B6C">
        <w:rPr>
          <w:i/>
          <w:iCs/>
        </w:rPr>
        <w:t xml:space="preserve">Export Control </w:t>
      </w:r>
      <w:r w:rsidR="00174458" w:rsidRPr="00E62B8C">
        <w:rPr>
          <w:i/>
          <w:iCs/>
        </w:rPr>
        <w:t>Act</w:t>
      </w:r>
      <w:r w:rsidRPr="00E62B8C">
        <w:rPr>
          <w:i/>
          <w:iCs/>
        </w:rPr>
        <w:t xml:space="preserve"> 20</w:t>
      </w:r>
      <w:r w:rsidR="00213B66" w:rsidRPr="00E62B8C">
        <w:rPr>
          <w:i/>
          <w:iCs/>
        </w:rPr>
        <w:t>20</w:t>
      </w:r>
      <w:r w:rsidR="00C17F67">
        <w:rPr>
          <w:i/>
          <w:iCs/>
        </w:rPr>
        <w:t xml:space="preserve">. </w:t>
      </w:r>
      <w:r w:rsidR="00C17F67" w:rsidRPr="00C17F67">
        <w:t xml:space="preserve">The C&amp;T Act and the </w:t>
      </w:r>
      <w:r w:rsidR="00C17F67" w:rsidRPr="00C17F67">
        <w:rPr>
          <w:i/>
          <w:iCs/>
        </w:rPr>
        <w:t>Export Control Act 2020</w:t>
      </w:r>
      <w:r w:rsidR="00C17F67" w:rsidRPr="00C17F67">
        <w:t xml:space="preserve"> commenced on</w:t>
      </w:r>
      <w:r w:rsidR="00FE7C9D" w:rsidRPr="00C17F67">
        <w:t xml:space="preserve"> 28 March 2021</w:t>
      </w:r>
      <w:r w:rsidRPr="00C17F67">
        <w:t>.</w:t>
      </w:r>
    </w:p>
    <w:p w14:paraId="069C0692" w14:textId="2D507E02" w:rsidR="000E455C" w:rsidRDefault="00D750D0" w:rsidP="00C74B6C">
      <w:r>
        <w:t xml:space="preserve">The </w:t>
      </w:r>
      <w:r w:rsidR="00190D7E" w:rsidRPr="00C74B6C">
        <w:rPr>
          <w:i/>
          <w:iCs/>
        </w:rPr>
        <w:t xml:space="preserve">Export Control </w:t>
      </w:r>
      <w:r w:rsidR="007524B7" w:rsidRPr="00C74B6C">
        <w:rPr>
          <w:i/>
          <w:iCs/>
        </w:rPr>
        <w:t>Act</w:t>
      </w:r>
      <w:r w:rsidR="00975CA5">
        <w:rPr>
          <w:i/>
          <w:iCs/>
        </w:rPr>
        <w:t xml:space="preserve"> </w:t>
      </w:r>
      <w:r w:rsidR="00C74B6C" w:rsidRPr="00C74B6C">
        <w:rPr>
          <w:i/>
          <w:iCs/>
        </w:rPr>
        <w:t>2020</w:t>
      </w:r>
      <w:r w:rsidR="00C74B6C">
        <w:t xml:space="preserve"> </w:t>
      </w:r>
      <w:r>
        <w:t>replace</w:t>
      </w:r>
      <w:r w:rsidR="00C17F67">
        <w:t>s</w:t>
      </w:r>
      <w:r>
        <w:t xml:space="preserve"> the </w:t>
      </w:r>
      <w:r w:rsidRPr="00C765C8">
        <w:rPr>
          <w:rStyle w:val="Emphasis"/>
        </w:rPr>
        <w:t>Export Control Act 1982</w:t>
      </w:r>
      <w:r>
        <w:t xml:space="preserve"> and parts of the </w:t>
      </w:r>
      <w:r>
        <w:rPr>
          <w:rStyle w:val="Emphasis"/>
        </w:rPr>
        <w:t>Australian Meat and Live-stock Industry Act 1997</w:t>
      </w:r>
      <w:r>
        <w:t xml:space="preserve"> (</w:t>
      </w:r>
      <w:r w:rsidRPr="00190D7E">
        <w:t>AMLI Act)</w:t>
      </w:r>
      <w:r>
        <w:t xml:space="preserve"> as the Commonwealth</w:t>
      </w:r>
      <w:r w:rsidR="00AE1E6E">
        <w:t>'</w:t>
      </w:r>
      <w:r>
        <w:t xml:space="preserve">s primary legislation </w:t>
      </w:r>
      <w:r w:rsidR="00390962">
        <w:t xml:space="preserve">regulating </w:t>
      </w:r>
      <w:r>
        <w:t>the control of exports.</w:t>
      </w:r>
      <w:r w:rsidR="00C74B6C">
        <w:t xml:space="preserve"> </w:t>
      </w:r>
      <w:r w:rsidR="00C17F67">
        <w:t>O</w:t>
      </w:r>
      <w:r w:rsidR="00901309">
        <w:t>ther pieces of primary legislation</w:t>
      </w:r>
      <w:r w:rsidR="00434CC4">
        <w:t xml:space="preserve"> also require minor amendments </w:t>
      </w:r>
      <w:r w:rsidR="00C17F67">
        <w:t xml:space="preserve">to give effect to the </w:t>
      </w:r>
      <w:r w:rsidR="00C17F67" w:rsidRPr="00AE4220">
        <w:rPr>
          <w:i/>
          <w:iCs/>
        </w:rPr>
        <w:t>Export Control Act 2020</w:t>
      </w:r>
      <w:r w:rsidR="00901309">
        <w:t>.</w:t>
      </w:r>
    </w:p>
    <w:p w14:paraId="2AB4D181" w14:textId="6F0AE161" w:rsidR="000E455C" w:rsidRDefault="00D750D0">
      <w:r>
        <w:t>The</w:t>
      </w:r>
      <w:r w:rsidR="00AE4220">
        <w:t xml:space="preserve"> C&amp;T Act enables the</w:t>
      </w:r>
      <w:r>
        <w:t xml:space="preserve"> transition </w:t>
      </w:r>
      <w:r w:rsidR="00C17F67">
        <w:t xml:space="preserve">to the </w:t>
      </w:r>
      <w:r w:rsidR="00C17F67" w:rsidRPr="00AE4220">
        <w:rPr>
          <w:i/>
          <w:iCs/>
        </w:rPr>
        <w:t>Export Control Act 2020</w:t>
      </w:r>
      <w:r w:rsidR="00C17F67">
        <w:t xml:space="preserve"> </w:t>
      </w:r>
      <w:r w:rsidR="00901309">
        <w:t xml:space="preserve">from the </w:t>
      </w:r>
      <w:r w:rsidR="00C17F67">
        <w:t>previous</w:t>
      </w:r>
      <w:r w:rsidR="00AE4220">
        <w:t xml:space="preserve"> </w:t>
      </w:r>
      <w:r w:rsidR="00901309">
        <w:t>legislation</w:t>
      </w:r>
      <w:r w:rsidR="00AE4220">
        <w:t xml:space="preserve"> </w:t>
      </w:r>
      <w:r>
        <w:t xml:space="preserve">to be </w:t>
      </w:r>
      <w:r w:rsidR="00AA0C7B">
        <w:t xml:space="preserve">properly </w:t>
      </w:r>
      <w:r>
        <w:t xml:space="preserve">managed to </w:t>
      </w:r>
      <w:r w:rsidR="009C206F">
        <w:t>ensure:</w:t>
      </w:r>
    </w:p>
    <w:p w14:paraId="75D5F9C2" w14:textId="565C8D9D" w:rsidR="000E455C" w:rsidRDefault="00D750D0">
      <w:pPr>
        <w:pStyle w:val="ListBullet"/>
      </w:pPr>
      <w:r>
        <w:t>exports are appropriately regulated or controlled</w:t>
      </w:r>
    </w:p>
    <w:p w14:paraId="2CDB74A6" w14:textId="29FA6035" w:rsidR="000E455C" w:rsidRDefault="00D750D0">
      <w:pPr>
        <w:pStyle w:val="ListBullet"/>
      </w:pPr>
      <w:r>
        <w:t xml:space="preserve">access to international trading markets for Australian goods </w:t>
      </w:r>
      <w:r w:rsidR="00AA0C7B">
        <w:t>is</w:t>
      </w:r>
      <w:r>
        <w:t xml:space="preserve"> maintained</w:t>
      </w:r>
    </w:p>
    <w:p w14:paraId="7A16D0CE" w14:textId="29147EE0" w:rsidR="000E455C" w:rsidRDefault="00D750D0">
      <w:pPr>
        <w:pStyle w:val="ListBullet"/>
      </w:pPr>
      <w:r>
        <w:t>Australia</w:t>
      </w:r>
      <w:r w:rsidR="00AE1E6E">
        <w:t>'</w:t>
      </w:r>
      <w:r>
        <w:t>s global trading reputation as a reliable source of safe and high-quality goods is protected and not disrupted.</w:t>
      </w:r>
    </w:p>
    <w:p w14:paraId="5D6FA863" w14:textId="282B8F3C" w:rsidR="000E455C" w:rsidRDefault="00D750D0">
      <w:r>
        <w:t xml:space="preserve">The C&amp;T </w:t>
      </w:r>
      <w:r w:rsidR="007524B7">
        <w:t xml:space="preserve">Act </w:t>
      </w:r>
      <w:r w:rsidR="00AE4220">
        <w:t>includes</w:t>
      </w:r>
      <w:r>
        <w:t xml:space="preserve"> </w:t>
      </w:r>
      <w:r w:rsidR="00476E89">
        <w:t>three</w:t>
      </w:r>
      <w:r>
        <w:t xml:space="preserve"> schedules.</w:t>
      </w:r>
    </w:p>
    <w:p w14:paraId="1F9BB63C" w14:textId="77777777" w:rsidR="000E455C" w:rsidRDefault="00D750D0">
      <w:pPr>
        <w:pStyle w:val="Heading2"/>
      </w:pPr>
      <w:r>
        <w:t>Schedule 1</w:t>
      </w:r>
    </w:p>
    <w:p w14:paraId="3AB643EA" w14:textId="6254C0F1" w:rsidR="000E455C" w:rsidRDefault="00D750D0">
      <w:r>
        <w:t xml:space="preserve">This schedule repeals </w:t>
      </w:r>
      <w:r w:rsidR="00AA0C7B">
        <w:t xml:space="preserve">17 </w:t>
      </w:r>
      <w:r>
        <w:t xml:space="preserve">spent or redundant </w:t>
      </w:r>
      <w:r w:rsidR="0001597C">
        <w:t xml:space="preserve">Commonwealth </w:t>
      </w:r>
      <w:r>
        <w:t xml:space="preserve">Acts, including the </w:t>
      </w:r>
      <w:r w:rsidR="00190D7E" w:rsidRPr="00632E1E">
        <w:rPr>
          <w:i/>
          <w:iCs/>
        </w:rPr>
        <w:t xml:space="preserve">Export Control </w:t>
      </w:r>
      <w:r w:rsidRPr="00632E1E">
        <w:rPr>
          <w:i/>
          <w:iCs/>
        </w:rPr>
        <w:t>Act</w:t>
      </w:r>
      <w:r w:rsidR="00434CC4" w:rsidRPr="00632E1E">
        <w:rPr>
          <w:i/>
          <w:iCs/>
        </w:rPr>
        <w:t xml:space="preserve"> 1982</w:t>
      </w:r>
      <w:r>
        <w:t xml:space="preserve">, to allow exports to be regulated under the </w:t>
      </w:r>
      <w:r w:rsidR="00190D7E" w:rsidRPr="00632E1E">
        <w:rPr>
          <w:i/>
          <w:iCs/>
        </w:rPr>
        <w:t xml:space="preserve">Export Control </w:t>
      </w:r>
      <w:r w:rsidR="00AE4220" w:rsidRPr="00632E1E">
        <w:rPr>
          <w:i/>
          <w:iCs/>
        </w:rPr>
        <w:t>Act 2020</w:t>
      </w:r>
      <w:r>
        <w:t>.</w:t>
      </w:r>
    </w:p>
    <w:p w14:paraId="7D582E5D" w14:textId="77777777" w:rsidR="000E455C" w:rsidRDefault="00D750D0">
      <w:pPr>
        <w:pStyle w:val="Heading2"/>
      </w:pPr>
      <w:r>
        <w:t>Schedule 2</w:t>
      </w:r>
    </w:p>
    <w:p w14:paraId="4720E9D4" w14:textId="70D7ACAE" w:rsidR="000E455C" w:rsidRDefault="00D750D0">
      <w:r>
        <w:t xml:space="preserve">This schedule </w:t>
      </w:r>
      <w:r w:rsidR="0001597C">
        <w:t>makes consequential</w:t>
      </w:r>
      <w:r>
        <w:t xml:space="preserve"> amendments</w:t>
      </w:r>
      <w:r w:rsidR="00AA0C7B">
        <w:t xml:space="preserve"> to</w:t>
      </w:r>
      <w:r w:rsidR="00C71584">
        <w:t xml:space="preserve"> seven</w:t>
      </w:r>
      <w:r w:rsidR="0001597C">
        <w:t xml:space="preserve"> Commonwealth Acts.</w:t>
      </w:r>
      <w:r>
        <w:t xml:space="preserve"> </w:t>
      </w:r>
      <w:r w:rsidR="0001597C">
        <w:t xml:space="preserve">This includes </w:t>
      </w:r>
      <w:r>
        <w:t>repeal</w:t>
      </w:r>
      <w:r w:rsidR="0001597C">
        <w:t>ing</w:t>
      </w:r>
      <w:r>
        <w:t xml:space="preserve"> the parts of the AMLI Act that deal with the export of meat and </w:t>
      </w:r>
      <w:r w:rsidR="004A0765">
        <w:t>livestock</w:t>
      </w:r>
      <w:r>
        <w:t xml:space="preserve"> to allow th</w:t>
      </w:r>
      <w:r w:rsidR="0001597C">
        <w:t>o</w:t>
      </w:r>
      <w:r>
        <w:t xml:space="preserve">se exports to be regulated under the </w:t>
      </w:r>
      <w:r w:rsidR="00190D7E" w:rsidRPr="00632E1E">
        <w:rPr>
          <w:i/>
          <w:iCs/>
        </w:rPr>
        <w:t xml:space="preserve">Export Control </w:t>
      </w:r>
      <w:r w:rsidR="00213B66" w:rsidRPr="00632E1E">
        <w:rPr>
          <w:i/>
          <w:iCs/>
        </w:rPr>
        <w:t>Act 2020</w:t>
      </w:r>
      <w:r>
        <w:t>.</w:t>
      </w:r>
      <w:r w:rsidR="00AA0C7B">
        <w:t xml:space="preserve"> This schedule also includes contingent amendments to two other </w:t>
      </w:r>
      <w:r w:rsidR="0001597C">
        <w:t xml:space="preserve">Commonwealth </w:t>
      </w:r>
      <w:r w:rsidR="00AA0C7B">
        <w:t xml:space="preserve">Acts. </w:t>
      </w:r>
    </w:p>
    <w:p w14:paraId="54B757DC" w14:textId="77777777" w:rsidR="000E455C" w:rsidRDefault="00D750D0">
      <w:pPr>
        <w:pStyle w:val="Heading2"/>
      </w:pPr>
      <w:r>
        <w:t>Schedule 3</w:t>
      </w:r>
    </w:p>
    <w:p w14:paraId="18B277B4" w14:textId="3FED2E1F" w:rsidR="000E455C" w:rsidRDefault="00D750D0">
      <w:r>
        <w:t>This schedule sets out a number of application, saving and transitional provisions:</w:t>
      </w:r>
    </w:p>
    <w:p w14:paraId="42167E04" w14:textId="276AA45B" w:rsidR="00390962" w:rsidRDefault="00390962" w:rsidP="00390962">
      <w:pPr>
        <w:pStyle w:val="ListBullet"/>
      </w:pPr>
      <w:r>
        <w:t xml:space="preserve">The C&amp;T </w:t>
      </w:r>
      <w:r w:rsidR="00AD7A6A">
        <w:t>Act</w:t>
      </w:r>
      <w:r>
        <w:t xml:space="preserve"> uses the term 'an old Export Control Law', which is a catch-all concept to describe the </w:t>
      </w:r>
      <w:r w:rsidR="00AD7A6A">
        <w:t>previous</w:t>
      </w:r>
      <w:r>
        <w:t xml:space="preserve"> export legislation.</w:t>
      </w:r>
    </w:p>
    <w:p w14:paraId="10508D7C" w14:textId="516C95EE" w:rsidR="00390962" w:rsidRDefault="00390962" w:rsidP="00390962">
      <w:pPr>
        <w:pStyle w:val="ListBullet"/>
      </w:pPr>
      <w:r>
        <w:lastRenderedPageBreak/>
        <w:t xml:space="preserve">Applications that straddle </w:t>
      </w:r>
      <w:r w:rsidR="00AA0C7B">
        <w:t xml:space="preserve">the </w:t>
      </w:r>
      <w:r>
        <w:t xml:space="preserve">commencement time will be considered as applications under the </w:t>
      </w:r>
      <w:r w:rsidR="0001597C" w:rsidRPr="00632E1E">
        <w:rPr>
          <w:i/>
          <w:iCs/>
        </w:rPr>
        <w:t xml:space="preserve">Export Control </w:t>
      </w:r>
      <w:r w:rsidR="00213B66" w:rsidRPr="00632E1E">
        <w:rPr>
          <w:i/>
          <w:iCs/>
        </w:rPr>
        <w:t>Act 2020</w:t>
      </w:r>
      <w:r w:rsidR="0001597C" w:rsidRPr="00632E1E">
        <w:rPr>
          <w:i/>
          <w:iCs/>
        </w:rPr>
        <w:t>.</w:t>
      </w:r>
    </w:p>
    <w:p w14:paraId="0F5898DD" w14:textId="41300642" w:rsidR="00390962" w:rsidRDefault="00390962" w:rsidP="00390962">
      <w:pPr>
        <w:pStyle w:val="ListBullet"/>
      </w:pPr>
      <w:r>
        <w:t xml:space="preserve">Any consideration period that </w:t>
      </w:r>
      <w:r w:rsidR="00AA0C7B">
        <w:t>relate</w:t>
      </w:r>
      <w:r w:rsidR="00E97156">
        <w:t>s</w:t>
      </w:r>
      <w:r w:rsidR="00AA0C7B">
        <w:t xml:space="preserve"> to applications made </w:t>
      </w:r>
      <w:r>
        <w:t xml:space="preserve">under the </w:t>
      </w:r>
      <w:r w:rsidR="00AD7A6A">
        <w:t>previous</w:t>
      </w:r>
      <w:r>
        <w:t xml:space="preserve"> legislation will be taken into account in calculating the consideration period under the</w:t>
      </w:r>
      <w:r w:rsidR="00AA0C7B" w:rsidRPr="00632E1E">
        <w:rPr>
          <w:i/>
          <w:iCs/>
        </w:rPr>
        <w:t xml:space="preserve"> Export Control </w:t>
      </w:r>
      <w:r w:rsidR="00213B66" w:rsidRPr="00632E1E">
        <w:rPr>
          <w:i/>
          <w:iCs/>
        </w:rPr>
        <w:t>Act 2020</w:t>
      </w:r>
      <w:r w:rsidR="00AA0C7B">
        <w:t>.</w:t>
      </w:r>
    </w:p>
    <w:p w14:paraId="0D36B6D3" w14:textId="4F89CA87" w:rsidR="00390962" w:rsidRDefault="00390962" w:rsidP="00390962">
      <w:pPr>
        <w:pStyle w:val="ListBullet"/>
      </w:pPr>
      <w:r>
        <w:t xml:space="preserve">Section 7 of the </w:t>
      </w:r>
      <w:r>
        <w:rPr>
          <w:rStyle w:val="Emphasis"/>
        </w:rPr>
        <w:t>Acts Interpretation Act 1901</w:t>
      </w:r>
      <w:r>
        <w:t xml:space="preserve"> will apply to retain rights, privileges, obligations and liabilities accrued or incurred under one of the repealed Acts. </w:t>
      </w:r>
    </w:p>
    <w:p w14:paraId="11A6F3A2" w14:textId="6A6CEB97" w:rsidR="000E455C" w:rsidRDefault="00D750D0">
      <w:pPr>
        <w:pStyle w:val="ListBullet"/>
      </w:pPr>
      <w:r>
        <w:t>Wherever possible</w:t>
      </w:r>
      <w:r w:rsidR="00B90187">
        <w:t>,</w:t>
      </w:r>
      <w:r>
        <w:t xml:space="preserve"> something that exists under the </w:t>
      </w:r>
      <w:r w:rsidR="00AD7A6A">
        <w:t>previous</w:t>
      </w:r>
      <w:r>
        <w:t xml:space="preserve"> legislation will continue in force after commencement as if it was </w:t>
      </w:r>
      <w:r w:rsidR="00390962">
        <w:t>accredited, registered, approved, granted, issued or authorised</w:t>
      </w:r>
      <w:r>
        <w:t xml:space="preserve"> under the </w:t>
      </w:r>
      <w:r w:rsidR="001777B8" w:rsidRPr="00632E1E">
        <w:rPr>
          <w:i/>
          <w:iCs/>
        </w:rPr>
        <w:t xml:space="preserve">Export Control </w:t>
      </w:r>
      <w:r w:rsidR="00213B66" w:rsidRPr="00632E1E">
        <w:rPr>
          <w:i/>
          <w:iCs/>
        </w:rPr>
        <w:t>Act 2020</w:t>
      </w:r>
      <w:r>
        <w:t>.</w:t>
      </w:r>
      <w:r w:rsidR="00390962">
        <w:t xml:space="preserve"> This includes:</w:t>
      </w:r>
    </w:p>
    <w:p w14:paraId="38A0BAB2" w14:textId="41778029" w:rsidR="0001597C" w:rsidRDefault="0001597C" w:rsidP="0001597C">
      <w:pPr>
        <w:pStyle w:val="ListBullet2"/>
      </w:pPr>
      <w:r>
        <w:t>accredited properties</w:t>
      </w:r>
    </w:p>
    <w:p w14:paraId="207C8B19" w14:textId="64F10EA1" w:rsidR="0001597C" w:rsidRDefault="0001597C" w:rsidP="0001597C">
      <w:pPr>
        <w:pStyle w:val="ListBullet2"/>
      </w:pPr>
      <w:r>
        <w:t>registered establishments</w:t>
      </w:r>
    </w:p>
    <w:p w14:paraId="6EFC73BE" w14:textId="09271D4D" w:rsidR="00390962" w:rsidRDefault="00390962" w:rsidP="0001597C">
      <w:pPr>
        <w:pStyle w:val="ListBullet2"/>
      </w:pPr>
      <w:r>
        <w:t>approved arrangements</w:t>
      </w:r>
    </w:p>
    <w:p w14:paraId="0ECB1A72" w14:textId="58203A11" w:rsidR="0001597C" w:rsidRDefault="0001597C" w:rsidP="0001597C">
      <w:pPr>
        <w:pStyle w:val="ListBullet2"/>
      </w:pPr>
      <w:r>
        <w:t>export licences</w:t>
      </w:r>
    </w:p>
    <w:p w14:paraId="20C246BB" w14:textId="6760789D" w:rsidR="0001597C" w:rsidRDefault="0001597C" w:rsidP="0001597C">
      <w:pPr>
        <w:pStyle w:val="ListBullet2"/>
      </w:pPr>
      <w:r>
        <w:t>export permits</w:t>
      </w:r>
    </w:p>
    <w:p w14:paraId="5E4AC84B" w14:textId="7F094499" w:rsidR="00390962" w:rsidRDefault="00390962" w:rsidP="0001597C">
      <w:pPr>
        <w:pStyle w:val="ListBullet2"/>
      </w:pPr>
      <w:r>
        <w:t>trade descriptions and official marks.</w:t>
      </w:r>
    </w:p>
    <w:p w14:paraId="1996A05B" w14:textId="6F96E2FC" w:rsidR="00DC1618" w:rsidRDefault="00DC1618" w:rsidP="00DC1618">
      <w:pPr>
        <w:pStyle w:val="ListBullet"/>
      </w:pPr>
      <w:r>
        <w:t xml:space="preserve">The </w:t>
      </w:r>
      <w:r w:rsidR="00AD7A6A">
        <w:t>previous</w:t>
      </w:r>
      <w:r>
        <w:t xml:space="preserve"> legislation </w:t>
      </w:r>
      <w:r w:rsidRPr="0070464B">
        <w:t xml:space="preserve">relating to </w:t>
      </w:r>
      <w:r w:rsidR="0001597C">
        <w:t xml:space="preserve">review of decisions </w:t>
      </w:r>
      <w:r>
        <w:t xml:space="preserve">will continue to apply </w:t>
      </w:r>
      <w:r w:rsidRPr="0070464B">
        <w:t>in relation</w:t>
      </w:r>
      <w:r>
        <w:t xml:space="preserve"> to decisions made </w:t>
      </w:r>
      <w:r w:rsidR="00443C14">
        <w:t xml:space="preserve">before the commencement </w:t>
      </w:r>
      <w:r w:rsidR="0001597C">
        <w:t>time.</w:t>
      </w:r>
    </w:p>
    <w:p w14:paraId="5488842B" w14:textId="3DC7CC8E" w:rsidR="003D5840" w:rsidRDefault="003D5840" w:rsidP="00DC1618">
      <w:pPr>
        <w:pStyle w:val="ListBullet"/>
      </w:pPr>
      <w:r>
        <w:t xml:space="preserve">A reference to a provision of the </w:t>
      </w:r>
      <w:r w:rsidR="00AD7A6A">
        <w:t>previous</w:t>
      </w:r>
      <w:r>
        <w:t xml:space="preserve"> l</w:t>
      </w:r>
      <w:r w:rsidR="00AD7A6A">
        <w:t>egislation</w:t>
      </w:r>
      <w:r>
        <w:t xml:space="preserve"> will be taken to be a reference to the corresponding provision in the </w:t>
      </w:r>
      <w:r w:rsidRPr="00632E1E">
        <w:rPr>
          <w:i/>
          <w:iCs/>
        </w:rPr>
        <w:t xml:space="preserve">Export Control </w:t>
      </w:r>
      <w:r w:rsidR="00213B66" w:rsidRPr="00632E1E">
        <w:rPr>
          <w:i/>
          <w:iCs/>
        </w:rPr>
        <w:t>Act 2020</w:t>
      </w:r>
      <w:r>
        <w:t>.</w:t>
      </w:r>
    </w:p>
    <w:p w14:paraId="707168A4" w14:textId="3F37AC85" w:rsidR="00DC1618" w:rsidRDefault="00DC1618" w:rsidP="00DC1618">
      <w:pPr>
        <w:pStyle w:val="ListBullet"/>
      </w:pPr>
      <w:r>
        <w:t xml:space="preserve">The compliance and enforcement provisions </w:t>
      </w:r>
      <w:r w:rsidR="0001597C">
        <w:t>in</w:t>
      </w:r>
      <w:r>
        <w:t xml:space="preserve"> the </w:t>
      </w:r>
      <w:r w:rsidR="0001597C" w:rsidRPr="00632E1E">
        <w:rPr>
          <w:i/>
          <w:iCs/>
        </w:rPr>
        <w:t xml:space="preserve">Export Control </w:t>
      </w:r>
      <w:r w:rsidR="00213B66" w:rsidRPr="00632E1E">
        <w:rPr>
          <w:i/>
          <w:iCs/>
        </w:rPr>
        <w:t>Act 2020</w:t>
      </w:r>
      <w:r w:rsidR="00213B66">
        <w:t xml:space="preserve"> </w:t>
      </w:r>
      <w:r w:rsidR="00443C14">
        <w:t xml:space="preserve">will </w:t>
      </w:r>
      <w:r>
        <w:t xml:space="preserve">apply for the purposes of determining whether the C&amp;T </w:t>
      </w:r>
      <w:r w:rsidR="00632E1E">
        <w:t>Act</w:t>
      </w:r>
      <w:r>
        <w:t xml:space="preserve"> or the </w:t>
      </w:r>
      <w:r w:rsidR="00AD7A6A">
        <w:t>previous</w:t>
      </w:r>
      <w:r>
        <w:t xml:space="preserve"> legislation has been complied with after </w:t>
      </w:r>
      <w:r w:rsidR="0001597C">
        <w:t xml:space="preserve">the </w:t>
      </w:r>
      <w:r>
        <w:t>commencement time.</w:t>
      </w:r>
    </w:p>
    <w:p w14:paraId="326C12EB" w14:textId="63A2AC9B" w:rsidR="000E455C" w:rsidRDefault="00D750D0">
      <w:pPr>
        <w:pStyle w:val="ListBullet"/>
      </w:pPr>
      <w:r>
        <w:t xml:space="preserve">A person who was an authorised officer under the </w:t>
      </w:r>
      <w:r w:rsidR="00AD7A6A">
        <w:t>previous</w:t>
      </w:r>
      <w:r>
        <w:t xml:space="preserve"> legislation will be taken to be an authorised officer under the </w:t>
      </w:r>
      <w:r w:rsidR="0001597C" w:rsidRPr="00632E1E">
        <w:rPr>
          <w:i/>
          <w:iCs/>
        </w:rPr>
        <w:t>Export Control</w:t>
      </w:r>
      <w:r w:rsidR="00213B66" w:rsidRPr="00632E1E">
        <w:rPr>
          <w:i/>
          <w:iCs/>
        </w:rPr>
        <w:t xml:space="preserve"> Act 2020</w:t>
      </w:r>
      <w:r w:rsidRPr="00632E1E">
        <w:rPr>
          <w:i/>
          <w:iCs/>
        </w:rPr>
        <w:t>.</w:t>
      </w:r>
    </w:p>
    <w:p w14:paraId="69F65227" w14:textId="72C4B562" w:rsidR="000E455C" w:rsidRDefault="00D750D0">
      <w:pPr>
        <w:pStyle w:val="ListBullet"/>
      </w:pPr>
      <w:r>
        <w:t xml:space="preserve">Information obtained under the </w:t>
      </w:r>
      <w:r w:rsidR="00AD7A6A">
        <w:t>previous</w:t>
      </w:r>
      <w:r>
        <w:t xml:space="preserve"> legislation will be taken to be protected information under the </w:t>
      </w:r>
      <w:r w:rsidR="0001597C" w:rsidRPr="00632E1E">
        <w:rPr>
          <w:i/>
          <w:iCs/>
        </w:rPr>
        <w:t xml:space="preserve">Export Control </w:t>
      </w:r>
      <w:r w:rsidR="00213B66" w:rsidRPr="00632E1E">
        <w:rPr>
          <w:i/>
          <w:iCs/>
        </w:rPr>
        <w:t>Act 2020</w:t>
      </w:r>
      <w:r w:rsidRPr="00632E1E">
        <w:rPr>
          <w:i/>
          <w:iCs/>
        </w:rPr>
        <w:t>.</w:t>
      </w:r>
    </w:p>
    <w:p w14:paraId="2059CDA5" w14:textId="67A77971" w:rsidR="00CE0DA0" w:rsidRPr="00CE0DA0" w:rsidRDefault="00BF2BF0" w:rsidP="00BF2BF0">
      <w:pPr>
        <w:pStyle w:val="Heading2"/>
      </w:pPr>
      <w:r>
        <w:t>More</w:t>
      </w:r>
      <w:r w:rsidR="00D750D0" w:rsidRPr="00CE0DA0">
        <w:t xml:space="preserve"> information</w:t>
      </w:r>
    </w:p>
    <w:p w14:paraId="716851C3" w14:textId="051C3950" w:rsidR="000E455C" w:rsidRDefault="00D750D0">
      <w:pPr>
        <w:rPr>
          <w:rStyle w:val="Hyperlink"/>
          <w:lang w:eastAsia="ja-JP"/>
        </w:rPr>
      </w:pPr>
      <w:r>
        <w:rPr>
          <w:lang w:eastAsia="ja-JP"/>
        </w:rPr>
        <w:t xml:space="preserve">Email </w:t>
      </w:r>
      <w:hyperlink r:id="rId11" w:history="1">
        <w:r>
          <w:rPr>
            <w:rStyle w:val="Hyperlink"/>
            <w:lang w:eastAsia="ja-JP"/>
          </w:rPr>
          <w:t>exportlegislation@agriculture.gov.au</w:t>
        </w:r>
      </w:hyperlink>
    </w:p>
    <w:p w14:paraId="4A15A930" w14:textId="1517511B" w:rsidR="000E455C" w:rsidRDefault="00D750D0">
      <w:pPr>
        <w:rPr>
          <w:lang w:eastAsia="ja-JP"/>
        </w:rPr>
      </w:pPr>
      <w:r>
        <w:rPr>
          <w:lang w:eastAsia="ja-JP"/>
        </w:rPr>
        <w:t xml:space="preserve">Web </w:t>
      </w:r>
      <w:hyperlink r:id="rId12" w:history="1">
        <w:r w:rsidR="00E97156">
          <w:rPr>
            <w:rStyle w:val="Hyperlink"/>
            <w:lang w:eastAsia="ja-JP"/>
          </w:rPr>
          <w:t>agriculture.gov.au/market-access-trade/improving-export-legislation</w:t>
        </w:r>
      </w:hyperlink>
    </w:p>
    <w:p w14:paraId="3C088050" w14:textId="3944700A" w:rsidR="000E455C" w:rsidRDefault="00D750D0" w:rsidP="00C765C8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</w:t>
      </w:r>
      <w:r w:rsidR="00B94490">
        <w:rPr>
          <w:lang w:eastAsia="ja-JP"/>
        </w:rPr>
        <w:t>21</w:t>
      </w:r>
    </w:p>
    <w:p w14:paraId="2D2F49CA" w14:textId="77777777" w:rsidR="000E455C" w:rsidRDefault="00D750D0">
      <w:pPr>
        <w:pStyle w:val="Normalsmall"/>
        <w:rPr>
          <w:lang w:eastAsia="ja-JP"/>
        </w:rPr>
      </w:pPr>
      <w:r>
        <w:rPr>
          <w:lang w:eastAsia="ja-JP"/>
        </w:rPr>
        <w:t>This work is copyright. It may be reproduced in whole or in part subject to the inclusion of an acknowledgement of the source and no commercial usage or sale.</w:t>
      </w:r>
    </w:p>
    <w:sectPr w:rsidR="000E455C" w:rsidSect="00AA0C7B">
      <w:headerReference w:type="default" r:id="rId13"/>
      <w:footerReference w:type="default" r:id="rId14"/>
      <w:headerReference w:type="first" r:id="rId15"/>
      <w:pgSz w:w="11906" w:h="16838"/>
      <w:pgMar w:top="2126" w:right="1418" w:bottom="1418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F3027" w14:textId="77777777" w:rsidR="00320CB4" w:rsidRDefault="00320CB4">
      <w:r>
        <w:separator/>
      </w:r>
    </w:p>
    <w:p w14:paraId="0D57405B" w14:textId="77777777" w:rsidR="00320CB4" w:rsidRDefault="00320CB4"/>
    <w:p w14:paraId="674CA405" w14:textId="77777777" w:rsidR="00320CB4" w:rsidRDefault="00320CB4"/>
  </w:endnote>
  <w:endnote w:type="continuationSeparator" w:id="0">
    <w:p w14:paraId="02D357C3" w14:textId="77777777" w:rsidR="00320CB4" w:rsidRDefault="00320CB4">
      <w:r>
        <w:continuationSeparator/>
      </w:r>
    </w:p>
    <w:p w14:paraId="00DA98C8" w14:textId="77777777" w:rsidR="00320CB4" w:rsidRDefault="00320CB4"/>
    <w:p w14:paraId="5D23D8F6" w14:textId="77777777" w:rsidR="00320CB4" w:rsidRDefault="00320CB4"/>
  </w:endnote>
  <w:endnote w:type="continuationNotice" w:id="1">
    <w:p w14:paraId="1FEDC8C0" w14:textId="77777777" w:rsidR="00320CB4" w:rsidRDefault="00320CB4">
      <w:pPr>
        <w:pStyle w:val="Footer"/>
      </w:pPr>
    </w:p>
    <w:p w14:paraId="003B372F" w14:textId="77777777" w:rsidR="00320CB4" w:rsidRDefault="00320CB4"/>
    <w:p w14:paraId="7AC0B9D9" w14:textId="77777777" w:rsidR="00320CB4" w:rsidRDefault="00320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A3A4" w14:textId="77777777" w:rsidR="000E455C" w:rsidRDefault="00D750D0">
    <w:pPr>
      <w:pStyle w:val="Footer"/>
    </w:pPr>
    <w:r>
      <w:t>Department of Agriculture</w:t>
    </w:r>
  </w:p>
  <w:p w14:paraId="5B637164" w14:textId="77777777" w:rsidR="000E455C" w:rsidRDefault="00D750D0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4F00C5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ABB83" w14:textId="77777777" w:rsidR="00320CB4" w:rsidRDefault="00320CB4">
      <w:r>
        <w:separator/>
      </w:r>
    </w:p>
    <w:p w14:paraId="60584304" w14:textId="77777777" w:rsidR="00320CB4" w:rsidRDefault="00320CB4"/>
    <w:p w14:paraId="350FD3A9" w14:textId="77777777" w:rsidR="00320CB4" w:rsidRDefault="00320CB4"/>
  </w:footnote>
  <w:footnote w:type="continuationSeparator" w:id="0">
    <w:p w14:paraId="64EA7517" w14:textId="77777777" w:rsidR="00320CB4" w:rsidRDefault="00320CB4">
      <w:r>
        <w:continuationSeparator/>
      </w:r>
    </w:p>
    <w:p w14:paraId="119AF06A" w14:textId="77777777" w:rsidR="00320CB4" w:rsidRDefault="00320CB4"/>
    <w:p w14:paraId="0005CC0F" w14:textId="77777777" w:rsidR="00320CB4" w:rsidRDefault="00320CB4"/>
  </w:footnote>
  <w:footnote w:type="continuationNotice" w:id="1">
    <w:p w14:paraId="24D38CE1" w14:textId="77777777" w:rsidR="00320CB4" w:rsidRDefault="00320CB4">
      <w:pPr>
        <w:pStyle w:val="Footer"/>
      </w:pPr>
    </w:p>
    <w:p w14:paraId="62D067E2" w14:textId="77777777" w:rsidR="00320CB4" w:rsidRDefault="00320CB4"/>
    <w:p w14:paraId="702E2243" w14:textId="77777777" w:rsidR="00320CB4" w:rsidRDefault="00320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BC9B4" w14:textId="230CDA10" w:rsidR="000E455C" w:rsidRPr="001B0CD3" w:rsidRDefault="00632E1E">
    <w:pPr>
      <w:pStyle w:val="Header"/>
      <w:rPr>
        <w:sz w:val="16"/>
        <w:szCs w:val="16"/>
      </w:rPr>
    </w:pPr>
    <w:r>
      <w:rPr>
        <w:sz w:val="16"/>
        <w:szCs w:val="16"/>
      </w:rPr>
      <w:t>Outline – Export Control (Consequential Amendments and Transitional Provisions) Act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F459" w14:textId="77777777" w:rsidR="000E455C" w:rsidRDefault="00066D0B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9264" behindDoc="1" locked="0" layoutInCell="1" allowOverlap="1" wp14:anchorId="790BC4C6" wp14:editId="610B57E9">
          <wp:simplePos x="0" y="0"/>
          <wp:positionH relativeFrom="page">
            <wp:align>left</wp:align>
          </wp:positionH>
          <wp:positionV relativeFrom="paragraph">
            <wp:posOffset>-349857</wp:posOffset>
          </wp:positionV>
          <wp:extent cx="7833995" cy="2425700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995" cy="242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A8F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487F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0672D13"/>
    <w:multiLevelType w:val="hybridMultilevel"/>
    <w:tmpl w:val="416086F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10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328D5"/>
    <w:multiLevelType w:val="multilevel"/>
    <w:tmpl w:val="BE78A4F8"/>
    <w:numStyleLink w:val="Numberlist"/>
  </w:abstractNum>
  <w:abstractNum w:abstractNumId="14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B103637"/>
    <w:multiLevelType w:val="multilevel"/>
    <w:tmpl w:val="BE78A4F8"/>
    <w:numStyleLink w:val="Numberlist"/>
  </w:abstractNum>
  <w:abstractNum w:abstractNumId="16" w15:restartNumberingAfterBreak="0">
    <w:nsid w:val="37F869FA"/>
    <w:multiLevelType w:val="hybridMultilevel"/>
    <w:tmpl w:val="D6B6828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94A15FE"/>
    <w:multiLevelType w:val="multilevel"/>
    <w:tmpl w:val="F36C17E8"/>
    <w:numStyleLink w:val="Headinglist"/>
  </w:abstractNum>
  <w:abstractNum w:abstractNumId="18" w15:restartNumberingAfterBreak="0">
    <w:nsid w:val="414F4729"/>
    <w:multiLevelType w:val="multilevel"/>
    <w:tmpl w:val="A0241B28"/>
    <w:numStyleLink w:val="List1"/>
  </w:abstractNum>
  <w:abstractNum w:abstractNumId="19" w15:restartNumberingAfterBreak="0">
    <w:nsid w:val="486800B4"/>
    <w:multiLevelType w:val="multilevel"/>
    <w:tmpl w:val="A0241B28"/>
    <w:numStyleLink w:val="List1"/>
  </w:abstractNum>
  <w:abstractNum w:abstractNumId="20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159DC"/>
    <w:multiLevelType w:val="multilevel"/>
    <w:tmpl w:val="BE78A4F8"/>
    <w:numStyleLink w:val="Numberlist"/>
  </w:abstractNum>
  <w:abstractNum w:abstractNumId="22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4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C10A1"/>
    <w:multiLevelType w:val="multilevel"/>
    <w:tmpl w:val="BE78A4F8"/>
    <w:numStyleLink w:val="Numberlist"/>
  </w:abstractNum>
  <w:abstractNum w:abstractNumId="29" w15:restartNumberingAfterBreak="0">
    <w:nsid w:val="733934B7"/>
    <w:multiLevelType w:val="multilevel"/>
    <w:tmpl w:val="A0241B28"/>
    <w:numStyleLink w:val="List1"/>
  </w:abstractNum>
  <w:num w:numId="1">
    <w:abstractNumId w:val="7"/>
  </w:num>
  <w:num w:numId="2">
    <w:abstractNumId w:val="19"/>
  </w:num>
  <w:num w:numId="3">
    <w:abstractNumId w:val="20"/>
  </w:num>
  <w:num w:numId="4">
    <w:abstractNumId w:val="11"/>
  </w:num>
  <w:num w:numId="5">
    <w:abstractNumId w:val="25"/>
  </w:num>
  <w:num w:numId="6">
    <w:abstractNumId w:val="26"/>
  </w:num>
  <w:num w:numId="7">
    <w:abstractNumId w:val="9"/>
  </w:num>
  <w:num w:numId="8">
    <w:abstractNumId w:val="14"/>
  </w:num>
  <w:num w:numId="9">
    <w:abstractNumId w:val="17"/>
  </w:num>
  <w:num w:numId="10">
    <w:abstractNumId w:val="9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2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"/>
  </w:num>
  <w:num w:numId="20">
    <w:abstractNumId w:val="0"/>
  </w:num>
  <w:num w:numId="21">
    <w:abstractNumId w:val="15"/>
  </w:num>
  <w:num w:numId="22">
    <w:abstractNumId w:val="21"/>
  </w:num>
  <w:num w:numId="23">
    <w:abstractNumId w:val="28"/>
  </w:num>
  <w:num w:numId="24">
    <w:abstractNumId w:val="13"/>
  </w:num>
  <w:num w:numId="25">
    <w:abstractNumId w:val="1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2"/>
  </w:num>
  <w:num w:numId="29">
    <w:abstractNumId w:val="24"/>
  </w:num>
  <w:num w:numId="30">
    <w:abstractNumId w:val="10"/>
  </w:num>
  <w:num w:numId="31">
    <w:abstractNumId w:val="16"/>
  </w:num>
  <w:num w:numId="32">
    <w:abstractNumId w:val="8"/>
  </w:num>
  <w:num w:numId="3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1597C"/>
    <w:rsid w:val="00021590"/>
    <w:rsid w:val="00062AC5"/>
    <w:rsid w:val="00066D0B"/>
    <w:rsid w:val="00066F7C"/>
    <w:rsid w:val="000B7FE0"/>
    <w:rsid w:val="000E455C"/>
    <w:rsid w:val="00174458"/>
    <w:rsid w:val="001777B8"/>
    <w:rsid w:val="00190D7E"/>
    <w:rsid w:val="001B0CD3"/>
    <w:rsid w:val="001C6A70"/>
    <w:rsid w:val="001D0EF3"/>
    <w:rsid w:val="00207213"/>
    <w:rsid w:val="00213B66"/>
    <w:rsid w:val="00222D5E"/>
    <w:rsid w:val="00272D5B"/>
    <w:rsid w:val="002A07A3"/>
    <w:rsid w:val="002D0A3B"/>
    <w:rsid w:val="002D14E7"/>
    <w:rsid w:val="0030512E"/>
    <w:rsid w:val="00320CB4"/>
    <w:rsid w:val="003667E7"/>
    <w:rsid w:val="00390962"/>
    <w:rsid w:val="003D5840"/>
    <w:rsid w:val="00416C5D"/>
    <w:rsid w:val="00434CC4"/>
    <w:rsid w:val="00443C14"/>
    <w:rsid w:val="00466246"/>
    <w:rsid w:val="00476E89"/>
    <w:rsid w:val="00477438"/>
    <w:rsid w:val="00482F30"/>
    <w:rsid w:val="004A0765"/>
    <w:rsid w:val="004F00C5"/>
    <w:rsid w:val="00537FCF"/>
    <w:rsid w:val="00553E9D"/>
    <w:rsid w:val="005C5CE0"/>
    <w:rsid w:val="005F2B25"/>
    <w:rsid w:val="006156DF"/>
    <w:rsid w:val="0061601C"/>
    <w:rsid w:val="00625D8D"/>
    <w:rsid w:val="00632E1E"/>
    <w:rsid w:val="00634FBA"/>
    <w:rsid w:val="006E71A1"/>
    <w:rsid w:val="006F6C3C"/>
    <w:rsid w:val="0070464B"/>
    <w:rsid w:val="00705DA6"/>
    <w:rsid w:val="007524B7"/>
    <w:rsid w:val="00766D00"/>
    <w:rsid w:val="0087163F"/>
    <w:rsid w:val="00901309"/>
    <w:rsid w:val="00902E92"/>
    <w:rsid w:val="00903657"/>
    <w:rsid w:val="00903EBE"/>
    <w:rsid w:val="00911F4A"/>
    <w:rsid w:val="00966A48"/>
    <w:rsid w:val="00974CD6"/>
    <w:rsid w:val="00975CA5"/>
    <w:rsid w:val="009C206F"/>
    <w:rsid w:val="009C6591"/>
    <w:rsid w:val="00A11A69"/>
    <w:rsid w:val="00A14548"/>
    <w:rsid w:val="00AA0C7B"/>
    <w:rsid w:val="00AA1D89"/>
    <w:rsid w:val="00AA1E40"/>
    <w:rsid w:val="00AD7A6A"/>
    <w:rsid w:val="00AE1E6E"/>
    <w:rsid w:val="00AE4220"/>
    <w:rsid w:val="00B0121B"/>
    <w:rsid w:val="00B151B2"/>
    <w:rsid w:val="00B56B5B"/>
    <w:rsid w:val="00B90187"/>
    <w:rsid w:val="00B94490"/>
    <w:rsid w:val="00BD4F8E"/>
    <w:rsid w:val="00BF2BF0"/>
    <w:rsid w:val="00C17F67"/>
    <w:rsid w:val="00C46328"/>
    <w:rsid w:val="00C6128D"/>
    <w:rsid w:val="00C71584"/>
    <w:rsid w:val="00C74B6C"/>
    <w:rsid w:val="00C765C8"/>
    <w:rsid w:val="00CD7F11"/>
    <w:rsid w:val="00CE0DA0"/>
    <w:rsid w:val="00CE796B"/>
    <w:rsid w:val="00D361DC"/>
    <w:rsid w:val="00D4039B"/>
    <w:rsid w:val="00D67BC1"/>
    <w:rsid w:val="00D750D0"/>
    <w:rsid w:val="00D86809"/>
    <w:rsid w:val="00DB7CFE"/>
    <w:rsid w:val="00DC1618"/>
    <w:rsid w:val="00E3464B"/>
    <w:rsid w:val="00E62B8C"/>
    <w:rsid w:val="00E809C0"/>
    <w:rsid w:val="00E97156"/>
    <w:rsid w:val="00EA2BF3"/>
    <w:rsid w:val="00EC170B"/>
    <w:rsid w:val="00EC757D"/>
    <w:rsid w:val="00F44BD3"/>
    <w:rsid w:val="00F868C3"/>
    <w:rsid w:val="00F94779"/>
    <w:rsid w:val="00FD337C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C74B6C"/>
    <w:pPr>
      <w:ind w:left="720"/>
      <w:contextualSpacing/>
    </w:pPr>
  </w:style>
  <w:style w:type="paragraph" w:customStyle="1" w:styleId="Series">
    <w:name w:val="Series"/>
    <w:basedOn w:val="Normal"/>
    <w:qFormat/>
    <w:rsid w:val="00E809C0"/>
    <w:pPr>
      <w:spacing w:before="120"/>
    </w:pPr>
    <w:rPr>
      <w:rFonts w:asciiTheme="minorHAnsi" w:hAnsiTheme="minorHAnsi"/>
      <w:b/>
      <w:i/>
      <w:color w:val="5482AB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improving-export-legislatio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A9A42-563F-464B-A23E-8BEB6550A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D5AAE2-3253-4F71-9B22-B3D4CB3D5D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the Export Control (Consequential Amendments and Transitional Provisions) Act 2020</vt:lpstr>
    </vt:vector>
  </TitlesOfParts>
  <Company/>
  <LinksUpToDate>false</LinksUpToDate>
  <CharactersWithSpaces>4047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the Export Control (Consequential Amendments and Transitional Provisions) Act 2020</dc:title>
  <dc:creator>Department of Agriculture, Water and the Environment</dc:creator>
  <cp:lastModifiedBy>Dang, Van</cp:lastModifiedBy>
  <cp:revision>3</cp:revision>
  <cp:lastPrinted>2019-09-02T03:46:00Z</cp:lastPrinted>
  <dcterms:created xsi:type="dcterms:W3CDTF">2021-04-27T03:53:00Z</dcterms:created>
  <dcterms:modified xsi:type="dcterms:W3CDTF">2021-04-29T02:50:00Z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