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C18357" w14:textId="71ACB0F9" w:rsidR="00F73CEE" w:rsidRDefault="00157097" w:rsidP="00445487">
      <w:pPr>
        <w:pStyle w:val="Date"/>
      </w:pPr>
      <w:r>
        <w:t>March 2021</w:t>
      </w:r>
    </w:p>
    <w:p w14:paraId="30713D4A" w14:textId="51E52C26" w:rsidR="00F73CEE" w:rsidRDefault="00F73CEE" w:rsidP="00F73CEE">
      <w:pPr>
        <w:pStyle w:val="Series"/>
      </w:pPr>
      <w:r>
        <w:t>Improv</w:t>
      </w:r>
      <w:r w:rsidR="00594E82">
        <w:t>ed</w:t>
      </w:r>
      <w:r>
        <w:t xml:space="preserve"> </w:t>
      </w:r>
      <w:r w:rsidR="00AC13F0">
        <w:t>a</w:t>
      </w:r>
      <w:r>
        <w:t xml:space="preserve">gricultural </w:t>
      </w:r>
      <w:r w:rsidR="00AC13F0">
        <w:t>e</w:t>
      </w:r>
      <w:r>
        <w:t xml:space="preserve">xport </w:t>
      </w:r>
      <w:r w:rsidR="00AC13F0">
        <w:t>l</w:t>
      </w:r>
      <w:r>
        <w:t>egislation</w:t>
      </w:r>
    </w:p>
    <w:p w14:paraId="009DCC9E" w14:textId="0925E48E" w:rsidR="00573494" w:rsidRDefault="00573494" w:rsidP="00573494">
      <w:pPr>
        <w:pStyle w:val="Heading1"/>
      </w:pPr>
      <w:r>
        <w:t>Outline of the Export Control (Fish and Fish Products) Rules 202</w:t>
      </w:r>
      <w:r w:rsidR="00157097">
        <w:t>1</w:t>
      </w:r>
    </w:p>
    <w:p w14:paraId="556286D5" w14:textId="77777777" w:rsidR="008126E2" w:rsidRPr="008126E2" w:rsidRDefault="008126E2" w:rsidP="008126E2">
      <w:pPr>
        <w:pStyle w:val="Heading2"/>
        <w:rPr>
          <w:sz w:val="32"/>
        </w:rPr>
      </w:pPr>
      <w:bookmarkStart w:id="0" w:name="_Hlk65741781"/>
      <w:r w:rsidRPr="008126E2">
        <w:rPr>
          <w:sz w:val="32"/>
        </w:rPr>
        <w:t>Introduction</w:t>
      </w:r>
    </w:p>
    <w:p w14:paraId="1E57116E" w14:textId="77777777" w:rsidR="00444D20" w:rsidRDefault="00444D20" w:rsidP="00573494">
      <w:bookmarkStart w:id="1" w:name="_Hlk65741825"/>
      <w:bookmarkEnd w:id="0"/>
      <w:r>
        <w:t xml:space="preserve">Australia’s new agricultural export legislation began on 28 March 2021. It comprises the </w:t>
      </w:r>
      <w:r w:rsidRPr="009B4CDC">
        <w:rPr>
          <w:i/>
          <w:iCs/>
        </w:rPr>
        <w:t>Export Control Act 2020</w:t>
      </w:r>
      <w:r>
        <w:t xml:space="preserve"> (the Act), and the Export Control Rules 2021 (the Rules) which set out the operational requirements that must be met to export specific goods from Australia (e.g. fish).</w:t>
      </w:r>
    </w:p>
    <w:bookmarkEnd w:id="1"/>
    <w:p w14:paraId="41A77ABB" w14:textId="29579933" w:rsidR="00573494" w:rsidRDefault="00157097" w:rsidP="00573494">
      <w:r>
        <w:t xml:space="preserve">The </w:t>
      </w:r>
      <w:r w:rsidR="00573494">
        <w:t>Export Control (Fish and Fish Products) Rules 202</w:t>
      </w:r>
      <w:r w:rsidR="00C77F5F">
        <w:t>1</w:t>
      </w:r>
      <w:r w:rsidR="00573494">
        <w:t xml:space="preserve"> </w:t>
      </w:r>
      <w:r w:rsidR="003D036A">
        <w:t>(</w:t>
      </w:r>
      <w:r w:rsidR="00EB3CE0">
        <w:t xml:space="preserve">the </w:t>
      </w:r>
      <w:r w:rsidR="007A6CD8">
        <w:t>F</w:t>
      </w:r>
      <w:r w:rsidR="003D036A">
        <w:t xml:space="preserve">ish </w:t>
      </w:r>
      <w:r w:rsidR="007A6CD8">
        <w:t>R</w:t>
      </w:r>
      <w:r w:rsidR="003D036A">
        <w:t xml:space="preserve">ules) </w:t>
      </w:r>
      <w:r w:rsidR="00573494">
        <w:t xml:space="preserve">specify how fish and fish products prepared for export </w:t>
      </w:r>
      <w:r w:rsidR="001038DD">
        <w:t xml:space="preserve">are </w:t>
      </w:r>
      <w:r w:rsidR="00573494">
        <w:t>regulated.</w:t>
      </w:r>
      <w:r w:rsidR="003C74A4">
        <w:t xml:space="preserve"> </w:t>
      </w:r>
      <w:r w:rsidR="009B4CDC">
        <w:t>At the commencement of the new legislation, t</w:t>
      </w:r>
      <w:r w:rsidR="00573494">
        <w:t xml:space="preserve">he </w:t>
      </w:r>
      <w:r w:rsidR="00A21678">
        <w:t>F</w:t>
      </w:r>
      <w:r w:rsidR="00573494">
        <w:t xml:space="preserve">ish </w:t>
      </w:r>
      <w:r w:rsidR="00A21678">
        <w:t>R</w:t>
      </w:r>
      <w:r w:rsidR="00573494">
        <w:t>ules</w:t>
      </w:r>
      <w:r>
        <w:t xml:space="preserve"> </w:t>
      </w:r>
      <w:r w:rsidR="00573494">
        <w:t>replace</w:t>
      </w:r>
      <w:r>
        <w:t>d</w:t>
      </w:r>
      <w:r w:rsidR="00573494">
        <w:t xml:space="preserve"> </w:t>
      </w:r>
      <w:r w:rsidR="00A21678">
        <w:t xml:space="preserve">the </w:t>
      </w:r>
      <w:r>
        <w:t xml:space="preserve">previous </w:t>
      </w:r>
      <w:r w:rsidR="00573494">
        <w:t xml:space="preserve">legislation, including the </w:t>
      </w:r>
      <w:r w:rsidR="00573494" w:rsidRPr="00A74B6D">
        <w:rPr>
          <w:rStyle w:val="Emphasis"/>
          <w:i w:val="0"/>
        </w:rPr>
        <w:t>Export Control (Fish and Fish Products) Orders</w:t>
      </w:r>
      <w:r w:rsidR="00E87C6D">
        <w:rPr>
          <w:rStyle w:val="Emphasis"/>
          <w:i w:val="0"/>
        </w:rPr>
        <w:t xml:space="preserve"> </w:t>
      </w:r>
      <w:r w:rsidR="00573494" w:rsidRPr="00A74B6D">
        <w:rPr>
          <w:rStyle w:val="Emphasis"/>
          <w:i w:val="0"/>
        </w:rPr>
        <w:t>2005</w:t>
      </w:r>
      <w:r w:rsidR="00573494" w:rsidRPr="003D036A">
        <w:rPr>
          <w:i/>
        </w:rPr>
        <w:t>.</w:t>
      </w:r>
      <w:r w:rsidR="00573494">
        <w:t xml:space="preserve"> The regulatory controls and oversight in the </w:t>
      </w:r>
      <w:r w:rsidR="00C77F5F">
        <w:t xml:space="preserve">previous legislation </w:t>
      </w:r>
      <w:r>
        <w:t xml:space="preserve">has </w:t>
      </w:r>
      <w:r w:rsidR="00573494">
        <w:t>be</w:t>
      </w:r>
      <w:r>
        <w:t>en</w:t>
      </w:r>
      <w:r w:rsidR="00573494">
        <w:t xml:space="preserve"> maintained.</w:t>
      </w:r>
      <w:r w:rsidR="003C74A4">
        <w:t xml:space="preserve"> </w:t>
      </w:r>
      <w:r w:rsidR="00573494">
        <w:t xml:space="preserve">The </w:t>
      </w:r>
      <w:r w:rsidR="00ED4869">
        <w:t>Fish Rules</w:t>
      </w:r>
      <w:r w:rsidR="00A21678">
        <w:t xml:space="preserve"> </w:t>
      </w:r>
      <w:r w:rsidR="001038DD">
        <w:t>se</w:t>
      </w:r>
      <w:r w:rsidR="00A21678">
        <w:t xml:space="preserve">t out the rules for regulating the export of </w:t>
      </w:r>
      <w:r w:rsidR="00D17D44">
        <w:t>fish</w:t>
      </w:r>
      <w:r w:rsidR="00A21678">
        <w:t xml:space="preserve"> and </w:t>
      </w:r>
      <w:r w:rsidR="00D17D44">
        <w:t>fish</w:t>
      </w:r>
      <w:r w:rsidR="00A21678">
        <w:t xml:space="preserve"> products.</w:t>
      </w:r>
      <w:r w:rsidR="00D130AF">
        <w:t xml:space="preserve"> The</w:t>
      </w:r>
      <w:r w:rsidR="00A21678">
        <w:t>y</w:t>
      </w:r>
      <w:r w:rsidR="00573494">
        <w:t xml:space="preserve"> specify the operational requirements that must be complied with to export prescribed fish and fish products.</w:t>
      </w:r>
      <w:r w:rsidR="00A21678">
        <w:t xml:space="preserve"> The Fish </w:t>
      </w:r>
      <w:r w:rsidR="00624E1C">
        <w:t>R</w:t>
      </w:r>
      <w:r w:rsidR="00A21678">
        <w:t xml:space="preserve">ules must be read in conjunction with the </w:t>
      </w:r>
      <w:r w:rsidR="009B4CDC">
        <w:t>Act</w:t>
      </w:r>
      <w:r w:rsidR="00A21678">
        <w:t>.</w:t>
      </w:r>
    </w:p>
    <w:p w14:paraId="511C1EF7" w14:textId="3E6FA343" w:rsidR="00573494" w:rsidRDefault="00D130AF" w:rsidP="00573494">
      <w:pPr>
        <w:pStyle w:val="Heading2"/>
      </w:pPr>
      <w:r>
        <w:t xml:space="preserve">Chapter </w:t>
      </w:r>
      <w:r w:rsidR="00905AC6">
        <w:t>1</w:t>
      </w:r>
      <w:r>
        <w:t xml:space="preserve"> </w:t>
      </w:r>
      <w:r w:rsidR="00905AC6">
        <w:t>Preliminary</w:t>
      </w:r>
    </w:p>
    <w:p w14:paraId="3EDCCB10" w14:textId="4B73513F" w:rsidR="00573494" w:rsidRDefault="00D130AF" w:rsidP="00573494">
      <w:r>
        <w:t>This chapter c</w:t>
      </w:r>
      <w:r w:rsidR="00573494">
        <w:t xml:space="preserve">ontains an outline of the </w:t>
      </w:r>
      <w:r w:rsidR="00D47EF1">
        <w:t>F</w:t>
      </w:r>
      <w:r w:rsidR="00573494">
        <w:t xml:space="preserve">ish </w:t>
      </w:r>
      <w:r w:rsidR="00D47EF1">
        <w:t>R</w:t>
      </w:r>
      <w:r w:rsidR="00573494">
        <w:t>ules, including definitions of key terms.</w:t>
      </w:r>
    </w:p>
    <w:p w14:paraId="3766FCC7" w14:textId="63D3610F" w:rsidR="00573494" w:rsidRDefault="00905AC6" w:rsidP="00573494">
      <w:pPr>
        <w:pStyle w:val="Heading2"/>
      </w:pPr>
      <w:r>
        <w:t>Chapter 2</w:t>
      </w:r>
      <w:r w:rsidR="00573494">
        <w:t xml:space="preserve"> Prescribed goods</w:t>
      </w:r>
    </w:p>
    <w:p w14:paraId="768A5DCF" w14:textId="10D74945" w:rsidR="00573494" w:rsidRDefault="00D130AF" w:rsidP="003D036A">
      <w:pPr>
        <w:rPr>
          <w:rFonts w:ascii="Cambria" w:hAnsi="Cambria"/>
        </w:rPr>
      </w:pPr>
      <w:r>
        <w:t xml:space="preserve">This chapter sets out the fish and fish products that are prescribed goods. These are goods that </w:t>
      </w:r>
      <w:r w:rsidR="00B54CAB">
        <w:t xml:space="preserve">are </w:t>
      </w:r>
      <w:r w:rsidRPr="00D130AF">
        <w:t xml:space="preserve">regulated under agricultural export legislation. This chapter also identifies when prescribed goods are not considered to be prescribed goods. It specifies conditions for the export of </w:t>
      </w:r>
      <w:r>
        <w:t>fish</w:t>
      </w:r>
      <w:r w:rsidRPr="00D130AF">
        <w:t xml:space="preserve"> and </w:t>
      </w:r>
      <w:r>
        <w:t>fish</w:t>
      </w:r>
      <w:r w:rsidRPr="00D130AF">
        <w:t xml:space="preserve"> products from Australia.</w:t>
      </w:r>
    </w:p>
    <w:p w14:paraId="7AF0CC65" w14:textId="2E22A366" w:rsidR="00573494" w:rsidRDefault="00D130AF" w:rsidP="00573494">
      <w:r>
        <w:t xml:space="preserve">This chapter also </w:t>
      </w:r>
      <w:r w:rsidR="00573494">
        <w:t xml:space="preserve">sets out what is required to apply for an exemption from provisions in the Act and the </w:t>
      </w:r>
      <w:r w:rsidR="00A21678">
        <w:t>F</w:t>
      </w:r>
      <w:r w:rsidR="00573494">
        <w:t xml:space="preserve">ish </w:t>
      </w:r>
      <w:r w:rsidR="00A21678">
        <w:t>R</w:t>
      </w:r>
      <w:r w:rsidR="00573494">
        <w:t>ules. These include goods being exported:</w:t>
      </w:r>
    </w:p>
    <w:p w14:paraId="02DE2C9E" w14:textId="77777777" w:rsidR="00573494" w:rsidRPr="009849D9" w:rsidRDefault="00573494" w:rsidP="00573494">
      <w:pPr>
        <w:pStyle w:val="ListBullet"/>
      </w:pPr>
      <w:r w:rsidRPr="009849D9">
        <w:t>as a commercial sample</w:t>
      </w:r>
    </w:p>
    <w:p w14:paraId="2062487F" w14:textId="77777777" w:rsidR="00573494" w:rsidRPr="009849D9" w:rsidRDefault="00573494" w:rsidP="00573494">
      <w:pPr>
        <w:pStyle w:val="ListBullet"/>
      </w:pPr>
      <w:r w:rsidRPr="009849D9">
        <w:t>for experimental purposes</w:t>
      </w:r>
    </w:p>
    <w:p w14:paraId="7583F239" w14:textId="77777777" w:rsidR="00573494" w:rsidRPr="009849D9" w:rsidRDefault="00573494" w:rsidP="00573494">
      <w:pPr>
        <w:pStyle w:val="ListBullet"/>
      </w:pPr>
      <w:r w:rsidRPr="009849D9">
        <w:t>in exceptional circumstances.</w:t>
      </w:r>
    </w:p>
    <w:p w14:paraId="61F06D7D" w14:textId="6628383B" w:rsidR="00573494" w:rsidRDefault="00D130AF" w:rsidP="00573494">
      <w:r>
        <w:t>This chapter</w:t>
      </w:r>
      <w:r w:rsidR="00573494">
        <w:t xml:space="preserve"> also covers:</w:t>
      </w:r>
    </w:p>
    <w:p w14:paraId="5FA54D1E" w14:textId="77777777" w:rsidR="00573494" w:rsidRPr="009849D9" w:rsidRDefault="00573494" w:rsidP="00573494">
      <w:pPr>
        <w:pStyle w:val="ListBullet"/>
      </w:pPr>
      <w:r w:rsidRPr="009849D9">
        <w:t>when an application for an exemption must be made</w:t>
      </w:r>
    </w:p>
    <w:p w14:paraId="638C69A3" w14:textId="4E4BE806" w:rsidR="00573494" w:rsidRPr="009849D9" w:rsidRDefault="00573494" w:rsidP="00573494">
      <w:pPr>
        <w:pStyle w:val="ListBullet"/>
      </w:pPr>
      <w:r w:rsidRPr="009849D9">
        <w:t>matters the Secretary of t</w:t>
      </w:r>
      <w:r>
        <w:t>he Department of Agriculture,</w:t>
      </w:r>
      <w:r w:rsidRPr="009849D9">
        <w:t xml:space="preserve"> Water </w:t>
      </w:r>
      <w:r>
        <w:t xml:space="preserve">and </w:t>
      </w:r>
      <w:r w:rsidR="00BE4EAC">
        <w:t xml:space="preserve">the </w:t>
      </w:r>
      <w:r>
        <w:t>Environment</w:t>
      </w:r>
      <w:r w:rsidRPr="009849D9">
        <w:t xml:space="preserve"> must consider when granting or revoking </w:t>
      </w:r>
      <w:r w:rsidR="00537FD5">
        <w:t>an</w:t>
      </w:r>
      <w:r w:rsidRPr="009849D9">
        <w:t xml:space="preserve"> exemption</w:t>
      </w:r>
    </w:p>
    <w:p w14:paraId="1CBD8814" w14:textId="145A7CD9" w:rsidR="00573494" w:rsidRPr="009849D9" w:rsidRDefault="00573494" w:rsidP="00573494">
      <w:pPr>
        <w:pStyle w:val="ListBullet"/>
      </w:pPr>
      <w:r w:rsidRPr="009849D9">
        <w:t xml:space="preserve">the period of effect of </w:t>
      </w:r>
      <w:r w:rsidR="00E96A25">
        <w:t>an</w:t>
      </w:r>
      <w:r w:rsidRPr="009849D9">
        <w:t xml:space="preserve"> exemption.</w:t>
      </w:r>
    </w:p>
    <w:p w14:paraId="3EA56CF9" w14:textId="769D4C14" w:rsidR="00573494" w:rsidRDefault="00D130AF" w:rsidP="00573494">
      <w:r>
        <w:lastRenderedPageBreak/>
        <w:t>This chapter also provides information on government certificates including</w:t>
      </w:r>
      <w:r w:rsidR="00573494">
        <w:t>:</w:t>
      </w:r>
    </w:p>
    <w:p w14:paraId="6B5273B5" w14:textId="06B54561" w:rsidR="00573494" w:rsidRDefault="00573494" w:rsidP="00573494">
      <w:pPr>
        <w:pStyle w:val="ListBullet"/>
      </w:pPr>
      <w:r>
        <w:t>circumstances in which government certificates may be issued or refused</w:t>
      </w:r>
    </w:p>
    <w:p w14:paraId="552DCC22" w14:textId="77777777" w:rsidR="00573494" w:rsidRDefault="00573494" w:rsidP="00573494">
      <w:pPr>
        <w:pStyle w:val="ListBullet"/>
      </w:pPr>
      <w:r>
        <w:t>information required to apply for a government certificate</w:t>
      </w:r>
    </w:p>
    <w:p w14:paraId="58FD050C" w14:textId="01E356E7" w:rsidR="00573494" w:rsidRDefault="00573494" w:rsidP="00573494">
      <w:pPr>
        <w:pStyle w:val="ListBullet"/>
      </w:pPr>
      <w:r>
        <w:t>specific circumstances for refusal to issue government certificates.</w:t>
      </w:r>
    </w:p>
    <w:p w14:paraId="7DB78F3F" w14:textId="68257691" w:rsidR="00573494" w:rsidRDefault="00905AC6" w:rsidP="00573494">
      <w:pPr>
        <w:pStyle w:val="Heading2"/>
      </w:pPr>
      <w:r>
        <w:t>Chapter 3</w:t>
      </w:r>
      <w:r w:rsidR="00856386">
        <w:t xml:space="preserve"> </w:t>
      </w:r>
      <w:r w:rsidR="00D130AF">
        <w:t xml:space="preserve">Accredited </w:t>
      </w:r>
      <w:r w:rsidR="003D036A">
        <w:t>p</w:t>
      </w:r>
      <w:r w:rsidR="00D130AF">
        <w:t>roperties</w:t>
      </w:r>
    </w:p>
    <w:p w14:paraId="05FF67B1" w14:textId="3EFEB4C9" w:rsidR="00573494" w:rsidRDefault="00D130AF" w:rsidP="00573494">
      <w:r>
        <w:t>This chapter does not apply to fish and fish products.</w:t>
      </w:r>
    </w:p>
    <w:p w14:paraId="323991E5" w14:textId="1599854B" w:rsidR="00573494" w:rsidRDefault="00A74B6D" w:rsidP="00573494">
      <w:pPr>
        <w:pStyle w:val="Heading2"/>
      </w:pPr>
      <w:r>
        <w:t>Chapter 4</w:t>
      </w:r>
      <w:r w:rsidR="00573494">
        <w:t xml:space="preserve"> Registered establishments</w:t>
      </w:r>
    </w:p>
    <w:p w14:paraId="659ED88E" w14:textId="7B950819" w:rsidR="00573494" w:rsidRDefault="00D130AF" w:rsidP="00573494">
      <w:r>
        <w:t xml:space="preserve">This chapter sets </w:t>
      </w:r>
      <w:r w:rsidR="00573494">
        <w:t>out the:</w:t>
      </w:r>
    </w:p>
    <w:p w14:paraId="19E69BAD" w14:textId="77777777" w:rsidR="00573494" w:rsidRPr="005376D1" w:rsidRDefault="00573494" w:rsidP="00573494">
      <w:pPr>
        <w:pStyle w:val="ListBullet"/>
      </w:pPr>
      <w:r w:rsidRPr="005376D1">
        <w:t>requirements for registration of an establishment</w:t>
      </w:r>
    </w:p>
    <w:p w14:paraId="3EEEF864" w14:textId="77777777" w:rsidR="00573494" w:rsidRPr="005376D1" w:rsidRDefault="00573494" w:rsidP="00573494">
      <w:pPr>
        <w:pStyle w:val="ListBullet"/>
      </w:pPr>
      <w:r w:rsidRPr="005376D1">
        <w:t>conditions of registration</w:t>
      </w:r>
    </w:p>
    <w:p w14:paraId="70BBE52C" w14:textId="77777777" w:rsidR="00573494" w:rsidRPr="005376D1" w:rsidRDefault="00573494" w:rsidP="00573494">
      <w:pPr>
        <w:pStyle w:val="ListBullet"/>
      </w:pPr>
      <w:r w:rsidRPr="005376D1">
        <w:t>the process for suspending and</w:t>
      </w:r>
      <w:r>
        <w:t xml:space="preserve"> </w:t>
      </w:r>
      <w:r w:rsidRPr="005376D1">
        <w:t>revoking registration.</w:t>
      </w:r>
    </w:p>
    <w:p w14:paraId="704BA8E7" w14:textId="096BA848" w:rsidR="00573494" w:rsidRDefault="00A74B6D" w:rsidP="00573494">
      <w:pPr>
        <w:pStyle w:val="Heading2"/>
      </w:pPr>
      <w:r>
        <w:t>Chapter 5</w:t>
      </w:r>
      <w:r w:rsidR="00573494">
        <w:t xml:space="preserve"> Approved arrangements</w:t>
      </w:r>
    </w:p>
    <w:p w14:paraId="219BA1ED" w14:textId="5624787B" w:rsidR="00573494" w:rsidRDefault="00D130AF" w:rsidP="00573494">
      <w:r>
        <w:t>This chapter sets out the</w:t>
      </w:r>
      <w:r w:rsidR="00573494">
        <w:t>:</w:t>
      </w:r>
    </w:p>
    <w:p w14:paraId="6A9FCC40" w14:textId="77777777" w:rsidR="00573494" w:rsidRPr="005376D1" w:rsidRDefault="00573494" w:rsidP="00573494">
      <w:pPr>
        <w:pStyle w:val="ListBullet"/>
      </w:pPr>
      <w:r w:rsidRPr="005376D1">
        <w:t>requirements for a proposed arrangement to be approved</w:t>
      </w:r>
    </w:p>
    <w:p w14:paraId="0F6B9436" w14:textId="77777777" w:rsidR="00573494" w:rsidRPr="005376D1" w:rsidRDefault="00573494" w:rsidP="00573494">
      <w:pPr>
        <w:pStyle w:val="ListBullet"/>
      </w:pPr>
      <w:r w:rsidRPr="005376D1">
        <w:t>subsequent conditions of the approval</w:t>
      </w:r>
    </w:p>
    <w:p w14:paraId="2D2190BE" w14:textId="77777777" w:rsidR="00573494" w:rsidRPr="005376D1" w:rsidRDefault="00573494" w:rsidP="00573494">
      <w:pPr>
        <w:pStyle w:val="ListBullet"/>
      </w:pPr>
      <w:r w:rsidRPr="005376D1">
        <w:t>process to be followed and information to be provided to apply for an approved arrangement.</w:t>
      </w:r>
    </w:p>
    <w:p w14:paraId="7BBA9A8B" w14:textId="05244B8A" w:rsidR="00573494" w:rsidRDefault="003D036A" w:rsidP="00573494">
      <w:r>
        <w:t>This chapter</w:t>
      </w:r>
      <w:r w:rsidR="00573494">
        <w:t xml:space="preserve"> also covers circumstances in which an approved arrangement may be varied, suspended or revoked.</w:t>
      </w:r>
    </w:p>
    <w:p w14:paraId="40C7B850" w14:textId="2A796A9E" w:rsidR="00573494" w:rsidRDefault="00905AC6" w:rsidP="00573494">
      <w:pPr>
        <w:pStyle w:val="Heading2"/>
      </w:pPr>
      <w:r>
        <w:t>Chapter 6</w:t>
      </w:r>
      <w:r w:rsidR="00856386">
        <w:t xml:space="preserve"> </w:t>
      </w:r>
      <w:r w:rsidR="00D130AF">
        <w:t>Export licences</w:t>
      </w:r>
    </w:p>
    <w:p w14:paraId="653194D3" w14:textId="77777777" w:rsidR="00D130AF" w:rsidRDefault="00D130AF" w:rsidP="00D130AF">
      <w:r>
        <w:t>This chapter does not apply to fish and fish products.</w:t>
      </w:r>
    </w:p>
    <w:p w14:paraId="3A222B48" w14:textId="720A5F3A" w:rsidR="00573494" w:rsidRDefault="00A74B6D" w:rsidP="00573494">
      <w:pPr>
        <w:pStyle w:val="Heading2"/>
      </w:pPr>
      <w:r>
        <w:t>Chapter 7</w:t>
      </w:r>
      <w:r w:rsidR="00573494">
        <w:t xml:space="preserve"> Export permits</w:t>
      </w:r>
    </w:p>
    <w:p w14:paraId="66EA5530" w14:textId="098A09A2" w:rsidR="00573494" w:rsidRDefault="00D130AF" w:rsidP="00573494">
      <w:r>
        <w:t xml:space="preserve">This chapter specifies </w:t>
      </w:r>
      <w:r w:rsidR="00573494">
        <w:t>that an export permit (or a varied export permit) remains in force for 28</w:t>
      </w:r>
      <w:r w:rsidR="004A06FF">
        <w:t> </w:t>
      </w:r>
      <w:r w:rsidR="00573494">
        <w:t>days.</w:t>
      </w:r>
      <w:r w:rsidR="003D036A">
        <w:t xml:space="preserve"> This chapter also s</w:t>
      </w:r>
      <w:r w:rsidR="00573494">
        <w:t>ets out:</w:t>
      </w:r>
    </w:p>
    <w:p w14:paraId="46D3060D" w14:textId="0FA03238" w:rsidR="00573494" w:rsidRPr="005376D1" w:rsidRDefault="00573494" w:rsidP="00573494">
      <w:pPr>
        <w:pStyle w:val="ListBullet"/>
      </w:pPr>
      <w:r w:rsidRPr="005376D1">
        <w:t>circumstances in which an export permit may be suspended and revoked</w:t>
      </w:r>
    </w:p>
    <w:p w14:paraId="289C04FA" w14:textId="77777777" w:rsidR="00573494" w:rsidRPr="005376D1" w:rsidRDefault="00573494" w:rsidP="00573494">
      <w:pPr>
        <w:pStyle w:val="ListBullet"/>
      </w:pPr>
      <w:r w:rsidRPr="005376D1">
        <w:t>other matters, including the requirement to return an export permit.</w:t>
      </w:r>
    </w:p>
    <w:p w14:paraId="0C192C9A" w14:textId="3A671721" w:rsidR="00573494" w:rsidRDefault="00A74B6D" w:rsidP="00573494">
      <w:pPr>
        <w:pStyle w:val="Heading2"/>
      </w:pPr>
      <w:r>
        <w:t>Chapter 8</w:t>
      </w:r>
      <w:r w:rsidR="00856386">
        <w:t xml:space="preserve"> </w:t>
      </w:r>
      <w:r w:rsidR="00D130AF">
        <w:t>Other matters relating to export</w:t>
      </w:r>
    </w:p>
    <w:p w14:paraId="2329F211" w14:textId="6A18817D" w:rsidR="00573494" w:rsidRDefault="00D130AF" w:rsidP="00573494">
      <w:r>
        <w:t xml:space="preserve">This chapter sets </w:t>
      </w:r>
      <w:r w:rsidR="00573494">
        <w:t>out the general requirements for trade descriptions, including the requirement to provide these descriptions in English.</w:t>
      </w:r>
      <w:r w:rsidR="003D036A">
        <w:t xml:space="preserve"> </w:t>
      </w:r>
      <w:r w:rsidR="009029AA">
        <w:t>This chapter also s</w:t>
      </w:r>
      <w:r w:rsidR="00573494">
        <w:t>pecifies the use, manufacture and possession of official marks and official marking devices.</w:t>
      </w:r>
    </w:p>
    <w:p w14:paraId="620A34E2" w14:textId="34E2427D" w:rsidR="003D036A" w:rsidRDefault="003D036A" w:rsidP="003D036A">
      <w:pPr>
        <w:pStyle w:val="Heading2"/>
        <w:ind w:left="0" w:firstLine="0"/>
      </w:pPr>
      <w:r>
        <w:lastRenderedPageBreak/>
        <w:t>Chapter 9</w:t>
      </w:r>
      <w:r w:rsidR="00856386">
        <w:t xml:space="preserve"> </w:t>
      </w:r>
      <w:r>
        <w:t>Powers and officials</w:t>
      </w:r>
    </w:p>
    <w:p w14:paraId="7866C05A" w14:textId="7CF2BA6B" w:rsidR="00573494" w:rsidRDefault="009029AA" w:rsidP="00573494">
      <w:r>
        <w:t>This chapter s</w:t>
      </w:r>
      <w:r w:rsidR="00573494">
        <w:t xml:space="preserve">ets out how an audit is to be conducted and what must be included in the audit report, as well as the process for dealing with any non‑compliance identified during the audit. </w:t>
      </w:r>
      <w:r>
        <w:t>This chapter</w:t>
      </w:r>
      <w:r w:rsidR="00573494">
        <w:t xml:space="preserve"> also covers the approval of individuals to conduct an audit.</w:t>
      </w:r>
    </w:p>
    <w:p w14:paraId="4373F414" w14:textId="09897D0A" w:rsidR="00573494" w:rsidRDefault="009029AA" w:rsidP="00573494">
      <w:r>
        <w:t>This chapter p</w:t>
      </w:r>
      <w:r w:rsidR="00573494">
        <w:t xml:space="preserve">rovides that the </w:t>
      </w:r>
      <w:r w:rsidR="00EB3CE0">
        <w:t>S</w:t>
      </w:r>
      <w:r w:rsidR="00573494">
        <w:t>ecretary may require or permit an assessment at any stage of export operations.</w:t>
      </w:r>
      <w:r>
        <w:t xml:space="preserve"> It s</w:t>
      </w:r>
      <w:r w:rsidR="00573494">
        <w:t>ets out:</w:t>
      </w:r>
    </w:p>
    <w:p w14:paraId="526775C3" w14:textId="77777777" w:rsidR="00573494" w:rsidRDefault="00573494" w:rsidP="00573494">
      <w:pPr>
        <w:pStyle w:val="ListBullet"/>
      </w:pPr>
      <w:r>
        <w:t>the process that must be followed after the completion of an assessment</w:t>
      </w:r>
    </w:p>
    <w:p w14:paraId="661D9327" w14:textId="77777777" w:rsidR="00573494" w:rsidRDefault="00573494" w:rsidP="00573494">
      <w:pPr>
        <w:pStyle w:val="ListBullet"/>
      </w:pPr>
      <w:r>
        <w:t>requirements for the application and approval of individuals to carry out assessments (approved assessors)</w:t>
      </w:r>
    </w:p>
    <w:p w14:paraId="17A32CCA" w14:textId="77777777" w:rsidR="00573494" w:rsidRDefault="00573494" w:rsidP="00573494">
      <w:pPr>
        <w:pStyle w:val="ListBullet"/>
      </w:pPr>
      <w:r>
        <w:t>the information and documents the applicant must provide.</w:t>
      </w:r>
    </w:p>
    <w:p w14:paraId="3974DC94" w14:textId="74AEE208" w:rsidR="00573494" w:rsidRDefault="009029AA" w:rsidP="00573494">
      <w:r>
        <w:t>This chapter o</w:t>
      </w:r>
      <w:r w:rsidR="00573494">
        <w:t xml:space="preserve">utlines </w:t>
      </w:r>
      <w:r>
        <w:t xml:space="preserve">the </w:t>
      </w:r>
      <w:r w:rsidR="00573494">
        <w:t>powers and functions of authorised officers.</w:t>
      </w:r>
    </w:p>
    <w:p w14:paraId="533EFE2B" w14:textId="74FBF12F" w:rsidR="00573494" w:rsidRDefault="006E49A6" w:rsidP="00573494">
      <w:pPr>
        <w:pStyle w:val="Heading2"/>
      </w:pPr>
      <w:r>
        <w:t>Chapter 10</w:t>
      </w:r>
      <w:r w:rsidR="00573494">
        <w:t xml:space="preserve"> Compliance and enforcement</w:t>
      </w:r>
    </w:p>
    <w:p w14:paraId="32A9A0BF" w14:textId="6B27AF27" w:rsidR="00573494" w:rsidRDefault="009029AA" w:rsidP="00573494">
      <w:r>
        <w:t>This chapter s</w:t>
      </w:r>
      <w:r w:rsidR="00573494">
        <w:t>ets out:</w:t>
      </w:r>
    </w:p>
    <w:p w14:paraId="30889328" w14:textId="2BCE6081" w:rsidR="00573494" w:rsidRDefault="00573494" w:rsidP="00573494">
      <w:pPr>
        <w:pStyle w:val="ListBullet"/>
      </w:pPr>
      <w:r>
        <w:t>the process that must be followed if a sample is taken for the purposes of monitoring or investigating compliance with the Act</w:t>
      </w:r>
    </w:p>
    <w:p w14:paraId="02824239" w14:textId="77777777" w:rsidR="00573494" w:rsidRDefault="00573494" w:rsidP="00573494">
      <w:pPr>
        <w:pStyle w:val="ListBullet"/>
      </w:pPr>
      <w:r>
        <w:t>the process for dealing with things seized when exercising investigative powers.</w:t>
      </w:r>
    </w:p>
    <w:p w14:paraId="5A332C45" w14:textId="152908AF" w:rsidR="00573494" w:rsidRDefault="006E49A6" w:rsidP="00573494">
      <w:pPr>
        <w:pStyle w:val="Heading2"/>
      </w:pPr>
      <w:r>
        <w:t>Chapter 11</w:t>
      </w:r>
      <w:r w:rsidR="00573494">
        <w:t xml:space="preserve"> Miscellaneous</w:t>
      </w:r>
    </w:p>
    <w:p w14:paraId="7836294F" w14:textId="7019564A" w:rsidR="00573494" w:rsidRDefault="00573494" w:rsidP="00573494">
      <w:r>
        <w:t xml:space="preserve">This </w:t>
      </w:r>
      <w:r w:rsidR="009029AA">
        <w:t>chapter</w:t>
      </w:r>
      <w:r>
        <w:t>:</w:t>
      </w:r>
    </w:p>
    <w:p w14:paraId="50DBAF2A" w14:textId="7FC0822C" w:rsidR="00573494" w:rsidRDefault="00573494" w:rsidP="00573494">
      <w:pPr>
        <w:pStyle w:val="ListBullet"/>
      </w:pPr>
      <w:r>
        <w:t>lists reviewable decisions</w:t>
      </w:r>
    </w:p>
    <w:p w14:paraId="16DBB4A7" w14:textId="77777777" w:rsidR="00573494" w:rsidRDefault="00573494" w:rsidP="00573494">
      <w:pPr>
        <w:pStyle w:val="ListBullet"/>
      </w:pPr>
      <w:r>
        <w:t>specifies the procedures for taking and sampling fish and fish products</w:t>
      </w:r>
    </w:p>
    <w:p w14:paraId="05AE2EB5" w14:textId="77777777" w:rsidR="00573494" w:rsidRDefault="00573494" w:rsidP="00573494">
      <w:pPr>
        <w:pStyle w:val="ListBullet"/>
      </w:pPr>
      <w:r>
        <w:t>specifies the general requirements for records management</w:t>
      </w:r>
    </w:p>
    <w:p w14:paraId="06428689" w14:textId="77777777" w:rsidR="00573494" w:rsidRDefault="00573494" w:rsidP="00573494">
      <w:pPr>
        <w:pStyle w:val="ListBullet"/>
      </w:pPr>
      <w:r>
        <w:t>covers the division of compensation for damaged or destroyed fish or fish products</w:t>
      </w:r>
    </w:p>
    <w:p w14:paraId="412FF2C3" w14:textId="647B2E54" w:rsidR="00573494" w:rsidRDefault="00573494" w:rsidP="00573494">
      <w:pPr>
        <w:pStyle w:val="ListBullet"/>
      </w:pPr>
      <w:r>
        <w:t>details</w:t>
      </w:r>
      <w:r w:rsidR="003D036A">
        <w:t xml:space="preserve"> with</w:t>
      </w:r>
      <w:r>
        <w:t xml:space="preserve"> matters relating to Commonwealth liabilities and circumstances in which the liabilities are paid.</w:t>
      </w:r>
    </w:p>
    <w:p w14:paraId="74F18AD7" w14:textId="1FD90A40" w:rsidR="000E455C" w:rsidRDefault="0088425E">
      <w:pPr>
        <w:pStyle w:val="Heading2"/>
      </w:pPr>
      <w:r>
        <w:t>More</w:t>
      </w:r>
      <w:r w:rsidR="00D750D0">
        <w:t xml:space="preserve"> information</w:t>
      </w:r>
    </w:p>
    <w:p w14:paraId="3210F49F" w14:textId="56C574BC" w:rsidR="00845481" w:rsidRPr="0071667F" w:rsidRDefault="00845481" w:rsidP="00845481">
      <w:pPr>
        <w:spacing w:after="0"/>
        <w:rPr>
          <w:lang w:eastAsia="ja-JP"/>
        </w:rPr>
      </w:pPr>
    </w:p>
    <w:p w14:paraId="716851C3" w14:textId="458C4B41" w:rsidR="000E455C" w:rsidRDefault="00D750D0" w:rsidP="00B51DFD">
      <w:pPr>
        <w:spacing w:after="0"/>
        <w:rPr>
          <w:rStyle w:val="Hyperlink"/>
          <w:lang w:eastAsia="ja-JP"/>
        </w:rPr>
      </w:pPr>
      <w:r>
        <w:rPr>
          <w:lang w:eastAsia="ja-JP"/>
        </w:rPr>
        <w:t xml:space="preserve">Email </w:t>
      </w:r>
      <w:hyperlink r:id="rId11" w:history="1">
        <w:r>
          <w:rPr>
            <w:rStyle w:val="Hyperlink"/>
            <w:lang w:eastAsia="ja-JP"/>
          </w:rPr>
          <w:t>exportlegislation@agriculture.gov.au</w:t>
        </w:r>
      </w:hyperlink>
    </w:p>
    <w:p w14:paraId="4A15A930" w14:textId="5780A084" w:rsidR="000E455C" w:rsidRDefault="00D750D0" w:rsidP="00B51DFD">
      <w:pPr>
        <w:spacing w:after="0"/>
        <w:rPr>
          <w:lang w:eastAsia="ja-JP"/>
        </w:rPr>
      </w:pPr>
      <w:r>
        <w:rPr>
          <w:lang w:eastAsia="ja-JP"/>
        </w:rPr>
        <w:t xml:space="preserve">Web </w:t>
      </w:r>
      <w:hyperlink r:id="rId12" w:history="1">
        <w:r w:rsidR="00D17D44">
          <w:rPr>
            <w:rStyle w:val="Hyperlink"/>
            <w:lang w:eastAsia="ja-JP"/>
          </w:rPr>
          <w:t>agriculture.gov.au/market-access-trade/improving-export-legislation</w:t>
        </w:r>
      </w:hyperlink>
      <w:r w:rsidR="00D17D44" w:rsidDel="00D17D44">
        <w:t xml:space="preserve"> </w:t>
      </w:r>
    </w:p>
    <w:p w14:paraId="3C088050" w14:textId="3A553E72" w:rsidR="000E455C" w:rsidRDefault="00D750D0" w:rsidP="00C765C8">
      <w:pPr>
        <w:pStyle w:val="Normalsmall"/>
        <w:spacing w:before="600"/>
        <w:rPr>
          <w:lang w:eastAsia="ja-JP"/>
        </w:rPr>
      </w:pPr>
      <w:r>
        <w:rPr>
          <w:lang w:eastAsia="ja-JP"/>
        </w:rPr>
        <w:t>© Commonwealth of Australia 20</w:t>
      </w:r>
      <w:r w:rsidR="00D30F4A">
        <w:rPr>
          <w:lang w:eastAsia="ja-JP"/>
        </w:rPr>
        <w:t>2</w:t>
      </w:r>
      <w:r w:rsidR="00AC13F0">
        <w:rPr>
          <w:lang w:eastAsia="ja-JP"/>
        </w:rPr>
        <w:t>1</w:t>
      </w:r>
    </w:p>
    <w:p w14:paraId="18EF67D0" w14:textId="6F56D1F4" w:rsidR="000E455C" w:rsidRPr="00587707" w:rsidRDefault="00D750D0" w:rsidP="00B60F8C">
      <w:pPr>
        <w:pStyle w:val="Normalsmall"/>
        <w:rPr>
          <w:rFonts w:asciiTheme="majorHAnsi" w:hAnsiTheme="majorHAnsi"/>
          <w:sz w:val="22"/>
          <w:szCs w:val="22"/>
          <w:lang w:eastAsia="ja-JP"/>
        </w:rPr>
      </w:pPr>
      <w:r>
        <w:rPr>
          <w:lang w:eastAsia="ja-JP"/>
        </w:rPr>
        <w:t>This work is copyright. It may be reproduced in whole or in part subject to the inclusion of an acknowledgement of the source and no commercial usage or sale.</w:t>
      </w:r>
    </w:p>
    <w:sectPr w:rsidR="000E455C" w:rsidRPr="00587707" w:rsidSect="00D4039B">
      <w:headerReference w:type="default" r:id="rId13"/>
      <w:footerReference w:type="default" r:id="rId14"/>
      <w:headerReference w:type="first" r:id="rId15"/>
      <w:pgSz w:w="11906" w:h="16838"/>
      <w:pgMar w:top="2127" w:right="1418" w:bottom="1418" w:left="1418" w:header="567" w:footer="283"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A9B27F" w14:textId="77777777" w:rsidR="00413345" w:rsidRDefault="00413345">
      <w:r>
        <w:separator/>
      </w:r>
    </w:p>
    <w:p w14:paraId="00318CCE" w14:textId="77777777" w:rsidR="00413345" w:rsidRDefault="00413345"/>
    <w:p w14:paraId="07F36613" w14:textId="77777777" w:rsidR="00413345" w:rsidRDefault="00413345"/>
  </w:endnote>
  <w:endnote w:type="continuationSeparator" w:id="0">
    <w:p w14:paraId="47D5C817" w14:textId="77777777" w:rsidR="00413345" w:rsidRDefault="00413345">
      <w:r>
        <w:continuationSeparator/>
      </w:r>
    </w:p>
    <w:p w14:paraId="6F69F80D" w14:textId="77777777" w:rsidR="00413345" w:rsidRDefault="00413345"/>
    <w:p w14:paraId="4F5DFD36" w14:textId="77777777" w:rsidR="00413345" w:rsidRDefault="00413345"/>
  </w:endnote>
  <w:endnote w:type="continuationNotice" w:id="1">
    <w:p w14:paraId="083967F8" w14:textId="77777777" w:rsidR="00413345" w:rsidRDefault="00413345">
      <w:pPr>
        <w:pStyle w:val="Footer"/>
      </w:pPr>
    </w:p>
    <w:p w14:paraId="1D564520" w14:textId="77777777" w:rsidR="00413345" w:rsidRDefault="00413345"/>
    <w:p w14:paraId="11A6A0AA" w14:textId="77777777" w:rsidR="00413345" w:rsidRDefault="004133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altName w:val="?l?r ??u!??I"/>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5A3A4" w14:textId="02C25F36" w:rsidR="000E455C" w:rsidRDefault="00D750D0">
    <w:pPr>
      <w:pStyle w:val="Footer"/>
    </w:pPr>
    <w:r>
      <w:t>Department of Agriculture</w:t>
    </w:r>
    <w:r w:rsidR="009A7764">
      <w:t>, Water and the Environment</w:t>
    </w:r>
  </w:p>
  <w:p w14:paraId="5B637164" w14:textId="77777777" w:rsidR="000E455C" w:rsidRDefault="00D750D0">
    <w:pPr>
      <w:pStyle w:val="Footer"/>
    </w:pPr>
    <w:r>
      <w:fldChar w:fldCharType="begin"/>
    </w:r>
    <w:r>
      <w:instrText xml:space="preserve"> PAGE   \* MERGEFORMAT </w:instrText>
    </w:r>
    <w:r>
      <w:fldChar w:fldCharType="separate"/>
    </w:r>
    <w:r w:rsidR="002F65AE">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91AB07" w14:textId="77777777" w:rsidR="00413345" w:rsidRDefault="00413345">
      <w:r>
        <w:separator/>
      </w:r>
    </w:p>
    <w:p w14:paraId="625AEA2E" w14:textId="77777777" w:rsidR="00413345" w:rsidRDefault="00413345"/>
    <w:p w14:paraId="54D6E138" w14:textId="77777777" w:rsidR="00413345" w:rsidRDefault="00413345"/>
  </w:footnote>
  <w:footnote w:type="continuationSeparator" w:id="0">
    <w:p w14:paraId="38B92CE9" w14:textId="77777777" w:rsidR="00413345" w:rsidRDefault="00413345">
      <w:r>
        <w:continuationSeparator/>
      </w:r>
    </w:p>
    <w:p w14:paraId="32FCBEC3" w14:textId="77777777" w:rsidR="00413345" w:rsidRDefault="00413345"/>
    <w:p w14:paraId="252F09B2" w14:textId="77777777" w:rsidR="00413345" w:rsidRDefault="00413345"/>
  </w:footnote>
  <w:footnote w:type="continuationNotice" w:id="1">
    <w:p w14:paraId="75D6A95B" w14:textId="77777777" w:rsidR="00413345" w:rsidRDefault="00413345">
      <w:pPr>
        <w:pStyle w:val="Footer"/>
      </w:pPr>
    </w:p>
    <w:p w14:paraId="472BFE72" w14:textId="77777777" w:rsidR="00413345" w:rsidRDefault="00413345"/>
    <w:p w14:paraId="7DCD34F3" w14:textId="77777777" w:rsidR="00413345" w:rsidRDefault="0041334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BC9B4" w14:textId="2C140F9B" w:rsidR="000E455C" w:rsidRDefault="00B60F8C" w:rsidP="00B60F8C">
    <w:pPr>
      <w:pStyle w:val="Header"/>
    </w:pPr>
    <w:r w:rsidRPr="00F317FB">
      <w:t xml:space="preserve">Outline of the </w:t>
    </w:r>
    <w:r>
      <w:t>Export Control (</w:t>
    </w:r>
    <w:r w:rsidR="003F254F">
      <w:t>Fish and Fish Products</w:t>
    </w:r>
    <w:r>
      <w:t>) Rules 202</w:t>
    </w:r>
    <w:r w:rsidR="00157097">
      <w:t>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8F459" w14:textId="2206FCBD" w:rsidR="000E455C" w:rsidRDefault="00D30F4A" w:rsidP="00D30F4A">
    <w:pPr>
      <w:pStyle w:val="Header"/>
      <w:tabs>
        <w:tab w:val="clear" w:pos="4820"/>
        <w:tab w:val="left" w:pos="2200"/>
      </w:tabs>
      <w:jc w:val="left"/>
    </w:pPr>
    <w:r>
      <w:rPr>
        <w:noProof/>
        <w:u w:val="single"/>
        <w:lang w:eastAsia="en-AU"/>
      </w:rPr>
      <w:drawing>
        <wp:anchor distT="0" distB="0" distL="114300" distR="114300" simplePos="0" relativeHeight="251661312" behindDoc="1" locked="0" layoutInCell="1" allowOverlap="1" wp14:anchorId="6CE93D9B" wp14:editId="59E3E3D2">
          <wp:simplePos x="0" y="0"/>
          <wp:positionH relativeFrom="margin">
            <wp:align>center</wp:align>
          </wp:positionH>
          <wp:positionV relativeFrom="paragraph">
            <wp:posOffset>-361950</wp:posOffset>
          </wp:positionV>
          <wp:extent cx="7630160" cy="2181225"/>
          <wp:effectExtent l="0" t="0" r="889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30160" cy="2181225"/>
                  </a:xfrm>
                  <a:prstGeom prst="rect">
                    <a:avLst/>
                  </a:prstGeom>
                </pic:spPr>
              </pic:pic>
            </a:graphicData>
          </a:graphic>
          <wp14:sizeRelH relativeFrom="margin">
            <wp14:pctWidth>0</wp14:pctWidth>
          </wp14:sizeRelH>
          <wp14:sizeRelV relativeFrom="margin">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B6C749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B247FD8"/>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0FEC1BDC"/>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0C2FE94"/>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97FE7D78"/>
    <w:lvl w:ilvl="0">
      <w:start w:val="1"/>
      <w:numFmt w:val="bullet"/>
      <w:lvlText w:val="o"/>
      <w:lvlJc w:val="left"/>
      <w:pPr>
        <w:ind w:left="926" w:hanging="360"/>
      </w:pPr>
      <w:rPr>
        <w:rFonts w:ascii="Courier New" w:hAnsi="Courier New" w:cs="Courier New" w:hint="default"/>
      </w:rPr>
    </w:lvl>
  </w:abstractNum>
  <w:abstractNum w:abstractNumId="5" w15:restartNumberingAfterBreak="0">
    <w:nsid w:val="FFFFFF88"/>
    <w:multiLevelType w:val="singleLevel"/>
    <w:tmpl w:val="685ADC2E"/>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C6322164"/>
    <w:lvl w:ilvl="0">
      <w:start w:val="1"/>
      <w:numFmt w:val="bullet"/>
      <w:lvlText w:val=""/>
      <w:lvlJc w:val="left"/>
      <w:pPr>
        <w:tabs>
          <w:tab w:val="num" w:pos="360"/>
        </w:tabs>
        <w:ind w:left="360" w:hanging="360"/>
      </w:pPr>
      <w:rPr>
        <w:rFonts w:ascii="Symbol" w:hAnsi="Symbol" w:hint="default"/>
        <w:color w:val="auto"/>
      </w:rPr>
    </w:lvl>
  </w:abstractNum>
  <w:abstractNum w:abstractNumId="7" w15:restartNumberingAfterBreak="0">
    <w:nsid w:val="0581636D"/>
    <w:multiLevelType w:val="hybridMultilevel"/>
    <w:tmpl w:val="43741B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C5E2F35"/>
    <w:multiLevelType w:val="multilevel"/>
    <w:tmpl w:val="9340AC4C"/>
    <w:lvl w:ilvl="0">
      <w:start w:val="1"/>
      <w:numFmt w:val="decimal"/>
      <w:lvlText w:val="%1)"/>
      <w:lvlJc w:val="left"/>
      <w:pPr>
        <w:ind w:left="567" w:hanging="567"/>
      </w:pPr>
      <w:rPr>
        <w:rFonts w:hint="default"/>
        <w:color w:val="auto"/>
      </w:rPr>
    </w:lvl>
    <w:lvl w:ilvl="1">
      <w:start w:val="1"/>
      <w:numFmt w:val="lowerLetter"/>
      <w:lvlText w:val="%2)"/>
      <w:lvlJc w:val="left"/>
      <w:pPr>
        <w:ind w:left="851" w:hanging="284"/>
      </w:pPr>
      <w:rPr>
        <w:rFonts w:hint="default"/>
      </w:rPr>
    </w:lvl>
    <w:lvl w:ilvl="2">
      <w:start w:val="1"/>
      <w:numFmt w:val="lowerRoman"/>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9" w15:restartNumberingAfterBreak="0">
    <w:nsid w:val="12056DAA"/>
    <w:multiLevelType w:val="hybridMultilevel"/>
    <w:tmpl w:val="C5CCCECC"/>
    <w:lvl w:ilvl="0" w:tplc="29C84958">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0" w15:restartNumberingAfterBreak="0">
    <w:nsid w:val="13F425A1"/>
    <w:multiLevelType w:val="hybridMultilevel"/>
    <w:tmpl w:val="6A3CF9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96B606F"/>
    <w:multiLevelType w:val="hybridMultilevel"/>
    <w:tmpl w:val="E0560262"/>
    <w:lvl w:ilvl="0" w:tplc="B9FA63BE">
      <w:start w:val="1"/>
      <w:numFmt w:val="bullet"/>
      <w:pStyle w:val="TableBullet1"/>
      <w:lvlText w:val=""/>
      <w:lvlJc w:val="left"/>
      <w:pPr>
        <w:ind w:left="720" w:hanging="360"/>
      </w:pPr>
      <w:rPr>
        <w:rFonts w:ascii="Symbol" w:hAnsi="Symbol" w:hint="default"/>
      </w:rPr>
    </w:lvl>
    <w:lvl w:ilvl="1" w:tplc="04987ACC" w:tentative="1">
      <w:start w:val="1"/>
      <w:numFmt w:val="bullet"/>
      <w:lvlText w:val="o"/>
      <w:lvlJc w:val="left"/>
      <w:pPr>
        <w:ind w:left="1440" w:hanging="360"/>
      </w:pPr>
      <w:rPr>
        <w:rFonts w:ascii="Courier New" w:hAnsi="Courier New" w:cs="Courier New" w:hint="default"/>
      </w:rPr>
    </w:lvl>
    <w:lvl w:ilvl="2" w:tplc="56C2C932" w:tentative="1">
      <w:start w:val="1"/>
      <w:numFmt w:val="bullet"/>
      <w:lvlText w:val=""/>
      <w:lvlJc w:val="left"/>
      <w:pPr>
        <w:ind w:left="2160" w:hanging="360"/>
      </w:pPr>
      <w:rPr>
        <w:rFonts w:ascii="Wingdings" w:hAnsi="Wingdings" w:hint="default"/>
      </w:rPr>
    </w:lvl>
    <w:lvl w:ilvl="3" w:tplc="3530ECAA" w:tentative="1">
      <w:start w:val="1"/>
      <w:numFmt w:val="bullet"/>
      <w:lvlText w:val=""/>
      <w:lvlJc w:val="left"/>
      <w:pPr>
        <w:ind w:left="2880" w:hanging="360"/>
      </w:pPr>
      <w:rPr>
        <w:rFonts w:ascii="Symbol" w:hAnsi="Symbol" w:hint="default"/>
      </w:rPr>
    </w:lvl>
    <w:lvl w:ilvl="4" w:tplc="BFACCCC4" w:tentative="1">
      <w:start w:val="1"/>
      <w:numFmt w:val="bullet"/>
      <w:lvlText w:val="o"/>
      <w:lvlJc w:val="left"/>
      <w:pPr>
        <w:ind w:left="3600" w:hanging="360"/>
      </w:pPr>
      <w:rPr>
        <w:rFonts w:ascii="Courier New" w:hAnsi="Courier New" w:cs="Courier New" w:hint="default"/>
      </w:rPr>
    </w:lvl>
    <w:lvl w:ilvl="5" w:tplc="0BC61DE0" w:tentative="1">
      <w:start w:val="1"/>
      <w:numFmt w:val="bullet"/>
      <w:lvlText w:val=""/>
      <w:lvlJc w:val="left"/>
      <w:pPr>
        <w:ind w:left="4320" w:hanging="360"/>
      </w:pPr>
      <w:rPr>
        <w:rFonts w:ascii="Wingdings" w:hAnsi="Wingdings" w:hint="default"/>
      </w:rPr>
    </w:lvl>
    <w:lvl w:ilvl="6" w:tplc="912CBCBE" w:tentative="1">
      <w:start w:val="1"/>
      <w:numFmt w:val="bullet"/>
      <w:lvlText w:val=""/>
      <w:lvlJc w:val="left"/>
      <w:pPr>
        <w:ind w:left="5040" w:hanging="360"/>
      </w:pPr>
      <w:rPr>
        <w:rFonts w:ascii="Symbol" w:hAnsi="Symbol" w:hint="default"/>
      </w:rPr>
    </w:lvl>
    <w:lvl w:ilvl="7" w:tplc="718A4C18" w:tentative="1">
      <w:start w:val="1"/>
      <w:numFmt w:val="bullet"/>
      <w:lvlText w:val="o"/>
      <w:lvlJc w:val="left"/>
      <w:pPr>
        <w:ind w:left="5760" w:hanging="360"/>
      </w:pPr>
      <w:rPr>
        <w:rFonts w:ascii="Courier New" w:hAnsi="Courier New" w:cs="Courier New" w:hint="default"/>
      </w:rPr>
    </w:lvl>
    <w:lvl w:ilvl="8" w:tplc="A6E0707C" w:tentative="1">
      <w:start w:val="1"/>
      <w:numFmt w:val="bullet"/>
      <w:lvlText w:val=""/>
      <w:lvlJc w:val="left"/>
      <w:pPr>
        <w:ind w:left="6480" w:hanging="360"/>
      </w:pPr>
      <w:rPr>
        <w:rFonts w:ascii="Wingdings" w:hAnsi="Wingdings" w:hint="default"/>
      </w:rPr>
    </w:lvl>
  </w:abstractNum>
  <w:abstractNum w:abstractNumId="12" w15:restartNumberingAfterBreak="0">
    <w:nsid w:val="1CD71580"/>
    <w:multiLevelType w:val="hybridMultilevel"/>
    <w:tmpl w:val="16AAE240"/>
    <w:lvl w:ilvl="0" w:tplc="A9884604">
      <w:start w:val="1"/>
      <w:numFmt w:val="bullet"/>
      <w:lvlText w:val=""/>
      <w:lvlJc w:val="left"/>
      <w:pPr>
        <w:ind w:left="360" w:hanging="360"/>
      </w:pPr>
      <w:rPr>
        <w:rFonts w:ascii="Symbol" w:hAnsi="Symbol" w:hint="default"/>
        <w:color w:val="FF790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1A328D5"/>
    <w:multiLevelType w:val="multilevel"/>
    <w:tmpl w:val="BE78A4F8"/>
    <w:numStyleLink w:val="Numberlist"/>
  </w:abstractNum>
  <w:abstractNum w:abstractNumId="14" w15:restartNumberingAfterBreak="0">
    <w:nsid w:val="21E20078"/>
    <w:multiLevelType w:val="multilevel"/>
    <w:tmpl w:val="F36C17E8"/>
    <w:styleLink w:val="Headinglist"/>
    <w:lvl w:ilvl="0">
      <w:start w:val="1"/>
      <w:numFmt w:val="decimal"/>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964" w:hanging="964"/>
      </w:pPr>
      <w:rPr>
        <w:rFonts w:hint="default"/>
      </w:rPr>
    </w:lvl>
    <w:lvl w:ilvl="2">
      <w:start w:val="1"/>
      <w:numFmt w:val="decimal"/>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23A6404B"/>
    <w:multiLevelType w:val="hybridMultilevel"/>
    <w:tmpl w:val="B8EE170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9544354"/>
    <w:multiLevelType w:val="hybridMultilevel"/>
    <w:tmpl w:val="4C76DEC6"/>
    <w:lvl w:ilvl="0" w:tplc="0C090001">
      <w:start w:val="1"/>
      <w:numFmt w:val="bullet"/>
      <w:lvlText w:val=""/>
      <w:lvlJc w:val="left"/>
      <w:pPr>
        <w:ind w:left="766" w:hanging="360"/>
      </w:pPr>
      <w:rPr>
        <w:rFonts w:ascii="Symbol" w:hAnsi="Symbol" w:hint="default"/>
      </w:rPr>
    </w:lvl>
    <w:lvl w:ilvl="1" w:tplc="0C090003" w:tentative="1">
      <w:start w:val="1"/>
      <w:numFmt w:val="bullet"/>
      <w:lvlText w:val="o"/>
      <w:lvlJc w:val="left"/>
      <w:pPr>
        <w:ind w:left="1486" w:hanging="360"/>
      </w:pPr>
      <w:rPr>
        <w:rFonts w:ascii="Courier New" w:hAnsi="Courier New" w:cs="Courier New" w:hint="default"/>
      </w:rPr>
    </w:lvl>
    <w:lvl w:ilvl="2" w:tplc="0C090005" w:tentative="1">
      <w:start w:val="1"/>
      <w:numFmt w:val="bullet"/>
      <w:lvlText w:val=""/>
      <w:lvlJc w:val="left"/>
      <w:pPr>
        <w:ind w:left="2206" w:hanging="360"/>
      </w:pPr>
      <w:rPr>
        <w:rFonts w:ascii="Wingdings" w:hAnsi="Wingdings" w:hint="default"/>
      </w:rPr>
    </w:lvl>
    <w:lvl w:ilvl="3" w:tplc="0C090001" w:tentative="1">
      <w:start w:val="1"/>
      <w:numFmt w:val="bullet"/>
      <w:lvlText w:val=""/>
      <w:lvlJc w:val="left"/>
      <w:pPr>
        <w:ind w:left="2926" w:hanging="360"/>
      </w:pPr>
      <w:rPr>
        <w:rFonts w:ascii="Symbol" w:hAnsi="Symbol" w:hint="default"/>
      </w:rPr>
    </w:lvl>
    <w:lvl w:ilvl="4" w:tplc="0C090003" w:tentative="1">
      <w:start w:val="1"/>
      <w:numFmt w:val="bullet"/>
      <w:lvlText w:val="o"/>
      <w:lvlJc w:val="left"/>
      <w:pPr>
        <w:ind w:left="3646" w:hanging="360"/>
      </w:pPr>
      <w:rPr>
        <w:rFonts w:ascii="Courier New" w:hAnsi="Courier New" w:cs="Courier New" w:hint="default"/>
      </w:rPr>
    </w:lvl>
    <w:lvl w:ilvl="5" w:tplc="0C090005" w:tentative="1">
      <w:start w:val="1"/>
      <w:numFmt w:val="bullet"/>
      <w:lvlText w:val=""/>
      <w:lvlJc w:val="left"/>
      <w:pPr>
        <w:ind w:left="4366" w:hanging="360"/>
      </w:pPr>
      <w:rPr>
        <w:rFonts w:ascii="Wingdings" w:hAnsi="Wingdings" w:hint="default"/>
      </w:rPr>
    </w:lvl>
    <w:lvl w:ilvl="6" w:tplc="0C090001" w:tentative="1">
      <w:start w:val="1"/>
      <w:numFmt w:val="bullet"/>
      <w:lvlText w:val=""/>
      <w:lvlJc w:val="left"/>
      <w:pPr>
        <w:ind w:left="5086" w:hanging="360"/>
      </w:pPr>
      <w:rPr>
        <w:rFonts w:ascii="Symbol" w:hAnsi="Symbol" w:hint="default"/>
      </w:rPr>
    </w:lvl>
    <w:lvl w:ilvl="7" w:tplc="0C090003" w:tentative="1">
      <w:start w:val="1"/>
      <w:numFmt w:val="bullet"/>
      <w:lvlText w:val="o"/>
      <w:lvlJc w:val="left"/>
      <w:pPr>
        <w:ind w:left="5806" w:hanging="360"/>
      </w:pPr>
      <w:rPr>
        <w:rFonts w:ascii="Courier New" w:hAnsi="Courier New" w:cs="Courier New" w:hint="default"/>
      </w:rPr>
    </w:lvl>
    <w:lvl w:ilvl="8" w:tplc="0C090005" w:tentative="1">
      <w:start w:val="1"/>
      <w:numFmt w:val="bullet"/>
      <w:lvlText w:val=""/>
      <w:lvlJc w:val="left"/>
      <w:pPr>
        <w:ind w:left="6526" w:hanging="360"/>
      </w:pPr>
      <w:rPr>
        <w:rFonts w:ascii="Wingdings" w:hAnsi="Wingdings" w:hint="default"/>
      </w:rPr>
    </w:lvl>
  </w:abstractNum>
  <w:abstractNum w:abstractNumId="17" w15:restartNumberingAfterBreak="0">
    <w:nsid w:val="2B103637"/>
    <w:multiLevelType w:val="multilevel"/>
    <w:tmpl w:val="BE78A4F8"/>
    <w:numStyleLink w:val="Numberlist"/>
  </w:abstractNum>
  <w:abstractNum w:abstractNumId="18" w15:restartNumberingAfterBreak="0">
    <w:nsid w:val="394A15FE"/>
    <w:multiLevelType w:val="multilevel"/>
    <w:tmpl w:val="F36C17E8"/>
    <w:numStyleLink w:val="Headinglist"/>
  </w:abstractNum>
  <w:abstractNum w:abstractNumId="19" w15:restartNumberingAfterBreak="0">
    <w:nsid w:val="3BBE2C04"/>
    <w:multiLevelType w:val="hybridMultilevel"/>
    <w:tmpl w:val="965E1764"/>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20" w15:restartNumberingAfterBreak="0">
    <w:nsid w:val="414F4729"/>
    <w:multiLevelType w:val="multilevel"/>
    <w:tmpl w:val="A9A6E414"/>
    <w:numStyleLink w:val="List1"/>
  </w:abstractNum>
  <w:abstractNum w:abstractNumId="21" w15:restartNumberingAfterBreak="0">
    <w:nsid w:val="442929DF"/>
    <w:multiLevelType w:val="hybridMultilevel"/>
    <w:tmpl w:val="3356D240"/>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22" w15:restartNumberingAfterBreak="0">
    <w:nsid w:val="486800B4"/>
    <w:multiLevelType w:val="multilevel"/>
    <w:tmpl w:val="A9A6E414"/>
    <w:numStyleLink w:val="List1"/>
  </w:abstractNum>
  <w:abstractNum w:abstractNumId="23" w15:restartNumberingAfterBreak="0">
    <w:nsid w:val="48DE2E4A"/>
    <w:multiLevelType w:val="hybridMultilevel"/>
    <w:tmpl w:val="B7086130"/>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24" w15:restartNumberingAfterBreak="0">
    <w:nsid w:val="496159DC"/>
    <w:multiLevelType w:val="multilevel"/>
    <w:tmpl w:val="BE78A4F8"/>
    <w:numStyleLink w:val="Numberlist"/>
  </w:abstractNum>
  <w:abstractNum w:abstractNumId="25"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F7F7AF1"/>
    <w:multiLevelType w:val="hybridMultilevel"/>
    <w:tmpl w:val="8A7C5D1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03E1B95"/>
    <w:multiLevelType w:val="hybridMultilevel"/>
    <w:tmpl w:val="D0DC33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770342E"/>
    <w:multiLevelType w:val="multilevel"/>
    <w:tmpl w:val="887C8464"/>
    <w:lvl w:ilvl="0">
      <w:start w:val="1"/>
      <w:numFmt w:val="decimal"/>
      <w:pStyle w:val="Tablenumberedlist"/>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29" w15:restartNumberingAfterBreak="0">
    <w:nsid w:val="5A8B541B"/>
    <w:multiLevelType w:val="multilevel"/>
    <w:tmpl w:val="03FE8AF0"/>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AA12966"/>
    <w:multiLevelType w:val="multilevel"/>
    <w:tmpl w:val="A9A6E414"/>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31" w15:restartNumberingAfterBreak="0">
    <w:nsid w:val="5B8F3B04"/>
    <w:multiLevelType w:val="multilevel"/>
    <w:tmpl w:val="BE78A4F8"/>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32" w15:restartNumberingAfterBreak="0">
    <w:nsid w:val="66DC55D7"/>
    <w:multiLevelType w:val="hybridMultilevel"/>
    <w:tmpl w:val="F6328A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683B6DC7"/>
    <w:multiLevelType w:val="multilevel"/>
    <w:tmpl w:val="688C19C6"/>
    <w:lvl w:ilvl="0">
      <w:start w:val="1"/>
      <w:numFmt w:val="bullet"/>
      <w:lvlText w:val="o"/>
      <w:lvlJc w:val="left"/>
      <w:pPr>
        <w:ind w:left="926"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C8C10A1"/>
    <w:multiLevelType w:val="multilevel"/>
    <w:tmpl w:val="BE78A4F8"/>
    <w:numStyleLink w:val="Numberlist"/>
  </w:abstractNum>
  <w:abstractNum w:abstractNumId="35" w15:restartNumberingAfterBreak="0">
    <w:nsid w:val="733934B7"/>
    <w:multiLevelType w:val="multilevel"/>
    <w:tmpl w:val="A9A6E414"/>
    <w:numStyleLink w:val="List1"/>
  </w:abstractNum>
  <w:num w:numId="1">
    <w:abstractNumId w:val="6"/>
  </w:num>
  <w:num w:numId="2">
    <w:abstractNumId w:val="22"/>
  </w:num>
  <w:num w:numId="3">
    <w:abstractNumId w:val="23"/>
  </w:num>
  <w:num w:numId="4">
    <w:abstractNumId w:val="11"/>
  </w:num>
  <w:num w:numId="5">
    <w:abstractNumId w:val="30"/>
  </w:num>
  <w:num w:numId="6">
    <w:abstractNumId w:val="31"/>
  </w:num>
  <w:num w:numId="7">
    <w:abstractNumId w:val="8"/>
  </w:num>
  <w:num w:numId="8">
    <w:abstractNumId w:val="14"/>
  </w:num>
  <w:num w:numId="9">
    <w:abstractNumId w:val="18"/>
  </w:num>
  <w:num w:numId="10">
    <w:abstractNumId w:val="8"/>
    <w:lvlOverride w:ilvl="0">
      <w:startOverride w:val="10"/>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4"/>
  </w:num>
  <w:num w:numId="13">
    <w:abstractNumId w:val="3"/>
  </w:num>
  <w:num w:numId="14">
    <w:abstractNumId w:val="2"/>
  </w:num>
  <w:num w:numId="15">
    <w:abstractNumId w:val="12"/>
  </w:num>
  <w:num w:numId="16">
    <w:abstractNumId w:val="28"/>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3"/>
  </w:num>
  <w:num w:numId="19">
    <w:abstractNumId w:val="1"/>
  </w:num>
  <w:num w:numId="20">
    <w:abstractNumId w:val="0"/>
  </w:num>
  <w:num w:numId="21">
    <w:abstractNumId w:val="17"/>
  </w:num>
  <w:num w:numId="22">
    <w:abstractNumId w:val="24"/>
  </w:num>
  <w:num w:numId="23">
    <w:abstractNumId w:val="34"/>
  </w:num>
  <w:num w:numId="24">
    <w:abstractNumId w:val="13"/>
  </w:num>
  <w:num w:numId="25">
    <w:abstractNumId w:val="20"/>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num>
  <w:num w:numId="28">
    <w:abstractNumId w:val="25"/>
  </w:num>
  <w:num w:numId="29">
    <w:abstractNumId w:val="29"/>
  </w:num>
  <w:num w:numId="30">
    <w:abstractNumId w:val="9"/>
  </w:num>
  <w:num w:numId="31">
    <w:abstractNumId w:val="10"/>
  </w:num>
  <w:num w:numId="32">
    <w:abstractNumId w:val="26"/>
  </w:num>
  <w:num w:numId="33">
    <w:abstractNumId w:val="16"/>
  </w:num>
  <w:num w:numId="34">
    <w:abstractNumId w:val="32"/>
  </w:num>
  <w:num w:numId="35">
    <w:abstractNumId w:val="21"/>
  </w:num>
  <w:num w:numId="36">
    <w:abstractNumId w:val="15"/>
  </w:num>
  <w:num w:numId="37">
    <w:abstractNumId w:val="27"/>
  </w:num>
  <w:num w:numId="38">
    <w:abstractNumId w:val="19"/>
  </w:num>
  <w:num w:numId="39">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55C"/>
    <w:rsid w:val="00021590"/>
    <w:rsid w:val="00034F8E"/>
    <w:rsid w:val="00051A9A"/>
    <w:rsid w:val="00066D0B"/>
    <w:rsid w:val="000A314E"/>
    <w:rsid w:val="000E455C"/>
    <w:rsid w:val="000F33B0"/>
    <w:rsid w:val="001038DD"/>
    <w:rsid w:val="00131592"/>
    <w:rsid w:val="00137552"/>
    <w:rsid w:val="00155809"/>
    <w:rsid w:val="00157097"/>
    <w:rsid w:val="00190D7E"/>
    <w:rsid w:val="00193A94"/>
    <w:rsid w:val="001A6968"/>
    <w:rsid w:val="001D0EF3"/>
    <w:rsid w:val="002338F6"/>
    <w:rsid w:val="00280759"/>
    <w:rsid w:val="002C7338"/>
    <w:rsid w:val="002F65AE"/>
    <w:rsid w:val="00340695"/>
    <w:rsid w:val="003455BA"/>
    <w:rsid w:val="003C74A4"/>
    <w:rsid w:val="003D036A"/>
    <w:rsid w:val="003D2891"/>
    <w:rsid w:val="003F254F"/>
    <w:rsid w:val="00413345"/>
    <w:rsid w:val="00424FBC"/>
    <w:rsid w:val="00431A33"/>
    <w:rsid w:val="00444D20"/>
    <w:rsid w:val="00445487"/>
    <w:rsid w:val="00476253"/>
    <w:rsid w:val="004A06FF"/>
    <w:rsid w:val="004B52E3"/>
    <w:rsid w:val="00521D5D"/>
    <w:rsid w:val="00537FD5"/>
    <w:rsid w:val="00553E9D"/>
    <w:rsid w:val="0055447F"/>
    <w:rsid w:val="00573494"/>
    <w:rsid w:val="00585640"/>
    <w:rsid w:val="00586EF1"/>
    <w:rsid w:val="00587707"/>
    <w:rsid w:val="00594E82"/>
    <w:rsid w:val="005A13BA"/>
    <w:rsid w:val="005D117D"/>
    <w:rsid w:val="005E7EEF"/>
    <w:rsid w:val="006156DF"/>
    <w:rsid w:val="00624E1C"/>
    <w:rsid w:val="00625D8D"/>
    <w:rsid w:val="00653CC5"/>
    <w:rsid w:val="006855D0"/>
    <w:rsid w:val="006A2586"/>
    <w:rsid w:val="006A2A47"/>
    <w:rsid w:val="006E49A6"/>
    <w:rsid w:val="006E6D6C"/>
    <w:rsid w:val="0070464B"/>
    <w:rsid w:val="0070513C"/>
    <w:rsid w:val="00737CD5"/>
    <w:rsid w:val="007A6CD8"/>
    <w:rsid w:val="00810737"/>
    <w:rsid w:val="008126E2"/>
    <w:rsid w:val="008147F0"/>
    <w:rsid w:val="008342BF"/>
    <w:rsid w:val="00845481"/>
    <w:rsid w:val="00856386"/>
    <w:rsid w:val="0088425E"/>
    <w:rsid w:val="008C446D"/>
    <w:rsid w:val="008C6130"/>
    <w:rsid w:val="008E586F"/>
    <w:rsid w:val="008F127F"/>
    <w:rsid w:val="008F201A"/>
    <w:rsid w:val="009029AA"/>
    <w:rsid w:val="00902E92"/>
    <w:rsid w:val="00905AC6"/>
    <w:rsid w:val="00911F4A"/>
    <w:rsid w:val="00974CD6"/>
    <w:rsid w:val="00984BA5"/>
    <w:rsid w:val="009951FF"/>
    <w:rsid w:val="009A7764"/>
    <w:rsid w:val="009B4CDC"/>
    <w:rsid w:val="009C206F"/>
    <w:rsid w:val="009E5CBD"/>
    <w:rsid w:val="00A154EE"/>
    <w:rsid w:val="00A16480"/>
    <w:rsid w:val="00A16ABF"/>
    <w:rsid w:val="00A21678"/>
    <w:rsid w:val="00A22306"/>
    <w:rsid w:val="00A74B6D"/>
    <w:rsid w:val="00AA1D89"/>
    <w:rsid w:val="00AC13F0"/>
    <w:rsid w:val="00AE1E6E"/>
    <w:rsid w:val="00B0121B"/>
    <w:rsid w:val="00B51DFD"/>
    <w:rsid w:val="00B54CAB"/>
    <w:rsid w:val="00B60F8C"/>
    <w:rsid w:val="00B901AC"/>
    <w:rsid w:val="00BB1E36"/>
    <w:rsid w:val="00BD4F8E"/>
    <w:rsid w:val="00BE4EAC"/>
    <w:rsid w:val="00BF3E1A"/>
    <w:rsid w:val="00C6128D"/>
    <w:rsid w:val="00C765C8"/>
    <w:rsid w:val="00C77F5F"/>
    <w:rsid w:val="00D118B2"/>
    <w:rsid w:val="00D130AF"/>
    <w:rsid w:val="00D17D44"/>
    <w:rsid w:val="00D30F4A"/>
    <w:rsid w:val="00D4039B"/>
    <w:rsid w:val="00D47EF1"/>
    <w:rsid w:val="00D55443"/>
    <w:rsid w:val="00D750D0"/>
    <w:rsid w:val="00DA6794"/>
    <w:rsid w:val="00DD4E80"/>
    <w:rsid w:val="00E27FDA"/>
    <w:rsid w:val="00E87C6D"/>
    <w:rsid w:val="00E96A25"/>
    <w:rsid w:val="00EB2FBC"/>
    <w:rsid w:val="00EB3CE0"/>
    <w:rsid w:val="00EC4E7A"/>
    <w:rsid w:val="00ED4869"/>
    <w:rsid w:val="00F31180"/>
    <w:rsid w:val="00F3624B"/>
    <w:rsid w:val="00F73CEE"/>
    <w:rsid w:val="00FD337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CC7128"/>
  <w15:docId w15:val="{FA3EAC4F-E184-4D40-BF44-78414F3E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1" w:uiPriority="21" w:qFormat="1"/>
    <w:lsdException w:name="Subtle Reference" w:uiPriority="31" w:qFormat="1"/>
    <w:lsdException w:name="Intense Reference" w:locked="1" w:semiHidden="1"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65C8"/>
    <w:pPr>
      <w:spacing w:after="120" w:line="276" w:lineRule="auto"/>
    </w:pPr>
    <w:rPr>
      <w:rFonts w:asciiTheme="majorHAnsi" w:eastAsiaTheme="minorHAnsi" w:hAnsiTheme="majorHAnsi" w:cstheme="minorBidi"/>
      <w:sz w:val="22"/>
      <w:szCs w:val="22"/>
      <w:lang w:eastAsia="en-US"/>
    </w:rPr>
  </w:style>
  <w:style w:type="paragraph" w:styleId="Heading1">
    <w:name w:val="heading 1"/>
    <w:next w:val="Normal"/>
    <w:link w:val="Heading1Char"/>
    <w:uiPriority w:val="1"/>
    <w:qFormat/>
    <w:pPr>
      <w:widowControl w:val="0"/>
      <w:spacing w:before="360" w:after="240"/>
      <w:contextualSpacing/>
      <w:outlineLvl w:val="0"/>
    </w:pPr>
    <w:rPr>
      <w:rFonts w:ascii="Calibri" w:eastAsiaTheme="minorHAnsi" w:hAnsi="Calibri" w:cstheme="minorBidi"/>
      <w:b/>
      <w:bCs/>
      <w:color w:val="000000"/>
      <w:spacing w:val="5"/>
      <w:kern w:val="28"/>
      <w:sz w:val="40"/>
      <w:szCs w:val="28"/>
      <w:lang w:eastAsia="en-US"/>
    </w:rPr>
  </w:style>
  <w:style w:type="paragraph" w:styleId="Heading2">
    <w:name w:val="heading 2"/>
    <w:basedOn w:val="Normal"/>
    <w:next w:val="Normal"/>
    <w:link w:val="Heading2Char"/>
    <w:uiPriority w:val="3"/>
    <w:rsid w:val="00C6128D"/>
    <w:pPr>
      <w:keepNext/>
      <w:spacing w:before="120" w:line="240" w:lineRule="auto"/>
      <w:ind w:left="720" w:hanging="720"/>
      <w:outlineLvl w:val="1"/>
    </w:pPr>
    <w:rPr>
      <w:rFonts w:ascii="Calibri" w:eastAsiaTheme="minorEastAsia" w:hAnsi="Calibri"/>
      <w:b/>
      <w:bCs/>
      <w:color w:val="5482AB"/>
      <w:sz w:val="28"/>
      <w:szCs w:val="28"/>
      <w:lang w:eastAsia="ja-JP"/>
    </w:rPr>
  </w:style>
  <w:style w:type="paragraph" w:styleId="Heading3">
    <w:name w:val="heading 3"/>
    <w:next w:val="Normal"/>
    <w:link w:val="Heading3Char"/>
    <w:uiPriority w:val="4"/>
    <w:qFormat/>
    <w:pPr>
      <w:keepNext/>
      <w:keepLines/>
      <w:ind w:left="964" w:hanging="964"/>
      <w:outlineLvl w:val="2"/>
    </w:pPr>
    <w:rPr>
      <w:rFonts w:ascii="Calibri" w:eastAsia="Times New Roman" w:hAnsi="Calibri"/>
      <w:b/>
      <w:bCs/>
      <w:sz w:val="28"/>
      <w:szCs w:val="24"/>
      <w:lang w:eastAsia="en-US"/>
    </w:rPr>
  </w:style>
  <w:style w:type="paragraph" w:styleId="Heading4">
    <w:name w:val="heading 4"/>
    <w:next w:val="Normal"/>
    <w:link w:val="Heading4Char"/>
    <w:uiPriority w:val="5"/>
    <w:qFormat/>
    <w:pPr>
      <w:keepNext/>
      <w:ind w:left="964" w:hanging="964"/>
      <w:outlineLvl w:val="3"/>
    </w:pPr>
    <w:rPr>
      <w:rFonts w:ascii="Calibri" w:eastAsia="Times New Roman" w:hAnsi="Calibri"/>
      <w:b/>
      <w:bCs/>
      <w:sz w:val="24"/>
      <w:szCs w:val="24"/>
      <w:lang w:eastAsia="en-US"/>
    </w:rPr>
  </w:style>
  <w:style w:type="paragraph" w:styleId="Heading5">
    <w:name w:val="heading 5"/>
    <w:basedOn w:val="Normal"/>
    <w:next w:val="Normal"/>
    <w:link w:val="Heading5Char"/>
    <w:uiPriority w:val="6"/>
    <w:pPr>
      <w:keepNext/>
      <w:keepLines/>
      <w:spacing w:after="0"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eastAsiaTheme="minorHAnsi" w:cstheme="minorBidi"/>
      <w:lang w:eastAsia="en-US"/>
    </w:rPr>
  </w:style>
  <w:style w:type="paragraph" w:styleId="Header">
    <w:name w:val="header"/>
    <w:basedOn w:val="Normal"/>
    <w:link w:val="HeaderChar"/>
    <w:uiPriority w:val="26"/>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Pr>
      <w:rFonts w:ascii="Calibri" w:eastAsiaTheme="minorHAnsi" w:hAnsi="Calibri" w:cstheme="minorBidi"/>
      <w:szCs w:val="22"/>
      <w:lang w:eastAsia="en-US"/>
    </w:rPr>
  </w:style>
  <w:style w:type="paragraph" w:styleId="Footer">
    <w:name w:val="footer"/>
    <w:basedOn w:val="Normal"/>
    <w:link w:val="FooterChar"/>
    <w:uiPriority w:val="27"/>
    <w:pPr>
      <w:tabs>
        <w:tab w:val="center" w:pos="4536"/>
      </w:tabs>
      <w:spacing w:line="240" w:lineRule="auto"/>
      <w:jc w:val="center"/>
    </w:pPr>
    <w:rPr>
      <w:rFonts w:ascii="Calibri" w:hAnsi="Calibri"/>
      <w:sz w:val="20"/>
    </w:rPr>
  </w:style>
  <w:style w:type="character" w:customStyle="1" w:styleId="FooterChar">
    <w:name w:val="Footer Char"/>
    <w:basedOn w:val="DefaultParagraphFont"/>
    <w:link w:val="Footer"/>
    <w:uiPriority w:val="27"/>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heme="minorHAnsi" w:cstheme="minorBidi"/>
      <w:b/>
      <w:bCs/>
      <w:lang w:eastAsia="en-US"/>
    </w:rPr>
  </w:style>
  <w:style w:type="paragraph" w:styleId="BalloonText">
    <w:name w:val="Balloon Text"/>
    <w:basedOn w:val="Normal"/>
    <w:link w:val="BalloonTextChar"/>
    <w:uiPriority w:val="99"/>
    <w:semiHidden/>
    <w:unhideWhenUsed/>
    <w:rPr>
      <w:rFonts w:ascii="Calibri" w:hAnsi="Calibri"/>
      <w:sz w:val="18"/>
      <w:szCs w:val="18"/>
    </w:rPr>
  </w:style>
  <w:style w:type="character" w:customStyle="1" w:styleId="BalloonTextChar">
    <w:name w:val="Balloon Text Char"/>
    <w:basedOn w:val="DefaultParagraphFont"/>
    <w:link w:val="BalloonText"/>
    <w:uiPriority w:val="99"/>
    <w:semiHidden/>
    <w:rPr>
      <w:rFonts w:ascii="Calibri" w:eastAsiaTheme="minorHAnsi" w:hAnsi="Calibri" w:cstheme="minorBidi"/>
      <w:sz w:val="18"/>
      <w:szCs w:val="18"/>
      <w:lang w:eastAsia="en-US"/>
    </w:rPr>
  </w:style>
  <w:style w:type="table" w:styleId="TableGrid">
    <w:name w:val="Table Grid"/>
    <w:basedOn w:val="TableNormal"/>
    <w:uiPriority w:val="59"/>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Pr>
      <w:sz w:val="16"/>
    </w:rPr>
  </w:style>
  <w:style w:type="character" w:customStyle="1" w:styleId="Heading1Char">
    <w:name w:val="Heading 1 Char"/>
    <w:basedOn w:val="DefaultParagraphFont"/>
    <w:link w:val="Heading1"/>
    <w:uiPriority w:val="1"/>
    <w:rPr>
      <w:rFonts w:ascii="Calibri" w:eastAsiaTheme="minorHAnsi" w:hAnsi="Calibri" w:cstheme="minorBidi"/>
      <w:b/>
      <w:bCs/>
      <w:color w:val="000000"/>
      <w:spacing w:val="5"/>
      <w:kern w:val="28"/>
      <w:sz w:val="40"/>
      <w:szCs w:val="28"/>
      <w:lang w:eastAsia="en-US"/>
    </w:rPr>
  </w:style>
  <w:style w:type="character" w:customStyle="1" w:styleId="Heading2Char">
    <w:name w:val="Heading 2 Char"/>
    <w:basedOn w:val="DefaultParagraphFont"/>
    <w:link w:val="Heading2"/>
    <w:uiPriority w:val="3"/>
    <w:rsid w:val="00C6128D"/>
    <w:rPr>
      <w:rFonts w:ascii="Calibri" w:eastAsiaTheme="minorEastAsia" w:hAnsi="Calibri" w:cstheme="minorBidi"/>
      <w:b/>
      <w:bCs/>
      <w:color w:val="5482AB"/>
      <w:sz w:val="28"/>
      <w:szCs w:val="28"/>
      <w:lang w:eastAsia="ja-JP"/>
    </w:rPr>
  </w:style>
  <w:style w:type="character" w:customStyle="1" w:styleId="Heading3Char">
    <w:name w:val="Heading 3 Char"/>
    <w:basedOn w:val="DefaultParagraphFont"/>
    <w:link w:val="Heading3"/>
    <w:uiPriority w:val="4"/>
    <w:rPr>
      <w:rFonts w:ascii="Calibri" w:eastAsia="Times New Roman" w:hAnsi="Calibri"/>
      <w:b/>
      <w:bCs/>
      <w:sz w:val="28"/>
      <w:szCs w:val="24"/>
      <w:lang w:eastAsia="en-US"/>
    </w:rPr>
  </w:style>
  <w:style w:type="character" w:customStyle="1" w:styleId="Heading4Char">
    <w:name w:val="Heading 4 Char"/>
    <w:basedOn w:val="DefaultParagraphFont"/>
    <w:link w:val="Heading4"/>
    <w:uiPriority w:val="5"/>
    <w:rPr>
      <w:rFonts w:ascii="Calibri" w:eastAsia="Times New Roman" w:hAnsi="Calibri"/>
      <w:b/>
      <w:bCs/>
      <w:sz w:val="24"/>
      <w:szCs w:val="24"/>
      <w:lang w:eastAsia="en-US"/>
    </w:rPr>
  </w:style>
  <w:style w:type="character" w:customStyle="1" w:styleId="Heading5Char">
    <w:name w:val="Heading 5 Char"/>
    <w:basedOn w:val="DefaultParagraphFont"/>
    <w:link w:val="Heading5"/>
    <w:uiPriority w:val="6"/>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pPr>
      <w:ind w:left="709" w:right="567"/>
    </w:pPr>
    <w:rPr>
      <w:iCs/>
      <w:color w:val="000000"/>
    </w:rPr>
  </w:style>
  <w:style w:type="character" w:customStyle="1" w:styleId="QuoteChar">
    <w:name w:val="Quote Char"/>
    <w:basedOn w:val="DefaultParagraphFont"/>
    <w:link w:val="Quote"/>
    <w:uiPriority w:val="18"/>
    <w:rPr>
      <w:rFonts w:eastAsiaTheme="minorHAnsi" w:cstheme="minorBidi"/>
      <w:iCs/>
      <w:color w:val="000000"/>
      <w:sz w:val="22"/>
      <w:szCs w:val="22"/>
      <w:lang w:eastAsia="en-US"/>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before="120"/>
    </w:pPr>
    <w:rPr>
      <w:sz w:val="20"/>
    </w:rPr>
  </w:style>
  <w:style w:type="paragraph" w:styleId="Caption">
    <w:name w:val="caption"/>
    <w:basedOn w:val="Normal"/>
    <w:next w:val="Normal"/>
    <w:uiPriority w:val="12"/>
    <w:qFormat/>
    <w:pPr>
      <w:keepNext/>
      <w:spacing w:line="240" w:lineRule="auto"/>
    </w:pPr>
    <w:rPr>
      <w:rFonts w:ascii="Calibri" w:hAnsi="Calibri"/>
      <w:b/>
      <w:bCs/>
      <w:szCs w:val="18"/>
    </w:rPr>
  </w:style>
  <w:style w:type="paragraph" w:customStyle="1" w:styleId="FigureTableNoteSource">
    <w:name w:val="Figure/Table Note/Source"/>
    <w:basedOn w:val="Normal"/>
    <w:next w:val="Normal"/>
    <w:uiPriority w:val="16"/>
    <w:qFormat/>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pPr>
      <w:spacing w:before="120" w:after="360"/>
    </w:pPr>
    <w:rPr>
      <w:sz w:val="32"/>
      <w:szCs w:val="22"/>
    </w:rPr>
  </w:style>
  <w:style w:type="character" w:customStyle="1" w:styleId="SubtitleChar">
    <w:name w:val="Subtitle Char"/>
    <w:basedOn w:val="DefaultParagraphFont"/>
    <w:link w:val="Subtitle"/>
    <w:uiPriority w:val="23"/>
    <w:rPr>
      <w:rFonts w:ascii="Calibri" w:eastAsiaTheme="minorHAnsi" w:hAnsi="Calibri" w:cstheme="minorBidi"/>
      <w:b/>
      <w:bCs/>
      <w:color w:val="000000"/>
      <w:spacing w:val="5"/>
      <w:kern w:val="28"/>
      <w:sz w:val="32"/>
      <w:szCs w:val="22"/>
      <w:lang w:eastAsia="en-US"/>
    </w:rPr>
  </w:style>
  <w:style w:type="paragraph" w:styleId="TOCHeading">
    <w:name w:val="TOC Heading"/>
    <w:next w:val="Normal"/>
    <w:uiPriority w:val="39"/>
    <w:qFormat/>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pPr>
      <w:tabs>
        <w:tab w:val="left" w:pos="426"/>
        <w:tab w:val="right" w:leader="dot" w:pos="9072"/>
      </w:tabs>
      <w:spacing w:before="120" w:line="240" w:lineRule="auto"/>
    </w:pPr>
    <w:rPr>
      <w:b/>
      <w:noProof/>
    </w:rPr>
  </w:style>
  <w:style w:type="paragraph" w:styleId="TOC2">
    <w:name w:val="toc 2"/>
    <w:basedOn w:val="Normal"/>
    <w:next w:val="Normal"/>
    <w:uiPriority w:val="39"/>
    <w:unhideWhenUsed/>
    <w:qFormat/>
    <w:pPr>
      <w:tabs>
        <w:tab w:val="right" w:leader="dot" w:pos="9060"/>
      </w:tabs>
      <w:spacing w:before="120" w:line="240" w:lineRule="auto"/>
      <w:ind w:firstLine="425"/>
    </w:pPr>
    <w:rPr>
      <w:noProof/>
    </w:rPr>
  </w:style>
  <w:style w:type="paragraph" w:styleId="TOC3">
    <w:name w:val="toc 3"/>
    <w:basedOn w:val="Normal"/>
    <w:next w:val="Normal"/>
    <w:uiPriority w:val="39"/>
    <w:unhideWhenUsed/>
    <w:qFormat/>
    <w:pPr>
      <w:tabs>
        <w:tab w:val="right" w:leader="dot" w:pos="9072"/>
      </w:tabs>
      <w:spacing w:before="120" w:line="240" w:lineRule="auto"/>
      <w:ind w:firstLine="851"/>
    </w:pPr>
    <w:rPr>
      <w:noProof/>
    </w:rPr>
  </w:style>
  <w:style w:type="character" w:styleId="Hyperlink">
    <w:name w:val="Hyperlink"/>
    <w:basedOn w:val="DefaultParagraphFont"/>
    <w:uiPriority w:val="99"/>
    <w:qFormat/>
    <w:rPr>
      <w:color w:val="165788"/>
      <w:u w:val="single"/>
    </w:rPr>
  </w:style>
  <w:style w:type="paragraph" w:styleId="ListBullet">
    <w:name w:val="List Bullet"/>
    <w:basedOn w:val="Normal"/>
    <w:uiPriority w:val="99"/>
    <w:qFormat/>
    <w:pPr>
      <w:numPr>
        <w:numId w:val="5"/>
      </w:numPr>
      <w:spacing w:before="120"/>
    </w:pPr>
  </w:style>
  <w:style w:type="paragraph" w:styleId="TableofFigures">
    <w:name w:val="table of figures"/>
    <w:basedOn w:val="Normal"/>
    <w:next w:val="Normal"/>
    <w:uiPriority w:val="99"/>
    <w:pPr>
      <w:spacing w:before="120" w:line="240" w:lineRule="auto"/>
    </w:pPr>
  </w:style>
  <w:style w:type="paragraph" w:styleId="ListBullet2">
    <w:name w:val="List Bullet 2"/>
    <w:basedOn w:val="Normal"/>
    <w:uiPriority w:val="8"/>
    <w:qFormat/>
    <w:pPr>
      <w:numPr>
        <w:ilvl w:val="1"/>
        <w:numId w:val="5"/>
      </w:numPr>
      <w:spacing w:before="120"/>
      <w:contextualSpacing/>
    </w:pPr>
  </w:style>
  <w:style w:type="paragraph" w:styleId="ListNumber">
    <w:name w:val="List Number"/>
    <w:basedOn w:val="Normal"/>
    <w:uiPriority w:val="9"/>
    <w:qFormat/>
    <w:pPr>
      <w:numPr>
        <w:numId w:val="24"/>
      </w:numPr>
      <w:tabs>
        <w:tab w:val="left" w:pos="142"/>
      </w:tabs>
      <w:spacing w:before="120"/>
    </w:pPr>
  </w:style>
  <w:style w:type="paragraph" w:styleId="ListNumber2">
    <w:name w:val="List Number 2"/>
    <w:uiPriority w:val="10"/>
    <w:qFormat/>
    <w:pPr>
      <w:numPr>
        <w:ilvl w:val="1"/>
        <w:numId w:val="24"/>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24"/>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TableGrid1">
    <w:name w:val="Table Grid 1"/>
    <w:basedOn w:val="TableNormal"/>
    <w:uiPriority w:val="99"/>
    <w:semiHidden/>
    <w:unhideWhenUse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Normal"/>
    <w:uiPriority w:val="14"/>
    <w:qFormat/>
    <w:pPr>
      <w:keepNext/>
      <w:spacing w:before="60" w:after="60" w:line="240" w:lineRule="auto"/>
    </w:pPr>
    <w:rPr>
      <w:b/>
      <w:sz w:val="19"/>
    </w:rPr>
  </w:style>
  <w:style w:type="character" w:styleId="PlaceholderText">
    <w:name w:val="Placeholder Text"/>
    <w:basedOn w:val="DefaultParagraphFont"/>
    <w:uiPriority w:val="99"/>
    <w:semiHidden/>
    <w:rPr>
      <w:color w:val="808080"/>
    </w:rPr>
  </w:style>
  <w:style w:type="paragraph" w:customStyle="1" w:styleId="Author">
    <w:name w:val="Author"/>
    <w:basedOn w:val="Normal"/>
    <w:next w:val="Normal"/>
    <w:uiPriority w:val="24"/>
    <w:qFormat/>
    <w:pPr>
      <w:spacing w:after="60"/>
    </w:pPr>
    <w:rPr>
      <w:b/>
      <w:sz w:val="28"/>
      <w:szCs w:val="28"/>
    </w:rPr>
  </w:style>
  <w:style w:type="paragraph" w:customStyle="1" w:styleId="AuthorOrganisationAffiliation">
    <w:name w:val="Author Organisation/Affiliation"/>
    <w:basedOn w:val="Normal"/>
    <w:next w:val="Normal"/>
    <w:uiPriority w:val="25"/>
    <w:qFormat/>
    <w:pPr>
      <w:spacing w:after="720"/>
    </w:pPr>
  </w:style>
  <w:style w:type="character" w:styleId="Strong">
    <w:name w:val="Strong"/>
    <w:basedOn w:val="DefaultParagraphFont"/>
    <w:uiPriority w:val="99"/>
    <w:qFormat/>
    <w:rPr>
      <w:b/>
      <w:bCs/>
    </w:rPr>
  </w:style>
  <w:style w:type="paragraph" w:customStyle="1" w:styleId="Glossary">
    <w:name w:val="Glossary"/>
    <w:basedOn w:val="Normal"/>
    <w:link w:val="GlossaryChar"/>
    <w:uiPriority w:val="28"/>
    <w:semiHidden/>
    <w:locked/>
    <w:pPr>
      <w:spacing w:before="120"/>
      <w:ind w:left="2126" w:hanging="2126"/>
    </w:pPr>
    <w:rPr>
      <w:rFonts w:eastAsia="Calibri"/>
      <w:color w:val="000000"/>
    </w:rPr>
  </w:style>
  <w:style w:type="character" w:customStyle="1" w:styleId="GlossaryChar">
    <w:name w:val="Glossary Char"/>
    <w:basedOn w:val="DefaultParagraphFont"/>
    <w:link w:val="Glossary"/>
    <w:uiPriority w:val="28"/>
    <w:semiHidden/>
    <w:rPr>
      <w:rFonts w:eastAsia="Calibri" w:cstheme="minorBidi"/>
      <w:color w:val="000000"/>
      <w:sz w:val="22"/>
      <w:szCs w:val="22"/>
      <w:lang w:eastAsia="en-US"/>
    </w:rPr>
  </w:style>
  <w:style w:type="character" w:styleId="Emphasis">
    <w:name w:val="Emphasis"/>
    <w:basedOn w:val="DefaultParagraphFont"/>
    <w:uiPriority w:val="99"/>
    <w:qFormat/>
    <w:rPr>
      <w:i/>
      <w:iCs/>
    </w:rPr>
  </w:style>
  <w:style w:type="paragraph" w:styleId="TOAHeading">
    <w:name w:val="toa heading"/>
    <w:basedOn w:val="Heading1"/>
    <w:next w:val="Normal"/>
    <w:uiPriority w:val="99"/>
    <w:semiHidden/>
    <w:unhideWhenUsed/>
    <w:pPr>
      <w:spacing w:before="120"/>
    </w:pPr>
    <w:rPr>
      <w:bCs w:val="0"/>
      <w:sz w:val="24"/>
    </w:rPr>
  </w:style>
  <w:style w:type="paragraph" w:styleId="NormalWeb">
    <w:name w:val="Normal (Web)"/>
    <w:basedOn w:val="Normal"/>
    <w:uiPriority w:val="99"/>
    <w:semiHidden/>
    <w:unhideWhenUse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pPr>
      <w:numPr>
        <w:numId w:val="3"/>
      </w:numPr>
      <w:ind w:left="357" w:hanging="357"/>
    </w:pPr>
  </w:style>
  <w:style w:type="paragraph" w:customStyle="1" w:styleId="TableBullet1">
    <w:name w:val="Table Bullet 1"/>
    <w:basedOn w:val="Normal"/>
    <w:uiPriority w:val="15"/>
    <w:qFormat/>
    <w:pPr>
      <w:numPr>
        <w:numId w:val="4"/>
      </w:numPr>
      <w:spacing w:before="60" w:after="60" w:line="240" w:lineRule="auto"/>
      <w:ind w:left="284" w:hanging="284"/>
    </w:pPr>
    <w:rPr>
      <w:sz w:val="20"/>
    </w:rPr>
  </w:style>
  <w:style w:type="paragraph" w:styleId="DocumentMap">
    <w:name w:val="Document Map"/>
    <w:basedOn w:val="Normal"/>
    <w:link w:val="DocumentMapChar"/>
    <w:uiPriority w:val="99"/>
    <w:semiHidden/>
    <w:unhideWhenUs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eastAsiaTheme="minorHAnsi" w:hAnsi="Tahoma" w:cs="Tahoma"/>
      <w:sz w:val="16"/>
      <w:szCs w:val="16"/>
      <w:lang w:eastAsia="en-US"/>
    </w:rPr>
  </w:style>
  <w:style w:type="paragraph" w:customStyle="1" w:styleId="BoxHeading">
    <w:name w:val="Box Heading"/>
    <w:basedOn w:val="BoxText"/>
    <w:uiPriority w:val="20"/>
    <w:qFormat/>
    <w:pPr>
      <w:spacing w:line="240" w:lineRule="auto"/>
    </w:pPr>
    <w:rPr>
      <w:b/>
    </w:rPr>
  </w:style>
  <w:style w:type="paragraph" w:customStyle="1" w:styleId="Picture">
    <w:name w:val="Picture"/>
    <w:basedOn w:val="Normal"/>
    <w:uiPriority w:val="17"/>
    <w:qFormat/>
    <w:pPr>
      <w:spacing w:before="120" w:line="240" w:lineRule="auto"/>
    </w:pPr>
    <w:rPr>
      <w:noProof/>
      <w:lang w:eastAsia="en-AU"/>
    </w:rPr>
  </w:style>
  <w:style w:type="paragraph" w:customStyle="1" w:styleId="Securityclassification">
    <w:name w:val="Security classification"/>
    <w:basedOn w:val="Header"/>
    <w:next w:val="Header"/>
    <w:uiPriority w:val="26"/>
    <w:qFormat/>
    <w:pPr>
      <w:spacing w:after="0"/>
    </w:pPr>
    <w:rPr>
      <w:b/>
      <w:color w:val="FF0000"/>
      <w:sz w:val="36"/>
      <w:szCs w:val="36"/>
    </w:rPr>
  </w:style>
  <w:style w:type="paragraph" w:customStyle="1" w:styleId="DisseminationLimitingMarker">
    <w:name w:val="Dissemination Limiting Marker"/>
    <w:basedOn w:val="Header"/>
    <w:next w:val="Header"/>
    <w:uiPriority w:val="27"/>
    <w:pPr>
      <w:spacing w:after="0"/>
    </w:pPr>
    <w:rPr>
      <w:b/>
      <w:sz w:val="36"/>
      <w:szCs w:val="36"/>
    </w:rPr>
  </w:style>
  <w:style w:type="paragraph" w:styleId="FootnoteText">
    <w:name w:val="footnote text"/>
    <w:basedOn w:val="Normal"/>
    <w:link w:val="FootnoteTextChar"/>
    <w:uiPriority w:val="99"/>
    <w:unhideWhenUsed/>
    <w:pPr>
      <w:spacing w:after="60" w:line="264" w:lineRule="auto"/>
    </w:pPr>
    <w:rPr>
      <w:sz w:val="20"/>
      <w:szCs w:val="20"/>
    </w:rPr>
  </w:style>
  <w:style w:type="character" w:customStyle="1" w:styleId="FootnoteTextChar">
    <w:name w:val="Footnote Text Char"/>
    <w:basedOn w:val="DefaultParagraphFont"/>
    <w:link w:val="FootnoteText"/>
    <w:uiPriority w:val="99"/>
    <w:rPr>
      <w:rFonts w:eastAsiaTheme="minorHAnsi" w:cstheme="minorBidi"/>
      <w:lang w:eastAsia="en-US"/>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99"/>
    <w:unhideWhenUsed/>
    <w:pPr>
      <w:spacing w:after="60" w:line="264" w:lineRule="auto"/>
    </w:pPr>
    <w:rPr>
      <w:sz w:val="20"/>
      <w:szCs w:val="20"/>
    </w:rPr>
  </w:style>
  <w:style w:type="character" w:customStyle="1" w:styleId="EndnoteTextChar">
    <w:name w:val="Endnote Text Char"/>
    <w:basedOn w:val="DefaultParagraphFont"/>
    <w:link w:val="EndnoteText"/>
    <w:uiPriority w:val="99"/>
    <w:rPr>
      <w:rFonts w:eastAsiaTheme="minorHAnsi" w:cstheme="minorBidi"/>
      <w:lang w:eastAsia="en-US"/>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800080"/>
      <w:u w:val="single"/>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pPr>
      <w:numPr>
        <w:numId w:val="5"/>
      </w:numPr>
    </w:pPr>
  </w:style>
  <w:style w:type="paragraph" w:styleId="Title">
    <w:name w:val="Title"/>
    <w:basedOn w:val="Normal"/>
    <w:next w:val="Normal"/>
    <w:link w:val="TitleChar"/>
    <w:uiPriority w:val="10"/>
    <w:semiHidden/>
    <w:qFormat/>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Pr>
      <w:rFonts w:eastAsiaTheme="majorEastAsia" w:cstheme="majorBidi"/>
      <w:b/>
      <w:spacing w:val="5"/>
      <w:kern w:val="28"/>
      <w:sz w:val="72"/>
      <w:szCs w:val="52"/>
      <w:lang w:eastAsia="en-US"/>
    </w:rPr>
  </w:style>
  <w:style w:type="paragraph" w:customStyle="1" w:styleId="TOCHeading2">
    <w:name w:val="TOC Heading 2"/>
    <w:next w:val="Normal"/>
    <w:qFormat/>
    <w:rPr>
      <w:rFonts w:ascii="Calibri Light" w:eastAsiaTheme="minorHAnsi" w:hAnsi="Calibri Light" w:cstheme="minorBidi"/>
      <w:sz w:val="36"/>
      <w:szCs w:val="22"/>
      <w:lang w:eastAsia="en-US"/>
    </w:rPr>
  </w:style>
  <w:style w:type="numbering" w:customStyle="1" w:styleId="Numberlist">
    <w:name w:val="Number list"/>
    <w:uiPriority w:val="99"/>
    <w:pPr>
      <w:numPr>
        <w:numId w:val="6"/>
      </w:numPr>
    </w:pPr>
  </w:style>
  <w:style w:type="numbering" w:customStyle="1" w:styleId="Headinglist">
    <w:name w:val="Heading list"/>
    <w:uiPriority w:val="99"/>
    <w:pPr>
      <w:numPr>
        <w:numId w:val="8"/>
      </w:numPr>
    </w:pPr>
  </w:style>
  <w:style w:type="paragraph" w:customStyle="1" w:styleId="Normalsmall">
    <w:name w:val="Normal small"/>
    <w:qFormat/>
    <w:pPr>
      <w:spacing w:after="120" w:line="276" w:lineRule="auto"/>
    </w:pPr>
    <w:rPr>
      <w:rFonts w:eastAsiaTheme="minorHAnsi" w:cstheme="minorBidi"/>
      <w:sz w:val="18"/>
      <w:szCs w:val="18"/>
      <w:lang w:eastAsia="en-US"/>
    </w:rPr>
  </w:style>
  <w:style w:type="paragraph" w:styleId="ListBullet3">
    <w:name w:val="List Bullet 3"/>
    <w:basedOn w:val="Normal"/>
    <w:uiPriority w:val="99"/>
    <w:semiHidden/>
    <w:pPr>
      <w:numPr>
        <w:ilvl w:val="2"/>
        <w:numId w:val="5"/>
      </w:numPr>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paragraph" w:customStyle="1" w:styleId="Tablenumberedlist">
    <w:name w:val="Table numbered list"/>
    <w:uiPriority w:val="99"/>
    <w:qFormat/>
    <w:pPr>
      <w:numPr>
        <w:numId w:val="16"/>
      </w:numPr>
      <w:spacing w:before="60" w:after="60"/>
      <w:ind w:left="403"/>
      <w:contextualSpacing/>
    </w:pPr>
    <w:rPr>
      <w:rFonts w:asciiTheme="minorHAnsi" w:eastAsia="Calibri" w:hAnsiTheme="minorHAnsi"/>
      <w:color w:val="000000" w:themeColor="text1"/>
      <w:szCs w:val="22"/>
      <w:lang w:eastAsia="en-US"/>
    </w:rPr>
  </w:style>
  <w:style w:type="character" w:styleId="IntenseEmphasis">
    <w:name w:val="Intense Emphasis"/>
    <w:basedOn w:val="DefaultParagraphFont"/>
    <w:uiPriority w:val="21"/>
    <w:semiHidden/>
    <w:qFormat/>
    <w:locked/>
    <w:rPr>
      <w:i/>
      <w:iCs/>
      <w:color w:val="4F81BD" w:themeColor="accent1"/>
    </w:rPr>
  </w:style>
  <w:style w:type="paragraph" w:customStyle="1" w:styleId="TableBullet2">
    <w:name w:val="Table Bullet 2"/>
    <w:basedOn w:val="TableBullet1"/>
    <w:qFormat/>
    <w:pPr>
      <w:numPr>
        <w:numId w:val="30"/>
      </w:numPr>
      <w:tabs>
        <w:tab w:val="num" w:pos="284"/>
      </w:tabs>
      <w:ind w:left="568" w:hanging="284"/>
    </w:pPr>
  </w:style>
  <w:style w:type="numbering" w:customStyle="1" w:styleId="TableBulletlist">
    <w:name w:val="Table Bullet list"/>
    <w:uiPriority w:val="99"/>
    <w:pPr>
      <w:numPr>
        <w:numId w:val="28"/>
      </w:numPr>
    </w:pPr>
  </w:style>
  <w:style w:type="paragraph" w:styleId="Revision">
    <w:name w:val="Revision"/>
    <w:hidden/>
    <w:uiPriority w:val="99"/>
    <w:semiHidden/>
    <w:rPr>
      <w:rFonts w:eastAsiaTheme="minorHAnsi" w:cstheme="minorBidi"/>
      <w:sz w:val="22"/>
      <w:szCs w:val="22"/>
      <w:lang w:eastAsia="en-US"/>
    </w:rPr>
  </w:style>
  <w:style w:type="paragraph" w:customStyle="1" w:styleId="TableText">
    <w:name w:val="Table Text"/>
    <w:qFormat/>
    <w:rsid w:val="00553E9D"/>
    <w:pPr>
      <w:spacing w:before="60" w:after="60"/>
    </w:pPr>
    <w:rPr>
      <w:rFonts w:asciiTheme="majorHAnsi" w:eastAsia="Times New Roman" w:hAnsiTheme="majorHAnsi" w:cs="Arial"/>
      <w:color w:val="000000"/>
      <w:sz w:val="19"/>
      <w:szCs w:val="22"/>
      <w:lang w:val="en-GB"/>
    </w:rPr>
  </w:style>
  <w:style w:type="paragraph" w:styleId="Date">
    <w:name w:val="Date"/>
    <w:aliases w:val="Reference"/>
    <w:basedOn w:val="Normal"/>
    <w:next w:val="Normal"/>
    <w:link w:val="DateChar"/>
    <w:uiPriority w:val="99"/>
    <w:unhideWhenUsed/>
    <w:pPr>
      <w:spacing w:before="600"/>
    </w:pPr>
  </w:style>
  <w:style w:type="character" w:customStyle="1" w:styleId="DateChar">
    <w:name w:val="Date Char"/>
    <w:aliases w:val="Reference Char"/>
    <w:basedOn w:val="DefaultParagraphFont"/>
    <w:link w:val="Date"/>
    <w:uiPriority w:val="99"/>
    <w:rPr>
      <w:rFonts w:asciiTheme="minorHAnsi" w:eastAsiaTheme="minorHAnsi" w:hAnsiTheme="minorHAnsi" w:cstheme="minorBidi"/>
      <w:sz w:val="22"/>
      <w:szCs w:val="22"/>
      <w:lang w:eastAsia="en-US"/>
    </w:rPr>
  </w:style>
  <w:style w:type="paragraph" w:customStyle="1" w:styleId="Series">
    <w:name w:val="Series"/>
    <w:basedOn w:val="Normal"/>
    <w:qFormat/>
    <w:rsid w:val="00445487"/>
    <w:pPr>
      <w:spacing w:before="120"/>
    </w:pPr>
    <w:rPr>
      <w:rFonts w:asciiTheme="minorHAnsi" w:hAnsiTheme="minorHAnsi"/>
      <w:b/>
      <w:i/>
      <w:color w:val="5482AB"/>
      <w:sz w:val="32"/>
    </w:rPr>
  </w:style>
  <w:style w:type="paragraph" w:styleId="ListParagraph">
    <w:name w:val="List Paragraph"/>
    <w:aliases w:val="Recommendation,List Paragraph1,List Paragraph11,NFP GP Bulleted List,FooterText,numbered,Paragraphe de liste1,Bulletr List Paragraph,列出段落,列出段落1,List Paragraph2,List Paragraph21,Listeafsnit1,Parágrafo da Lista1,Párrafo de lista1,リスト段落1,L"/>
    <w:basedOn w:val="Normal"/>
    <w:link w:val="ListParagraphChar"/>
    <w:uiPriority w:val="99"/>
    <w:qFormat/>
    <w:rsid w:val="009A7764"/>
    <w:pPr>
      <w:spacing w:before="120" w:after="0" w:line="240" w:lineRule="auto"/>
      <w:ind w:left="720"/>
      <w:contextualSpacing/>
    </w:pPr>
    <w:rPr>
      <w:rFonts w:ascii="Cambria" w:eastAsia="Calibri" w:hAnsi="Cambria" w:cs="Times New Roman"/>
    </w:rPr>
  </w:style>
  <w:style w:type="paragraph" w:styleId="BodyTextIndent">
    <w:name w:val="Body Text Indent"/>
    <w:basedOn w:val="Normal"/>
    <w:link w:val="BodyTextIndentChar"/>
    <w:uiPriority w:val="99"/>
    <w:unhideWhenUsed/>
    <w:rsid w:val="009A7764"/>
    <w:pPr>
      <w:spacing w:line="240" w:lineRule="auto"/>
      <w:ind w:left="283"/>
    </w:pPr>
    <w:rPr>
      <w:rFonts w:ascii="Calibri" w:eastAsia="Times New Roman" w:hAnsi="Calibri" w:cs="Times New Roman"/>
      <w:szCs w:val="24"/>
      <w:lang w:bidi="en-US"/>
    </w:rPr>
  </w:style>
  <w:style w:type="character" w:customStyle="1" w:styleId="BodyTextIndentChar">
    <w:name w:val="Body Text Indent Char"/>
    <w:basedOn w:val="DefaultParagraphFont"/>
    <w:link w:val="BodyTextIndent"/>
    <w:uiPriority w:val="99"/>
    <w:rsid w:val="009A7764"/>
    <w:rPr>
      <w:rFonts w:ascii="Calibri" w:eastAsia="Times New Roman" w:hAnsi="Calibri"/>
      <w:sz w:val="22"/>
      <w:szCs w:val="24"/>
      <w:lang w:eastAsia="en-US" w:bidi="en-US"/>
    </w:rPr>
  </w:style>
  <w:style w:type="character" w:customStyle="1" w:styleId="ListParagraphChar">
    <w:name w:val="List Paragraph Char"/>
    <w:aliases w:val="Recommendation Char,List Paragraph1 Char,List Paragraph11 Char,NFP GP Bulleted List Char,FooterText Char,numbered Char,Paragraphe de liste1 Char,Bulletr List Paragraph Char,列出段落 Char,列出段落1 Char,List Paragraph2 Char,Listeafsnit1 Char"/>
    <w:link w:val="ListParagraph"/>
    <w:uiPriority w:val="99"/>
    <w:locked/>
    <w:rsid w:val="002C7338"/>
    <w:rPr>
      <w:rFonts w:eastAsia="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1994351">
      <w:bodyDiv w:val="1"/>
      <w:marLeft w:val="0"/>
      <w:marRight w:val="0"/>
      <w:marTop w:val="0"/>
      <w:marBottom w:val="0"/>
      <w:divBdr>
        <w:top w:val="none" w:sz="0" w:space="0" w:color="auto"/>
        <w:left w:val="none" w:sz="0" w:space="0" w:color="auto"/>
        <w:bottom w:val="none" w:sz="0" w:space="0" w:color="auto"/>
        <w:right w:val="none" w:sz="0" w:space="0" w:color="auto"/>
      </w:divBdr>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agriculture.gov.au/market-access-trade/improving-export-legislatio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xportlegislation@agriculture.gov.au"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onath%20alakananda\Downloads\Standard-report-template-with-numbered-headings%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HarvardAGPS.XSL" StyleName="Harvard - AGPS*"/>
</file>

<file path=customXml/item2.xml><?xml version="1.0" encoding="utf-8"?>
<ct:contentTypeSchema xmlns:ct="http://schemas.microsoft.com/office/2006/metadata/contentType" xmlns:ma="http://schemas.microsoft.com/office/2006/metadata/properties/metaAttributes" ct:_="" ma:_="" ma:contentTypeName="Document" ma:contentTypeID="0x0101008991DB94C8E2E14F9D69CDF9B52A3286" ma:contentTypeVersion="6" ma:contentTypeDescription="Create a new document." ma:contentTypeScope="" ma:versionID="6720276c43cc8f6a7ca3ca8a8053be91">
  <xsd:schema xmlns:xsd="http://www.w3.org/2001/XMLSchema" xmlns:xs="http://www.w3.org/2001/XMLSchema" xmlns:p="http://schemas.microsoft.com/office/2006/metadata/properties" xmlns:ns2="2b53c995-2120-4bc0-8922-c25044d37f65" xmlns:ns3="c95b51c2-b2ac-4224-a5b5-069909057829" targetNamespace="http://schemas.microsoft.com/office/2006/metadata/properties" ma:root="true" ma:fieldsID="1f93a7e01b84e107d287d426a3363593" ns2:_="" ns3:_="">
    <xsd:import namespace="2b53c995-2120-4bc0-8922-c25044d37f65"/>
    <xsd:import namespace="c95b51c2-b2ac-4224-a5b5-06990905782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3c995-2120-4bc0-8922-c25044d37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5b51c2-b2ac-4224-a5b5-0699090578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245757A-C553-4877-9350-47BB4D94D2A6}">
  <ds:schemaRefs>
    <ds:schemaRef ds:uri="http://schemas.openxmlformats.org/officeDocument/2006/bibliography"/>
  </ds:schemaRefs>
</ds:datastoreItem>
</file>

<file path=customXml/itemProps2.xml><?xml version="1.0" encoding="utf-8"?>
<ds:datastoreItem xmlns:ds="http://schemas.openxmlformats.org/officeDocument/2006/customXml" ds:itemID="{B2DAEA30-DC3E-4AD9-A623-7A7CD9CEF7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53c995-2120-4bc0-8922-c25044d37f65"/>
    <ds:schemaRef ds:uri="c95b51c2-b2ac-4224-a5b5-0699090578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D1CAD33-3B39-4665-A5E6-666D035120E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9B48E02-C406-418D-A555-2A3BB91642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Standard-report-template-with-numbered-headings (1).dotx</Template>
  <TotalTime>0</TotalTime>
  <Pages>3</Pages>
  <Words>813</Words>
  <Characters>4638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Outline of the Export Control (Fish and Fish Products) Rules 2021</vt:lpstr>
    </vt:vector>
  </TitlesOfParts>
  <Company/>
  <LinksUpToDate>false</LinksUpToDate>
  <CharactersWithSpaces>5441</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Outline of the Export Control (Fish and Fish Products) Rules 2021</dc:title>
  <dc:creator>Department of Agriculture, Water and the Environment</dc:creator>
  <cp:lastModifiedBy>Dang, Van</cp:lastModifiedBy>
  <cp:revision>3</cp:revision>
  <cp:lastPrinted>2019-01-21T05:17:00Z</cp:lastPrinted>
  <dcterms:created xsi:type="dcterms:W3CDTF">2021-04-27T03:28:00Z</dcterms:created>
  <dcterms:modified xsi:type="dcterms:W3CDTF">2021-04-29T02:50:00Z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0x0101008991DB94C8E2E14F9D69CDF9B52A3286</vt:lpwstr>
  </property>
</Properties>
</file>