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3560" w14:textId="5B390E36" w:rsidR="00445487" w:rsidRPr="00445487" w:rsidRDefault="00385544" w:rsidP="007E7324">
      <w:pPr>
        <w:pStyle w:val="Date"/>
        <w:spacing w:before="1200"/>
      </w:pPr>
      <w:r>
        <w:t>March 2021</w:t>
      </w:r>
    </w:p>
    <w:p w14:paraId="4D4F9025" w14:textId="36E31817" w:rsidR="00445487" w:rsidRPr="00445487" w:rsidRDefault="00445487" w:rsidP="00445487">
      <w:pPr>
        <w:pStyle w:val="Series"/>
      </w:pPr>
      <w:r w:rsidRPr="00445487">
        <w:t>Improv</w:t>
      </w:r>
      <w:r w:rsidR="00A618B1">
        <w:t>ed</w:t>
      </w:r>
      <w:r w:rsidRPr="00445487">
        <w:t xml:space="preserve"> agricultural export legislation</w:t>
      </w:r>
    </w:p>
    <w:p w14:paraId="069B727F" w14:textId="28483C23" w:rsidR="00B60F8C" w:rsidRPr="00F317FB" w:rsidRDefault="00B60F8C" w:rsidP="00B60F8C">
      <w:pPr>
        <w:pStyle w:val="Heading1"/>
        <w:spacing w:before="240"/>
      </w:pPr>
      <w:r w:rsidRPr="00F317FB">
        <w:t xml:space="preserve">Outline of the </w:t>
      </w:r>
      <w:r>
        <w:t>Export Control (Plants and Plant Products) Rules 202</w:t>
      </w:r>
      <w:r w:rsidR="00A618B1">
        <w:t>1</w:t>
      </w:r>
    </w:p>
    <w:p w14:paraId="14842C95" w14:textId="77777777" w:rsidR="00B60F8C" w:rsidRPr="00466F30" w:rsidRDefault="00B60F8C" w:rsidP="00B60F8C">
      <w:pPr>
        <w:pStyle w:val="Heading2"/>
      </w:pPr>
      <w:r w:rsidRPr="00466F30">
        <w:t>Introduction</w:t>
      </w:r>
    </w:p>
    <w:p w14:paraId="758700FA" w14:textId="3CD36516" w:rsidR="00A618B1" w:rsidRDefault="00BC73A4" w:rsidP="00A618B1">
      <w:bookmarkStart w:id="0" w:name="_Hlk65741825"/>
      <w:bookmarkStart w:id="1" w:name="_Hlk46766078"/>
      <w:bookmarkStart w:id="2" w:name="_Hlk38528375"/>
      <w:r>
        <w:t xml:space="preserve">Australia’s new agricultural export legislation began on 28 March 2021. It comprises the </w:t>
      </w:r>
      <w:r w:rsidRPr="009B4CDC">
        <w:rPr>
          <w:i/>
          <w:iCs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(e.g. </w:t>
      </w:r>
      <w:r w:rsidR="000E23F7">
        <w:t>vegetables</w:t>
      </w:r>
      <w:r>
        <w:t>).</w:t>
      </w:r>
    </w:p>
    <w:bookmarkEnd w:id="0"/>
    <w:p w14:paraId="2DAF1DAE" w14:textId="21FE4F41" w:rsidR="00B60F8C" w:rsidRDefault="00385544" w:rsidP="00B60F8C">
      <w:pPr>
        <w:rPr>
          <w:lang w:eastAsia="ja-JP"/>
        </w:rPr>
      </w:pPr>
      <w:r>
        <w:rPr>
          <w:lang w:eastAsia="ja-JP"/>
        </w:rPr>
        <w:t>T</w:t>
      </w:r>
      <w:r w:rsidR="00B60F8C" w:rsidRPr="00205A1A">
        <w:rPr>
          <w:lang w:eastAsia="ja-JP"/>
        </w:rPr>
        <w:t xml:space="preserve">he </w:t>
      </w:r>
      <w:r w:rsidR="00B60F8C" w:rsidRPr="00E970B3">
        <w:rPr>
          <w:lang w:eastAsia="ja-JP"/>
        </w:rPr>
        <w:t>Export Control (Plants and Plant Products) Rules 202</w:t>
      </w:r>
      <w:r w:rsidR="00A618B1">
        <w:rPr>
          <w:lang w:eastAsia="ja-JP"/>
        </w:rPr>
        <w:t>1</w:t>
      </w:r>
      <w:r w:rsidR="00B60F8C">
        <w:rPr>
          <w:lang w:eastAsia="ja-JP"/>
        </w:rPr>
        <w:t xml:space="preserve"> (</w:t>
      </w:r>
      <w:r w:rsidR="00224E84">
        <w:rPr>
          <w:lang w:eastAsia="ja-JP"/>
        </w:rPr>
        <w:t>P</w:t>
      </w:r>
      <w:r w:rsidR="00B60F8C">
        <w:rPr>
          <w:lang w:eastAsia="ja-JP"/>
        </w:rPr>
        <w:t xml:space="preserve">lant </w:t>
      </w:r>
      <w:r w:rsidR="00224E84">
        <w:rPr>
          <w:lang w:eastAsia="ja-JP"/>
        </w:rPr>
        <w:t>R</w:t>
      </w:r>
      <w:r w:rsidR="00B60F8C">
        <w:rPr>
          <w:lang w:eastAsia="ja-JP"/>
        </w:rPr>
        <w:t xml:space="preserve">ules) </w:t>
      </w:r>
      <w:r w:rsidR="008837E7">
        <w:rPr>
          <w:lang w:eastAsia="ja-JP"/>
        </w:rPr>
        <w:t xml:space="preserve">specify how plants and plant products prepared for export are regulated. The Plant Rules must be read in conjunction with the Act. They </w:t>
      </w:r>
      <w:bookmarkEnd w:id="1"/>
      <w:r w:rsidR="00B60F8C">
        <w:rPr>
          <w:lang w:eastAsia="ja-JP"/>
        </w:rPr>
        <w:t>set out:</w:t>
      </w:r>
    </w:p>
    <w:p w14:paraId="321275FA" w14:textId="77777777" w:rsidR="00B60F8C" w:rsidRDefault="00B60F8C" w:rsidP="00737CD5">
      <w:pPr>
        <w:pStyle w:val="ListBullet"/>
        <w:rPr>
          <w:lang w:eastAsia="ja-JP"/>
        </w:rPr>
      </w:pPr>
      <w:r>
        <w:rPr>
          <w:lang w:eastAsia="ja-JP"/>
        </w:rPr>
        <w:t>which plants and plant products are regulated</w:t>
      </w:r>
    </w:p>
    <w:p w14:paraId="0944C287" w14:textId="5AD81B5C" w:rsidR="00B60F8C" w:rsidRDefault="00BD5F02" w:rsidP="00737CD5">
      <w:pPr>
        <w:pStyle w:val="ListBullet"/>
        <w:rPr>
          <w:lang w:eastAsia="ja-JP"/>
        </w:rPr>
      </w:pPr>
      <w:r>
        <w:rPr>
          <w:lang w:eastAsia="ja-JP"/>
        </w:rPr>
        <w:t>how they will be regulated</w:t>
      </w:r>
    </w:p>
    <w:p w14:paraId="2DE76C31" w14:textId="77777777" w:rsidR="00B60F8C" w:rsidRPr="0040597D" w:rsidRDefault="00B60F8C" w:rsidP="00737CD5">
      <w:pPr>
        <w:pStyle w:val="ListBullet"/>
        <w:rPr>
          <w:lang w:eastAsia="ja-JP"/>
        </w:rPr>
      </w:pPr>
      <w:r w:rsidRPr="0040597D">
        <w:rPr>
          <w:lang w:eastAsia="ja-JP"/>
        </w:rPr>
        <w:t>high-level operational requirements for people and entities in the export supply chain.</w:t>
      </w:r>
    </w:p>
    <w:bookmarkEnd w:id="2"/>
    <w:p w14:paraId="686512F1" w14:textId="17F13EFF" w:rsidR="00B60F8C" w:rsidRDefault="00A618B1">
      <w:pPr>
        <w:rPr>
          <w:lang w:eastAsia="ja-JP"/>
        </w:rPr>
      </w:pPr>
      <w:r>
        <w:rPr>
          <w:lang w:eastAsia="ja-JP"/>
        </w:rPr>
        <w:t>At the commencement of the new legislation, t</w:t>
      </w:r>
      <w:r w:rsidR="00B60F8C" w:rsidRPr="00205A1A">
        <w:rPr>
          <w:lang w:eastAsia="ja-JP"/>
        </w:rPr>
        <w:t xml:space="preserve">he </w:t>
      </w:r>
      <w:r w:rsidR="00224E84">
        <w:rPr>
          <w:lang w:eastAsia="ja-JP"/>
        </w:rPr>
        <w:t>P</w:t>
      </w:r>
      <w:r w:rsidR="00B60F8C">
        <w:rPr>
          <w:lang w:eastAsia="ja-JP"/>
        </w:rPr>
        <w:t>lant</w:t>
      </w:r>
      <w:r w:rsidR="00B60F8C" w:rsidRPr="00205A1A">
        <w:rPr>
          <w:lang w:eastAsia="ja-JP"/>
        </w:rPr>
        <w:t xml:space="preserve"> </w:t>
      </w:r>
      <w:r w:rsidR="00224E84">
        <w:rPr>
          <w:lang w:eastAsia="ja-JP"/>
        </w:rPr>
        <w:t>R</w:t>
      </w:r>
      <w:r w:rsidR="00B60F8C" w:rsidRPr="00205A1A">
        <w:rPr>
          <w:lang w:eastAsia="ja-JP"/>
        </w:rPr>
        <w:t>ules replace</w:t>
      </w:r>
      <w:r w:rsidR="00385544">
        <w:rPr>
          <w:lang w:eastAsia="ja-JP"/>
        </w:rPr>
        <w:t>d</w:t>
      </w:r>
      <w:r w:rsidR="00B60F8C" w:rsidRPr="00205A1A">
        <w:rPr>
          <w:lang w:eastAsia="ja-JP"/>
        </w:rPr>
        <w:t xml:space="preserve"> the </w:t>
      </w:r>
      <w:r>
        <w:rPr>
          <w:lang w:eastAsia="ja-JP"/>
        </w:rPr>
        <w:t xml:space="preserve">previous </w:t>
      </w:r>
      <w:r w:rsidR="00B60F8C">
        <w:rPr>
          <w:lang w:eastAsia="ja-JP"/>
        </w:rPr>
        <w:t>plant export legislation</w:t>
      </w:r>
      <w:r w:rsidR="00B60F8C" w:rsidRPr="00205A1A">
        <w:rPr>
          <w:lang w:eastAsia="ja-JP"/>
        </w:rPr>
        <w:t>, including</w:t>
      </w:r>
      <w:r w:rsidR="00B60F8C">
        <w:rPr>
          <w:lang w:eastAsia="ja-JP"/>
        </w:rPr>
        <w:t>:</w:t>
      </w:r>
    </w:p>
    <w:p w14:paraId="08948823" w14:textId="78376FDF" w:rsidR="00B60F8C" w:rsidRDefault="00B60F8C" w:rsidP="00737CD5">
      <w:pPr>
        <w:pStyle w:val="ListBullet"/>
        <w:rPr>
          <w:lang w:eastAsia="ja-JP"/>
        </w:rPr>
      </w:pPr>
      <w:r w:rsidRPr="00402D32">
        <w:rPr>
          <w:lang w:eastAsia="ja-JP"/>
        </w:rPr>
        <w:t>Export Control (Plants and Plant Products) Order 2011</w:t>
      </w:r>
    </w:p>
    <w:p w14:paraId="45375F5C" w14:textId="77777777" w:rsidR="00B60F8C" w:rsidRDefault="00B60F8C" w:rsidP="00737CD5">
      <w:pPr>
        <w:pStyle w:val="ListBullet"/>
        <w:rPr>
          <w:lang w:eastAsia="ja-JP"/>
        </w:rPr>
      </w:pPr>
      <w:r w:rsidRPr="00B46157">
        <w:rPr>
          <w:lang w:eastAsia="ja-JP"/>
        </w:rPr>
        <w:t>Export Control (Plants and Plant Products—Norfolk Island) Order 2016</w:t>
      </w:r>
    </w:p>
    <w:p w14:paraId="7852328C" w14:textId="78A14E5F" w:rsidR="00B60F8C" w:rsidRDefault="00B60F8C" w:rsidP="00737CD5">
      <w:pPr>
        <w:pStyle w:val="ListBullet"/>
        <w:rPr>
          <w:lang w:eastAsia="ja-JP"/>
        </w:rPr>
      </w:pPr>
      <w:r w:rsidRPr="00B46157">
        <w:rPr>
          <w:lang w:eastAsia="ja-JP"/>
        </w:rPr>
        <w:t>the relevant parts of the Export Control (Prescribed Goods</w:t>
      </w:r>
      <w:r w:rsidR="00884F64">
        <w:rPr>
          <w:lang w:eastAsia="ja-JP"/>
        </w:rPr>
        <w:t>—</w:t>
      </w:r>
      <w:r w:rsidRPr="00B46157">
        <w:rPr>
          <w:lang w:eastAsia="ja-JP"/>
        </w:rPr>
        <w:t>General) Order 2005</w:t>
      </w:r>
      <w:r>
        <w:rPr>
          <w:lang w:eastAsia="ja-JP"/>
        </w:rPr>
        <w:t>.</w:t>
      </w:r>
    </w:p>
    <w:p w14:paraId="046A14CE" w14:textId="2173E549" w:rsidR="00B60F8C" w:rsidRPr="00205A1A" w:rsidRDefault="00B60F8C" w:rsidP="00B60F8C">
      <w:pPr>
        <w:rPr>
          <w:lang w:eastAsia="ja-JP"/>
        </w:rPr>
      </w:pPr>
      <w:r w:rsidRPr="00205A1A">
        <w:rPr>
          <w:lang w:eastAsia="ja-JP"/>
        </w:rPr>
        <w:t xml:space="preserve">The regulatory controls and oversight in the </w:t>
      </w:r>
      <w:r w:rsidR="00A618B1">
        <w:rPr>
          <w:lang w:eastAsia="ja-JP"/>
        </w:rPr>
        <w:t xml:space="preserve">previous legislation </w:t>
      </w:r>
      <w:r w:rsidR="000400A5">
        <w:rPr>
          <w:lang w:eastAsia="ja-JP"/>
        </w:rPr>
        <w:t>has</w:t>
      </w:r>
      <w:r w:rsidR="000400A5" w:rsidRPr="00205A1A">
        <w:rPr>
          <w:lang w:eastAsia="ja-JP"/>
        </w:rPr>
        <w:t xml:space="preserve"> </w:t>
      </w:r>
      <w:r w:rsidRPr="00205A1A">
        <w:rPr>
          <w:lang w:eastAsia="ja-JP"/>
        </w:rPr>
        <w:t>be</w:t>
      </w:r>
      <w:r w:rsidR="000400A5">
        <w:rPr>
          <w:lang w:eastAsia="ja-JP"/>
        </w:rPr>
        <w:t>en</w:t>
      </w:r>
      <w:r w:rsidRPr="00205A1A">
        <w:rPr>
          <w:lang w:eastAsia="ja-JP"/>
        </w:rPr>
        <w:t xml:space="preserve"> maintained.</w:t>
      </w:r>
    </w:p>
    <w:p w14:paraId="27CE73E8" w14:textId="0A2E2AB0" w:rsidR="00B60F8C" w:rsidRPr="003A6FE2" w:rsidRDefault="00B60F8C">
      <w:pPr>
        <w:pStyle w:val="Heading2"/>
      </w:pPr>
      <w:r w:rsidRPr="003A6FE2">
        <w:t>Structure and content</w:t>
      </w:r>
    </w:p>
    <w:p w14:paraId="36414CD8" w14:textId="47BBAD6C" w:rsidR="00B60F8C" w:rsidRPr="00276179" w:rsidRDefault="00B60F8C">
      <w:pPr>
        <w:pStyle w:val="Heading3"/>
        <w:rPr>
          <w:lang w:eastAsia="ja-JP"/>
        </w:rPr>
      </w:pPr>
      <w:r w:rsidRPr="00276179">
        <w:rPr>
          <w:lang w:eastAsia="ja-JP"/>
        </w:rPr>
        <w:t>Chapter 1 Preliminary</w:t>
      </w:r>
    </w:p>
    <w:p w14:paraId="022DD1D7" w14:textId="569C86D8" w:rsidR="00B60F8C" w:rsidRDefault="00B60F8C">
      <w:pPr>
        <w:rPr>
          <w:lang w:eastAsia="ja-JP"/>
        </w:rPr>
      </w:pPr>
      <w:r>
        <w:rPr>
          <w:lang w:eastAsia="ja-JP"/>
        </w:rPr>
        <w:t xml:space="preserve">This chapter outlines the </w:t>
      </w:r>
      <w:r w:rsidR="00BB4BDA">
        <w:rPr>
          <w:lang w:eastAsia="ja-JP"/>
        </w:rPr>
        <w:t>P</w:t>
      </w:r>
      <w:r>
        <w:rPr>
          <w:lang w:eastAsia="ja-JP"/>
        </w:rPr>
        <w:t xml:space="preserve">lant </w:t>
      </w:r>
      <w:r w:rsidR="00BB4BDA">
        <w:rPr>
          <w:lang w:eastAsia="ja-JP"/>
        </w:rPr>
        <w:t>R</w:t>
      </w:r>
      <w:r>
        <w:rPr>
          <w:lang w:eastAsia="ja-JP"/>
        </w:rPr>
        <w:t>ules and defines key terms</w:t>
      </w:r>
      <w:r w:rsidR="00884F64">
        <w:rPr>
          <w:lang w:eastAsia="ja-JP"/>
        </w:rPr>
        <w:t>.</w:t>
      </w:r>
    </w:p>
    <w:p w14:paraId="32D7D0A4" w14:textId="5A7A9231" w:rsidR="00B60F8C" w:rsidRPr="00276179" w:rsidRDefault="00B60F8C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2 Exporting </w:t>
      </w:r>
      <w:r>
        <w:rPr>
          <w:lang w:eastAsia="ja-JP"/>
        </w:rPr>
        <w:t>g</w:t>
      </w:r>
      <w:r w:rsidRPr="00276179">
        <w:rPr>
          <w:lang w:eastAsia="ja-JP"/>
        </w:rPr>
        <w:t>oods</w:t>
      </w:r>
    </w:p>
    <w:p w14:paraId="1C6BEB84" w14:textId="391D6593" w:rsidR="00B60F8C" w:rsidRDefault="00B60F8C">
      <w:pPr>
        <w:rPr>
          <w:lang w:eastAsia="ja-JP"/>
        </w:rPr>
      </w:pPr>
      <w:r>
        <w:rPr>
          <w:lang w:eastAsia="ja-JP"/>
        </w:rPr>
        <w:t>This chapter s</w:t>
      </w:r>
      <w:r w:rsidRPr="00205A1A">
        <w:rPr>
          <w:lang w:eastAsia="ja-JP"/>
        </w:rPr>
        <w:t xml:space="preserve">ets out </w:t>
      </w:r>
      <w:r>
        <w:rPr>
          <w:lang w:eastAsia="ja-JP"/>
        </w:rPr>
        <w:t>which</w:t>
      </w:r>
      <w:r w:rsidRPr="00205A1A">
        <w:rPr>
          <w:lang w:eastAsia="ja-JP"/>
        </w:rPr>
        <w:t xml:space="preserve"> </w:t>
      </w:r>
      <w:r>
        <w:rPr>
          <w:lang w:eastAsia="ja-JP"/>
        </w:rPr>
        <w:t>plants and plant</w:t>
      </w:r>
      <w:r w:rsidRPr="00205A1A">
        <w:rPr>
          <w:lang w:eastAsia="ja-JP"/>
        </w:rPr>
        <w:t xml:space="preserve"> products are prescribed goods</w:t>
      </w:r>
      <w:r>
        <w:rPr>
          <w:lang w:eastAsia="ja-JP"/>
        </w:rPr>
        <w:t xml:space="preserve">. These are the goods that will </w:t>
      </w:r>
      <w:r w:rsidRPr="00205A1A">
        <w:rPr>
          <w:lang w:eastAsia="ja-JP"/>
        </w:rPr>
        <w:t>be regulated under the new export legislation.</w:t>
      </w:r>
    </w:p>
    <w:p w14:paraId="36D93D7C" w14:textId="77777777" w:rsidR="003012FB" w:rsidRDefault="00B60F8C" w:rsidP="00B60F8C">
      <w:pPr>
        <w:rPr>
          <w:lang w:eastAsia="ja-JP"/>
        </w:rPr>
      </w:pPr>
      <w:r>
        <w:rPr>
          <w:lang w:eastAsia="ja-JP"/>
        </w:rPr>
        <w:t xml:space="preserve">It </w:t>
      </w:r>
      <w:r w:rsidRPr="00205A1A">
        <w:rPr>
          <w:lang w:eastAsia="ja-JP"/>
        </w:rPr>
        <w:t xml:space="preserve">specifies conditions for the export of prescribed </w:t>
      </w:r>
      <w:r>
        <w:rPr>
          <w:lang w:eastAsia="ja-JP"/>
        </w:rPr>
        <w:t>plants</w:t>
      </w:r>
      <w:r w:rsidRPr="00205A1A">
        <w:rPr>
          <w:lang w:eastAsia="ja-JP"/>
        </w:rPr>
        <w:t xml:space="preserve"> and </w:t>
      </w:r>
      <w:r>
        <w:rPr>
          <w:lang w:eastAsia="ja-JP"/>
        </w:rPr>
        <w:t>plant</w:t>
      </w:r>
      <w:r w:rsidRPr="00205A1A">
        <w:rPr>
          <w:lang w:eastAsia="ja-JP"/>
        </w:rPr>
        <w:t xml:space="preserve"> products.</w:t>
      </w:r>
    </w:p>
    <w:p w14:paraId="1A412151" w14:textId="3BD1490D" w:rsidR="00B60F8C" w:rsidRPr="00205A1A" w:rsidRDefault="00B60F8C" w:rsidP="00B60F8C">
      <w:pPr>
        <w:rPr>
          <w:lang w:eastAsia="ja-JP"/>
        </w:rPr>
      </w:pPr>
      <w:r w:rsidRPr="00E67E53">
        <w:rPr>
          <w:lang w:eastAsia="ja-JP"/>
        </w:rPr>
        <w:t>In some cases</w:t>
      </w:r>
      <w:r>
        <w:rPr>
          <w:lang w:eastAsia="ja-JP"/>
        </w:rPr>
        <w:t>,</w:t>
      </w:r>
      <w:r w:rsidRPr="00E67E53">
        <w:rPr>
          <w:lang w:eastAsia="ja-JP"/>
        </w:rPr>
        <w:t xml:space="preserve"> exporters can apply for an exemption from </w:t>
      </w:r>
      <w:r>
        <w:rPr>
          <w:lang w:eastAsia="ja-JP"/>
        </w:rPr>
        <w:t xml:space="preserve">certain </w:t>
      </w:r>
      <w:r w:rsidRPr="00E67E53">
        <w:rPr>
          <w:lang w:eastAsia="ja-JP"/>
        </w:rPr>
        <w:t xml:space="preserve">provisions in the </w:t>
      </w:r>
      <w:r w:rsidRPr="005D117D">
        <w:rPr>
          <w:lang w:eastAsia="ja-JP"/>
        </w:rPr>
        <w:t xml:space="preserve">Act </w:t>
      </w:r>
      <w:r w:rsidRPr="00E67E53">
        <w:rPr>
          <w:lang w:eastAsia="ja-JP"/>
        </w:rPr>
        <w:t xml:space="preserve">and the </w:t>
      </w:r>
      <w:r w:rsidR="00BB4BDA">
        <w:rPr>
          <w:lang w:eastAsia="ja-JP"/>
        </w:rPr>
        <w:t>P</w:t>
      </w:r>
      <w:r w:rsidRPr="00E67E53">
        <w:rPr>
          <w:lang w:eastAsia="ja-JP"/>
        </w:rPr>
        <w:t xml:space="preserve">lant </w:t>
      </w:r>
      <w:r w:rsidR="00BB4BDA">
        <w:rPr>
          <w:lang w:eastAsia="ja-JP"/>
        </w:rPr>
        <w:t>R</w:t>
      </w:r>
      <w:r w:rsidRPr="00E67E53">
        <w:rPr>
          <w:lang w:eastAsia="ja-JP"/>
        </w:rPr>
        <w:t xml:space="preserve">ules. Chapter 2 details </w:t>
      </w:r>
      <w:r>
        <w:rPr>
          <w:lang w:eastAsia="ja-JP"/>
        </w:rPr>
        <w:t>what is required for an exemption</w:t>
      </w:r>
      <w:r w:rsidRPr="00E67E53">
        <w:rPr>
          <w:lang w:eastAsia="ja-JP"/>
        </w:rPr>
        <w:t>, as well as</w:t>
      </w:r>
      <w:r w:rsidRPr="00205A1A">
        <w:rPr>
          <w:lang w:eastAsia="ja-JP"/>
        </w:rPr>
        <w:t>:</w:t>
      </w:r>
    </w:p>
    <w:p w14:paraId="4FA7E2BD" w14:textId="77777777" w:rsidR="00B60F8C" w:rsidRPr="00844913" w:rsidRDefault="00B60F8C" w:rsidP="00003953">
      <w:pPr>
        <w:pStyle w:val="ListBullet"/>
      </w:pPr>
      <w:r w:rsidRPr="00844913">
        <w:t>applications for an exemption</w:t>
      </w:r>
    </w:p>
    <w:p w14:paraId="76B23CFB" w14:textId="77777777" w:rsidR="00B60F8C" w:rsidRPr="00844913" w:rsidRDefault="00B60F8C">
      <w:pPr>
        <w:pStyle w:val="ListBullet"/>
      </w:pPr>
      <w:r w:rsidRPr="00844913">
        <w:lastRenderedPageBreak/>
        <w:t>conditions of exemption</w:t>
      </w:r>
    </w:p>
    <w:p w14:paraId="2EDA5E99" w14:textId="3D10A0A1" w:rsidR="00B60F8C" w:rsidRPr="00844913" w:rsidRDefault="00B60F8C">
      <w:pPr>
        <w:pStyle w:val="ListBullet"/>
      </w:pPr>
      <w:r w:rsidRPr="00844913">
        <w:t>the period of effect of an exemption</w:t>
      </w:r>
    </w:p>
    <w:p w14:paraId="0A6BDF57" w14:textId="77777777" w:rsidR="00B60F8C" w:rsidRPr="00844913" w:rsidRDefault="00B60F8C">
      <w:pPr>
        <w:pStyle w:val="ListBullet"/>
      </w:pPr>
      <w:r w:rsidRPr="00844913">
        <w:t>matters the Secretary of the Department of Agriculture, Water and the Environment must consider when granting or revoking the exemption.</w:t>
      </w:r>
    </w:p>
    <w:p w14:paraId="6763B238" w14:textId="77777777" w:rsidR="00B60F8C" w:rsidRDefault="00B60F8C">
      <w:pPr>
        <w:rPr>
          <w:lang w:eastAsia="ja-JP"/>
        </w:rPr>
      </w:pPr>
      <w:r>
        <w:rPr>
          <w:lang w:eastAsia="ja-JP"/>
        </w:rPr>
        <w:t>Chapter 2 also covers the application and issue of government certificates such as phytosanitary certificates.</w:t>
      </w:r>
    </w:p>
    <w:p w14:paraId="76B8EF39" w14:textId="2E5092D3" w:rsidR="00B60F8C" w:rsidRPr="00276179" w:rsidRDefault="00B60F8C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3 Accredited </w:t>
      </w:r>
      <w:r>
        <w:rPr>
          <w:lang w:eastAsia="ja-JP"/>
        </w:rPr>
        <w:t>p</w:t>
      </w:r>
      <w:r w:rsidRPr="00276179">
        <w:rPr>
          <w:lang w:eastAsia="ja-JP"/>
        </w:rPr>
        <w:t>roperties</w:t>
      </w:r>
    </w:p>
    <w:p w14:paraId="2FBE5897" w14:textId="77777777" w:rsidR="00B60F8C" w:rsidRPr="00205A1A" w:rsidRDefault="00B60F8C">
      <w:pPr>
        <w:rPr>
          <w:lang w:eastAsia="ja-JP"/>
        </w:rPr>
      </w:pPr>
      <w:r>
        <w:rPr>
          <w:lang w:eastAsia="ja-JP"/>
        </w:rPr>
        <w:t>This chapter s</w:t>
      </w:r>
      <w:r w:rsidRPr="00205A1A">
        <w:rPr>
          <w:lang w:eastAsia="ja-JP"/>
        </w:rPr>
        <w:t>ets out the:</w:t>
      </w:r>
    </w:p>
    <w:p w14:paraId="34596E80" w14:textId="77777777" w:rsidR="00B60F8C" w:rsidRDefault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requirements for </w:t>
      </w:r>
      <w:r>
        <w:rPr>
          <w:lang w:eastAsia="ja-JP"/>
        </w:rPr>
        <w:t>accreditation of a property</w:t>
      </w:r>
    </w:p>
    <w:p w14:paraId="65F0EF93" w14:textId="77777777" w:rsidR="00B60F8C" w:rsidRDefault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conditions </w:t>
      </w:r>
      <w:r>
        <w:rPr>
          <w:lang w:eastAsia="ja-JP"/>
        </w:rPr>
        <w:t xml:space="preserve">and obligations </w:t>
      </w:r>
      <w:r w:rsidRPr="00205A1A">
        <w:rPr>
          <w:lang w:eastAsia="ja-JP"/>
        </w:rPr>
        <w:t xml:space="preserve">of </w:t>
      </w:r>
      <w:r>
        <w:rPr>
          <w:lang w:eastAsia="ja-JP"/>
        </w:rPr>
        <w:t>accreditation</w:t>
      </w:r>
    </w:p>
    <w:p w14:paraId="6723DAC1" w14:textId="31F04373" w:rsidR="00B60F8C" w:rsidRPr="00205A1A" w:rsidRDefault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process for </w:t>
      </w:r>
      <w:r>
        <w:rPr>
          <w:lang w:eastAsia="ja-JP"/>
        </w:rPr>
        <w:t xml:space="preserve">varying, </w:t>
      </w:r>
      <w:r w:rsidRPr="00205A1A">
        <w:rPr>
          <w:lang w:eastAsia="ja-JP"/>
        </w:rPr>
        <w:t xml:space="preserve">suspending and revoking </w:t>
      </w:r>
      <w:r>
        <w:rPr>
          <w:lang w:eastAsia="ja-JP"/>
        </w:rPr>
        <w:t>accreditation</w:t>
      </w:r>
      <w:r w:rsidRPr="00205A1A">
        <w:rPr>
          <w:lang w:eastAsia="ja-JP"/>
        </w:rPr>
        <w:t>.</w:t>
      </w:r>
    </w:p>
    <w:p w14:paraId="658BFDB8" w14:textId="57BCF4A1" w:rsidR="00B60F8C" w:rsidRPr="00276179" w:rsidRDefault="00B60F8C" w:rsidP="00B60F8C">
      <w:pPr>
        <w:pStyle w:val="Heading3"/>
        <w:rPr>
          <w:lang w:eastAsia="ja-JP"/>
        </w:rPr>
      </w:pPr>
      <w:r w:rsidRPr="00276179">
        <w:rPr>
          <w:lang w:eastAsia="ja-JP"/>
        </w:rPr>
        <w:t>Chapter 4 Registered establishments</w:t>
      </w:r>
    </w:p>
    <w:p w14:paraId="4691735B" w14:textId="77777777" w:rsidR="00B60F8C" w:rsidRPr="00205A1A" w:rsidRDefault="00B60F8C" w:rsidP="00B60F8C">
      <w:pPr>
        <w:rPr>
          <w:lang w:eastAsia="ja-JP"/>
        </w:rPr>
      </w:pPr>
      <w:r>
        <w:rPr>
          <w:lang w:eastAsia="ja-JP"/>
        </w:rPr>
        <w:t>This chapter s</w:t>
      </w:r>
      <w:r w:rsidRPr="00205A1A">
        <w:rPr>
          <w:lang w:eastAsia="ja-JP"/>
        </w:rPr>
        <w:t>ets out the:</w:t>
      </w:r>
    </w:p>
    <w:p w14:paraId="55033908" w14:textId="77777777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>requirements for registration of an establishment</w:t>
      </w:r>
    </w:p>
    <w:p w14:paraId="77AFD2FA" w14:textId="77777777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conditions </w:t>
      </w:r>
      <w:r>
        <w:rPr>
          <w:lang w:eastAsia="ja-JP"/>
        </w:rPr>
        <w:t xml:space="preserve">and obligations </w:t>
      </w:r>
      <w:r w:rsidRPr="00205A1A">
        <w:rPr>
          <w:lang w:eastAsia="ja-JP"/>
        </w:rPr>
        <w:t>of registration</w:t>
      </w:r>
    </w:p>
    <w:p w14:paraId="2F3DB051" w14:textId="69586186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process for </w:t>
      </w:r>
      <w:r>
        <w:rPr>
          <w:lang w:eastAsia="ja-JP"/>
        </w:rPr>
        <w:t xml:space="preserve">varying, </w:t>
      </w:r>
      <w:r w:rsidRPr="00205A1A">
        <w:rPr>
          <w:lang w:eastAsia="ja-JP"/>
        </w:rPr>
        <w:t>suspending and revoking registration.</w:t>
      </w:r>
    </w:p>
    <w:p w14:paraId="6CA1D1B0" w14:textId="673A4A9F" w:rsidR="00B60F8C" w:rsidRPr="00276179" w:rsidRDefault="00B60F8C" w:rsidP="00B60F8C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5 </w:t>
      </w:r>
      <w:r w:rsidRPr="00565319">
        <w:rPr>
          <w:lang w:eastAsia="ja-JP"/>
        </w:rPr>
        <w:t>Approved arrang</w:t>
      </w:r>
      <w:r w:rsidRPr="00276179">
        <w:rPr>
          <w:lang w:eastAsia="ja-JP"/>
        </w:rPr>
        <w:t>ements</w:t>
      </w:r>
    </w:p>
    <w:p w14:paraId="16F64AF8" w14:textId="2D223487" w:rsidR="00B60F8C" w:rsidRDefault="00B60F8C" w:rsidP="00B60F8C">
      <w:pPr>
        <w:rPr>
          <w:lang w:eastAsia="ja-JP"/>
        </w:rPr>
      </w:pPr>
      <w:r>
        <w:rPr>
          <w:lang w:eastAsia="ja-JP"/>
        </w:rPr>
        <w:t>This chapter does not apply</w:t>
      </w:r>
      <w:r w:rsidRPr="00205A1A">
        <w:rPr>
          <w:lang w:eastAsia="ja-JP"/>
        </w:rPr>
        <w:t xml:space="preserve"> to p</w:t>
      </w:r>
      <w:r>
        <w:rPr>
          <w:lang w:eastAsia="ja-JP"/>
        </w:rPr>
        <w:t xml:space="preserve">lants and plant </w:t>
      </w:r>
      <w:r w:rsidRPr="00205A1A">
        <w:rPr>
          <w:lang w:eastAsia="ja-JP"/>
        </w:rPr>
        <w:t>products.</w:t>
      </w:r>
    </w:p>
    <w:p w14:paraId="01A6D3A8" w14:textId="371D1B01" w:rsidR="00B60F8C" w:rsidRPr="00276179" w:rsidRDefault="00B60F8C" w:rsidP="00B60F8C">
      <w:pPr>
        <w:pStyle w:val="Heading3"/>
        <w:rPr>
          <w:lang w:eastAsia="ja-JP"/>
        </w:rPr>
      </w:pPr>
      <w:r w:rsidRPr="00276179">
        <w:rPr>
          <w:lang w:eastAsia="ja-JP"/>
        </w:rPr>
        <w:t>Chapter 6 Export licences</w:t>
      </w:r>
    </w:p>
    <w:p w14:paraId="7812730C" w14:textId="7F90F262" w:rsidR="00B60F8C" w:rsidRDefault="00B60F8C" w:rsidP="00B60F8C">
      <w:pPr>
        <w:rPr>
          <w:lang w:eastAsia="ja-JP"/>
        </w:rPr>
      </w:pPr>
      <w:r>
        <w:rPr>
          <w:lang w:eastAsia="ja-JP"/>
        </w:rPr>
        <w:t>This chapter does not apply</w:t>
      </w:r>
      <w:r w:rsidRPr="00205A1A">
        <w:rPr>
          <w:lang w:eastAsia="ja-JP"/>
        </w:rPr>
        <w:t xml:space="preserve"> to p</w:t>
      </w:r>
      <w:r>
        <w:rPr>
          <w:lang w:eastAsia="ja-JP"/>
        </w:rPr>
        <w:t xml:space="preserve">lants and plant </w:t>
      </w:r>
      <w:r w:rsidRPr="00205A1A">
        <w:rPr>
          <w:lang w:eastAsia="ja-JP"/>
        </w:rPr>
        <w:t>products.</w:t>
      </w:r>
    </w:p>
    <w:p w14:paraId="76D49B34" w14:textId="4113180B" w:rsidR="00B60F8C" w:rsidRPr="00276179" w:rsidRDefault="00B60F8C" w:rsidP="00B60F8C">
      <w:pPr>
        <w:pStyle w:val="Heading3"/>
        <w:rPr>
          <w:lang w:eastAsia="ja-JP"/>
        </w:rPr>
      </w:pPr>
      <w:r w:rsidRPr="00276179">
        <w:rPr>
          <w:lang w:eastAsia="ja-JP"/>
        </w:rPr>
        <w:t>Chapter 7 Export permits</w:t>
      </w:r>
    </w:p>
    <w:p w14:paraId="6DE975D0" w14:textId="269C9C73" w:rsidR="00B60F8C" w:rsidRPr="00205A1A" w:rsidRDefault="00B60F8C" w:rsidP="00B60F8C">
      <w:pPr>
        <w:rPr>
          <w:lang w:eastAsia="ja-JP"/>
        </w:rPr>
      </w:pPr>
      <w:r>
        <w:rPr>
          <w:lang w:eastAsia="ja-JP"/>
        </w:rPr>
        <w:t>This chapter s</w:t>
      </w:r>
      <w:r w:rsidRPr="00205A1A">
        <w:rPr>
          <w:lang w:eastAsia="ja-JP"/>
        </w:rPr>
        <w:t xml:space="preserve">pecifies </w:t>
      </w:r>
      <w:r>
        <w:rPr>
          <w:lang w:eastAsia="ja-JP"/>
        </w:rPr>
        <w:t>the validity periods for</w:t>
      </w:r>
      <w:r w:rsidRPr="00205A1A">
        <w:rPr>
          <w:lang w:eastAsia="ja-JP"/>
        </w:rPr>
        <w:t xml:space="preserve"> export permit</w:t>
      </w:r>
      <w:r>
        <w:rPr>
          <w:lang w:eastAsia="ja-JP"/>
        </w:rPr>
        <w:t>s.</w:t>
      </w:r>
      <w:r w:rsidRPr="00205A1A">
        <w:rPr>
          <w:lang w:eastAsia="ja-JP"/>
        </w:rPr>
        <w:t xml:space="preserve"> </w:t>
      </w:r>
      <w:r w:rsidR="00E56E37">
        <w:rPr>
          <w:lang w:eastAsia="ja-JP"/>
        </w:rPr>
        <w:t>It also</w:t>
      </w:r>
      <w:r>
        <w:rPr>
          <w:lang w:eastAsia="ja-JP"/>
        </w:rPr>
        <w:t xml:space="preserve"> </w:t>
      </w:r>
      <w:r w:rsidRPr="00205A1A">
        <w:rPr>
          <w:lang w:eastAsia="ja-JP"/>
        </w:rPr>
        <w:t>sets out:</w:t>
      </w:r>
    </w:p>
    <w:p w14:paraId="30598F05" w14:textId="4CAF96C2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conditions of </w:t>
      </w:r>
      <w:r>
        <w:rPr>
          <w:lang w:eastAsia="ja-JP"/>
        </w:rPr>
        <w:t>permits</w:t>
      </w:r>
      <w:r w:rsidRPr="00B15422">
        <w:rPr>
          <w:lang w:eastAsia="ja-JP"/>
        </w:rPr>
        <w:t xml:space="preserve"> </w:t>
      </w:r>
      <w:r>
        <w:rPr>
          <w:lang w:eastAsia="ja-JP"/>
        </w:rPr>
        <w:t>and permit holder</w:t>
      </w:r>
      <w:r w:rsidR="00EA5293">
        <w:rPr>
          <w:lang w:eastAsia="ja-JP"/>
        </w:rPr>
        <w:t>'</w:t>
      </w:r>
      <w:r>
        <w:rPr>
          <w:lang w:eastAsia="ja-JP"/>
        </w:rPr>
        <w:t>s obligations</w:t>
      </w:r>
    </w:p>
    <w:p w14:paraId="76D0805D" w14:textId="1A82FA4F" w:rsidR="00B60F8C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>circumstances</w:t>
      </w:r>
      <w:r>
        <w:rPr>
          <w:lang w:eastAsia="ja-JP"/>
        </w:rPr>
        <w:t xml:space="preserve"> in addition</w:t>
      </w:r>
      <w:r w:rsidRPr="00205A1A">
        <w:rPr>
          <w:lang w:eastAsia="ja-JP"/>
        </w:rPr>
        <w:t xml:space="preserve"> to those listed in the </w:t>
      </w:r>
      <w:r w:rsidRPr="005D117D">
        <w:rPr>
          <w:lang w:eastAsia="ja-JP"/>
        </w:rPr>
        <w:t>Act</w:t>
      </w:r>
      <w:r w:rsidRPr="00205A1A">
        <w:rPr>
          <w:lang w:eastAsia="ja-JP"/>
        </w:rPr>
        <w:t xml:space="preserve"> </w:t>
      </w:r>
      <w:r>
        <w:rPr>
          <w:lang w:eastAsia="ja-JP"/>
        </w:rPr>
        <w:t>when</w:t>
      </w:r>
      <w:r w:rsidRPr="00205A1A">
        <w:rPr>
          <w:lang w:eastAsia="ja-JP"/>
        </w:rPr>
        <w:t xml:space="preserve"> an export permit may be</w:t>
      </w:r>
      <w:r>
        <w:rPr>
          <w:lang w:eastAsia="ja-JP"/>
        </w:rPr>
        <w:t xml:space="preserve"> varied,</w:t>
      </w:r>
      <w:r w:rsidR="00305FC9">
        <w:rPr>
          <w:lang w:eastAsia="ja-JP"/>
        </w:rPr>
        <w:t xml:space="preserve"> </w:t>
      </w:r>
      <w:r w:rsidRPr="00205A1A">
        <w:rPr>
          <w:lang w:eastAsia="ja-JP"/>
        </w:rPr>
        <w:t>suspended and revoked</w:t>
      </w:r>
    </w:p>
    <w:p w14:paraId="37D96FEA" w14:textId="77777777" w:rsidR="00B60F8C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other matters, including </w:t>
      </w:r>
      <w:r>
        <w:rPr>
          <w:lang w:eastAsia="ja-JP"/>
        </w:rPr>
        <w:t>when an export permit is no longer in force</w:t>
      </w:r>
      <w:r w:rsidRPr="00205A1A">
        <w:rPr>
          <w:lang w:eastAsia="ja-JP"/>
        </w:rPr>
        <w:t>.</w:t>
      </w:r>
    </w:p>
    <w:p w14:paraId="2BA72EDD" w14:textId="2CC7B806" w:rsidR="00B60F8C" w:rsidRPr="00276179" w:rsidRDefault="00B60F8C" w:rsidP="00844913">
      <w:pPr>
        <w:pStyle w:val="Heading3"/>
        <w:ind w:left="0" w:firstLine="0"/>
        <w:rPr>
          <w:lang w:eastAsia="ja-JP"/>
        </w:rPr>
      </w:pPr>
      <w:r w:rsidRPr="00276179">
        <w:rPr>
          <w:lang w:eastAsia="ja-JP"/>
        </w:rPr>
        <w:t>Chapter 8 Other matters relating to export</w:t>
      </w:r>
    </w:p>
    <w:p w14:paraId="47BD995E" w14:textId="77777777" w:rsidR="00B60F8C" w:rsidRDefault="00B60F8C" w:rsidP="00B60F8C">
      <w:pPr>
        <w:rPr>
          <w:lang w:eastAsia="ja-JP"/>
        </w:rPr>
      </w:pPr>
      <w:r w:rsidRPr="007E6ECE">
        <w:rPr>
          <w:lang w:eastAsia="ja-JP"/>
        </w:rPr>
        <w:t>When an exporter gives notice of intention to export, they must meet certain requirements. Chapter 8 sets out these requirements, which include:</w:t>
      </w:r>
    </w:p>
    <w:p w14:paraId="4FB1971F" w14:textId="77777777" w:rsidR="00B60F8C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giving notice as soon as </w:t>
      </w:r>
      <w:r>
        <w:rPr>
          <w:lang w:eastAsia="ja-JP"/>
        </w:rPr>
        <w:t>possible</w:t>
      </w:r>
    </w:p>
    <w:p w14:paraId="6AFF5048" w14:textId="77777777" w:rsidR="00B60F8C" w:rsidRDefault="00B60F8C" w:rsidP="00B60F8C">
      <w:pPr>
        <w:pStyle w:val="ListBullet"/>
        <w:rPr>
          <w:lang w:eastAsia="ja-JP"/>
        </w:rPr>
      </w:pPr>
      <w:r>
        <w:rPr>
          <w:lang w:eastAsia="ja-JP"/>
        </w:rPr>
        <w:t>who the notice must be submitted to</w:t>
      </w:r>
    </w:p>
    <w:p w14:paraId="5FB7DA0F" w14:textId="77777777" w:rsidR="00B60F8C" w:rsidRPr="00205A1A" w:rsidRDefault="00B60F8C" w:rsidP="00B60F8C">
      <w:pPr>
        <w:pStyle w:val="ListBullet"/>
        <w:rPr>
          <w:lang w:eastAsia="ja-JP"/>
        </w:rPr>
      </w:pPr>
      <w:r>
        <w:rPr>
          <w:lang w:eastAsia="ja-JP"/>
        </w:rPr>
        <w:t>providing additional</w:t>
      </w:r>
      <w:r w:rsidRPr="0066415E">
        <w:rPr>
          <w:lang w:eastAsia="ja-JP"/>
        </w:rPr>
        <w:t xml:space="preserve"> </w:t>
      </w:r>
      <w:r>
        <w:rPr>
          <w:lang w:eastAsia="ja-JP"/>
        </w:rPr>
        <w:t>or corrected information when it becomes known</w:t>
      </w:r>
      <w:r w:rsidRPr="00205A1A">
        <w:rPr>
          <w:lang w:eastAsia="ja-JP"/>
        </w:rPr>
        <w:t>.</w:t>
      </w:r>
    </w:p>
    <w:p w14:paraId="2B354DB0" w14:textId="77777777" w:rsidR="00B60F8C" w:rsidRPr="00205A1A" w:rsidRDefault="00B60F8C" w:rsidP="00B60F8C">
      <w:pPr>
        <w:rPr>
          <w:lang w:eastAsia="ja-JP"/>
        </w:rPr>
      </w:pPr>
      <w:r>
        <w:rPr>
          <w:lang w:eastAsia="ja-JP"/>
        </w:rPr>
        <w:t>This c</w:t>
      </w:r>
      <w:r w:rsidRPr="00205A1A">
        <w:rPr>
          <w:lang w:eastAsia="ja-JP"/>
        </w:rPr>
        <w:t>hapter</w:t>
      </w:r>
      <w:r>
        <w:rPr>
          <w:lang w:eastAsia="ja-JP"/>
        </w:rPr>
        <w:t xml:space="preserve"> </w:t>
      </w:r>
      <w:r w:rsidRPr="00205A1A">
        <w:rPr>
          <w:lang w:eastAsia="ja-JP"/>
        </w:rPr>
        <w:t>also sets out:</w:t>
      </w:r>
    </w:p>
    <w:p w14:paraId="36F2236B" w14:textId="77777777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>the requirements for trade descriptions</w:t>
      </w:r>
    </w:p>
    <w:p w14:paraId="0245887B" w14:textId="1291B808" w:rsidR="00B60F8C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lastRenderedPageBreak/>
        <w:t>the use, manufacture and possession of official marks and official marking devices.</w:t>
      </w:r>
      <w:r>
        <w:rPr>
          <w:lang w:eastAsia="ja-JP"/>
        </w:rPr>
        <w:t xml:space="preserve"> </w:t>
      </w:r>
      <w:r w:rsidRPr="007E6ECE">
        <w:rPr>
          <w:lang w:eastAsia="ja-JP"/>
        </w:rPr>
        <w:t xml:space="preserve">The </w:t>
      </w:r>
      <w:r w:rsidR="00190C4A">
        <w:rPr>
          <w:lang w:eastAsia="ja-JP"/>
        </w:rPr>
        <w:t>P</w:t>
      </w:r>
      <w:r w:rsidRPr="007E6ECE">
        <w:rPr>
          <w:lang w:eastAsia="ja-JP"/>
        </w:rPr>
        <w:t xml:space="preserve">lant </w:t>
      </w:r>
      <w:r w:rsidR="00190C4A">
        <w:rPr>
          <w:lang w:eastAsia="ja-JP"/>
        </w:rPr>
        <w:t>R</w:t>
      </w:r>
      <w:r w:rsidRPr="007E6ECE">
        <w:rPr>
          <w:lang w:eastAsia="ja-JP"/>
        </w:rPr>
        <w:t xml:space="preserve">ules mention several official marks. Only </w:t>
      </w:r>
      <w:r>
        <w:rPr>
          <w:lang w:eastAsia="ja-JP"/>
        </w:rPr>
        <w:t>2</w:t>
      </w:r>
      <w:r w:rsidRPr="007E6ECE">
        <w:rPr>
          <w:lang w:eastAsia="ja-JP"/>
        </w:rPr>
        <w:t xml:space="preserve"> of these are currently relevant for plant exports:</w:t>
      </w:r>
    </w:p>
    <w:p w14:paraId="40918A89" w14:textId="51F4C56B" w:rsidR="00B60F8C" w:rsidRDefault="00B60F8C" w:rsidP="00B60F8C">
      <w:pPr>
        <w:pStyle w:val="ListBullet2"/>
        <w:rPr>
          <w:lang w:eastAsia="ja-JP"/>
        </w:rPr>
      </w:pPr>
      <w:r>
        <w:rPr>
          <w:lang w:eastAsia="ja-JP"/>
        </w:rPr>
        <w:t>the Australian Government logo, which is applied to a government certificate when it is granted</w:t>
      </w:r>
    </w:p>
    <w:p w14:paraId="2A7C77EC" w14:textId="3CB49A6C" w:rsidR="00B60F8C" w:rsidRDefault="00B60F8C" w:rsidP="00B60F8C">
      <w:pPr>
        <w:pStyle w:val="ListBullet2"/>
        <w:rPr>
          <w:lang w:eastAsia="ja-JP"/>
        </w:rPr>
      </w:pPr>
      <w:r>
        <w:rPr>
          <w:lang w:eastAsia="ja-JP"/>
        </w:rPr>
        <w:t>the bolt seal, where Japan have an importing country requirement for the application of the bolt seal to containers</w:t>
      </w:r>
      <w:r w:rsidR="00305FC9">
        <w:rPr>
          <w:lang w:eastAsia="ja-JP"/>
        </w:rPr>
        <w:t>.</w:t>
      </w:r>
    </w:p>
    <w:p w14:paraId="04117487" w14:textId="58EF7AA2" w:rsidR="00B60F8C" w:rsidRPr="00276179" w:rsidRDefault="00B60F8C" w:rsidP="00B60F8C">
      <w:pPr>
        <w:pStyle w:val="Heading3"/>
        <w:rPr>
          <w:szCs w:val="28"/>
          <w:lang w:eastAsia="ja-JP"/>
        </w:rPr>
      </w:pPr>
      <w:r w:rsidRPr="00276179">
        <w:rPr>
          <w:szCs w:val="28"/>
          <w:lang w:eastAsia="ja-JP"/>
        </w:rPr>
        <w:t>Chapter 9 Powers an</w:t>
      </w:r>
      <w:r w:rsidRPr="00923D10">
        <w:rPr>
          <w:szCs w:val="28"/>
          <w:lang w:eastAsia="ja-JP"/>
        </w:rPr>
        <w:t>d offici</w:t>
      </w:r>
      <w:r w:rsidRPr="00276179">
        <w:rPr>
          <w:szCs w:val="28"/>
          <w:lang w:eastAsia="ja-JP"/>
        </w:rPr>
        <w:t>als</w:t>
      </w:r>
    </w:p>
    <w:p w14:paraId="2CAFFFB7" w14:textId="77777777" w:rsidR="00B60F8C" w:rsidRDefault="00B60F8C" w:rsidP="00B60F8C">
      <w:pPr>
        <w:rPr>
          <w:lang w:eastAsia="ja-JP"/>
        </w:rPr>
      </w:pPr>
      <w:r>
        <w:rPr>
          <w:lang w:eastAsia="ja-JP"/>
        </w:rPr>
        <w:t>This chapter covers audits, including:</w:t>
      </w:r>
    </w:p>
    <w:p w14:paraId="76F1CA72" w14:textId="77777777" w:rsidR="00B60F8C" w:rsidRPr="00844913" w:rsidRDefault="00B60F8C" w:rsidP="00003953">
      <w:pPr>
        <w:pStyle w:val="ListBullet"/>
      </w:pPr>
      <w:r w:rsidRPr="00844913">
        <w:t>how an audit is to be conducted</w:t>
      </w:r>
    </w:p>
    <w:p w14:paraId="34F075BF" w14:textId="77777777" w:rsidR="00B60F8C" w:rsidRPr="00844913" w:rsidRDefault="00B60F8C">
      <w:pPr>
        <w:pStyle w:val="ListBullet"/>
      </w:pPr>
      <w:r w:rsidRPr="00844913">
        <w:t>what the audit report must include</w:t>
      </w:r>
    </w:p>
    <w:p w14:paraId="07E1DD75" w14:textId="7794FD18" w:rsidR="00B60F8C" w:rsidRPr="00844913" w:rsidRDefault="00B60F8C">
      <w:pPr>
        <w:pStyle w:val="ListBullet"/>
      </w:pPr>
      <w:r w:rsidRPr="00844913">
        <w:t>the process for dealing with any non‑compliance found during an audit.</w:t>
      </w:r>
    </w:p>
    <w:p w14:paraId="45A60066" w14:textId="7B4DC532" w:rsidR="00B60F8C" w:rsidRDefault="00B60F8C" w:rsidP="00B60F8C">
      <w:pPr>
        <w:rPr>
          <w:lang w:eastAsia="ja-JP"/>
        </w:rPr>
      </w:pPr>
      <w:r>
        <w:rPr>
          <w:lang w:eastAsia="ja-JP"/>
        </w:rPr>
        <w:t>C</w:t>
      </w:r>
      <w:r w:rsidRPr="00205A1A">
        <w:rPr>
          <w:lang w:eastAsia="ja-JP"/>
        </w:rPr>
        <w:t>hapter</w:t>
      </w:r>
      <w:r>
        <w:rPr>
          <w:lang w:eastAsia="ja-JP"/>
        </w:rPr>
        <w:t xml:space="preserve"> 9 </w:t>
      </w:r>
      <w:r w:rsidRPr="00205A1A">
        <w:rPr>
          <w:lang w:eastAsia="ja-JP"/>
        </w:rPr>
        <w:t xml:space="preserve">also </w:t>
      </w:r>
      <w:r>
        <w:rPr>
          <w:lang w:eastAsia="ja-JP"/>
        </w:rPr>
        <w:t xml:space="preserve">sets out </w:t>
      </w:r>
      <w:r w:rsidRPr="00205A1A">
        <w:rPr>
          <w:lang w:eastAsia="ja-JP"/>
        </w:rPr>
        <w:t xml:space="preserve">that the </w:t>
      </w:r>
      <w:r w:rsidR="003F44C3">
        <w:rPr>
          <w:lang w:eastAsia="ja-JP"/>
        </w:rPr>
        <w:t>S</w:t>
      </w:r>
      <w:r w:rsidRPr="0037768D">
        <w:rPr>
          <w:lang w:eastAsia="ja-JP"/>
        </w:rPr>
        <w:t>ecretary</w:t>
      </w:r>
      <w:r w:rsidRPr="00205A1A">
        <w:rPr>
          <w:lang w:eastAsia="ja-JP"/>
        </w:rPr>
        <w:t xml:space="preserve"> may require or allow an assessment </w:t>
      </w:r>
      <w:r>
        <w:rPr>
          <w:lang w:eastAsia="ja-JP"/>
        </w:rPr>
        <w:t>of goods</w:t>
      </w:r>
      <w:r w:rsidRPr="00205A1A">
        <w:rPr>
          <w:lang w:eastAsia="ja-JP"/>
        </w:rPr>
        <w:t>.</w:t>
      </w:r>
      <w:r>
        <w:rPr>
          <w:lang w:eastAsia="ja-JP"/>
        </w:rPr>
        <w:t xml:space="preserve"> This applies to all plants and plant products, except fresh fruit and vegetables being exported to a country that does not require phytosanitary certification. This is consistent with current export practices.</w:t>
      </w:r>
    </w:p>
    <w:p w14:paraId="0C6A20F3" w14:textId="77777777" w:rsidR="00B60F8C" w:rsidRPr="00205A1A" w:rsidRDefault="00B60F8C" w:rsidP="00B60F8C">
      <w:pPr>
        <w:rPr>
          <w:lang w:eastAsia="ja-JP"/>
        </w:rPr>
      </w:pPr>
      <w:r>
        <w:rPr>
          <w:lang w:eastAsia="ja-JP"/>
        </w:rPr>
        <w:t xml:space="preserve">Chapter 9 also </w:t>
      </w:r>
      <w:r w:rsidRPr="00205A1A">
        <w:rPr>
          <w:lang w:eastAsia="ja-JP"/>
        </w:rPr>
        <w:t>sets out</w:t>
      </w:r>
      <w:r>
        <w:rPr>
          <w:lang w:eastAsia="ja-JP"/>
        </w:rPr>
        <w:t xml:space="preserve"> the requirements that must be met for goods to pass an assessment.</w:t>
      </w:r>
    </w:p>
    <w:p w14:paraId="5E7EC039" w14:textId="77777777" w:rsidR="00B60F8C" w:rsidRDefault="00B60F8C" w:rsidP="00B60F8C">
      <w:pPr>
        <w:rPr>
          <w:lang w:eastAsia="ja-JP"/>
        </w:rPr>
      </w:pPr>
      <w:r>
        <w:rPr>
          <w:lang w:eastAsia="ja-JP"/>
        </w:rPr>
        <w:t>The c</w:t>
      </w:r>
      <w:r w:rsidRPr="00205A1A">
        <w:rPr>
          <w:lang w:eastAsia="ja-JP"/>
        </w:rPr>
        <w:t>hapter outlines powers and functions of authorised officers</w:t>
      </w:r>
      <w:r>
        <w:rPr>
          <w:lang w:eastAsia="ja-JP"/>
        </w:rPr>
        <w:t xml:space="preserve"> including:</w:t>
      </w:r>
    </w:p>
    <w:p w14:paraId="3FA14285" w14:textId="77777777" w:rsidR="00B60F8C" w:rsidRPr="00844913" w:rsidRDefault="00B60F8C" w:rsidP="00003953">
      <w:pPr>
        <w:pStyle w:val="ListBullet"/>
      </w:pPr>
      <w:r w:rsidRPr="00844913">
        <w:t>assessment of goods (previously known as an export compliance inspection)</w:t>
      </w:r>
    </w:p>
    <w:p w14:paraId="2881ACCD" w14:textId="77777777" w:rsidR="00B60F8C" w:rsidRPr="00844913" w:rsidRDefault="00B60F8C">
      <w:pPr>
        <w:pStyle w:val="ListBullet"/>
      </w:pPr>
      <w:r w:rsidRPr="00844913">
        <w:t>container and bulk vessel inspection and approval</w:t>
      </w:r>
    </w:p>
    <w:p w14:paraId="11CF0F10" w14:textId="77777777" w:rsidR="00B60F8C" w:rsidRPr="00844913" w:rsidRDefault="00B60F8C">
      <w:pPr>
        <w:pStyle w:val="ListBullet"/>
      </w:pPr>
      <w:r w:rsidRPr="00844913">
        <w:t>the assessment or supervision of treatments.</w:t>
      </w:r>
    </w:p>
    <w:p w14:paraId="4F81A371" w14:textId="20630EA6" w:rsidR="00B60F8C" w:rsidRPr="00276179" w:rsidRDefault="00B60F8C" w:rsidP="00B60F8C">
      <w:pPr>
        <w:pStyle w:val="Heading3"/>
        <w:rPr>
          <w:lang w:eastAsia="ja-JP"/>
        </w:rPr>
      </w:pPr>
      <w:r w:rsidRPr="00276179">
        <w:rPr>
          <w:lang w:eastAsia="ja-JP"/>
        </w:rPr>
        <w:t>Chapter 10 Compliance and enforcement</w:t>
      </w:r>
    </w:p>
    <w:p w14:paraId="3FE6894D" w14:textId="71931B81" w:rsidR="008F3BEE" w:rsidRDefault="00B60F8C" w:rsidP="00844913">
      <w:pPr>
        <w:rPr>
          <w:lang w:eastAsia="ja-JP"/>
        </w:rPr>
      </w:pPr>
      <w:r>
        <w:t xml:space="preserve">There are no additional requirements in the </w:t>
      </w:r>
      <w:r w:rsidR="00190C4A">
        <w:t>P</w:t>
      </w:r>
      <w:r>
        <w:t xml:space="preserve">lant </w:t>
      </w:r>
      <w:r w:rsidR="00190C4A">
        <w:t>R</w:t>
      </w:r>
      <w:r>
        <w:t xml:space="preserve">ules. </w:t>
      </w:r>
      <w:r>
        <w:rPr>
          <w:lang w:eastAsia="ja-JP"/>
        </w:rPr>
        <w:t xml:space="preserve">All the compliance and enforcement provisions are </w:t>
      </w:r>
      <w:r w:rsidRPr="00205A1A">
        <w:rPr>
          <w:lang w:eastAsia="ja-JP"/>
        </w:rPr>
        <w:t xml:space="preserve">in the </w:t>
      </w:r>
      <w:r w:rsidRPr="005D117D">
        <w:rPr>
          <w:lang w:eastAsia="ja-JP"/>
        </w:rPr>
        <w:t>Act.</w:t>
      </w:r>
    </w:p>
    <w:p w14:paraId="1F522531" w14:textId="0FB60D30" w:rsidR="00B60F8C" w:rsidRPr="00276179" w:rsidRDefault="00B60F8C" w:rsidP="00B60F8C">
      <w:pPr>
        <w:pStyle w:val="Heading3"/>
        <w:rPr>
          <w:lang w:eastAsia="ja-JP"/>
        </w:rPr>
      </w:pPr>
      <w:r w:rsidRPr="00276179">
        <w:rPr>
          <w:lang w:eastAsia="ja-JP"/>
        </w:rPr>
        <w:t>Chapter 11 Miscellaneous</w:t>
      </w:r>
    </w:p>
    <w:p w14:paraId="2D6997B4" w14:textId="77777777" w:rsidR="00B60F8C" w:rsidRPr="00205A1A" w:rsidRDefault="00B60F8C" w:rsidP="00B60F8C">
      <w:pPr>
        <w:rPr>
          <w:lang w:eastAsia="ja-JP"/>
        </w:rPr>
      </w:pPr>
      <w:r>
        <w:rPr>
          <w:lang w:eastAsia="ja-JP"/>
        </w:rPr>
        <w:t>This chapter sets out</w:t>
      </w:r>
      <w:r w:rsidRPr="00205A1A">
        <w:rPr>
          <w:lang w:eastAsia="ja-JP"/>
        </w:rPr>
        <w:t>:</w:t>
      </w:r>
    </w:p>
    <w:p w14:paraId="46ED9222" w14:textId="77777777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>requirements for records management</w:t>
      </w:r>
    </w:p>
    <w:p w14:paraId="230BEF9B" w14:textId="77777777" w:rsidR="00B60F8C" w:rsidRPr="00205A1A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storage requirements </w:t>
      </w:r>
      <w:r>
        <w:rPr>
          <w:lang w:eastAsia="ja-JP"/>
        </w:rPr>
        <w:t>for</w:t>
      </w:r>
      <w:r w:rsidRPr="00205A1A">
        <w:rPr>
          <w:lang w:eastAsia="ja-JP"/>
        </w:rPr>
        <w:t xml:space="preserve"> samples of </w:t>
      </w:r>
      <w:r>
        <w:rPr>
          <w:lang w:eastAsia="ja-JP"/>
        </w:rPr>
        <w:t>plants</w:t>
      </w:r>
      <w:r w:rsidRPr="00205A1A">
        <w:rPr>
          <w:lang w:eastAsia="ja-JP"/>
        </w:rPr>
        <w:t xml:space="preserve"> and </w:t>
      </w:r>
      <w:r>
        <w:rPr>
          <w:lang w:eastAsia="ja-JP"/>
        </w:rPr>
        <w:t>plant</w:t>
      </w:r>
      <w:r w:rsidRPr="00205A1A">
        <w:rPr>
          <w:lang w:eastAsia="ja-JP"/>
        </w:rPr>
        <w:t xml:space="preserve"> products</w:t>
      </w:r>
    </w:p>
    <w:p w14:paraId="1BF3CB34" w14:textId="77777777" w:rsidR="00B60F8C" w:rsidRPr="00205A1A" w:rsidRDefault="00B60F8C" w:rsidP="00B60F8C">
      <w:pPr>
        <w:pStyle w:val="ListBullet"/>
        <w:rPr>
          <w:lang w:eastAsia="ja-JP"/>
        </w:rPr>
      </w:pPr>
      <w:r>
        <w:rPr>
          <w:lang w:eastAsia="ja-JP"/>
        </w:rPr>
        <w:t xml:space="preserve">determining </w:t>
      </w:r>
      <w:r w:rsidRPr="00205A1A">
        <w:rPr>
          <w:lang w:eastAsia="ja-JP"/>
        </w:rPr>
        <w:t xml:space="preserve">compensation for damaged or destroyed </w:t>
      </w:r>
      <w:r>
        <w:rPr>
          <w:lang w:eastAsia="ja-JP"/>
        </w:rPr>
        <w:t>plants</w:t>
      </w:r>
      <w:r w:rsidRPr="00205A1A">
        <w:rPr>
          <w:lang w:eastAsia="ja-JP"/>
        </w:rPr>
        <w:t xml:space="preserve"> or </w:t>
      </w:r>
      <w:r>
        <w:rPr>
          <w:lang w:eastAsia="ja-JP"/>
        </w:rPr>
        <w:t>plant</w:t>
      </w:r>
      <w:r w:rsidRPr="00205A1A">
        <w:rPr>
          <w:lang w:eastAsia="ja-JP"/>
        </w:rPr>
        <w:t xml:space="preserve"> products</w:t>
      </w:r>
    </w:p>
    <w:p w14:paraId="72C73EB6" w14:textId="77777777" w:rsidR="00B60F8C" w:rsidRDefault="00B60F8C" w:rsidP="00B60F8C">
      <w:pPr>
        <w:pStyle w:val="ListBullet"/>
        <w:rPr>
          <w:lang w:eastAsia="ja-JP"/>
        </w:rPr>
      </w:pPr>
      <w:r w:rsidRPr="00205A1A">
        <w:rPr>
          <w:lang w:eastAsia="ja-JP"/>
        </w:rPr>
        <w:t>matters relating to Commonwealth liabilities</w:t>
      </w:r>
    </w:p>
    <w:p w14:paraId="60BDCE7E" w14:textId="77777777" w:rsidR="00B60F8C" w:rsidRPr="00205A1A" w:rsidRDefault="00B60F8C" w:rsidP="00B60F8C">
      <w:pPr>
        <w:pStyle w:val="ListBullet"/>
        <w:rPr>
          <w:lang w:eastAsia="ja-JP"/>
        </w:rPr>
      </w:pPr>
      <w:r>
        <w:rPr>
          <w:lang w:eastAsia="ja-JP"/>
        </w:rPr>
        <w:t>the qualifications for marine surveyors who survey bulk vessels for plant exports.</w:t>
      </w:r>
    </w:p>
    <w:p w14:paraId="74F18AD7" w14:textId="4B1321CA" w:rsidR="000E455C" w:rsidRDefault="00940E3A">
      <w:pPr>
        <w:pStyle w:val="Heading2"/>
      </w:pPr>
      <w:r>
        <w:t>More</w:t>
      </w:r>
      <w:r w:rsidR="00D750D0">
        <w:t xml:space="preserve"> information</w:t>
      </w:r>
    </w:p>
    <w:p w14:paraId="4A15A930" w14:textId="5B262C7A" w:rsidR="000E455C" w:rsidRDefault="00D750D0">
      <w:pPr>
        <w:rPr>
          <w:lang w:eastAsia="ja-JP"/>
        </w:rPr>
      </w:pPr>
      <w:r>
        <w:rPr>
          <w:lang w:eastAsia="ja-JP"/>
        </w:rPr>
        <w:t xml:space="preserve">Email </w:t>
      </w:r>
      <w:hyperlink r:id="rId11" w:history="1">
        <w:r>
          <w:rPr>
            <w:rStyle w:val="Hyperlink"/>
            <w:lang w:eastAsia="ja-JP"/>
          </w:rPr>
          <w:t>exportlegislation@agriculture.gov.au</w:t>
        </w:r>
      </w:hyperlink>
      <w:r w:rsidR="00D96CC0">
        <w:rPr>
          <w:rStyle w:val="Hyperlink"/>
          <w:lang w:eastAsia="ja-JP"/>
        </w:rPr>
        <w:br/>
      </w:r>
      <w:r>
        <w:rPr>
          <w:lang w:eastAsia="ja-JP"/>
        </w:rPr>
        <w:t xml:space="preserve">Web </w:t>
      </w:r>
      <w:hyperlink r:id="rId12" w:history="1">
        <w:r>
          <w:rPr>
            <w:rStyle w:val="Hyperlink"/>
            <w:lang w:eastAsia="ja-JP"/>
          </w:rPr>
          <w:t>agriculture.gov.au/market-access-trade/export-regulation-review</w:t>
        </w:r>
      </w:hyperlink>
    </w:p>
    <w:p w14:paraId="46ADFCAB" w14:textId="2A57E5EA" w:rsidR="007E7324" w:rsidRDefault="00D750D0" w:rsidP="007E7324">
      <w:pPr>
        <w:pStyle w:val="Normalsmall"/>
        <w:spacing w:before="100" w:beforeAutospacing="1" w:after="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8837E7">
        <w:rPr>
          <w:lang w:eastAsia="ja-JP"/>
        </w:rPr>
        <w:t>1</w:t>
      </w:r>
    </w:p>
    <w:p w14:paraId="18EF67D0" w14:textId="1BC3146C" w:rsidR="000E455C" w:rsidRPr="007E7324" w:rsidRDefault="00D750D0" w:rsidP="007E7324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RPr="007E7324" w:rsidSect="007E7324"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BD7A" w14:textId="77777777" w:rsidR="00902B91" w:rsidRDefault="00902B91">
      <w:r>
        <w:separator/>
      </w:r>
    </w:p>
    <w:p w14:paraId="4793DE0B" w14:textId="77777777" w:rsidR="00902B91" w:rsidRDefault="00902B91"/>
    <w:p w14:paraId="0EBA14FB" w14:textId="77777777" w:rsidR="00902B91" w:rsidRDefault="00902B91"/>
  </w:endnote>
  <w:endnote w:type="continuationSeparator" w:id="0">
    <w:p w14:paraId="50B22E7F" w14:textId="77777777" w:rsidR="00902B91" w:rsidRDefault="00902B91">
      <w:r>
        <w:continuationSeparator/>
      </w:r>
    </w:p>
    <w:p w14:paraId="5EAEAB28" w14:textId="77777777" w:rsidR="00902B91" w:rsidRDefault="00902B91"/>
    <w:p w14:paraId="6DE90262" w14:textId="77777777" w:rsidR="00902B91" w:rsidRDefault="00902B91"/>
  </w:endnote>
  <w:endnote w:type="continuationNotice" w:id="1">
    <w:p w14:paraId="5DAFB777" w14:textId="77777777" w:rsidR="00902B91" w:rsidRDefault="00902B91">
      <w:pPr>
        <w:pStyle w:val="Footer"/>
      </w:pPr>
    </w:p>
    <w:p w14:paraId="391E3622" w14:textId="77777777" w:rsidR="00902B91" w:rsidRDefault="00902B91"/>
    <w:p w14:paraId="570F9163" w14:textId="77777777" w:rsidR="00902B91" w:rsidRDefault="00902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A3A4" w14:textId="02C25F36" w:rsidR="000E455C" w:rsidRDefault="00D750D0">
    <w:pPr>
      <w:pStyle w:val="Footer"/>
    </w:pPr>
    <w:r>
      <w:t>Department of Agriculture</w:t>
    </w:r>
    <w:r w:rsidR="009A7764">
      <w:t>, Water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A13B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63E7" w14:textId="77777777" w:rsidR="00902B91" w:rsidRDefault="00902B91">
      <w:r>
        <w:separator/>
      </w:r>
    </w:p>
    <w:p w14:paraId="2DDA45EC" w14:textId="77777777" w:rsidR="00902B91" w:rsidRDefault="00902B91"/>
    <w:p w14:paraId="29B940A2" w14:textId="77777777" w:rsidR="00902B91" w:rsidRDefault="00902B91"/>
  </w:footnote>
  <w:footnote w:type="continuationSeparator" w:id="0">
    <w:p w14:paraId="3E6836E2" w14:textId="77777777" w:rsidR="00902B91" w:rsidRDefault="00902B91">
      <w:r>
        <w:continuationSeparator/>
      </w:r>
    </w:p>
    <w:p w14:paraId="3F0E48FA" w14:textId="77777777" w:rsidR="00902B91" w:rsidRDefault="00902B91"/>
    <w:p w14:paraId="22128699" w14:textId="77777777" w:rsidR="00902B91" w:rsidRDefault="00902B91"/>
  </w:footnote>
  <w:footnote w:type="continuationNotice" w:id="1">
    <w:p w14:paraId="2BA9FE3B" w14:textId="77777777" w:rsidR="00902B91" w:rsidRDefault="00902B91">
      <w:pPr>
        <w:pStyle w:val="Footer"/>
      </w:pPr>
    </w:p>
    <w:p w14:paraId="338AE49E" w14:textId="77777777" w:rsidR="00902B91" w:rsidRDefault="00902B91"/>
    <w:p w14:paraId="72714A4D" w14:textId="77777777" w:rsidR="00902B91" w:rsidRDefault="00902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C9B4" w14:textId="0D24E2B9" w:rsidR="000E455C" w:rsidRDefault="00B60F8C" w:rsidP="00B60F8C">
    <w:pPr>
      <w:pStyle w:val="Header"/>
    </w:pPr>
    <w:r w:rsidRPr="00F317FB">
      <w:t xml:space="preserve">Outline of the </w:t>
    </w:r>
    <w:r>
      <w:t>Export Control (Plants and Plant Products) Rules 202</w:t>
    </w:r>
    <w:r w:rsidR="008837E7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11884D2A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7B23829D">
          <wp:simplePos x="0" y="0"/>
          <wp:positionH relativeFrom="page">
            <wp:posOffset>-17585</wp:posOffset>
          </wp:positionH>
          <wp:positionV relativeFrom="paragraph">
            <wp:posOffset>-360045</wp:posOffset>
          </wp:positionV>
          <wp:extent cx="7578970" cy="2166591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096" cy="216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4C2E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581636D"/>
    <w:multiLevelType w:val="hybridMultilevel"/>
    <w:tmpl w:val="4374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F425A1"/>
    <w:multiLevelType w:val="hybridMultilevel"/>
    <w:tmpl w:val="6A3C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6404B"/>
    <w:multiLevelType w:val="hybridMultilevel"/>
    <w:tmpl w:val="B8EE1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354"/>
    <w:multiLevelType w:val="hybridMultilevel"/>
    <w:tmpl w:val="4C76DEC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2B103637"/>
    <w:multiLevelType w:val="multilevel"/>
    <w:tmpl w:val="BE78A4F8"/>
    <w:numStyleLink w:val="Numberlist"/>
  </w:abstractNum>
  <w:abstractNum w:abstractNumId="18" w15:restartNumberingAfterBreak="0">
    <w:nsid w:val="394A15FE"/>
    <w:multiLevelType w:val="multilevel"/>
    <w:tmpl w:val="F36C17E8"/>
    <w:numStyleLink w:val="Headinglist"/>
  </w:abstractNum>
  <w:abstractNum w:abstractNumId="19" w15:restartNumberingAfterBreak="0">
    <w:nsid w:val="3BBE2C04"/>
    <w:multiLevelType w:val="hybridMultilevel"/>
    <w:tmpl w:val="965E176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14F4729"/>
    <w:multiLevelType w:val="multilevel"/>
    <w:tmpl w:val="A9A6E414"/>
    <w:numStyleLink w:val="List1"/>
  </w:abstractNum>
  <w:abstractNum w:abstractNumId="21" w15:restartNumberingAfterBreak="0">
    <w:nsid w:val="442929DF"/>
    <w:multiLevelType w:val="hybridMultilevel"/>
    <w:tmpl w:val="3356D24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86800B4"/>
    <w:multiLevelType w:val="multilevel"/>
    <w:tmpl w:val="A9A6E414"/>
    <w:numStyleLink w:val="List1"/>
  </w:abstractNum>
  <w:abstractNum w:abstractNumId="23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DC"/>
    <w:multiLevelType w:val="multilevel"/>
    <w:tmpl w:val="BE78A4F8"/>
    <w:numStyleLink w:val="Numberlist"/>
  </w:abstractNum>
  <w:abstractNum w:abstractNumId="2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F7AF1"/>
    <w:multiLevelType w:val="hybridMultilevel"/>
    <w:tmpl w:val="8A7C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1B95"/>
    <w:multiLevelType w:val="hybridMultilevel"/>
    <w:tmpl w:val="D0DC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9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2" w15:restartNumberingAfterBreak="0">
    <w:nsid w:val="66DC55D7"/>
    <w:multiLevelType w:val="hybridMultilevel"/>
    <w:tmpl w:val="F6328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C10A1"/>
    <w:multiLevelType w:val="multilevel"/>
    <w:tmpl w:val="BE78A4F8"/>
    <w:numStyleLink w:val="Numberlist"/>
  </w:abstractNum>
  <w:abstractNum w:abstractNumId="35" w15:restartNumberingAfterBreak="0">
    <w:nsid w:val="733934B7"/>
    <w:multiLevelType w:val="multilevel"/>
    <w:tmpl w:val="A9A6E414"/>
    <w:numStyleLink w:val="List1"/>
  </w:abstractNum>
  <w:num w:numId="1">
    <w:abstractNumId w:val="6"/>
  </w:num>
  <w:num w:numId="2">
    <w:abstractNumId w:val="22"/>
  </w:num>
  <w:num w:numId="3">
    <w:abstractNumId w:val="23"/>
  </w:num>
  <w:num w:numId="4">
    <w:abstractNumId w:val="11"/>
  </w:num>
  <w:num w:numId="5">
    <w:abstractNumId w:val="30"/>
  </w:num>
  <w:num w:numId="6">
    <w:abstractNumId w:val="31"/>
  </w:num>
  <w:num w:numId="7">
    <w:abstractNumId w:val="8"/>
  </w:num>
  <w:num w:numId="8">
    <w:abstractNumId w:val="14"/>
  </w:num>
  <w:num w:numId="9">
    <w:abstractNumId w:val="18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"/>
  </w:num>
  <w:num w:numId="20">
    <w:abstractNumId w:val="0"/>
  </w:num>
  <w:num w:numId="21">
    <w:abstractNumId w:val="17"/>
  </w:num>
  <w:num w:numId="22">
    <w:abstractNumId w:val="24"/>
  </w:num>
  <w:num w:numId="23">
    <w:abstractNumId w:val="34"/>
  </w:num>
  <w:num w:numId="24">
    <w:abstractNumId w:val="13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5"/>
  </w:num>
  <w:num w:numId="29">
    <w:abstractNumId w:val="29"/>
  </w:num>
  <w:num w:numId="30">
    <w:abstractNumId w:val="9"/>
  </w:num>
  <w:num w:numId="31">
    <w:abstractNumId w:val="10"/>
  </w:num>
  <w:num w:numId="32">
    <w:abstractNumId w:val="26"/>
  </w:num>
  <w:num w:numId="33">
    <w:abstractNumId w:val="16"/>
  </w:num>
  <w:num w:numId="34">
    <w:abstractNumId w:val="32"/>
  </w:num>
  <w:num w:numId="35">
    <w:abstractNumId w:val="21"/>
  </w:num>
  <w:num w:numId="36">
    <w:abstractNumId w:val="15"/>
  </w:num>
  <w:num w:numId="37">
    <w:abstractNumId w:val="27"/>
  </w:num>
  <w:num w:numId="38">
    <w:abstractNumId w:val="19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3953"/>
    <w:rsid w:val="00021590"/>
    <w:rsid w:val="000400A5"/>
    <w:rsid w:val="00066D0B"/>
    <w:rsid w:val="000E23F7"/>
    <w:rsid w:val="000E455C"/>
    <w:rsid w:val="00131592"/>
    <w:rsid w:val="00137F80"/>
    <w:rsid w:val="00190C4A"/>
    <w:rsid w:val="00190D7E"/>
    <w:rsid w:val="001A2390"/>
    <w:rsid w:val="001A6968"/>
    <w:rsid w:val="001B12AD"/>
    <w:rsid w:val="001D0776"/>
    <w:rsid w:val="001D0EF3"/>
    <w:rsid w:val="00224E84"/>
    <w:rsid w:val="00280A53"/>
    <w:rsid w:val="00294ADE"/>
    <w:rsid w:val="002C2FBB"/>
    <w:rsid w:val="002C7338"/>
    <w:rsid w:val="002D76A8"/>
    <w:rsid w:val="003012FB"/>
    <w:rsid w:val="00305FC9"/>
    <w:rsid w:val="00327975"/>
    <w:rsid w:val="00351B07"/>
    <w:rsid w:val="0037124C"/>
    <w:rsid w:val="0037768D"/>
    <w:rsid w:val="00385544"/>
    <w:rsid w:val="003D71EF"/>
    <w:rsid w:val="003F44C3"/>
    <w:rsid w:val="0040597D"/>
    <w:rsid w:val="00445487"/>
    <w:rsid w:val="00446AE2"/>
    <w:rsid w:val="004B52E3"/>
    <w:rsid w:val="004F6E06"/>
    <w:rsid w:val="005224BD"/>
    <w:rsid w:val="00545B50"/>
    <w:rsid w:val="00553E9D"/>
    <w:rsid w:val="0055447F"/>
    <w:rsid w:val="0057193C"/>
    <w:rsid w:val="00587707"/>
    <w:rsid w:val="005A13B8"/>
    <w:rsid w:val="005D117D"/>
    <w:rsid w:val="006156DF"/>
    <w:rsid w:val="00625D8D"/>
    <w:rsid w:val="0065645D"/>
    <w:rsid w:val="00657518"/>
    <w:rsid w:val="00673339"/>
    <w:rsid w:val="006913E9"/>
    <w:rsid w:val="006E6D6C"/>
    <w:rsid w:val="007042B8"/>
    <w:rsid w:val="0070464B"/>
    <w:rsid w:val="00714013"/>
    <w:rsid w:val="00731F6D"/>
    <w:rsid w:val="00737CD5"/>
    <w:rsid w:val="00776D2B"/>
    <w:rsid w:val="007E7324"/>
    <w:rsid w:val="007F2915"/>
    <w:rsid w:val="008342BF"/>
    <w:rsid w:val="00836F31"/>
    <w:rsid w:val="00844913"/>
    <w:rsid w:val="008457B2"/>
    <w:rsid w:val="0087667E"/>
    <w:rsid w:val="008837E7"/>
    <w:rsid w:val="00884F64"/>
    <w:rsid w:val="008B3984"/>
    <w:rsid w:val="008B5C2D"/>
    <w:rsid w:val="008F3BEE"/>
    <w:rsid w:val="00902B91"/>
    <w:rsid w:val="00902E92"/>
    <w:rsid w:val="00911F4A"/>
    <w:rsid w:val="00940E3A"/>
    <w:rsid w:val="00965B94"/>
    <w:rsid w:val="00971A88"/>
    <w:rsid w:val="00974CD6"/>
    <w:rsid w:val="009959E3"/>
    <w:rsid w:val="009A7764"/>
    <w:rsid w:val="009C206F"/>
    <w:rsid w:val="00A00EB0"/>
    <w:rsid w:val="00A618B1"/>
    <w:rsid w:val="00A83506"/>
    <w:rsid w:val="00AA1D89"/>
    <w:rsid w:val="00AB43B7"/>
    <w:rsid w:val="00AE1E6E"/>
    <w:rsid w:val="00B0121B"/>
    <w:rsid w:val="00B60F8C"/>
    <w:rsid w:val="00B95213"/>
    <w:rsid w:val="00BA7B4F"/>
    <w:rsid w:val="00BB4BDA"/>
    <w:rsid w:val="00BC24B1"/>
    <w:rsid w:val="00BC73A4"/>
    <w:rsid w:val="00BD4F8E"/>
    <w:rsid w:val="00BD5F02"/>
    <w:rsid w:val="00C061F3"/>
    <w:rsid w:val="00C6128D"/>
    <w:rsid w:val="00C765C8"/>
    <w:rsid w:val="00C93EC9"/>
    <w:rsid w:val="00D118B2"/>
    <w:rsid w:val="00D30F4A"/>
    <w:rsid w:val="00D4039B"/>
    <w:rsid w:val="00D750D0"/>
    <w:rsid w:val="00D96CC0"/>
    <w:rsid w:val="00DA43AA"/>
    <w:rsid w:val="00DA6794"/>
    <w:rsid w:val="00DB57A1"/>
    <w:rsid w:val="00DD0A0D"/>
    <w:rsid w:val="00E27FDA"/>
    <w:rsid w:val="00E403DF"/>
    <w:rsid w:val="00E56E37"/>
    <w:rsid w:val="00EA5293"/>
    <w:rsid w:val="00F12DA3"/>
    <w:rsid w:val="00F22931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07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99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export-regulation-revie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F0BC5-B9B7-4B4C-B9F0-3CA9DBB28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E4B00-7368-4CAD-A57B-D0E162CA2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(Plants and Plant Products) Rules 2021</vt:lpstr>
    </vt:vector>
  </TitlesOfParts>
  <Company/>
  <LinksUpToDate>false</LinksUpToDate>
  <CharactersWithSpaces>5632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(Plants and Plant Products) Rules 2021</dc:title>
  <dc:creator>Department of Agriculture, Water and the Environment</dc:creator>
  <cp:lastModifiedBy>Dang, Van</cp:lastModifiedBy>
  <cp:revision>3</cp:revision>
  <cp:lastPrinted>2021-03-16T06:01:00Z</cp:lastPrinted>
  <dcterms:created xsi:type="dcterms:W3CDTF">2021-04-27T03:39:00Z</dcterms:created>
  <dcterms:modified xsi:type="dcterms:W3CDTF">2021-04-29T02:48:00Z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