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B712B" w14:textId="553F3AF2" w:rsidR="00801C4F" w:rsidRPr="00801C4F" w:rsidRDefault="000A26DE" w:rsidP="00801C4F">
      <w:pPr>
        <w:pStyle w:val="Date"/>
      </w:pPr>
      <w:r>
        <w:t xml:space="preserve">March </w:t>
      </w:r>
      <w:r w:rsidR="00801C4F" w:rsidRPr="00801C4F">
        <w:t>202</w:t>
      </w:r>
      <w:r>
        <w:t>1</w:t>
      </w:r>
    </w:p>
    <w:p w14:paraId="45116306" w14:textId="5F9B0A7E" w:rsidR="00801C4F" w:rsidRDefault="00801C4F" w:rsidP="00801C4F">
      <w:pPr>
        <w:pStyle w:val="Series"/>
      </w:pPr>
      <w:r>
        <w:t>Improv</w:t>
      </w:r>
      <w:r w:rsidR="00191139">
        <w:t>ed</w:t>
      </w:r>
      <w:r>
        <w:t xml:space="preserve"> </w:t>
      </w:r>
      <w:r w:rsidR="00191139">
        <w:t>a</w:t>
      </w:r>
      <w:r>
        <w:t xml:space="preserve">gricultural </w:t>
      </w:r>
      <w:r w:rsidR="00191139">
        <w:t>e</w:t>
      </w:r>
      <w:r>
        <w:t xml:space="preserve">xport </w:t>
      </w:r>
      <w:r w:rsidR="00191139">
        <w:t>l</w:t>
      </w:r>
      <w:r>
        <w:t>egislation</w:t>
      </w:r>
    </w:p>
    <w:p w14:paraId="4710C64E" w14:textId="17539022" w:rsidR="00801C4F" w:rsidRDefault="000A26DE" w:rsidP="00801C4F">
      <w:pPr>
        <w:pStyle w:val="Heading1"/>
      </w:pPr>
      <w:r>
        <w:t>Outline of the</w:t>
      </w:r>
      <w:r w:rsidR="00801C4F">
        <w:t xml:space="preserve"> Export Control (Wood and Woodchips) Rules 202</w:t>
      </w:r>
      <w:r>
        <w:t>1</w:t>
      </w:r>
    </w:p>
    <w:p w14:paraId="6994721B" w14:textId="77777777" w:rsidR="00801C4F" w:rsidRDefault="00801C4F" w:rsidP="00801C4F">
      <w:pPr>
        <w:pStyle w:val="Heading2"/>
      </w:pPr>
      <w:r>
        <w:t>Introduction</w:t>
      </w:r>
    </w:p>
    <w:p w14:paraId="31894AE6" w14:textId="73F31BF9" w:rsidR="00191139" w:rsidRDefault="00A30084" w:rsidP="00191139">
      <w:bookmarkStart w:id="0" w:name="_Hlk65741825"/>
      <w:r>
        <w:t xml:space="preserve">Australia’s new agricultural export legislation began on 28 March 2021. It comprises the </w:t>
      </w:r>
      <w:r w:rsidRPr="009B4CDC">
        <w:rPr>
          <w:i/>
          <w:iCs/>
        </w:rPr>
        <w:t>Export Control Act 2020</w:t>
      </w:r>
      <w:r>
        <w:t xml:space="preserve"> (the Act), and the Export Control Rules 2021 (the Rules) which set out the operational requirements that must be met to export specific goods from Australia (e.g. wood).</w:t>
      </w:r>
      <w:r w:rsidDel="00FE282D">
        <w:t xml:space="preserve"> </w:t>
      </w:r>
    </w:p>
    <w:bookmarkEnd w:id="0"/>
    <w:p w14:paraId="6DAAE3FA" w14:textId="0D2DCA0B" w:rsidR="00191139" w:rsidRDefault="000A26DE" w:rsidP="00191139">
      <w:r>
        <w:t>T</w:t>
      </w:r>
      <w:r w:rsidR="00801C4F">
        <w:t xml:space="preserve">he </w:t>
      </w:r>
      <w:r w:rsidR="00056750">
        <w:t>Export Control (Wood and Woodchips) Rules 202</w:t>
      </w:r>
      <w:r>
        <w:t>1</w:t>
      </w:r>
      <w:r w:rsidR="00056750">
        <w:t xml:space="preserve"> (</w:t>
      </w:r>
      <w:r w:rsidR="00E95DA6">
        <w:t xml:space="preserve">the </w:t>
      </w:r>
      <w:r w:rsidR="006B57E8">
        <w:t>W</w:t>
      </w:r>
      <w:r w:rsidR="00801C4F">
        <w:t xml:space="preserve">ood </w:t>
      </w:r>
      <w:r w:rsidR="006B57E8">
        <w:t>R</w:t>
      </w:r>
      <w:r w:rsidR="00801C4F">
        <w:t>ules</w:t>
      </w:r>
      <w:r w:rsidR="00056750">
        <w:t>)</w:t>
      </w:r>
      <w:r w:rsidR="00801C4F">
        <w:t xml:space="preserve"> </w:t>
      </w:r>
      <w:r w:rsidR="00E95DA6">
        <w:t>specify</w:t>
      </w:r>
      <w:r w:rsidR="00801C4F">
        <w:t xml:space="preserve"> how </w:t>
      </w:r>
      <w:r w:rsidR="00E95DA6">
        <w:t xml:space="preserve">the export of </w:t>
      </w:r>
      <w:r w:rsidR="00801C4F">
        <w:t xml:space="preserve">wood and woodchips </w:t>
      </w:r>
      <w:r w:rsidR="008F2969">
        <w:t xml:space="preserve">are </w:t>
      </w:r>
      <w:r w:rsidR="00801C4F">
        <w:t>regulated.</w:t>
      </w:r>
      <w:r w:rsidR="00191139">
        <w:t xml:space="preserve"> The Wood Rules must be read in conjunction with the </w:t>
      </w:r>
      <w:r w:rsidR="00191139" w:rsidRPr="00EC21B4">
        <w:t>Act</w:t>
      </w:r>
      <w:r w:rsidR="00191139" w:rsidRPr="00056750">
        <w:t>.</w:t>
      </w:r>
    </w:p>
    <w:p w14:paraId="7E6BA00F" w14:textId="47CCD4FB" w:rsidR="00801C4F" w:rsidRDefault="00555B21" w:rsidP="00801C4F">
      <w:r>
        <w:t>At the commencement of the new legislation, t</w:t>
      </w:r>
      <w:r w:rsidR="00801C4F">
        <w:t xml:space="preserve">he </w:t>
      </w:r>
      <w:r w:rsidR="006B57E8">
        <w:t>W</w:t>
      </w:r>
      <w:r w:rsidR="00801C4F">
        <w:t xml:space="preserve">ood </w:t>
      </w:r>
      <w:r w:rsidR="006B57E8">
        <w:t>R</w:t>
      </w:r>
      <w:r w:rsidR="00801C4F">
        <w:t>ules replace</w:t>
      </w:r>
      <w:r w:rsidR="000A26DE">
        <w:t>d</w:t>
      </w:r>
      <w:r w:rsidR="00801C4F">
        <w:t xml:space="preserve"> the </w:t>
      </w:r>
      <w:r w:rsidR="00801C4F" w:rsidRPr="00EB01F4">
        <w:t>Export Control (Unprocessed Wood) Regulations, Export Control (Hardwood Wood Chips) Regulations 1996</w:t>
      </w:r>
      <w:r w:rsidR="00811B4F" w:rsidRPr="00EB01F4">
        <w:t>,</w:t>
      </w:r>
      <w:r w:rsidR="00801C4F" w:rsidRPr="00EB01F4">
        <w:t xml:space="preserve"> Export Control (Regional Forest Agreements) Regulations</w:t>
      </w:r>
      <w:r w:rsidR="00811B4F" w:rsidRPr="00EB01F4">
        <w:rPr>
          <w:iCs/>
        </w:rPr>
        <w:t xml:space="preserve"> </w:t>
      </w:r>
      <w:r w:rsidR="00811B4F">
        <w:rPr>
          <w:iCs/>
        </w:rPr>
        <w:t>and relevant parts of the Export Control (Prescribed Goods</w:t>
      </w:r>
      <w:r w:rsidR="004F1C10">
        <w:rPr>
          <w:iCs/>
        </w:rPr>
        <w:t xml:space="preserve"> - General</w:t>
      </w:r>
      <w:r w:rsidR="00811B4F">
        <w:rPr>
          <w:iCs/>
        </w:rPr>
        <w:t>)</w:t>
      </w:r>
      <w:r w:rsidR="004F1C10">
        <w:rPr>
          <w:iCs/>
        </w:rPr>
        <w:t xml:space="preserve"> Order 2005</w:t>
      </w:r>
      <w:r w:rsidR="00801C4F">
        <w:t xml:space="preserve">. The </w:t>
      </w:r>
      <w:r w:rsidR="00801C4F" w:rsidRPr="00E8308B">
        <w:rPr>
          <w:rStyle w:val="Emphasis"/>
        </w:rPr>
        <w:t>Regional Forest Agreements Act 2002</w:t>
      </w:r>
      <w:r w:rsidR="00801C4F">
        <w:t xml:space="preserve"> will continue to operate.</w:t>
      </w:r>
    </w:p>
    <w:p w14:paraId="4A20619F" w14:textId="722D665D" w:rsidR="00801C4F" w:rsidRDefault="00801C4F" w:rsidP="00801C4F">
      <w:r>
        <w:t xml:space="preserve">Some chapters of the </w:t>
      </w:r>
      <w:r w:rsidR="00056750">
        <w:t xml:space="preserve">Act </w:t>
      </w:r>
      <w:r>
        <w:t xml:space="preserve">are not repeated in the </w:t>
      </w:r>
      <w:r w:rsidR="006B57E8">
        <w:t>W</w:t>
      </w:r>
      <w:r>
        <w:t xml:space="preserve">ood </w:t>
      </w:r>
      <w:r w:rsidR="006B57E8">
        <w:t>R</w:t>
      </w:r>
      <w:r>
        <w:t xml:space="preserve">ules. This is because some chapters are not in use for wood or no additional content is required to supplement the </w:t>
      </w:r>
      <w:r w:rsidR="00C16D0C">
        <w:t>Act</w:t>
      </w:r>
      <w:r>
        <w:t>.</w:t>
      </w:r>
    </w:p>
    <w:p w14:paraId="574DF71D" w14:textId="77777777" w:rsidR="00801C4F" w:rsidRDefault="00801C4F" w:rsidP="00801C4F">
      <w:pPr>
        <w:pStyle w:val="Heading2"/>
      </w:pPr>
      <w:r>
        <w:t>Structure and content</w:t>
      </w:r>
    </w:p>
    <w:p w14:paraId="650E0905" w14:textId="1E976055" w:rsidR="00801C4F" w:rsidRDefault="00801C4F" w:rsidP="00801C4F">
      <w:pPr>
        <w:pStyle w:val="Heading3"/>
      </w:pPr>
      <w:r>
        <w:t>Chapter 1 Preliminary</w:t>
      </w:r>
    </w:p>
    <w:p w14:paraId="667CFDD3" w14:textId="382C1BDD" w:rsidR="00801C4F" w:rsidRDefault="00D15AA7" w:rsidP="00801C4F">
      <w:r>
        <w:t>This chapter o</w:t>
      </w:r>
      <w:r w:rsidR="00801C4F">
        <w:t xml:space="preserve">utlines the </w:t>
      </w:r>
      <w:r w:rsidR="006B57E8">
        <w:t>W</w:t>
      </w:r>
      <w:r w:rsidR="00801C4F">
        <w:t xml:space="preserve">ood </w:t>
      </w:r>
      <w:r w:rsidR="006B57E8">
        <w:t>R</w:t>
      </w:r>
      <w:r w:rsidR="00801C4F">
        <w:t xml:space="preserve">ules and defines key terms. The definitions are specific to the wood and woodchip sector and are in addition to those provided in the </w:t>
      </w:r>
      <w:r w:rsidR="00801C4F" w:rsidRPr="006B238E">
        <w:t>Act</w:t>
      </w:r>
      <w:r w:rsidR="00801C4F">
        <w:t>.</w:t>
      </w:r>
    </w:p>
    <w:p w14:paraId="64226EE7" w14:textId="21CC380F" w:rsidR="00801C4F" w:rsidRDefault="00801C4F" w:rsidP="00801C4F">
      <w:pPr>
        <w:pStyle w:val="Heading3"/>
      </w:pPr>
      <w:r>
        <w:t>Chapter 2 Exporting goods</w:t>
      </w:r>
    </w:p>
    <w:p w14:paraId="1805794C" w14:textId="3589CE65" w:rsidR="00801C4F" w:rsidRDefault="00801C4F" w:rsidP="00801C4F">
      <w:pPr>
        <w:pStyle w:val="Heading4"/>
      </w:pPr>
      <w:r>
        <w:t>Prescribed goods</w:t>
      </w:r>
    </w:p>
    <w:p w14:paraId="0463AC00" w14:textId="0F35C1F5" w:rsidR="00C2545F" w:rsidRDefault="00D15AA7" w:rsidP="00801C4F">
      <w:r>
        <w:t>This chapter s</w:t>
      </w:r>
      <w:r w:rsidR="00801C4F">
        <w:t xml:space="preserve">ets out the kinds of wood and woodchips that are prescribed goods and </w:t>
      </w:r>
      <w:r w:rsidR="00E018D1">
        <w:t xml:space="preserve">those that </w:t>
      </w:r>
      <w:r w:rsidR="00CA2091">
        <w:t xml:space="preserve">are </w:t>
      </w:r>
      <w:r w:rsidR="00801C4F">
        <w:t>not prescribed goods. Prescribed goods will be regulated under the new export legislation while non-prescribed goods can be exported without a wood export licence.</w:t>
      </w:r>
    </w:p>
    <w:p w14:paraId="250B293C" w14:textId="5DA8D1D3" w:rsidR="00801C4F" w:rsidRDefault="00801C4F" w:rsidP="00801C4F">
      <w:bookmarkStart w:id="1" w:name="_Hlk66138856"/>
      <w:r>
        <w:t>Wood or woodchips may also be considered prescribed plant products under the Export Control (Plant and Plant Products) Rules 202</w:t>
      </w:r>
      <w:r w:rsidR="000A26DE">
        <w:t>1</w:t>
      </w:r>
      <w:r>
        <w:t xml:space="preserve"> </w:t>
      </w:r>
      <w:r w:rsidR="008F2969">
        <w:t>(</w:t>
      </w:r>
      <w:r w:rsidR="0057109E">
        <w:t xml:space="preserve">the </w:t>
      </w:r>
      <w:r w:rsidR="008F2969">
        <w:t xml:space="preserve">Plant Rules) </w:t>
      </w:r>
      <w:r>
        <w:t>and require a government certificate.</w:t>
      </w:r>
      <w:r w:rsidR="00D15AA7">
        <w:t xml:space="preserve"> </w:t>
      </w:r>
      <w:r w:rsidR="007C261D">
        <w:t xml:space="preserve">Please read the </w:t>
      </w:r>
      <w:r w:rsidR="00555B21">
        <w:t xml:space="preserve">information sheet titled “Outline of the Export Control </w:t>
      </w:r>
      <w:r w:rsidR="0054747A">
        <w:t>(</w:t>
      </w:r>
      <w:r w:rsidR="00555B21">
        <w:t>Plant and Plant Products) Rules 2021</w:t>
      </w:r>
      <w:r w:rsidR="00A30084">
        <w:t xml:space="preserve">” </w:t>
      </w:r>
      <w:r w:rsidR="007C261D">
        <w:t xml:space="preserve">for more information on </w:t>
      </w:r>
      <w:r w:rsidR="00555B21">
        <w:t>how the exports of plants and plant products are regulated</w:t>
      </w:r>
      <w:bookmarkEnd w:id="1"/>
      <w:r w:rsidR="007C261D">
        <w:t>.</w:t>
      </w:r>
    </w:p>
    <w:p w14:paraId="3839A75B" w14:textId="77777777" w:rsidR="00801C4F" w:rsidRDefault="00801C4F" w:rsidP="00801C4F">
      <w:pPr>
        <w:pStyle w:val="Heading4"/>
      </w:pPr>
      <w:r>
        <w:t>Prescribed export conditions</w:t>
      </w:r>
    </w:p>
    <w:p w14:paraId="16D62F9E" w14:textId="43EBF5CF" w:rsidR="00801C4F" w:rsidRDefault="00801C4F" w:rsidP="00801C4F">
      <w:r>
        <w:t xml:space="preserve">This </w:t>
      </w:r>
      <w:r w:rsidR="00D15AA7">
        <w:t xml:space="preserve">chapter </w:t>
      </w:r>
      <w:r>
        <w:t>specifies conditions for the export of prescribed wood and woodchips from Australia</w:t>
      </w:r>
      <w:r w:rsidR="00EE3076">
        <w:t>n territory</w:t>
      </w:r>
      <w:r>
        <w:t xml:space="preserve">. One condition is that an exporter holds </w:t>
      </w:r>
      <w:r w:rsidR="002A6799">
        <w:t xml:space="preserve">a wood </w:t>
      </w:r>
      <w:r>
        <w:t>export licence</w:t>
      </w:r>
      <w:r w:rsidR="003358B9">
        <w:t xml:space="preserve">, which </w:t>
      </w:r>
      <w:r w:rsidR="00E56EDC">
        <w:t>is in force and not suspended,</w:t>
      </w:r>
      <w:r>
        <w:t xml:space="preserve"> at the time of exporting the goods.</w:t>
      </w:r>
    </w:p>
    <w:p w14:paraId="31ED86E8" w14:textId="789E94FE" w:rsidR="00801C4F" w:rsidRDefault="00801C4F" w:rsidP="00801C4F">
      <w:pPr>
        <w:pStyle w:val="Heading4"/>
      </w:pPr>
      <w:r>
        <w:lastRenderedPageBreak/>
        <w:t xml:space="preserve">State </w:t>
      </w:r>
      <w:r w:rsidR="002F663A">
        <w:t>c</w:t>
      </w:r>
      <w:r>
        <w:t>odes of practice</w:t>
      </w:r>
    </w:p>
    <w:p w14:paraId="15CDF7FB" w14:textId="1E5CCB38" w:rsidR="00801C4F" w:rsidRDefault="00801C4F" w:rsidP="00801C4F">
      <w:r>
        <w:t xml:space="preserve">This </w:t>
      </w:r>
      <w:r w:rsidR="00D15AA7">
        <w:t>chapter</w:t>
      </w:r>
      <w:r>
        <w:t xml:space="preserve"> sets out the </w:t>
      </w:r>
      <w:r w:rsidR="001553B8">
        <w:t>M</w:t>
      </w:r>
      <w:r>
        <w:t xml:space="preserve">inister’s powers to approve, refuse or revoke </w:t>
      </w:r>
      <w:r w:rsidR="00D67713">
        <w:t xml:space="preserve">plantation </w:t>
      </w:r>
      <w:r>
        <w:t xml:space="preserve">codes of practice developed by </w:t>
      </w:r>
      <w:r w:rsidR="00290DDE">
        <w:t>S</w:t>
      </w:r>
      <w:r>
        <w:t xml:space="preserve">tate or </w:t>
      </w:r>
      <w:r w:rsidR="00290DDE">
        <w:t>T</w:t>
      </w:r>
      <w:r>
        <w:t xml:space="preserve">erritory authorities. The </w:t>
      </w:r>
      <w:r w:rsidR="001553B8">
        <w:t>M</w:t>
      </w:r>
      <w:r>
        <w:t xml:space="preserve">inister must be satisfied that the code of practice satisfactorily, or </w:t>
      </w:r>
      <w:r w:rsidR="00324A97">
        <w:t xml:space="preserve">in certain circumstances </w:t>
      </w:r>
      <w:r>
        <w:t xml:space="preserve">substantially, protects environmental and heritage values in the </w:t>
      </w:r>
      <w:r w:rsidR="003672FD">
        <w:t>S</w:t>
      </w:r>
      <w:r>
        <w:t>tate</w:t>
      </w:r>
      <w:r w:rsidR="002F663A">
        <w:t xml:space="preserve"> or </w:t>
      </w:r>
      <w:r w:rsidR="003672FD">
        <w:t>T</w:t>
      </w:r>
      <w:r w:rsidR="002F663A">
        <w:t>erritory</w:t>
      </w:r>
      <w:r>
        <w:t>.</w:t>
      </w:r>
    </w:p>
    <w:p w14:paraId="120AC081" w14:textId="6DC1BC9F" w:rsidR="002F1AD6" w:rsidRDefault="00A963E2" w:rsidP="00801C4F">
      <w:r>
        <w:t>T</w:t>
      </w:r>
      <w:r w:rsidR="002F1AD6">
        <w:t>he Minister must have regard to the findings of a scientific assessment based on the national plantation principles</w:t>
      </w:r>
      <w:r>
        <w:t xml:space="preserve"> when they decide whether to approve a code of practice</w:t>
      </w:r>
      <w:r w:rsidR="002F1AD6">
        <w:t>.</w:t>
      </w:r>
    </w:p>
    <w:p w14:paraId="19AF127B" w14:textId="3B4DEB55" w:rsidR="00801C4F" w:rsidRDefault="00801C4F" w:rsidP="00801C4F">
      <w:r>
        <w:t>Existing approved codes of practice will transition to the new legislative framework.</w:t>
      </w:r>
    </w:p>
    <w:p w14:paraId="4AFBE0BD" w14:textId="66F650D2" w:rsidR="00AD15AC" w:rsidRPr="00545E83" w:rsidRDefault="00071E24" w:rsidP="00043478">
      <w:pPr>
        <w:pStyle w:val="Heading4"/>
      </w:pPr>
      <w:r w:rsidRPr="00043478">
        <w:rPr>
          <w:rStyle w:val="Heading4Char"/>
          <w:b/>
          <w:bCs/>
        </w:rPr>
        <w:t xml:space="preserve">Government </w:t>
      </w:r>
      <w:r w:rsidR="003677EB" w:rsidRPr="00043478">
        <w:rPr>
          <w:rStyle w:val="Heading4Char"/>
          <w:b/>
          <w:bCs/>
        </w:rPr>
        <w:t>c</w:t>
      </w:r>
      <w:r w:rsidRPr="00043478">
        <w:rPr>
          <w:rStyle w:val="Heading4Char"/>
          <w:b/>
          <w:bCs/>
        </w:rPr>
        <w:t>ertificates</w:t>
      </w:r>
    </w:p>
    <w:p w14:paraId="777CBC4B" w14:textId="6BAC45BA" w:rsidR="00071E24" w:rsidRPr="00B971F1" w:rsidRDefault="00071E24" w:rsidP="00071E24">
      <w:pPr>
        <w:rPr>
          <w:rFonts w:asciiTheme="minorHAnsi" w:hAnsiTheme="minorHAnsi" w:cstheme="minorHAnsi"/>
          <w:b/>
          <w:bCs/>
        </w:rPr>
      </w:pPr>
      <w:r w:rsidRPr="00B971F1">
        <w:t>This chapter also provides information for government certificates that may be issued for wood and woodchips that are to be exported.</w:t>
      </w:r>
    </w:p>
    <w:p w14:paraId="6C64C6AA" w14:textId="40E09940" w:rsidR="00801C4F" w:rsidRDefault="00801C4F" w:rsidP="00801C4F">
      <w:pPr>
        <w:pStyle w:val="Heading3"/>
        <w:ind w:left="0" w:firstLine="0"/>
      </w:pPr>
      <w:r>
        <w:t xml:space="preserve">Chapters 3 to 5 Accredited properties, </w:t>
      </w:r>
      <w:r w:rsidR="003677EB">
        <w:t>r</w:t>
      </w:r>
      <w:r>
        <w:t xml:space="preserve">egistered establishments and </w:t>
      </w:r>
      <w:r w:rsidR="003677EB">
        <w:t>a</w:t>
      </w:r>
      <w:r w:rsidR="00346A96">
        <w:t xml:space="preserve">pproved </w:t>
      </w:r>
      <w:r>
        <w:t>arrangements</w:t>
      </w:r>
    </w:p>
    <w:p w14:paraId="71264CD1" w14:textId="2084A369" w:rsidR="00801C4F" w:rsidRDefault="00D15AA7" w:rsidP="00801C4F">
      <w:r>
        <w:t xml:space="preserve">These chapters </w:t>
      </w:r>
      <w:r w:rsidR="00A30084">
        <w:t>do not apply</w:t>
      </w:r>
      <w:r w:rsidR="00801C4F">
        <w:t xml:space="preserve"> to wood and woodchips.</w:t>
      </w:r>
    </w:p>
    <w:p w14:paraId="5B242C2C" w14:textId="2D33CA15" w:rsidR="00801C4F" w:rsidRDefault="00801C4F" w:rsidP="00811B4F">
      <w:pPr>
        <w:pStyle w:val="Heading3"/>
      </w:pPr>
      <w:r>
        <w:t>Chapter 6 Export licences</w:t>
      </w:r>
    </w:p>
    <w:p w14:paraId="3DB29D6B" w14:textId="12877769" w:rsidR="008C4AA3" w:rsidRPr="008C4AA3" w:rsidRDefault="008C4AA3" w:rsidP="008C4AA3">
      <w:pPr>
        <w:rPr>
          <w:rFonts w:ascii="Cambria" w:eastAsia="Calibri" w:hAnsi="Cambria" w:cs="Times New Roman"/>
        </w:rPr>
      </w:pPr>
      <w:r w:rsidRPr="008C4AA3">
        <w:rPr>
          <w:rFonts w:ascii="Cambria" w:eastAsia="Calibri" w:hAnsi="Cambria" w:cs="Times New Roman"/>
        </w:rPr>
        <w:t xml:space="preserve">Exporters of </w:t>
      </w:r>
      <w:r>
        <w:rPr>
          <w:rFonts w:ascii="Cambria" w:eastAsia="Calibri" w:hAnsi="Cambria" w:cs="Times New Roman"/>
        </w:rPr>
        <w:t>prescribed wood</w:t>
      </w:r>
      <w:r w:rsidRPr="008C4AA3">
        <w:rPr>
          <w:rFonts w:ascii="Cambria" w:eastAsia="Calibri" w:hAnsi="Cambria" w:cs="Times New Roman"/>
        </w:rPr>
        <w:t xml:space="preserve"> or </w:t>
      </w:r>
      <w:r>
        <w:rPr>
          <w:rFonts w:ascii="Cambria" w:eastAsia="Calibri" w:hAnsi="Cambria" w:cs="Times New Roman"/>
        </w:rPr>
        <w:t>woodchips</w:t>
      </w:r>
      <w:r w:rsidRPr="008C4AA3">
        <w:rPr>
          <w:rFonts w:ascii="Cambria" w:eastAsia="Calibri" w:hAnsi="Cambria" w:cs="Times New Roman"/>
        </w:rPr>
        <w:t xml:space="preserve"> will need to have a </w:t>
      </w:r>
      <w:r>
        <w:rPr>
          <w:rFonts w:ascii="Cambria" w:eastAsia="Calibri" w:hAnsi="Cambria" w:cs="Times New Roman"/>
        </w:rPr>
        <w:t>wood</w:t>
      </w:r>
      <w:r w:rsidRPr="008C4AA3">
        <w:rPr>
          <w:rFonts w:ascii="Cambria" w:eastAsia="Calibri" w:hAnsi="Cambria" w:cs="Times New Roman"/>
        </w:rPr>
        <w:t xml:space="preserve"> export licence. </w:t>
      </w:r>
      <w:r w:rsidRPr="008C4AA3">
        <w:rPr>
          <w:rFonts w:ascii="Cambria" w:eastAsia="Calibri" w:hAnsi="Cambria" w:cs="Times New Roman"/>
          <w:lang w:eastAsia="ja-JP"/>
        </w:rPr>
        <w:t xml:space="preserve">This chapter sets out </w:t>
      </w:r>
      <w:r w:rsidR="00811B4F">
        <w:rPr>
          <w:rFonts w:ascii="Cambria" w:eastAsia="Calibri" w:hAnsi="Cambria" w:cs="Times New Roman"/>
          <w:lang w:eastAsia="ja-JP"/>
        </w:rPr>
        <w:t>information for</w:t>
      </w:r>
      <w:r w:rsidRPr="008C4AA3">
        <w:rPr>
          <w:rFonts w:ascii="Cambria" w:eastAsia="Calibri" w:hAnsi="Cambria" w:cs="Times New Roman"/>
          <w:lang w:eastAsia="ja-JP"/>
        </w:rPr>
        <w:t xml:space="preserve"> </w:t>
      </w:r>
      <w:r>
        <w:rPr>
          <w:rFonts w:ascii="Cambria" w:eastAsia="Calibri" w:hAnsi="Cambria" w:cs="Times New Roman"/>
          <w:lang w:eastAsia="ja-JP"/>
        </w:rPr>
        <w:t>wood</w:t>
      </w:r>
      <w:r w:rsidRPr="008C4AA3">
        <w:rPr>
          <w:rFonts w:ascii="Cambria" w:eastAsia="Calibri" w:hAnsi="Cambria" w:cs="Times New Roman"/>
          <w:lang w:eastAsia="ja-JP"/>
        </w:rPr>
        <w:t xml:space="preserve"> export licence</w:t>
      </w:r>
      <w:r w:rsidR="00811B4F">
        <w:rPr>
          <w:rFonts w:ascii="Cambria" w:eastAsia="Calibri" w:hAnsi="Cambria" w:cs="Times New Roman"/>
          <w:lang w:eastAsia="ja-JP"/>
        </w:rPr>
        <w:t>s</w:t>
      </w:r>
      <w:r w:rsidRPr="008C4AA3">
        <w:rPr>
          <w:rFonts w:ascii="Cambria" w:eastAsia="Calibri" w:hAnsi="Cambria" w:cs="Times New Roman"/>
          <w:lang w:eastAsia="ja-JP"/>
        </w:rPr>
        <w:t>, including the:</w:t>
      </w:r>
    </w:p>
    <w:p w14:paraId="3046481F" w14:textId="7ADB3A29" w:rsidR="00811B4F" w:rsidRDefault="00811B4F" w:rsidP="003677EB">
      <w:pPr>
        <w:pStyle w:val="ListBullet"/>
        <w:rPr>
          <w:lang w:eastAsia="ja-JP"/>
        </w:rPr>
      </w:pPr>
      <w:r>
        <w:rPr>
          <w:lang w:eastAsia="ja-JP"/>
        </w:rPr>
        <w:t>requirements for granting a wood export licence</w:t>
      </w:r>
    </w:p>
    <w:p w14:paraId="31A307EB" w14:textId="53D86923" w:rsidR="008C4AA3" w:rsidRPr="008C4AA3" w:rsidRDefault="008C4AA3" w:rsidP="003677EB">
      <w:pPr>
        <w:pStyle w:val="ListBullet"/>
        <w:rPr>
          <w:lang w:eastAsia="ja-JP"/>
        </w:rPr>
      </w:pPr>
      <w:r w:rsidRPr="008C4AA3">
        <w:rPr>
          <w:lang w:eastAsia="ja-JP"/>
        </w:rPr>
        <w:t xml:space="preserve">conditions for a </w:t>
      </w:r>
      <w:r>
        <w:rPr>
          <w:lang w:eastAsia="ja-JP"/>
        </w:rPr>
        <w:t>wood</w:t>
      </w:r>
      <w:r w:rsidRPr="008C4AA3">
        <w:rPr>
          <w:lang w:eastAsia="ja-JP"/>
        </w:rPr>
        <w:t xml:space="preserve"> export licence</w:t>
      </w:r>
      <w:r>
        <w:rPr>
          <w:lang w:eastAsia="ja-JP"/>
        </w:rPr>
        <w:t xml:space="preserve"> </w:t>
      </w:r>
    </w:p>
    <w:p w14:paraId="56738E33" w14:textId="77777777" w:rsidR="008C4AA3" w:rsidRPr="008C4AA3" w:rsidRDefault="008C4AA3" w:rsidP="003677EB">
      <w:pPr>
        <w:pStyle w:val="ListBullet"/>
        <w:rPr>
          <w:lang w:eastAsia="ja-JP"/>
        </w:rPr>
      </w:pPr>
      <w:r w:rsidRPr="008C4AA3">
        <w:rPr>
          <w:lang w:eastAsia="ja-JP"/>
        </w:rPr>
        <w:t>grounds for suspending or revoking an export licence</w:t>
      </w:r>
    </w:p>
    <w:p w14:paraId="39BA10C3" w14:textId="6FC6F28C" w:rsidR="008C4AA3" w:rsidRPr="004B72D6" w:rsidRDefault="008C4AA3" w:rsidP="003677EB">
      <w:pPr>
        <w:pStyle w:val="ListBullet"/>
        <w:rPr>
          <w:lang w:eastAsia="ja-JP"/>
        </w:rPr>
      </w:pPr>
      <w:r>
        <w:t>consideration period for an application for a wood export licence</w:t>
      </w:r>
      <w:r w:rsidRPr="008C4AA3">
        <w:rPr>
          <w:lang w:eastAsia="ja-JP"/>
        </w:rPr>
        <w:t>.</w:t>
      </w:r>
    </w:p>
    <w:p w14:paraId="15BF704D" w14:textId="55C3DFB3" w:rsidR="00801C4F" w:rsidRDefault="00801C4F" w:rsidP="00801C4F">
      <w:pPr>
        <w:pStyle w:val="Heading3"/>
      </w:pPr>
      <w:r>
        <w:t xml:space="preserve">Chapters 7 </w:t>
      </w:r>
      <w:r w:rsidR="00CA2091">
        <w:t>and</w:t>
      </w:r>
      <w:r>
        <w:t xml:space="preserve"> 8 Export permits and </w:t>
      </w:r>
      <w:r w:rsidR="003677EB">
        <w:t>o</w:t>
      </w:r>
      <w:r>
        <w:t>ther matters relating to export</w:t>
      </w:r>
    </w:p>
    <w:p w14:paraId="6C43E50E" w14:textId="0316EEE2" w:rsidR="00801C4F" w:rsidRDefault="00D15AA7" w:rsidP="00801C4F">
      <w:r>
        <w:t xml:space="preserve">These chapters </w:t>
      </w:r>
      <w:r w:rsidR="00A30084">
        <w:t>do not apply</w:t>
      </w:r>
      <w:r w:rsidR="00801C4F">
        <w:t xml:space="preserve"> to wood and woodchips.</w:t>
      </w:r>
    </w:p>
    <w:p w14:paraId="03B734F0" w14:textId="3F660C56" w:rsidR="00801C4F" w:rsidRDefault="00801C4F" w:rsidP="00801C4F">
      <w:pPr>
        <w:pStyle w:val="Heading3"/>
      </w:pPr>
      <w:r>
        <w:t xml:space="preserve">Chapters 9 </w:t>
      </w:r>
      <w:r w:rsidR="00CA2091">
        <w:t>and</w:t>
      </w:r>
      <w:r>
        <w:t xml:space="preserve"> 10 Powers and officials and </w:t>
      </w:r>
      <w:r w:rsidR="003677EB">
        <w:t>c</w:t>
      </w:r>
      <w:r>
        <w:t>ompliance and enforcement</w:t>
      </w:r>
    </w:p>
    <w:p w14:paraId="26768F90" w14:textId="38A33025" w:rsidR="00801C4F" w:rsidRDefault="00801C4F" w:rsidP="00801C4F">
      <w:r>
        <w:t xml:space="preserve">No additional content </w:t>
      </w:r>
      <w:r w:rsidR="00CA2091">
        <w:t xml:space="preserve">is </w:t>
      </w:r>
      <w:r>
        <w:t xml:space="preserve">required to supplement the </w:t>
      </w:r>
      <w:r w:rsidR="00C16D0C">
        <w:t>Act</w:t>
      </w:r>
      <w:r>
        <w:t>.</w:t>
      </w:r>
    </w:p>
    <w:p w14:paraId="2D6E5FE1" w14:textId="30222299" w:rsidR="00801C4F" w:rsidRDefault="00801C4F" w:rsidP="00801C4F">
      <w:pPr>
        <w:pStyle w:val="Heading3"/>
      </w:pPr>
      <w:r>
        <w:t>Chapter 11 Miscellaneous</w:t>
      </w:r>
    </w:p>
    <w:p w14:paraId="7E610909" w14:textId="677AD115" w:rsidR="00801C4F" w:rsidRDefault="00D15AA7" w:rsidP="00801C4F">
      <w:r>
        <w:t>This chapter o</w:t>
      </w:r>
      <w:r w:rsidR="00801C4F">
        <w:t>utlines requirements relating to records, including when records must be kept by exporters, matters relating to Commonwealth liabilities and circumstances in which these liabilities are taken to have been paid.</w:t>
      </w:r>
    </w:p>
    <w:p w14:paraId="6BA4975A" w14:textId="113CF40A" w:rsidR="00801C4F" w:rsidRDefault="00455B91" w:rsidP="00801C4F">
      <w:pPr>
        <w:pStyle w:val="Heading2"/>
      </w:pPr>
      <w:r>
        <w:t>More</w:t>
      </w:r>
      <w:r w:rsidR="00801C4F">
        <w:t xml:space="preserve"> information</w:t>
      </w:r>
    </w:p>
    <w:p w14:paraId="388A7E3C" w14:textId="77777777" w:rsidR="007524FE" w:rsidRDefault="00801C4F" w:rsidP="007524FE">
      <w:pPr>
        <w:spacing w:after="0"/>
        <w:rPr>
          <w:rStyle w:val="Hyperlink"/>
        </w:rPr>
      </w:pPr>
      <w:r>
        <w:t xml:space="preserve">Email </w:t>
      </w:r>
      <w:hyperlink r:id="rId11" w:history="1">
        <w:r w:rsidR="00BF7168" w:rsidRPr="003A32BD">
          <w:rPr>
            <w:rStyle w:val="Hyperlink"/>
          </w:rPr>
          <w:t>exportlegislation@agriculture.gov.au</w:t>
        </w:r>
      </w:hyperlink>
    </w:p>
    <w:p w14:paraId="66720E8E" w14:textId="62853CF4" w:rsidR="00BF7168" w:rsidRDefault="00BF7168" w:rsidP="007524FE">
      <w:pPr>
        <w:spacing w:after="0"/>
      </w:pPr>
      <w:r>
        <w:t xml:space="preserve">Web </w:t>
      </w:r>
      <w:r w:rsidRPr="00535D77">
        <w:rPr>
          <w:rStyle w:val="Hyperlink"/>
        </w:rPr>
        <w:t>agriculture.gov.au/market-access-trade/improving-export-legislation</w:t>
      </w:r>
      <w:r w:rsidR="0057109E">
        <w:rPr>
          <w:rStyle w:val="Hyperlink"/>
        </w:rPr>
        <w:br/>
      </w:r>
    </w:p>
    <w:p w14:paraId="1C9EF893" w14:textId="0C44D6ED" w:rsidR="00801C4F" w:rsidRDefault="00801C4F" w:rsidP="00801C4F">
      <w:pPr>
        <w:pStyle w:val="Normalsmall"/>
      </w:pPr>
      <w:r>
        <w:t>© Commonwealth of Australia 202</w:t>
      </w:r>
      <w:r w:rsidR="00191139">
        <w:t>1</w:t>
      </w:r>
    </w:p>
    <w:p w14:paraId="5B0C2B82" w14:textId="19B2DC52" w:rsidR="0031651A" w:rsidRDefault="00801C4F" w:rsidP="00801C4F">
      <w:pPr>
        <w:pStyle w:val="Normalsmall"/>
      </w:pPr>
      <w:r>
        <w:t>This work is copyright. It may be reproduced in whole or in part subject to the inclusion of an acknowledgement of the source and no commercial usage or sale.</w:t>
      </w:r>
    </w:p>
    <w:sectPr w:rsidR="0031651A" w:rsidSect="00801C4F">
      <w:headerReference w:type="default" r:id="rId12"/>
      <w:footerReference w:type="default" r:id="rId13"/>
      <w:headerReference w:type="first" r:id="rId14"/>
      <w:pgSz w:w="11906" w:h="16838" w:code="9"/>
      <w:pgMar w:top="2269" w:right="1134" w:bottom="964" w:left="1304" w:header="51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1F05" w14:textId="77777777" w:rsidR="00AF28BC" w:rsidRDefault="00AF28BC">
      <w:r>
        <w:separator/>
      </w:r>
    </w:p>
    <w:p w14:paraId="13C1BBEA" w14:textId="77777777" w:rsidR="00AF28BC" w:rsidRDefault="00AF28BC"/>
    <w:p w14:paraId="0A52C339" w14:textId="77777777" w:rsidR="00AF28BC" w:rsidRDefault="00AF28BC"/>
  </w:endnote>
  <w:endnote w:type="continuationSeparator" w:id="0">
    <w:p w14:paraId="4A8CE246" w14:textId="77777777" w:rsidR="00AF28BC" w:rsidRDefault="00AF28BC">
      <w:r>
        <w:continuationSeparator/>
      </w:r>
    </w:p>
    <w:p w14:paraId="19D1679B" w14:textId="77777777" w:rsidR="00AF28BC" w:rsidRDefault="00AF28BC"/>
    <w:p w14:paraId="1180666D" w14:textId="77777777" w:rsidR="00AF28BC" w:rsidRDefault="00AF28BC"/>
  </w:endnote>
  <w:endnote w:type="continuationNotice" w:id="1">
    <w:p w14:paraId="662CEFCA" w14:textId="77777777" w:rsidR="00AF28BC" w:rsidRDefault="00AF28BC">
      <w:pPr>
        <w:pStyle w:val="Footer"/>
      </w:pPr>
    </w:p>
    <w:p w14:paraId="64F8046D" w14:textId="77777777" w:rsidR="00AF28BC" w:rsidRDefault="00AF28BC"/>
    <w:p w14:paraId="19CEC6F5" w14:textId="77777777" w:rsidR="00AF28BC" w:rsidRDefault="00AF2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13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E61A2" w14:textId="5361DD92" w:rsidR="00384BFC" w:rsidRDefault="00384BFC" w:rsidP="00C76D22">
        <w:pPr>
          <w:pStyle w:val="Footer"/>
        </w:pPr>
        <w:r>
          <w:t>Department of Agriculture, Water and the Environment</w:t>
        </w:r>
      </w:p>
      <w:p w14:paraId="124166EC" w14:textId="75539D17" w:rsidR="000E455C" w:rsidRPr="00C76D22" w:rsidRDefault="00822651" w:rsidP="00C76D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1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9CC4" w14:textId="77777777" w:rsidR="00AF28BC" w:rsidRDefault="00AF28BC">
      <w:r>
        <w:separator/>
      </w:r>
    </w:p>
    <w:p w14:paraId="45B201AA" w14:textId="77777777" w:rsidR="00AF28BC" w:rsidRDefault="00AF28BC"/>
    <w:p w14:paraId="58F6B757" w14:textId="77777777" w:rsidR="00AF28BC" w:rsidRDefault="00AF28BC"/>
  </w:footnote>
  <w:footnote w:type="continuationSeparator" w:id="0">
    <w:p w14:paraId="53CE6429" w14:textId="77777777" w:rsidR="00AF28BC" w:rsidRDefault="00AF28BC">
      <w:r>
        <w:continuationSeparator/>
      </w:r>
    </w:p>
    <w:p w14:paraId="2FE568D7" w14:textId="77777777" w:rsidR="00AF28BC" w:rsidRDefault="00AF28BC"/>
    <w:p w14:paraId="0EF3C1D2" w14:textId="77777777" w:rsidR="00AF28BC" w:rsidRDefault="00AF28BC"/>
  </w:footnote>
  <w:footnote w:type="continuationNotice" w:id="1">
    <w:p w14:paraId="3C2F2517" w14:textId="77777777" w:rsidR="00AF28BC" w:rsidRDefault="00AF28BC">
      <w:pPr>
        <w:pStyle w:val="Footer"/>
      </w:pPr>
    </w:p>
    <w:p w14:paraId="77AEAC08" w14:textId="77777777" w:rsidR="00AF28BC" w:rsidRDefault="00AF28BC"/>
    <w:p w14:paraId="030AB675" w14:textId="77777777" w:rsidR="00AF28BC" w:rsidRDefault="00AF2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7560" w14:textId="4A1C1FEE" w:rsidR="00E95DA6" w:rsidRDefault="00E95DA6">
    <w:pPr>
      <w:pStyle w:val="Header"/>
    </w:pPr>
    <w:r>
      <w:t>Outline of the Export Control (Wood and Woodchips) Rules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8475" w14:textId="4E701E6E" w:rsidR="000E455C" w:rsidRDefault="000A33F6">
    <w:pPr>
      <w:pStyle w:val="Header"/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61312" behindDoc="1" locked="0" layoutInCell="1" allowOverlap="1" wp14:anchorId="52A2015F" wp14:editId="1C608DE1">
          <wp:simplePos x="0" y="0"/>
          <wp:positionH relativeFrom="page">
            <wp:align>left</wp:align>
          </wp:positionH>
          <wp:positionV relativeFrom="paragraph">
            <wp:posOffset>-317500</wp:posOffset>
          </wp:positionV>
          <wp:extent cx="7630473" cy="2181225"/>
          <wp:effectExtent l="0" t="0" r="889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205" cy="2191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01429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8804D03"/>
    <w:multiLevelType w:val="hybridMultilevel"/>
    <w:tmpl w:val="4FB2E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94A15FE"/>
    <w:multiLevelType w:val="multilevel"/>
    <w:tmpl w:val="F36C17E8"/>
    <w:numStyleLink w:val="Headinglist"/>
  </w:abstractNum>
  <w:abstractNum w:abstractNumId="16" w15:restartNumberingAfterBreak="0">
    <w:nsid w:val="414F4729"/>
    <w:multiLevelType w:val="multilevel"/>
    <w:tmpl w:val="A0241B28"/>
    <w:numStyleLink w:val="List1"/>
  </w:abstractNum>
  <w:abstractNum w:abstractNumId="17" w15:restartNumberingAfterBreak="0">
    <w:nsid w:val="486800B4"/>
    <w:multiLevelType w:val="multilevel"/>
    <w:tmpl w:val="A0241B28"/>
    <w:numStyleLink w:val="List1"/>
  </w:abstractNum>
  <w:abstractNum w:abstractNumId="18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9DC"/>
    <w:multiLevelType w:val="multilevel"/>
    <w:tmpl w:val="BE78A4F8"/>
    <w:numStyleLink w:val="Numberlist"/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C10A1"/>
    <w:multiLevelType w:val="multilevel"/>
    <w:tmpl w:val="BE78A4F8"/>
    <w:numStyleLink w:val="Numberlist"/>
  </w:abstractNum>
  <w:abstractNum w:abstractNumId="27" w15:restartNumberingAfterBreak="0">
    <w:nsid w:val="733934B7"/>
    <w:multiLevelType w:val="multilevel"/>
    <w:tmpl w:val="A0241B28"/>
    <w:numStyleLink w:val="List1"/>
  </w:abstractNum>
  <w:num w:numId="1">
    <w:abstractNumId w:val="6"/>
  </w:num>
  <w:num w:numId="2">
    <w:abstractNumId w:val="17"/>
  </w:num>
  <w:num w:numId="3">
    <w:abstractNumId w:val="18"/>
  </w:num>
  <w:num w:numId="4">
    <w:abstractNumId w:val="10"/>
  </w:num>
  <w:num w:numId="5">
    <w:abstractNumId w:val="23"/>
  </w:num>
  <w:num w:numId="6">
    <w:abstractNumId w:val="24"/>
  </w:num>
  <w:num w:numId="7">
    <w:abstractNumId w:val="8"/>
  </w:num>
  <w:num w:numId="8">
    <w:abstractNumId w:val="13"/>
  </w:num>
  <w:num w:numId="9">
    <w:abstractNumId w:val="15"/>
  </w:num>
  <w:num w:numId="10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0"/>
  </w:num>
  <w:num w:numId="21">
    <w:abstractNumId w:val="14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0"/>
  </w:num>
  <w:num w:numId="29">
    <w:abstractNumId w:val="22"/>
  </w:num>
  <w:num w:numId="30">
    <w:abstractNumId w:val="9"/>
  </w:num>
  <w:num w:numId="31">
    <w:abstractNumId w:val="7"/>
  </w:num>
  <w:num w:numId="32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e5baa510-ecbd-42c2-a545-69b2990f391b"/>
  </w:docVars>
  <w:rsids>
    <w:rsidRoot w:val="000E455C"/>
    <w:rsid w:val="00021590"/>
    <w:rsid w:val="00036435"/>
    <w:rsid w:val="00043478"/>
    <w:rsid w:val="00045C0C"/>
    <w:rsid w:val="00056750"/>
    <w:rsid w:val="00066D0B"/>
    <w:rsid w:val="00071E24"/>
    <w:rsid w:val="00072221"/>
    <w:rsid w:val="00094FD1"/>
    <w:rsid w:val="000A26DE"/>
    <w:rsid w:val="000A2D53"/>
    <w:rsid w:val="000A33F6"/>
    <w:rsid w:val="000A78DC"/>
    <w:rsid w:val="000B0619"/>
    <w:rsid w:val="000E455C"/>
    <w:rsid w:val="000F3EF3"/>
    <w:rsid w:val="00113FAE"/>
    <w:rsid w:val="00141F02"/>
    <w:rsid w:val="001473F7"/>
    <w:rsid w:val="0014797C"/>
    <w:rsid w:val="001545B1"/>
    <w:rsid w:val="001553B8"/>
    <w:rsid w:val="00163828"/>
    <w:rsid w:val="001716DE"/>
    <w:rsid w:val="001744F5"/>
    <w:rsid w:val="001813F0"/>
    <w:rsid w:val="00190D7E"/>
    <w:rsid w:val="00191139"/>
    <w:rsid w:val="001A6968"/>
    <w:rsid w:val="001B3A5F"/>
    <w:rsid w:val="001C4546"/>
    <w:rsid w:val="001D0EF3"/>
    <w:rsid w:val="001E2370"/>
    <w:rsid w:val="001F3A38"/>
    <w:rsid w:val="001F663B"/>
    <w:rsid w:val="002117B9"/>
    <w:rsid w:val="002317B1"/>
    <w:rsid w:val="002502A8"/>
    <w:rsid w:val="00290DDE"/>
    <w:rsid w:val="00291226"/>
    <w:rsid w:val="002945FA"/>
    <w:rsid w:val="002A266B"/>
    <w:rsid w:val="002A6799"/>
    <w:rsid w:val="002C22A2"/>
    <w:rsid w:val="002D2C16"/>
    <w:rsid w:val="002F1AD6"/>
    <w:rsid w:val="002F4D11"/>
    <w:rsid w:val="002F663A"/>
    <w:rsid w:val="003032C0"/>
    <w:rsid w:val="00306348"/>
    <w:rsid w:val="00306E64"/>
    <w:rsid w:val="0031455A"/>
    <w:rsid w:val="0031651A"/>
    <w:rsid w:val="00324A97"/>
    <w:rsid w:val="003358B9"/>
    <w:rsid w:val="00346A96"/>
    <w:rsid w:val="00347F1E"/>
    <w:rsid w:val="00356C3D"/>
    <w:rsid w:val="00356D2C"/>
    <w:rsid w:val="00363DCE"/>
    <w:rsid w:val="003672FD"/>
    <w:rsid w:val="003677EB"/>
    <w:rsid w:val="00384BFC"/>
    <w:rsid w:val="003A3490"/>
    <w:rsid w:val="003C57D2"/>
    <w:rsid w:val="003C5AD7"/>
    <w:rsid w:val="003D047C"/>
    <w:rsid w:val="003E5232"/>
    <w:rsid w:val="003F14D5"/>
    <w:rsid w:val="00401F6E"/>
    <w:rsid w:val="00406704"/>
    <w:rsid w:val="00430323"/>
    <w:rsid w:val="00437D75"/>
    <w:rsid w:val="00447D27"/>
    <w:rsid w:val="00454664"/>
    <w:rsid w:val="00455B91"/>
    <w:rsid w:val="004617FD"/>
    <w:rsid w:val="00477EA9"/>
    <w:rsid w:val="004859D2"/>
    <w:rsid w:val="004934DF"/>
    <w:rsid w:val="004956AD"/>
    <w:rsid w:val="004A77A8"/>
    <w:rsid w:val="004B72D6"/>
    <w:rsid w:val="004E598F"/>
    <w:rsid w:val="004F1C10"/>
    <w:rsid w:val="004F1C6E"/>
    <w:rsid w:val="00520DB2"/>
    <w:rsid w:val="0052571C"/>
    <w:rsid w:val="0054524C"/>
    <w:rsid w:val="00545E83"/>
    <w:rsid w:val="0054747A"/>
    <w:rsid w:val="00553E9D"/>
    <w:rsid w:val="0055447F"/>
    <w:rsid w:val="00555B21"/>
    <w:rsid w:val="0057109E"/>
    <w:rsid w:val="00585A5A"/>
    <w:rsid w:val="00591F96"/>
    <w:rsid w:val="005B4AF6"/>
    <w:rsid w:val="005C4729"/>
    <w:rsid w:val="005D1C3E"/>
    <w:rsid w:val="005F2465"/>
    <w:rsid w:val="00603DF3"/>
    <w:rsid w:val="006156DF"/>
    <w:rsid w:val="00625D8D"/>
    <w:rsid w:val="00631118"/>
    <w:rsid w:val="006344AB"/>
    <w:rsid w:val="00650DF3"/>
    <w:rsid w:val="00685333"/>
    <w:rsid w:val="0069746C"/>
    <w:rsid w:val="006B1BA4"/>
    <w:rsid w:val="006B238E"/>
    <w:rsid w:val="006B57E8"/>
    <w:rsid w:val="006F1F28"/>
    <w:rsid w:val="007001DC"/>
    <w:rsid w:val="007026A5"/>
    <w:rsid w:val="0070464B"/>
    <w:rsid w:val="00706008"/>
    <w:rsid w:val="00735B1F"/>
    <w:rsid w:val="00752244"/>
    <w:rsid w:val="007524FE"/>
    <w:rsid w:val="00753312"/>
    <w:rsid w:val="0076218C"/>
    <w:rsid w:val="00780BDA"/>
    <w:rsid w:val="00784BA1"/>
    <w:rsid w:val="00796CC9"/>
    <w:rsid w:val="007A1EAA"/>
    <w:rsid w:val="007A45ED"/>
    <w:rsid w:val="007C261D"/>
    <w:rsid w:val="007C522C"/>
    <w:rsid w:val="00801C4F"/>
    <w:rsid w:val="00811B4F"/>
    <w:rsid w:val="00816EE1"/>
    <w:rsid w:val="008212A1"/>
    <w:rsid w:val="00822651"/>
    <w:rsid w:val="0088383E"/>
    <w:rsid w:val="00887676"/>
    <w:rsid w:val="008962A1"/>
    <w:rsid w:val="008A22E4"/>
    <w:rsid w:val="008A6E87"/>
    <w:rsid w:val="008B5945"/>
    <w:rsid w:val="008C4AA3"/>
    <w:rsid w:val="008C7AF4"/>
    <w:rsid w:val="008D020E"/>
    <w:rsid w:val="008E54A5"/>
    <w:rsid w:val="008E5BEB"/>
    <w:rsid w:val="008F2969"/>
    <w:rsid w:val="00902E92"/>
    <w:rsid w:val="00911236"/>
    <w:rsid w:val="00911F4A"/>
    <w:rsid w:val="009157CB"/>
    <w:rsid w:val="009208DE"/>
    <w:rsid w:val="00926DDB"/>
    <w:rsid w:val="009351A9"/>
    <w:rsid w:val="00967B03"/>
    <w:rsid w:val="00974CD6"/>
    <w:rsid w:val="009760D3"/>
    <w:rsid w:val="00982B47"/>
    <w:rsid w:val="009C206F"/>
    <w:rsid w:val="009D131A"/>
    <w:rsid w:val="009E1F14"/>
    <w:rsid w:val="00A0183C"/>
    <w:rsid w:val="00A01DEA"/>
    <w:rsid w:val="00A11E7C"/>
    <w:rsid w:val="00A2440C"/>
    <w:rsid w:val="00A2445E"/>
    <w:rsid w:val="00A25653"/>
    <w:rsid w:val="00A30084"/>
    <w:rsid w:val="00A34634"/>
    <w:rsid w:val="00A40BC7"/>
    <w:rsid w:val="00A52C6B"/>
    <w:rsid w:val="00A61CCF"/>
    <w:rsid w:val="00A64624"/>
    <w:rsid w:val="00A73449"/>
    <w:rsid w:val="00A857D9"/>
    <w:rsid w:val="00A866AE"/>
    <w:rsid w:val="00A963E2"/>
    <w:rsid w:val="00AA04AA"/>
    <w:rsid w:val="00AA1280"/>
    <w:rsid w:val="00AA1D89"/>
    <w:rsid w:val="00AA526C"/>
    <w:rsid w:val="00AC3137"/>
    <w:rsid w:val="00AD15AC"/>
    <w:rsid w:val="00AD351F"/>
    <w:rsid w:val="00AE1E6E"/>
    <w:rsid w:val="00AF28BC"/>
    <w:rsid w:val="00B0121B"/>
    <w:rsid w:val="00B2121A"/>
    <w:rsid w:val="00B27607"/>
    <w:rsid w:val="00B4181E"/>
    <w:rsid w:val="00B57AF2"/>
    <w:rsid w:val="00B64627"/>
    <w:rsid w:val="00B773D5"/>
    <w:rsid w:val="00B775A8"/>
    <w:rsid w:val="00B8059F"/>
    <w:rsid w:val="00B815B1"/>
    <w:rsid w:val="00B971F1"/>
    <w:rsid w:val="00BD4F8E"/>
    <w:rsid w:val="00BF6FEC"/>
    <w:rsid w:val="00BF7168"/>
    <w:rsid w:val="00C16D0C"/>
    <w:rsid w:val="00C174FD"/>
    <w:rsid w:val="00C2232B"/>
    <w:rsid w:val="00C2545F"/>
    <w:rsid w:val="00C25D40"/>
    <w:rsid w:val="00C276DA"/>
    <w:rsid w:val="00C323EB"/>
    <w:rsid w:val="00C42BC3"/>
    <w:rsid w:val="00C46D3A"/>
    <w:rsid w:val="00C6128D"/>
    <w:rsid w:val="00C65011"/>
    <w:rsid w:val="00C765C8"/>
    <w:rsid w:val="00C76D22"/>
    <w:rsid w:val="00C86AC7"/>
    <w:rsid w:val="00CA2091"/>
    <w:rsid w:val="00CB43E1"/>
    <w:rsid w:val="00CB6720"/>
    <w:rsid w:val="00CD6433"/>
    <w:rsid w:val="00CE7F36"/>
    <w:rsid w:val="00CF3D1B"/>
    <w:rsid w:val="00CF7369"/>
    <w:rsid w:val="00D04115"/>
    <w:rsid w:val="00D075E4"/>
    <w:rsid w:val="00D11A9B"/>
    <w:rsid w:val="00D15AA7"/>
    <w:rsid w:val="00D4039B"/>
    <w:rsid w:val="00D46869"/>
    <w:rsid w:val="00D67713"/>
    <w:rsid w:val="00D750D0"/>
    <w:rsid w:val="00DB3473"/>
    <w:rsid w:val="00DD704A"/>
    <w:rsid w:val="00DD798A"/>
    <w:rsid w:val="00DE11AD"/>
    <w:rsid w:val="00DE19D8"/>
    <w:rsid w:val="00E00F19"/>
    <w:rsid w:val="00E018D1"/>
    <w:rsid w:val="00E05722"/>
    <w:rsid w:val="00E24D4E"/>
    <w:rsid w:val="00E56EDC"/>
    <w:rsid w:val="00E80127"/>
    <w:rsid w:val="00E8308B"/>
    <w:rsid w:val="00E841CD"/>
    <w:rsid w:val="00E95DA6"/>
    <w:rsid w:val="00EA7A17"/>
    <w:rsid w:val="00EA7D92"/>
    <w:rsid w:val="00EB01F4"/>
    <w:rsid w:val="00EC21B4"/>
    <w:rsid w:val="00EC2949"/>
    <w:rsid w:val="00EC30D6"/>
    <w:rsid w:val="00EE2006"/>
    <w:rsid w:val="00EE3076"/>
    <w:rsid w:val="00EE5713"/>
    <w:rsid w:val="00EF12CF"/>
    <w:rsid w:val="00EF2EEF"/>
    <w:rsid w:val="00EF3631"/>
    <w:rsid w:val="00F0026E"/>
    <w:rsid w:val="00F0141B"/>
    <w:rsid w:val="00F055F4"/>
    <w:rsid w:val="00F07F26"/>
    <w:rsid w:val="00F36B8C"/>
    <w:rsid w:val="00F37C6D"/>
    <w:rsid w:val="00F50A6C"/>
    <w:rsid w:val="00F50E06"/>
    <w:rsid w:val="00F51013"/>
    <w:rsid w:val="00F61219"/>
    <w:rsid w:val="00F629DE"/>
    <w:rsid w:val="00F63EE7"/>
    <w:rsid w:val="00F93B16"/>
    <w:rsid w:val="00FC5F40"/>
    <w:rsid w:val="00FD337C"/>
    <w:rsid w:val="00FD66D5"/>
    <w:rsid w:val="00FE6553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AF8F7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7EB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1744F5"/>
    <w:pPr>
      <w:keepNext/>
      <w:spacing w:before="120" w:line="240" w:lineRule="auto"/>
      <w:ind w:left="720" w:hanging="720"/>
      <w:outlineLvl w:val="1"/>
    </w:pPr>
    <w:rPr>
      <w:rFonts w:asciiTheme="minorHAnsi" w:eastAsiaTheme="minorEastAsia" w:hAnsiTheme="minorHAnsi"/>
      <w:b/>
      <w:bCs/>
      <w:color w:val="5482AB"/>
      <w:sz w:val="32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1744F5"/>
    <w:rPr>
      <w:rFonts w:asciiTheme="minorHAnsi" w:eastAsiaTheme="minorEastAsia" w:hAnsiTheme="minorHAnsi" w:cstheme="minorBidi"/>
      <w:b/>
      <w:bCs/>
      <w:color w:val="5482AB"/>
      <w:sz w:val="3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tabs>
        <w:tab w:val="num" w:pos="360"/>
      </w:tabs>
      <w:ind w:left="0" w:firstLine="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3A3490"/>
    <w:pPr>
      <w:spacing w:before="120" w:after="120"/>
    </w:pPr>
    <w:rPr>
      <w:rFonts w:asciiTheme="minorHAnsi" w:eastAsiaTheme="minorHAnsi" w:hAnsiTheme="minorHAnsi" w:cstheme="minorBidi"/>
      <w:b/>
      <w:i/>
      <w:color w:val="5482AB"/>
      <w:sz w:val="3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20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7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portlegislation@agriculture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6" ma:contentTypeDescription="Create a new document." ma:contentTypeScope="" ma:versionID="6720276c43cc8f6a7ca3ca8a8053be91">
  <xsd:schema xmlns:xsd="http://www.w3.org/2001/XMLSchema" xmlns:xs="http://www.w3.org/2001/XMLSchema" xmlns:p="http://schemas.microsoft.com/office/2006/metadata/properties" xmlns:ns2="2b53c995-2120-4bc0-8922-c25044d37f65" xmlns:ns3="c95b51c2-b2ac-4224-a5b5-069909057829" targetNamespace="http://schemas.microsoft.com/office/2006/metadata/properties" ma:root="true" ma:fieldsID="1f93a7e01b84e107d287d426a3363593" ns2:_="" ns3:_="">
    <xsd:import namespace="2b53c995-2120-4bc0-8922-c25044d37f65"/>
    <xsd:import namespace="c95b51c2-b2ac-4224-a5b5-06990905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CB3A55-499E-451F-BE89-38BF2B98E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952C49-F187-4612-B451-177360C17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the Export Control (Wood and Woodchips) Rules 2021</vt:lpstr>
    </vt:vector>
  </TitlesOfParts>
  <Company/>
  <LinksUpToDate>false</LinksUpToDate>
  <CharactersWithSpaces>4504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the Export Control (Wood and Woodchips) Rules 2021</dc:title>
  <dc:creator>Department of Agriculture, Water and the Environment</dc:creator>
  <cp:lastModifiedBy>Dang, Van</cp:lastModifiedBy>
  <cp:revision>4</cp:revision>
  <cp:lastPrinted>2020-02-06T22:11:00Z</cp:lastPrinted>
  <dcterms:created xsi:type="dcterms:W3CDTF">2021-04-27T03:48:00Z</dcterms:created>
  <dcterms:modified xsi:type="dcterms:W3CDTF">2021-04-29T02:47:00Z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ocHome">
    <vt:i4>-1840934161</vt:i4>
  </property>
</Properties>
</file>