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3560" w14:textId="2F51AD3D" w:rsidR="00445487" w:rsidRPr="00445487" w:rsidRDefault="00BA5068" w:rsidP="00445487">
      <w:pPr>
        <w:pStyle w:val="Date"/>
      </w:pPr>
      <w:r>
        <w:t xml:space="preserve">March </w:t>
      </w:r>
      <w:r w:rsidR="00D750D0">
        <w:t>20</w:t>
      </w:r>
      <w:r w:rsidR="00445487">
        <w:t>2</w:t>
      </w:r>
      <w:r>
        <w:t>1</w:t>
      </w:r>
    </w:p>
    <w:p w14:paraId="4D4F9025" w14:textId="6B6FC0AB" w:rsidR="00445487" w:rsidRPr="00445487" w:rsidRDefault="00445487" w:rsidP="00445487">
      <w:pPr>
        <w:pStyle w:val="Series"/>
      </w:pPr>
      <w:r w:rsidRPr="00445487">
        <w:t>Improv</w:t>
      </w:r>
      <w:r w:rsidR="007B4643">
        <w:t>ed</w:t>
      </w:r>
      <w:r w:rsidRPr="00445487">
        <w:t xml:space="preserve"> agricultural export legislation</w:t>
      </w:r>
    </w:p>
    <w:p w14:paraId="069B727F" w14:textId="14070621" w:rsidR="00B60F8C" w:rsidRPr="00F317FB" w:rsidRDefault="00B60F8C" w:rsidP="00B60F8C">
      <w:pPr>
        <w:pStyle w:val="Heading1"/>
        <w:spacing w:before="240"/>
      </w:pPr>
      <w:r w:rsidRPr="00F317FB">
        <w:t xml:space="preserve">Outline of the </w:t>
      </w:r>
      <w:r>
        <w:t xml:space="preserve">Export </w:t>
      </w:r>
      <w:r w:rsidR="00CD222B">
        <w:t>Cost Recovery Framework</w:t>
      </w:r>
    </w:p>
    <w:p w14:paraId="14842C95" w14:textId="77777777" w:rsidR="00B60F8C" w:rsidRPr="00466F30" w:rsidRDefault="00B60F8C" w:rsidP="00B60F8C">
      <w:pPr>
        <w:pStyle w:val="Heading2"/>
      </w:pPr>
      <w:r w:rsidRPr="00466F30">
        <w:t>Introduction</w:t>
      </w:r>
    </w:p>
    <w:p w14:paraId="2DAF1DAE" w14:textId="1ACF5109" w:rsidR="00B60F8C" w:rsidRDefault="006F1C2C" w:rsidP="00B55F77">
      <w:pPr>
        <w:spacing w:line="240" w:lineRule="auto"/>
        <w:rPr>
          <w:lang w:eastAsia="ja-JP"/>
        </w:rPr>
      </w:pPr>
      <w:bookmarkStart w:id="0" w:name="_Hlk38528375"/>
      <w:r w:rsidRPr="00A33149">
        <w:t xml:space="preserve">The cost recovery legislation allows the Commonwealth to impose </w:t>
      </w:r>
      <w:r w:rsidR="006331F7">
        <w:t xml:space="preserve">fees and </w:t>
      </w:r>
      <w:r w:rsidRPr="00A33149">
        <w:t>charges and appropriately recover costs for providing export certification services. The export cost recovery framework</w:t>
      </w:r>
      <w:r w:rsidR="002C6026">
        <w:t>,</w:t>
      </w:r>
      <w:r w:rsidRPr="00A33149">
        <w:t xml:space="preserve"> </w:t>
      </w:r>
      <w:r w:rsidR="00DC2989">
        <w:t xml:space="preserve">developed as a consequence of the </w:t>
      </w:r>
      <w:r w:rsidR="00DC2989" w:rsidRPr="00DC2989">
        <w:rPr>
          <w:rStyle w:val="Emphasis"/>
        </w:rPr>
        <w:t>Export Control Act 2020</w:t>
      </w:r>
      <w:r w:rsidR="00BF3F4A">
        <w:rPr>
          <w:rStyle w:val="Emphasis"/>
        </w:rPr>
        <w:t>,</w:t>
      </w:r>
      <w:r w:rsidR="00DC2989">
        <w:t xml:space="preserve"> </w:t>
      </w:r>
      <w:r w:rsidR="00C46C42">
        <w:rPr>
          <w:lang w:eastAsia="ja-JP"/>
        </w:rPr>
        <w:t>consists of 3 legislative instruments:</w:t>
      </w:r>
    </w:p>
    <w:p w14:paraId="0B423713" w14:textId="10ECD70F" w:rsidR="00C46C42" w:rsidRDefault="00C46C42" w:rsidP="00E35BC9">
      <w:pPr>
        <w:pStyle w:val="ListNumber"/>
        <w:rPr>
          <w:lang w:eastAsia="ja-JP"/>
        </w:rPr>
      </w:pPr>
      <w:r>
        <w:rPr>
          <w:lang w:eastAsia="ja-JP"/>
        </w:rPr>
        <w:t>Export Charges (Imposition–General) Regulations 202</w:t>
      </w:r>
      <w:r w:rsidR="002436EB">
        <w:rPr>
          <w:lang w:eastAsia="ja-JP"/>
        </w:rPr>
        <w:t>1</w:t>
      </w:r>
    </w:p>
    <w:p w14:paraId="5D9AE266" w14:textId="38422BDA" w:rsidR="00C46C42" w:rsidRDefault="00C46C42" w:rsidP="00E35BC9">
      <w:pPr>
        <w:pStyle w:val="ListNumber"/>
        <w:rPr>
          <w:lang w:eastAsia="ja-JP"/>
        </w:rPr>
      </w:pPr>
      <w:r>
        <w:rPr>
          <w:lang w:eastAsia="ja-JP"/>
        </w:rPr>
        <w:t>Export Charges (Imposition–Customs) Regulations 202</w:t>
      </w:r>
      <w:r w:rsidR="002436EB">
        <w:rPr>
          <w:lang w:eastAsia="ja-JP"/>
        </w:rPr>
        <w:t>1</w:t>
      </w:r>
    </w:p>
    <w:p w14:paraId="7B7C4BA3" w14:textId="56F13FFA" w:rsidR="00C46C42" w:rsidRDefault="00C46C42" w:rsidP="00E35BC9">
      <w:pPr>
        <w:pStyle w:val="ListNumber"/>
        <w:rPr>
          <w:lang w:eastAsia="ja-JP"/>
        </w:rPr>
      </w:pPr>
      <w:r>
        <w:rPr>
          <w:lang w:eastAsia="ja-JP"/>
        </w:rPr>
        <w:t>Export Control (Fees and Payments) Rules 202</w:t>
      </w:r>
      <w:r w:rsidR="002436EB">
        <w:rPr>
          <w:lang w:eastAsia="ja-JP"/>
        </w:rPr>
        <w:t>1</w:t>
      </w:r>
      <w:r>
        <w:rPr>
          <w:lang w:eastAsia="ja-JP"/>
        </w:rPr>
        <w:t>.</w:t>
      </w:r>
    </w:p>
    <w:p w14:paraId="24C73FB4" w14:textId="50739E18" w:rsidR="00937DB5" w:rsidRDefault="00937DB5" w:rsidP="00EF436A">
      <w:r w:rsidRPr="00A33149">
        <w:t>The export cost recovery framework includes updates to align it with Australia’s new agricultural export legislation which commence</w:t>
      </w:r>
      <w:r w:rsidR="002436EB">
        <w:t>d</w:t>
      </w:r>
      <w:r w:rsidRPr="00A33149">
        <w:t xml:space="preserve"> on 28 March 2021</w:t>
      </w:r>
      <w:r w:rsidR="002C6026">
        <w:t>.</w:t>
      </w:r>
      <w:r w:rsidR="002E2757">
        <w:t xml:space="preserve"> </w:t>
      </w:r>
      <w:r w:rsidR="002C6026">
        <w:t>It</w:t>
      </w:r>
      <w:r w:rsidR="00DC2989">
        <w:t xml:space="preserve"> </w:t>
      </w:r>
      <w:r w:rsidR="007B4643">
        <w:t>has</w:t>
      </w:r>
      <w:r w:rsidR="00DC2989">
        <w:t xml:space="preserve"> not introduce</w:t>
      </w:r>
      <w:r w:rsidR="007B4643">
        <w:t>d</w:t>
      </w:r>
      <w:r w:rsidR="00DC2989">
        <w:t xml:space="preserve"> any new </w:t>
      </w:r>
      <w:r w:rsidR="006331F7">
        <w:t xml:space="preserve">fees or </w:t>
      </w:r>
      <w:r w:rsidR="00DC2989">
        <w:t>charges or increase</w:t>
      </w:r>
      <w:r w:rsidR="007B4643">
        <w:t>d</w:t>
      </w:r>
      <w:r w:rsidR="00DC2989">
        <w:t xml:space="preserve"> existing </w:t>
      </w:r>
      <w:r w:rsidR="006331F7">
        <w:t xml:space="preserve">fees or </w:t>
      </w:r>
      <w:r w:rsidR="00DC2989">
        <w:t>charges for export certification services.</w:t>
      </w:r>
    </w:p>
    <w:p w14:paraId="0AE39989" w14:textId="7C11BA15" w:rsidR="00937DB5" w:rsidRDefault="00937DB5" w:rsidP="00EF436A">
      <w:r w:rsidRPr="00A33149">
        <w:t>The new</w:t>
      </w:r>
      <w:r w:rsidR="00453594">
        <w:t xml:space="preserve"> agricultural</w:t>
      </w:r>
      <w:r w:rsidRPr="00A33149">
        <w:t xml:space="preserve"> export legislation is comprised of the</w:t>
      </w:r>
      <w:r>
        <w:t>:</w:t>
      </w:r>
    </w:p>
    <w:p w14:paraId="5885D8A3" w14:textId="4B3DC30F" w:rsidR="00937DB5" w:rsidRDefault="00937DB5" w:rsidP="00EF436A">
      <w:pPr>
        <w:pStyle w:val="ListBullet"/>
        <w:spacing w:before="0"/>
      </w:pPr>
      <w:r w:rsidRPr="006D18A8">
        <w:rPr>
          <w:i/>
          <w:iCs/>
        </w:rPr>
        <w:t>Export Control Act 2020</w:t>
      </w:r>
      <w:r>
        <w:t xml:space="preserve"> which </w:t>
      </w:r>
      <w:r w:rsidRPr="00A33149">
        <w:t xml:space="preserve">consolidates export </w:t>
      </w:r>
      <w:r w:rsidR="001137C3">
        <w:t>requirements</w:t>
      </w:r>
      <w:r w:rsidR="00702830">
        <w:t xml:space="preserve"> previously</w:t>
      </w:r>
      <w:r w:rsidR="001137C3">
        <w:t xml:space="preserve"> included</w:t>
      </w:r>
      <w:r w:rsidRPr="00A33149">
        <w:t xml:space="preserve"> in </w:t>
      </w:r>
      <w:r w:rsidR="001137C3">
        <w:t>more than</w:t>
      </w:r>
      <w:r w:rsidRPr="00A33149">
        <w:t xml:space="preserve"> 20 Acts and 40 legislative instruments</w:t>
      </w:r>
      <w:r w:rsidR="001137C3">
        <w:t xml:space="preserve"> into one Act</w:t>
      </w:r>
    </w:p>
    <w:p w14:paraId="107151B6" w14:textId="3CF2B371" w:rsidR="001A0926" w:rsidRPr="00F65EFA" w:rsidRDefault="00937DB5" w:rsidP="00EF436A">
      <w:pPr>
        <w:pStyle w:val="ListBullet"/>
        <w:spacing w:before="0"/>
      </w:pPr>
      <w:r w:rsidRPr="009F0864">
        <w:t>Export Control Rules 202</w:t>
      </w:r>
      <w:r w:rsidR="002436EB">
        <w:t>1</w:t>
      </w:r>
      <w:r w:rsidRPr="009F0864">
        <w:t xml:space="preserve"> </w:t>
      </w:r>
      <w:r w:rsidR="004C1C39">
        <w:t xml:space="preserve">which </w:t>
      </w:r>
      <w:r w:rsidRPr="006D18A8">
        <w:rPr>
          <w:rFonts w:cs="Segoe UI"/>
          <w:color w:val="000000"/>
          <w:lang w:val="en"/>
        </w:rPr>
        <w:t xml:space="preserve">outline the operational requirements that </w:t>
      </w:r>
      <w:r w:rsidR="003F4A1D">
        <w:rPr>
          <w:rFonts w:cs="Segoe UI"/>
          <w:color w:val="000000"/>
          <w:lang w:val="en"/>
        </w:rPr>
        <w:t>must be met</w:t>
      </w:r>
      <w:r w:rsidRPr="006D18A8">
        <w:rPr>
          <w:rFonts w:cs="Segoe UI"/>
          <w:color w:val="000000"/>
          <w:lang w:val="en"/>
        </w:rPr>
        <w:t xml:space="preserve"> to export specific </w:t>
      </w:r>
      <w:r w:rsidR="003F4A1D">
        <w:rPr>
          <w:rFonts w:cs="Segoe UI"/>
          <w:color w:val="000000"/>
          <w:lang w:val="en"/>
        </w:rPr>
        <w:t>goods</w:t>
      </w:r>
      <w:r w:rsidRPr="006D18A8">
        <w:rPr>
          <w:rFonts w:cs="Segoe UI"/>
          <w:color w:val="000000"/>
          <w:lang w:val="en"/>
        </w:rPr>
        <w:t xml:space="preserve"> from Australia.</w:t>
      </w:r>
    </w:p>
    <w:p w14:paraId="21DD2ED4" w14:textId="13460E0F" w:rsidR="00453594" w:rsidRDefault="00453594" w:rsidP="00E35BC9">
      <w:r w:rsidRPr="00D527A5">
        <w:t xml:space="preserve">The </w:t>
      </w:r>
      <w:r w:rsidR="003F4A1D">
        <w:t xml:space="preserve">new export </w:t>
      </w:r>
      <w:r w:rsidRPr="00D527A5">
        <w:t>legislati</w:t>
      </w:r>
      <w:r w:rsidR="003F4A1D">
        <w:t xml:space="preserve">on </w:t>
      </w:r>
      <w:r w:rsidRPr="00D527A5">
        <w:t>replace</w:t>
      </w:r>
      <w:r w:rsidR="002436EB">
        <w:t>d</w:t>
      </w:r>
      <w:r w:rsidRPr="00D527A5">
        <w:t xml:space="preserve"> the </w:t>
      </w:r>
      <w:r w:rsidRPr="00DC2989">
        <w:rPr>
          <w:rStyle w:val="Emphasis"/>
        </w:rPr>
        <w:t xml:space="preserve">Export Control Act </w:t>
      </w:r>
      <w:r w:rsidR="00FE736C" w:rsidRPr="00DC2989">
        <w:rPr>
          <w:rStyle w:val="Emphasis"/>
        </w:rPr>
        <w:t>1982</w:t>
      </w:r>
      <w:r w:rsidR="00FE736C" w:rsidRPr="00D527A5">
        <w:t>, export</w:t>
      </w:r>
      <w:r w:rsidRPr="00D527A5">
        <w:t>-related provisions in the </w:t>
      </w:r>
      <w:r w:rsidRPr="00D961E4">
        <w:rPr>
          <w:rStyle w:val="Emphasis"/>
        </w:rPr>
        <w:t>Australian Meat and Live-stock Industry Act 1997</w:t>
      </w:r>
      <w:r w:rsidRPr="00D527A5">
        <w:t> </w:t>
      </w:r>
      <w:r w:rsidR="00BA210A">
        <w:t xml:space="preserve">and related </w:t>
      </w:r>
      <w:r w:rsidRPr="00D527A5">
        <w:t>legislative instruments, such as orders and regulations.</w:t>
      </w:r>
    </w:p>
    <w:p w14:paraId="7334A909" w14:textId="2B3CA045" w:rsidR="00EF436A" w:rsidRPr="00EF436A" w:rsidRDefault="00EF436A" w:rsidP="00EF436A">
      <w:pPr>
        <w:pStyle w:val="Heading2"/>
      </w:pPr>
      <w:r>
        <w:t>Export Charges Regulations</w:t>
      </w:r>
    </w:p>
    <w:p w14:paraId="7653E954" w14:textId="40C61550" w:rsidR="004D1E4D" w:rsidRDefault="001A0926" w:rsidP="00EF436A">
      <w:pPr>
        <w:rPr>
          <w:lang w:eastAsia="ja-JP"/>
        </w:rPr>
      </w:pPr>
      <w:r>
        <w:t xml:space="preserve">The </w:t>
      </w:r>
      <w:r w:rsidRPr="001A0926">
        <w:t>Export Charges (Imposition–General) Regulations 202</w:t>
      </w:r>
      <w:r w:rsidR="002436EB">
        <w:t>1</w:t>
      </w:r>
      <w:r>
        <w:t xml:space="preserve"> and the </w:t>
      </w:r>
      <w:r>
        <w:rPr>
          <w:lang w:eastAsia="ja-JP"/>
        </w:rPr>
        <w:t>Export Charges (Imposition–Customs) Regulations 202</w:t>
      </w:r>
      <w:r w:rsidR="002436EB">
        <w:rPr>
          <w:lang w:eastAsia="ja-JP"/>
        </w:rPr>
        <w:t>1</w:t>
      </w:r>
      <w:r>
        <w:rPr>
          <w:lang w:eastAsia="ja-JP"/>
        </w:rPr>
        <w:t xml:space="preserve"> </w:t>
      </w:r>
      <w:r w:rsidR="004D1E4D">
        <w:rPr>
          <w:lang w:eastAsia="ja-JP"/>
        </w:rPr>
        <w:t>outline:</w:t>
      </w:r>
    </w:p>
    <w:p w14:paraId="17582E47" w14:textId="43CF897E" w:rsidR="001A0926" w:rsidRPr="00E35BC9" w:rsidRDefault="004D1E4D" w:rsidP="00E35BC9">
      <w:pPr>
        <w:pStyle w:val="ListBullet"/>
        <w:rPr>
          <w:rStyle w:val="Emphasis"/>
        </w:rPr>
      </w:pPr>
      <w:r>
        <w:rPr>
          <w:lang w:eastAsia="ja-JP"/>
        </w:rPr>
        <w:t xml:space="preserve">charges in relation to the export of certain goods covered by the </w:t>
      </w:r>
      <w:r w:rsidRPr="00E35BC9">
        <w:rPr>
          <w:rStyle w:val="Emphasis"/>
        </w:rPr>
        <w:t>Export Control Act 2020</w:t>
      </w:r>
    </w:p>
    <w:p w14:paraId="0BDA7D9E" w14:textId="0A2C8325" w:rsidR="004D1E4D" w:rsidRDefault="004D1E4D" w:rsidP="00E35BC9">
      <w:pPr>
        <w:pStyle w:val="ListBullet"/>
        <w:rPr>
          <w:lang w:eastAsia="ja-JP"/>
        </w:rPr>
      </w:pPr>
      <w:r>
        <w:rPr>
          <w:lang w:eastAsia="ja-JP"/>
        </w:rPr>
        <w:t xml:space="preserve">charges in relation to matters </w:t>
      </w:r>
      <w:r w:rsidR="00702830">
        <w:rPr>
          <w:lang w:eastAsia="ja-JP"/>
        </w:rPr>
        <w:t>associated with</w:t>
      </w:r>
      <w:r>
        <w:rPr>
          <w:lang w:eastAsia="ja-JP"/>
        </w:rPr>
        <w:t xml:space="preserve"> the export of certain goods covered by the </w:t>
      </w:r>
      <w:r w:rsidRPr="00E35BC9">
        <w:rPr>
          <w:rStyle w:val="Emphasis"/>
        </w:rPr>
        <w:t xml:space="preserve">Export Control Act 2020 </w:t>
      </w:r>
      <w:r>
        <w:rPr>
          <w:lang w:eastAsia="ja-JP"/>
        </w:rPr>
        <w:t>and</w:t>
      </w:r>
    </w:p>
    <w:p w14:paraId="0B536666" w14:textId="0D50D681" w:rsidR="004D1E4D" w:rsidRDefault="004D1E4D" w:rsidP="00E35BC9">
      <w:pPr>
        <w:pStyle w:val="ListBullet"/>
        <w:rPr>
          <w:lang w:eastAsia="ja-JP"/>
        </w:rPr>
      </w:pPr>
      <w:r>
        <w:rPr>
          <w:lang w:eastAsia="ja-JP"/>
        </w:rPr>
        <w:t>exemptions from the prescribed charges.</w:t>
      </w:r>
    </w:p>
    <w:p w14:paraId="52B0245E" w14:textId="4158117D" w:rsidR="00937DB5" w:rsidRDefault="004D1E4D" w:rsidP="00EF436A">
      <w:pPr>
        <w:rPr>
          <w:lang w:eastAsia="ja-JP"/>
        </w:rPr>
      </w:pPr>
      <w:r>
        <w:rPr>
          <w:lang w:eastAsia="ja-JP"/>
        </w:rPr>
        <w:t xml:space="preserve">The prescribed charges are imposed as taxes and support </w:t>
      </w:r>
      <w:r w:rsidRPr="00E35BC9">
        <w:rPr>
          <w:rStyle w:val="Emphasis"/>
        </w:rPr>
        <w:t xml:space="preserve">the </w:t>
      </w:r>
      <w:r w:rsidR="006F1C2C" w:rsidRPr="00E35BC9">
        <w:rPr>
          <w:rStyle w:val="Emphasis"/>
        </w:rPr>
        <w:t>Export Charge</w:t>
      </w:r>
      <w:r w:rsidRPr="00E35BC9">
        <w:rPr>
          <w:rStyle w:val="Emphasis"/>
        </w:rPr>
        <w:t xml:space="preserve">s (Imposition—General) Act </w:t>
      </w:r>
      <w:r w:rsidR="007D756E" w:rsidRPr="00E35BC9">
        <w:rPr>
          <w:rStyle w:val="Emphasis"/>
        </w:rPr>
        <w:t>2020</w:t>
      </w:r>
      <w:r w:rsidR="00DC2989">
        <w:rPr>
          <w:rStyle w:val="Emphasis"/>
        </w:rPr>
        <w:t>,</w:t>
      </w:r>
      <w:r w:rsidR="00BA210A">
        <w:rPr>
          <w:rStyle w:val="Emphasis"/>
        </w:rPr>
        <w:t xml:space="preserve"> </w:t>
      </w:r>
      <w:r>
        <w:rPr>
          <w:lang w:eastAsia="ja-JP"/>
        </w:rPr>
        <w:t xml:space="preserve">the </w:t>
      </w:r>
      <w:r w:rsidR="00621A3E" w:rsidRPr="00E35BC9">
        <w:rPr>
          <w:rStyle w:val="Emphasis"/>
        </w:rPr>
        <w:t xml:space="preserve">Export Charges (Imposition—Customs) Act </w:t>
      </w:r>
      <w:r w:rsidR="007D756E" w:rsidRPr="00E35BC9">
        <w:rPr>
          <w:rStyle w:val="Emphasis"/>
        </w:rPr>
        <w:t>2020</w:t>
      </w:r>
      <w:r w:rsidR="00DC2989">
        <w:rPr>
          <w:rStyle w:val="Emphasis"/>
        </w:rPr>
        <w:t xml:space="preserve"> </w:t>
      </w:r>
      <w:r w:rsidR="00DC2989" w:rsidRPr="00BA5551">
        <w:rPr>
          <w:rStyle w:val="Emphasis"/>
          <w:i w:val="0"/>
          <w:iCs w:val="0"/>
        </w:rPr>
        <w:t>and the</w:t>
      </w:r>
      <w:r w:rsidR="00DC2989">
        <w:rPr>
          <w:rStyle w:val="Emphasis"/>
        </w:rPr>
        <w:t xml:space="preserve"> Export Charges (Imposition – Excise</w:t>
      </w:r>
      <w:r w:rsidR="00BA210A">
        <w:rPr>
          <w:rStyle w:val="Emphasis"/>
        </w:rPr>
        <w:t>)</w:t>
      </w:r>
      <w:r w:rsidR="00DC2989">
        <w:rPr>
          <w:rStyle w:val="Emphasis"/>
        </w:rPr>
        <w:t xml:space="preserve"> Amendment Act 2020.</w:t>
      </w:r>
    </w:p>
    <w:p w14:paraId="1EB41807" w14:textId="3CDF47D8" w:rsidR="007D756E" w:rsidRDefault="007D756E" w:rsidP="00EF436A">
      <w:pPr>
        <w:rPr>
          <w:lang w:eastAsia="ja-JP"/>
        </w:rPr>
      </w:pPr>
      <w:r>
        <w:rPr>
          <w:lang w:eastAsia="ja-JP"/>
        </w:rPr>
        <w:lastRenderedPageBreak/>
        <w:t xml:space="preserve">The regulations </w:t>
      </w:r>
      <w:r w:rsidR="002436EB">
        <w:rPr>
          <w:lang w:eastAsia="ja-JP"/>
        </w:rPr>
        <w:t xml:space="preserve">have </w:t>
      </w:r>
      <w:r>
        <w:rPr>
          <w:lang w:eastAsia="ja-JP"/>
        </w:rPr>
        <w:t>replace</w:t>
      </w:r>
      <w:r w:rsidR="002436EB">
        <w:rPr>
          <w:lang w:eastAsia="ja-JP"/>
        </w:rPr>
        <w:t>d</w:t>
      </w:r>
      <w:r>
        <w:rPr>
          <w:lang w:eastAsia="ja-JP"/>
        </w:rPr>
        <w:t xml:space="preserve"> the </w:t>
      </w:r>
      <w:r w:rsidRPr="007D756E">
        <w:rPr>
          <w:lang w:eastAsia="ja-JP"/>
        </w:rPr>
        <w:t>Export Charges (Imposition–General) Regulations 20</w:t>
      </w:r>
      <w:r>
        <w:rPr>
          <w:lang w:eastAsia="ja-JP"/>
        </w:rPr>
        <w:t>15</w:t>
      </w:r>
      <w:r w:rsidRPr="007D756E">
        <w:rPr>
          <w:lang w:eastAsia="ja-JP"/>
        </w:rPr>
        <w:t xml:space="preserve"> and the Export Charges (Imposition–Customs) Regulations 20</w:t>
      </w:r>
      <w:r>
        <w:rPr>
          <w:lang w:eastAsia="ja-JP"/>
        </w:rPr>
        <w:t>15.</w:t>
      </w:r>
    </w:p>
    <w:p w14:paraId="7379ED97" w14:textId="5CD40986" w:rsidR="00EF436A" w:rsidRDefault="00EF436A" w:rsidP="00EF436A">
      <w:pPr>
        <w:pStyle w:val="Heading2"/>
      </w:pPr>
      <w:r>
        <w:t>Export Control Rules 202</w:t>
      </w:r>
      <w:r w:rsidR="002436EB">
        <w:t>1</w:t>
      </w:r>
    </w:p>
    <w:p w14:paraId="28ED8F11" w14:textId="48C204F9" w:rsidR="00621A3E" w:rsidRDefault="00621A3E" w:rsidP="00EF436A">
      <w:pPr>
        <w:rPr>
          <w:lang w:eastAsia="ja-JP"/>
        </w:rPr>
      </w:pPr>
      <w:r>
        <w:rPr>
          <w:lang w:eastAsia="ja-JP"/>
        </w:rPr>
        <w:t>The Export Control (Fees and Payments) Rules 202</w:t>
      </w:r>
      <w:r w:rsidR="002436EB">
        <w:rPr>
          <w:lang w:eastAsia="ja-JP"/>
        </w:rPr>
        <w:t>1</w:t>
      </w:r>
      <w:r>
        <w:rPr>
          <w:lang w:eastAsia="ja-JP"/>
        </w:rPr>
        <w:t xml:space="preserve"> </w:t>
      </w:r>
      <w:r w:rsidR="00702830">
        <w:rPr>
          <w:lang w:eastAsia="ja-JP"/>
        </w:rPr>
        <w:t xml:space="preserve">include </w:t>
      </w:r>
      <w:r>
        <w:rPr>
          <w:lang w:eastAsia="ja-JP"/>
        </w:rPr>
        <w:t>the following</w:t>
      </w:r>
      <w:r w:rsidR="00702830">
        <w:rPr>
          <w:lang w:eastAsia="ja-JP"/>
        </w:rPr>
        <w:t xml:space="preserve"> information</w:t>
      </w:r>
      <w:r>
        <w:rPr>
          <w:lang w:eastAsia="ja-JP"/>
        </w:rPr>
        <w:t>:</w:t>
      </w:r>
    </w:p>
    <w:p w14:paraId="1D81D728" w14:textId="040C1AC0" w:rsidR="00621A3E" w:rsidRDefault="00621A3E" w:rsidP="00E35BC9">
      <w:pPr>
        <w:pStyle w:val="ListBullet"/>
        <w:rPr>
          <w:lang w:eastAsia="ja-JP"/>
        </w:rPr>
      </w:pPr>
      <w:r>
        <w:rPr>
          <w:lang w:eastAsia="ja-JP"/>
        </w:rPr>
        <w:t>the person</w:t>
      </w:r>
      <w:r w:rsidR="00D02ECB">
        <w:rPr>
          <w:lang w:eastAsia="ja-JP"/>
        </w:rPr>
        <w:t>s</w:t>
      </w:r>
      <w:r>
        <w:rPr>
          <w:lang w:eastAsia="ja-JP"/>
        </w:rPr>
        <w:t xml:space="preserve"> who are liable to pay the charges</w:t>
      </w:r>
    </w:p>
    <w:p w14:paraId="3D879069" w14:textId="44D7E61D" w:rsidR="00621A3E" w:rsidRDefault="00621A3E" w:rsidP="00E35BC9">
      <w:pPr>
        <w:pStyle w:val="ListBullet"/>
        <w:rPr>
          <w:lang w:eastAsia="ja-JP"/>
        </w:rPr>
      </w:pPr>
      <w:r>
        <w:rPr>
          <w:lang w:eastAsia="ja-JP"/>
        </w:rPr>
        <w:t>the time when the charges are due and payable</w:t>
      </w:r>
    </w:p>
    <w:p w14:paraId="4CC1E0BF" w14:textId="4D7B976C" w:rsidR="00621A3E" w:rsidRDefault="00621A3E" w:rsidP="00E35BC9">
      <w:pPr>
        <w:pStyle w:val="ListBullet"/>
        <w:rPr>
          <w:lang w:eastAsia="ja-JP"/>
        </w:rPr>
      </w:pPr>
      <w:r>
        <w:rPr>
          <w:lang w:eastAsia="ja-JP"/>
        </w:rPr>
        <w:t>matters relating to unpaid charges including late payment fees.</w:t>
      </w:r>
    </w:p>
    <w:p w14:paraId="5E1DCB85" w14:textId="475FE0F0" w:rsidR="007D756E" w:rsidRPr="00621A3E" w:rsidRDefault="00702830" w:rsidP="007D756E">
      <w:pPr>
        <w:rPr>
          <w:lang w:eastAsia="ja-JP"/>
        </w:rPr>
      </w:pPr>
      <w:r>
        <w:rPr>
          <w:lang w:eastAsia="ja-JP"/>
        </w:rPr>
        <w:t xml:space="preserve">The Rules </w:t>
      </w:r>
      <w:r w:rsidR="007D756E">
        <w:rPr>
          <w:lang w:eastAsia="ja-JP"/>
        </w:rPr>
        <w:t>replac</w:t>
      </w:r>
      <w:r w:rsidR="00927FB6">
        <w:rPr>
          <w:lang w:eastAsia="ja-JP"/>
        </w:rPr>
        <w:t>e</w:t>
      </w:r>
      <w:r w:rsidR="002436EB">
        <w:rPr>
          <w:lang w:eastAsia="ja-JP"/>
        </w:rPr>
        <w:t>d</w:t>
      </w:r>
      <w:r w:rsidR="007D756E">
        <w:rPr>
          <w:lang w:eastAsia="ja-JP"/>
        </w:rPr>
        <w:t xml:space="preserve"> the previous Export Control (Fees)</w:t>
      </w:r>
      <w:r w:rsidR="000C067A">
        <w:rPr>
          <w:lang w:eastAsia="ja-JP"/>
        </w:rPr>
        <w:t xml:space="preserve"> </w:t>
      </w:r>
      <w:r w:rsidR="007D756E">
        <w:rPr>
          <w:lang w:eastAsia="ja-JP"/>
        </w:rPr>
        <w:t>Order 2015.</w:t>
      </w:r>
    </w:p>
    <w:p w14:paraId="0DC161B6" w14:textId="71627E33" w:rsidR="002E2757" w:rsidRDefault="002E2757" w:rsidP="002E2757">
      <w:pPr>
        <w:pStyle w:val="Heading2"/>
      </w:pPr>
      <w:bookmarkStart w:id="1" w:name="_Hlk58596045"/>
      <w:bookmarkEnd w:id="0"/>
      <w:r>
        <w:t>Review of Export Cost Recovery Implementation Statements</w:t>
      </w:r>
    </w:p>
    <w:p w14:paraId="5689C92E" w14:textId="2DE04E71" w:rsidR="00FA6B99" w:rsidRDefault="00517442" w:rsidP="002E2757">
      <w:pPr>
        <w:rPr>
          <w:lang w:eastAsia="ja-JP"/>
        </w:rPr>
      </w:pPr>
      <w:r>
        <w:rPr>
          <w:lang w:eastAsia="ja-JP"/>
        </w:rPr>
        <w:t>On 17 February 2021, the department released seven 2020</w:t>
      </w:r>
      <w:r w:rsidR="00FA6B99" w:rsidRPr="00FA6B99">
        <w:rPr>
          <w:lang w:eastAsia="ja-JP"/>
        </w:rPr>
        <w:t>–</w:t>
      </w:r>
      <w:r>
        <w:rPr>
          <w:lang w:eastAsia="ja-JP"/>
        </w:rPr>
        <w:t xml:space="preserve">21 Cost Recovery Implementation Statements (CRIS) </w:t>
      </w:r>
      <w:r w:rsidR="00E257D6">
        <w:rPr>
          <w:lang w:eastAsia="ja-JP"/>
        </w:rPr>
        <w:t>for illustrative purposes. These CRIS</w:t>
      </w:r>
      <w:r w:rsidR="00FA6B99">
        <w:rPr>
          <w:lang w:eastAsia="ja-JP"/>
        </w:rPr>
        <w:t xml:space="preserve"> describe</w:t>
      </w:r>
      <w:r>
        <w:rPr>
          <w:lang w:eastAsia="ja-JP"/>
        </w:rPr>
        <w:t xml:space="preserve"> the </w:t>
      </w:r>
      <w:r w:rsidR="00262A76">
        <w:rPr>
          <w:lang w:eastAsia="ja-JP"/>
        </w:rPr>
        <w:t xml:space="preserve">financial </w:t>
      </w:r>
      <w:r>
        <w:rPr>
          <w:lang w:eastAsia="ja-JP"/>
        </w:rPr>
        <w:t>impact of the</w:t>
      </w:r>
      <w:r w:rsidRPr="00517442">
        <w:t xml:space="preserve"> </w:t>
      </w:r>
      <w:r w:rsidRPr="00517442">
        <w:rPr>
          <w:lang w:eastAsia="ja-JP"/>
        </w:rPr>
        <w:t>2020–21 Federal Budget package Busting Congestion for Agricultural Exporters</w:t>
      </w:r>
      <w:r w:rsidR="00262A76">
        <w:rPr>
          <w:lang w:eastAsia="ja-JP"/>
        </w:rPr>
        <w:t>.</w:t>
      </w:r>
      <w:r w:rsidR="007C5690">
        <w:rPr>
          <w:lang w:eastAsia="ja-JP"/>
        </w:rPr>
        <w:t xml:space="preserve"> </w:t>
      </w:r>
      <w:r w:rsidR="00262A76">
        <w:rPr>
          <w:lang w:eastAsia="ja-JP"/>
        </w:rPr>
        <w:t>F</w:t>
      </w:r>
      <w:r w:rsidRPr="00517442">
        <w:rPr>
          <w:lang w:eastAsia="ja-JP"/>
        </w:rPr>
        <w:t xml:space="preserve">ees and charges </w:t>
      </w:r>
      <w:r w:rsidR="00262A76">
        <w:rPr>
          <w:lang w:eastAsia="ja-JP"/>
        </w:rPr>
        <w:t xml:space="preserve">are frozen </w:t>
      </w:r>
      <w:r w:rsidRPr="00517442">
        <w:rPr>
          <w:lang w:eastAsia="ja-JP"/>
        </w:rPr>
        <w:t>in 2020–21</w:t>
      </w:r>
      <w:r w:rsidR="00E257D6">
        <w:rPr>
          <w:lang w:eastAsia="ja-JP"/>
        </w:rPr>
        <w:t xml:space="preserve"> and </w:t>
      </w:r>
      <w:r w:rsidR="00702830">
        <w:rPr>
          <w:lang w:eastAsia="ja-JP"/>
        </w:rPr>
        <w:t xml:space="preserve">the CRIS introduce </w:t>
      </w:r>
      <w:r w:rsidR="00CE452D">
        <w:rPr>
          <w:lang w:eastAsia="ja-JP"/>
        </w:rPr>
        <w:t>a</w:t>
      </w:r>
      <w:r w:rsidR="00E257D6">
        <w:rPr>
          <w:lang w:eastAsia="ja-JP"/>
        </w:rPr>
        <w:t xml:space="preserve"> stepped increase to full cost recovery by 2023</w:t>
      </w:r>
      <w:r w:rsidR="00E257D6" w:rsidRPr="00E257D6">
        <w:rPr>
          <w:lang w:eastAsia="ja-JP"/>
        </w:rPr>
        <w:t>–</w:t>
      </w:r>
      <w:r w:rsidR="00E257D6">
        <w:rPr>
          <w:lang w:eastAsia="ja-JP"/>
        </w:rPr>
        <w:t>24</w:t>
      </w:r>
      <w:r>
        <w:rPr>
          <w:lang w:eastAsia="ja-JP"/>
        </w:rPr>
        <w:t>.</w:t>
      </w:r>
    </w:p>
    <w:p w14:paraId="77E22CBF" w14:textId="72179A22" w:rsidR="002E2757" w:rsidRDefault="002E2757" w:rsidP="002E2757">
      <w:pPr>
        <w:rPr>
          <w:lang w:eastAsia="ja-JP"/>
        </w:rPr>
      </w:pPr>
      <w:r>
        <w:rPr>
          <w:lang w:eastAsia="ja-JP"/>
        </w:rPr>
        <w:t xml:space="preserve">Through a process independent of the implementation of the </w:t>
      </w:r>
      <w:r>
        <w:rPr>
          <w:i/>
          <w:iCs/>
          <w:lang w:eastAsia="ja-JP"/>
        </w:rPr>
        <w:t xml:space="preserve">Export Control Act 2020 </w:t>
      </w:r>
      <w:r>
        <w:rPr>
          <w:lang w:eastAsia="ja-JP"/>
        </w:rPr>
        <w:t>the department is reviewing fees and charges for export cost recovery arrangements</w:t>
      </w:r>
      <w:r w:rsidR="00702830">
        <w:rPr>
          <w:lang w:eastAsia="ja-JP"/>
        </w:rPr>
        <w:t xml:space="preserve"> in 2020-21.</w:t>
      </w:r>
      <w:r>
        <w:rPr>
          <w:lang w:eastAsia="ja-JP"/>
        </w:rPr>
        <w:t xml:space="preserve"> </w:t>
      </w:r>
      <w:r w:rsidR="00FA6B99">
        <w:rPr>
          <w:lang w:eastAsia="ja-JP"/>
        </w:rPr>
        <w:t>This review consider</w:t>
      </w:r>
      <w:r w:rsidR="00B13CF6">
        <w:rPr>
          <w:lang w:eastAsia="ja-JP"/>
        </w:rPr>
        <w:t>s</w:t>
      </w:r>
      <w:r w:rsidR="00FA6B99">
        <w:rPr>
          <w:lang w:eastAsia="ja-JP"/>
        </w:rPr>
        <w:t xml:space="preserve"> </w:t>
      </w:r>
      <w:r w:rsidR="00702830">
        <w:rPr>
          <w:lang w:eastAsia="ja-JP"/>
        </w:rPr>
        <w:t xml:space="preserve">industry </w:t>
      </w:r>
      <w:r w:rsidR="00FA6B99">
        <w:rPr>
          <w:lang w:eastAsia="ja-JP"/>
        </w:rPr>
        <w:t xml:space="preserve">feedback from </w:t>
      </w:r>
      <w:r>
        <w:rPr>
          <w:lang w:eastAsia="ja-JP"/>
        </w:rPr>
        <w:t>consultation</w:t>
      </w:r>
      <w:r w:rsidR="00F512F2">
        <w:rPr>
          <w:lang w:eastAsia="ja-JP"/>
        </w:rPr>
        <w:t>s</w:t>
      </w:r>
      <w:r>
        <w:rPr>
          <w:lang w:eastAsia="ja-JP"/>
        </w:rPr>
        <w:t xml:space="preserve"> in 2019</w:t>
      </w:r>
      <w:r w:rsidR="00EA333D" w:rsidRPr="00EA333D">
        <w:rPr>
          <w:lang w:eastAsia="ja-JP"/>
        </w:rPr>
        <w:t>–</w:t>
      </w:r>
      <w:r>
        <w:rPr>
          <w:lang w:eastAsia="ja-JP"/>
        </w:rPr>
        <w:t>20</w:t>
      </w:r>
      <w:r w:rsidR="00702830">
        <w:rPr>
          <w:lang w:eastAsia="ja-JP"/>
        </w:rPr>
        <w:t>.</w:t>
      </w:r>
      <w:r>
        <w:rPr>
          <w:lang w:eastAsia="ja-JP"/>
        </w:rPr>
        <w:t xml:space="preserve"> </w:t>
      </w:r>
      <w:r w:rsidR="00702830">
        <w:rPr>
          <w:lang w:eastAsia="ja-JP"/>
        </w:rPr>
        <w:t xml:space="preserve">Consultation </w:t>
      </w:r>
      <w:r>
        <w:rPr>
          <w:lang w:eastAsia="ja-JP"/>
        </w:rPr>
        <w:t xml:space="preserve">on </w:t>
      </w:r>
      <w:r w:rsidR="00B86380">
        <w:rPr>
          <w:lang w:eastAsia="ja-JP"/>
        </w:rPr>
        <w:br/>
      </w:r>
      <w:r w:rsidR="00EA333D">
        <w:rPr>
          <w:lang w:eastAsia="ja-JP"/>
        </w:rPr>
        <w:t>2021</w:t>
      </w:r>
      <w:r w:rsidR="00EA333D" w:rsidRPr="00EA333D">
        <w:rPr>
          <w:lang w:eastAsia="ja-JP"/>
        </w:rPr>
        <w:t>–</w:t>
      </w:r>
      <w:r w:rsidR="00EA333D">
        <w:rPr>
          <w:lang w:eastAsia="ja-JP"/>
        </w:rPr>
        <w:t xml:space="preserve">22 CRIS </w:t>
      </w:r>
      <w:r>
        <w:rPr>
          <w:lang w:eastAsia="ja-JP"/>
        </w:rPr>
        <w:t xml:space="preserve">is planned for </w:t>
      </w:r>
      <w:r w:rsidR="00FA6B99">
        <w:rPr>
          <w:lang w:eastAsia="ja-JP"/>
        </w:rPr>
        <w:t xml:space="preserve">March </w:t>
      </w:r>
      <w:r>
        <w:rPr>
          <w:lang w:eastAsia="ja-JP"/>
        </w:rPr>
        <w:t>2021.</w:t>
      </w:r>
    </w:p>
    <w:p w14:paraId="13F5B82A" w14:textId="51DB1E8B" w:rsidR="002E2757" w:rsidRDefault="00702830" w:rsidP="002E2757">
      <w:pPr>
        <w:rPr>
          <w:lang w:eastAsia="ja-JP"/>
        </w:rPr>
      </w:pPr>
      <w:r>
        <w:rPr>
          <w:lang w:eastAsia="ja-JP"/>
        </w:rPr>
        <w:t>C</w:t>
      </w:r>
      <w:r w:rsidR="002E2757">
        <w:rPr>
          <w:lang w:eastAsia="ja-JP"/>
        </w:rPr>
        <w:t>hanges to fees and charges are expected to be implemented from 1 July 2021. These changes will be made through amendments to the new legislative instruments after their commencement on 28 March 2021.</w:t>
      </w:r>
      <w:bookmarkEnd w:id="1"/>
    </w:p>
    <w:p w14:paraId="74F18AD7" w14:textId="400ADE72" w:rsidR="000E455C" w:rsidRDefault="00D750D0">
      <w:pPr>
        <w:pStyle w:val="Heading2"/>
      </w:pPr>
      <w:r>
        <w:t>Further information</w:t>
      </w:r>
    </w:p>
    <w:p w14:paraId="75440738" w14:textId="77777777" w:rsidR="00AA3A06" w:rsidRDefault="00AA3A06" w:rsidP="00AA3A06">
      <w:pPr>
        <w:rPr>
          <w:rStyle w:val="Hyperlink"/>
          <w:lang w:eastAsia="ja-JP"/>
        </w:rPr>
      </w:pPr>
      <w:bookmarkStart w:id="2" w:name="_Hlk66293784"/>
      <w:r>
        <w:rPr>
          <w:lang w:eastAsia="ja-JP"/>
        </w:rPr>
        <w:t xml:space="preserve">Email </w:t>
      </w:r>
      <w:hyperlink r:id="rId11" w:history="1">
        <w:r>
          <w:rPr>
            <w:rStyle w:val="Hyperlink"/>
            <w:lang w:eastAsia="ja-JP"/>
          </w:rPr>
          <w:t>exportlegislation@agriculture.gov.au</w:t>
        </w:r>
      </w:hyperlink>
    </w:p>
    <w:bookmarkEnd w:id="2"/>
    <w:p w14:paraId="4A15A930" w14:textId="77777777" w:rsidR="000E455C" w:rsidRDefault="00D750D0">
      <w:pPr>
        <w:rPr>
          <w:lang w:eastAsia="ja-JP"/>
        </w:rPr>
      </w:pPr>
      <w:r>
        <w:rPr>
          <w:lang w:eastAsia="ja-JP"/>
        </w:rPr>
        <w:t xml:space="preserve">Web </w:t>
      </w:r>
      <w:hyperlink r:id="rId12" w:history="1">
        <w:r>
          <w:rPr>
            <w:rStyle w:val="Hyperlink"/>
            <w:lang w:eastAsia="ja-JP"/>
          </w:rPr>
          <w:t>agriculture.gov.au/market-access-trade/export-regulation-review</w:t>
        </w:r>
      </w:hyperlink>
    </w:p>
    <w:p w14:paraId="3C088050" w14:textId="1AD002EA" w:rsidR="000E455C" w:rsidRDefault="00D750D0" w:rsidP="00C765C8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0622FD">
        <w:rPr>
          <w:lang w:eastAsia="ja-JP"/>
        </w:rPr>
        <w:t>1</w:t>
      </w:r>
    </w:p>
    <w:p w14:paraId="18EF67D0" w14:textId="6F56D1F4" w:rsidR="000E455C" w:rsidRPr="00587707" w:rsidRDefault="00D750D0" w:rsidP="00B60F8C">
      <w:pPr>
        <w:pStyle w:val="Normalsmall"/>
        <w:rPr>
          <w:rFonts w:asciiTheme="majorHAnsi" w:hAnsiTheme="majorHAnsi"/>
          <w:sz w:val="22"/>
          <w:szCs w:val="22"/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RPr="00587707" w:rsidSect="00D4039B">
      <w:headerReference w:type="default" r:id="rId13"/>
      <w:footerReference w:type="default" r:id="rId14"/>
      <w:headerReference w:type="first" r:id="rId15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63B3" w14:textId="77777777" w:rsidR="0043131E" w:rsidRDefault="0043131E">
      <w:r>
        <w:separator/>
      </w:r>
    </w:p>
    <w:p w14:paraId="41A7C031" w14:textId="77777777" w:rsidR="0043131E" w:rsidRDefault="0043131E"/>
    <w:p w14:paraId="5B84DC6F" w14:textId="77777777" w:rsidR="0043131E" w:rsidRDefault="0043131E"/>
  </w:endnote>
  <w:endnote w:type="continuationSeparator" w:id="0">
    <w:p w14:paraId="6D214B94" w14:textId="77777777" w:rsidR="0043131E" w:rsidRDefault="0043131E">
      <w:r>
        <w:continuationSeparator/>
      </w:r>
    </w:p>
    <w:p w14:paraId="315D6A6C" w14:textId="77777777" w:rsidR="0043131E" w:rsidRDefault="0043131E"/>
    <w:p w14:paraId="67C87C3C" w14:textId="77777777" w:rsidR="0043131E" w:rsidRDefault="0043131E"/>
  </w:endnote>
  <w:endnote w:type="continuationNotice" w:id="1">
    <w:p w14:paraId="38ADDF71" w14:textId="77777777" w:rsidR="0043131E" w:rsidRDefault="0043131E">
      <w:pPr>
        <w:pStyle w:val="Footer"/>
      </w:pPr>
    </w:p>
    <w:p w14:paraId="0161C2D4" w14:textId="77777777" w:rsidR="0043131E" w:rsidRDefault="0043131E"/>
    <w:p w14:paraId="1E7BEB27" w14:textId="77777777" w:rsidR="0043131E" w:rsidRDefault="00431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A3A4" w14:textId="02C25F36" w:rsidR="000E455C" w:rsidRDefault="00D750D0">
    <w:pPr>
      <w:pStyle w:val="Footer"/>
    </w:pPr>
    <w:r>
      <w:t>Department of Agriculture</w:t>
    </w:r>
    <w:r w:rsidR="009A7764">
      <w:t>, Water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13CF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5A5F" w14:textId="77777777" w:rsidR="0043131E" w:rsidRDefault="0043131E">
      <w:r>
        <w:separator/>
      </w:r>
    </w:p>
    <w:p w14:paraId="1CE9AA28" w14:textId="77777777" w:rsidR="0043131E" w:rsidRDefault="0043131E"/>
    <w:p w14:paraId="4B318A7C" w14:textId="77777777" w:rsidR="0043131E" w:rsidRDefault="0043131E"/>
  </w:footnote>
  <w:footnote w:type="continuationSeparator" w:id="0">
    <w:p w14:paraId="345033A5" w14:textId="77777777" w:rsidR="0043131E" w:rsidRDefault="0043131E">
      <w:r>
        <w:continuationSeparator/>
      </w:r>
    </w:p>
    <w:p w14:paraId="03DA0C79" w14:textId="77777777" w:rsidR="0043131E" w:rsidRDefault="0043131E"/>
    <w:p w14:paraId="5F1D3507" w14:textId="77777777" w:rsidR="0043131E" w:rsidRDefault="0043131E"/>
  </w:footnote>
  <w:footnote w:type="continuationNotice" w:id="1">
    <w:p w14:paraId="4B442AC7" w14:textId="77777777" w:rsidR="0043131E" w:rsidRDefault="0043131E">
      <w:pPr>
        <w:pStyle w:val="Footer"/>
      </w:pPr>
    </w:p>
    <w:p w14:paraId="1129F494" w14:textId="77777777" w:rsidR="0043131E" w:rsidRDefault="0043131E"/>
    <w:p w14:paraId="119894E8" w14:textId="77777777" w:rsidR="0043131E" w:rsidRDefault="00431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C9B4" w14:textId="2FA4E22B" w:rsidR="000E455C" w:rsidRDefault="00B60F8C" w:rsidP="00B60F8C">
    <w:pPr>
      <w:pStyle w:val="Header"/>
    </w:pPr>
    <w:r w:rsidRPr="00F317FB">
      <w:t xml:space="preserve">Outline of the </w:t>
    </w:r>
    <w:r w:rsidR="007A20CE" w:rsidRPr="007A20CE">
      <w:t>Export Cost Recovery Framework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170B33E8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4876BCA"/>
    <w:multiLevelType w:val="hybridMultilevel"/>
    <w:tmpl w:val="DA489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1636D"/>
    <w:multiLevelType w:val="hybridMultilevel"/>
    <w:tmpl w:val="4374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F425A1"/>
    <w:multiLevelType w:val="hybridMultilevel"/>
    <w:tmpl w:val="6A3CF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328D5"/>
    <w:multiLevelType w:val="multilevel"/>
    <w:tmpl w:val="BE78A4F8"/>
    <w:numStyleLink w:val="Numberlist"/>
  </w:abstractNum>
  <w:abstractNum w:abstractNumId="1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3A6404B"/>
    <w:multiLevelType w:val="hybridMultilevel"/>
    <w:tmpl w:val="B8EE1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44354"/>
    <w:multiLevelType w:val="hybridMultilevel"/>
    <w:tmpl w:val="4C76DEC6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2B103637"/>
    <w:multiLevelType w:val="multilevel"/>
    <w:tmpl w:val="BE78A4F8"/>
    <w:numStyleLink w:val="Numberlist"/>
  </w:abstractNum>
  <w:abstractNum w:abstractNumId="19" w15:restartNumberingAfterBreak="0">
    <w:nsid w:val="394A15FE"/>
    <w:multiLevelType w:val="multilevel"/>
    <w:tmpl w:val="F36C17E8"/>
    <w:numStyleLink w:val="Headinglist"/>
  </w:abstractNum>
  <w:abstractNum w:abstractNumId="20" w15:restartNumberingAfterBreak="0">
    <w:nsid w:val="3BBE2C04"/>
    <w:multiLevelType w:val="hybridMultilevel"/>
    <w:tmpl w:val="965E176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14F4729"/>
    <w:multiLevelType w:val="multilevel"/>
    <w:tmpl w:val="A9A6E414"/>
    <w:numStyleLink w:val="List1"/>
  </w:abstractNum>
  <w:abstractNum w:abstractNumId="22" w15:restartNumberingAfterBreak="0">
    <w:nsid w:val="442929DF"/>
    <w:multiLevelType w:val="hybridMultilevel"/>
    <w:tmpl w:val="3356D24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86800B4"/>
    <w:multiLevelType w:val="multilevel"/>
    <w:tmpl w:val="A9A6E414"/>
    <w:numStyleLink w:val="List1"/>
  </w:abstractNum>
  <w:abstractNum w:abstractNumId="24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9DC"/>
    <w:multiLevelType w:val="multilevel"/>
    <w:tmpl w:val="BE78A4F8"/>
    <w:numStyleLink w:val="Numberlist"/>
  </w:abstractNum>
  <w:abstractNum w:abstractNumId="2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F7AF1"/>
    <w:multiLevelType w:val="hybridMultilevel"/>
    <w:tmpl w:val="8A7C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E1B95"/>
    <w:multiLevelType w:val="hybridMultilevel"/>
    <w:tmpl w:val="D0DC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0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3" w15:restartNumberingAfterBreak="0">
    <w:nsid w:val="5F022805"/>
    <w:multiLevelType w:val="hybridMultilevel"/>
    <w:tmpl w:val="89A60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C55D7"/>
    <w:multiLevelType w:val="hybridMultilevel"/>
    <w:tmpl w:val="F6328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4EDD"/>
    <w:multiLevelType w:val="hybridMultilevel"/>
    <w:tmpl w:val="89A604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C10A1"/>
    <w:multiLevelType w:val="multilevel"/>
    <w:tmpl w:val="BE78A4F8"/>
    <w:numStyleLink w:val="Numberlist"/>
  </w:abstractNum>
  <w:abstractNum w:abstractNumId="38" w15:restartNumberingAfterBreak="0">
    <w:nsid w:val="6EE3484E"/>
    <w:multiLevelType w:val="hybridMultilevel"/>
    <w:tmpl w:val="21C879F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33934B7"/>
    <w:multiLevelType w:val="multilevel"/>
    <w:tmpl w:val="A9A6E414"/>
    <w:numStyleLink w:val="List1"/>
  </w:abstractNum>
  <w:num w:numId="1">
    <w:abstractNumId w:val="6"/>
  </w:num>
  <w:num w:numId="2">
    <w:abstractNumId w:val="23"/>
  </w:num>
  <w:num w:numId="3">
    <w:abstractNumId w:val="24"/>
  </w:num>
  <w:num w:numId="4">
    <w:abstractNumId w:val="12"/>
  </w:num>
  <w:num w:numId="5">
    <w:abstractNumId w:val="31"/>
  </w:num>
  <w:num w:numId="6">
    <w:abstractNumId w:val="32"/>
  </w:num>
  <w:num w:numId="7">
    <w:abstractNumId w:val="9"/>
  </w:num>
  <w:num w:numId="8">
    <w:abstractNumId w:val="15"/>
  </w:num>
  <w:num w:numId="9">
    <w:abstractNumId w:val="19"/>
  </w:num>
  <w:num w:numId="10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2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18"/>
  </w:num>
  <w:num w:numId="22">
    <w:abstractNumId w:val="25"/>
  </w:num>
  <w:num w:numId="23">
    <w:abstractNumId w:val="37"/>
  </w:num>
  <w:num w:numId="24">
    <w:abstractNumId w:val="14"/>
  </w:num>
  <w:num w:numId="25">
    <w:abstractNumId w:val="2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6"/>
  </w:num>
  <w:num w:numId="29">
    <w:abstractNumId w:val="30"/>
  </w:num>
  <w:num w:numId="30">
    <w:abstractNumId w:val="10"/>
  </w:num>
  <w:num w:numId="31">
    <w:abstractNumId w:val="11"/>
  </w:num>
  <w:num w:numId="32">
    <w:abstractNumId w:val="27"/>
  </w:num>
  <w:num w:numId="33">
    <w:abstractNumId w:val="17"/>
  </w:num>
  <w:num w:numId="34">
    <w:abstractNumId w:val="34"/>
  </w:num>
  <w:num w:numId="35">
    <w:abstractNumId w:val="22"/>
  </w:num>
  <w:num w:numId="36">
    <w:abstractNumId w:val="16"/>
  </w:num>
  <w:num w:numId="37">
    <w:abstractNumId w:val="28"/>
  </w:num>
  <w:num w:numId="38">
    <w:abstractNumId w:val="20"/>
  </w:num>
  <w:num w:numId="39">
    <w:abstractNumId w:val="8"/>
  </w:num>
  <w:num w:numId="40">
    <w:abstractNumId w:val="36"/>
  </w:num>
  <w:num w:numId="41">
    <w:abstractNumId w:val="33"/>
  </w:num>
  <w:num w:numId="42">
    <w:abstractNumId w:val="38"/>
  </w:num>
  <w:num w:numId="4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8fb8a7da-894e-486a-ba4f-d2f2e09a3d6f"/>
  </w:docVars>
  <w:rsids>
    <w:rsidRoot w:val="000E455C"/>
    <w:rsid w:val="00014468"/>
    <w:rsid w:val="00021590"/>
    <w:rsid w:val="0005248D"/>
    <w:rsid w:val="000622FD"/>
    <w:rsid w:val="00066D0B"/>
    <w:rsid w:val="000C067A"/>
    <w:rsid w:val="000D3C00"/>
    <w:rsid w:val="000E401E"/>
    <w:rsid w:val="000E455C"/>
    <w:rsid w:val="001137C3"/>
    <w:rsid w:val="00131592"/>
    <w:rsid w:val="00190D7E"/>
    <w:rsid w:val="001A0926"/>
    <w:rsid w:val="001A6968"/>
    <w:rsid w:val="001D0EF3"/>
    <w:rsid w:val="002436EB"/>
    <w:rsid w:val="00262A76"/>
    <w:rsid w:val="002C6026"/>
    <w:rsid w:val="002C7338"/>
    <w:rsid w:val="002E2757"/>
    <w:rsid w:val="0039058A"/>
    <w:rsid w:val="003F4A1D"/>
    <w:rsid w:val="00414B01"/>
    <w:rsid w:val="0043131E"/>
    <w:rsid w:val="00440086"/>
    <w:rsid w:val="00445487"/>
    <w:rsid w:val="00453594"/>
    <w:rsid w:val="004B52E3"/>
    <w:rsid w:val="004C1C39"/>
    <w:rsid w:val="004D1E4D"/>
    <w:rsid w:val="00517442"/>
    <w:rsid w:val="00553E9D"/>
    <w:rsid w:val="0055447F"/>
    <w:rsid w:val="00587707"/>
    <w:rsid w:val="00592B8E"/>
    <w:rsid w:val="005D117D"/>
    <w:rsid w:val="00600101"/>
    <w:rsid w:val="006156DF"/>
    <w:rsid w:val="00621A3E"/>
    <w:rsid w:val="00625D8D"/>
    <w:rsid w:val="006331F7"/>
    <w:rsid w:val="00653158"/>
    <w:rsid w:val="006E6D6C"/>
    <w:rsid w:val="006E7CE1"/>
    <w:rsid w:val="006F1C2C"/>
    <w:rsid w:val="00702830"/>
    <w:rsid w:val="0070464B"/>
    <w:rsid w:val="0074262D"/>
    <w:rsid w:val="00783A73"/>
    <w:rsid w:val="007A20CE"/>
    <w:rsid w:val="007B4643"/>
    <w:rsid w:val="007C120D"/>
    <w:rsid w:val="007C5690"/>
    <w:rsid w:val="007D30D4"/>
    <w:rsid w:val="007D756E"/>
    <w:rsid w:val="008342BF"/>
    <w:rsid w:val="00835D5B"/>
    <w:rsid w:val="008707C9"/>
    <w:rsid w:val="008C1989"/>
    <w:rsid w:val="008D51F3"/>
    <w:rsid w:val="00902E92"/>
    <w:rsid w:val="009037C9"/>
    <w:rsid w:val="00911F4A"/>
    <w:rsid w:val="00927FB6"/>
    <w:rsid w:val="00937DB5"/>
    <w:rsid w:val="00962A72"/>
    <w:rsid w:val="00974CD6"/>
    <w:rsid w:val="009A7764"/>
    <w:rsid w:val="009C206F"/>
    <w:rsid w:val="009E3CA9"/>
    <w:rsid w:val="00AA1D89"/>
    <w:rsid w:val="00AA3A06"/>
    <w:rsid w:val="00AA756D"/>
    <w:rsid w:val="00AC4768"/>
    <w:rsid w:val="00AE1E6E"/>
    <w:rsid w:val="00AE414A"/>
    <w:rsid w:val="00AF651F"/>
    <w:rsid w:val="00B0121B"/>
    <w:rsid w:val="00B13CF6"/>
    <w:rsid w:val="00B55F77"/>
    <w:rsid w:val="00B60F8C"/>
    <w:rsid w:val="00B67E12"/>
    <w:rsid w:val="00B86380"/>
    <w:rsid w:val="00B97FB3"/>
    <w:rsid w:val="00BA210A"/>
    <w:rsid w:val="00BA5068"/>
    <w:rsid w:val="00BA5551"/>
    <w:rsid w:val="00BD4F8E"/>
    <w:rsid w:val="00BF3F4A"/>
    <w:rsid w:val="00C10CFD"/>
    <w:rsid w:val="00C11FB9"/>
    <w:rsid w:val="00C46C42"/>
    <w:rsid w:val="00C6128D"/>
    <w:rsid w:val="00C765C8"/>
    <w:rsid w:val="00C875B2"/>
    <w:rsid w:val="00CD222B"/>
    <w:rsid w:val="00CE452D"/>
    <w:rsid w:val="00CF1DEC"/>
    <w:rsid w:val="00D02ECB"/>
    <w:rsid w:val="00D118B2"/>
    <w:rsid w:val="00D12990"/>
    <w:rsid w:val="00D205EE"/>
    <w:rsid w:val="00D30F4A"/>
    <w:rsid w:val="00D4039B"/>
    <w:rsid w:val="00D5304D"/>
    <w:rsid w:val="00D62EE4"/>
    <w:rsid w:val="00D750D0"/>
    <w:rsid w:val="00D961E4"/>
    <w:rsid w:val="00DA6794"/>
    <w:rsid w:val="00DC2989"/>
    <w:rsid w:val="00DD49E3"/>
    <w:rsid w:val="00E257D6"/>
    <w:rsid w:val="00E27FDA"/>
    <w:rsid w:val="00E35BC9"/>
    <w:rsid w:val="00E757FB"/>
    <w:rsid w:val="00EA333D"/>
    <w:rsid w:val="00EF436A"/>
    <w:rsid w:val="00F512F2"/>
    <w:rsid w:val="00F87960"/>
    <w:rsid w:val="00FA6B99"/>
    <w:rsid w:val="00FD337C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99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market-access-trade/export-regulation-revie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12357EC0-EDF4-48E9-AF7E-2C79B627C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328D7-83B2-4868-9022-541DEED8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Export Cost Recovery Framework</vt:lpstr>
    </vt:vector>
  </TitlesOfParts>
  <Company/>
  <LinksUpToDate>false</LinksUpToDate>
  <CharactersWithSpaces>3887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Export Cost Recovery Framework</dc:title>
  <dc:creator>Department of Agriculture, Water and the Environment</dc:creator>
  <cp:lastModifiedBy>Dang, Van</cp:lastModifiedBy>
  <cp:revision>3</cp:revision>
  <cp:lastPrinted>2021-03-18T06:46:00Z</cp:lastPrinted>
  <dcterms:created xsi:type="dcterms:W3CDTF">2021-04-27T03:49:00Z</dcterms:created>
  <dcterms:modified xsi:type="dcterms:W3CDTF">2021-04-29T02:47:00Z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