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CACF21" w14:textId="0660840B" w:rsidR="008A1135" w:rsidRDefault="00401F03" w:rsidP="00144B4F">
      <w:pPr>
        <w:pStyle w:val="Title"/>
        <w:rPr>
          <w:b/>
          <w:color w:val="FFFFFF" w:themeColor="background1"/>
        </w:rPr>
      </w:pPr>
      <w:bookmarkStart w:id="0" w:name="_GoBack"/>
      <w:bookmarkEnd w:id="0"/>
      <w:r>
        <w:rPr>
          <w:b/>
          <w:noProof/>
          <w:color w:val="FFFFFF" w:themeColor="background1"/>
          <w:lang w:val="en-AU" w:eastAsia="en-AU"/>
        </w:rPr>
        <mc:AlternateContent>
          <mc:Choice Requires="wpg">
            <w:drawing>
              <wp:anchor distT="0" distB="0" distL="114300" distR="114300" simplePos="0" relativeHeight="251664384" behindDoc="1" locked="0" layoutInCell="1" allowOverlap="1" wp14:anchorId="65D79B18" wp14:editId="05401489">
                <wp:simplePos x="0" y="0"/>
                <wp:positionH relativeFrom="column">
                  <wp:posOffset>-1477645</wp:posOffset>
                </wp:positionH>
                <wp:positionV relativeFrom="paragraph">
                  <wp:posOffset>509905</wp:posOffset>
                </wp:positionV>
                <wp:extent cx="9381490" cy="10126345"/>
                <wp:effectExtent l="0" t="0" r="0" b="8255"/>
                <wp:wrapNone/>
                <wp:docPr id="98" name="Group 103"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827" y="918"/>
                          <a:chExt cx="14774" cy="15947"/>
                        </a:xfrm>
                      </wpg:grpSpPr>
                      <wpg:grpSp>
                        <wpg:cNvPr id="99" name="Group 99"/>
                        <wpg:cNvGrpSpPr>
                          <a:grpSpLocks/>
                        </wpg:cNvGrpSpPr>
                        <wpg:grpSpPr bwMode="auto">
                          <a:xfrm>
                            <a:off x="-262" y="918"/>
                            <a:ext cx="12749" cy="1610"/>
                            <a:chOff x="0" y="0"/>
                            <a:chExt cx="80962" cy="10223"/>
                          </a:xfrm>
                        </wpg:grpSpPr>
                        <wpg:grpSp>
                          <wpg:cNvPr id="100" name="Group 81"/>
                          <wpg:cNvGrpSpPr>
                            <a:grpSpLocks/>
                          </wpg:cNvGrpSpPr>
                          <wpg:grpSpPr bwMode="auto">
                            <a:xfrm>
                              <a:off x="0" y="0"/>
                              <a:ext cx="80962" cy="10223"/>
                              <a:chOff x="254" y="226"/>
                              <a:chExt cx="80962" cy="10223"/>
                            </a:xfrm>
                          </wpg:grpSpPr>
                          <wps:wsp>
                            <wps:cNvPr id="101" name="Freeform 70" descr="background"/>
                            <wps:cNvSpPr>
                              <a:spLocks noEditPoints="1"/>
                            </wps:cNvSpPr>
                            <wps:spPr bwMode="auto">
                              <a:xfrm>
                                <a:off x="254" y="226"/>
                                <a:ext cx="80962" cy="10224"/>
                              </a:xfrm>
                              <a:custGeom>
                                <a:avLst/>
                                <a:gdLst>
                                  <a:gd name="T0" fmla="*/ 2147483646 w 2488"/>
                                  <a:gd name="T1" fmla="*/ 2147483646 h 313"/>
                                  <a:gd name="T2" fmla="*/ 2147483646 w 2488"/>
                                  <a:gd name="T3" fmla="*/ 2147483646 h 313"/>
                                  <a:gd name="T4" fmla="*/ 2147483646 w 2488"/>
                                  <a:gd name="T5" fmla="*/ 2147483646 h 313"/>
                                  <a:gd name="T6" fmla="*/ 2147483646 w 2488"/>
                                  <a:gd name="T7" fmla="*/ 2147483646 h 313"/>
                                  <a:gd name="T8" fmla="*/ 2147483646 w 2488"/>
                                  <a:gd name="T9" fmla="*/ 2147483646 h 313"/>
                                  <a:gd name="T10" fmla="*/ 2147483646 w 2488"/>
                                  <a:gd name="T11" fmla="*/ 2147483646 h 313"/>
                                  <a:gd name="T12" fmla="*/ 2147483646 w 2488"/>
                                  <a:gd name="T13" fmla="*/ 0 h 313"/>
                                  <a:gd name="T14" fmla="*/ 0 w 2488"/>
                                  <a:gd name="T15" fmla="*/ 0 h 313"/>
                                  <a:gd name="T16" fmla="*/ 0 w 2488"/>
                                  <a:gd name="T17" fmla="*/ 2147483646 h 313"/>
                                  <a:gd name="T18" fmla="*/ 2147483646 w 2488"/>
                                  <a:gd name="T19" fmla="*/ 2147483646 h 313"/>
                                  <a:gd name="T20" fmla="*/ 2147483646 w 2488"/>
                                  <a:gd name="T21" fmla="*/ 2147483646 h 313"/>
                                  <a:gd name="T22" fmla="*/ 2147483646 w 2488"/>
                                  <a:gd name="T23" fmla="*/ 2147483646 h 313"/>
                                  <a:gd name="T24" fmla="*/ 2147483646 w 2488"/>
                                  <a:gd name="T25" fmla="*/ 2147483646 h 313"/>
                                  <a:gd name="T26" fmla="*/ 2147483646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71" descr="background"/>
                            <wps:cNvSpPr>
                              <a:spLocks/>
                            </wps:cNvSpPr>
                            <wps:spPr bwMode="auto">
                              <a:xfrm>
                                <a:off x="254" y="912"/>
                                <a:ext cx="58837" cy="4442"/>
                              </a:xfrm>
                              <a:custGeom>
                                <a:avLst/>
                                <a:gdLst>
                                  <a:gd name="T0" fmla="*/ 2147483646 w 1808"/>
                                  <a:gd name="T1" fmla="*/ 2147483646 h 136"/>
                                  <a:gd name="T2" fmla="*/ 2147483646 w 1808"/>
                                  <a:gd name="T3" fmla="*/ 0 h 136"/>
                                  <a:gd name="T4" fmla="*/ 0 w 1808"/>
                                  <a:gd name="T5" fmla="*/ 0 h 136"/>
                                  <a:gd name="T6" fmla="*/ 0 w 1808"/>
                                  <a:gd name="T7" fmla="*/ 2147483646 h 136"/>
                                  <a:gd name="T8" fmla="*/ 2147483646 w 1808"/>
                                  <a:gd name="T9" fmla="*/ 2147483646 h 136"/>
                                  <a:gd name="T10" fmla="*/ 2147483646 w 1808"/>
                                  <a:gd name="T11" fmla="*/ 2147483646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3" name="Group 105"/>
                            <wpg:cNvGrpSpPr>
                              <a:grpSpLocks/>
                            </wpg:cNvGrpSpPr>
                            <wpg:grpSpPr bwMode="auto">
                              <a:xfrm>
                                <a:off x="9186" y="3326"/>
                                <a:ext cx="8853" cy="1049"/>
                                <a:chOff x="6800" y="3263"/>
                                <a:chExt cx="8851" cy="1047"/>
                              </a:xfrm>
                            </wpg:grpSpPr>
                            <wps:wsp>
                              <wps:cNvPr id="104" name="Freeform 72" descr="background"/>
                              <wps:cNvSpPr>
                                <a:spLocks/>
                              </wps:cNvSpPr>
                              <wps:spPr bwMode="auto">
                                <a:xfrm>
                                  <a:off x="6800" y="3556"/>
                                  <a:ext cx="1042" cy="717"/>
                                </a:xfrm>
                                <a:custGeom>
                                  <a:avLst/>
                                  <a:gdLst>
                                    <a:gd name="T0" fmla="*/ 2147483646 w 32"/>
                                    <a:gd name="T1" fmla="*/ 0 h 22"/>
                                    <a:gd name="T2" fmla="*/ 2147483646 w 32"/>
                                    <a:gd name="T3" fmla="*/ 2147483646 h 22"/>
                                    <a:gd name="T4" fmla="*/ 2147483646 w 32"/>
                                    <a:gd name="T5" fmla="*/ 2147483646 h 22"/>
                                    <a:gd name="T6" fmla="*/ 1910147282 w 32"/>
                                    <a:gd name="T7" fmla="*/ 1016147881 h 22"/>
                                    <a:gd name="T8" fmla="*/ 1797797214 w 32"/>
                                    <a:gd name="T9" fmla="*/ 790340659 h 22"/>
                                    <a:gd name="T10" fmla="*/ 1797797214 w 32"/>
                                    <a:gd name="T11" fmla="*/ 790340659 h 22"/>
                                    <a:gd name="T12" fmla="*/ 1685448220 w 32"/>
                                    <a:gd name="T13" fmla="*/ 1016147881 h 22"/>
                                    <a:gd name="T14" fmla="*/ 1348365128 w 32"/>
                                    <a:gd name="T15" fmla="*/ 2147483646 h 22"/>
                                    <a:gd name="T16" fmla="*/ 674165078 w 32"/>
                                    <a:gd name="T17" fmla="*/ 2147483646 h 22"/>
                                    <a:gd name="T18" fmla="*/ 0 w 32"/>
                                    <a:gd name="T19" fmla="*/ 0 h 22"/>
                                    <a:gd name="T20" fmla="*/ 561816084 w 32"/>
                                    <a:gd name="T21" fmla="*/ 0 h 22"/>
                                    <a:gd name="T22" fmla="*/ 898899144 w 32"/>
                                    <a:gd name="T23" fmla="*/ 1467795274 h 22"/>
                                    <a:gd name="T24" fmla="*/ 1011248138 w 32"/>
                                    <a:gd name="T25" fmla="*/ 1919408642 h 22"/>
                                    <a:gd name="T26" fmla="*/ 1011248138 w 32"/>
                                    <a:gd name="T27" fmla="*/ 1919408642 h 22"/>
                                    <a:gd name="T28" fmla="*/ 1123632136 w 32"/>
                                    <a:gd name="T29" fmla="*/ 1467795274 h 22"/>
                                    <a:gd name="T30" fmla="*/ 1460715196 w 32"/>
                                    <a:gd name="T31" fmla="*/ 0 h 22"/>
                                    <a:gd name="T32" fmla="*/ 2134880274 w 32"/>
                                    <a:gd name="T33" fmla="*/ 0 h 22"/>
                                    <a:gd name="T34" fmla="*/ 2147483646 w 32"/>
                                    <a:gd name="T35" fmla="*/ 1580681351 h 22"/>
                                    <a:gd name="T36" fmla="*/ 2147483646 w 32"/>
                                    <a:gd name="T37" fmla="*/ 1919408642 h 22"/>
                                    <a:gd name="T38" fmla="*/ 2147483646 w 32"/>
                                    <a:gd name="T39" fmla="*/ 1919408642 h 22"/>
                                    <a:gd name="T40" fmla="*/ 2147483646 w 32"/>
                                    <a:gd name="T41" fmla="*/ 1467795274 h 22"/>
                                    <a:gd name="T42" fmla="*/ 2147483646 w 32"/>
                                    <a:gd name="T43" fmla="*/ 0 h 22"/>
                                    <a:gd name="T44" fmla="*/ 2147483646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73" descr="background"/>
                              <wps:cNvSpPr>
                                <a:spLocks/>
                              </wps:cNvSpPr>
                              <wps:spPr bwMode="auto">
                                <a:xfrm>
                                  <a:off x="7969" y="3556"/>
                                  <a:ext cx="1073" cy="717"/>
                                </a:xfrm>
                                <a:custGeom>
                                  <a:avLst/>
                                  <a:gdLst>
                                    <a:gd name="T0" fmla="*/ 2147483646 w 33"/>
                                    <a:gd name="T1" fmla="*/ 0 h 22"/>
                                    <a:gd name="T2" fmla="*/ 2147483646 w 33"/>
                                    <a:gd name="T3" fmla="*/ 2147483646 h 22"/>
                                    <a:gd name="T4" fmla="*/ 2147483646 w 33"/>
                                    <a:gd name="T5" fmla="*/ 2147483646 h 22"/>
                                    <a:gd name="T6" fmla="*/ 1900417060 w 33"/>
                                    <a:gd name="T7" fmla="*/ 1016147881 h 22"/>
                                    <a:gd name="T8" fmla="*/ 1788659916 w 33"/>
                                    <a:gd name="T9" fmla="*/ 790340659 h 22"/>
                                    <a:gd name="T10" fmla="*/ 1788659916 w 33"/>
                                    <a:gd name="T11" fmla="*/ 790340659 h 22"/>
                                    <a:gd name="T12" fmla="*/ 1788659916 w 33"/>
                                    <a:gd name="T13" fmla="*/ 1016147881 h 22"/>
                                    <a:gd name="T14" fmla="*/ 1341494937 w 33"/>
                                    <a:gd name="T15" fmla="*/ 2147483646 h 22"/>
                                    <a:gd name="T16" fmla="*/ 670748005 w 33"/>
                                    <a:gd name="T17" fmla="*/ 2147483646 h 22"/>
                                    <a:gd name="T18" fmla="*/ 0 w 33"/>
                                    <a:gd name="T19" fmla="*/ 0 h 22"/>
                                    <a:gd name="T20" fmla="*/ 558955972 w 33"/>
                                    <a:gd name="T21" fmla="*/ 0 h 22"/>
                                    <a:gd name="T22" fmla="*/ 1006120918 w 33"/>
                                    <a:gd name="T23" fmla="*/ 1467795274 h 22"/>
                                    <a:gd name="T24" fmla="*/ 1006120918 w 33"/>
                                    <a:gd name="T25" fmla="*/ 1919408642 h 22"/>
                                    <a:gd name="T26" fmla="*/ 1006120918 w 33"/>
                                    <a:gd name="T27" fmla="*/ 1919408642 h 22"/>
                                    <a:gd name="T28" fmla="*/ 1117912984 w 33"/>
                                    <a:gd name="T29" fmla="*/ 1467795274 h 22"/>
                                    <a:gd name="T30" fmla="*/ 1565077963 w 33"/>
                                    <a:gd name="T31" fmla="*/ 0 h 22"/>
                                    <a:gd name="T32" fmla="*/ 2124000086 w 33"/>
                                    <a:gd name="T33" fmla="*/ 0 h 22"/>
                                    <a:gd name="T34" fmla="*/ 2147483646 w 33"/>
                                    <a:gd name="T35" fmla="*/ 1580681351 h 22"/>
                                    <a:gd name="T36" fmla="*/ 2147483646 w 33"/>
                                    <a:gd name="T37" fmla="*/ 1919408642 h 22"/>
                                    <a:gd name="T38" fmla="*/ 2147483646 w 33"/>
                                    <a:gd name="T39" fmla="*/ 1919408642 h 22"/>
                                    <a:gd name="T40" fmla="*/ 2147483646 w 33"/>
                                    <a:gd name="T41" fmla="*/ 1467795274 h 22"/>
                                    <a:gd name="T42" fmla="*/ 2147483646 w 33"/>
                                    <a:gd name="T43" fmla="*/ 0 h 22"/>
                                    <a:gd name="T44" fmla="*/ 2147483646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74" descr="background"/>
                              <wps:cNvSpPr>
                                <a:spLocks/>
                              </wps:cNvSpPr>
                              <wps:spPr bwMode="auto">
                                <a:xfrm>
                                  <a:off x="9144" y="3556"/>
                                  <a:ext cx="1073" cy="717"/>
                                </a:xfrm>
                                <a:custGeom>
                                  <a:avLst/>
                                  <a:gdLst>
                                    <a:gd name="T0" fmla="*/ 2147483646 w 33"/>
                                    <a:gd name="T1" fmla="*/ 0 h 22"/>
                                    <a:gd name="T2" fmla="*/ 2147483646 w 33"/>
                                    <a:gd name="T3" fmla="*/ 2147483646 h 22"/>
                                    <a:gd name="T4" fmla="*/ 2147483646 w 33"/>
                                    <a:gd name="T5" fmla="*/ 2147483646 h 22"/>
                                    <a:gd name="T6" fmla="*/ 1900417060 w 33"/>
                                    <a:gd name="T7" fmla="*/ 1016147881 h 22"/>
                                    <a:gd name="T8" fmla="*/ 1788659916 w 33"/>
                                    <a:gd name="T9" fmla="*/ 790340659 h 22"/>
                                    <a:gd name="T10" fmla="*/ 1788659916 w 33"/>
                                    <a:gd name="T11" fmla="*/ 790340659 h 22"/>
                                    <a:gd name="T12" fmla="*/ 1788659916 w 33"/>
                                    <a:gd name="T13" fmla="*/ 1016147881 h 22"/>
                                    <a:gd name="T14" fmla="*/ 1453286970 w 33"/>
                                    <a:gd name="T15" fmla="*/ 2147483646 h 22"/>
                                    <a:gd name="T16" fmla="*/ 670748005 w 33"/>
                                    <a:gd name="T17" fmla="*/ 2147483646 h 22"/>
                                    <a:gd name="T18" fmla="*/ 0 w 33"/>
                                    <a:gd name="T19" fmla="*/ 0 h 22"/>
                                    <a:gd name="T20" fmla="*/ 670748005 w 33"/>
                                    <a:gd name="T21" fmla="*/ 0 h 22"/>
                                    <a:gd name="T22" fmla="*/ 1006120918 w 33"/>
                                    <a:gd name="T23" fmla="*/ 1467795274 h 22"/>
                                    <a:gd name="T24" fmla="*/ 1117912984 w 33"/>
                                    <a:gd name="T25" fmla="*/ 1919408642 h 22"/>
                                    <a:gd name="T26" fmla="*/ 1117912984 w 33"/>
                                    <a:gd name="T27" fmla="*/ 1919408642 h 22"/>
                                    <a:gd name="T28" fmla="*/ 1229703944 w 33"/>
                                    <a:gd name="T29" fmla="*/ 1467795274 h 22"/>
                                    <a:gd name="T30" fmla="*/ 1565077963 w 33"/>
                                    <a:gd name="T31" fmla="*/ 0 h 22"/>
                                    <a:gd name="T32" fmla="*/ 2124000086 w 33"/>
                                    <a:gd name="T33" fmla="*/ 0 h 22"/>
                                    <a:gd name="T34" fmla="*/ 2147483646 w 33"/>
                                    <a:gd name="T35" fmla="*/ 1580681351 h 22"/>
                                    <a:gd name="T36" fmla="*/ 2147483646 w 33"/>
                                    <a:gd name="T37" fmla="*/ 1919408642 h 22"/>
                                    <a:gd name="T38" fmla="*/ 2147483646 w 33"/>
                                    <a:gd name="T39" fmla="*/ 1919408642 h 22"/>
                                    <a:gd name="T40" fmla="*/ 2147483646 w 33"/>
                                    <a:gd name="T41" fmla="*/ 1467795274 h 22"/>
                                    <a:gd name="T42" fmla="*/ 2147483646 w 33"/>
                                    <a:gd name="T43" fmla="*/ 0 h 22"/>
                                    <a:gd name="T44" fmla="*/ 2147483646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Oval 75" descr="background"/>
                              <wps:cNvSpPr>
                                <a:spLocks noChangeArrowheads="1"/>
                              </wps:cNvSpPr>
                              <wps:spPr bwMode="auto">
                                <a:xfrm>
                                  <a:off x="10312" y="4044"/>
                                  <a:ext cx="229"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76" descr="background"/>
                              <wps:cNvSpPr>
                                <a:spLocks/>
                              </wps:cNvSpPr>
                              <wps:spPr bwMode="auto">
                                <a:xfrm>
                                  <a:off x="10674" y="3556"/>
                                  <a:ext cx="552" cy="717"/>
                                </a:xfrm>
                                <a:custGeom>
                                  <a:avLst/>
                                  <a:gdLst>
                                    <a:gd name="T0" fmla="*/ 1891313541 w 17"/>
                                    <a:gd name="T1" fmla="*/ 2147483646 h 22"/>
                                    <a:gd name="T2" fmla="*/ 1112535446 w 17"/>
                                    <a:gd name="T3" fmla="*/ 2147483646 h 22"/>
                                    <a:gd name="T4" fmla="*/ 0 w 17"/>
                                    <a:gd name="T5" fmla="*/ 1354875172 h 22"/>
                                    <a:gd name="T6" fmla="*/ 1223798807 w 17"/>
                                    <a:gd name="T7" fmla="*/ 0 h 22"/>
                                    <a:gd name="T8" fmla="*/ 1780049142 w 17"/>
                                    <a:gd name="T9" fmla="*/ 112921145 h 22"/>
                                    <a:gd name="T10" fmla="*/ 1668819518 w 17"/>
                                    <a:gd name="T11" fmla="*/ 564534513 h 22"/>
                                    <a:gd name="T12" fmla="*/ 1223798807 w 17"/>
                                    <a:gd name="T13" fmla="*/ 451613368 h 22"/>
                                    <a:gd name="T14" fmla="*/ 667514735 w 17"/>
                                    <a:gd name="T15" fmla="*/ 1241989095 h 22"/>
                                    <a:gd name="T16" fmla="*/ 1223798807 w 17"/>
                                    <a:gd name="T17" fmla="*/ 2032329786 h 22"/>
                                    <a:gd name="T18" fmla="*/ 1780049142 w 17"/>
                                    <a:gd name="T19" fmla="*/ 1919408642 h 22"/>
                                    <a:gd name="T20" fmla="*/ 1891313541 w 17"/>
                                    <a:gd name="T21" fmla="*/ 2147483646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77" descr="background"/>
                              <wps:cNvSpPr>
                                <a:spLocks/>
                              </wps:cNvSpPr>
                              <wps:spPr bwMode="auto">
                                <a:xfrm>
                                  <a:off x="11322" y="3556"/>
                                  <a:ext cx="520" cy="755"/>
                                </a:xfrm>
                                <a:custGeom>
                                  <a:avLst/>
                                  <a:gdLst>
                                    <a:gd name="T0" fmla="*/ 782029560 w 16"/>
                                    <a:gd name="T1" fmla="*/ 2147483646 h 23"/>
                                    <a:gd name="T2" fmla="*/ 0 w 16"/>
                                    <a:gd name="T3" fmla="*/ 2147483646 h 23"/>
                                    <a:gd name="T4" fmla="*/ 111703735 w 16"/>
                                    <a:gd name="T5" fmla="*/ 1975587032 h 23"/>
                                    <a:gd name="T6" fmla="*/ 782029560 w 16"/>
                                    <a:gd name="T7" fmla="*/ 2091818264 h 23"/>
                                    <a:gd name="T8" fmla="*/ 1117174500 w 16"/>
                                    <a:gd name="T9" fmla="*/ 1859390300 h 23"/>
                                    <a:gd name="T10" fmla="*/ 670290985 w 16"/>
                                    <a:gd name="T11" fmla="*/ 1510765603 h 23"/>
                                    <a:gd name="T12" fmla="*/ 111703735 w 16"/>
                                    <a:gd name="T13" fmla="*/ 813480626 h 23"/>
                                    <a:gd name="T14" fmla="*/ 1005436998 w 16"/>
                                    <a:gd name="T15" fmla="*/ 0 h 23"/>
                                    <a:gd name="T16" fmla="*/ 1564024248 w 16"/>
                                    <a:gd name="T17" fmla="*/ 116196732 h 23"/>
                                    <a:gd name="T18" fmla="*/ 1564024248 w 16"/>
                                    <a:gd name="T19" fmla="*/ 581052661 h 23"/>
                                    <a:gd name="T20" fmla="*/ 1005436998 w 16"/>
                                    <a:gd name="T21" fmla="*/ 464855929 h 23"/>
                                    <a:gd name="T22" fmla="*/ 670290985 w 16"/>
                                    <a:gd name="T23" fmla="*/ 697284977 h 23"/>
                                    <a:gd name="T24" fmla="*/ 1117174500 w 16"/>
                                    <a:gd name="T25" fmla="*/ 1045909674 h 23"/>
                                    <a:gd name="T26" fmla="*/ 1787465485 w 16"/>
                                    <a:gd name="T27" fmla="*/ 1743193567 h 23"/>
                                    <a:gd name="T28" fmla="*/ 782029560 w 16"/>
                                    <a:gd name="T29" fmla="*/ 2147483646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78" descr="background"/>
                              <wps:cNvSpPr>
                                <a:spLocks noEditPoints="1"/>
                              </wps:cNvSpPr>
                              <wps:spPr bwMode="auto">
                                <a:xfrm>
                                  <a:off x="11938" y="3263"/>
                                  <a:ext cx="298" cy="1010"/>
                                </a:xfrm>
                                <a:custGeom>
                                  <a:avLst/>
                                  <a:gdLst>
                                    <a:gd name="T0" fmla="*/ 361124214 w 9"/>
                                    <a:gd name="T1" fmla="*/ 2147483646 h 31"/>
                                    <a:gd name="T2" fmla="*/ 361124214 w 9"/>
                                    <a:gd name="T3" fmla="*/ 1464299955 h 31"/>
                                    <a:gd name="T4" fmla="*/ 0 w 9"/>
                                    <a:gd name="T5" fmla="*/ 1464299955 h 31"/>
                                    <a:gd name="T6" fmla="*/ 0 w 9"/>
                                    <a:gd name="T7" fmla="*/ 1013735241 h 31"/>
                                    <a:gd name="T8" fmla="*/ 963035541 w 9"/>
                                    <a:gd name="T9" fmla="*/ 1013735241 h 31"/>
                                    <a:gd name="T10" fmla="*/ 963035541 w 9"/>
                                    <a:gd name="T11" fmla="*/ 2147483646 h 31"/>
                                    <a:gd name="T12" fmla="*/ 361124214 w 9"/>
                                    <a:gd name="T13" fmla="*/ 2147483646 h 31"/>
                                    <a:gd name="T14" fmla="*/ 722285678 w 9"/>
                                    <a:gd name="T15" fmla="*/ 675846517 h 31"/>
                                    <a:gd name="T16" fmla="*/ 240749829 w 9"/>
                                    <a:gd name="T17" fmla="*/ 337922705 h 31"/>
                                    <a:gd name="T18" fmla="*/ 722285678 w 9"/>
                                    <a:gd name="T19" fmla="*/ 0 h 31"/>
                                    <a:gd name="T20" fmla="*/ 1083409893 w 9"/>
                                    <a:gd name="T21" fmla="*/ 337922705 h 31"/>
                                    <a:gd name="T22" fmla="*/ 722285678 w 9"/>
                                    <a:gd name="T23" fmla="*/ 675846517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79" descr="background"/>
                              <wps:cNvSpPr>
                                <a:spLocks/>
                              </wps:cNvSpPr>
                              <wps:spPr bwMode="auto">
                                <a:xfrm>
                                  <a:off x="12426" y="3556"/>
                                  <a:ext cx="426" cy="717"/>
                                </a:xfrm>
                                <a:custGeom>
                                  <a:avLst/>
                                  <a:gdLst>
                                    <a:gd name="T0" fmla="*/ 1381916113 w 13"/>
                                    <a:gd name="T1" fmla="*/ 564534513 h 22"/>
                                    <a:gd name="T2" fmla="*/ 1151609110 w 13"/>
                                    <a:gd name="T3" fmla="*/ 564534513 h 22"/>
                                    <a:gd name="T4" fmla="*/ 575786843 w 13"/>
                                    <a:gd name="T5" fmla="*/ 1016147881 h 22"/>
                                    <a:gd name="T6" fmla="*/ 575786843 w 13"/>
                                    <a:gd name="T7" fmla="*/ 2147483646 h 22"/>
                                    <a:gd name="T8" fmla="*/ 0 w 13"/>
                                    <a:gd name="T9" fmla="*/ 2147483646 h 22"/>
                                    <a:gd name="T10" fmla="*/ 0 w 13"/>
                                    <a:gd name="T11" fmla="*/ 0 h 22"/>
                                    <a:gd name="T12" fmla="*/ 460650512 w 13"/>
                                    <a:gd name="T13" fmla="*/ 0 h 22"/>
                                    <a:gd name="T14" fmla="*/ 575786843 w 13"/>
                                    <a:gd name="T15" fmla="*/ 451613368 h 22"/>
                                    <a:gd name="T16" fmla="*/ 1151609110 w 13"/>
                                    <a:gd name="T17" fmla="*/ 0 h 22"/>
                                    <a:gd name="T18" fmla="*/ 1497087868 w 13"/>
                                    <a:gd name="T19" fmla="*/ 0 h 22"/>
                                    <a:gd name="T20" fmla="*/ 1381916113 w 13"/>
                                    <a:gd name="T21" fmla="*/ 564534513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80" descr="background"/>
                              <wps:cNvSpPr>
                                <a:spLocks noEditPoints="1"/>
                              </wps:cNvSpPr>
                              <wps:spPr bwMode="auto">
                                <a:xfrm>
                                  <a:off x="12947" y="3556"/>
                                  <a:ext cx="718" cy="755"/>
                                </a:xfrm>
                                <a:custGeom>
                                  <a:avLst/>
                                  <a:gdLst>
                                    <a:gd name="T0" fmla="*/ 1247192076 w 22"/>
                                    <a:gd name="T1" fmla="*/ 2147483646 h 23"/>
                                    <a:gd name="T2" fmla="*/ 0 w 22"/>
                                    <a:gd name="T3" fmla="*/ 1394533287 h 23"/>
                                    <a:gd name="T4" fmla="*/ 1247192076 w 22"/>
                                    <a:gd name="T5" fmla="*/ 0 h 23"/>
                                    <a:gd name="T6" fmla="*/ 2147483646 w 22"/>
                                    <a:gd name="T7" fmla="*/ 1278337638 h 23"/>
                                    <a:gd name="T8" fmla="*/ 1247192076 w 22"/>
                                    <a:gd name="T9" fmla="*/ 2147483646 h 23"/>
                                    <a:gd name="T10" fmla="*/ 1247192076 w 22"/>
                                    <a:gd name="T11" fmla="*/ 464855929 h 23"/>
                                    <a:gd name="T12" fmla="*/ 566899576 w 22"/>
                                    <a:gd name="T13" fmla="*/ 1278337638 h 23"/>
                                    <a:gd name="T14" fmla="*/ 1247192076 w 22"/>
                                    <a:gd name="T15" fmla="*/ 2091818264 h 23"/>
                                    <a:gd name="T16" fmla="*/ 1814057580 w 22"/>
                                    <a:gd name="T17" fmla="*/ 1278337638 h 23"/>
                                    <a:gd name="T18" fmla="*/ 1247192076 w 22"/>
                                    <a:gd name="T19" fmla="*/ 464855929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Oval 81" descr="background"/>
                              <wps:cNvSpPr>
                                <a:spLocks noChangeArrowheads="1"/>
                              </wps:cNvSpPr>
                              <wps:spPr bwMode="auto">
                                <a:xfrm>
                                  <a:off x="13830" y="4044"/>
                                  <a:ext cx="190"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82" descr="background"/>
                              <wps:cNvSpPr>
                                <a:spLocks noEditPoints="1"/>
                              </wps:cNvSpPr>
                              <wps:spPr bwMode="auto">
                                <a:xfrm>
                                  <a:off x="14217" y="3556"/>
                                  <a:ext cx="584" cy="755"/>
                                </a:xfrm>
                                <a:custGeom>
                                  <a:avLst/>
                                  <a:gdLst>
                                    <a:gd name="T0" fmla="*/ 1551816383 w 18"/>
                                    <a:gd name="T1" fmla="*/ 2147483646 h 23"/>
                                    <a:gd name="T2" fmla="*/ 1551816383 w 18"/>
                                    <a:gd name="T3" fmla="*/ 2147483646 h 23"/>
                                    <a:gd name="T4" fmla="*/ 775907656 w 18"/>
                                    <a:gd name="T5" fmla="*/ 2147483646 h 23"/>
                                    <a:gd name="T6" fmla="*/ 0 w 18"/>
                                    <a:gd name="T7" fmla="*/ 1859390300 h 23"/>
                                    <a:gd name="T8" fmla="*/ 1108449909 w 18"/>
                                    <a:gd name="T9" fmla="*/ 1045909674 h 23"/>
                                    <a:gd name="T10" fmla="*/ 1440957382 w 18"/>
                                    <a:gd name="T11" fmla="*/ 1045909674 h 23"/>
                                    <a:gd name="T12" fmla="*/ 1440957382 w 18"/>
                                    <a:gd name="T13" fmla="*/ 929677358 h 23"/>
                                    <a:gd name="T14" fmla="*/ 886732979 w 18"/>
                                    <a:gd name="T15" fmla="*/ 464855929 h 23"/>
                                    <a:gd name="T16" fmla="*/ 221683253 w 18"/>
                                    <a:gd name="T17" fmla="*/ 581052661 h 23"/>
                                    <a:gd name="T18" fmla="*/ 110859000 w 18"/>
                                    <a:gd name="T19" fmla="*/ 116196732 h 23"/>
                                    <a:gd name="T20" fmla="*/ 997590909 w 18"/>
                                    <a:gd name="T21" fmla="*/ 0 h 23"/>
                                    <a:gd name="T22" fmla="*/ 1995181818 w 18"/>
                                    <a:gd name="T23" fmla="*/ 813480626 h 23"/>
                                    <a:gd name="T24" fmla="*/ 1995181818 w 18"/>
                                    <a:gd name="T25" fmla="*/ 2147483646 h 23"/>
                                    <a:gd name="T26" fmla="*/ 1551816383 w 18"/>
                                    <a:gd name="T27" fmla="*/ 2147483646 h 23"/>
                                    <a:gd name="T28" fmla="*/ 1440957382 w 18"/>
                                    <a:gd name="T29" fmla="*/ 1394533287 h 23"/>
                                    <a:gd name="T30" fmla="*/ 1108449909 w 18"/>
                                    <a:gd name="T31" fmla="*/ 1394533287 h 23"/>
                                    <a:gd name="T32" fmla="*/ 554224436 w 18"/>
                                    <a:gd name="T33" fmla="*/ 1859390300 h 23"/>
                                    <a:gd name="T34" fmla="*/ 886732979 w 18"/>
                                    <a:gd name="T35" fmla="*/ 2147483646 h 23"/>
                                    <a:gd name="T36" fmla="*/ 1440957382 w 18"/>
                                    <a:gd name="T37" fmla="*/ 1975587032 h 23"/>
                                    <a:gd name="T38" fmla="*/ 1440957382 w 18"/>
                                    <a:gd name="T39" fmla="*/ 1394533287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83" descr="background"/>
                              <wps:cNvSpPr>
                                <a:spLocks/>
                              </wps:cNvSpPr>
                              <wps:spPr bwMode="auto">
                                <a:xfrm>
                                  <a:off x="15030" y="3556"/>
                                  <a:ext cx="622" cy="755"/>
                                </a:xfrm>
                                <a:custGeom>
                                  <a:avLst/>
                                  <a:gdLst>
                                    <a:gd name="T0" fmla="*/ 1723646461 w 19"/>
                                    <a:gd name="T1" fmla="*/ 2147483646 h 23"/>
                                    <a:gd name="T2" fmla="*/ 1723646461 w 19"/>
                                    <a:gd name="T3" fmla="*/ 2147483646 h 23"/>
                                    <a:gd name="T4" fmla="*/ 804373641 w 19"/>
                                    <a:gd name="T5" fmla="*/ 2147483646 h 23"/>
                                    <a:gd name="T6" fmla="*/ 0 w 19"/>
                                    <a:gd name="T7" fmla="*/ 1626962335 h 23"/>
                                    <a:gd name="T8" fmla="*/ 0 w 19"/>
                                    <a:gd name="T9" fmla="*/ 0 h 23"/>
                                    <a:gd name="T10" fmla="*/ 574537733 w 19"/>
                                    <a:gd name="T11" fmla="*/ 0 h 23"/>
                                    <a:gd name="T12" fmla="*/ 574537733 w 19"/>
                                    <a:gd name="T13" fmla="*/ 1510765603 h 23"/>
                                    <a:gd name="T14" fmla="*/ 1034174160 w 19"/>
                                    <a:gd name="T15" fmla="*/ 2091818264 h 23"/>
                                    <a:gd name="T16" fmla="*/ 1608746202 w 19"/>
                                    <a:gd name="T17" fmla="*/ 1743193567 h 23"/>
                                    <a:gd name="T18" fmla="*/ 1608746202 w 19"/>
                                    <a:gd name="T19" fmla="*/ 0 h 23"/>
                                    <a:gd name="T20" fmla="*/ 2147483646 w 19"/>
                                    <a:gd name="T21" fmla="*/ 0 h 23"/>
                                    <a:gd name="T22" fmla="*/ 2147483646 w 19"/>
                                    <a:gd name="T23" fmla="*/ 2147483646 h 23"/>
                                    <a:gd name="T24" fmla="*/ 1723646461 w 19"/>
                                    <a:gd name="T25" fmla="*/ 2147483646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6" name="Freeform 84"/>
                            <wps:cNvSpPr>
                              <a:spLocks/>
                            </wps:cNvSpPr>
                            <wps:spPr bwMode="auto">
                              <a:xfrm>
                                <a:off x="59091" y="912"/>
                                <a:ext cx="22125" cy="8883"/>
                              </a:xfrm>
                              <a:custGeom>
                                <a:avLst/>
                                <a:gdLst>
                                  <a:gd name="T0" fmla="*/ 2147483646 w 680"/>
                                  <a:gd name="T1" fmla="*/ 0 h 272"/>
                                  <a:gd name="T2" fmla="*/ 0 w 680"/>
                                  <a:gd name="T3" fmla="*/ 2147483646 h 272"/>
                                  <a:gd name="T4" fmla="*/ 2147483646 w 680"/>
                                  <a:gd name="T5" fmla="*/ 2147483646 h 272"/>
                                  <a:gd name="T6" fmla="*/ 2147483646 w 680"/>
                                  <a:gd name="T7" fmla="*/ 2147483646 h 272"/>
                                  <a:gd name="T8" fmla="*/ 2147483646 w 680"/>
                                  <a:gd name="T9" fmla="*/ 0 h 272"/>
                                  <a:gd name="T10" fmla="*/ 2147483646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04" descr="background"/>
                            <wps:cNvSpPr>
                              <a:spLocks/>
                            </wps:cNvSpPr>
                            <wps:spPr bwMode="auto">
                              <a:xfrm>
                                <a:off x="59103" y="929"/>
                                <a:ext cx="22106" cy="8861"/>
                              </a:xfrm>
                              <a:custGeom>
                                <a:avLst/>
                                <a:gdLst>
                                  <a:gd name="T0" fmla="*/ 2147483646 w 680"/>
                                  <a:gd name="T1" fmla="*/ 0 h 272"/>
                                  <a:gd name="T2" fmla="*/ 0 w 680"/>
                                  <a:gd name="T3" fmla="*/ 2147483646 h 272"/>
                                  <a:gd name="T4" fmla="*/ 2147483646 w 680"/>
                                  <a:gd name="T5" fmla="*/ 2147483646 h 272"/>
                                  <a:gd name="T6" fmla="*/ 2147483646 w 680"/>
                                  <a:gd name="T7" fmla="*/ 2147483646 h 272"/>
                                  <a:gd name="T8" fmla="*/ 2147483646 w 680"/>
                                  <a:gd name="T9" fmla="*/ 0 h 272"/>
                                  <a:gd name="T10" fmla="*/ 2147483646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406B76" w14:textId="77777777" w:rsidR="00B25047" w:rsidRPr="007367A7" w:rsidRDefault="00B25047" w:rsidP="00144B4F">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118" name="Picture 40" descr="CSIRO logo"/>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9" name="Group 69"/>
                        <wpg:cNvGrpSpPr>
                          <a:grpSpLocks/>
                        </wpg:cNvGrpSpPr>
                        <wpg:grpSpPr bwMode="auto">
                          <a:xfrm>
                            <a:off x="-827" y="10206"/>
                            <a:ext cx="14774" cy="6659"/>
                            <a:chOff x="0" y="0"/>
                            <a:chExt cx="93818" cy="42291"/>
                          </a:xfrm>
                        </wpg:grpSpPr>
                        <wps:wsp>
                          <wps:cNvPr id="120" name="Rectangle 68"/>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121" name="Group 67"/>
                          <wpg:cNvGrpSpPr>
                            <a:grpSpLocks/>
                          </wpg:cNvGrpSpPr>
                          <wpg:grpSpPr bwMode="auto">
                            <a:xfrm>
                              <a:off x="0" y="0"/>
                              <a:ext cx="93818" cy="26426"/>
                              <a:chOff x="0" y="0"/>
                              <a:chExt cx="93818" cy="26426"/>
                            </a:xfrm>
                          </wpg:grpSpPr>
                          <wps:wsp>
                            <wps:cNvPr id="122" name="Freeform 115" descr="background"/>
                            <wps:cNvSpPr>
                              <a:spLocks/>
                            </wps:cNvSpPr>
                            <wps:spPr bwMode="auto">
                              <a:xfrm>
                                <a:off x="0" y="0"/>
                                <a:ext cx="47104" cy="12071"/>
                              </a:xfrm>
                              <a:custGeom>
                                <a:avLst/>
                                <a:gdLst>
                                  <a:gd name="T0" fmla="*/ 2147483646 w 1458"/>
                                  <a:gd name="T1" fmla="*/ 2147483646 h 374"/>
                                  <a:gd name="T2" fmla="*/ 2147483646 w 1458"/>
                                  <a:gd name="T3" fmla="*/ 0 h 374"/>
                                  <a:gd name="T4" fmla="*/ 0 w 1458"/>
                                  <a:gd name="T5" fmla="*/ 0 h 374"/>
                                  <a:gd name="T6" fmla="*/ 0 w 1458"/>
                                  <a:gd name="T7" fmla="*/ 2147483646 h 374"/>
                                  <a:gd name="T8" fmla="*/ 2147483646 w 1458"/>
                                  <a:gd name="T9" fmla="*/ 2147483646 h 374"/>
                                  <a:gd name="T10" fmla="*/ 2147483646 w 1458"/>
                                  <a:gd name="T11" fmla="*/ 2147483646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6" descr="background"/>
                            <wps:cNvSpPr>
                              <a:spLocks/>
                            </wps:cNvSpPr>
                            <wps:spPr bwMode="auto">
                              <a:xfrm>
                                <a:off x="0" y="14031"/>
                                <a:ext cx="21545" cy="6197"/>
                              </a:xfrm>
                              <a:custGeom>
                                <a:avLst/>
                                <a:gdLst>
                                  <a:gd name="T0" fmla="*/ 2147483646 w 667"/>
                                  <a:gd name="T1" fmla="*/ 2147483646 h 192"/>
                                  <a:gd name="T2" fmla="*/ 2147483646 w 667"/>
                                  <a:gd name="T3" fmla="*/ 0 h 192"/>
                                  <a:gd name="T4" fmla="*/ 0 w 667"/>
                                  <a:gd name="T5" fmla="*/ 0 h 192"/>
                                  <a:gd name="T6" fmla="*/ 0 w 667"/>
                                  <a:gd name="T7" fmla="*/ 2147483646 h 192"/>
                                  <a:gd name="T8" fmla="*/ 2147483646 w 667"/>
                                  <a:gd name="T9" fmla="*/ 2147483646 h 192"/>
                                  <a:gd name="T10" fmla="*/ 2147483646 w 667"/>
                                  <a:gd name="T11" fmla="*/ 2147483646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17" descr="background"/>
                            <wps:cNvSpPr>
                              <a:spLocks/>
                            </wps:cNvSpPr>
                            <wps:spPr bwMode="auto">
                              <a:xfrm>
                                <a:off x="21441" y="14031"/>
                                <a:ext cx="72269" cy="12395"/>
                              </a:xfrm>
                              <a:custGeom>
                                <a:avLst/>
                                <a:gdLst>
                                  <a:gd name="T0" fmla="*/ 2147483646 w 2237"/>
                                  <a:gd name="T1" fmla="*/ 0 h 384"/>
                                  <a:gd name="T2" fmla="*/ 0 w 2237"/>
                                  <a:gd name="T3" fmla="*/ 2147483646 h 384"/>
                                  <a:gd name="T4" fmla="*/ 2147483646 w 2237"/>
                                  <a:gd name="T5" fmla="*/ 2147483646 h 384"/>
                                  <a:gd name="T6" fmla="*/ 2147483646 w 2237"/>
                                  <a:gd name="T7" fmla="*/ 2147483646 h 384"/>
                                  <a:gd name="T8" fmla="*/ 2147483646 w 2237"/>
                                  <a:gd name="T9" fmla="*/ 0 h 384"/>
                                  <a:gd name="T10" fmla="*/ 2147483646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18" descr="background"/>
                            <wps:cNvSpPr>
                              <a:spLocks/>
                            </wps:cNvSpPr>
                            <wps:spPr bwMode="auto">
                              <a:xfrm>
                                <a:off x="46981" y="0"/>
                                <a:ext cx="46837" cy="24180"/>
                              </a:xfrm>
                              <a:custGeom>
                                <a:avLst/>
                                <a:gdLst>
                                  <a:gd name="T0" fmla="*/ 2147483646 w 1450"/>
                                  <a:gd name="T1" fmla="*/ 0 h 749"/>
                                  <a:gd name="T2" fmla="*/ 0 w 1450"/>
                                  <a:gd name="T3" fmla="*/ 2147483646 h 749"/>
                                  <a:gd name="T4" fmla="*/ 2147483646 w 1450"/>
                                  <a:gd name="T5" fmla="*/ 2147483646 h 749"/>
                                  <a:gd name="T6" fmla="*/ 2147483646 w 1450"/>
                                  <a:gd name="T7" fmla="*/ 2147483646 h 749"/>
                                  <a:gd name="T8" fmla="*/ 2147483646 w 1450"/>
                                  <a:gd name="T9" fmla="*/ 0 h 749"/>
                                  <a:gd name="T10" fmla="*/ 2147483646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9" descr="background"/>
                            <wps:cNvSpPr>
                              <a:spLocks/>
                            </wps:cNvSpPr>
                            <wps:spPr bwMode="auto">
                              <a:xfrm>
                                <a:off x="0" y="22702"/>
                                <a:ext cx="71170" cy="1422"/>
                              </a:xfrm>
                              <a:custGeom>
                                <a:avLst/>
                                <a:gdLst>
                                  <a:gd name="T0" fmla="*/ 2147483646 w 2203"/>
                                  <a:gd name="T1" fmla="*/ 2147483646 h 44"/>
                                  <a:gd name="T2" fmla="*/ 2147483646 w 2203"/>
                                  <a:gd name="T3" fmla="*/ 0 h 44"/>
                                  <a:gd name="T4" fmla="*/ 0 w 2203"/>
                                  <a:gd name="T5" fmla="*/ 0 h 44"/>
                                  <a:gd name="T6" fmla="*/ 0 w 2203"/>
                                  <a:gd name="T7" fmla="*/ 2147483646 h 44"/>
                                  <a:gd name="T8" fmla="*/ 2147483646 w 2203"/>
                                  <a:gd name="T9" fmla="*/ 2147483646 h 44"/>
                                  <a:gd name="T10" fmla="*/ 2147483646 w 2203"/>
                                  <a:gd name="T11" fmla="*/ 2147483646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20" descr="background"/>
                            <wps:cNvSpPr>
                              <a:spLocks/>
                            </wps:cNvSpPr>
                            <wps:spPr bwMode="auto">
                              <a:xfrm>
                                <a:off x="71102" y="22702"/>
                                <a:ext cx="22644" cy="2838"/>
                              </a:xfrm>
                              <a:custGeom>
                                <a:avLst/>
                                <a:gdLst>
                                  <a:gd name="T0" fmla="*/ 2147483646 w 701"/>
                                  <a:gd name="T1" fmla="*/ 0 h 88"/>
                                  <a:gd name="T2" fmla="*/ 0 w 701"/>
                                  <a:gd name="T3" fmla="*/ 2147483646 h 88"/>
                                  <a:gd name="T4" fmla="*/ 2147483646 w 701"/>
                                  <a:gd name="T5" fmla="*/ 2147483646 h 88"/>
                                  <a:gd name="T6" fmla="*/ 2147483646 w 701"/>
                                  <a:gd name="T7" fmla="*/ 2147483646 h 88"/>
                                  <a:gd name="T8" fmla="*/ 2147483646 w 701"/>
                                  <a:gd name="T9" fmla="*/ 0 h 88"/>
                                  <a:gd name="T10" fmla="*/ 2147483646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22" descr="background"/>
                            <wps:cNvSpPr>
                              <a:spLocks/>
                            </wps:cNvSpPr>
                            <wps:spPr bwMode="auto">
                              <a:xfrm>
                                <a:off x="0" y="18445"/>
                                <a:ext cx="60090" cy="2807"/>
                              </a:xfrm>
                              <a:custGeom>
                                <a:avLst/>
                                <a:gdLst>
                                  <a:gd name="T0" fmla="*/ 2147483646 w 1860"/>
                                  <a:gd name="T1" fmla="*/ 2147483646 h 87"/>
                                  <a:gd name="T2" fmla="*/ 2147483646 w 1860"/>
                                  <a:gd name="T3" fmla="*/ 2147483646 h 87"/>
                                  <a:gd name="T4" fmla="*/ 2147483646 w 1860"/>
                                  <a:gd name="T5" fmla="*/ 0 h 87"/>
                                  <a:gd name="T6" fmla="*/ 0 w 1860"/>
                                  <a:gd name="T7" fmla="*/ 0 h 87"/>
                                  <a:gd name="T8" fmla="*/ 0 w 1860"/>
                                  <a:gd name="T9" fmla="*/ 2147483646 h 87"/>
                                  <a:gd name="T10" fmla="*/ 2147483646 w 1860"/>
                                  <a:gd name="T11" fmla="*/ 2147483646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65D79B18" id="Group 103" o:spid="_x0000_s1026" alt="background" style="position:absolute;margin-left:-116.35pt;margin-top:40.15pt;width:738.7pt;height:797.35pt;z-index:-251652096" coordorigin="-827,918" coordsize="14774,15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">
                <v:group id="Group 99" o:spid="_x0000_s1027" style="position:absolute;left:-262;top:918;width:12749;height:1610"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group id="Group 81" o:spid="_x0000_s1028"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Freeform 70" o:spid="_x0000_s1029"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Vnr8A&#10;AADcAAAADwAAAGRycy9kb3ducmV2LnhtbERPy6rCMBDdX/AfwgjurqkuRKpRRBC70XJ97IdmbIvN&#10;pCRRq19vLgju5nCeM192phF3cr62rGA0TEAQF1bXXCo4HTe/UxA+IGtsLJOCJ3lYLno/c0y1ffAf&#10;3Q+hFDGEfYoKqhDaVEpfVGTQD21LHLmLdQZDhK6U2uEjhptGjpNkIg3WHBsqbGldUXE93IyCfb5/&#10;5WdT7HK7ba7nHWWnzmVKDfrdagYiUBe+4o8703F+MoL/Z+IFcv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jRWevwAAANwAAAAPAAAAAAAAAAAAAAAAAJgCAABkcnMvZG93bnJl&#10;di54bWxQSwUGAAAAAAQABAD1AAAAhAMAAAAA&#10;" path="m2488,21v-204,,-204,,-204,c1994,21,1887,107,1808,137v97,81,229,176,470,176c2336,313,2488,313,2488,313v,-292,,-292,,-292m1354,c,,,,,,,157,,157,,157v1524,,1524,,1524,c1709,157,1769,152,1808,137v,,,,,c1808,137,1808,137,1808,137,1710,57,1548,,1354,e" fillcolor="#007e9a [2404]"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30"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VgHL0A&#10;AADcAAAADwAAAGRycy9kb3ducmV2LnhtbERPSwrCMBDdC94hjOBGNNWFSG0UEQS3VhGXQzP9aDMp&#10;TdTq6Y0guJvH+06y7kwtHtS6yrKC6SQCQZxZXXGh4HTcjRcgnEfWWFsmBS9ysF71ewnG2j75QI/U&#10;FyKEsItRQel9E0vpspIMuoltiAOX29agD7AtpG7xGcJNLWdRNJcGKw4NJTa0LSm7pXej4HLepy7v&#10;rtuTy9PNm2+juV7clRoOus0ShKfO/8U/916H+dEMvs+EC+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SVgHL0AAADcAAAADwAAAAAAAAAAAAAAAACYAgAAZHJzL2Rvd25yZXYu&#10;eG1sUEsFBgAAAAAEAAQA9QAAAIIDAAAAAA==&#10;" path="m1808,116c1698,54,1548,,1354,,,,,,,,,136,,136,,136v1524,,1524,,1524,c1709,136,1769,131,1808,116e" fillcolor="#00313c [3205]" stroked="f">
                      <v:path arrowok="t" o:connecttype="custom" o:connectlocs="2147483646,2147483646;2147483646,0;0,0;0,2147483646;2147483646,2147483646;2147483646,2147483646" o:connectangles="0,0,0,0,0,0"/>
                    </v:shape>
                    <v:group id="Group 105" o:spid="_x0000_s1031"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Freeform 72" o:spid="_x0000_s1032"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O5wMMA&#10;AADcAAAADwAAAGRycy9kb3ducmV2LnhtbERPTWsCMRC9F/wPYYTealYpVVejiKVUqBe1th7HZNxd&#10;3UyWTarrvzeC0Ns83ueMp40txZlqXzhW0O0kIIi1MwVnCr43Hy8DED4gGywdk4IreZhOWk9jTI27&#10;8IrO65CJGMI+RQV5CFUqpdc5WfQdVxFH7uBqiyHCOpOmxksMt6XsJcmbtFhwbMixonlO+rT+swr0&#10;5+/qtNM/Q7+cvS829mu/Pfq+Us/tZjYCEagJ/+KHe2Hi/OQV7s/EC+Tk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O5wMMAAADcAAAADwAAAAAAAAAAAAAAAACYAgAAZHJzL2Rv&#10;d25yZXYueG1sUEsFBgAAAAAEAAQA9QAAAIgDAAAAAA==&#10;" path="m32,c31,8,29,15,26,22v-6,,-6,,-6,c17,9,17,9,17,9,16,7,16,7,16,7v,,,,,c15,9,15,9,15,9,12,22,12,22,12,22v-6,,-6,,-6,c3,15,1,8,,,5,,5,,5,,6,5,7,9,8,13v1,1,1,3,1,4c9,17,9,17,9,17v1,-4,1,-4,1,-4c13,,13,,13,v6,,6,,6,c23,14,23,14,23,14v,3,,3,,3c23,17,23,17,23,17v1,-1,1,-3,1,-4c25,9,26,5,27,r5,xe" fillcolor="#00a9ce [3204]"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shape id="Freeform 73" o:spid="_x0000_s1033"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IsIA&#10;AADcAAAADwAAAGRycy9kb3ducmV2LnhtbERP22qDQBB9L/Qflin0ra4NNCnWNZSWiOBLYvoBgzte&#10;qDsr7kbN32cDhb7N4Vwn3a9mEDNNrres4DWKQRDXVvfcKvg5H17eQTiPrHGwTAqu5GCfPT6kmGi7&#10;8InmyrcihLBLUEHn/ZhI6eqODLrIjsSBa+xk0Ac4tVJPuIRwM8hNHG+lwZ5DQ4cjfXVU/1YXo2DX&#10;ylO5zYvVFos8fF/LpsyPjVLPT+vnBwhPq/8X/7kLHebHb3B/Jlwgs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8bUiwgAAANwAAAAPAAAAAAAAAAAAAAAAAJgCAABkcnMvZG93&#10;bnJldi54bWxQSwUGAAAAAAQABAD1AAAAhwMAAAAA&#10;" path="m33,c31,8,29,15,26,22v-6,,-6,,-6,c17,9,17,9,17,9,16,7,16,7,16,7v,,,,,c16,9,16,9,16,9,12,22,12,22,12,22v-6,,-6,,-6,c4,15,1,8,,,5,,5,,5,,6,5,7,9,9,13v,1,,3,,4c9,17,9,17,9,17v1,-4,1,-4,1,-4c14,,14,,14,v5,,5,,5,c23,14,23,14,23,14v1,3,1,3,1,3c24,17,24,17,24,17v,-1,,-3,1,-4c26,9,27,5,28,r5,xe" fillcolor="#00a9ce [3204]"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shape id="Freeform 74" o:spid="_x0000_s1034"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rVcEA&#10;AADcAAAADwAAAGRycy9kb3ducmV2LnhtbERPS2rDMBDdB3IHMYHsYjlduMW1EkJCgsGb2u0BBmv8&#10;odbIWGrs3D4qFLqbx/tOdlzMIO40ud6ygn0UgyCure65VfD1ed29gXAeWeNgmRQ8yMHxsF5lmGo7&#10;c0n3yrcihLBLUUHn/ZhK6eqODLrIjsSBa+xk0Ac4tVJPOIdwM8iXOE6kwZ5DQ4cjnTuqv6sfo+C1&#10;lWWR3PLF5rO8Xh5FU9w+GqW2m+X0DsLT4v/Ff+5ch/lxAr/PhAvk4Q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jK1XBAAAA3AAAAA8AAAAAAAAAAAAAAAAAmAIAAGRycy9kb3du&#10;cmV2LnhtbFBLBQYAAAAABAAEAPUAAACGAwAAAAA=&#10;" path="m33,c31,8,29,15,27,22v-6,,-6,,-6,c17,9,17,9,17,9,16,7,16,7,16,7v,,,,,c16,9,16,9,16,9,13,22,13,22,13,22v-7,,-7,,-7,c4,15,2,8,,,6,,6,,6,,7,5,8,9,9,13v,1,,3,1,4c10,17,10,17,10,17v1,-4,1,-4,1,-4c14,,14,,14,v5,,5,,5,c23,14,23,14,23,14v1,3,1,3,1,3c24,17,24,17,24,17v,-1,1,-3,1,-4c26,9,27,5,28,r5,xe" fillcolor="#00a9ce [3204]"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oval id="Oval 75" o:spid="_x0000_s1035"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cD8MA&#10;AADcAAAADwAAAGRycy9kb3ducmV2LnhtbERPTU/CQBC9k/gfNkPiDXbxoKSwEDFqvGhoIcbj2B3a&#10;hu5s0x2h/nvXhITbvLzPWa4H36oT9bEJbGE2NaCIy+Aarizsdy+TOagoyA7bwGThlyKsVzejJWYu&#10;nDmnUyGVSiEcM7RQi3SZ1rGsyWOcho44cYfQe5QE+0q7Hs8p3Lf6zph77bHh1FBjR081lcfix1t4&#10;P26eD2b/+bHtxORfrz4fvmVj7e14eFyAEhrkKr6431yabx7g/5l0gV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ccD8MAAADcAAAADwAAAAAAAAAAAAAAAACYAgAAZHJzL2Rv&#10;d25yZXYueG1sUEsFBgAAAAAEAAQA9QAAAIgDAAAAAA==&#10;" fillcolor="#00a9ce [3204]" stroked="f"/>
                      <v:shape id="Freeform 76" o:spid="_x0000_s1036"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qUZcUA&#10;AADcAAAADwAAAGRycy9kb3ducmV2LnhtbESPTUsDMRCG70L/Q5iCF7FJpVhZm5ZSEAoWpdWDx2Ez&#10;7i5uJtsk3W77652D4G2GeT+eWawG36qeYmoCW5hODCjiMriGKwufHy/3T6BSRnbYBiYLF0qwWo5u&#10;Fli4cOY99YdcKQnhVKCFOueu0DqVNXlMk9ARy+07RI9Z1lhpF/Es4b7VD8Y8ao8NS0ONHW1qKn8O&#10;Jy8lX7v+zWB8v255Rvo4P6XX7s7a2/GwfgaVacj/4j/31gm+EVp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pRlxQAAANwAAAAPAAAAAAAAAAAAAAAAAJgCAABkcnMv&#10;ZG93bnJldi54bWxQSwUGAAAAAAQABAD1AAAAigMAAAAA&#10;" path="m17,21v-3,1,-5,1,-7,1c3,22,,18,,12,,4,5,,11,v2,,4,,5,1c15,5,15,5,15,5,14,5,13,4,11,4,8,4,6,7,6,11v,5,2,7,5,7c13,18,14,18,16,17r1,4xe" fillcolor="#00a9ce [3204]" stroked="f">
                        <v:path arrowok="t" o:connecttype="custom" o:connectlocs="2147483646,2147483646;2147483646,2147483646;0,2147483646;2147483646,0;2147483646,2147483646;2147483646,2147483646;2147483646,2147483646;2147483646,2147483646;2147483646,2147483646;2147483646,2147483646;2147483646,2147483646" o:connectangles="0,0,0,0,0,0,0,0,0,0,0"/>
                      </v:shape>
                      <v:shape id="Freeform 77" o:spid="_x0000_s1037"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oTsMA&#10;AADcAAAADwAAAGRycy9kb3ducmV2LnhtbERPTWvCQBC9C/0PyxS86aZCtY1upBQKPeghSel5zE6T&#10;kOxs2N3G6K93CwVv83ifs9tPphcjOd9aVvC0TEAQV1a3XCv4Kj8WLyB8QNbYWyYFF/Kwzx5mO0y1&#10;PXNOYxFqEUPYp6igCWFIpfRVQwb90g7EkfuxzmCI0NVSOzzHcNPLVZKspcGWY0ODA703VHXFr1Gw&#10;3tROfufH6fTcHVZV4cZrXkql5o/T2xZEoCncxf/uTx3nJ6/w90y8QG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voTsMAAADcAAAADwAAAAAAAAAAAAAAAACYAgAAZHJzL2Rv&#10;d25yZXYueG1sUEsFBgAAAAAEAAQA9QAAAIgDAAAAAA==&#10;" path="m7,23c5,23,3,22,,22,1,17,1,17,1,17v2,1,4,1,6,1c9,18,10,18,10,16,10,15,9,14,6,13,3,12,1,10,1,7,1,3,4,,9,v2,,4,,5,1c14,5,14,5,14,5,12,4,11,4,9,4,7,4,6,5,6,6v,2,1,2,4,3c14,10,16,12,16,15v,5,-4,8,-9,8xe" fillcolor="#00a9ce [3204]" stroked="f">
                        <v:path arrowok="t" o:connecttype="custom" o:connectlocs="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 o:connectangles="0,0,0,0,0,0,0,0,0,0,0,0,0,0,0"/>
                      </v:shape>
                      <v:shape id="Freeform 78" o:spid="_x0000_s1038"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AjY8cA&#10;AADcAAAADwAAAGRycy9kb3ducmV2LnhtbESPS0/DQAyE70j8h5UrcaOb8mghdFvxEIILqmh76c3K&#10;uklE1huyJgn8enxA4mZrxjOfl+sxNKanLtWRHcymGRjiIvqaSwf73fP5DZgkyB6byOTgmxKsV6cn&#10;S8x9HPid+q2URkM45eigEmlza1NRUcA0jS2xasfYBRRdu9L6DgcND429yLK5DVizNlTY0mNFxcf2&#10;Kzh44MXL8HQZNz9ynV1Jf3j73C1unTubjPd3YIRG+Tf/Xb96xZ8pvj6jE9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gI2PHAAAA3AAAAA8AAAAAAAAAAAAAAAAAmAIAAGRy&#10;cy9kb3ducmV2LnhtbFBLBQYAAAAABAAEAPUAAACMAwAAAAA=&#10;" path="m3,31c3,13,3,13,3,13,,13,,13,,13,,9,,9,,9v8,,8,,8,c8,31,8,31,8,31r-5,xm6,6c4,6,2,5,2,3,2,1,4,,6,,8,,9,1,9,3,9,5,8,6,6,6xe" fillcolor="#00a9ce [3204]" stroked="f">
                        <v:path arrowok="t" o:connecttype="custom" o:connectlocs="2147483646,2147483646;2147483646,2147483646;0,2147483646;0,2147483646;2147483646,2147483646;2147483646,2147483646;2147483646,2147483646;2147483646,2147483646;2147483646,2147483646;2147483646,0;2147483646,2147483646;2147483646,2147483646" o:connectangles="0,0,0,0,0,0,0,0,0,0,0,0"/>
                        <o:lock v:ext="edit" verticies="t"/>
                      </v:shape>
                      <v:shape id="Freeform 79" o:spid="_x0000_s1039"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z0MEA&#10;AADcAAAADwAAAGRycy9kb3ducmV2LnhtbERPTYvCMBC9C/6HMMJeRNOqiFSjuOKChz3Y6sHj0Ixt&#10;sZmUJqv13xthwds83uesNp2pxZ1aV1lWEI8jEMS51RUXCs6nn9EChPPIGmvLpOBJDjbrfm+FibYP&#10;Tume+UKEEHYJKii9bxIpXV6SQTe2DXHgrrY16ANsC6lbfIRwU8tJFM2lwYpDQ4kN7UrKb9mfUZBm&#10;s+lvdPxeTPGa0p5S2s0uQ6W+Bt12CcJT5z/if/dBh/lxDO9nw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SM9DBAAAA3AAAAA8AAAAAAAAAAAAAAAAAmAIAAGRycy9kb3du&#10;cmV2LnhtbFBLBQYAAAAABAAEAPUAAACGAwAAAAA=&#10;" path="m12,5v,,-1,,-2,c9,5,7,6,5,9v,13,,13,,13c,22,,22,,22,,,,,,,4,,4,,4,,5,4,5,4,5,4,7,1,8,,10,v1,,2,,3,l12,5xe" fillcolor="#00a9ce [3204]" stroked="f">
                        <v:path arrowok="t" o:connecttype="custom" o:connectlocs="2147483646,2147483646;2147483646,2147483646;2147483646,2147483646;2147483646,2147483646;0,2147483646;0,0;2147483646,0;2147483646,2147483646;2147483646,0;2147483646,0;2147483646,2147483646" o:connectangles="0,0,0,0,0,0,0,0,0,0,0"/>
                      </v:shape>
                      <v:shape id="Freeform 80" o:spid="_x0000_s1040"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11DMIA&#10;AADcAAAADwAAAGRycy9kb3ducmV2LnhtbERPTWvCQBC9F/oflin0Vjd6EImuUoVSL4JaCT0O2Umy&#10;bXY2ZEdN++u7gtDbPN7nLFaDb9WF+ugCGxiPMlDEZbCOawOnj7eXGagoyBbbwGTghyKslo8PC8xt&#10;uPKBLkepVQrhmKOBRqTLtY5lQx7jKHTEiatC71ES7Gtte7ymcN/qSZZNtUfHqaHBjjYNld/Hszew&#10;f9fVvhB0n1idp9X6a+d+CzHm+Wl4nYMSGuRffHdvbZo/nsDtmXSB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XUMwgAAANwAAAAPAAAAAAAAAAAAAAAAAJgCAABkcnMvZG93&#10;bnJldi54bWxQSwUGAAAAAAQABAD1AAAAhwMAAAAA&#10;" path="m11,23c3,23,,18,,12,,4,4,,11,v7,,11,4,11,11c22,18,18,23,11,23xm11,4c7,4,5,7,5,11v,4,2,7,6,7c15,18,16,15,16,11,16,7,15,4,11,4xe" fillcolor="#00a9ce [3204]" stroked="f">
                        <v:path arrowok="t" o:connecttype="custom" o:connectlocs="2147483646,2147483646;0,2147483646;2147483646,0;2147483646,2147483646;2147483646,2147483646;2147483646,2147483646;2147483646,2147483646;2147483646,2147483646;2147483646,2147483646;2147483646,2147483646" o:connectangles="0,0,0,0,0,0,0,0,0,0"/>
                        <o:lock v:ext="edit" verticies="t"/>
                      </v:shape>
                      <v:oval id="Oval 81" o:spid="_x0000_s1041"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M0cMA&#10;AADcAAAADwAAAGRycy9kb3ducmV2LnhtbERPTWvCQBC9F/oflhF6q7u2ICW6ipa29KI0VsTjmB2T&#10;YHY2ZKea/vuuIPQ2j/c503nvG3WmLtaBLYyGBhRxEVzNpYXt9/vjC6goyA6bwGThlyLMZ/d3U8xc&#10;uHBO542UKoVwzNBCJdJmWseiIo9xGFrixB1D51ES7ErtOrykcN/oJ2PG2mPNqaHCll4rKk6bH29h&#10;dVq+Hc12t/5qxeT7D5/3B1la+zDoFxNQQr38i2/uT5fmj57h+ky6Q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WM0cMAAADcAAAADwAAAAAAAAAAAAAAAACYAgAAZHJzL2Rv&#10;d25yZXYueG1sUEsFBgAAAAAEAAQA9QAAAIgDAAAAAA==&#10;" fillcolor="#00a9ce [3204]" stroked="f"/>
                      <v:shape id="Freeform 82" o:spid="_x0000_s1042"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zd8QA&#10;AADcAAAADwAAAGRycy9kb3ducmV2LnhtbESPQW/CMAyF75P4D5GRdhtJYRqoNEUIDW3HrXCAm9WY&#10;tqJxqiaD7N8vkybtZus9v++52ETbixuNvnOsIZspEMS1Mx03Go6H/dMKhA/IBnvHpOGbPGzKyUOB&#10;uXF3/qRbFRqRQtjnqKENYcil9HVLFv3MDcRJu7jRYkjr2Egz4j2F217OlXqRFjtOhBYH2rVUX6sv&#10;m7iqyt7Uji/Z68Iu1XEZP07nqPXjNG7XIALF8G/+u343qX72DL/PpAlk+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X83fEAAAA3AAAAA8AAAAAAAAAAAAAAAAAmAIAAGRycy9k&#10;b3ducmV2LnhtbFBLBQYAAAAABAAEAPUAAACJAwAAAAA=&#10;" path="m14,22v,-2,,-2,,-2c12,22,10,23,7,23,2,23,,20,,16,,11,4,9,10,9v3,,3,,3,c13,8,13,8,13,8,13,5,12,4,8,4,6,4,4,4,2,5,1,1,1,1,1,1,3,,6,,9,v7,,9,3,9,7c18,22,18,22,18,22r-4,xm13,12v-3,,-3,,-3,c7,12,5,14,5,16v,1,1,3,3,3c10,19,12,18,13,17r,-5xe" fillcolor="#00a9ce [3204]" stroked="f">
                        <v:path arrowok="t" o:connecttype="custom" o:connectlocs="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 o:connectangles="0,0,0,0,0,0,0,0,0,0,0,0,0,0,0,0,0,0,0,0"/>
                        <o:lock v:ext="edit" verticies="t"/>
                      </v:shape>
                      <v:shape id="Freeform 83" o:spid="_x0000_s1043"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HtcMA&#10;AADcAAAADwAAAGRycy9kb3ducmV2LnhtbERPS2rDMBDdF3IHMYXsajkNbotjOYSShFK8adIDTKzx&#10;h1ojYym2c/uoUOhuHu872XY2nRhpcK1lBasoBkFcWt1yreD7fHh6A+E8ssbOMim4kYNtvnjIMNV2&#10;4i8aT74WIYRdigoa7/tUSlc2ZNBFticOXGUHgz7AoZZ6wCmEm04+x/GLNNhyaGiwp/eGyp/T1Sh4&#10;XU+fh5ZmO17L81gd90VyiQullo/zbgPC0+z/xX/uDx3mrxL4fSZc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LHtcMAAADcAAAADwAAAAAAAAAAAAAAAACYAgAAZHJzL2Rv&#10;d25yZXYueG1sUEsFBgAAAAAEAAQA9QAAAIgDAAAAAA==&#10;" path="m15,22v,-3,,-3,,-3c12,22,10,23,7,23,2,23,,19,,14,,,,,,,5,,5,,5,v,13,,13,,13c5,16,6,18,9,18v2,,3,-1,5,-3c14,,14,,14,v5,,5,,5,c19,22,19,22,19,22r-4,xe" fillcolor="#00a9ce [3204]" stroked="f">
                        <v:path arrowok="t" o:connecttype="custom" o:connectlocs="2147483646,2147483646;2147483646,2147483646;2147483646,2147483646;0,2147483646;0,0;2147483646,0;2147483646,2147483646;2147483646,2147483646;2147483646,2147483646;2147483646,0;2147483646,0;2147483646,2147483646;2147483646,2147483646" o:connectangles="0,0,0,0,0,0,0,0,0,0,0,0,0"/>
                      </v:shape>
                    </v:group>
                    <v:shape id="Freeform 84" o:spid="_x0000_s1044"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4s9b4A&#10;AADcAAAADwAAAGRycy9kb3ducmV2LnhtbERPS4vCMBC+C/6HMMLebOrCFukaRQShe9iDj70PzdiU&#10;NpOSRK3/3iwI3ubje85qM9pe3MiH1rGCRZaDIK6dbrlRcD7t50sQISJr7B2TggcF2KynkxWW2t35&#10;QLdjbEQK4VCiAhPjUEoZakMWQ+YG4sRdnLcYE/SN1B7vKdz28jPPC2mx5dRgcKCdobo7Xq2C+NW7&#10;Sv9Z31W/P2NlumLLhEp9zMbtN4hIY3yLX+5Kp/mLAv6fSR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N+LPW+AAAA3AAAAA8AAAAAAAAAAAAAAAAAmAIAAGRycy9kb3ducmV2&#10;LnhtbFBLBQYAAAAABAAEAPUAAACDAw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5"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pBIsMA&#10;AADcAAAADwAAAGRycy9kb3ducmV2LnhtbERP22rCQBB9L/Qflin0rdnVh9qmbqQVDAqKGPsBQ3Zy&#10;odnZkF01+vXdgtC3OZzrzBej7cSZBt861jBJFAji0pmWaw3fx9XLGwgfkA12jknDlTwssseHOabG&#10;XfhA5yLUIoawT1FDE0KfSunLhiz6xPXEkavcYDFEONTSDHiJ4baTU6VepcWWY0ODPS0bKn+Kk9Ww&#10;cauNer997bbVssjVNuT5cW+1fn4aPz9ABBrDv/juXps4fzKDv2fi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pBIsMAAADcAAAADwAAAAAAAAAAAAAAAACYAgAAZHJzL2Rv&#10;d25yZXYueG1sUEsFBgAAAAAEAAQA9QAAAIgDAAAAAA==&#10;" adj="-11796480,,5400" path="m476,c186,,79,86,,116v128,73,229,156,470,156c528,272,680,272,680,272,680,,680,,680,l476,xe" fillcolor="white [3212]" stroked="f">
                      <v:stroke joinstyle="miter"/>
                      <v:formulas/>
                      <v:path arrowok="t" o:connecttype="custom" o:connectlocs="2147483646,0;0,2147483646;2147483646,2147483646;2147483646,2147483646;2147483646,0;2147483646,0" o:connectangles="0,0,0,0,0,0" textboxrect="0,0,680,272"/>
                      <v:textbox>
                        <w:txbxContent>
                          <w:p w14:paraId="2E406B76" w14:textId="77777777" w:rsidR="00B25047" w:rsidRPr="007367A7" w:rsidRDefault="00B25047" w:rsidP="00144B4F">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6"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s3N/GAAAA3AAAAA8AAABkcnMvZG93bnJldi54bWxEj0FPAjEQhe8k/odmTLxBFw+AK4UYExNj&#10;lhjQA97G7bDduJ2u2wrl3zMHE24zeW/e+2a5zr5TRxpiG9jAdFKAIq6Dbbkx8PnxMl6AignZYheY&#10;DJwpwnp1M1piacOJt3TcpUZJCMcSDbiU+lLrWDvyGCehJxbtEAaPSdah0XbAk4T7Tt8XxUx7bFka&#10;HPb07Kj+2f15A9/Vb7ffh4fZu8ubjF9v1WHOlTF3t/npEVSinK7m/+tXK/hToZVnZAK9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6zc38YAAADcAAAADwAAAAAAAAAAAAAA&#10;AACfAgAAZHJzL2Rvd25yZXYueG1sUEsFBgAAAAAEAAQA9wAAAJIDAAAAAA==&#10;">
                    <v:imagedata r:id="rId8" o:title="CSIRO logo"/>
                    <v:path arrowok="t"/>
                  </v:shape>
                </v:group>
                <v:group id="Group 69" o:spid="_x0000_s1047" style="position:absolute;left:-827;top:10206;width:14774;height:6659"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ect id="Rectangle 68" o:spid="_x0000_s1048"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p8m8UA&#10;AADcAAAADwAAAGRycy9kb3ducmV2LnhtbESPQW/CMAyF70j8h8iTdoN0TIypNCA0bYjtBqycrcZr&#10;qzVO16RQ/j0+TOJm6z2/9zlbD65RZ+pC7dnA0zQBRVx4W3Np4Pv4MXkFFSKyxcYzGbhSgPVqPMow&#10;tf7CezofYqkkhEOKBqoY21TrUFTkMEx9Syzaj+8cRlm7UtsOLxLuGj1LkhftsGZpqLClt4qK30Pv&#10;DPTzxef7cPrbPudJvvjKm/kubltjHh+GzRJUpCHezf/XOyv4M8GXZ2QC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nybxQAAANwAAAAPAAAAAAAAAAAAAAAAAJgCAABkcnMv&#10;ZG93bnJldi54bWxQSwUGAAAAAAQABAD1AAAAigMAAAAA&#10;" fillcolor="white [3212]" stroked="f" strokeweight="2pt"/>
                  <v:group id="Group 67" o:spid="_x0000_s1049"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115" o:spid="_x0000_s1050" alt="background"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vmyMMA&#10;AADcAAAADwAAAGRycy9kb3ducmV2LnhtbERPTUsDMRC9C/0PYQRvNmsOItumpbhUPQhqaz0Pm+lm&#10;62ayJNnt+u+NIPQ2j/c5y/XkOjFSiK1nDXfzAgRx7U3LjYbP/fb2AURMyAY7z6ThhyKsV7OrJZbG&#10;n/mDxl1qRA7hWKIGm1JfShlrSw7j3PfEmTv64DBlGBppAp5zuOukKop76bDl3GCxp0dL9fducBpC&#10;VPbtuToc1XB6eh8PQ/X1OlRa31xPmwWIRFO6iP/dLybPVwr+ns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vmyMMAAADcAAAADwAAAAAAAAAAAAAAAACYAgAAZHJzL2Rv&#10;d25yZXYueG1sUEsFBgAAAAAEAAQA9QAAAIgDAAAAAA==&#10;" path="m1458,321c1158,150,746,,214,,,,,,,,,374,,374,,374v680,,680,,680,c1186,374,1351,362,1458,321e" fillcolor="#00313c [3205]" stroked="f">
                      <v:path arrowok="t" o:connecttype="custom" o:connectlocs="2147483646,2147483646;2147483646,0;0,0;0,2147483646;2147483646,2147483646;2147483646,2147483646" o:connectangles="0,0,0,0,0,0"/>
                    </v:shape>
                    <v:shape id="Freeform 116" o:spid="_x0000_s1051" alt="background"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y4MMA&#10;AADcAAAADwAAAGRycy9kb3ducmV2LnhtbERPTWvCQBC9C/6HZYTemo0RpKZuQhCUemtthXobsmMS&#10;zM6G3a2m/fXdQsHbPN7nrMvR9OJKzneWFcyTFARxbXXHjYKP9+3jEwgfkDX2lknBN3koi+lkjbm2&#10;N36j6yE0Ioawz1FBG8KQS+nrlgz6xA7EkTtbZzBE6BqpHd5iuOlllqZLabDj2NDiQJuW6svhyyhY&#10;2NNRV93Prnp1tLefqyFbnvZKPczG6hlEoDHcxf/uFx3nZwv4e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y4MMAAADcAAAADwAAAAAAAAAAAAAAAACYAgAAZHJzL2Rv&#10;d25yZXYueG1sUEsFBgAAAAAEAAQA9QAAAIgDAAAAAA==&#10;" path="m667,165c513,77,302,,29,,,,,,,,,192,,192,,192v268,,268,,268,c528,192,612,186,667,165e" fillcolor="#00a9ce [3204]" stroked="f">
                      <v:path arrowok="t" o:connecttype="custom" o:connectlocs="2147483646,2147483646;2147483646,0;0,0;0,2147483646;2147483646,2147483646;2147483646,2147483646" o:connectangles="0,0,0,0,0,0"/>
                    </v:shape>
                    <v:shape id="Freeform 117" o:spid="_x0000_s1052" alt="background"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4wl74A&#10;AADcAAAADwAAAGRycy9kb3ducmV2LnhtbERPzQrCMAy+C75DieBNO0VEplVUEAVPTsFrWOM2XNOx&#10;Vjd9eisI3vLx/Waxak0pnlS7wrKC0TACQZxaXXCm4HLeDWYgnEfWWFomBS9ysFp2OwuMtW34RM/E&#10;ZyKEsItRQe59FUvp0pwMuqGtiAN3s7VBH2CdSV1jE8JNKcdRNJUGCw4NOVa0zSm9Jw+jYF+dbs1m&#10;fbUJ7Y6j9/R9nWS8V6rfa9dzEJ5a/xf/3Acd5o8n8H0mXCC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F+MJe+AAAA3AAAAA8AAAAAAAAAAAAAAAAAmAIAAGRycy9kb3ducmV2&#10;LnhtbFBLBQYAAAAABAAEAPUAAACDAwAAAAA=&#10;" path="m669,c262,,112,122,,165,180,268,322,384,661,384v82,,1576,,1576,c2237,,2237,,2237,l669,xe" fillcolor="#00a9ce [3204]" stroked="f">
                      <v:path arrowok="t" o:connecttype="custom" o:connectlocs="2147483646,0;0,2147483646;2147483646,2147483646;2147483646,2147483646;2147483646,0;2147483646,0" o:connectangles="0,0,0,0,0,0"/>
                    </v:shape>
                    <v:shape id="Freeform 118" o:spid="_x0000_s1053" alt="background"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SvCMEA&#10;AADcAAAADwAAAGRycy9kb3ducmV2LnhtbERPzYrCMBC+C/sOYRa8abrCFu0axVUWiuBB3QcYmrGt&#10;NpPQRK0+vREEb/Px/c503plGXKj1tWUFX8MEBHFhdc2lgv/932AMwgdkjY1lUnAjD/PZR2+KmbZX&#10;3tJlF0oRQ9hnqKAKwWVS+qIig35oHXHkDrY1GCJsS6lbvMZw08hRkqTSYM2xoUJHy4qK0+5sFKRL&#10;zH9Xx9ytNzxxx7sp03W6UKr/2S1+QATqwlv8cuc6zh99w/OZeIG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UrwjBAAAA3AAAAA8AAAAAAAAAAAAAAAAAmAIAAGRycy9kb3du&#10;cmV2LnhtbFBLBQYAAAAABAAEAPUAAACGAwAAAAA=&#10;" path="m1306,c512,,218,238,,321,351,522,628,749,1291,749v159,,155,,155,c1446,,1446,,1446,l1306,xe" fillcolor="#00313c [3205]" stroked="f">
                      <v:path arrowok="t" o:connecttype="custom" o:connectlocs="2147483646,0;0,2147483646;2147483646,2147483646;2147483646,2147483646;2147483646,0;2147483646,0" o:connectangles="0,0,0,0,0,0"/>
                    </v:shape>
                    <v:shape id="Freeform 119" o:spid="_x0000_s1054" alt="background"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fwsEA&#10;AADcAAAADwAAAGRycy9kb3ducmV2LnhtbERP24rCMBB9F/yHMIJvmlrcItUoIuwiyD54+YChGZti&#10;MylJ1nb36zfCwr7N4VxnsxtsK57kQ+NYwWKegSCunG64VnC7vs9WIEJE1tg6JgXfFGC3HY82WGrX&#10;85mel1iLFMKhRAUmxq6UMlSGLIa564gTd3feYkzQ11J77FO4bWWeZYW02HBqMNjRwVD1uHxZBcfT&#10;zwefH3rxVqz2xn8udZX3UanpZNivQUQa4r/4z33UaX5ewOuZdIH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8LBAAAA3AAAAA8AAAAAAAAAAAAAAAAAmAIAAGRycy9kb3du&#10;cmV2LnhtbFBLBQYAAAAABAAEAPUAAACGAwAAAAA=&#10;" path="m2203,38c2169,21,2120,,2058,,,,,,,,,44,,44,,44v2112,,2112,,2112,c2112,44,2193,40,2203,38e" fillcolor="#00313c [3205]" stroked="f">
                      <v:path arrowok="t" o:connecttype="custom" o:connectlocs="2147483646,2147483646;2147483646,0;0,0;0,2147483646;2147483646,2147483646;2147483646,2147483646" o:connectangles="0,0,0,0,0,0"/>
                    </v:shape>
                    <v:shape id="Freeform 120" o:spid="_x0000_s1055" alt="background"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pWMAA&#10;AADcAAAADwAAAGRycy9kb3ducmV2LnhtbERP32vCMBB+F/Y/hBvsTdOVsY3OVIZQ1Mdp9340Zxva&#10;XEKT2frfG0HY2318P2+9me0gLjQG41jB6yoDQdw4bbhVUJ+q5SeIEJE1Do5JwZUCbMqnxRoL7Sb+&#10;ocsxtiKFcChQQRejL6QMTUcWw8p54sSd3WgxJji2Uo84pXA7yDzL3qVFw6mhQ0/bjpr++GcVWP92&#10;qH/92Zy2u4mxqjOe9r1SL8/z9xeISHP8Fz/ce53m5x9wfyZdIM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RpWMAAAADcAAAADwAAAAAAAAAAAAAAAACYAgAAZHJzL2Rvd25y&#10;ZXYueG1sUEsFBgAAAAAEAAQA9QAAAIUDAAAAAA==&#10;" path="m153,c60,,26,28,,38,41,61,74,88,151,88v550,,550,,550,c701,,701,,701,l153,xe" stroked="f">
                      <v:path arrowok="t" o:connecttype="custom" o:connectlocs="2147483646,0;0,2147483646;2147483646,2147483646;2147483646,2147483646;2147483646,0;2147483646,0" o:connectangles="0,0,0,0,0,0"/>
                    </v:shape>
                    <v:shape id="Freeform 122" o:spid="_x0000_s1056" alt="background"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ifRMcA&#10;AADcAAAADwAAAGRycy9kb3ducmV2LnhtbESPT2/CMAzF75P2HSJP2g3ScdhGIaCBmMZl0vhzgJvV&#10;mLaicbokK2Wffj4g7WbrPb/383Teu0Z1FGLt2cDTMANFXHhbc2lgv3sfvIKKCdli45kMXCnCfHZ/&#10;N8Xc+gtvqNumUkkIxxwNVCm1udaxqMhhHPqWWLSTDw6TrKHUNuBFwl2jR1n2rB3WLA0VtrSsqDhv&#10;f5yBcbym42Gx+lqsP78/fo9dcMvVizGPD/3bBFSiPv2bb9drK/gjoZV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Yn0THAAAA3AAAAA8AAAAAAAAAAAAAAAAAmAIAAGRy&#10;cy9kb3ducmV2LnhtbFBLBQYAAAAABAAEAPUAAACMAwAAAAA=&#10;" path="m1707,87v93,,127,-28,153,-37c1819,26,1786,,1709,,,,,,,,,87,,87,,87r1707,xe" stroked="f">
                      <v:path arrowok="t" o:connecttype="custom" o:connectlocs="2147483646,2147483646;2147483646,2147483646;2147483646,0;0,0;0,2147483646;2147483646,2147483646" o:connectangles="0,0,0,0,0,0"/>
                    </v:shape>
                  </v:group>
                </v:group>
              </v:group>
            </w:pict>
          </mc:Fallback>
        </mc:AlternateContent>
      </w:r>
    </w:p>
    <w:p w14:paraId="307907F8" w14:textId="77777777" w:rsidR="008A1135" w:rsidRDefault="008A1135" w:rsidP="008A1135"/>
    <w:p w14:paraId="2E338CE9" w14:textId="77777777" w:rsidR="008A1135" w:rsidRPr="008A1135" w:rsidRDefault="008A1135" w:rsidP="008A1135"/>
    <w:p w14:paraId="0AB19BFE" w14:textId="77777777" w:rsidR="008A1135" w:rsidRDefault="008A1135" w:rsidP="00144B4F">
      <w:pPr>
        <w:pStyle w:val="Title"/>
        <w:rPr>
          <w:b/>
          <w:color w:val="FFFFFF" w:themeColor="background1"/>
        </w:rPr>
      </w:pPr>
    </w:p>
    <w:p w14:paraId="5ABA0E7A" w14:textId="77777777" w:rsidR="008A1135" w:rsidRPr="008A1135" w:rsidRDefault="008A1135" w:rsidP="008A1135"/>
    <w:p w14:paraId="2ECA48CB" w14:textId="420A39B2" w:rsidR="00144B4F" w:rsidRPr="008A1135" w:rsidRDefault="00401F03" w:rsidP="00144B4F">
      <w:pPr>
        <w:pStyle w:val="Title"/>
        <w:rPr>
          <w:b/>
          <w:color w:val="FFFFFF" w:themeColor="background1"/>
        </w:rPr>
      </w:pPr>
      <w:r>
        <w:rPr>
          <w:b/>
          <w:noProof/>
          <w:color w:val="FFFFFF" w:themeColor="background1"/>
          <w:lang w:val="en-AU" w:eastAsia="en-AU"/>
        </w:rPr>
        <mc:AlternateContent>
          <mc:Choice Requires="wps">
            <w:drawing>
              <wp:anchor distT="0" distB="0" distL="114300" distR="114300" simplePos="0" relativeHeight="251663360" behindDoc="1" locked="1" layoutInCell="1" allowOverlap="1" wp14:anchorId="1B65E7A0" wp14:editId="3A280E35">
                <wp:simplePos x="0" y="0"/>
                <wp:positionH relativeFrom="page">
                  <wp:posOffset>-360045</wp:posOffset>
                </wp:positionH>
                <wp:positionV relativeFrom="page">
                  <wp:posOffset>-269240</wp:posOffset>
                </wp:positionV>
                <wp:extent cx="8143875" cy="8490585"/>
                <wp:effectExtent l="0" t="0" r="9525" b="5715"/>
                <wp:wrapNone/>
                <wp:docPr id="97" name="Rectangle 7"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3875" cy="849058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B65D2" id="Rectangle 7" o:spid="_x0000_s1026" alt="background" style="position:absolute;margin-left:-28.35pt;margin-top:-21.2pt;width:641.25pt;height:668.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" fillcolor="#00a9ce [3204]" stroked="f">
                <w10:wrap anchorx="page" anchory="page"/>
                <w10:anchorlock/>
              </v:rect>
            </w:pict>
          </mc:Fallback>
        </mc:AlternateContent>
      </w:r>
      <w:r w:rsidR="0011542D" w:rsidRPr="0011542D">
        <w:rPr>
          <w:b/>
          <w:color w:val="FFFFFF" w:themeColor="background1"/>
        </w:rPr>
        <w:t xml:space="preserve">Overview of aquitard and </w:t>
      </w:r>
      <w:r w:rsidR="0011542D">
        <w:rPr>
          <w:b/>
          <w:color w:val="FFFFFF" w:themeColor="background1"/>
        </w:rPr>
        <w:t xml:space="preserve">geological </w:t>
      </w:r>
      <w:r w:rsidR="0011542D" w:rsidRPr="0011542D">
        <w:rPr>
          <w:b/>
          <w:color w:val="FFFFFF" w:themeColor="background1"/>
        </w:rPr>
        <w:t xml:space="preserve">fault </w:t>
      </w:r>
      <w:r w:rsidR="0011542D">
        <w:rPr>
          <w:b/>
          <w:color w:val="FFFFFF" w:themeColor="background1"/>
        </w:rPr>
        <w:t xml:space="preserve">simulation </w:t>
      </w:r>
      <w:r w:rsidR="0011542D" w:rsidRPr="0011542D">
        <w:rPr>
          <w:b/>
          <w:color w:val="FFFFFF" w:themeColor="background1"/>
        </w:rPr>
        <w:t xml:space="preserve">approaches in regional </w:t>
      </w:r>
      <w:r w:rsidR="0011542D">
        <w:rPr>
          <w:b/>
          <w:color w:val="FFFFFF" w:themeColor="background1"/>
        </w:rPr>
        <w:t xml:space="preserve">scale </w:t>
      </w:r>
      <w:r w:rsidR="0011542D" w:rsidRPr="0011542D">
        <w:rPr>
          <w:b/>
          <w:color w:val="FFFFFF" w:themeColor="background1"/>
        </w:rPr>
        <w:t>assessments of coal seam gas extraction impacts</w:t>
      </w:r>
      <w:r w:rsidR="00144B4F" w:rsidRPr="008A1135">
        <w:rPr>
          <w:b/>
          <w:color w:val="FFFFFF" w:themeColor="background1"/>
        </w:rPr>
        <w:t xml:space="preserve"> </w:t>
      </w:r>
    </w:p>
    <w:p w14:paraId="215771DC" w14:textId="77777777" w:rsidR="00144B4F" w:rsidRPr="008A1135" w:rsidRDefault="00144B4F" w:rsidP="00144B4F">
      <w:pPr>
        <w:pStyle w:val="Body"/>
        <w:rPr>
          <w:b/>
          <w:color w:val="FFFFFF" w:themeColor="background1"/>
          <w:sz w:val="22"/>
        </w:rPr>
      </w:pPr>
      <w:r w:rsidRPr="008A1135">
        <w:rPr>
          <w:b/>
          <w:color w:val="FFFFFF" w:themeColor="background1"/>
          <w:sz w:val="22"/>
        </w:rPr>
        <w:t>Chris Turnadge, Dirk Mallants and Luk Peeters</w:t>
      </w:r>
    </w:p>
    <w:p w14:paraId="32B7BDCB" w14:textId="77777777" w:rsidR="00144B4F" w:rsidRPr="008A1135" w:rsidRDefault="00144B4F" w:rsidP="00144B4F">
      <w:pPr>
        <w:pStyle w:val="Body"/>
        <w:rPr>
          <w:b/>
          <w:color w:val="FFFFFF" w:themeColor="background1"/>
          <w:sz w:val="22"/>
        </w:rPr>
      </w:pPr>
      <w:r w:rsidRPr="008A1135">
        <w:rPr>
          <w:b/>
          <w:color w:val="FFFFFF" w:themeColor="background1"/>
          <w:sz w:val="22"/>
        </w:rPr>
        <w:t xml:space="preserve">CSIRO Land and Water </w:t>
      </w:r>
    </w:p>
    <w:p w14:paraId="4DF8E96A" w14:textId="77777777" w:rsidR="00144B4F" w:rsidRPr="008A1135" w:rsidRDefault="00144B4F" w:rsidP="00144B4F">
      <w:pPr>
        <w:pStyle w:val="Body"/>
        <w:rPr>
          <w:b/>
          <w:color w:val="FFFFFF" w:themeColor="background1"/>
        </w:rPr>
      </w:pPr>
    </w:p>
    <w:p w14:paraId="611F6B16" w14:textId="77777777" w:rsidR="00144B4F" w:rsidRPr="008A1135" w:rsidRDefault="00144B4F" w:rsidP="00144B4F">
      <w:pPr>
        <w:pStyle w:val="Body"/>
        <w:rPr>
          <w:b/>
          <w:color w:val="FFFFFF" w:themeColor="background1"/>
        </w:rPr>
      </w:pPr>
    </w:p>
    <w:p w14:paraId="0D5C1432" w14:textId="77777777" w:rsidR="00144B4F" w:rsidRPr="008A1135" w:rsidRDefault="00144B4F" w:rsidP="00144B4F">
      <w:pPr>
        <w:pStyle w:val="Body"/>
        <w:rPr>
          <w:b/>
          <w:color w:val="FFFFFF" w:themeColor="background1"/>
        </w:rPr>
      </w:pPr>
    </w:p>
    <w:p w14:paraId="207F768B" w14:textId="42CF8FB8" w:rsidR="00144B4F" w:rsidRPr="00AA0670" w:rsidRDefault="00144B4F" w:rsidP="00144B4F">
      <w:pPr>
        <w:pStyle w:val="Body"/>
        <w:rPr>
          <w:color w:val="FFFFFF" w:themeColor="background1"/>
          <w:sz w:val="20"/>
        </w:rPr>
      </w:pPr>
      <w:r w:rsidRPr="00AA0670">
        <w:rPr>
          <w:color w:val="FFFFFF" w:themeColor="background1"/>
          <w:sz w:val="20"/>
        </w:rPr>
        <w:t xml:space="preserve">This report was commissioned by the Department of the Environment </w:t>
      </w:r>
      <w:r w:rsidR="00512C80">
        <w:rPr>
          <w:color w:val="FFFFFF" w:themeColor="background1"/>
          <w:sz w:val="20"/>
        </w:rPr>
        <w:t>and Energy</w:t>
      </w:r>
      <w:r w:rsidR="00385A25">
        <w:rPr>
          <w:color w:val="FFFFFF" w:themeColor="background1"/>
          <w:sz w:val="20"/>
        </w:rPr>
        <w:t xml:space="preserve"> </w:t>
      </w:r>
      <w:r w:rsidR="00F371C0">
        <w:rPr>
          <w:color w:val="FFFFFF" w:themeColor="background1"/>
          <w:sz w:val="20"/>
        </w:rPr>
        <w:t xml:space="preserve">and </w:t>
      </w:r>
      <w:r w:rsidRPr="00AA0670">
        <w:rPr>
          <w:color w:val="FFFFFF" w:themeColor="background1"/>
          <w:sz w:val="20"/>
        </w:rPr>
        <w:t>was prepared by CSIRO.</w:t>
      </w:r>
    </w:p>
    <w:p w14:paraId="54F364B2" w14:textId="77777777" w:rsidR="00144B4F" w:rsidRPr="00144B4F" w:rsidRDefault="00144B4F" w:rsidP="00144B4F">
      <w:pPr>
        <w:pStyle w:val="Body"/>
        <w:tabs>
          <w:tab w:val="left" w:pos="2592"/>
        </w:tabs>
        <w:rPr>
          <w:color w:val="FFFFFF" w:themeColor="background1"/>
        </w:rPr>
      </w:pPr>
      <w:r w:rsidRPr="00144B4F">
        <w:rPr>
          <w:color w:val="FFFFFF" w:themeColor="background1"/>
        </w:rPr>
        <w:tab/>
      </w:r>
    </w:p>
    <w:p w14:paraId="186AF555" w14:textId="2FFED767" w:rsidR="00144B4F" w:rsidRPr="00144B4F" w:rsidRDefault="00366E23" w:rsidP="00144B4F">
      <w:pPr>
        <w:pStyle w:val="Body"/>
        <w:rPr>
          <w:color w:val="FFFFFF" w:themeColor="background1"/>
        </w:rPr>
      </w:pPr>
      <w:r w:rsidRPr="00022A94">
        <w:rPr>
          <w:color w:val="FFFFFF" w:themeColor="background1"/>
        </w:rPr>
        <w:t>2</w:t>
      </w:r>
      <w:r>
        <w:rPr>
          <w:color w:val="FFFFFF" w:themeColor="background1"/>
        </w:rPr>
        <w:t>01</w:t>
      </w:r>
      <w:r w:rsidR="00F371C0">
        <w:rPr>
          <w:color w:val="FFFFFF" w:themeColor="background1"/>
        </w:rPr>
        <w:t>8</w:t>
      </w:r>
    </w:p>
    <w:p w14:paraId="5A526A3C" w14:textId="77777777" w:rsidR="00144B4F" w:rsidRPr="008F64BD" w:rsidRDefault="00144B4F" w:rsidP="00144B4F">
      <w:pPr>
        <w:pStyle w:val="CoverTitle"/>
      </w:pPr>
    </w:p>
    <w:p w14:paraId="26C26E05" w14:textId="77777777" w:rsidR="007D01DE" w:rsidRPr="007D01DE" w:rsidRDefault="00144B4F" w:rsidP="007D01DE">
      <w:pPr>
        <w:pStyle w:val="VersoPageHeading"/>
        <w:rPr>
          <w:sz w:val="18"/>
          <w:szCs w:val="18"/>
        </w:rPr>
      </w:pPr>
      <w:r>
        <w:br w:type="page"/>
      </w:r>
      <w:r w:rsidR="007D01DE" w:rsidRPr="007D01DE">
        <w:rPr>
          <w:sz w:val="18"/>
          <w:szCs w:val="18"/>
        </w:rPr>
        <w:lastRenderedPageBreak/>
        <w:t xml:space="preserve">Copyright </w:t>
      </w:r>
    </w:p>
    <w:p w14:paraId="0C0370B7" w14:textId="55DA8C60" w:rsidR="007D01DE" w:rsidRDefault="007D01DE" w:rsidP="007D01DE">
      <w:pPr>
        <w:pStyle w:val="BodyText"/>
        <w:rPr>
          <w:sz w:val="18"/>
          <w:szCs w:val="18"/>
        </w:rPr>
      </w:pPr>
      <w:r w:rsidRPr="007D01DE">
        <w:rPr>
          <w:sz w:val="18"/>
          <w:szCs w:val="18"/>
        </w:rPr>
        <w:t>© Commonwealth Scientific and Indu</w:t>
      </w:r>
      <w:r w:rsidR="007B20BC">
        <w:rPr>
          <w:sz w:val="18"/>
          <w:szCs w:val="18"/>
        </w:rPr>
        <w:t>strial Research Organisation 201</w:t>
      </w:r>
      <w:r w:rsidR="00F371C0">
        <w:rPr>
          <w:sz w:val="18"/>
          <w:szCs w:val="18"/>
        </w:rPr>
        <w:t>8</w:t>
      </w:r>
      <w:r w:rsidRPr="007D01DE">
        <w:rPr>
          <w:sz w:val="18"/>
          <w:szCs w:val="18"/>
        </w:rPr>
        <w:t>. To the extent permitted by law, all rights are reserved and no part of this publication covered by copyright may be reproduced or copied in any form or by any means except with the written permission of CSIRO.</w:t>
      </w:r>
    </w:p>
    <w:p w14:paraId="7B07C71D" w14:textId="77777777" w:rsidR="00D242C1" w:rsidRPr="007D01DE" w:rsidRDefault="00D242C1" w:rsidP="00D242C1">
      <w:pPr>
        <w:pStyle w:val="VersoPageHeading"/>
        <w:rPr>
          <w:sz w:val="18"/>
          <w:szCs w:val="18"/>
        </w:rPr>
      </w:pPr>
      <w:r>
        <w:rPr>
          <w:sz w:val="18"/>
          <w:szCs w:val="18"/>
        </w:rPr>
        <w:t>Citation</w:t>
      </w:r>
    </w:p>
    <w:p w14:paraId="746E8AEF" w14:textId="77777777" w:rsidR="00D242C1" w:rsidRPr="00D242C1" w:rsidRDefault="00D242C1" w:rsidP="00D242C1">
      <w:pPr>
        <w:pStyle w:val="BodyText"/>
        <w:rPr>
          <w:sz w:val="18"/>
          <w:szCs w:val="18"/>
        </w:rPr>
      </w:pPr>
      <w:r w:rsidRPr="00D242C1">
        <w:rPr>
          <w:sz w:val="18"/>
          <w:szCs w:val="18"/>
        </w:rPr>
        <w:t>This report should be cited as:</w:t>
      </w:r>
    </w:p>
    <w:p w14:paraId="4FD4E623" w14:textId="6671D7C3" w:rsidR="00D242C1" w:rsidRDefault="00D242C1" w:rsidP="00D242C1">
      <w:pPr>
        <w:pStyle w:val="BodyText"/>
        <w:rPr>
          <w:sz w:val="18"/>
          <w:szCs w:val="18"/>
        </w:rPr>
      </w:pPr>
      <w:r>
        <w:rPr>
          <w:sz w:val="18"/>
          <w:szCs w:val="18"/>
        </w:rPr>
        <w:t>Turnadge C, Mallants D</w:t>
      </w:r>
      <w:r w:rsidR="00126EDB">
        <w:rPr>
          <w:sz w:val="18"/>
          <w:szCs w:val="18"/>
        </w:rPr>
        <w:t xml:space="preserve"> and</w:t>
      </w:r>
      <w:r>
        <w:rPr>
          <w:sz w:val="18"/>
          <w:szCs w:val="18"/>
        </w:rPr>
        <w:t xml:space="preserve"> Peeters L (201</w:t>
      </w:r>
      <w:r w:rsidR="00F371C0">
        <w:rPr>
          <w:sz w:val="18"/>
          <w:szCs w:val="18"/>
        </w:rPr>
        <w:t>8</w:t>
      </w:r>
      <w:r>
        <w:rPr>
          <w:sz w:val="18"/>
          <w:szCs w:val="18"/>
        </w:rPr>
        <w:t xml:space="preserve">) </w:t>
      </w:r>
      <w:r w:rsidR="0011542D" w:rsidRPr="0011542D">
        <w:rPr>
          <w:sz w:val="18"/>
          <w:szCs w:val="18"/>
        </w:rPr>
        <w:t>Overview of aquitard and geological fault simulation approaches in regional scale assessments of coal seam gas extraction impacts</w:t>
      </w:r>
      <w:r>
        <w:rPr>
          <w:sz w:val="18"/>
          <w:szCs w:val="18"/>
        </w:rPr>
        <w:t xml:space="preserve">, </w:t>
      </w:r>
      <w:r w:rsidRPr="00D242C1">
        <w:rPr>
          <w:sz w:val="18"/>
          <w:szCs w:val="18"/>
        </w:rPr>
        <w:t>prepared by the Commonwealth Scientific and Industrial Research Organisation (CSIRO)</w:t>
      </w:r>
      <w:r>
        <w:rPr>
          <w:sz w:val="18"/>
          <w:szCs w:val="18"/>
        </w:rPr>
        <w:t>, Canberra.</w:t>
      </w:r>
    </w:p>
    <w:p w14:paraId="358DBB89" w14:textId="77777777" w:rsidR="007D01DE" w:rsidRPr="007D01DE" w:rsidRDefault="007D01DE" w:rsidP="007D01DE">
      <w:pPr>
        <w:pStyle w:val="VersoPageHeading"/>
        <w:rPr>
          <w:sz w:val="18"/>
          <w:szCs w:val="18"/>
        </w:rPr>
      </w:pPr>
      <w:r w:rsidRPr="007D01DE">
        <w:rPr>
          <w:sz w:val="18"/>
          <w:szCs w:val="18"/>
        </w:rPr>
        <w:t>Important disclaimer</w:t>
      </w:r>
    </w:p>
    <w:p w14:paraId="1960430D" w14:textId="77777777" w:rsidR="007D01DE" w:rsidRPr="007D01DE" w:rsidRDefault="007D01DE" w:rsidP="007D01DE">
      <w:pPr>
        <w:pStyle w:val="BodyText"/>
        <w:rPr>
          <w:sz w:val="18"/>
          <w:szCs w:val="18"/>
        </w:rPr>
      </w:pPr>
      <w:r w:rsidRPr="007D01DE">
        <w:rPr>
          <w:sz w:val="18"/>
          <w:szCs w:val="18"/>
        </w:rP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1CF8F9C1" w14:textId="77777777" w:rsidR="007D01DE" w:rsidRDefault="007D01DE" w:rsidP="007D01DE">
      <w:pPr>
        <w:pStyle w:val="BodyText"/>
        <w:rPr>
          <w:sz w:val="18"/>
          <w:szCs w:val="18"/>
        </w:rPr>
      </w:pPr>
      <w:r w:rsidRPr="007D01DE">
        <w:rPr>
          <w:sz w:val="18"/>
          <w:szCs w:val="18"/>
        </w:rPr>
        <w:t xml:space="preserve">CSIRO is committed to providing web accessible content wherever possible. If you are having difficulties with accessing this document please contact </w:t>
      </w:r>
      <w:hyperlink r:id="rId9" w:tooltip="Email CSIRO Enquiries" w:history="1">
        <w:r w:rsidRPr="007D01DE">
          <w:rPr>
            <w:rStyle w:val="Hyperlink"/>
            <w:sz w:val="18"/>
            <w:szCs w:val="18"/>
          </w:rPr>
          <w:t>enquiries@csiro.au</w:t>
        </w:r>
      </w:hyperlink>
      <w:r w:rsidRPr="007D01DE">
        <w:rPr>
          <w:sz w:val="18"/>
          <w:szCs w:val="18"/>
        </w:rPr>
        <w:t>.</w:t>
      </w:r>
    </w:p>
    <w:p w14:paraId="16922527" w14:textId="77777777" w:rsidR="0019221A" w:rsidRDefault="0019221A" w:rsidP="007D01DE">
      <w:pPr>
        <w:pStyle w:val="BodyText"/>
        <w:rPr>
          <w:sz w:val="18"/>
          <w:szCs w:val="18"/>
        </w:rPr>
      </w:pPr>
    </w:p>
    <w:p w14:paraId="7FA7F9F1" w14:textId="77777777" w:rsidR="0019221A" w:rsidRDefault="0019221A" w:rsidP="007D01DE">
      <w:pPr>
        <w:pStyle w:val="BodyText"/>
        <w:rPr>
          <w:sz w:val="18"/>
          <w:szCs w:val="18"/>
        </w:rPr>
      </w:pPr>
    </w:p>
    <w:p w14:paraId="6A2C9C44" w14:textId="77777777" w:rsidR="0019221A" w:rsidRPr="007D01DE" w:rsidRDefault="0019221A" w:rsidP="007D01DE">
      <w:pPr>
        <w:pStyle w:val="BodyText"/>
        <w:rPr>
          <w:sz w:val="18"/>
          <w:szCs w:val="18"/>
        </w:rPr>
        <w:sectPr w:rsidR="0019221A" w:rsidRPr="007D01DE" w:rsidSect="007D01DE">
          <w:headerReference w:type="even" r:id="rId10"/>
          <w:headerReference w:type="default" r:id="rId11"/>
          <w:footerReference w:type="even" r:id="rId12"/>
          <w:footerReference w:type="default" r:id="rId13"/>
          <w:headerReference w:type="first" r:id="rId14"/>
          <w:footerReference w:type="first" r:id="rId15"/>
          <w:pgSz w:w="11906" w:h="16838" w:code="9"/>
          <w:pgMar w:top="1106" w:right="1134" w:bottom="1134" w:left="1134" w:header="510" w:footer="624" w:gutter="0"/>
          <w:pgNumType w:fmt="lowerRoman" w:start="1"/>
          <w:cols w:space="284"/>
          <w:titlePg/>
          <w:docGrid w:linePitch="360"/>
        </w:sectPr>
      </w:pPr>
    </w:p>
    <w:p w14:paraId="4C73D783" w14:textId="77777777" w:rsidR="007603CF" w:rsidRPr="00AF25B8" w:rsidRDefault="007603CF" w:rsidP="00AF25B8">
      <w:pPr>
        <w:pStyle w:val="H1"/>
      </w:pPr>
      <w:r>
        <w:t>Table of Contents</w:t>
      </w:r>
    </w:p>
    <w:sdt>
      <w:sdtPr>
        <w:rPr>
          <w:b w:val="0"/>
        </w:rPr>
        <w:id w:val="27622994"/>
        <w:docPartObj>
          <w:docPartGallery w:val="Table of Contents"/>
          <w:docPartUnique/>
        </w:docPartObj>
      </w:sdtPr>
      <w:sdtEndPr/>
      <w:sdtContent>
        <w:p w14:paraId="6C2979E8" w14:textId="77777777" w:rsidR="00D8151E" w:rsidRDefault="00084CDD">
          <w:pPr>
            <w:pStyle w:val="TOC1"/>
            <w:rPr>
              <w:rFonts w:asciiTheme="minorHAnsi" w:hAnsiTheme="minorHAnsi"/>
              <w:b w:val="0"/>
              <w:noProof/>
              <w:sz w:val="22"/>
              <w:szCs w:val="22"/>
              <w:lang w:val="en-AU" w:eastAsia="en-AU"/>
            </w:rPr>
          </w:pPr>
          <w:r>
            <w:fldChar w:fldCharType="begin"/>
          </w:r>
          <w:r w:rsidR="00550D47">
            <w:instrText xml:space="preserve"> TOC \o "1-3" \h \z \u </w:instrText>
          </w:r>
          <w:r>
            <w:fldChar w:fldCharType="separate"/>
          </w:r>
          <w:hyperlink w:anchor="_Toc449696575" w:history="1">
            <w:r w:rsidR="00D8151E" w:rsidRPr="005124B7">
              <w:rPr>
                <w:rStyle w:val="Hyperlink"/>
                <w:noProof/>
              </w:rPr>
              <w:t>1.</w:t>
            </w:r>
            <w:r w:rsidR="00D8151E">
              <w:rPr>
                <w:rFonts w:asciiTheme="minorHAnsi" w:hAnsiTheme="minorHAnsi"/>
                <w:b w:val="0"/>
                <w:noProof/>
                <w:sz w:val="22"/>
                <w:szCs w:val="22"/>
                <w:lang w:val="en-AU" w:eastAsia="en-AU"/>
              </w:rPr>
              <w:tab/>
            </w:r>
            <w:r w:rsidR="00D8151E" w:rsidRPr="005124B7">
              <w:rPr>
                <w:rStyle w:val="Hyperlink"/>
                <w:noProof/>
              </w:rPr>
              <w:t>Introduction</w:t>
            </w:r>
            <w:r w:rsidR="00D8151E">
              <w:rPr>
                <w:noProof/>
                <w:webHidden/>
              </w:rPr>
              <w:tab/>
            </w:r>
            <w:r w:rsidR="00D8151E">
              <w:rPr>
                <w:noProof/>
                <w:webHidden/>
              </w:rPr>
              <w:fldChar w:fldCharType="begin"/>
            </w:r>
            <w:r w:rsidR="00D8151E">
              <w:rPr>
                <w:noProof/>
                <w:webHidden/>
              </w:rPr>
              <w:instrText xml:space="preserve"> PAGEREF _Toc449696575 \h </w:instrText>
            </w:r>
            <w:r w:rsidR="00D8151E">
              <w:rPr>
                <w:noProof/>
                <w:webHidden/>
              </w:rPr>
            </w:r>
            <w:r w:rsidR="00D8151E">
              <w:rPr>
                <w:noProof/>
                <w:webHidden/>
              </w:rPr>
              <w:fldChar w:fldCharType="separate"/>
            </w:r>
            <w:r w:rsidR="00C52E30">
              <w:rPr>
                <w:noProof/>
                <w:webHidden/>
              </w:rPr>
              <w:t>4</w:t>
            </w:r>
            <w:r w:rsidR="00D8151E">
              <w:rPr>
                <w:noProof/>
                <w:webHidden/>
              </w:rPr>
              <w:fldChar w:fldCharType="end"/>
            </w:r>
          </w:hyperlink>
        </w:p>
        <w:p w14:paraId="0E369A8B" w14:textId="77777777" w:rsidR="00D8151E" w:rsidRDefault="00D322E8">
          <w:pPr>
            <w:pStyle w:val="TOC2"/>
            <w:rPr>
              <w:rFonts w:asciiTheme="minorHAnsi" w:hAnsiTheme="minorHAnsi"/>
              <w:noProof/>
              <w:sz w:val="22"/>
              <w:szCs w:val="22"/>
              <w:lang w:val="en-AU" w:eastAsia="en-AU"/>
            </w:rPr>
          </w:pPr>
          <w:hyperlink w:anchor="_Toc449696576" w:history="1">
            <w:r w:rsidR="00D8151E" w:rsidRPr="005124B7">
              <w:rPr>
                <w:rStyle w:val="Hyperlink"/>
                <w:noProof/>
              </w:rPr>
              <w:t>1.1.</w:t>
            </w:r>
            <w:r w:rsidR="00D8151E">
              <w:rPr>
                <w:rFonts w:asciiTheme="minorHAnsi" w:hAnsiTheme="minorHAnsi"/>
                <w:noProof/>
                <w:sz w:val="22"/>
                <w:szCs w:val="22"/>
                <w:lang w:val="en-AU" w:eastAsia="en-AU"/>
              </w:rPr>
              <w:tab/>
            </w:r>
            <w:r w:rsidR="00D8151E" w:rsidRPr="005124B7">
              <w:rPr>
                <w:rStyle w:val="Hyperlink"/>
                <w:noProof/>
              </w:rPr>
              <w:t>Multiple aquifer–aquitard flow systems</w:t>
            </w:r>
            <w:r w:rsidR="00D8151E">
              <w:rPr>
                <w:noProof/>
                <w:webHidden/>
              </w:rPr>
              <w:tab/>
            </w:r>
            <w:r w:rsidR="00D8151E">
              <w:rPr>
                <w:noProof/>
                <w:webHidden/>
              </w:rPr>
              <w:fldChar w:fldCharType="begin"/>
            </w:r>
            <w:r w:rsidR="00D8151E">
              <w:rPr>
                <w:noProof/>
                <w:webHidden/>
              </w:rPr>
              <w:instrText xml:space="preserve"> PAGEREF _Toc449696576 \h </w:instrText>
            </w:r>
            <w:r w:rsidR="00D8151E">
              <w:rPr>
                <w:noProof/>
                <w:webHidden/>
              </w:rPr>
            </w:r>
            <w:r w:rsidR="00D8151E">
              <w:rPr>
                <w:noProof/>
                <w:webHidden/>
              </w:rPr>
              <w:fldChar w:fldCharType="separate"/>
            </w:r>
            <w:r w:rsidR="00C52E30">
              <w:rPr>
                <w:noProof/>
                <w:webHidden/>
              </w:rPr>
              <w:t>4</w:t>
            </w:r>
            <w:r w:rsidR="00D8151E">
              <w:rPr>
                <w:noProof/>
                <w:webHidden/>
              </w:rPr>
              <w:fldChar w:fldCharType="end"/>
            </w:r>
          </w:hyperlink>
        </w:p>
        <w:p w14:paraId="5FD37147" w14:textId="77777777" w:rsidR="00D8151E" w:rsidRDefault="00D322E8">
          <w:pPr>
            <w:pStyle w:val="TOC2"/>
            <w:rPr>
              <w:rFonts w:asciiTheme="minorHAnsi" w:hAnsiTheme="minorHAnsi"/>
              <w:noProof/>
              <w:sz w:val="22"/>
              <w:szCs w:val="22"/>
              <w:lang w:val="en-AU" w:eastAsia="en-AU"/>
            </w:rPr>
          </w:pPr>
          <w:hyperlink w:anchor="_Toc449696579" w:history="1">
            <w:r w:rsidR="00D8151E" w:rsidRPr="005124B7">
              <w:rPr>
                <w:rStyle w:val="Hyperlink"/>
                <w:noProof/>
              </w:rPr>
              <w:t>1.2.</w:t>
            </w:r>
            <w:r w:rsidR="00D8151E">
              <w:rPr>
                <w:rFonts w:asciiTheme="minorHAnsi" w:hAnsiTheme="minorHAnsi"/>
                <w:noProof/>
                <w:sz w:val="22"/>
                <w:szCs w:val="22"/>
                <w:lang w:val="en-AU" w:eastAsia="en-AU"/>
              </w:rPr>
              <w:tab/>
            </w:r>
            <w:r w:rsidR="00D8151E" w:rsidRPr="005124B7">
              <w:rPr>
                <w:rStyle w:val="Hyperlink"/>
                <w:noProof/>
              </w:rPr>
              <w:t>Groundwater flow models in risk-based CSG impact assessments</w:t>
            </w:r>
            <w:r w:rsidR="00D8151E">
              <w:rPr>
                <w:noProof/>
                <w:webHidden/>
              </w:rPr>
              <w:tab/>
            </w:r>
            <w:r w:rsidR="00D8151E">
              <w:rPr>
                <w:noProof/>
                <w:webHidden/>
              </w:rPr>
              <w:fldChar w:fldCharType="begin"/>
            </w:r>
            <w:r w:rsidR="00D8151E">
              <w:rPr>
                <w:noProof/>
                <w:webHidden/>
              </w:rPr>
              <w:instrText xml:space="preserve"> PAGEREF _Toc449696579 \h </w:instrText>
            </w:r>
            <w:r w:rsidR="00D8151E">
              <w:rPr>
                <w:noProof/>
                <w:webHidden/>
              </w:rPr>
            </w:r>
            <w:r w:rsidR="00D8151E">
              <w:rPr>
                <w:noProof/>
                <w:webHidden/>
              </w:rPr>
              <w:fldChar w:fldCharType="separate"/>
            </w:r>
            <w:r w:rsidR="00C52E30">
              <w:rPr>
                <w:noProof/>
                <w:webHidden/>
              </w:rPr>
              <w:t>6</w:t>
            </w:r>
            <w:r w:rsidR="00D8151E">
              <w:rPr>
                <w:noProof/>
                <w:webHidden/>
              </w:rPr>
              <w:fldChar w:fldCharType="end"/>
            </w:r>
          </w:hyperlink>
        </w:p>
        <w:p w14:paraId="4DADA621"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80" w:history="1">
            <w:r w:rsidR="00D8151E" w:rsidRPr="005124B7">
              <w:rPr>
                <w:rStyle w:val="Hyperlink"/>
                <w:noProof/>
              </w:rPr>
              <w:t>1.2.1.</w:t>
            </w:r>
            <w:r w:rsidR="00D8151E">
              <w:rPr>
                <w:rFonts w:asciiTheme="minorHAnsi" w:hAnsiTheme="minorHAnsi"/>
                <w:noProof/>
                <w:sz w:val="22"/>
                <w:szCs w:val="22"/>
                <w:lang w:val="en-AU" w:eastAsia="en-AU"/>
              </w:rPr>
              <w:tab/>
            </w:r>
            <w:r w:rsidR="00D8151E" w:rsidRPr="005124B7">
              <w:rPr>
                <w:rStyle w:val="Hyperlink"/>
                <w:noProof/>
              </w:rPr>
              <w:t>Risk-based approach</w:t>
            </w:r>
            <w:r w:rsidR="00D8151E">
              <w:rPr>
                <w:noProof/>
                <w:webHidden/>
              </w:rPr>
              <w:tab/>
            </w:r>
            <w:r w:rsidR="00D8151E">
              <w:rPr>
                <w:noProof/>
                <w:webHidden/>
              </w:rPr>
              <w:fldChar w:fldCharType="begin"/>
            </w:r>
            <w:r w:rsidR="00D8151E">
              <w:rPr>
                <w:noProof/>
                <w:webHidden/>
              </w:rPr>
              <w:instrText xml:space="preserve"> PAGEREF _Toc449696580 \h </w:instrText>
            </w:r>
            <w:r w:rsidR="00D8151E">
              <w:rPr>
                <w:noProof/>
                <w:webHidden/>
              </w:rPr>
            </w:r>
            <w:r w:rsidR="00D8151E">
              <w:rPr>
                <w:noProof/>
                <w:webHidden/>
              </w:rPr>
              <w:fldChar w:fldCharType="separate"/>
            </w:r>
            <w:r w:rsidR="00C52E30">
              <w:rPr>
                <w:noProof/>
                <w:webHidden/>
              </w:rPr>
              <w:t>6</w:t>
            </w:r>
            <w:r w:rsidR="00D8151E">
              <w:rPr>
                <w:noProof/>
                <w:webHidden/>
              </w:rPr>
              <w:fldChar w:fldCharType="end"/>
            </w:r>
          </w:hyperlink>
        </w:p>
        <w:p w14:paraId="19CB2B10"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81" w:history="1">
            <w:r w:rsidR="00D8151E" w:rsidRPr="005124B7">
              <w:rPr>
                <w:rStyle w:val="Hyperlink"/>
                <w:noProof/>
              </w:rPr>
              <w:t>1.2.2.</w:t>
            </w:r>
            <w:r w:rsidR="00D8151E">
              <w:rPr>
                <w:rFonts w:asciiTheme="minorHAnsi" w:hAnsiTheme="minorHAnsi"/>
                <w:noProof/>
                <w:sz w:val="22"/>
                <w:szCs w:val="22"/>
                <w:lang w:val="en-AU" w:eastAsia="en-AU"/>
              </w:rPr>
              <w:tab/>
            </w:r>
            <w:r w:rsidR="00D8151E" w:rsidRPr="005124B7">
              <w:rPr>
                <w:rStyle w:val="Hyperlink"/>
                <w:noProof/>
              </w:rPr>
              <w:t>Predictive uncertainty and likelihood</w:t>
            </w:r>
            <w:r w:rsidR="00D8151E">
              <w:rPr>
                <w:noProof/>
                <w:webHidden/>
              </w:rPr>
              <w:tab/>
            </w:r>
            <w:r w:rsidR="00D8151E">
              <w:rPr>
                <w:noProof/>
                <w:webHidden/>
              </w:rPr>
              <w:fldChar w:fldCharType="begin"/>
            </w:r>
            <w:r w:rsidR="00D8151E">
              <w:rPr>
                <w:noProof/>
                <w:webHidden/>
              </w:rPr>
              <w:instrText xml:space="preserve"> PAGEREF _Toc449696581 \h </w:instrText>
            </w:r>
            <w:r w:rsidR="00D8151E">
              <w:rPr>
                <w:noProof/>
                <w:webHidden/>
              </w:rPr>
            </w:r>
            <w:r w:rsidR="00D8151E">
              <w:rPr>
                <w:noProof/>
                <w:webHidden/>
              </w:rPr>
              <w:fldChar w:fldCharType="separate"/>
            </w:r>
            <w:r w:rsidR="00C52E30">
              <w:rPr>
                <w:noProof/>
                <w:webHidden/>
              </w:rPr>
              <w:t>7</w:t>
            </w:r>
            <w:r w:rsidR="00D8151E">
              <w:rPr>
                <w:noProof/>
                <w:webHidden/>
              </w:rPr>
              <w:fldChar w:fldCharType="end"/>
            </w:r>
          </w:hyperlink>
        </w:p>
        <w:p w14:paraId="223FCDF2"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82" w:history="1">
            <w:r w:rsidR="00D8151E" w:rsidRPr="005124B7">
              <w:rPr>
                <w:rStyle w:val="Hyperlink"/>
                <w:noProof/>
              </w:rPr>
              <w:t>1.2.3.</w:t>
            </w:r>
            <w:r w:rsidR="00D8151E">
              <w:rPr>
                <w:rFonts w:asciiTheme="minorHAnsi" w:hAnsiTheme="minorHAnsi"/>
                <w:noProof/>
                <w:sz w:val="22"/>
                <w:szCs w:val="22"/>
                <w:lang w:val="en-AU" w:eastAsia="en-AU"/>
              </w:rPr>
              <w:tab/>
            </w:r>
            <w:r w:rsidR="00D8151E" w:rsidRPr="005124B7">
              <w:rPr>
                <w:rStyle w:val="Hyperlink"/>
                <w:noProof/>
              </w:rPr>
              <w:t>Sources of uncertainty</w:t>
            </w:r>
            <w:r w:rsidR="00D8151E">
              <w:rPr>
                <w:noProof/>
                <w:webHidden/>
              </w:rPr>
              <w:tab/>
            </w:r>
            <w:r w:rsidR="00D8151E">
              <w:rPr>
                <w:noProof/>
                <w:webHidden/>
              </w:rPr>
              <w:fldChar w:fldCharType="begin"/>
            </w:r>
            <w:r w:rsidR="00D8151E">
              <w:rPr>
                <w:noProof/>
                <w:webHidden/>
              </w:rPr>
              <w:instrText xml:space="preserve"> PAGEREF _Toc449696582 \h </w:instrText>
            </w:r>
            <w:r w:rsidR="00D8151E">
              <w:rPr>
                <w:noProof/>
                <w:webHidden/>
              </w:rPr>
            </w:r>
            <w:r w:rsidR="00D8151E">
              <w:rPr>
                <w:noProof/>
                <w:webHidden/>
              </w:rPr>
              <w:fldChar w:fldCharType="separate"/>
            </w:r>
            <w:r w:rsidR="00C52E30">
              <w:rPr>
                <w:noProof/>
                <w:webHidden/>
              </w:rPr>
              <w:t>9</w:t>
            </w:r>
            <w:r w:rsidR="00D8151E">
              <w:rPr>
                <w:noProof/>
                <w:webHidden/>
              </w:rPr>
              <w:fldChar w:fldCharType="end"/>
            </w:r>
          </w:hyperlink>
        </w:p>
        <w:p w14:paraId="04CC7B2F"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83" w:history="1">
            <w:r w:rsidR="00D8151E" w:rsidRPr="005124B7">
              <w:rPr>
                <w:rStyle w:val="Hyperlink"/>
                <w:noProof/>
              </w:rPr>
              <w:t>1.2.4.</w:t>
            </w:r>
            <w:r w:rsidR="00D8151E">
              <w:rPr>
                <w:rFonts w:asciiTheme="minorHAnsi" w:hAnsiTheme="minorHAnsi"/>
                <w:noProof/>
                <w:sz w:val="22"/>
                <w:szCs w:val="22"/>
                <w:lang w:val="en-AU" w:eastAsia="en-AU"/>
              </w:rPr>
              <w:tab/>
            </w:r>
            <w:r w:rsidR="00D8151E" w:rsidRPr="005124B7">
              <w:rPr>
                <w:rStyle w:val="Hyperlink"/>
                <w:noProof/>
              </w:rPr>
              <w:t>Addressing uncertainty in groundwater models</w:t>
            </w:r>
            <w:r w:rsidR="00D8151E">
              <w:rPr>
                <w:noProof/>
                <w:webHidden/>
              </w:rPr>
              <w:tab/>
            </w:r>
            <w:r w:rsidR="00D8151E">
              <w:rPr>
                <w:noProof/>
                <w:webHidden/>
              </w:rPr>
              <w:fldChar w:fldCharType="begin"/>
            </w:r>
            <w:r w:rsidR="00D8151E">
              <w:rPr>
                <w:noProof/>
                <w:webHidden/>
              </w:rPr>
              <w:instrText xml:space="preserve"> PAGEREF _Toc449696583 \h </w:instrText>
            </w:r>
            <w:r w:rsidR="00D8151E">
              <w:rPr>
                <w:noProof/>
                <w:webHidden/>
              </w:rPr>
            </w:r>
            <w:r w:rsidR="00D8151E">
              <w:rPr>
                <w:noProof/>
                <w:webHidden/>
              </w:rPr>
              <w:fldChar w:fldCharType="separate"/>
            </w:r>
            <w:r w:rsidR="00C52E30">
              <w:rPr>
                <w:noProof/>
                <w:webHidden/>
              </w:rPr>
              <w:t>13</w:t>
            </w:r>
            <w:r w:rsidR="00D8151E">
              <w:rPr>
                <w:noProof/>
                <w:webHidden/>
              </w:rPr>
              <w:fldChar w:fldCharType="end"/>
            </w:r>
          </w:hyperlink>
        </w:p>
        <w:p w14:paraId="339E6B61" w14:textId="77777777" w:rsidR="00D8151E" w:rsidRDefault="00D322E8">
          <w:pPr>
            <w:pStyle w:val="TOC2"/>
            <w:rPr>
              <w:rFonts w:asciiTheme="minorHAnsi" w:hAnsiTheme="minorHAnsi"/>
              <w:noProof/>
              <w:sz w:val="22"/>
              <w:szCs w:val="22"/>
              <w:lang w:val="en-AU" w:eastAsia="en-AU"/>
            </w:rPr>
          </w:pPr>
          <w:hyperlink w:anchor="_Toc449696584" w:history="1">
            <w:r w:rsidR="00D8151E" w:rsidRPr="005124B7">
              <w:rPr>
                <w:rStyle w:val="Hyperlink"/>
                <w:noProof/>
              </w:rPr>
              <w:t>1.3.</w:t>
            </w:r>
            <w:r w:rsidR="00D8151E">
              <w:rPr>
                <w:rFonts w:asciiTheme="minorHAnsi" w:hAnsiTheme="minorHAnsi"/>
                <w:noProof/>
                <w:sz w:val="22"/>
                <w:szCs w:val="22"/>
                <w:lang w:val="en-AU" w:eastAsia="en-AU"/>
              </w:rPr>
              <w:tab/>
            </w:r>
            <w:r w:rsidR="00D8151E" w:rsidRPr="005124B7">
              <w:rPr>
                <w:rStyle w:val="Hyperlink"/>
                <w:noProof/>
              </w:rPr>
              <w:t>Report Structure</w:t>
            </w:r>
            <w:r w:rsidR="00D8151E">
              <w:rPr>
                <w:noProof/>
                <w:webHidden/>
              </w:rPr>
              <w:tab/>
            </w:r>
            <w:r w:rsidR="00D8151E">
              <w:rPr>
                <w:noProof/>
                <w:webHidden/>
              </w:rPr>
              <w:fldChar w:fldCharType="begin"/>
            </w:r>
            <w:r w:rsidR="00D8151E">
              <w:rPr>
                <w:noProof/>
                <w:webHidden/>
              </w:rPr>
              <w:instrText xml:space="preserve"> PAGEREF _Toc449696584 \h </w:instrText>
            </w:r>
            <w:r w:rsidR="00D8151E">
              <w:rPr>
                <w:noProof/>
                <w:webHidden/>
              </w:rPr>
            </w:r>
            <w:r w:rsidR="00D8151E">
              <w:rPr>
                <w:noProof/>
                <w:webHidden/>
              </w:rPr>
              <w:fldChar w:fldCharType="separate"/>
            </w:r>
            <w:r w:rsidR="00C52E30">
              <w:rPr>
                <w:noProof/>
                <w:webHidden/>
              </w:rPr>
              <w:t>15</w:t>
            </w:r>
            <w:r w:rsidR="00D8151E">
              <w:rPr>
                <w:noProof/>
                <w:webHidden/>
              </w:rPr>
              <w:fldChar w:fldCharType="end"/>
            </w:r>
          </w:hyperlink>
        </w:p>
        <w:p w14:paraId="5F8A2FA5" w14:textId="77777777" w:rsidR="00D8151E" w:rsidRDefault="00D322E8">
          <w:pPr>
            <w:pStyle w:val="TOC1"/>
            <w:rPr>
              <w:rFonts w:asciiTheme="minorHAnsi" w:hAnsiTheme="minorHAnsi"/>
              <w:b w:val="0"/>
              <w:noProof/>
              <w:sz w:val="22"/>
              <w:szCs w:val="22"/>
              <w:lang w:val="en-AU" w:eastAsia="en-AU"/>
            </w:rPr>
          </w:pPr>
          <w:hyperlink w:anchor="_Toc449696586" w:history="1">
            <w:r w:rsidR="00D8151E" w:rsidRPr="005124B7">
              <w:rPr>
                <w:rStyle w:val="Hyperlink"/>
                <w:noProof/>
              </w:rPr>
              <w:t>2.</w:t>
            </w:r>
            <w:r w:rsidR="00D8151E">
              <w:rPr>
                <w:rFonts w:asciiTheme="minorHAnsi" w:hAnsiTheme="minorHAnsi"/>
                <w:b w:val="0"/>
                <w:noProof/>
                <w:sz w:val="22"/>
                <w:szCs w:val="22"/>
                <w:lang w:val="en-AU" w:eastAsia="en-AU"/>
              </w:rPr>
              <w:tab/>
            </w:r>
            <w:r w:rsidR="00D8151E" w:rsidRPr="005124B7">
              <w:rPr>
                <w:rStyle w:val="Hyperlink"/>
                <w:noProof/>
              </w:rPr>
              <w:t>Local scale considerations for CSG reservoir simulation</w:t>
            </w:r>
            <w:r w:rsidR="00D8151E">
              <w:rPr>
                <w:noProof/>
                <w:webHidden/>
              </w:rPr>
              <w:tab/>
            </w:r>
            <w:r w:rsidR="00D8151E">
              <w:rPr>
                <w:noProof/>
                <w:webHidden/>
              </w:rPr>
              <w:fldChar w:fldCharType="begin"/>
            </w:r>
            <w:r w:rsidR="00D8151E">
              <w:rPr>
                <w:noProof/>
                <w:webHidden/>
              </w:rPr>
              <w:instrText xml:space="preserve"> PAGEREF _Toc449696586 \h </w:instrText>
            </w:r>
            <w:r w:rsidR="00D8151E">
              <w:rPr>
                <w:noProof/>
                <w:webHidden/>
              </w:rPr>
            </w:r>
            <w:r w:rsidR="00D8151E">
              <w:rPr>
                <w:noProof/>
                <w:webHidden/>
              </w:rPr>
              <w:fldChar w:fldCharType="separate"/>
            </w:r>
            <w:r w:rsidR="00C52E30">
              <w:rPr>
                <w:noProof/>
                <w:webHidden/>
              </w:rPr>
              <w:t>17</w:t>
            </w:r>
            <w:r w:rsidR="00D8151E">
              <w:rPr>
                <w:noProof/>
                <w:webHidden/>
              </w:rPr>
              <w:fldChar w:fldCharType="end"/>
            </w:r>
          </w:hyperlink>
        </w:p>
        <w:p w14:paraId="5352AAC0" w14:textId="77777777" w:rsidR="00D8151E" w:rsidRDefault="00D322E8">
          <w:pPr>
            <w:pStyle w:val="TOC2"/>
            <w:rPr>
              <w:rFonts w:asciiTheme="minorHAnsi" w:hAnsiTheme="minorHAnsi"/>
              <w:noProof/>
              <w:sz w:val="22"/>
              <w:szCs w:val="22"/>
              <w:lang w:val="en-AU" w:eastAsia="en-AU"/>
            </w:rPr>
          </w:pPr>
          <w:hyperlink w:anchor="_Toc449696587" w:history="1">
            <w:r w:rsidR="00D8151E" w:rsidRPr="005124B7">
              <w:rPr>
                <w:rStyle w:val="Hyperlink"/>
                <w:noProof/>
              </w:rPr>
              <w:t>2.1.</w:t>
            </w:r>
            <w:r w:rsidR="00D8151E">
              <w:rPr>
                <w:rFonts w:asciiTheme="minorHAnsi" w:hAnsiTheme="minorHAnsi"/>
                <w:noProof/>
                <w:sz w:val="22"/>
                <w:szCs w:val="22"/>
                <w:lang w:val="en-AU" w:eastAsia="en-AU"/>
              </w:rPr>
              <w:tab/>
            </w:r>
            <w:r w:rsidR="00D8151E" w:rsidRPr="005124B7">
              <w:rPr>
                <w:rStyle w:val="Hyperlink"/>
                <w:noProof/>
              </w:rPr>
              <w:t>Dual domain permeability and porosity</w:t>
            </w:r>
            <w:r w:rsidR="00D8151E">
              <w:rPr>
                <w:noProof/>
                <w:webHidden/>
              </w:rPr>
              <w:tab/>
            </w:r>
            <w:r w:rsidR="00D8151E">
              <w:rPr>
                <w:noProof/>
                <w:webHidden/>
              </w:rPr>
              <w:fldChar w:fldCharType="begin"/>
            </w:r>
            <w:r w:rsidR="00D8151E">
              <w:rPr>
                <w:noProof/>
                <w:webHidden/>
              </w:rPr>
              <w:instrText xml:space="preserve"> PAGEREF _Toc449696587 \h </w:instrText>
            </w:r>
            <w:r w:rsidR="00D8151E">
              <w:rPr>
                <w:noProof/>
                <w:webHidden/>
              </w:rPr>
            </w:r>
            <w:r w:rsidR="00D8151E">
              <w:rPr>
                <w:noProof/>
                <w:webHidden/>
              </w:rPr>
              <w:fldChar w:fldCharType="separate"/>
            </w:r>
            <w:r w:rsidR="00C52E30">
              <w:rPr>
                <w:noProof/>
                <w:webHidden/>
              </w:rPr>
              <w:t>17</w:t>
            </w:r>
            <w:r w:rsidR="00D8151E">
              <w:rPr>
                <w:noProof/>
                <w:webHidden/>
              </w:rPr>
              <w:fldChar w:fldCharType="end"/>
            </w:r>
          </w:hyperlink>
        </w:p>
        <w:p w14:paraId="256D717A" w14:textId="77777777" w:rsidR="00D8151E" w:rsidRDefault="00D322E8">
          <w:pPr>
            <w:pStyle w:val="TOC2"/>
            <w:rPr>
              <w:rFonts w:asciiTheme="minorHAnsi" w:hAnsiTheme="minorHAnsi"/>
              <w:noProof/>
              <w:sz w:val="22"/>
              <w:szCs w:val="22"/>
              <w:lang w:val="en-AU" w:eastAsia="en-AU"/>
            </w:rPr>
          </w:pPr>
          <w:hyperlink w:anchor="_Toc449696588" w:history="1">
            <w:r w:rsidR="00D8151E" w:rsidRPr="005124B7">
              <w:rPr>
                <w:rStyle w:val="Hyperlink"/>
                <w:noProof/>
              </w:rPr>
              <w:t>2.2.</w:t>
            </w:r>
            <w:r w:rsidR="00D8151E">
              <w:rPr>
                <w:rFonts w:asciiTheme="minorHAnsi" w:hAnsiTheme="minorHAnsi"/>
                <w:noProof/>
                <w:sz w:val="22"/>
                <w:szCs w:val="22"/>
                <w:lang w:val="en-AU" w:eastAsia="en-AU"/>
              </w:rPr>
              <w:tab/>
            </w:r>
            <w:r w:rsidR="00D8151E" w:rsidRPr="005124B7">
              <w:rPr>
                <w:rStyle w:val="Hyperlink"/>
                <w:noProof/>
              </w:rPr>
              <w:t>Gas desorption</w:t>
            </w:r>
            <w:r w:rsidR="00D8151E">
              <w:rPr>
                <w:noProof/>
                <w:webHidden/>
              </w:rPr>
              <w:tab/>
            </w:r>
            <w:r w:rsidR="00D8151E">
              <w:rPr>
                <w:noProof/>
                <w:webHidden/>
              </w:rPr>
              <w:fldChar w:fldCharType="begin"/>
            </w:r>
            <w:r w:rsidR="00D8151E">
              <w:rPr>
                <w:noProof/>
                <w:webHidden/>
              </w:rPr>
              <w:instrText xml:space="preserve"> PAGEREF _Toc449696588 \h </w:instrText>
            </w:r>
            <w:r w:rsidR="00D8151E">
              <w:rPr>
                <w:noProof/>
                <w:webHidden/>
              </w:rPr>
            </w:r>
            <w:r w:rsidR="00D8151E">
              <w:rPr>
                <w:noProof/>
                <w:webHidden/>
              </w:rPr>
              <w:fldChar w:fldCharType="separate"/>
            </w:r>
            <w:r w:rsidR="00C52E30">
              <w:rPr>
                <w:noProof/>
                <w:webHidden/>
              </w:rPr>
              <w:t>22</w:t>
            </w:r>
            <w:r w:rsidR="00D8151E">
              <w:rPr>
                <w:noProof/>
                <w:webHidden/>
              </w:rPr>
              <w:fldChar w:fldCharType="end"/>
            </w:r>
          </w:hyperlink>
        </w:p>
        <w:p w14:paraId="72A7141C" w14:textId="77777777" w:rsidR="00D8151E" w:rsidRDefault="00D322E8">
          <w:pPr>
            <w:pStyle w:val="TOC2"/>
            <w:rPr>
              <w:rFonts w:asciiTheme="minorHAnsi" w:hAnsiTheme="minorHAnsi"/>
              <w:noProof/>
              <w:sz w:val="22"/>
              <w:szCs w:val="22"/>
              <w:lang w:val="en-AU" w:eastAsia="en-AU"/>
            </w:rPr>
          </w:pPr>
          <w:hyperlink w:anchor="_Toc449696589" w:history="1">
            <w:r w:rsidR="00D8151E" w:rsidRPr="005124B7">
              <w:rPr>
                <w:rStyle w:val="Hyperlink"/>
                <w:noProof/>
              </w:rPr>
              <w:t>2.3.</w:t>
            </w:r>
            <w:r w:rsidR="00D8151E">
              <w:rPr>
                <w:rFonts w:asciiTheme="minorHAnsi" w:hAnsiTheme="minorHAnsi"/>
                <w:noProof/>
                <w:sz w:val="22"/>
                <w:szCs w:val="22"/>
                <w:lang w:val="en-AU" w:eastAsia="en-AU"/>
              </w:rPr>
              <w:tab/>
            </w:r>
            <w:r w:rsidR="00D8151E" w:rsidRPr="005124B7">
              <w:rPr>
                <w:rStyle w:val="Hyperlink"/>
                <w:noProof/>
              </w:rPr>
              <w:t>Dual phase flow</w:t>
            </w:r>
            <w:r w:rsidR="00D8151E">
              <w:rPr>
                <w:noProof/>
                <w:webHidden/>
              </w:rPr>
              <w:tab/>
            </w:r>
            <w:r w:rsidR="00D8151E">
              <w:rPr>
                <w:noProof/>
                <w:webHidden/>
              </w:rPr>
              <w:fldChar w:fldCharType="begin"/>
            </w:r>
            <w:r w:rsidR="00D8151E">
              <w:rPr>
                <w:noProof/>
                <w:webHidden/>
              </w:rPr>
              <w:instrText xml:space="preserve"> PAGEREF _Toc449696589 \h </w:instrText>
            </w:r>
            <w:r w:rsidR="00D8151E">
              <w:rPr>
                <w:noProof/>
                <w:webHidden/>
              </w:rPr>
            </w:r>
            <w:r w:rsidR="00D8151E">
              <w:rPr>
                <w:noProof/>
                <w:webHidden/>
              </w:rPr>
              <w:fldChar w:fldCharType="separate"/>
            </w:r>
            <w:r w:rsidR="00C52E30">
              <w:rPr>
                <w:noProof/>
                <w:webHidden/>
              </w:rPr>
              <w:t>23</w:t>
            </w:r>
            <w:r w:rsidR="00D8151E">
              <w:rPr>
                <w:noProof/>
                <w:webHidden/>
              </w:rPr>
              <w:fldChar w:fldCharType="end"/>
            </w:r>
          </w:hyperlink>
        </w:p>
        <w:p w14:paraId="0EBB5842"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90" w:history="1">
            <w:r w:rsidR="00D8151E" w:rsidRPr="005124B7">
              <w:rPr>
                <w:rStyle w:val="Hyperlink"/>
                <w:noProof/>
              </w:rPr>
              <w:t>2.3.1.</w:t>
            </w:r>
            <w:r w:rsidR="00D8151E">
              <w:rPr>
                <w:rFonts w:asciiTheme="minorHAnsi" w:hAnsiTheme="minorHAnsi"/>
                <w:noProof/>
                <w:sz w:val="22"/>
                <w:szCs w:val="22"/>
                <w:lang w:val="en-AU" w:eastAsia="en-AU"/>
              </w:rPr>
              <w:tab/>
            </w:r>
            <w:r w:rsidR="00D8151E" w:rsidRPr="005124B7">
              <w:rPr>
                <w:rStyle w:val="Hyperlink"/>
                <w:noProof/>
              </w:rPr>
              <w:t>Relative permeability</w:t>
            </w:r>
            <w:r w:rsidR="00D8151E">
              <w:rPr>
                <w:noProof/>
                <w:webHidden/>
              </w:rPr>
              <w:tab/>
            </w:r>
            <w:r w:rsidR="00D8151E">
              <w:rPr>
                <w:noProof/>
                <w:webHidden/>
              </w:rPr>
              <w:fldChar w:fldCharType="begin"/>
            </w:r>
            <w:r w:rsidR="00D8151E">
              <w:rPr>
                <w:noProof/>
                <w:webHidden/>
              </w:rPr>
              <w:instrText xml:space="preserve"> PAGEREF _Toc449696590 \h </w:instrText>
            </w:r>
            <w:r w:rsidR="00D8151E">
              <w:rPr>
                <w:noProof/>
                <w:webHidden/>
              </w:rPr>
            </w:r>
            <w:r w:rsidR="00D8151E">
              <w:rPr>
                <w:noProof/>
                <w:webHidden/>
              </w:rPr>
              <w:fldChar w:fldCharType="separate"/>
            </w:r>
            <w:r w:rsidR="00C52E30">
              <w:rPr>
                <w:noProof/>
                <w:webHidden/>
              </w:rPr>
              <w:t>23</w:t>
            </w:r>
            <w:r w:rsidR="00D8151E">
              <w:rPr>
                <w:noProof/>
                <w:webHidden/>
              </w:rPr>
              <w:fldChar w:fldCharType="end"/>
            </w:r>
          </w:hyperlink>
        </w:p>
        <w:p w14:paraId="4435869C"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91" w:history="1">
            <w:r w:rsidR="00D8151E" w:rsidRPr="005124B7">
              <w:rPr>
                <w:rStyle w:val="Hyperlink"/>
                <w:noProof/>
              </w:rPr>
              <w:t>2.3.2.</w:t>
            </w:r>
            <w:r w:rsidR="00D8151E">
              <w:rPr>
                <w:rFonts w:asciiTheme="minorHAnsi" w:hAnsiTheme="minorHAnsi"/>
                <w:noProof/>
                <w:sz w:val="22"/>
                <w:szCs w:val="22"/>
                <w:lang w:val="en-AU" w:eastAsia="en-AU"/>
              </w:rPr>
              <w:tab/>
            </w:r>
            <w:r w:rsidR="00D8151E" w:rsidRPr="005124B7">
              <w:rPr>
                <w:rStyle w:val="Hyperlink"/>
                <w:noProof/>
              </w:rPr>
              <w:t>Wettability</w:t>
            </w:r>
            <w:r w:rsidR="00D8151E">
              <w:rPr>
                <w:noProof/>
                <w:webHidden/>
              </w:rPr>
              <w:tab/>
            </w:r>
            <w:r w:rsidR="00D8151E">
              <w:rPr>
                <w:noProof/>
                <w:webHidden/>
              </w:rPr>
              <w:fldChar w:fldCharType="begin"/>
            </w:r>
            <w:r w:rsidR="00D8151E">
              <w:rPr>
                <w:noProof/>
                <w:webHidden/>
              </w:rPr>
              <w:instrText xml:space="preserve"> PAGEREF _Toc449696591 \h </w:instrText>
            </w:r>
            <w:r w:rsidR="00D8151E">
              <w:rPr>
                <w:noProof/>
                <w:webHidden/>
              </w:rPr>
            </w:r>
            <w:r w:rsidR="00D8151E">
              <w:rPr>
                <w:noProof/>
                <w:webHidden/>
              </w:rPr>
              <w:fldChar w:fldCharType="separate"/>
            </w:r>
            <w:r w:rsidR="00C52E30">
              <w:rPr>
                <w:noProof/>
                <w:webHidden/>
              </w:rPr>
              <w:t>26</w:t>
            </w:r>
            <w:r w:rsidR="00D8151E">
              <w:rPr>
                <w:noProof/>
                <w:webHidden/>
              </w:rPr>
              <w:fldChar w:fldCharType="end"/>
            </w:r>
          </w:hyperlink>
        </w:p>
        <w:p w14:paraId="5479F612" w14:textId="77777777" w:rsidR="00D8151E" w:rsidRDefault="00D322E8">
          <w:pPr>
            <w:pStyle w:val="TOC2"/>
            <w:rPr>
              <w:rFonts w:asciiTheme="minorHAnsi" w:hAnsiTheme="minorHAnsi"/>
              <w:noProof/>
              <w:sz w:val="22"/>
              <w:szCs w:val="22"/>
              <w:lang w:val="en-AU" w:eastAsia="en-AU"/>
            </w:rPr>
          </w:pPr>
          <w:hyperlink w:anchor="_Toc449696593" w:history="1">
            <w:r w:rsidR="00D8151E" w:rsidRPr="005124B7">
              <w:rPr>
                <w:rStyle w:val="Hyperlink"/>
                <w:noProof/>
              </w:rPr>
              <w:t>2.4.</w:t>
            </w:r>
            <w:r w:rsidR="00D8151E">
              <w:rPr>
                <w:rFonts w:asciiTheme="minorHAnsi" w:hAnsiTheme="minorHAnsi"/>
                <w:noProof/>
                <w:sz w:val="22"/>
                <w:szCs w:val="22"/>
                <w:lang w:val="en-AU" w:eastAsia="en-AU"/>
              </w:rPr>
              <w:tab/>
            </w:r>
            <w:r w:rsidR="00D8151E" w:rsidRPr="005124B7">
              <w:rPr>
                <w:rStyle w:val="Hyperlink"/>
                <w:noProof/>
              </w:rPr>
              <w:t>Geomechanical deformation</w:t>
            </w:r>
            <w:r w:rsidR="00D8151E">
              <w:rPr>
                <w:noProof/>
                <w:webHidden/>
              </w:rPr>
              <w:tab/>
            </w:r>
            <w:r w:rsidR="00D8151E">
              <w:rPr>
                <w:noProof/>
                <w:webHidden/>
              </w:rPr>
              <w:fldChar w:fldCharType="begin"/>
            </w:r>
            <w:r w:rsidR="00D8151E">
              <w:rPr>
                <w:noProof/>
                <w:webHidden/>
              </w:rPr>
              <w:instrText xml:space="preserve"> PAGEREF _Toc449696593 \h </w:instrText>
            </w:r>
            <w:r w:rsidR="00D8151E">
              <w:rPr>
                <w:noProof/>
                <w:webHidden/>
              </w:rPr>
            </w:r>
            <w:r w:rsidR="00D8151E">
              <w:rPr>
                <w:noProof/>
                <w:webHidden/>
              </w:rPr>
              <w:fldChar w:fldCharType="separate"/>
            </w:r>
            <w:r w:rsidR="00C52E30">
              <w:rPr>
                <w:noProof/>
                <w:webHidden/>
              </w:rPr>
              <w:t>28</w:t>
            </w:r>
            <w:r w:rsidR="00D8151E">
              <w:rPr>
                <w:noProof/>
                <w:webHidden/>
              </w:rPr>
              <w:fldChar w:fldCharType="end"/>
            </w:r>
          </w:hyperlink>
        </w:p>
        <w:p w14:paraId="65E203DA" w14:textId="77777777" w:rsidR="00D8151E" w:rsidRDefault="00D322E8">
          <w:pPr>
            <w:pStyle w:val="TOC1"/>
            <w:rPr>
              <w:rFonts w:asciiTheme="minorHAnsi" w:hAnsiTheme="minorHAnsi"/>
              <w:b w:val="0"/>
              <w:noProof/>
              <w:sz w:val="22"/>
              <w:szCs w:val="22"/>
              <w:lang w:val="en-AU" w:eastAsia="en-AU"/>
            </w:rPr>
          </w:pPr>
          <w:hyperlink w:anchor="_Toc449696594" w:history="1">
            <w:r w:rsidR="00D8151E" w:rsidRPr="005124B7">
              <w:rPr>
                <w:rStyle w:val="Hyperlink"/>
                <w:noProof/>
              </w:rPr>
              <w:t>3.</w:t>
            </w:r>
            <w:r w:rsidR="00D8151E">
              <w:rPr>
                <w:rFonts w:asciiTheme="minorHAnsi" w:hAnsiTheme="minorHAnsi"/>
                <w:b w:val="0"/>
                <w:noProof/>
                <w:sz w:val="22"/>
                <w:szCs w:val="22"/>
                <w:lang w:val="en-AU" w:eastAsia="en-AU"/>
              </w:rPr>
              <w:tab/>
            </w:r>
            <w:r w:rsidR="00D8151E" w:rsidRPr="005124B7">
              <w:rPr>
                <w:rStyle w:val="Hyperlink"/>
                <w:noProof/>
              </w:rPr>
              <w:t>Considerations for regional scale groundwater flow modelling</w:t>
            </w:r>
            <w:r w:rsidR="00D8151E">
              <w:rPr>
                <w:noProof/>
                <w:webHidden/>
              </w:rPr>
              <w:tab/>
            </w:r>
            <w:r w:rsidR="00D8151E">
              <w:rPr>
                <w:noProof/>
                <w:webHidden/>
              </w:rPr>
              <w:fldChar w:fldCharType="begin"/>
            </w:r>
            <w:r w:rsidR="00D8151E">
              <w:rPr>
                <w:noProof/>
                <w:webHidden/>
              </w:rPr>
              <w:instrText xml:space="preserve"> PAGEREF _Toc449696594 \h </w:instrText>
            </w:r>
            <w:r w:rsidR="00D8151E">
              <w:rPr>
                <w:noProof/>
                <w:webHidden/>
              </w:rPr>
            </w:r>
            <w:r w:rsidR="00D8151E">
              <w:rPr>
                <w:noProof/>
                <w:webHidden/>
              </w:rPr>
              <w:fldChar w:fldCharType="separate"/>
            </w:r>
            <w:r w:rsidR="00C52E30">
              <w:rPr>
                <w:noProof/>
                <w:webHidden/>
              </w:rPr>
              <w:t>29</w:t>
            </w:r>
            <w:r w:rsidR="00D8151E">
              <w:rPr>
                <w:noProof/>
                <w:webHidden/>
              </w:rPr>
              <w:fldChar w:fldCharType="end"/>
            </w:r>
          </w:hyperlink>
        </w:p>
        <w:p w14:paraId="2ABAB0F1" w14:textId="77777777" w:rsidR="00D8151E" w:rsidRDefault="00D322E8">
          <w:pPr>
            <w:pStyle w:val="TOC2"/>
            <w:rPr>
              <w:rFonts w:asciiTheme="minorHAnsi" w:hAnsiTheme="minorHAnsi"/>
              <w:noProof/>
              <w:sz w:val="22"/>
              <w:szCs w:val="22"/>
              <w:lang w:val="en-AU" w:eastAsia="en-AU"/>
            </w:rPr>
          </w:pPr>
          <w:hyperlink w:anchor="_Toc449696596" w:history="1">
            <w:r w:rsidR="00D8151E" w:rsidRPr="005124B7">
              <w:rPr>
                <w:rStyle w:val="Hyperlink"/>
                <w:noProof/>
              </w:rPr>
              <w:t>3.1.</w:t>
            </w:r>
            <w:r w:rsidR="00D8151E">
              <w:rPr>
                <w:rFonts w:asciiTheme="minorHAnsi" w:hAnsiTheme="minorHAnsi"/>
                <w:noProof/>
                <w:sz w:val="22"/>
                <w:szCs w:val="22"/>
                <w:lang w:val="en-AU" w:eastAsia="en-AU"/>
              </w:rPr>
              <w:tab/>
            </w:r>
            <w:r w:rsidR="00D8151E" w:rsidRPr="005124B7">
              <w:rPr>
                <w:rStyle w:val="Hyperlink"/>
                <w:noProof/>
              </w:rPr>
              <w:t>Review of hydraulic conductivity measurement methods</w:t>
            </w:r>
            <w:r w:rsidR="00D8151E">
              <w:rPr>
                <w:noProof/>
                <w:webHidden/>
              </w:rPr>
              <w:tab/>
            </w:r>
            <w:r w:rsidR="00D8151E">
              <w:rPr>
                <w:noProof/>
                <w:webHidden/>
              </w:rPr>
              <w:fldChar w:fldCharType="begin"/>
            </w:r>
            <w:r w:rsidR="00D8151E">
              <w:rPr>
                <w:noProof/>
                <w:webHidden/>
              </w:rPr>
              <w:instrText xml:space="preserve"> PAGEREF _Toc449696596 \h </w:instrText>
            </w:r>
            <w:r w:rsidR="00D8151E">
              <w:rPr>
                <w:noProof/>
                <w:webHidden/>
              </w:rPr>
            </w:r>
            <w:r w:rsidR="00D8151E">
              <w:rPr>
                <w:noProof/>
                <w:webHidden/>
              </w:rPr>
              <w:fldChar w:fldCharType="separate"/>
            </w:r>
            <w:r w:rsidR="00C52E30">
              <w:rPr>
                <w:noProof/>
                <w:webHidden/>
              </w:rPr>
              <w:t>30</w:t>
            </w:r>
            <w:r w:rsidR="00D8151E">
              <w:rPr>
                <w:noProof/>
                <w:webHidden/>
              </w:rPr>
              <w:fldChar w:fldCharType="end"/>
            </w:r>
          </w:hyperlink>
        </w:p>
        <w:p w14:paraId="5722D2DC"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97" w:history="1">
            <w:r w:rsidR="00D8151E" w:rsidRPr="005124B7">
              <w:rPr>
                <w:rStyle w:val="Hyperlink"/>
                <w:noProof/>
              </w:rPr>
              <w:t>3.1.1.</w:t>
            </w:r>
            <w:r w:rsidR="00D8151E">
              <w:rPr>
                <w:rFonts w:asciiTheme="minorHAnsi" w:hAnsiTheme="minorHAnsi"/>
                <w:noProof/>
                <w:sz w:val="22"/>
                <w:szCs w:val="22"/>
                <w:lang w:val="en-AU" w:eastAsia="en-AU"/>
              </w:rPr>
              <w:tab/>
            </w:r>
            <w:r w:rsidR="00D8151E" w:rsidRPr="005124B7">
              <w:rPr>
                <w:rStyle w:val="Hyperlink"/>
                <w:noProof/>
              </w:rPr>
              <w:t>Core scale observations</w:t>
            </w:r>
            <w:r w:rsidR="00D8151E">
              <w:rPr>
                <w:noProof/>
                <w:webHidden/>
              </w:rPr>
              <w:tab/>
            </w:r>
            <w:r w:rsidR="00D8151E">
              <w:rPr>
                <w:noProof/>
                <w:webHidden/>
              </w:rPr>
              <w:fldChar w:fldCharType="begin"/>
            </w:r>
            <w:r w:rsidR="00D8151E">
              <w:rPr>
                <w:noProof/>
                <w:webHidden/>
              </w:rPr>
              <w:instrText xml:space="preserve"> PAGEREF _Toc449696597 \h </w:instrText>
            </w:r>
            <w:r w:rsidR="00D8151E">
              <w:rPr>
                <w:noProof/>
                <w:webHidden/>
              </w:rPr>
            </w:r>
            <w:r w:rsidR="00D8151E">
              <w:rPr>
                <w:noProof/>
                <w:webHidden/>
              </w:rPr>
              <w:fldChar w:fldCharType="separate"/>
            </w:r>
            <w:r w:rsidR="00C52E30">
              <w:rPr>
                <w:noProof/>
                <w:webHidden/>
              </w:rPr>
              <w:t>32</w:t>
            </w:r>
            <w:r w:rsidR="00D8151E">
              <w:rPr>
                <w:noProof/>
                <w:webHidden/>
              </w:rPr>
              <w:fldChar w:fldCharType="end"/>
            </w:r>
          </w:hyperlink>
        </w:p>
        <w:p w14:paraId="6E001C6F"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98" w:history="1">
            <w:r w:rsidR="00D8151E" w:rsidRPr="005124B7">
              <w:rPr>
                <w:rStyle w:val="Hyperlink"/>
                <w:noProof/>
              </w:rPr>
              <w:t>3.1.2.</w:t>
            </w:r>
            <w:r w:rsidR="00D8151E">
              <w:rPr>
                <w:rFonts w:asciiTheme="minorHAnsi" w:hAnsiTheme="minorHAnsi"/>
                <w:noProof/>
                <w:sz w:val="22"/>
                <w:szCs w:val="22"/>
                <w:lang w:val="en-AU" w:eastAsia="en-AU"/>
              </w:rPr>
              <w:tab/>
            </w:r>
            <w:r w:rsidR="00D8151E" w:rsidRPr="005124B7">
              <w:rPr>
                <w:rStyle w:val="Hyperlink"/>
                <w:noProof/>
              </w:rPr>
              <w:t>Bore scale observations</w:t>
            </w:r>
            <w:r w:rsidR="00D8151E">
              <w:rPr>
                <w:noProof/>
                <w:webHidden/>
              </w:rPr>
              <w:tab/>
            </w:r>
            <w:r w:rsidR="00D8151E">
              <w:rPr>
                <w:noProof/>
                <w:webHidden/>
              </w:rPr>
              <w:fldChar w:fldCharType="begin"/>
            </w:r>
            <w:r w:rsidR="00D8151E">
              <w:rPr>
                <w:noProof/>
                <w:webHidden/>
              </w:rPr>
              <w:instrText xml:space="preserve"> PAGEREF _Toc449696598 \h </w:instrText>
            </w:r>
            <w:r w:rsidR="00D8151E">
              <w:rPr>
                <w:noProof/>
                <w:webHidden/>
              </w:rPr>
            </w:r>
            <w:r w:rsidR="00D8151E">
              <w:rPr>
                <w:noProof/>
                <w:webHidden/>
              </w:rPr>
              <w:fldChar w:fldCharType="separate"/>
            </w:r>
            <w:r w:rsidR="00C52E30">
              <w:rPr>
                <w:noProof/>
                <w:webHidden/>
              </w:rPr>
              <w:t>32</w:t>
            </w:r>
            <w:r w:rsidR="00D8151E">
              <w:rPr>
                <w:noProof/>
                <w:webHidden/>
              </w:rPr>
              <w:fldChar w:fldCharType="end"/>
            </w:r>
          </w:hyperlink>
        </w:p>
        <w:p w14:paraId="154FB85A"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599" w:history="1">
            <w:r w:rsidR="00D8151E" w:rsidRPr="005124B7">
              <w:rPr>
                <w:rStyle w:val="Hyperlink"/>
                <w:noProof/>
              </w:rPr>
              <w:t>3.1.3.</w:t>
            </w:r>
            <w:r w:rsidR="00D8151E">
              <w:rPr>
                <w:rFonts w:asciiTheme="minorHAnsi" w:hAnsiTheme="minorHAnsi"/>
                <w:noProof/>
                <w:sz w:val="22"/>
                <w:szCs w:val="22"/>
                <w:lang w:val="en-AU" w:eastAsia="en-AU"/>
              </w:rPr>
              <w:tab/>
            </w:r>
            <w:r w:rsidR="00D8151E" w:rsidRPr="005124B7">
              <w:rPr>
                <w:rStyle w:val="Hyperlink"/>
                <w:noProof/>
              </w:rPr>
              <w:t>Regional scale observations</w:t>
            </w:r>
            <w:r w:rsidR="00D8151E">
              <w:rPr>
                <w:noProof/>
                <w:webHidden/>
              </w:rPr>
              <w:tab/>
            </w:r>
            <w:r w:rsidR="00D8151E">
              <w:rPr>
                <w:noProof/>
                <w:webHidden/>
              </w:rPr>
              <w:fldChar w:fldCharType="begin"/>
            </w:r>
            <w:r w:rsidR="00D8151E">
              <w:rPr>
                <w:noProof/>
                <w:webHidden/>
              </w:rPr>
              <w:instrText xml:space="preserve"> PAGEREF _Toc449696599 \h </w:instrText>
            </w:r>
            <w:r w:rsidR="00D8151E">
              <w:rPr>
                <w:noProof/>
                <w:webHidden/>
              </w:rPr>
            </w:r>
            <w:r w:rsidR="00D8151E">
              <w:rPr>
                <w:noProof/>
                <w:webHidden/>
              </w:rPr>
              <w:fldChar w:fldCharType="separate"/>
            </w:r>
            <w:r w:rsidR="00C52E30">
              <w:rPr>
                <w:noProof/>
                <w:webHidden/>
              </w:rPr>
              <w:t>38</w:t>
            </w:r>
            <w:r w:rsidR="00D8151E">
              <w:rPr>
                <w:noProof/>
                <w:webHidden/>
              </w:rPr>
              <w:fldChar w:fldCharType="end"/>
            </w:r>
          </w:hyperlink>
        </w:p>
        <w:p w14:paraId="2E600912" w14:textId="77777777" w:rsidR="00D8151E" w:rsidRDefault="00D322E8">
          <w:pPr>
            <w:pStyle w:val="TOC2"/>
            <w:rPr>
              <w:rFonts w:asciiTheme="minorHAnsi" w:hAnsiTheme="minorHAnsi"/>
              <w:noProof/>
              <w:sz w:val="22"/>
              <w:szCs w:val="22"/>
              <w:lang w:val="en-AU" w:eastAsia="en-AU"/>
            </w:rPr>
          </w:pPr>
          <w:hyperlink w:anchor="_Toc449696601" w:history="1">
            <w:r w:rsidR="00D8151E" w:rsidRPr="005124B7">
              <w:rPr>
                <w:rStyle w:val="Hyperlink"/>
                <w:noProof/>
              </w:rPr>
              <w:t>3.2.</w:t>
            </w:r>
            <w:r w:rsidR="00D8151E">
              <w:rPr>
                <w:rFonts w:asciiTheme="minorHAnsi" w:hAnsiTheme="minorHAnsi"/>
                <w:noProof/>
                <w:sz w:val="22"/>
                <w:szCs w:val="22"/>
                <w:lang w:val="en-AU" w:eastAsia="en-AU"/>
              </w:rPr>
              <w:tab/>
            </w:r>
            <w:r w:rsidR="00D8151E" w:rsidRPr="005124B7">
              <w:rPr>
                <w:rStyle w:val="Hyperlink"/>
                <w:noProof/>
              </w:rPr>
              <w:t>Parameter upscaling</w:t>
            </w:r>
            <w:r w:rsidR="00D8151E">
              <w:rPr>
                <w:noProof/>
                <w:webHidden/>
              </w:rPr>
              <w:tab/>
            </w:r>
            <w:r w:rsidR="00D8151E">
              <w:rPr>
                <w:noProof/>
                <w:webHidden/>
              </w:rPr>
              <w:fldChar w:fldCharType="begin"/>
            </w:r>
            <w:r w:rsidR="00D8151E">
              <w:rPr>
                <w:noProof/>
                <w:webHidden/>
              </w:rPr>
              <w:instrText xml:space="preserve"> PAGEREF _Toc449696601 \h </w:instrText>
            </w:r>
            <w:r w:rsidR="00D8151E">
              <w:rPr>
                <w:noProof/>
                <w:webHidden/>
              </w:rPr>
            </w:r>
            <w:r w:rsidR="00D8151E">
              <w:rPr>
                <w:noProof/>
                <w:webHidden/>
              </w:rPr>
              <w:fldChar w:fldCharType="separate"/>
            </w:r>
            <w:r w:rsidR="00C52E30">
              <w:rPr>
                <w:noProof/>
                <w:webHidden/>
              </w:rPr>
              <w:t>40</w:t>
            </w:r>
            <w:r w:rsidR="00D8151E">
              <w:rPr>
                <w:noProof/>
                <w:webHidden/>
              </w:rPr>
              <w:fldChar w:fldCharType="end"/>
            </w:r>
          </w:hyperlink>
        </w:p>
        <w:p w14:paraId="3548D01B"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609" w:history="1">
            <w:r w:rsidR="00D8151E" w:rsidRPr="005124B7">
              <w:rPr>
                <w:rStyle w:val="Hyperlink"/>
                <w:noProof/>
              </w:rPr>
              <w:t>3.2.1.</w:t>
            </w:r>
            <w:r w:rsidR="00D8151E">
              <w:rPr>
                <w:rFonts w:asciiTheme="minorHAnsi" w:hAnsiTheme="minorHAnsi"/>
                <w:noProof/>
                <w:sz w:val="22"/>
                <w:szCs w:val="22"/>
                <w:lang w:val="en-AU" w:eastAsia="en-AU"/>
              </w:rPr>
              <w:tab/>
            </w:r>
            <w:r w:rsidR="00D8151E" w:rsidRPr="005124B7">
              <w:rPr>
                <w:rStyle w:val="Hyperlink"/>
                <w:noProof/>
              </w:rPr>
              <w:t>Hard and soft data</w:t>
            </w:r>
            <w:r w:rsidR="00D8151E">
              <w:rPr>
                <w:noProof/>
                <w:webHidden/>
              </w:rPr>
              <w:tab/>
            </w:r>
            <w:r w:rsidR="00D8151E">
              <w:rPr>
                <w:noProof/>
                <w:webHidden/>
              </w:rPr>
              <w:fldChar w:fldCharType="begin"/>
            </w:r>
            <w:r w:rsidR="00D8151E">
              <w:rPr>
                <w:noProof/>
                <w:webHidden/>
              </w:rPr>
              <w:instrText xml:space="preserve"> PAGEREF _Toc449696609 \h </w:instrText>
            </w:r>
            <w:r w:rsidR="00D8151E">
              <w:rPr>
                <w:noProof/>
                <w:webHidden/>
              </w:rPr>
            </w:r>
            <w:r w:rsidR="00D8151E">
              <w:rPr>
                <w:noProof/>
                <w:webHidden/>
              </w:rPr>
              <w:fldChar w:fldCharType="separate"/>
            </w:r>
            <w:r w:rsidR="00C52E30">
              <w:rPr>
                <w:noProof/>
                <w:webHidden/>
              </w:rPr>
              <w:t>41</w:t>
            </w:r>
            <w:r w:rsidR="00D8151E">
              <w:rPr>
                <w:noProof/>
                <w:webHidden/>
              </w:rPr>
              <w:fldChar w:fldCharType="end"/>
            </w:r>
          </w:hyperlink>
        </w:p>
        <w:p w14:paraId="45646A1C"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15" w:history="1">
            <w:r w:rsidR="00D8151E" w:rsidRPr="005124B7">
              <w:rPr>
                <w:rStyle w:val="Hyperlink"/>
                <w:noProof/>
              </w:rPr>
              <w:t>3.2.2.</w:t>
            </w:r>
            <w:r w:rsidR="00D8151E">
              <w:rPr>
                <w:rFonts w:asciiTheme="minorHAnsi" w:hAnsiTheme="minorHAnsi"/>
                <w:noProof/>
                <w:sz w:val="22"/>
                <w:szCs w:val="22"/>
                <w:lang w:val="en-AU" w:eastAsia="en-AU"/>
              </w:rPr>
              <w:tab/>
            </w:r>
            <w:r w:rsidR="00D8151E" w:rsidRPr="005124B7">
              <w:rPr>
                <w:rStyle w:val="Hyperlink"/>
                <w:noProof/>
              </w:rPr>
              <w:t>Upscaling methods</w:t>
            </w:r>
            <w:r w:rsidR="00D8151E">
              <w:rPr>
                <w:noProof/>
                <w:webHidden/>
              </w:rPr>
              <w:tab/>
            </w:r>
            <w:r w:rsidR="00D8151E">
              <w:rPr>
                <w:noProof/>
                <w:webHidden/>
              </w:rPr>
              <w:fldChar w:fldCharType="begin"/>
            </w:r>
            <w:r w:rsidR="00D8151E">
              <w:rPr>
                <w:noProof/>
                <w:webHidden/>
              </w:rPr>
              <w:instrText xml:space="preserve"> PAGEREF _Toc449696815 \h </w:instrText>
            </w:r>
            <w:r w:rsidR="00D8151E">
              <w:rPr>
                <w:noProof/>
                <w:webHidden/>
              </w:rPr>
            </w:r>
            <w:r w:rsidR="00D8151E">
              <w:rPr>
                <w:noProof/>
                <w:webHidden/>
              </w:rPr>
              <w:fldChar w:fldCharType="separate"/>
            </w:r>
            <w:r w:rsidR="00C52E30">
              <w:rPr>
                <w:noProof/>
                <w:webHidden/>
              </w:rPr>
              <w:t>44</w:t>
            </w:r>
            <w:r w:rsidR="00D8151E">
              <w:rPr>
                <w:noProof/>
                <w:webHidden/>
              </w:rPr>
              <w:fldChar w:fldCharType="end"/>
            </w:r>
          </w:hyperlink>
        </w:p>
        <w:p w14:paraId="384786E5"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17" w:history="1">
            <w:r w:rsidR="00D8151E" w:rsidRPr="005124B7">
              <w:rPr>
                <w:rStyle w:val="Hyperlink"/>
                <w:noProof/>
              </w:rPr>
              <w:t>3.2.3.</w:t>
            </w:r>
            <w:r w:rsidR="00D8151E">
              <w:rPr>
                <w:rFonts w:asciiTheme="minorHAnsi" w:hAnsiTheme="minorHAnsi"/>
                <w:noProof/>
                <w:sz w:val="22"/>
                <w:szCs w:val="22"/>
                <w:lang w:val="en-AU" w:eastAsia="en-AU"/>
              </w:rPr>
              <w:tab/>
            </w:r>
            <w:r w:rsidR="00D8151E" w:rsidRPr="005124B7">
              <w:rPr>
                <w:rStyle w:val="Hyperlink"/>
                <w:noProof/>
              </w:rPr>
              <w:t>Simulation-based spatial interpolation methods</w:t>
            </w:r>
            <w:r w:rsidR="00D8151E">
              <w:rPr>
                <w:noProof/>
                <w:webHidden/>
              </w:rPr>
              <w:tab/>
            </w:r>
            <w:r w:rsidR="00D8151E">
              <w:rPr>
                <w:noProof/>
                <w:webHidden/>
              </w:rPr>
              <w:fldChar w:fldCharType="begin"/>
            </w:r>
            <w:r w:rsidR="00D8151E">
              <w:rPr>
                <w:noProof/>
                <w:webHidden/>
              </w:rPr>
              <w:instrText xml:space="preserve"> PAGEREF _Toc449696817 \h </w:instrText>
            </w:r>
            <w:r w:rsidR="00D8151E">
              <w:rPr>
                <w:noProof/>
                <w:webHidden/>
              </w:rPr>
            </w:r>
            <w:r w:rsidR="00D8151E">
              <w:rPr>
                <w:noProof/>
                <w:webHidden/>
              </w:rPr>
              <w:fldChar w:fldCharType="separate"/>
            </w:r>
            <w:r w:rsidR="00C52E30">
              <w:rPr>
                <w:noProof/>
                <w:webHidden/>
              </w:rPr>
              <w:t>47</w:t>
            </w:r>
            <w:r w:rsidR="00D8151E">
              <w:rPr>
                <w:noProof/>
                <w:webHidden/>
              </w:rPr>
              <w:fldChar w:fldCharType="end"/>
            </w:r>
          </w:hyperlink>
        </w:p>
        <w:p w14:paraId="2B0EC70D" w14:textId="77777777" w:rsidR="00D8151E" w:rsidRDefault="00D322E8">
          <w:pPr>
            <w:pStyle w:val="TOC2"/>
            <w:rPr>
              <w:rFonts w:asciiTheme="minorHAnsi" w:hAnsiTheme="minorHAnsi"/>
              <w:noProof/>
              <w:sz w:val="22"/>
              <w:szCs w:val="22"/>
              <w:lang w:val="en-AU" w:eastAsia="en-AU"/>
            </w:rPr>
          </w:pPr>
          <w:hyperlink w:anchor="_Toc449696818" w:history="1">
            <w:r w:rsidR="00D8151E" w:rsidRPr="005124B7">
              <w:rPr>
                <w:rStyle w:val="Hyperlink"/>
                <w:noProof/>
              </w:rPr>
              <w:t>3.3.</w:t>
            </w:r>
            <w:r w:rsidR="00D8151E">
              <w:rPr>
                <w:rFonts w:asciiTheme="minorHAnsi" w:hAnsiTheme="minorHAnsi"/>
                <w:noProof/>
                <w:sz w:val="22"/>
                <w:szCs w:val="22"/>
                <w:lang w:val="en-AU" w:eastAsia="en-AU"/>
              </w:rPr>
              <w:tab/>
            </w:r>
            <w:r w:rsidR="00D8151E" w:rsidRPr="005124B7">
              <w:rPr>
                <w:rStyle w:val="Hyperlink"/>
                <w:noProof/>
              </w:rPr>
              <w:t>Structural features</w:t>
            </w:r>
            <w:r w:rsidR="00D8151E">
              <w:rPr>
                <w:noProof/>
                <w:webHidden/>
              </w:rPr>
              <w:tab/>
            </w:r>
            <w:r w:rsidR="00D8151E">
              <w:rPr>
                <w:noProof/>
                <w:webHidden/>
              </w:rPr>
              <w:fldChar w:fldCharType="begin"/>
            </w:r>
            <w:r w:rsidR="00D8151E">
              <w:rPr>
                <w:noProof/>
                <w:webHidden/>
              </w:rPr>
              <w:instrText xml:space="preserve"> PAGEREF _Toc449696818 \h </w:instrText>
            </w:r>
            <w:r w:rsidR="00D8151E">
              <w:rPr>
                <w:noProof/>
                <w:webHidden/>
              </w:rPr>
            </w:r>
            <w:r w:rsidR="00D8151E">
              <w:rPr>
                <w:noProof/>
                <w:webHidden/>
              </w:rPr>
              <w:fldChar w:fldCharType="separate"/>
            </w:r>
            <w:r w:rsidR="00C52E30">
              <w:rPr>
                <w:noProof/>
                <w:webHidden/>
              </w:rPr>
              <w:t>53</w:t>
            </w:r>
            <w:r w:rsidR="00D8151E">
              <w:rPr>
                <w:noProof/>
                <w:webHidden/>
              </w:rPr>
              <w:fldChar w:fldCharType="end"/>
            </w:r>
          </w:hyperlink>
        </w:p>
        <w:p w14:paraId="70F6F89D"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19" w:history="1">
            <w:r w:rsidR="00D8151E" w:rsidRPr="005124B7">
              <w:rPr>
                <w:rStyle w:val="Hyperlink"/>
                <w:noProof/>
              </w:rPr>
              <w:t>3.3.1.</w:t>
            </w:r>
            <w:r w:rsidR="00D8151E">
              <w:rPr>
                <w:rFonts w:asciiTheme="minorHAnsi" w:hAnsiTheme="minorHAnsi"/>
                <w:noProof/>
                <w:sz w:val="22"/>
                <w:szCs w:val="22"/>
                <w:lang w:val="en-AU" w:eastAsia="en-AU"/>
              </w:rPr>
              <w:tab/>
            </w:r>
            <w:r w:rsidR="00D8151E" w:rsidRPr="005124B7">
              <w:rPr>
                <w:rStyle w:val="Hyperlink"/>
                <w:noProof/>
              </w:rPr>
              <w:t>Geological faults</w:t>
            </w:r>
            <w:r w:rsidR="00D8151E">
              <w:rPr>
                <w:noProof/>
                <w:webHidden/>
              </w:rPr>
              <w:tab/>
            </w:r>
            <w:r w:rsidR="00D8151E">
              <w:rPr>
                <w:noProof/>
                <w:webHidden/>
              </w:rPr>
              <w:fldChar w:fldCharType="begin"/>
            </w:r>
            <w:r w:rsidR="00D8151E">
              <w:rPr>
                <w:noProof/>
                <w:webHidden/>
              </w:rPr>
              <w:instrText xml:space="preserve"> PAGEREF _Toc449696819 \h </w:instrText>
            </w:r>
            <w:r w:rsidR="00D8151E">
              <w:rPr>
                <w:noProof/>
                <w:webHidden/>
              </w:rPr>
            </w:r>
            <w:r w:rsidR="00D8151E">
              <w:rPr>
                <w:noProof/>
                <w:webHidden/>
              </w:rPr>
              <w:fldChar w:fldCharType="separate"/>
            </w:r>
            <w:r w:rsidR="00C52E30">
              <w:rPr>
                <w:noProof/>
                <w:webHidden/>
              </w:rPr>
              <w:t>53</w:t>
            </w:r>
            <w:r w:rsidR="00D8151E">
              <w:rPr>
                <w:noProof/>
                <w:webHidden/>
              </w:rPr>
              <w:fldChar w:fldCharType="end"/>
            </w:r>
          </w:hyperlink>
        </w:p>
        <w:p w14:paraId="4DAC9665"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20" w:history="1">
            <w:r w:rsidR="00D8151E" w:rsidRPr="005124B7">
              <w:rPr>
                <w:rStyle w:val="Hyperlink"/>
                <w:noProof/>
              </w:rPr>
              <w:t>3.3.2.</w:t>
            </w:r>
            <w:r w:rsidR="00D8151E">
              <w:rPr>
                <w:rFonts w:asciiTheme="minorHAnsi" w:hAnsiTheme="minorHAnsi"/>
                <w:noProof/>
                <w:sz w:val="22"/>
                <w:szCs w:val="22"/>
                <w:lang w:val="en-AU" w:eastAsia="en-AU"/>
              </w:rPr>
              <w:tab/>
            </w:r>
            <w:r w:rsidR="00D8151E" w:rsidRPr="005124B7">
              <w:rPr>
                <w:rStyle w:val="Hyperlink"/>
                <w:noProof/>
              </w:rPr>
              <w:t>Fractured media</w:t>
            </w:r>
            <w:r w:rsidR="00D8151E">
              <w:rPr>
                <w:noProof/>
                <w:webHidden/>
              </w:rPr>
              <w:tab/>
            </w:r>
            <w:r w:rsidR="00D8151E">
              <w:rPr>
                <w:noProof/>
                <w:webHidden/>
              </w:rPr>
              <w:fldChar w:fldCharType="begin"/>
            </w:r>
            <w:r w:rsidR="00D8151E">
              <w:rPr>
                <w:noProof/>
                <w:webHidden/>
              </w:rPr>
              <w:instrText xml:space="preserve"> PAGEREF _Toc449696820 \h </w:instrText>
            </w:r>
            <w:r w:rsidR="00D8151E">
              <w:rPr>
                <w:noProof/>
                <w:webHidden/>
              </w:rPr>
            </w:r>
            <w:r w:rsidR="00D8151E">
              <w:rPr>
                <w:noProof/>
                <w:webHidden/>
              </w:rPr>
              <w:fldChar w:fldCharType="separate"/>
            </w:r>
            <w:r w:rsidR="00C52E30">
              <w:rPr>
                <w:noProof/>
                <w:webHidden/>
              </w:rPr>
              <w:t>62</w:t>
            </w:r>
            <w:r w:rsidR="00D8151E">
              <w:rPr>
                <w:noProof/>
                <w:webHidden/>
              </w:rPr>
              <w:fldChar w:fldCharType="end"/>
            </w:r>
          </w:hyperlink>
        </w:p>
        <w:p w14:paraId="7112882A" w14:textId="77777777" w:rsidR="00D8151E" w:rsidRDefault="00D322E8">
          <w:pPr>
            <w:pStyle w:val="TOC2"/>
            <w:rPr>
              <w:rFonts w:asciiTheme="minorHAnsi" w:hAnsiTheme="minorHAnsi"/>
              <w:noProof/>
              <w:sz w:val="22"/>
              <w:szCs w:val="22"/>
              <w:lang w:val="en-AU" w:eastAsia="en-AU"/>
            </w:rPr>
          </w:pPr>
          <w:hyperlink w:anchor="_Toc449696821" w:history="1">
            <w:r w:rsidR="00D8151E" w:rsidRPr="005124B7">
              <w:rPr>
                <w:rStyle w:val="Hyperlink"/>
                <w:noProof/>
              </w:rPr>
              <w:t>3.4.</w:t>
            </w:r>
            <w:r w:rsidR="00D8151E">
              <w:rPr>
                <w:rFonts w:asciiTheme="minorHAnsi" w:hAnsiTheme="minorHAnsi"/>
                <w:noProof/>
                <w:sz w:val="22"/>
                <w:szCs w:val="22"/>
                <w:lang w:val="en-AU" w:eastAsia="en-AU"/>
              </w:rPr>
              <w:tab/>
            </w:r>
            <w:r w:rsidR="00D8151E" w:rsidRPr="005124B7">
              <w:rPr>
                <w:rStyle w:val="Hyperlink"/>
                <w:noProof/>
              </w:rPr>
              <w:t>Summary</w:t>
            </w:r>
            <w:r w:rsidR="00D8151E">
              <w:rPr>
                <w:noProof/>
                <w:webHidden/>
              </w:rPr>
              <w:tab/>
            </w:r>
            <w:r w:rsidR="00D8151E">
              <w:rPr>
                <w:noProof/>
                <w:webHidden/>
              </w:rPr>
              <w:fldChar w:fldCharType="begin"/>
            </w:r>
            <w:r w:rsidR="00D8151E">
              <w:rPr>
                <w:noProof/>
                <w:webHidden/>
              </w:rPr>
              <w:instrText xml:space="preserve"> PAGEREF _Toc449696821 \h </w:instrText>
            </w:r>
            <w:r w:rsidR="00D8151E">
              <w:rPr>
                <w:noProof/>
                <w:webHidden/>
              </w:rPr>
            </w:r>
            <w:r w:rsidR="00D8151E">
              <w:rPr>
                <w:noProof/>
                <w:webHidden/>
              </w:rPr>
              <w:fldChar w:fldCharType="separate"/>
            </w:r>
            <w:r w:rsidR="00C52E30">
              <w:rPr>
                <w:noProof/>
                <w:webHidden/>
              </w:rPr>
              <w:t>64</w:t>
            </w:r>
            <w:r w:rsidR="00D8151E">
              <w:rPr>
                <w:noProof/>
                <w:webHidden/>
              </w:rPr>
              <w:fldChar w:fldCharType="end"/>
            </w:r>
          </w:hyperlink>
        </w:p>
        <w:p w14:paraId="6EFEAD8A" w14:textId="77777777" w:rsidR="00D8151E" w:rsidRDefault="00D322E8">
          <w:pPr>
            <w:pStyle w:val="TOC1"/>
            <w:rPr>
              <w:rFonts w:asciiTheme="minorHAnsi" w:hAnsiTheme="minorHAnsi"/>
              <w:b w:val="0"/>
              <w:noProof/>
              <w:sz w:val="22"/>
              <w:szCs w:val="22"/>
              <w:lang w:val="en-AU" w:eastAsia="en-AU"/>
            </w:rPr>
          </w:pPr>
          <w:hyperlink w:anchor="_Toc449696822" w:history="1">
            <w:r w:rsidR="00D8151E" w:rsidRPr="005124B7">
              <w:rPr>
                <w:rStyle w:val="Hyperlink"/>
                <w:noProof/>
              </w:rPr>
              <w:t>4.</w:t>
            </w:r>
            <w:r w:rsidR="00D8151E">
              <w:rPr>
                <w:rFonts w:asciiTheme="minorHAnsi" w:hAnsiTheme="minorHAnsi"/>
                <w:b w:val="0"/>
                <w:noProof/>
                <w:sz w:val="22"/>
                <w:szCs w:val="22"/>
                <w:lang w:val="en-AU" w:eastAsia="en-AU"/>
              </w:rPr>
              <w:tab/>
            </w:r>
            <w:r w:rsidR="00D8151E" w:rsidRPr="005124B7">
              <w:rPr>
                <w:rStyle w:val="Hyperlink"/>
                <w:noProof/>
              </w:rPr>
              <w:t>Groundwater flow modelling of coal seam gas-related activities in Australia</w:t>
            </w:r>
            <w:r w:rsidR="00D8151E">
              <w:rPr>
                <w:noProof/>
                <w:webHidden/>
              </w:rPr>
              <w:tab/>
            </w:r>
            <w:r w:rsidR="00D8151E">
              <w:rPr>
                <w:noProof/>
                <w:webHidden/>
              </w:rPr>
              <w:fldChar w:fldCharType="begin"/>
            </w:r>
            <w:r w:rsidR="00D8151E">
              <w:rPr>
                <w:noProof/>
                <w:webHidden/>
              </w:rPr>
              <w:instrText xml:space="preserve"> PAGEREF _Toc449696822 \h </w:instrText>
            </w:r>
            <w:r w:rsidR="00D8151E">
              <w:rPr>
                <w:noProof/>
                <w:webHidden/>
              </w:rPr>
            </w:r>
            <w:r w:rsidR="00D8151E">
              <w:rPr>
                <w:noProof/>
                <w:webHidden/>
              </w:rPr>
              <w:fldChar w:fldCharType="separate"/>
            </w:r>
            <w:r w:rsidR="00C52E30">
              <w:rPr>
                <w:noProof/>
                <w:webHidden/>
              </w:rPr>
              <w:t>66</w:t>
            </w:r>
            <w:r w:rsidR="00D8151E">
              <w:rPr>
                <w:noProof/>
                <w:webHidden/>
              </w:rPr>
              <w:fldChar w:fldCharType="end"/>
            </w:r>
          </w:hyperlink>
        </w:p>
        <w:p w14:paraId="3B5471C2" w14:textId="77777777" w:rsidR="00D8151E" w:rsidRDefault="00D322E8">
          <w:pPr>
            <w:pStyle w:val="TOC2"/>
            <w:rPr>
              <w:rFonts w:asciiTheme="minorHAnsi" w:hAnsiTheme="minorHAnsi"/>
              <w:noProof/>
              <w:sz w:val="22"/>
              <w:szCs w:val="22"/>
              <w:lang w:val="en-AU" w:eastAsia="en-AU"/>
            </w:rPr>
          </w:pPr>
          <w:hyperlink w:anchor="_Toc449696823" w:history="1">
            <w:r w:rsidR="00D8151E" w:rsidRPr="005124B7">
              <w:rPr>
                <w:rStyle w:val="Hyperlink"/>
                <w:noProof/>
              </w:rPr>
              <w:t>4.1.</w:t>
            </w:r>
            <w:r w:rsidR="00D8151E">
              <w:rPr>
                <w:rFonts w:asciiTheme="minorHAnsi" w:hAnsiTheme="minorHAnsi"/>
                <w:noProof/>
                <w:sz w:val="22"/>
                <w:szCs w:val="22"/>
                <w:lang w:val="en-AU" w:eastAsia="en-AU"/>
              </w:rPr>
              <w:tab/>
            </w:r>
            <w:r w:rsidR="00D8151E" w:rsidRPr="005124B7">
              <w:rPr>
                <w:rStyle w:val="Hyperlink"/>
                <w:noProof/>
              </w:rPr>
              <w:t>Surat Basin</w:t>
            </w:r>
            <w:r w:rsidR="00D8151E">
              <w:rPr>
                <w:noProof/>
                <w:webHidden/>
              </w:rPr>
              <w:tab/>
            </w:r>
            <w:r w:rsidR="00D8151E">
              <w:rPr>
                <w:noProof/>
                <w:webHidden/>
              </w:rPr>
              <w:fldChar w:fldCharType="begin"/>
            </w:r>
            <w:r w:rsidR="00D8151E">
              <w:rPr>
                <w:noProof/>
                <w:webHidden/>
              </w:rPr>
              <w:instrText xml:space="preserve"> PAGEREF _Toc449696823 \h </w:instrText>
            </w:r>
            <w:r w:rsidR="00D8151E">
              <w:rPr>
                <w:noProof/>
                <w:webHidden/>
              </w:rPr>
            </w:r>
            <w:r w:rsidR="00D8151E">
              <w:rPr>
                <w:noProof/>
                <w:webHidden/>
              </w:rPr>
              <w:fldChar w:fldCharType="separate"/>
            </w:r>
            <w:r w:rsidR="00C52E30">
              <w:rPr>
                <w:noProof/>
                <w:webHidden/>
              </w:rPr>
              <w:t>66</w:t>
            </w:r>
            <w:r w:rsidR="00D8151E">
              <w:rPr>
                <w:noProof/>
                <w:webHidden/>
              </w:rPr>
              <w:fldChar w:fldCharType="end"/>
            </w:r>
          </w:hyperlink>
        </w:p>
        <w:p w14:paraId="319CE53C"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24" w:history="1">
            <w:r w:rsidR="00D8151E" w:rsidRPr="005124B7">
              <w:rPr>
                <w:rStyle w:val="Hyperlink"/>
                <w:noProof/>
              </w:rPr>
              <w:t>4.1.1.</w:t>
            </w:r>
            <w:r w:rsidR="00D8151E">
              <w:rPr>
                <w:rFonts w:asciiTheme="minorHAnsi" w:hAnsiTheme="minorHAnsi"/>
                <w:noProof/>
                <w:sz w:val="22"/>
                <w:szCs w:val="22"/>
                <w:lang w:val="en-AU" w:eastAsia="en-AU"/>
              </w:rPr>
              <w:tab/>
            </w:r>
            <w:r w:rsidR="00D8151E" w:rsidRPr="005124B7">
              <w:rPr>
                <w:rStyle w:val="Hyperlink"/>
                <w:noProof/>
              </w:rPr>
              <w:t>QWC / OGIA</w:t>
            </w:r>
            <w:r w:rsidR="00D8151E">
              <w:rPr>
                <w:noProof/>
                <w:webHidden/>
              </w:rPr>
              <w:tab/>
            </w:r>
            <w:r w:rsidR="00D8151E">
              <w:rPr>
                <w:noProof/>
                <w:webHidden/>
              </w:rPr>
              <w:fldChar w:fldCharType="begin"/>
            </w:r>
            <w:r w:rsidR="00D8151E">
              <w:rPr>
                <w:noProof/>
                <w:webHidden/>
              </w:rPr>
              <w:instrText xml:space="preserve"> PAGEREF _Toc449696824 \h </w:instrText>
            </w:r>
            <w:r w:rsidR="00D8151E">
              <w:rPr>
                <w:noProof/>
                <w:webHidden/>
              </w:rPr>
            </w:r>
            <w:r w:rsidR="00D8151E">
              <w:rPr>
                <w:noProof/>
                <w:webHidden/>
              </w:rPr>
              <w:fldChar w:fldCharType="separate"/>
            </w:r>
            <w:r w:rsidR="00C52E30">
              <w:rPr>
                <w:noProof/>
                <w:webHidden/>
              </w:rPr>
              <w:t>66</w:t>
            </w:r>
            <w:r w:rsidR="00D8151E">
              <w:rPr>
                <w:noProof/>
                <w:webHidden/>
              </w:rPr>
              <w:fldChar w:fldCharType="end"/>
            </w:r>
          </w:hyperlink>
        </w:p>
        <w:p w14:paraId="6B130CC1"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25" w:history="1">
            <w:r w:rsidR="00D8151E" w:rsidRPr="005124B7">
              <w:rPr>
                <w:rStyle w:val="Hyperlink"/>
                <w:noProof/>
              </w:rPr>
              <w:t>4.1.2.</w:t>
            </w:r>
            <w:r w:rsidR="00D8151E">
              <w:rPr>
                <w:rFonts w:asciiTheme="minorHAnsi" w:hAnsiTheme="minorHAnsi"/>
                <w:noProof/>
                <w:sz w:val="22"/>
                <w:szCs w:val="22"/>
                <w:lang w:val="en-AU" w:eastAsia="en-AU"/>
              </w:rPr>
              <w:tab/>
            </w:r>
            <w:r w:rsidR="00D8151E" w:rsidRPr="005124B7">
              <w:rPr>
                <w:rStyle w:val="Hyperlink"/>
                <w:noProof/>
              </w:rPr>
              <w:t>Arrow Energy</w:t>
            </w:r>
            <w:r w:rsidR="00D8151E">
              <w:rPr>
                <w:noProof/>
                <w:webHidden/>
              </w:rPr>
              <w:tab/>
            </w:r>
            <w:r w:rsidR="00D8151E">
              <w:rPr>
                <w:noProof/>
                <w:webHidden/>
              </w:rPr>
              <w:fldChar w:fldCharType="begin"/>
            </w:r>
            <w:r w:rsidR="00D8151E">
              <w:rPr>
                <w:noProof/>
                <w:webHidden/>
              </w:rPr>
              <w:instrText xml:space="preserve"> PAGEREF _Toc449696825 \h </w:instrText>
            </w:r>
            <w:r w:rsidR="00D8151E">
              <w:rPr>
                <w:noProof/>
                <w:webHidden/>
              </w:rPr>
            </w:r>
            <w:r w:rsidR="00D8151E">
              <w:rPr>
                <w:noProof/>
                <w:webHidden/>
              </w:rPr>
              <w:fldChar w:fldCharType="separate"/>
            </w:r>
            <w:r w:rsidR="00C52E30">
              <w:rPr>
                <w:noProof/>
                <w:webHidden/>
              </w:rPr>
              <w:t>70</w:t>
            </w:r>
            <w:r w:rsidR="00D8151E">
              <w:rPr>
                <w:noProof/>
                <w:webHidden/>
              </w:rPr>
              <w:fldChar w:fldCharType="end"/>
            </w:r>
          </w:hyperlink>
        </w:p>
        <w:p w14:paraId="54DD3FC6"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26" w:history="1">
            <w:r w:rsidR="00D8151E" w:rsidRPr="005124B7">
              <w:rPr>
                <w:rStyle w:val="Hyperlink"/>
                <w:noProof/>
              </w:rPr>
              <w:t>4.1.3.</w:t>
            </w:r>
            <w:r w:rsidR="00D8151E">
              <w:rPr>
                <w:rFonts w:asciiTheme="minorHAnsi" w:hAnsiTheme="minorHAnsi"/>
                <w:noProof/>
                <w:sz w:val="22"/>
                <w:szCs w:val="22"/>
                <w:lang w:val="en-AU" w:eastAsia="en-AU"/>
              </w:rPr>
              <w:tab/>
            </w:r>
            <w:r w:rsidR="00D8151E" w:rsidRPr="005124B7">
              <w:rPr>
                <w:rStyle w:val="Hyperlink"/>
                <w:noProof/>
              </w:rPr>
              <w:t>Origin Energy</w:t>
            </w:r>
            <w:r w:rsidR="00D8151E">
              <w:rPr>
                <w:noProof/>
                <w:webHidden/>
              </w:rPr>
              <w:tab/>
            </w:r>
            <w:r w:rsidR="00D8151E">
              <w:rPr>
                <w:noProof/>
                <w:webHidden/>
              </w:rPr>
              <w:fldChar w:fldCharType="begin"/>
            </w:r>
            <w:r w:rsidR="00D8151E">
              <w:rPr>
                <w:noProof/>
                <w:webHidden/>
              </w:rPr>
              <w:instrText xml:space="preserve"> PAGEREF _Toc449696826 \h </w:instrText>
            </w:r>
            <w:r w:rsidR="00D8151E">
              <w:rPr>
                <w:noProof/>
                <w:webHidden/>
              </w:rPr>
            </w:r>
            <w:r w:rsidR="00D8151E">
              <w:rPr>
                <w:noProof/>
                <w:webHidden/>
              </w:rPr>
              <w:fldChar w:fldCharType="separate"/>
            </w:r>
            <w:r w:rsidR="00C52E30">
              <w:rPr>
                <w:noProof/>
                <w:webHidden/>
              </w:rPr>
              <w:t>71</w:t>
            </w:r>
            <w:r w:rsidR="00D8151E">
              <w:rPr>
                <w:noProof/>
                <w:webHidden/>
              </w:rPr>
              <w:fldChar w:fldCharType="end"/>
            </w:r>
          </w:hyperlink>
        </w:p>
        <w:p w14:paraId="46E46BEA"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27" w:history="1">
            <w:r w:rsidR="00D8151E" w:rsidRPr="005124B7">
              <w:rPr>
                <w:rStyle w:val="Hyperlink"/>
                <w:noProof/>
              </w:rPr>
              <w:t>4.1.4.</w:t>
            </w:r>
            <w:r w:rsidR="00D8151E">
              <w:rPr>
                <w:rFonts w:asciiTheme="minorHAnsi" w:hAnsiTheme="minorHAnsi"/>
                <w:noProof/>
                <w:sz w:val="22"/>
                <w:szCs w:val="22"/>
                <w:lang w:val="en-AU" w:eastAsia="en-AU"/>
              </w:rPr>
              <w:tab/>
            </w:r>
            <w:r w:rsidR="00D8151E" w:rsidRPr="005124B7">
              <w:rPr>
                <w:rStyle w:val="Hyperlink"/>
                <w:noProof/>
              </w:rPr>
              <w:t>Queensland Gas Company</w:t>
            </w:r>
            <w:r w:rsidR="00D8151E">
              <w:rPr>
                <w:noProof/>
                <w:webHidden/>
              </w:rPr>
              <w:tab/>
            </w:r>
            <w:r w:rsidR="00D8151E">
              <w:rPr>
                <w:noProof/>
                <w:webHidden/>
              </w:rPr>
              <w:fldChar w:fldCharType="begin"/>
            </w:r>
            <w:r w:rsidR="00D8151E">
              <w:rPr>
                <w:noProof/>
                <w:webHidden/>
              </w:rPr>
              <w:instrText xml:space="preserve"> PAGEREF _Toc449696827 \h </w:instrText>
            </w:r>
            <w:r w:rsidR="00D8151E">
              <w:rPr>
                <w:noProof/>
                <w:webHidden/>
              </w:rPr>
            </w:r>
            <w:r w:rsidR="00D8151E">
              <w:rPr>
                <w:noProof/>
                <w:webHidden/>
              </w:rPr>
              <w:fldChar w:fldCharType="separate"/>
            </w:r>
            <w:r w:rsidR="00C52E30">
              <w:rPr>
                <w:noProof/>
                <w:webHidden/>
              </w:rPr>
              <w:t>72</w:t>
            </w:r>
            <w:r w:rsidR="00D8151E">
              <w:rPr>
                <w:noProof/>
                <w:webHidden/>
              </w:rPr>
              <w:fldChar w:fldCharType="end"/>
            </w:r>
          </w:hyperlink>
        </w:p>
        <w:p w14:paraId="440CD9CE"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28" w:history="1">
            <w:r w:rsidR="00D8151E" w:rsidRPr="005124B7">
              <w:rPr>
                <w:rStyle w:val="Hyperlink"/>
                <w:noProof/>
              </w:rPr>
              <w:t>4.1.5.</w:t>
            </w:r>
            <w:r w:rsidR="00D8151E">
              <w:rPr>
                <w:rFonts w:asciiTheme="minorHAnsi" w:hAnsiTheme="minorHAnsi"/>
                <w:noProof/>
                <w:sz w:val="22"/>
                <w:szCs w:val="22"/>
                <w:lang w:val="en-AU" w:eastAsia="en-AU"/>
              </w:rPr>
              <w:tab/>
            </w:r>
            <w:r w:rsidR="00D8151E" w:rsidRPr="005124B7">
              <w:rPr>
                <w:rStyle w:val="Hyperlink"/>
                <w:noProof/>
              </w:rPr>
              <w:t>Santos</w:t>
            </w:r>
            <w:r w:rsidR="00D8151E">
              <w:rPr>
                <w:noProof/>
                <w:webHidden/>
              </w:rPr>
              <w:tab/>
            </w:r>
            <w:r w:rsidR="00D8151E">
              <w:rPr>
                <w:noProof/>
                <w:webHidden/>
              </w:rPr>
              <w:fldChar w:fldCharType="begin"/>
            </w:r>
            <w:r w:rsidR="00D8151E">
              <w:rPr>
                <w:noProof/>
                <w:webHidden/>
              </w:rPr>
              <w:instrText xml:space="preserve"> PAGEREF _Toc449696828 \h </w:instrText>
            </w:r>
            <w:r w:rsidR="00D8151E">
              <w:rPr>
                <w:noProof/>
                <w:webHidden/>
              </w:rPr>
            </w:r>
            <w:r w:rsidR="00D8151E">
              <w:rPr>
                <w:noProof/>
                <w:webHidden/>
              </w:rPr>
              <w:fldChar w:fldCharType="separate"/>
            </w:r>
            <w:r w:rsidR="00C52E30">
              <w:rPr>
                <w:noProof/>
                <w:webHidden/>
              </w:rPr>
              <w:t>74</w:t>
            </w:r>
            <w:r w:rsidR="00D8151E">
              <w:rPr>
                <w:noProof/>
                <w:webHidden/>
              </w:rPr>
              <w:fldChar w:fldCharType="end"/>
            </w:r>
          </w:hyperlink>
        </w:p>
        <w:p w14:paraId="3C0C9FF5" w14:textId="77777777" w:rsidR="00D8151E" w:rsidRDefault="00D322E8">
          <w:pPr>
            <w:pStyle w:val="TOC2"/>
            <w:rPr>
              <w:rFonts w:asciiTheme="minorHAnsi" w:hAnsiTheme="minorHAnsi"/>
              <w:noProof/>
              <w:sz w:val="22"/>
              <w:szCs w:val="22"/>
              <w:lang w:val="en-AU" w:eastAsia="en-AU"/>
            </w:rPr>
          </w:pPr>
          <w:hyperlink w:anchor="_Toc449696829" w:history="1">
            <w:r w:rsidR="00D8151E" w:rsidRPr="005124B7">
              <w:rPr>
                <w:rStyle w:val="Hyperlink"/>
                <w:noProof/>
              </w:rPr>
              <w:t>4.2.</w:t>
            </w:r>
            <w:r w:rsidR="00D8151E">
              <w:rPr>
                <w:rFonts w:asciiTheme="minorHAnsi" w:hAnsiTheme="minorHAnsi"/>
                <w:noProof/>
                <w:sz w:val="22"/>
                <w:szCs w:val="22"/>
                <w:lang w:val="en-AU" w:eastAsia="en-AU"/>
              </w:rPr>
              <w:tab/>
            </w:r>
            <w:r w:rsidR="00D8151E" w:rsidRPr="005124B7">
              <w:rPr>
                <w:rStyle w:val="Hyperlink"/>
                <w:noProof/>
              </w:rPr>
              <w:t>Bowen Basin</w:t>
            </w:r>
            <w:r w:rsidR="00D8151E">
              <w:rPr>
                <w:noProof/>
                <w:webHidden/>
              </w:rPr>
              <w:tab/>
            </w:r>
            <w:r w:rsidR="00D8151E">
              <w:rPr>
                <w:noProof/>
                <w:webHidden/>
              </w:rPr>
              <w:fldChar w:fldCharType="begin"/>
            </w:r>
            <w:r w:rsidR="00D8151E">
              <w:rPr>
                <w:noProof/>
                <w:webHidden/>
              </w:rPr>
              <w:instrText xml:space="preserve"> PAGEREF _Toc449696829 \h </w:instrText>
            </w:r>
            <w:r w:rsidR="00D8151E">
              <w:rPr>
                <w:noProof/>
                <w:webHidden/>
              </w:rPr>
            </w:r>
            <w:r w:rsidR="00D8151E">
              <w:rPr>
                <w:noProof/>
                <w:webHidden/>
              </w:rPr>
              <w:fldChar w:fldCharType="separate"/>
            </w:r>
            <w:r w:rsidR="00C52E30">
              <w:rPr>
                <w:noProof/>
                <w:webHidden/>
              </w:rPr>
              <w:t>75</w:t>
            </w:r>
            <w:r w:rsidR="00D8151E">
              <w:rPr>
                <w:noProof/>
                <w:webHidden/>
              </w:rPr>
              <w:fldChar w:fldCharType="end"/>
            </w:r>
          </w:hyperlink>
        </w:p>
        <w:p w14:paraId="4B6157F7"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30" w:history="1">
            <w:r w:rsidR="00D8151E" w:rsidRPr="005124B7">
              <w:rPr>
                <w:rStyle w:val="Hyperlink"/>
                <w:noProof/>
              </w:rPr>
              <w:t>4.2.1.</w:t>
            </w:r>
            <w:r w:rsidR="00D8151E">
              <w:rPr>
                <w:rFonts w:asciiTheme="minorHAnsi" w:hAnsiTheme="minorHAnsi"/>
                <w:noProof/>
                <w:sz w:val="22"/>
                <w:szCs w:val="22"/>
                <w:lang w:val="en-AU" w:eastAsia="en-AU"/>
              </w:rPr>
              <w:tab/>
            </w:r>
            <w:r w:rsidR="00D8151E" w:rsidRPr="005124B7">
              <w:rPr>
                <w:rStyle w:val="Hyperlink"/>
                <w:noProof/>
              </w:rPr>
              <w:t>Arrow Energy</w:t>
            </w:r>
            <w:r w:rsidR="00D8151E">
              <w:rPr>
                <w:noProof/>
                <w:webHidden/>
              </w:rPr>
              <w:tab/>
            </w:r>
            <w:r w:rsidR="00D8151E">
              <w:rPr>
                <w:noProof/>
                <w:webHidden/>
              </w:rPr>
              <w:fldChar w:fldCharType="begin"/>
            </w:r>
            <w:r w:rsidR="00D8151E">
              <w:rPr>
                <w:noProof/>
                <w:webHidden/>
              </w:rPr>
              <w:instrText xml:space="preserve"> PAGEREF _Toc449696830 \h </w:instrText>
            </w:r>
            <w:r w:rsidR="00D8151E">
              <w:rPr>
                <w:noProof/>
                <w:webHidden/>
              </w:rPr>
            </w:r>
            <w:r w:rsidR="00D8151E">
              <w:rPr>
                <w:noProof/>
                <w:webHidden/>
              </w:rPr>
              <w:fldChar w:fldCharType="separate"/>
            </w:r>
            <w:r w:rsidR="00C52E30">
              <w:rPr>
                <w:noProof/>
                <w:webHidden/>
              </w:rPr>
              <w:t>75</w:t>
            </w:r>
            <w:r w:rsidR="00D8151E">
              <w:rPr>
                <w:noProof/>
                <w:webHidden/>
              </w:rPr>
              <w:fldChar w:fldCharType="end"/>
            </w:r>
          </w:hyperlink>
        </w:p>
        <w:p w14:paraId="70787006" w14:textId="77777777" w:rsidR="00D8151E" w:rsidRDefault="00D322E8">
          <w:pPr>
            <w:pStyle w:val="TOC2"/>
            <w:rPr>
              <w:rFonts w:asciiTheme="minorHAnsi" w:hAnsiTheme="minorHAnsi"/>
              <w:noProof/>
              <w:sz w:val="22"/>
              <w:szCs w:val="22"/>
              <w:lang w:val="en-AU" w:eastAsia="en-AU"/>
            </w:rPr>
          </w:pPr>
          <w:hyperlink w:anchor="_Toc449696831" w:history="1">
            <w:r w:rsidR="00D8151E" w:rsidRPr="005124B7">
              <w:rPr>
                <w:rStyle w:val="Hyperlink"/>
                <w:noProof/>
              </w:rPr>
              <w:t>4.3.</w:t>
            </w:r>
            <w:r w:rsidR="00D8151E">
              <w:rPr>
                <w:rFonts w:asciiTheme="minorHAnsi" w:hAnsiTheme="minorHAnsi"/>
                <w:noProof/>
                <w:sz w:val="22"/>
                <w:szCs w:val="22"/>
                <w:lang w:val="en-AU" w:eastAsia="en-AU"/>
              </w:rPr>
              <w:tab/>
            </w:r>
            <w:r w:rsidR="00D8151E" w:rsidRPr="005124B7">
              <w:rPr>
                <w:rStyle w:val="Hyperlink"/>
                <w:noProof/>
              </w:rPr>
              <w:t>Gunnedah Basin</w:t>
            </w:r>
            <w:r w:rsidR="00D8151E">
              <w:rPr>
                <w:noProof/>
                <w:webHidden/>
              </w:rPr>
              <w:tab/>
            </w:r>
            <w:r w:rsidR="00D8151E">
              <w:rPr>
                <w:noProof/>
                <w:webHidden/>
              </w:rPr>
              <w:fldChar w:fldCharType="begin"/>
            </w:r>
            <w:r w:rsidR="00D8151E">
              <w:rPr>
                <w:noProof/>
                <w:webHidden/>
              </w:rPr>
              <w:instrText xml:space="preserve"> PAGEREF _Toc449696831 \h </w:instrText>
            </w:r>
            <w:r w:rsidR="00D8151E">
              <w:rPr>
                <w:noProof/>
                <w:webHidden/>
              </w:rPr>
            </w:r>
            <w:r w:rsidR="00D8151E">
              <w:rPr>
                <w:noProof/>
                <w:webHidden/>
              </w:rPr>
              <w:fldChar w:fldCharType="separate"/>
            </w:r>
            <w:r w:rsidR="00C52E30">
              <w:rPr>
                <w:noProof/>
                <w:webHidden/>
              </w:rPr>
              <w:t>77</w:t>
            </w:r>
            <w:r w:rsidR="00D8151E">
              <w:rPr>
                <w:noProof/>
                <w:webHidden/>
              </w:rPr>
              <w:fldChar w:fldCharType="end"/>
            </w:r>
          </w:hyperlink>
        </w:p>
        <w:p w14:paraId="576E9974"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32" w:history="1">
            <w:r w:rsidR="00D8151E" w:rsidRPr="005124B7">
              <w:rPr>
                <w:rStyle w:val="Hyperlink"/>
                <w:noProof/>
              </w:rPr>
              <w:t>4.3.1.</w:t>
            </w:r>
            <w:r w:rsidR="00D8151E">
              <w:rPr>
                <w:rFonts w:asciiTheme="minorHAnsi" w:hAnsiTheme="minorHAnsi"/>
                <w:noProof/>
                <w:sz w:val="22"/>
                <w:szCs w:val="22"/>
                <w:lang w:val="en-AU" w:eastAsia="en-AU"/>
              </w:rPr>
              <w:tab/>
            </w:r>
            <w:r w:rsidR="00D8151E" w:rsidRPr="005124B7">
              <w:rPr>
                <w:rStyle w:val="Hyperlink"/>
                <w:noProof/>
              </w:rPr>
              <w:t>Santos</w:t>
            </w:r>
            <w:r w:rsidR="00D8151E">
              <w:rPr>
                <w:noProof/>
                <w:webHidden/>
              </w:rPr>
              <w:tab/>
            </w:r>
            <w:r w:rsidR="00D8151E">
              <w:rPr>
                <w:noProof/>
                <w:webHidden/>
              </w:rPr>
              <w:fldChar w:fldCharType="begin"/>
            </w:r>
            <w:r w:rsidR="00D8151E">
              <w:rPr>
                <w:noProof/>
                <w:webHidden/>
              </w:rPr>
              <w:instrText xml:space="preserve"> PAGEREF _Toc449696832 \h </w:instrText>
            </w:r>
            <w:r w:rsidR="00D8151E">
              <w:rPr>
                <w:noProof/>
                <w:webHidden/>
              </w:rPr>
            </w:r>
            <w:r w:rsidR="00D8151E">
              <w:rPr>
                <w:noProof/>
                <w:webHidden/>
              </w:rPr>
              <w:fldChar w:fldCharType="separate"/>
            </w:r>
            <w:r w:rsidR="00C52E30">
              <w:rPr>
                <w:noProof/>
                <w:webHidden/>
              </w:rPr>
              <w:t>77</w:t>
            </w:r>
            <w:r w:rsidR="00D8151E">
              <w:rPr>
                <w:noProof/>
                <w:webHidden/>
              </w:rPr>
              <w:fldChar w:fldCharType="end"/>
            </w:r>
          </w:hyperlink>
        </w:p>
        <w:p w14:paraId="4901D9F9"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33" w:history="1">
            <w:r w:rsidR="00D8151E" w:rsidRPr="005124B7">
              <w:rPr>
                <w:rStyle w:val="Hyperlink"/>
                <w:noProof/>
              </w:rPr>
              <w:t>4.3.2.</w:t>
            </w:r>
            <w:r w:rsidR="00D8151E">
              <w:rPr>
                <w:rFonts w:asciiTheme="minorHAnsi" w:hAnsiTheme="minorHAnsi"/>
                <w:noProof/>
                <w:sz w:val="22"/>
                <w:szCs w:val="22"/>
                <w:lang w:val="en-AU" w:eastAsia="en-AU"/>
              </w:rPr>
              <w:tab/>
            </w:r>
            <w:r w:rsidR="00D8151E" w:rsidRPr="005124B7">
              <w:rPr>
                <w:rStyle w:val="Hyperlink"/>
                <w:noProof/>
              </w:rPr>
              <w:t>Schlumberger Water Services</w:t>
            </w:r>
            <w:r w:rsidR="00D8151E">
              <w:rPr>
                <w:noProof/>
                <w:webHidden/>
              </w:rPr>
              <w:tab/>
            </w:r>
            <w:r w:rsidR="00D8151E">
              <w:rPr>
                <w:noProof/>
                <w:webHidden/>
              </w:rPr>
              <w:fldChar w:fldCharType="begin"/>
            </w:r>
            <w:r w:rsidR="00D8151E">
              <w:rPr>
                <w:noProof/>
                <w:webHidden/>
              </w:rPr>
              <w:instrText xml:space="preserve"> PAGEREF _Toc449696833 \h </w:instrText>
            </w:r>
            <w:r w:rsidR="00D8151E">
              <w:rPr>
                <w:noProof/>
                <w:webHidden/>
              </w:rPr>
            </w:r>
            <w:r w:rsidR="00D8151E">
              <w:rPr>
                <w:noProof/>
                <w:webHidden/>
              </w:rPr>
              <w:fldChar w:fldCharType="separate"/>
            </w:r>
            <w:r w:rsidR="00C52E30">
              <w:rPr>
                <w:noProof/>
                <w:webHidden/>
              </w:rPr>
              <w:t>79</w:t>
            </w:r>
            <w:r w:rsidR="00D8151E">
              <w:rPr>
                <w:noProof/>
                <w:webHidden/>
              </w:rPr>
              <w:fldChar w:fldCharType="end"/>
            </w:r>
          </w:hyperlink>
        </w:p>
        <w:p w14:paraId="6713EF56" w14:textId="77777777" w:rsidR="00D8151E" w:rsidRDefault="00D322E8">
          <w:pPr>
            <w:pStyle w:val="TOC2"/>
            <w:rPr>
              <w:rFonts w:asciiTheme="minorHAnsi" w:hAnsiTheme="minorHAnsi"/>
              <w:noProof/>
              <w:sz w:val="22"/>
              <w:szCs w:val="22"/>
              <w:lang w:val="en-AU" w:eastAsia="en-AU"/>
            </w:rPr>
          </w:pPr>
          <w:hyperlink w:anchor="_Toc449696834" w:history="1">
            <w:r w:rsidR="00D8151E" w:rsidRPr="005124B7">
              <w:rPr>
                <w:rStyle w:val="Hyperlink"/>
                <w:noProof/>
              </w:rPr>
              <w:t>4.4.</w:t>
            </w:r>
            <w:r w:rsidR="00D8151E">
              <w:rPr>
                <w:rFonts w:asciiTheme="minorHAnsi" w:hAnsiTheme="minorHAnsi"/>
                <w:noProof/>
                <w:sz w:val="22"/>
                <w:szCs w:val="22"/>
                <w:lang w:val="en-AU" w:eastAsia="en-AU"/>
              </w:rPr>
              <w:tab/>
            </w:r>
            <w:r w:rsidR="00D8151E" w:rsidRPr="005124B7">
              <w:rPr>
                <w:rStyle w:val="Hyperlink"/>
                <w:noProof/>
              </w:rPr>
              <w:t>Gippsland Basin</w:t>
            </w:r>
            <w:r w:rsidR="00D8151E">
              <w:rPr>
                <w:noProof/>
                <w:webHidden/>
              </w:rPr>
              <w:tab/>
            </w:r>
            <w:r w:rsidR="00D8151E">
              <w:rPr>
                <w:noProof/>
                <w:webHidden/>
              </w:rPr>
              <w:fldChar w:fldCharType="begin"/>
            </w:r>
            <w:r w:rsidR="00D8151E">
              <w:rPr>
                <w:noProof/>
                <w:webHidden/>
              </w:rPr>
              <w:instrText xml:space="preserve"> PAGEREF _Toc449696834 \h </w:instrText>
            </w:r>
            <w:r w:rsidR="00D8151E">
              <w:rPr>
                <w:noProof/>
                <w:webHidden/>
              </w:rPr>
            </w:r>
            <w:r w:rsidR="00D8151E">
              <w:rPr>
                <w:noProof/>
                <w:webHidden/>
              </w:rPr>
              <w:fldChar w:fldCharType="separate"/>
            </w:r>
            <w:r w:rsidR="00C52E30">
              <w:rPr>
                <w:noProof/>
                <w:webHidden/>
              </w:rPr>
              <w:t>81</w:t>
            </w:r>
            <w:r w:rsidR="00D8151E">
              <w:rPr>
                <w:noProof/>
                <w:webHidden/>
              </w:rPr>
              <w:fldChar w:fldCharType="end"/>
            </w:r>
          </w:hyperlink>
        </w:p>
        <w:p w14:paraId="02D193D5"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35" w:history="1">
            <w:r w:rsidR="00D8151E" w:rsidRPr="005124B7">
              <w:rPr>
                <w:rStyle w:val="Hyperlink"/>
                <w:noProof/>
              </w:rPr>
              <w:t>4.4.1.</w:t>
            </w:r>
            <w:r w:rsidR="00D8151E">
              <w:rPr>
                <w:rFonts w:asciiTheme="minorHAnsi" w:hAnsiTheme="minorHAnsi"/>
                <w:noProof/>
                <w:sz w:val="22"/>
                <w:szCs w:val="22"/>
                <w:lang w:val="en-AU" w:eastAsia="en-AU"/>
              </w:rPr>
              <w:tab/>
            </w:r>
            <w:r w:rsidR="00D8151E" w:rsidRPr="005124B7">
              <w:rPr>
                <w:rStyle w:val="Hyperlink"/>
                <w:noProof/>
              </w:rPr>
              <w:t>CSIRO (Strand et al., 2012)</w:t>
            </w:r>
            <w:r w:rsidR="00D8151E">
              <w:rPr>
                <w:noProof/>
                <w:webHidden/>
              </w:rPr>
              <w:tab/>
            </w:r>
            <w:r w:rsidR="00D8151E">
              <w:rPr>
                <w:noProof/>
                <w:webHidden/>
              </w:rPr>
              <w:fldChar w:fldCharType="begin"/>
            </w:r>
            <w:r w:rsidR="00D8151E">
              <w:rPr>
                <w:noProof/>
                <w:webHidden/>
              </w:rPr>
              <w:instrText xml:space="preserve"> PAGEREF _Toc449696835 \h </w:instrText>
            </w:r>
            <w:r w:rsidR="00D8151E">
              <w:rPr>
                <w:noProof/>
                <w:webHidden/>
              </w:rPr>
            </w:r>
            <w:r w:rsidR="00D8151E">
              <w:rPr>
                <w:noProof/>
                <w:webHidden/>
              </w:rPr>
              <w:fldChar w:fldCharType="separate"/>
            </w:r>
            <w:r w:rsidR="00C52E30">
              <w:rPr>
                <w:noProof/>
                <w:webHidden/>
              </w:rPr>
              <w:t>81</w:t>
            </w:r>
            <w:r w:rsidR="00D8151E">
              <w:rPr>
                <w:noProof/>
                <w:webHidden/>
              </w:rPr>
              <w:fldChar w:fldCharType="end"/>
            </w:r>
          </w:hyperlink>
        </w:p>
        <w:p w14:paraId="3D2100D6" w14:textId="77777777" w:rsidR="00D8151E" w:rsidRDefault="00D322E8">
          <w:pPr>
            <w:pStyle w:val="TOC3"/>
            <w:tabs>
              <w:tab w:val="right" w:leader="dot" w:pos="9010"/>
            </w:tabs>
            <w:rPr>
              <w:rFonts w:asciiTheme="minorHAnsi" w:hAnsiTheme="minorHAnsi"/>
              <w:noProof/>
              <w:sz w:val="22"/>
              <w:szCs w:val="22"/>
              <w:lang w:val="en-AU" w:eastAsia="en-AU"/>
            </w:rPr>
          </w:pPr>
          <w:hyperlink w:anchor="_Toc449696836" w:history="1">
            <w:r w:rsidR="00D8151E" w:rsidRPr="005124B7">
              <w:rPr>
                <w:rStyle w:val="Hyperlink"/>
                <w:noProof/>
              </w:rPr>
              <w:t>4.4.2.</w:t>
            </w:r>
            <w:r w:rsidR="00D8151E">
              <w:rPr>
                <w:rFonts w:asciiTheme="minorHAnsi" w:hAnsiTheme="minorHAnsi"/>
                <w:noProof/>
                <w:sz w:val="22"/>
                <w:szCs w:val="22"/>
                <w:lang w:val="en-AU" w:eastAsia="en-AU"/>
              </w:rPr>
              <w:tab/>
            </w:r>
            <w:r w:rsidR="00D8151E" w:rsidRPr="005124B7">
              <w:rPr>
                <w:rStyle w:val="Hyperlink"/>
                <w:noProof/>
              </w:rPr>
              <w:t>CSIRO (Varma and Michael 2012)</w:t>
            </w:r>
            <w:r w:rsidR="00D8151E">
              <w:rPr>
                <w:noProof/>
                <w:webHidden/>
              </w:rPr>
              <w:tab/>
            </w:r>
            <w:r w:rsidR="00D8151E">
              <w:rPr>
                <w:noProof/>
                <w:webHidden/>
              </w:rPr>
              <w:fldChar w:fldCharType="begin"/>
            </w:r>
            <w:r w:rsidR="00D8151E">
              <w:rPr>
                <w:noProof/>
                <w:webHidden/>
              </w:rPr>
              <w:instrText xml:space="preserve"> PAGEREF _Toc449696836 \h </w:instrText>
            </w:r>
            <w:r w:rsidR="00D8151E">
              <w:rPr>
                <w:noProof/>
                <w:webHidden/>
              </w:rPr>
            </w:r>
            <w:r w:rsidR="00D8151E">
              <w:rPr>
                <w:noProof/>
                <w:webHidden/>
              </w:rPr>
              <w:fldChar w:fldCharType="separate"/>
            </w:r>
            <w:r w:rsidR="00C52E30">
              <w:rPr>
                <w:noProof/>
                <w:webHidden/>
              </w:rPr>
              <w:t>81</w:t>
            </w:r>
            <w:r w:rsidR="00D8151E">
              <w:rPr>
                <w:noProof/>
                <w:webHidden/>
              </w:rPr>
              <w:fldChar w:fldCharType="end"/>
            </w:r>
          </w:hyperlink>
        </w:p>
        <w:p w14:paraId="3629DCE6" w14:textId="77777777" w:rsidR="00D8151E" w:rsidRDefault="00D322E8">
          <w:pPr>
            <w:pStyle w:val="TOC2"/>
            <w:rPr>
              <w:rFonts w:asciiTheme="minorHAnsi" w:hAnsiTheme="minorHAnsi"/>
              <w:noProof/>
              <w:sz w:val="22"/>
              <w:szCs w:val="22"/>
              <w:lang w:val="en-AU" w:eastAsia="en-AU"/>
            </w:rPr>
          </w:pPr>
          <w:hyperlink w:anchor="_Toc449696837" w:history="1">
            <w:r w:rsidR="00D8151E" w:rsidRPr="005124B7">
              <w:rPr>
                <w:rStyle w:val="Hyperlink"/>
                <w:noProof/>
              </w:rPr>
              <w:t>4.5.</w:t>
            </w:r>
            <w:r w:rsidR="00D8151E">
              <w:rPr>
                <w:rFonts w:asciiTheme="minorHAnsi" w:hAnsiTheme="minorHAnsi"/>
                <w:noProof/>
                <w:sz w:val="22"/>
                <w:szCs w:val="22"/>
                <w:lang w:val="en-AU" w:eastAsia="en-AU"/>
              </w:rPr>
              <w:tab/>
            </w:r>
            <w:r w:rsidR="00D8151E" w:rsidRPr="005124B7">
              <w:rPr>
                <w:rStyle w:val="Hyperlink"/>
                <w:noProof/>
              </w:rPr>
              <w:t>Summary</w:t>
            </w:r>
            <w:r w:rsidR="00D8151E">
              <w:rPr>
                <w:noProof/>
                <w:webHidden/>
              </w:rPr>
              <w:tab/>
            </w:r>
            <w:r w:rsidR="00D8151E">
              <w:rPr>
                <w:noProof/>
                <w:webHidden/>
              </w:rPr>
              <w:fldChar w:fldCharType="begin"/>
            </w:r>
            <w:r w:rsidR="00D8151E">
              <w:rPr>
                <w:noProof/>
                <w:webHidden/>
              </w:rPr>
              <w:instrText xml:space="preserve"> PAGEREF _Toc449696837 \h </w:instrText>
            </w:r>
            <w:r w:rsidR="00D8151E">
              <w:rPr>
                <w:noProof/>
                <w:webHidden/>
              </w:rPr>
            </w:r>
            <w:r w:rsidR="00D8151E">
              <w:rPr>
                <w:noProof/>
                <w:webHidden/>
              </w:rPr>
              <w:fldChar w:fldCharType="separate"/>
            </w:r>
            <w:r w:rsidR="00C52E30">
              <w:rPr>
                <w:noProof/>
                <w:webHidden/>
              </w:rPr>
              <w:t>82</w:t>
            </w:r>
            <w:r w:rsidR="00D8151E">
              <w:rPr>
                <w:noProof/>
                <w:webHidden/>
              </w:rPr>
              <w:fldChar w:fldCharType="end"/>
            </w:r>
          </w:hyperlink>
        </w:p>
        <w:p w14:paraId="7F0C3526" w14:textId="77777777" w:rsidR="00D8151E" w:rsidRDefault="00D322E8">
          <w:pPr>
            <w:pStyle w:val="TOC1"/>
            <w:rPr>
              <w:rFonts w:asciiTheme="minorHAnsi" w:hAnsiTheme="minorHAnsi"/>
              <w:b w:val="0"/>
              <w:noProof/>
              <w:sz w:val="22"/>
              <w:szCs w:val="22"/>
              <w:lang w:val="en-AU" w:eastAsia="en-AU"/>
            </w:rPr>
          </w:pPr>
          <w:hyperlink w:anchor="_Toc449696838" w:history="1">
            <w:r w:rsidR="00D8151E" w:rsidRPr="005124B7">
              <w:rPr>
                <w:rStyle w:val="Hyperlink"/>
                <w:noProof/>
              </w:rPr>
              <w:t>5.</w:t>
            </w:r>
            <w:r w:rsidR="00D8151E">
              <w:rPr>
                <w:rFonts w:asciiTheme="minorHAnsi" w:hAnsiTheme="minorHAnsi"/>
                <w:b w:val="0"/>
                <w:noProof/>
                <w:sz w:val="22"/>
                <w:szCs w:val="22"/>
                <w:lang w:val="en-AU" w:eastAsia="en-AU"/>
              </w:rPr>
              <w:tab/>
            </w:r>
            <w:r w:rsidR="00D8151E" w:rsidRPr="005124B7">
              <w:rPr>
                <w:rStyle w:val="Hyperlink"/>
                <w:noProof/>
              </w:rPr>
              <w:t>Summary</w:t>
            </w:r>
            <w:r w:rsidR="00D8151E">
              <w:rPr>
                <w:noProof/>
                <w:webHidden/>
              </w:rPr>
              <w:tab/>
            </w:r>
            <w:r w:rsidR="00D8151E">
              <w:rPr>
                <w:noProof/>
                <w:webHidden/>
              </w:rPr>
              <w:fldChar w:fldCharType="begin"/>
            </w:r>
            <w:r w:rsidR="00D8151E">
              <w:rPr>
                <w:noProof/>
                <w:webHidden/>
              </w:rPr>
              <w:instrText xml:space="preserve"> PAGEREF _Toc449696838 \h </w:instrText>
            </w:r>
            <w:r w:rsidR="00D8151E">
              <w:rPr>
                <w:noProof/>
                <w:webHidden/>
              </w:rPr>
            </w:r>
            <w:r w:rsidR="00D8151E">
              <w:rPr>
                <w:noProof/>
                <w:webHidden/>
              </w:rPr>
              <w:fldChar w:fldCharType="separate"/>
            </w:r>
            <w:r w:rsidR="00C52E30">
              <w:rPr>
                <w:noProof/>
                <w:webHidden/>
              </w:rPr>
              <w:t>86</w:t>
            </w:r>
            <w:r w:rsidR="00D8151E">
              <w:rPr>
                <w:noProof/>
                <w:webHidden/>
              </w:rPr>
              <w:fldChar w:fldCharType="end"/>
            </w:r>
          </w:hyperlink>
        </w:p>
        <w:p w14:paraId="125FEB98" w14:textId="77777777" w:rsidR="00D8151E" w:rsidRDefault="00D322E8">
          <w:pPr>
            <w:pStyle w:val="TOC1"/>
            <w:rPr>
              <w:rFonts w:asciiTheme="minorHAnsi" w:hAnsiTheme="minorHAnsi"/>
              <w:b w:val="0"/>
              <w:noProof/>
              <w:sz w:val="22"/>
              <w:szCs w:val="22"/>
              <w:lang w:val="en-AU" w:eastAsia="en-AU"/>
            </w:rPr>
          </w:pPr>
          <w:hyperlink w:anchor="_Toc449696839" w:history="1">
            <w:r w:rsidR="00D8151E" w:rsidRPr="005124B7">
              <w:rPr>
                <w:rStyle w:val="Hyperlink"/>
                <w:noProof/>
              </w:rPr>
              <w:t>6.</w:t>
            </w:r>
            <w:r w:rsidR="00D8151E">
              <w:rPr>
                <w:rFonts w:asciiTheme="minorHAnsi" w:hAnsiTheme="minorHAnsi"/>
                <w:b w:val="0"/>
                <w:noProof/>
                <w:sz w:val="22"/>
                <w:szCs w:val="22"/>
                <w:lang w:val="en-AU" w:eastAsia="en-AU"/>
              </w:rPr>
              <w:tab/>
            </w:r>
            <w:r w:rsidR="00D8151E" w:rsidRPr="005124B7">
              <w:rPr>
                <w:rStyle w:val="Hyperlink"/>
                <w:noProof/>
              </w:rPr>
              <w:t>References</w:t>
            </w:r>
            <w:r w:rsidR="00D8151E">
              <w:rPr>
                <w:noProof/>
                <w:webHidden/>
              </w:rPr>
              <w:tab/>
            </w:r>
            <w:r w:rsidR="00D8151E">
              <w:rPr>
                <w:noProof/>
                <w:webHidden/>
              </w:rPr>
              <w:fldChar w:fldCharType="begin"/>
            </w:r>
            <w:r w:rsidR="00D8151E">
              <w:rPr>
                <w:noProof/>
                <w:webHidden/>
              </w:rPr>
              <w:instrText xml:space="preserve"> PAGEREF _Toc449696839 \h </w:instrText>
            </w:r>
            <w:r w:rsidR="00D8151E">
              <w:rPr>
                <w:noProof/>
                <w:webHidden/>
              </w:rPr>
            </w:r>
            <w:r w:rsidR="00D8151E">
              <w:rPr>
                <w:noProof/>
                <w:webHidden/>
              </w:rPr>
              <w:fldChar w:fldCharType="separate"/>
            </w:r>
            <w:r w:rsidR="00C52E30">
              <w:rPr>
                <w:noProof/>
                <w:webHidden/>
              </w:rPr>
              <w:t>89</w:t>
            </w:r>
            <w:r w:rsidR="00D8151E">
              <w:rPr>
                <w:noProof/>
                <w:webHidden/>
              </w:rPr>
              <w:fldChar w:fldCharType="end"/>
            </w:r>
          </w:hyperlink>
        </w:p>
        <w:p w14:paraId="04DDD235" w14:textId="77777777" w:rsidR="00D8151E" w:rsidRDefault="00D322E8">
          <w:pPr>
            <w:pStyle w:val="TOC1"/>
            <w:rPr>
              <w:rFonts w:asciiTheme="minorHAnsi" w:hAnsiTheme="minorHAnsi"/>
              <w:b w:val="0"/>
              <w:noProof/>
              <w:sz w:val="22"/>
              <w:szCs w:val="22"/>
              <w:lang w:val="en-AU" w:eastAsia="en-AU"/>
            </w:rPr>
          </w:pPr>
          <w:hyperlink w:anchor="_Toc449696840" w:history="1">
            <w:r w:rsidR="00D8151E" w:rsidRPr="005124B7">
              <w:rPr>
                <w:rStyle w:val="Hyperlink"/>
                <w:noProof/>
              </w:rPr>
              <w:t>7.</w:t>
            </w:r>
            <w:r w:rsidR="00D8151E">
              <w:rPr>
                <w:rFonts w:asciiTheme="minorHAnsi" w:hAnsiTheme="minorHAnsi"/>
                <w:b w:val="0"/>
                <w:noProof/>
                <w:sz w:val="22"/>
                <w:szCs w:val="22"/>
                <w:lang w:val="en-AU" w:eastAsia="en-AU"/>
              </w:rPr>
              <w:tab/>
            </w:r>
            <w:r w:rsidR="00D8151E" w:rsidRPr="005124B7">
              <w:rPr>
                <w:rStyle w:val="Hyperlink"/>
                <w:noProof/>
              </w:rPr>
              <w:t>Appendix 1</w:t>
            </w:r>
            <w:r w:rsidR="00D8151E">
              <w:rPr>
                <w:noProof/>
                <w:webHidden/>
              </w:rPr>
              <w:tab/>
            </w:r>
            <w:r w:rsidR="00D8151E">
              <w:rPr>
                <w:noProof/>
                <w:webHidden/>
              </w:rPr>
              <w:fldChar w:fldCharType="begin"/>
            </w:r>
            <w:r w:rsidR="00D8151E">
              <w:rPr>
                <w:noProof/>
                <w:webHidden/>
              </w:rPr>
              <w:instrText xml:space="preserve"> PAGEREF _Toc449696840 \h </w:instrText>
            </w:r>
            <w:r w:rsidR="00D8151E">
              <w:rPr>
                <w:noProof/>
                <w:webHidden/>
              </w:rPr>
            </w:r>
            <w:r w:rsidR="00D8151E">
              <w:rPr>
                <w:noProof/>
                <w:webHidden/>
              </w:rPr>
              <w:fldChar w:fldCharType="separate"/>
            </w:r>
            <w:r w:rsidR="00C52E30">
              <w:rPr>
                <w:noProof/>
                <w:webHidden/>
              </w:rPr>
              <w:t>105</w:t>
            </w:r>
            <w:r w:rsidR="00D8151E">
              <w:rPr>
                <w:noProof/>
                <w:webHidden/>
              </w:rPr>
              <w:fldChar w:fldCharType="end"/>
            </w:r>
          </w:hyperlink>
        </w:p>
        <w:p w14:paraId="4CD5E045" w14:textId="77777777" w:rsidR="00D8151E" w:rsidRDefault="00D322E8">
          <w:pPr>
            <w:pStyle w:val="TOC2"/>
            <w:rPr>
              <w:rFonts w:asciiTheme="minorHAnsi" w:hAnsiTheme="minorHAnsi"/>
              <w:noProof/>
              <w:sz w:val="22"/>
              <w:szCs w:val="22"/>
              <w:lang w:val="en-AU" w:eastAsia="en-AU"/>
            </w:rPr>
          </w:pPr>
          <w:hyperlink w:anchor="_Toc449696841" w:history="1">
            <w:r w:rsidR="00D8151E" w:rsidRPr="005124B7">
              <w:rPr>
                <w:rStyle w:val="Hyperlink"/>
                <w:noProof/>
              </w:rPr>
              <w:t>7.1.</w:t>
            </w:r>
            <w:r w:rsidR="00D8151E">
              <w:rPr>
                <w:rFonts w:asciiTheme="minorHAnsi" w:hAnsiTheme="minorHAnsi"/>
                <w:noProof/>
                <w:sz w:val="22"/>
                <w:szCs w:val="22"/>
                <w:lang w:val="en-AU" w:eastAsia="en-AU"/>
              </w:rPr>
              <w:tab/>
            </w:r>
            <w:r w:rsidR="00D8151E" w:rsidRPr="005124B7">
              <w:rPr>
                <w:rStyle w:val="Hyperlink"/>
                <w:noProof/>
              </w:rPr>
              <w:t>Multiphase flow models</w:t>
            </w:r>
            <w:r w:rsidR="00D8151E">
              <w:rPr>
                <w:noProof/>
                <w:webHidden/>
              </w:rPr>
              <w:tab/>
            </w:r>
            <w:r w:rsidR="00D8151E">
              <w:rPr>
                <w:noProof/>
                <w:webHidden/>
              </w:rPr>
              <w:fldChar w:fldCharType="begin"/>
            </w:r>
            <w:r w:rsidR="00D8151E">
              <w:rPr>
                <w:noProof/>
                <w:webHidden/>
              </w:rPr>
              <w:instrText xml:space="preserve"> PAGEREF _Toc449696841 \h </w:instrText>
            </w:r>
            <w:r w:rsidR="00D8151E">
              <w:rPr>
                <w:noProof/>
                <w:webHidden/>
              </w:rPr>
            </w:r>
            <w:r w:rsidR="00D8151E">
              <w:rPr>
                <w:noProof/>
                <w:webHidden/>
              </w:rPr>
              <w:fldChar w:fldCharType="separate"/>
            </w:r>
            <w:r w:rsidR="00C52E30">
              <w:rPr>
                <w:noProof/>
                <w:webHidden/>
              </w:rPr>
              <w:t>105</w:t>
            </w:r>
            <w:r w:rsidR="00D8151E">
              <w:rPr>
                <w:noProof/>
                <w:webHidden/>
              </w:rPr>
              <w:fldChar w:fldCharType="end"/>
            </w:r>
          </w:hyperlink>
        </w:p>
        <w:p w14:paraId="1C61ADB0" w14:textId="77777777" w:rsidR="00AF25B8" w:rsidRDefault="00084CDD" w:rsidP="00AF25B8">
          <w:pPr>
            <w:pStyle w:val="TOC2"/>
          </w:pPr>
          <w:r>
            <w:fldChar w:fldCharType="end"/>
          </w:r>
        </w:p>
      </w:sdtContent>
    </w:sdt>
    <w:p w14:paraId="6A510822" w14:textId="77777777" w:rsidR="00017C3F" w:rsidRDefault="00017C3F" w:rsidP="00017C3F">
      <w:pPr>
        <w:pStyle w:val="H1"/>
      </w:pPr>
      <w:r>
        <w:t>Figures</w:t>
      </w:r>
    </w:p>
    <w:p w14:paraId="4219454A" w14:textId="77777777" w:rsidR="007841A8" w:rsidRDefault="00084CDD">
      <w:pPr>
        <w:pStyle w:val="TableofFigures"/>
        <w:tabs>
          <w:tab w:val="right" w:leader="dot" w:pos="9010"/>
        </w:tabs>
        <w:rPr>
          <w:rFonts w:asciiTheme="minorHAnsi" w:hAnsiTheme="minorHAnsi"/>
          <w:noProof/>
          <w:sz w:val="22"/>
          <w:szCs w:val="22"/>
          <w:lang w:val="en-AU" w:eastAsia="en-AU"/>
        </w:rPr>
      </w:pPr>
      <w:r>
        <w:fldChar w:fldCharType="begin"/>
      </w:r>
      <w:r w:rsidR="00812784">
        <w:instrText xml:space="preserve"> TOC \h \z \c "Figure" </w:instrText>
      </w:r>
      <w:r>
        <w:fldChar w:fldCharType="separate"/>
      </w:r>
      <w:hyperlink w:anchor="_Toc449696291" w:history="1">
        <w:r w:rsidR="007841A8" w:rsidRPr="009F5C19">
          <w:rPr>
            <w:rStyle w:val="Hyperlink"/>
            <w:noProof/>
          </w:rPr>
          <w:t>Figure 1. (a) Simple conceptual model of a shallow groundwater flow system featuring groundwater extraction from a confined aquifer overlain by an aquitard and an unconfined aquifer. (b) Simple conceptual model of a deep groundwater flow system featuring groundwater extraction from a confined aquifer (i.e., coal measure) overlain and underlain by multiple aquifer and aquitard types. For illustration purposes a fully penetrating well was used in both cases.</w:t>
        </w:r>
        <w:r w:rsidR="007841A8">
          <w:rPr>
            <w:noProof/>
            <w:webHidden/>
          </w:rPr>
          <w:tab/>
        </w:r>
        <w:r w:rsidR="007841A8">
          <w:rPr>
            <w:noProof/>
            <w:webHidden/>
          </w:rPr>
          <w:fldChar w:fldCharType="begin"/>
        </w:r>
        <w:r w:rsidR="007841A8">
          <w:rPr>
            <w:noProof/>
            <w:webHidden/>
          </w:rPr>
          <w:instrText xml:space="preserve"> PAGEREF _Toc449696291 \h </w:instrText>
        </w:r>
        <w:r w:rsidR="007841A8">
          <w:rPr>
            <w:noProof/>
            <w:webHidden/>
          </w:rPr>
        </w:r>
        <w:r w:rsidR="007841A8">
          <w:rPr>
            <w:noProof/>
            <w:webHidden/>
          </w:rPr>
          <w:fldChar w:fldCharType="separate"/>
        </w:r>
        <w:r w:rsidR="00C52E30">
          <w:rPr>
            <w:noProof/>
            <w:webHidden/>
          </w:rPr>
          <w:t>5</w:t>
        </w:r>
        <w:r w:rsidR="007841A8">
          <w:rPr>
            <w:noProof/>
            <w:webHidden/>
          </w:rPr>
          <w:fldChar w:fldCharType="end"/>
        </w:r>
      </w:hyperlink>
    </w:p>
    <w:p w14:paraId="5E840CE2"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2" w:history="1">
        <w:r w:rsidR="007841A8" w:rsidRPr="009F5C19">
          <w:rPr>
            <w:rStyle w:val="Hyperlink"/>
            <w:noProof/>
          </w:rPr>
          <w:t>Figure 2. Sensitivity of drawdown in (a) coal formation and (b) unconfined aquifer due to groundwater extraction to simultaneous changes in the vertical hydraulic conductivity of both aquitards present.</w:t>
        </w:r>
        <w:r w:rsidR="007841A8">
          <w:rPr>
            <w:noProof/>
            <w:webHidden/>
          </w:rPr>
          <w:tab/>
        </w:r>
        <w:r w:rsidR="007841A8">
          <w:rPr>
            <w:noProof/>
            <w:webHidden/>
          </w:rPr>
          <w:fldChar w:fldCharType="begin"/>
        </w:r>
        <w:r w:rsidR="007841A8">
          <w:rPr>
            <w:noProof/>
            <w:webHidden/>
          </w:rPr>
          <w:instrText xml:space="preserve"> PAGEREF _Toc449696292 \h </w:instrText>
        </w:r>
        <w:r w:rsidR="007841A8">
          <w:rPr>
            <w:noProof/>
            <w:webHidden/>
          </w:rPr>
        </w:r>
        <w:r w:rsidR="007841A8">
          <w:rPr>
            <w:noProof/>
            <w:webHidden/>
          </w:rPr>
          <w:fldChar w:fldCharType="separate"/>
        </w:r>
        <w:r w:rsidR="00C52E30">
          <w:rPr>
            <w:noProof/>
            <w:webHidden/>
          </w:rPr>
          <w:t>6</w:t>
        </w:r>
        <w:r w:rsidR="007841A8">
          <w:rPr>
            <w:noProof/>
            <w:webHidden/>
          </w:rPr>
          <w:fldChar w:fldCharType="end"/>
        </w:r>
      </w:hyperlink>
    </w:p>
    <w:p w14:paraId="0AEF349D"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3" w:history="1">
        <w:r w:rsidR="007841A8" w:rsidRPr="009F5C19">
          <w:rPr>
            <w:rStyle w:val="Hyperlink"/>
            <w:noProof/>
          </w:rPr>
          <w:t>Figure 3. An example of a qualitative risk rating matrix where consequence ratings range from ‘insignificant’ (1) to ‘catastrophic’ (5) and likelihoods range from ‘rare’ (E) to ‘almost certain’ (A) (CoA, 2008).</w:t>
        </w:r>
        <w:r w:rsidR="007841A8">
          <w:rPr>
            <w:noProof/>
            <w:webHidden/>
          </w:rPr>
          <w:tab/>
        </w:r>
        <w:r w:rsidR="007841A8">
          <w:rPr>
            <w:noProof/>
            <w:webHidden/>
          </w:rPr>
          <w:fldChar w:fldCharType="begin"/>
        </w:r>
        <w:r w:rsidR="007841A8">
          <w:rPr>
            <w:noProof/>
            <w:webHidden/>
          </w:rPr>
          <w:instrText xml:space="preserve"> PAGEREF _Toc449696293 \h </w:instrText>
        </w:r>
        <w:r w:rsidR="007841A8">
          <w:rPr>
            <w:noProof/>
            <w:webHidden/>
          </w:rPr>
        </w:r>
        <w:r w:rsidR="007841A8">
          <w:rPr>
            <w:noProof/>
            <w:webHidden/>
          </w:rPr>
          <w:fldChar w:fldCharType="separate"/>
        </w:r>
        <w:r w:rsidR="00C52E30">
          <w:rPr>
            <w:noProof/>
            <w:webHidden/>
          </w:rPr>
          <w:t>7</w:t>
        </w:r>
        <w:r w:rsidR="007841A8">
          <w:rPr>
            <w:noProof/>
            <w:webHidden/>
          </w:rPr>
          <w:fldChar w:fldCharType="end"/>
        </w:r>
      </w:hyperlink>
    </w:p>
    <w:p w14:paraId="15C21DD7"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4" w:history="1">
        <w:r w:rsidR="007841A8" w:rsidRPr="009F5C19">
          <w:rPr>
            <w:rStyle w:val="Hyperlink"/>
            <w:noProof/>
          </w:rPr>
          <w:t>Figure 4. (a) Conceptual example of a deterministic approach to hypothesis testing of a threshold exceedance problem: a single value is predicted, which does not exceed the permitted threshold level. (b) Conceptual example of a probabilistic approach to hypothesis testing of a threshold exceedance problem: a statistical distribution of many predicted values is produced, from which a small (low probability) subset exceed the permitted threshold level.</w:t>
        </w:r>
        <w:r w:rsidR="007841A8">
          <w:rPr>
            <w:noProof/>
            <w:webHidden/>
          </w:rPr>
          <w:tab/>
        </w:r>
        <w:r w:rsidR="007841A8">
          <w:rPr>
            <w:noProof/>
            <w:webHidden/>
          </w:rPr>
          <w:fldChar w:fldCharType="begin"/>
        </w:r>
        <w:r w:rsidR="007841A8">
          <w:rPr>
            <w:noProof/>
            <w:webHidden/>
          </w:rPr>
          <w:instrText xml:space="preserve"> PAGEREF _Toc449696294 \h </w:instrText>
        </w:r>
        <w:r w:rsidR="007841A8">
          <w:rPr>
            <w:noProof/>
            <w:webHidden/>
          </w:rPr>
        </w:r>
        <w:r w:rsidR="007841A8">
          <w:rPr>
            <w:noProof/>
            <w:webHidden/>
          </w:rPr>
          <w:fldChar w:fldCharType="separate"/>
        </w:r>
        <w:r w:rsidR="00C52E30">
          <w:rPr>
            <w:noProof/>
            <w:webHidden/>
          </w:rPr>
          <w:t>8</w:t>
        </w:r>
        <w:r w:rsidR="007841A8">
          <w:rPr>
            <w:noProof/>
            <w:webHidden/>
          </w:rPr>
          <w:fldChar w:fldCharType="end"/>
        </w:r>
      </w:hyperlink>
    </w:p>
    <w:p w14:paraId="52FF7A6D"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5" w:history="1">
        <w:r w:rsidR="007841A8" w:rsidRPr="009F5C19">
          <w:rPr>
            <w:rStyle w:val="Hyperlink"/>
            <w:noProof/>
          </w:rPr>
          <w:t>Figure 5 Simulated breakthrough in three selected abstraction wells for three models with different geological interpretations illustrated by the W–E cross-sections in the upper right corner. For each abstraction well the prediction uncertainty due to parameter uncertainty is shown with dashed lines for each of the three models (Højberg and Refsgaard 2005)</w:t>
        </w:r>
        <w:r w:rsidR="007841A8">
          <w:rPr>
            <w:noProof/>
            <w:webHidden/>
          </w:rPr>
          <w:tab/>
        </w:r>
        <w:r w:rsidR="007841A8">
          <w:rPr>
            <w:noProof/>
            <w:webHidden/>
          </w:rPr>
          <w:fldChar w:fldCharType="begin"/>
        </w:r>
        <w:r w:rsidR="007841A8">
          <w:rPr>
            <w:noProof/>
            <w:webHidden/>
          </w:rPr>
          <w:instrText xml:space="preserve"> PAGEREF _Toc449696295 \h </w:instrText>
        </w:r>
        <w:r w:rsidR="007841A8">
          <w:rPr>
            <w:noProof/>
            <w:webHidden/>
          </w:rPr>
        </w:r>
        <w:r w:rsidR="007841A8">
          <w:rPr>
            <w:noProof/>
            <w:webHidden/>
          </w:rPr>
          <w:fldChar w:fldCharType="separate"/>
        </w:r>
        <w:r w:rsidR="00C52E30">
          <w:rPr>
            <w:noProof/>
            <w:webHidden/>
          </w:rPr>
          <w:t>10</w:t>
        </w:r>
        <w:r w:rsidR="007841A8">
          <w:rPr>
            <w:noProof/>
            <w:webHidden/>
          </w:rPr>
          <w:fldChar w:fldCharType="end"/>
        </w:r>
      </w:hyperlink>
    </w:p>
    <w:p w14:paraId="2E087FB7"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6" w:history="1">
        <w:r w:rsidR="007841A8" w:rsidRPr="009F5C19">
          <w:rPr>
            <w:rStyle w:val="Hyperlink"/>
            <w:noProof/>
          </w:rPr>
          <w:t>Figure 6 Monte Carlo sampling used for epistemic interval propagation (Swiler et al. 2009)</w:t>
        </w:r>
        <w:r w:rsidR="007841A8">
          <w:rPr>
            <w:noProof/>
            <w:webHidden/>
          </w:rPr>
          <w:tab/>
        </w:r>
        <w:r w:rsidR="007841A8">
          <w:rPr>
            <w:noProof/>
            <w:webHidden/>
          </w:rPr>
          <w:fldChar w:fldCharType="begin"/>
        </w:r>
        <w:r w:rsidR="007841A8">
          <w:rPr>
            <w:noProof/>
            <w:webHidden/>
          </w:rPr>
          <w:instrText xml:space="preserve"> PAGEREF _Toc449696296 \h </w:instrText>
        </w:r>
        <w:r w:rsidR="007841A8">
          <w:rPr>
            <w:noProof/>
            <w:webHidden/>
          </w:rPr>
        </w:r>
        <w:r w:rsidR="007841A8">
          <w:rPr>
            <w:noProof/>
            <w:webHidden/>
          </w:rPr>
          <w:fldChar w:fldCharType="separate"/>
        </w:r>
        <w:r w:rsidR="00C52E30">
          <w:rPr>
            <w:noProof/>
            <w:webHidden/>
          </w:rPr>
          <w:t>11</w:t>
        </w:r>
        <w:r w:rsidR="007841A8">
          <w:rPr>
            <w:noProof/>
            <w:webHidden/>
          </w:rPr>
          <w:fldChar w:fldCharType="end"/>
        </w:r>
      </w:hyperlink>
    </w:p>
    <w:p w14:paraId="17185A56"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7" w:history="1">
        <w:r w:rsidR="007841A8" w:rsidRPr="009F5C19">
          <w:rPr>
            <w:rStyle w:val="Hyperlink"/>
            <w:noProof/>
          </w:rPr>
          <w:t xml:space="preserve">Figure 7 Cumulative distribution function (CDF) and complementary cumulative distribution function (CCDF) for variable </w:t>
        </w:r>
        <w:r w:rsidR="007841A8" w:rsidRPr="009F5C19">
          <w:rPr>
            <w:rStyle w:val="Hyperlink"/>
            <w:rFonts w:ascii="AdvPS6F0B" w:hAnsi="AdvPS6F0B" w:cs="AdvPS6F0B"/>
            <w:noProof/>
          </w:rPr>
          <w:t xml:space="preserve">v </w:t>
        </w:r>
        <w:r w:rsidR="007841A8" w:rsidRPr="009F5C19">
          <w:rPr>
            <w:rStyle w:val="Hyperlink"/>
            <w:noProof/>
          </w:rPr>
          <w:t>with a triangular distribution on [1, 10] and a mode at 7 (Helton et al. 2004).</w:t>
        </w:r>
        <w:r w:rsidR="007841A8">
          <w:rPr>
            <w:noProof/>
            <w:webHidden/>
          </w:rPr>
          <w:tab/>
        </w:r>
        <w:r w:rsidR="007841A8">
          <w:rPr>
            <w:noProof/>
            <w:webHidden/>
          </w:rPr>
          <w:fldChar w:fldCharType="begin"/>
        </w:r>
        <w:r w:rsidR="007841A8">
          <w:rPr>
            <w:noProof/>
            <w:webHidden/>
          </w:rPr>
          <w:instrText xml:space="preserve"> PAGEREF _Toc449696297 \h </w:instrText>
        </w:r>
        <w:r w:rsidR="007841A8">
          <w:rPr>
            <w:noProof/>
            <w:webHidden/>
          </w:rPr>
        </w:r>
        <w:r w:rsidR="007841A8">
          <w:rPr>
            <w:noProof/>
            <w:webHidden/>
          </w:rPr>
          <w:fldChar w:fldCharType="separate"/>
        </w:r>
        <w:r w:rsidR="00C52E30">
          <w:rPr>
            <w:noProof/>
            <w:webHidden/>
          </w:rPr>
          <w:t>12</w:t>
        </w:r>
        <w:r w:rsidR="007841A8">
          <w:rPr>
            <w:noProof/>
            <w:webHidden/>
          </w:rPr>
          <w:fldChar w:fldCharType="end"/>
        </w:r>
      </w:hyperlink>
    </w:p>
    <w:p w14:paraId="1C4E5A54"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8" w:history="1">
        <w:r w:rsidR="007841A8" w:rsidRPr="009F5C19">
          <w:rPr>
            <w:rStyle w:val="Hyperlink"/>
            <w:noProof/>
          </w:rPr>
          <w:t>Figure 8 Plot of cumulative plausibility function (CPF), cumulative believe function (CBF), cumulative complementary plausibility function (CCPF) and cumulative complementary believe function (CCBF) (Helton et al. 2008).</w:t>
        </w:r>
        <w:r w:rsidR="007841A8">
          <w:rPr>
            <w:noProof/>
            <w:webHidden/>
          </w:rPr>
          <w:tab/>
        </w:r>
        <w:r w:rsidR="007841A8">
          <w:rPr>
            <w:noProof/>
            <w:webHidden/>
          </w:rPr>
          <w:fldChar w:fldCharType="begin"/>
        </w:r>
        <w:r w:rsidR="007841A8">
          <w:rPr>
            <w:noProof/>
            <w:webHidden/>
          </w:rPr>
          <w:instrText xml:space="preserve"> PAGEREF _Toc449696298 \h </w:instrText>
        </w:r>
        <w:r w:rsidR="007841A8">
          <w:rPr>
            <w:noProof/>
            <w:webHidden/>
          </w:rPr>
        </w:r>
        <w:r w:rsidR="007841A8">
          <w:rPr>
            <w:noProof/>
            <w:webHidden/>
          </w:rPr>
          <w:fldChar w:fldCharType="separate"/>
        </w:r>
        <w:r w:rsidR="00C52E30">
          <w:rPr>
            <w:noProof/>
            <w:webHidden/>
          </w:rPr>
          <w:t>12</w:t>
        </w:r>
        <w:r w:rsidR="007841A8">
          <w:rPr>
            <w:noProof/>
            <w:webHidden/>
          </w:rPr>
          <w:fldChar w:fldCharType="end"/>
        </w:r>
      </w:hyperlink>
    </w:p>
    <w:p w14:paraId="04EC0E21"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299" w:history="1">
        <w:r w:rsidR="007841A8" w:rsidRPr="009F5C19">
          <w:rPr>
            <w:rStyle w:val="Hyperlink"/>
            <w:noProof/>
          </w:rPr>
          <w:t>Figure 9 Monte Carlo sampling used for aleatory uncertainty propagation (Swiler et al. 2009)</w:t>
        </w:r>
        <w:r w:rsidR="007841A8">
          <w:rPr>
            <w:noProof/>
            <w:webHidden/>
          </w:rPr>
          <w:tab/>
        </w:r>
        <w:r w:rsidR="007841A8">
          <w:rPr>
            <w:noProof/>
            <w:webHidden/>
          </w:rPr>
          <w:fldChar w:fldCharType="begin"/>
        </w:r>
        <w:r w:rsidR="007841A8">
          <w:rPr>
            <w:noProof/>
            <w:webHidden/>
          </w:rPr>
          <w:instrText xml:space="preserve"> PAGEREF _Toc449696299 \h </w:instrText>
        </w:r>
        <w:r w:rsidR="007841A8">
          <w:rPr>
            <w:noProof/>
            <w:webHidden/>
          </w:rPr>
        </w:r>
        <w:r w:rsidR="007841A8">
          <w:rPr>
            <w:noProof/>
            <w:webHidden/>
          </w:rPr>
          <w:fldChar w:fldCharType="separate"/>
        </w:r>
        <w:r w:rsidR="00C52E30">
          <w:rPr>
            <w:noProof/>
            <w:webHidden/>
          </w:rPr>
          <w:t>13</w:t>
        </w:r>
        <w:r w:rsidR="007841A8">
          <w:rPr>
            <w:noProof/>
            <w:webHidden/>
          </w:rPr>
          <w:fldChar w:fldCharType="end"/>
        </w:r>
      </w:hyperlink>
    </w:p>
    <w:p w14:paraId="6EE6B1A5"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0" w:history="1">
        <w:r w:rsidR="007841A8" w:rsidRPr="009F5C19">
          <w:rPr>
            <w:rStyle w:val="Hyperlink"/>
            <w:noProof/>
          </w:rPr>
          <w:t>Figure 10 Classifications of the uncertainties in structural modelling; (top) interpretation of a geological formation boundary based on ill-defined input data points (i.e. where the contact position itself is uncertain) and resulting uncertainty in the interpreted boundary, (middle) uncertainty of interpolation between and extrapolation away from known data points, (bottom) incomplete knowledge of structures in the subsurface, e.g. does a fault exist or not (Modified by Hall 2012, after Wellman et al. 2010).</w:t>
        </w:r>
        <w:r w:rsidR="007841A8">
          <w:rPr>
            <w:noProof/>
            <w:webHidden/>
          </w:rPr>
          <w:tab/>
        </w:r>
        <w:r w:rsidR="007841A8">
          <w:rPr>
            <w:noProof/>
            <w:webHidden/>
          </w:rPr>
          <w:fldChar w:fldCharType="begin"/>
        </w:r>
        <w:r w:rsidR="007841A8">
          <w:rPr>
            <w:noProof/>
            <w:webHidden/>
          </w:rPr>
          <w:instrText xml:space="preserve"> PAGEREF _Toc449696300 \h </w:instrText>
        </w:r>
        <w:r w:rsidR="007841A8">
          <w:rPr>
            <w:noProof/>
            <w:webHidden/>
          </w:rPr>
        </w:r>
        <w:r w:rsidR="007841A8">
          <w:rPr>
            <w:noProof/>
            <w:webHidden/>
          </w:rPr>
          <w:fldChar w:fldCharType="separate"/>
        </w:r>
        <w:r w:rsidR="00C52E30">
          <w:rPr>
            <w:noProof/>
            <w:webHidden/>
          </w:rPr>
          <w:t>14</w:t>
        </w:r>
        <w:r w:rsidR="007841A8">
          <w:rPr>
            <w:noProof/>
            <w:webHidden/>
          </w:rPr>
          <w:fldChar w:fldCharType="end"/>
        </w:r>
      </w:hyperlink>
    </w:p>
    <w:p w14:paraId="233A06D9"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1" w:history="1">
        <w:r w:rsidR="007841A8" w:rsidRPr="009F5C19">
          <w:rPr>
            <w:rStyle w:val="Hyperlink"/>
            <w:noProof/>
          </w:rPr>
          <w:t>Figure 11. Conceptual models of flow through structured media (Altman et al., 1996).</w:t>
        </w:r>
        <w:r w:rsidR="007841A8">
          <w:rPr>
            <w:noProof/>
            <w:webHidden/>
          </w:rPr>
          <w:tab/>
        </w:r>
        <w:r w:rsidR="007841A8">
          <w:rPr>
            <w:noProof/>
            <w:webHidden/>
          </w:rPr>
          <w:fldChar w:fldCharType="begin"/>
        </w:r>
        <w:r w:rsidR="007841A8">
          <w:rPr>
            <w:noProof/>
            <w:webHidden/>
          </w:rPr>
          <w:instrText xml:space="preserve"> PAGEREF _Toc449696301 \h </w:instrText>
        </w:r>
        <w:r w:rsidR="007841A8">
          <w:rPr>
            <w:noProof/>
            <w:webHidden/>
          </w:rPr>
        </w:r>
        <w:r w:rsidR="007841A8">
          <w:rPr>
            <w:noProof/>
            <w:webHidden/>
          </w:rPr>
          <w:fldChar w:fldCharType="separate"/>
        </w:r>
        <w:r w:rsidR="00C52E30">
          <w:rPr>
            <w:noProof/>
            <w:webHidden/>
          </w:rPr>
          <w:t>19</w:t>
        </w:r>
        <w:r w:rsidR="007841A8">
          <w:rPr>
            <w:noProof/>
            <w:webHidden/>
          </w:rPr>
          <w:fldChar w:fldCharType="end"/>
        </w:r>
      </w:hyperlink>
    </w:p>
    <w:p w14:paraId="042568B6"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2" w:history="1">
        <w:r w:rsidR="007841A8" w:rsidRPr="009F5C19">
          <w:rPr>
            <w:rStyle w:val="Hyperlink"/>
            <w:noProof/>
          </w:rPr>
          <w:t>Figure 12. Comparison of (a) single domain, (b) dual porosity and (c) dual permeability approaches to groundwater flow [after Šimůnek and van Genuchten (2006)]. Symbols are defined as follows: K</w:t>
        </w:r>
        <w:r w:rsidR="007841A8" w:rsidRPr="009F5C19">
          <w:rPr>
            <w:rStyle w:val="Hyperlink"/>
            <w:noProof/>
            <w:vertAlign w:val="subscript"/>
          </w:rPr>
          <w:t>e</w:t>
        </w:r>
        <w:r w:rsidR="007841A8" w:rsidRPr="009F5C19">
          <w:rPr>
            <w:rStyle w:val="Hyperlink"/>
            <w:noProof/>
          </w:rPr>
          <w:t xml:space="preserve"> = equivalent hydraulic conductivity; η</w:t>
        </w:r>
        <w:r w:rsidR="007841A8" w:rsidRPr="009F5C19">
          <w:rPr>
            <w:rStyle w:val="Hyperlink"/>
            <w:noProof/>
            <w:vertAlign w:val="subscript"/>
          </w:rPr>
          <w:t>e</w:t>
        </w:r>
        <w:r w:rsidR="007841A8" w:rsidRPr="009F5C19">
          <w:rPr>
            <w:rStyle w:val="Hyperlink"/>
            <w:noProof/>
          </w:rPr>
          <w:t xml:space="preserve"> equivalent porosity; K</w:t>
        </w:r>
        <w:r w:rsidR="007841A8" w:rsidRPr="009F5C19">
          <w:rPr>
            <w:rStyle w:val="Hyperlink"/>
            <w:noProof/>
            <w:vertAlign w:val="subscript"/>
          </w:rPr>
          <w:t xml:space="preserve">f </w:t>
        </w:r>
        <w:r w:rsidR="007841A8" w:rsidRPr="009F5C19">
          <w:rPr>
            <w:rStyle w:val="Hyperlink"/>
            <w:noProof/>
          </w:rPr>
          <w:t>= fracture conductivity; η</w:t>
        </w:r>
        <w:r w:rsidR="007841A8" w:rsidRPr="009F5C19">
          <w:rPr>
            <w:rStyle w:val="Hyperlink"/>
            <w:noProof/>
            <w:vertAlign w:val="subscript"/>
          </w:rPr>
          <w:t>f</w:t>
        </w:r>
        <w:r w:rsidR="007841A8" w:rsidRPr="009F5C19">
          <w:rPr>
            <w:rStyle w:val="Hyperlink"/>
            <w:noProof/>
          </w:rPr>
          <w:t xml:space="preserve"> = fracture porosity; η</w:t>
        </w:r>
        <w:r w:rsidR="007841A8" w:rsidRPr="009F5C19">
          <w:rPr>
            <w:rStyle w:val="Hyperlink"/>
            <w:noProof/>
            <w:vertAlign w:val="subscript"/>
          </w:rPr>
          <w:t>m</w:t>
        </w:r>
        <w:r w:rsidR="007841A8" w:rsidRPr="009F5C19">
          <w:rPr>
            <w:rStyle w:val="Hyperlink"/>
            <w:noProof/>
          </w:rPr>
          <w:t xml:space="preserve"> = matrix porosity; and K</w:t>
        </w:r>
        <w:r w:rsidR="007841A8" w:rsidRPr="009F5C19">
          <w:rPr>
            <w:rStyle w:val="Hyperlink"/>
            <w:noProof/>
            <w:vertAlign w:val="subscript"/>
          </w:rPr>
          <w:t>m</w:t>
        </w:r>
        <w:r w:rsidR="007841A8" w:rsidRPr="009F5C19">
          <w:rPr>
            <w:rStyle w:val="Hyperlink"/>
            <w:noProof/>
          </w:rPr>
          <w:t xml:space="preserve"> = matrix conductivity.</w:t>
        </w:r>
        <w:r w:rsidR="007841A8">
          <w:rPr>
            <w:noProof/>
            <w:webHidden/>
          </w:rPr>
          <w:tab/>
        </w:r>
        <w:r w:rsidR="007841A8">
          <w:rPr>
            <w:noProof/>
            <w:webHidden/>
          </w:rPr>
          <w:fldChar w:fldCharType="begin"/>
        </w:r>
        <w:r w:rsidR="007841A8">
          <w:rPr>
            <w:noProof/>
            <w:webHidden/>
          </w:rPr>
          <w:instrText xml:space="preserve"> PAGEREF _Toc449696302 \h </w:instrText>
        </w:r>
        <w:r w:rsidR="007841A8">
          <w:rPr>
            <w:noProof/>
            <w:webHidden/>
          </w:rPr>
        </w:r>
        <w:r w:rsidR="007841A8">
          <w:rPr>
            <w:noProof/>
            <w:webHidden/>
          </w:rPr>
          <w:fldChar w:fldCharType="separate"/>
        </w:r>
        <w:r w:rsidR="00C52E30">
          <w:rPr>
            <w:noProof/>
            <w:webHidden/>
          </w:rPr>
          <w:t>20</w:t>
        </w:r>
        <w:r w:rsidR="007841A8">
          <w:rPr>
            <w:noProof/>
            <w:webHidden/>
          </w:rPr>
          <w:fldChar w:fldCharType="end"/>
        </w:r>
      </w:hyperlink>
    </w:p>
    <w:p w14:paraId="2A2EB23C"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3" w:history="1">
        <w:r w:rsidR="007841A8" w:rsidRPr="009F5C19">
          <w:rPr>
            <w:rStyle w:val="Hyperlink"/>
            <w:noProof/>
          </w:rPr>
          <w:t>Figure 13. (a) Schematic illustration of rectangular parallel porous matrix blocks of width of 2a separated by fracture pore system of width 2b (Gerke and van Genuchten, 1993a; 1993b). (b) Schematic model of coal cleat and fracture system (Morad et al., 2008).</w:t>
        </w:r>
        <w:r w:rsidR="007841A8">
          <w:rPr>
            <w:noProof/>
            <w:webHidden/>
          </w:rPr>
          <w:tab/>
        </w:r>
        <w:r w:rsidR="007841A8">
          <w:rPr>
            <w:noProof/>
            <w:webHidden/>
          </w:rPr>
          <w:fldChar w:fldCharType="begin"/>
        </w:r>
        <w:r w:rsidR="007841A8">
          <w:rPr>
            <w:noProof/>
            <w:webHidden/>
          </w:rPr>
          <w:instrText xml:space="preserve"> PAGEREF _Toc449696303 \h </w:instrText>
        </w:r>
        <w:r w:rsidR="007841A8">
          <w:rPr>
            <w:noProof/>
            <w:webHidden/>
          </w:rPr>
        </w:r>
        <w:r w:rsidR="007841A8">
          <w:rPr>
            <w:noProof/>
            <w:webHidden/>
          </w:rPr>
          <w:fldChar w:fldCharType="separate"/>
        </w:r>
        <w:r w:rsidR="00C52E30">
          <w:rPr>
            <w:noProof/>
            <w:webHidden/>
          </w:rPr>
          <w:t>20</w:t>
        </w:r>
        <w:r w:rsidR="007841A8">
          <w:rPr>
            <w:noProof/>
            <w:webHidden/>
          </w:rPr>
          <w:fldChar w:fldCharType="end"/>
        </w:r>
      </w:hyperlink>
    </w:p>
    <w:p w14:paraId="5C787067"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4" w:history="1">
        <w:r w:rsidR="007841A8" w:rsidRPr="009F5C19">
          <w:rPr>
            <w:rStyle w:val="Hyperlink"/>
            <w:noProof/>
          </w:rPr>
          <w:t>Figure 14. Multi-scale conceptualisation of methane gas liberation following depressurisation of the coal seam target formation. Methane desorbs from the surfaces and micropores of the coal matrix, then diffuses through the matrix, migrates into the cleats and fractures, and finally reaches the CSG well (adapted from Al-Jubori et al. 2009).</w:t>
        </w:r>
        <w:r w:rsidR="007841A8">
          <w:rPr>
            <w:noProof/>
            <w:webHidden/>
          </w:rPr>
          <w:tab/>
        </w:r>
        <w:r w:rsidR="007841A8">
          <w:rPr>
            <w:noProof/>
            <w:webHidden/>
          </w:rPr>
          <w:fldChar w:fldCharType="begin"/>
        </w:r>
        <w:r w:rsidR="007841A8">
          <w:rPr>
            <w:noProof/>
            <w:webHidden/>
          </w:rPr>
          <w:instrText xml:space="preserve"> PAGEREF _Toc449696304 \h </w:instrText>
        </w:r>
        <w:r w:rsidR="007841A8">
          <w:rPr>
            <w:noProof/>
            <w:webHidden/>
          </w:rPr>
        </w:r>
        <w:r w:rsidR="007841A8">
          <w:rPr>
            <w:noProof/>
            <w:webHidden/>
          </w:rPr>
          <w:fldChar w:fldCharType="separate"/>
        </w:r>
        <w:r w:rsidR="00C52E30">
          <w:rPr>
            <w:noProof/>
            <w:webHidden/>
          </w:rPr>
          <w:t>21</w:t>
        </w:r>
        <w:r w:rsidR="007841A8">
          <w:rPr>
            <w:noProof/>
            <w:webHidden/>
          </w:rPr>
          <w:fldChar w:fldCharType="end"/>
        </w:r>
      </w:hyperlink>
    </w:p>
    <w:p w14:paraId="137CF9A2"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5" w:history="1">
        <w:r w:rsidR="007841A8" w:rsidRPr="009F5C19">
          <w:rPr>
            <w:rStyle w:val="Hyperlink"/>
            <w:noProof/>
          </w:rPr>
          <w:t>Figure 15. (left) Sorption processes as a function of hydrostatic pressure: sorption processes are described by a nonlinear isotherm (dashed line); adsorption (right arrow) of a constituent due to increased hydrostatic pressure results in an increased sorbed volume; conversely, desorption (left arrow) of a constituent due to reduced hydrostatic pressure results in a reduced sorbed volume [after Wang et al., (2014)]. (right) Nine adsorption isotherm test results from a single 5 m coal seams [Moore, 2012].</w:t>
        </w:r>
        <w:r w:rsidR="007841A8">
          <w:rPr>
            <w:noProof/>
            <w:webHidden/>
          </w:rPr>
          <w:tab/>
        </w:r>
        <w:r w:rsidR="007841A8">
          <w:rPr>
            <w:noProof/>
            <w:webHidden/>
          </w:rPr>
          <w:fldChar w:fldCharType="begin"/>
        </w:r>
        <w:r w:rsidR="007841A8">
          <w:rPr>
            <w:noProof/>
            <w:webHidden/>
          </w:rPr>
          <w:instrText xml:space="preserve"> PAGEREF _Toc449696305 \h </w:instrText>
        </w:r>
        <w:r w:rsidR="007841A8">
          <w:rPr>
            <w:noProof/>
            <w:webHidden/>
          </w:rPr>
        </w:r>
        <w:r w:rsidR="007841A8">
          <w:rPr>
            <w:noProof/>
            <w:webHidden/>
          </w:rPr>
          <w:fldChar w:fldCharType="separate"/>
        </w:r>
        <w:r w:rsidR="00C52E30">
          <w:rPr>
            <w:noProof/>
            <w:webHidden/>
          </w:rPr>
          <w:t>22</w:t>
        </w:r>
        <w:r w:rsidR="007841A8">
          <w:rPr>
            <w:noProof/>
            <w:webHidden/>
          </w:rPr>
          <w:fldChar w:fldCharType="end"/>
        </w:r>
      </w:hyperlink>
    </w:p>
    <w:p w14:paraId="3C818A01"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6" w:history="1">
        <w:r w:rsidR="007841A8" w:rsidRPr="009F5C19">
          <w:rPr>
            <w:rStyle w:val="Hyperlink"/>
            <w:noProof/>
          </w:rPr>
          <w:t>Figure 16. Hysteresis in capillary pressure for the water wet system. The primary drainage and imbibition curves bound the capillary-pressure relationship (S</w:t>
        </w:r>
        <w:r w:rsidR="007841A8" w:rsidRPr="009F5C19">
          <w:rPr>
            <w:rStyle w:val="Hyperlink"/>
            <w:noProof/>
            <w:vertAlign w:val="subscript"/>
          </w:rPr>
          <w:t xml:space="preserve">wi </w:t>
        </w:r>
        <w:r w:rsidR="007841A8" w:rsidRPr="009F5C19">
          <w:rPr>
            <w:rStyle w:val="Hyperlink"/>
            <w:noProof/>
          </w:rPr>
          <w:t>= irreducible water saturation)</w:t>
        </w:r>
        <w:r w:rsidR="007841A8">
          <w:rPr>
            <w:noProof/>
            <w:webHidden/>
          </w:rPr>
          <w:tab/>
        </w:r>
        <w:r w:rsidR="007841A8">
          <w:rPr>
            <w:noProof/>
            <w:webHidden/>
          </w:rPr>
          <w:fldChar w:fldCharType="begin"/>
        </w:r>
        <w:r w:rsidR="007841A8">
          <w:rPr>
            <w:noProof/>
            <w:webHidden/>
          </w:rPr>
          <w:instrText xml:space="preserve"> PAGEREF _Toc449696306 \h </w:instrText>
        </w:r>
        <w:r w:rsidR="007841A8">
          <w:rPr>
            <w:noProof/>
            <w:webHidden/>
          </w:rPr>
        </w:r>
        <w:r w:rsidR="007841A8">
          <w:rPr>
            <w:noProof/>
            <w:webHidden/>
          </w:rPr>
          <w:fldChar w:fldCharType="separate"/>
        </w:r>
        <w:r w:rsidR="00C52E30">
          <w:rPr>
            <w:noProof/>
            <w:webHidden/>
          </w:rPr>
          <w:t>24</w:t>
        </w:r>
        <w:r w:rsidR="007841A8">
          <w:rPr>
            <w:noProof/>
            <w:webHidden/>
          </w:rPr>
          <w:fldChar w:fldCharType="end"/>
        </w:r>
      </w:hyperlink>
    </w:p>
    <w:p w14:paraId="50980D26"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7" w:history="1">
        <w:r w:rsidR="007841A8" w:rsidRPr="009F5C19">
          <w:rPr>
            <w:rStyle w:val="Hyperlink"/>
            <w:noProof/>
          </w:rPr>
          <w:t>Figure 17. (a) Capillary pressure as function of water saturation, and (b) relative permeability for liquid (i.e. water) and gas of plastic Boom clay, Belgium as function of water saturation (Mallants et al., 2007). Clay is assumed to be water wetting. Mathematical models and parameters are defined in Table 2.</w:t>
        </w:r>
        <w:r w:rsidR="007841A8">
          <w:rPr>
            <w:noProof/>
            <w:webHidden/>
          </w:rPr>
          <w:tab/>
        </w:r>
        <w:r w:rsidR="007841A8">
          <w:rPr>
            <w:noProof/>
            <w:webHidden/>
          </w:rPr>
          <w:fldChar w:fldCharType="begin"/>
        </w:r>
        <w:r w:rsidR="007841A8">
          <w:rPr>
            <w:noProof/>
            <w:webHidden/>
          </w:rPr>
          <w:instrText xml:space="preserve"> PAGEREF _Toc449696307 \h </w:instrText>
        </w:r>
        <w:r w:rsidR="007841A8">
          <w:rPr>
            <w:noProof/>
            <w:webHidden/>
          </w:rPr>
        </w:r>
        <w:r w:rsidR="007841A8">
          <w:rPr>
            <w:noProof/>
            <w:webHidden/>
          </w:rPr>
          <w:fldChar w:fldCharType="separate"/>
        </w:r>
        <w:r w:rsidR="00C52E30">
          <w:rPr>
            <w:noProof/>
            <w:webHidden/>
          </w:rPr>
          <w:t>25</w:t>
        </w:r>
        <w:r w:rsidR="007841A8">
          <w:rPr>
            <w:noProof/>
            <w:webHidden/>
          </w:rPr>
          <w:fldChar w:fldCharType="end"/>
        </w:r>
      </w:hyperlink>
    </w:p>
    <w:p w14:paraId="743D3AE6"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8" w:history="1">
        <w:r w:rsidR="007841A8" w:rsidRPr="009F5C19">
          <w:rPr>
            <w:rStyle w:val="Hyperlink"/>
            <w:noProof/>
          </w:rPr>
          <w:t>Figure 18. Example of a coal seam gas production profile, showing gas (red) and water (blue) production and highlighting four production phases: (1) constant water flow with negligible gas flow; (2) decreasing water flow with increasing gas flow, where water flow is dominant; (3) decreasing water flow with increasing gas flow, where gas flow is dominant; and (4) decreasing water flow with decreasing gas flow (after Morad et al., 2008).</w:t>
        </w:r>
        <w:r w:rsidR="007841A8">
          <w:rPr>
            <w:noProof/>
            <w:webHidden/>
          </w:rPr>
          <w:tab/>
        </w:r>
        <w:r w:rsidR="007841A8">
          <w:rPr>
            <w:noProof/>
            <w:webHidden/>
          </w:rPr>
          <w:fldChar w:fldCharType="begin"/>
        </w:r>
        <w:r w:rsidR="007841A8">
          <w:rPr>
            <w:noProof/>
            <w:webHidden/>
          </w:rPr>
          <w:instrText xml:space="preserve"> PAGEREF _Toc449696308 \h </w:instrText>
        </w:r>
        <w:r w:rsidR="007841A8">
          <w:rPr>
            <w:noProof/>
            <w:webHidden/>
          </w:rPr>
        </w:r>
        <w:r w:rsidR="007841A8">
          <w:rPr>
            <w:noProof/>
            <w:webHidden/>
          </w:rPr>
          <w:fldChar w:fldCharType="separate"/>
        </w:r>
        <w:r w:rsidR="00C52E30">
          <w:rPr>
            <w:noProof/>
            <w:webHidden/>
          </w:rPr>
          <w:t>26</w:t>
        </w:r>
        <w:r w:rsidR="007841A8">
          <w:rPr>
            <w:noProof/>
            <w:webHidden/>
          </w:rPr>
          <w:fldChar w:fldCharType="end"/>
        </w:r>
      </w:hyperlink>
    </w:p>
    <w:p w14:paraId="6C09906C"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09" w:history="1">
        <w:r w:rsidR="007841A8" w:rsidRPr="009F5C19">
          <w:rPr>
            <w:rStyle w:val="Hyperlink"/>
            <w:noProof/>
          </w:rPr>
          <w:t>Figure 19. A) Principle of contact angle using oil as non-water wetting phase, surrounded by a water phase. An oil drop (green) surrounded by water (blue) on a water-wet surface (left) forms a bead. The contact angle ϴ is approximately zero. On an oil-wet surface (right), the drop spreads, resulting in a contact angle of about 180°. An intermediate-wet surface (centre) also forms a bead, but the contact angle comes from a force balance among the interfacial tension terms, which are γ</w:t>
        </w:r>
        <w:r w:rsidR="007841A8" w:rsidRPr="009F5C19">
          <w:rPr>
            <w:rStyle w:val="Hyperlink"/>
            <w:noProof/>
            <w:vertAlign w:val="subscript"/>
          </w:rPr>
          <w:t>so</w:t>
        </w:r>
        <w:r w:rsidR="007841A8" w:rsidRPr="009F5C19">
          <w:rPr>
            <w:rStyle w:val="Hyperlink"/>
            <w:noProof/>
          </w:rPr>
          <w:t xml:space="preserve"> and γ</w:t>
        </w:r>
        <w:r w:rsidR="007841A8" w:rsidRPr="009F5C19">
          <w:rPr>
            <w:rStyle w:val="Hyperlink"/>
            <w:noProof/>
            <w:vertAlign w:val="subscript"/>
          </w:rPr>
          <w:t>sw</w:t>
        </w:r>
        <w:r w:rsidR="007841A8" w:rsidRPr="009F5C19">
          <w:rPr>
            <w:rStyle w:val="Hyperlink"/>
            <w:noProof/>
          </w:rPr>
          <w:t xml:space="preserve"> for the surface-oil and surface-water terms, respectively, and γ</w:t>
        </w:r>
        <w:r w:rsidR="007841A8" w:rsidRPr="009F5C19">
          <w:rPr>
            <w:rStyle w:val="Hyperlink"/>
            <w:noProof/>
            <w:vertAlign w:val="subscript"/>
          </w:rPr>
          <w:t>ow</w:t>
        </w:r>
        <w:r w:rsidR="007841A8" w:rsidRPr="009F5C19">
          <w:rPr>
            <w:rStyle w:val="Hyperlink"/>
            <w:noProof/>
          </w:rPr>
          <w:t xml:space="preserve"> for the oil-water term (Abdallah et al., 2007). B) Contact angle using water as the wetting phase, surrounded by an oil phase. C) Contact angle less than 90° for a water-gas system where water is the wetting phase. D) Contact angle greater than 90° for a water-gas system where water is the non-wetting phase.</w:t>
        </w:r>
        <w:r w:rsidR="007841A8">
          <w:rPr>
            <w:noProof/>
            <w:webHidden/>
          </w:rPr>
          <w:tab/>
        </w:r>
        <w:r w:rsidR="007841A8">
          <w:rPr>
            <w:noProof/>
            <w:webHidden/>
          </w:rPr>
          <w:fldChar w:fldCharType="begin"/>
        </w:r>
        <w:r w:rsidR="007841A8">
          <w:rPr>
            <w:noProof/>
            <w:webHidden/>
          </w:rPr>
          <w:instrText xml:space="preserve"> PAGEREF _Toc449696309 \h </w:instrText>
        </w:r>
        <w:r w:rsidR="007841A8">
          <w:rPr>
            <w:noProof/>
            <w:webHidden/>
          </w:rPr>
        </w:r>
        <w:r w:rsidR="007841A8">
          <w:rPr>
            <w:noProof/>
            <w:webHidden/>
          </w:rPr>
          <w:fldChar w:fldCharType="separate"/>
        </w:r>
        <w:r w:rsidR="00C52E30">
          <w:rPr>
            <w:noProof/>
            <w:webHidden/>
          </w:rPr>
          <w:t>27</w:t>
        </w:r>
        <w:r w:rsidR="007841A8">
          <w:rPr>
            <w:noProof/>
            <w:webHidden/>
          </w:rPr>
          <w:fldChar w:fldCharType="end"/>
        </w:r>
      </w:hyperlink>
    </w:p>
    <w:p w14:paraId="45F67DA3"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0" w:history="1">
        <w:r w:rsidR="007841A8" w:rsidRPr="009F5C19">
          <w:rPr>
            <w:rStyle w:val="Hyperlink"/>
            <w:noProof/>
          </w:rPr>
          <w:t>Figure 20. Coal seam permeability as a function of reservoir stress [Enever and Henning (1997) in Pan and Connell (2012)].</w:t>
        </w:r>
        <w:r w:rsidR="007841A8">
          <w:rPr>
            <w:noProof/>
            <w:webHidden/>
          </w:rPr>
          <w:tab/>
        </w:r>
        <w:r w:rsidR="007841A8">
          <w:rPr>
            <w:noProof/>
            <w:webHidden/>
          </w:rPr>
          <w:fldChar w:fldCharType="begin"/>
        </w:r>
        <w:r w:rsidR="007841A8">
          <w:rPr>
            <w:noProof/>
            <w:webHidden/>
          </w:rPr>
          <w:instrText xml:space="preserve"> PAGEREF _Toc449696310 \h </w:instrText>
        </w:r>
        <w:r w:rsidR="007841A8">
          <w:rPr>
            <w:noProof/>
            <w:webHidden/>
          </w:rPr>
        </w:r>
        <w:r w:rsidR="007841A8">
          <w:rPr>
            <w:noProof/>
            <w:webHidden/>
          </w:rPr>
          <w:fldChar w:fldCharType="separate"/>
        </w:r>
        <w:r w:rsidR="00C52E30">
          <w:rPr>
            <w:noProof/>
            <w:webHidden/>
          </w:rPr>
          <w:t>28</w:t>
        </w:r>
        <w:r w:rsidR="007841A8">
          <w:rPr>
            <w:noProof/>
            <w:webHidden/>
          </w:rPr>
          <w:fldChar w:fldCharType="end"/>
        </w:r>
      </w:hyperlink>
    </w:p>
    <w:p w14:paraId="1C3EC08A"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1" w:history="1">
        <w:r w:rsidR="007841A8" w:rsidRPr="009F5C19">
          <w:rPr>
            <w:rStyle w:val="Hyperlink"/>
            <w:noProof/>
          </w:rPr>
          <w:t>Figure 21. Iterative reduction in representative elementary volume (i.e., scale) of observation, from regional scale to pore scale (Weber, 1986).</w:t>
        </w:r>
        <w:r w:rsidR="007841A8">
          <w:rPr>
            <w:noProof/>
            <w:webHidden/>
          </w:rPr>
          <w:tab/>
        </w:r>
        <w:r w:rsidR="007841A8">
          <w:rPr>
            <w:noProof/>
            <w:webHidden/>
          </w:rPr>
          <w:fldChar w:fldCharType="begin"/>
        </w:r>
        <w:r w:rsidR="007841A8">
          <w:rPr>
            <w:noProof/>
            <w:webHidden/>
          </w:rPr>
          <w:instrText xml:space="preserve"> PAGEREF _Toc449696311 \h </w:instrText>
        </w:r>
        <w:r w:rsidR="007841A8">
          <w:rPr>
            <w:noProof/>
            <w:webHidden/>
          </w:rPr>
        </w:r>
        <w:r w:rsidR="007841A8">
          <w:rPr>
            <w:noProof/>
            <w:webHidden/>
          </w:rPr>
          <w:fldChar w:fldCharType="separate"/>
        </w:r>
        <w:r w:rsidR="00C52E30">
          <w:rPr>
            <w:noProof/>
            <w:webHidden/>
          </w:rPr>
          <w:t>30</w:t>
        </w:r>
        <w:r w:rsidR="007841A8">
          <w:rPr>
            <w:noProof/>
            <w:webHidden/>
          </w:rPr>
          <w:fldChar w:fldCharType="end"/>
        </w:r>
      </w:hyperlink>
    </w:p>
    <w:p w14:paraId="2E6D3E4F"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2" w:history="1">
        <w:r w:rsidR="007841A8" w:rsidRPr="009F5C19">
          <w:rPr>
            <w:rStyle w:val="Hyperlink"/>
            <w:noProof/>
          </w:rPr>
          <w:t>Figure 22. Workflow for developing permeability estimates from geophysical wireline logs (GR = gamma ray; SP = sonic potential; DT = sonic log travel time; LLD = Laterolog Deep (resistivity); MSFL = Microspherically Focused Log (resistivity)). Step 1 = applying physical model to estimate porosity. Step 2 = applying empirical model to estimate permeability. Step 3 = vertical upscaling of permeability (Ricard et al., 2014).</w:t>
        </w:r>
        <w:r w:rsidR="007841A8">
          <w:rPr>
            <w:noProof/>
            <w:webHidden/>
          </w:rPr>
          <w:tab/>
        </w:r>
        <w:r w:rsidR="007841A8">
          <w:rPr>
            <w:noProof/>
            <w:webHidden/>
          </w:rPr>
          <w:fldChar w:fldCharType="begin"/>
        </w:r>
        <w:r w:rsidR="007841A8">
          <w:rPr>
            <w:noProof/>
            <w:webHidden/>
          </w:rPr>
          <w:instrText xml:space="preserve"> PAGEREF _Toc449696312 \h </w:instrText>
        </w:r>
        <w:r w:rsidR="007841A8">
          <w:rPr>
            <w:noProof/>
            <w:webHidden/>
          </w:rPr>
        </w:r>
        <w:r w:rsidR="007841A8">
          <w:rPr>
            <w:noProof/>
            <w:webHidden/>
          </w:rPr>
          <w:fldChar w:fldCharType="separate"/>
        </w:r>
        <w:r w:rsidR="00C52E30">
          <w:rPr>
            <w:noProof/>
            <w:webHidden/>
          </w:rPr>
          <w:t>35</w:t>
        </w:r>
        <w:r w:rsidR="007841A8">
          <w:rPr>
            <w:noProof/>
            <w:webHidden/>
          </w:rPr>
          <w:fldChar w:fldCharType="end"/>
        </w:r>
      </w:hyperlink>
    </w:p>
    <w:p w14:paraId="2FFC1DD0"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3" w:history="1">
        <w:r w:rsidR="007841A8" w:rsidRPr="009F5C19">
          <w:rPr>
            <w:rStyle w:val="Hyperlink"/>
            <w:noProof/>
          </w:rPr>
          <w:t>Figure 23. Geophysical wireline logs for porosity estimation. From left to right: natural Gamma ray log (API = American Petroleum Institute units), lithology, bulk density log (RHOB) and neutron porosity log (NPHI), five different estimates of porosity. PHI density = porosity derived from bulk density log; PHI neutron density = porosity derived from both bulk density and neutron log;  PHI neutron = porosity derived from both bulk density and neutron log; PHI neutron sonic = porosity derived from both neutron and sonic log; PHI sonic = porosity derived from sonic log (Ricard et al., 2014).</w:t>
        </w:r>
        <w:r w:rsidR="007841A8">
          <w:rPr>
            <w:noProof/>
            <w:webHidden/>
          </w:rPr>
          <w:tab/>
        </w:r>
        <w:r w:rsidR="007841A8">
          <w:rPr>
            <w:noProof/>
            <w:webHidden/>
          </w:rPr>
          <w:fldChar w:fldCharType="begin"/>
        </w:r>
        <w:r w:rsidR="007841A8">
          <w:rPr>
            <w:noProof/>
            <w:webHidden/>
          </w:rPr>
          <w:instrText xml:space="preserve"> PAGEREF _Toc449696313 \h </w:instrText>
        </w:r>
        <w:r w:rsidR="007841A8">
          <w:rPr>
            <w:noProof/>
            <w:webHidden/>
          </w:rPr>
        </w:r>
        <w:r w:rsidR="007841A8">
          <w:rPr>
            <w:noProof/>
            <w:webHidden/>
          </w:rPr>
          <w:fldChar w:fldCharType="separate"/>
        </w:r>
        <w:r w:rsidR="00C52E30">
          <w:rPr>
            <w:noProof/>
            <w:webHidden/>
          </w:rPr>
          <w:t>36</w:t>
        </w:r>
        <w:r w:rsidR="007841A8">
          <w:rPr>
            <w:noProof/>
            <w:webHidden/>
          </w:rPr>
          <w:fldChar w:fldCharType="end"/>
        </w:r>
      </w:hyperlink>
    </w:p>
    <w:p w14:paraId="7610887B"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4" w:history="1">
        <w:r w:rsidR="007841A8" w:rsidRPr="009F5C19">
          <w:rPr>
            <w:rStyle w:val="Hyperlink"/>
            <w:noProof/>
          </w:rPr>
          <w:t xml:space="preserve">Figure 24. Derivation of formation scale vertical hydraulic conductivity using </w:t>
        </w:r>
        <w:r w:rsidR="007841A8" w:rsidRPr="009F5C19">
          <w:rPr>
            <w:rStyle w:val="Hyperlink"/>
            <w:noProof/>
            <w:vertAlign w:val="superscript"/>
          </w:rPr>
          <w:t>4</w:t>
        </w:r>
        <w:r w:rsidR="007841A8" w:rsidRPr="009F5C19">
          <w:rPr>
            <w:rStyle w:val="Hyperlink"/>
            <w:noProof/>
          </w:rPr>
          <w:t>He concentration profile (Gardner et al., 2012).</w:t>
        </w:r>
        <w:r w:rsidR="007841A8">
          <w:rPr>
            <w:noProof/>
            <w:webHidden/>
          </w:rPr>
          <w:tab/>
        </w:r>
        <w:r w:rsidR="007841A8">
          <w:rPr>
            <w:noProof/>
            <w:webHidden/>
          </w:rPr>
          <w:fldChar w:fldCharType="begin"/>
        </w:r>
        <w:r w:rsidR="007841A8">
          <w:rPr>
            <w:noProof/>
            <w:webHidden/>
          </w:rPr>
          <w:instrText xml:space="preserve"> PAGEREF _Toc449696314 \h </w:instrText>
        </w:r>
        <w:r w:rsidR="007841A8">
          <w:rPr>
            <w:noProof/>
            <w:webHidden/>
          </w:rPr>
        </w:r>
        <w:r w:rsidR="007841A8">
          <w:rPr>
            <w:noProof/>
            <w:webHidden/>
          </w:rPr>
          <w:fldChar w:fldCharType="separate"/>
        </w:r>
        <w:r w:rsidR="00C52E30">
          <w:rPr>
            <w:noProof/>
            <w:webHidden/>
          </w:rPr>
          <w:t>37</w:t>
        </w:r>
        <w:r w:rsidR="007841A8">
          <w:rPr>
            <w:noProof/>
            <w:webHidden/>
          </w:rPr>
          <w:fldChar w:fldCharType="end"/>
        </w:r>
      </w:hyperlink>
    </w:p>
    <w:p w14:paraId="7350C14E"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5" w:history="1">
        <w:r w:rsidR="007841A8" w:rsidRPr="009F5C19">
          <w:rPr>
            <w:rStyle w:val="Hyperlink"/>
            <w:noProof/>
          </w:rPr>
          <w:t>Figure 25. Permeability of crystalline rocks and characteristic scale of measurement (Clauser, 1992).</w:t>
        </w:r>
        <w:r w:rsidR="007841A8">
          <w:rPr>
            <w:noProof/>
            <w:webHidden/>
          </w:rPr>
          <w:tab/>
        </w:r>
        <w:r w:rsidR="007841A8">
          <w:rPr>
            <w:noProof/>
            <w:webHidden/>
          </w:rPr>
          <w:fldChar w:fldCharType="begin"/>
        </w:r>
        <w:r w:rsidR="007841A8">
          <w:rPr>
            <w:noProof/>
            <w:webHidden/>
          </w:rPr>
          <w:instrText xml:space="preserve"> PAGEREF _Toc449696315 \h </w:instrText>
        </w:r>
        <w:r w:rsidR="007841A8">
          <w:rPr>
            <w:noProof/>
            <w:webHidden/>
          </w:rPr>
        </w:r>
        <w:r w:rsidR="007841A8">
          <w:rPr>
            <w:noProof/>
            <w:webHidden/>
          </w:rPr>
          <w:fldChar w:fldCharType="separate"/>
        </w:r>
        <w:r w:rsidR="00C52E30">
          <w:rPr>
            <w:noProof/>
            <w:webHidden/>
          </w:rPr>
          <w:t>38</w:t>
        </w:r>
        <w:r w:rsidR="007841A8">
          <w:rPr>
            <w:noProof/>
            <w:webHidden/>
          </w:rPr>
          <w:fldChar w:fldCharType="end"/>
        </w:r>
      </w:hyperlink>
    </w:p>
    <w:p w14:paraId="7C14B974"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6" w:history="1">
        <w:r w:rsidR="007841A8" w:rsidRPr="009F5C19">
          <w:rPr>
            <w:rStyle w:val="Hyperlink"/>
            <w:noProof/>
          </w:rPr>
          <w:t xml:space="preserve">Figure 26. Left: Effect of sandstone hydraulic conductivity on </w:t>
        </w:r>
        <w:r w:rsidR="007841A8" w:rsidRPr="009F5C19">
          <w:rPr>
            <w:rStyle w:val="Hyperlink"/>
            <w:noProof/>
            <w:vertAlign w:val="superscript"/>
          </w:rPr>
          <w:t>4</w:t>
        </w:r>
        <w:r w:rsidR="007841A8" w:rsidRPr="009F5C19">
          <w:rPr>
            <w:rStyle w:val="Hyperlink"/>
            <w:noProof/>
          </w:rPr>
          <w:t>He concentration at top of Jurassic aquifer along a flow line. Bold line shows reference model (conductivity 2 m.d</w:t>
        </w:r>
        <w:r w:rsidR="007841A8" w:rsidRPr="009F5C19">
          <w:rPr>
            <w:rStyle w:val="Hyperlink"/>
            <w:noProof/>
            <w:vertAlign w:val="superscript"/>
          </w:rPr>
          <w:t>-1</w:t>
        </w:r>
        <w:r w:rsidR="007841A8" w:rsidRPr="009F5C19">
          <w:rPr>
            <w:rStyle w:val="Hyperlink"/>
            <w:noProof/>
          </w:rPr>
          <w:t>); fine lines show calculation results for conductivity of 0.5 and 10 m.d</w:t>
        </w:r>
        <w:r w:rsidR="007841A8" w:rsidRPr="009F5C19">
          <w:rPr>
            <w:rStyle w:val="Hyperlink"/>
            <w:noProof/>
            <w:vertAlign w:val="superscript"/>
          </w:rPr>
          <w:t>-1</w:t>
        </w:r>
        <w:r w:rsidR="007841A8" w:rsidRPr="009F5C19">
          <w:rPr>
            <w:rStyle w:val="Hyperlink"/>
            <w:noProof/>
          </w:rPr>
          <w:t xml:space="preserve">. Right:  Effect of aquitard diffusion coefficient on </w:t>
        </w:r>
        <w:r w:rsidR="007841A8" w:rsidRPr="009F5C19">
          <w:rPr>
            <w:rStyle w:val="Hyperlink"/>
            <w:noProof/>
            <w:vertAlign w:val="superscript"/>
          </w:rPr>
          <w:t>4</w:t>
        </w:r>
        <w:r w:rsidR="007841A8" w:rsidRPr="009F5C19">
          <w:rPr>
            <w:rStyle w:val="Hyperlink"/>
            <w:noProof/>
          </w:rPr>
          <w:t>He concentration at top of Jurassic aquifer along flow line. Bold lines show reference model (diffusion coefficient 10</w:t>
        </w:r>
        <w:r w:rsidR="007841A8" w:rsidRPr="009F5C19">
          <w:rPr>
            <w:rStyle w:val="Hyperlink"/>
            <w:noProof/>
            <w:vertAlign w:val="superscript"/>
          </w:rPr>
          <w:t>-6</w:t>
        </w:r>
        <w:r w:rsidR="007841A8" w:rsidRPr="009F5C19">
          <w:rPr>
            <w:rStyle w:val="Hyperlink"/>
            <w:noProof/>
          </w:rPr>
          <w:t xml:space="preserve"> cm</w:t>
        </w:r>
        <w:r w:rsidR="007841A8" w:rsidRPr="009F5C19">
          <w:rPr>
            <w:rStyle w:val="Hyperlink"/>
            <w:noProof/>
            <w:vertAlign w:val="superscript"/>
          </w:rPr>
          <w:t>2</w:t>
        </w:r>
        <w:r w:rsidR="007841A8" w:rsidRPr="009F5C19">
          <w:rPr>
            <w:rStyle w:val="Hyperlink"/>
            <w:noProof/>
          </w:rPr>
          <w:t>.s</w:t>
        </w:r>
        <w:r w:rsidR="007841A8" w:rsidRPr="009F5C19">
          <w:rPr>
            <w:rStyle w:val="Hyperlink"/>
            <w:noProof/>
            <w:vertAlign w:val="superscript"/>
          </w:rPr>
          <w:t>-1</w:t>
        </w:r>
        <w:r w:rsidR="007841A8" w:rsidRPr="009F5C19">
          <w:rPr>
            <w:rStyle w:val="Hyperlink"/>
            <w:noProof/>
          </w:rPr>
          <w:t>); fine lines show calculation results for coefficient of 0.1x10</w:t>
        </w:r>
        <w:r w:rsidR="007841A8" w:rsidRPr="009F5C19">
          <w:rPr>
            <w:rStyle w:val="Hyperlink"/>
            <w:noProof/>
            <w:vertAlign w:val="superscript"/>
          </w:rPr>
          <w:t>-6</w:t>
        </w:r>
        <w:r w:rsidR="007841A8" w:rsidRPr="009F5C19">
          <w:rPr>
            <w:rStyle w:val="Hyperlink"/>
            <w:noProof/>
          </w:rPr>
          <w:t>, 3x10</w:t>
        </w:r>
        <w:r w:rsidR="007841A8" w:rsidRPr="009F5C19">
          <w:rPr>
            <w:rStyle w:val="Hyperlink"/>
            <w:noProof/>
            <w:vertAlign w:val="superscript"/>
          </w:rPr>
          <w:t>-6</w:t>
        </w:r>
        <w:r w:rsidR="007841A8" w:rsidRPr="009F5C19">
          <w:rPr>
            <w:rStyle w:val="Hyperlink"/>
            <w:noProof/>
          </w:rPr>
          <w:t>, and 10x10</w:t>
        </w:r>
        <w:r w:rsidR="007841A8" w:rsidRPr="009F5C19">
          <w:rPr>
            <w:rStyle w:val="Hyperlink"/>
            <w:noProof/>
            <w:vertAlign w:val="superscript"/>
          </w:rPr>
          <w:t>-6</w:t>
        </w:r>
        <w:r w:rsidR="007841A8" w:rsidRPr="009F5C19">
          <w:rPr>
            <w:rStyle w:val="Hyperlink"/>
            <w:noProof/>
          </w:rPr>
          <w:t xml:space="preserve"> cm</w:t>
        </w:r>
        <w:r w:rsidR="007841A8" w:rsidRPr="009F5C19">
          <w:rPr>
            <w:rStyle w:val="Hyperlink"/>
            <w:noProof/>
            <w:vertAlign w:val="superscript"/>
          </w:rPr>
          <w:t>2</w:t>
        </w:r>
        <w:r w:rsidR="007841A8" w:rsidRPr="009F5C19">
          <w:rPr>
            <w:rStyle w:val="Hyperlink"/>
            <w:noProof/>
          </w:rPr>
          <w:t>.s</w:t>
        </w:r>
        <w:r w:rsidR="007841A8" w:rsidRPr="009F5C19">
          <w:rPr>
            <w:rStyle w:val="Hyperlink"/>
            <w:noProof/>
            <w:vertAlign w:val="superscript"/>
          </w:rPr>
          <w:t>-1</w:t>
        </w:r>
        <w:r w:rsidR="007841A8" w:rsidRPr="009F5C19">
          <w:rPr>
            <w:rStyle w:val="Hyperlink"/>
            <w:noProof/>
          </w:rPr>
          <w:t xml:space="preserve"> (Bethke et al., 1999).</w:t>
        </w:r>
        <w:r w:rsidR="007841A8">
          <w:rPr>
            <w:noProof/>
            <w:webHidden/>
          </w:rPr>
          <w:tab/>
        </w:r>
        <w:r w:rsidR="007841A8">
          <w:rPr>
            <w:noProof/>
            <w:webHidden/>
          </w:rPr>
          <w:fldChar w:fldCharType="begin"/>
        </w:r>
        <w:r w:rsidR="007841A8">
          <w:rPr>
            <w:noProof/>
            <w:webHidden/>
          </w:rPr>
          <w:instrText xml:space="preserve"> PAGEREF _Toc449696316 \h </w:instrText>
        </w:r>
        <w:r w:rsidR="007841A8">
          <w:rPr>
            <w:noProof/>
            <w:webHidden/>
          </w:rPr>
        </w:r>
        <w:r w:rsidR="007841A8">
          <w:rPr>
            <w:noProof/>
            <w:webHidden/>
          </w:rPr>
          <w:fldChar w:fldCharType="separate"/>
        </w:r>
        <w:r w:rsidR="00C52E30">
          <w:rPr>
            <w:noProof/>
            <w:webHidden/>
          </w:rPr>
          <w:t>38</w:t>
        </w:r>
        <w:r w:rsidR="007841A8">
          <w:rPr>
            <w:noProof/>
            <w:webHidden/>
          </w:rPr>
          <w:fldChar w:fldCharType="end"/>
        </w:r>
      </w:hyperlink>
    </w:p>
    <w:p w14:paraId="421B9B8A"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7" w:history="1">
        <w:r w:rsidR="007841A8" w:rsidRPr="009F5C19">
          <w:rPr>
            <w:rStyle w:val="Hyperlink"/>
            <w:noProof/>
          </w:rPr>
          <w:t>Figure 27. Overview of hydraulic conductivity values (m/s) for the Boom Clay aquitard (Putte and Terhagen Members at the Mol site). Vertical bars represent the 95% confidence interval (Yu et al., 2013).</w:t>
        </w:r>
        <w:r w:rsidR="007841A8">
          <w:rPr>
            <w:noProof/>
            <w:webHidden/>
          </w:rPr>
          <w:tab/>
        </w:r>
        <w:r w:rsidR="007841A8">
          <w:rPr>
            <w:noProof/>
            <w:webHidden/>
          </w:rPr>
          <w:fldChar w:fldCharType="begin"/>
        </w:r>
        <w:r w:rsidR="007841A8">
          <w:rPr>
            <w:noProof/>
            <w:webHidden/>
          </w:rPr>
          <w:instrText xml:space="preserve"> PAGEREF _Toc449696317 \h </w:instrText>
        </w:r>
        <w:r w:rsidR="007841A8">
          <w:rPr>
            <w:noProof/>
            <w:webHidden/>
          </w:rPr>
        </w:r>
        <w:r w:rsidR="007841A8">
          <w:rPr>
            <w:noProof/>
            <w:webHidden/>
          </w:rPr>
          <w:fldChar w:fldCharType="separate"/>
        </w:r>
        <w:r w:rsidR="00C52E30">
          <w:rPr>
            <w:noProof/>
            <w:webHidden/>
          </w:rPr>
          <w:t>39</w:t>
        </w:r>
        <w:r w:rsidR="007841A8">
          <w:rPr>
            <w:noProof/>
            <w:webHidden/>
          </w:rPr>
          <w:fldChar w:fldCharType="end"/>
        </w:r>
      </w:hyperlink>
    </w:p>
    <w:p w14:paraId="382AD579"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8" w:history="1">
        <w:r w:rsidR="007841A8" w:rsidRPr="009F5C19">
          <w:rPr>
            <w:rStyle w:val="Hyperlink"/>
            <w:noProof/>
          </w:rPr>
          <w:t>Figure 28. Representative Elementary Volumes at various spatial scales (Hall 2012, modified from Ringrose et al. 2008); SEM = Scanning Electron Microscopy, TLM = Time-Lapse Magnetic resonance sounding; VSP = Vertical Seismic Profiling; Grav-Mag = gravity and magnetic data.</w:t>
        </w:r>
        <w:r w:rsidR="007841A8">
          <w:rPr>
            <w:noProof/>
            <w:webHidden/>
          </w:rPr>
          <w:tab/>
        </w:r>
        <w:r w:rsidR="007841A8">
          <w:rPr>
            <w:noProof/>
            <w:webHidden/>
          </w:rPr>
          <w:fldChar w:fldCharType="begin"/>
        </w:r>
        <w:r w:rsidR="007841A8">
          <w:rPr>
            <w:noProof/>
            <w:webHidden/>
          </w:rPr>
          <w:instrText xml:space="preserve"> PAGEREF _Toc449696318 \h </w:instrText>
        </w:r>
        <w:r w:rsidR="007841A8">
          <w:rPr>
            <w:noProof/>
            <w:webHidden/>
          </w:rPr>
        </w:r>
        <w:r w:rsidR="007841A8">
          <w:rPr>
            <w:noProof/>
            <w:webHidden/>
          </w:rPr>
          <w:fldChar w:fldCharType="separate"/>
        </w:r>
        <w:r w:rsidR="00C52E30">
          <w:rPr>
            <w:noProof/>
            <w:webHidden/>
          </w:rPr>
          <w:t>41</w:t>
        </w:r>
        <w:r w:rsidR="007841A8">
          <w:rPr>
            <w:noProof/>
            <w:webHidden/>
          </w:rPr>
          <w:fldChar w:fldCharType="end"/>
        </w:r>
      </w:hyperlink>
    </w:p>
    <w:p w14:paraId="5E4C62B7"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19" w:history="1">
        <w:r w:rsidR="007841A8" w:rsidRPr="009F5C19">
          <w:rPr>
            <w:rStyle w:val="Hyperlink"/>
            <w:noProof/>
          </w:rPr>
          <w:t>Figure 29. Three-dimensional distribution of (a) hard data (hydrofacies 1 through 7 are dark blue through orange) and (b) hard data with soft data included (hydrofacies 1 through 8 are dark blue through red) (McKenna and Poeter, 1995).</w:t>
        </w:r>
        <w:r w:rsidR="007841A8">
          <w:rPr>
            <w:noProof/>
            <w:webHidden/>
          </w:rPr>
          <w:tab/>
        </w:r>
        <w:r w:rsidR="007841A8">
          <w:rPr>
            <w:noProof/>
            <w:webHidden/>
          </w:rPr>
          <w:fldChar w:fldCharType="begin"/>
        </w:r>
        <w:r w:rsidR="007841A8">
          <w:rPr>
            <w:noProof/>
            <w:webHidden/>
          </w:rPr>
          <w:instrText xml:space="preserve"> PAGEREF _Toc449696319 \h </w:instrText>
        </w:r>
        <w:r w:rsidR="007841A8">
          <w:rPr>
            <w:noProof/>
            <w:webHidden/>
          </w:rPr>
        </w:r>
        <w:r w:rsidR="007841A8">
          <w:rPr>
            <w:noProof/>
            <w:webHidden/>
          </w:rPr>
          <w:fldChar w:fldCharType="separate"/>
        </w:r>
        <w:r w:rsidR="00C52E30">
          <w:rPr>
            <w:noProof/>
            <w:webHidden/>
          </w:rPr>
          <w:t>42</w:t>
        </w:r>
        <w:r w:rsidR="007841A8">
          <w:rPr>
            <w:noProof/>
            <w:webHidden/>
          </w:rPr>
          <w:fldChar w:fldCharType="end"/>
        </w:r>
      </w:hyperlink>
    </w:p>
    <w:p w14:paraId="3373E591"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0" w:history="1">
        <w:r w:rsidR="007841A8" w:rsidRPr="009F5C19">
          <w:rPr>
            <w:rStyle w:val="Hyperlink"/>
            <w:noProof/>
          </w:rPr>
          <w:t>Figure 30. Groundwater model performance expressed as Average Absolute (Hydraulic) Head Deviation; i.e. the absolute difference between modelled and observed hydraulic head values. Distributions of average absolute head deviations for (a) the hard data and (b) the hard/soft data realizations resulting from forward groundwater flow modelling using field estimates of K and distributions of average absolute head deviation after inverse parameter estimation for (c) the hard data and (d) the hard/soft data realization (McKenna and Poeter, 1995).</w:t>
        </w:r>
        <w:r w:rsidR="007841A8">
          <w:rPr>
            <w:noProof/>
            <w:webHidden/>
          </w:rPr>
          <w:tab/>
        </w:r>
        <w:r w:rsidR="007841A8">
          <w:rPr>
            <w:noProof/>
            <w:webHidden/>
          </w:rPr>
          <w:fldChar w:fldCharType="begin"/>
        </w:r>
        <w:r w:rsidR="007841A8">
          <w:rPr>
            <w:noProof/>
            <w:webHidden/>
          </w:rPr>
          <w:instrText xml:space="preserve"> PAGEREF _Toc449696320 \h </w:instrText>
        </w:r>
        <w:r w:rsidR="007841A8">
          <w:rPr>
            <w:noProof/>
            <w:webHidden/>
          </w:rPr>
        </w:r>
        <w:r w:rsidR="007841A8">
          <w:rPr>
            <w:noProof/>
            <w:webHidden/>
          </w:rPr>
          <w:fldChar w:fldCharType="separate"/>
        </w:r>
        <w:r w:rsidR="00C52E30">
          <w:rPr>
            <w:noProof/>
            <w:webHidden/>
          </w:rPr>
          <w:t>43</w:t>
        </w:r>
        <w:r w:rsidR="007841A8">
          <w:rPr>
            <w:noProof/>
            <w:webHidden/>
          </w:rPr>
          <w:fldChar w:fldCharType="end"/>
        </w:r>
      </w:hyperlink>
    </w:p>
    <w:p w14:paraId="003AB26A"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1" w:history="1">
        <w:r w:rsidR="007841A8" w:rsidRPr="009F5C19">
          <w:rPr>
            <w:rStyle w:val="Hyperlink"/>
            <w:noProof/>
          </w:rPr>
          <w:t>Figure 31. Box and whisker plots of hydraulic conductivity estimates for (a) the 21 hard data and (b) the 19 hard/soft data realizations. The dashed lines indicate the median, the ends of the box are the 25th and 75th quartiles, and the ends of the whiskers are the minimum and maximum of the distribution. Values next to the whiskers are the standard deviations (McKenna and Poeter, 1995).</w:t>
        </w:r>
        <w:r w:rsidR="007841A8">
          <w:rPr>
            <w:noProof/>
            <w:webHidden/>
          </w:rPr>
          <w:tab/>
        </w:r>
        <w:r w:rsidR="007841A8">
          <w:rPr>
            <w:noProof/>
            <w:webHidden/>
          </w:rPr>
          <w:fldChar w:fldCharType="begin"/>
        </w:r>
        <w:r w:rsidR="007841A8">
          <w:rPr>
            <w:noProof/>
            <w:webHidden/>
          </w:rPr>
          <w:instrText xml:space="preserve"> PAGEREF _Toc449696321 \h </w:instrText>
        </w:r>
        <w:r w:rsidR="007841A8">
          <w:rPr>
            <w:noProof/>
            <w:webHidden/>
          </w:rPr>
        </w:r>
        <w:r w:rsidR="007841A8">
          <w:rPr>
            <w:noProof/>
            <w:webHidden/>
          </w:rPr>
          <w:fldChar w:fldCharType="separate"/>
        </w:r>
        <w:r w:rsidR="00C52E30">
          <w:rPr>
            <w:noProof/>
            <w:webHidden/>
          </w:rPr>
          <w:t>44</w:t>
        </w:r>
        <w:r w:rsidR="007841A8">
          <w:rPr>
            <w:noProof/>
            <w:webHidden/>
          </w:rPr>
          <w:fldChar w:fldCharType="end"/>
        </w:r>
      </w:hyperlink>
    </w:p>
    <w:p w14:paraId="66DB2B9A"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2" w:history="1">
        <w:r w:rsidR="007841A8" w:rsidRPr="009F5C19">
          <w:rPr>
            <w:rStyle w:val="Hyperlink"/>
            <w:noProof/>
          </w:rPr>
          <w:t>Figure 32. Four typical boundary conditions used to estimate block conductivity in 2-D. Arrows indicate the (negative) mean head gradient induced by the prescribed head boundary conditions, and the shapes on the sides of the block indicate the magnitude of the prescribed heads given by tilting planes with gradients opposite to the arrows (Zhou et al., 2010).</w:t>
        </w:r>
        <w:r w:rsidR="007841A8">
          <w:rPr>
            <w:noProof/>
            <w:webHidden/>
          </w:rPr>
          <w:tab/>
        </w:r>
        <w:r w:rsidR="007841A8">
          <w:rPr>
            <w:noProof/>
            <w:webHidden/>
          </w:rPr>
          <w:fldChar w:fldCharType="begin"/>
        </w:r>
        <w:r w:rsidR="007841A8">
          <w:rPr>
            <w:noProof/>
            <w:webHidden/>
          </w:rPr>
          <w:instrText xml:space="preserve"> PAGEREF _Toc449696322 \h </w:instrText>
        </w:r>
        <w:r w:rsidR="007841A8">
          <w:rPr>
            <w:noProof/>
            <w:webHidden/>
          </w:rPr>
        </w:r>
        <w:r w:rsidR="007841A8">
          <w:rPr>
            <w:noProof/>
            <w:webHidden/>
          </w:rPr>
          <w:fldChar w:fldCharType="separate"/>
        </w:r>
        <w:r w:rsidR="00C52E30">
          <w:rPr>
            <w:noProof/>
            <w:webHidden/>
          </w:rPr>
          <w:t>46</w:t>
        </w:r>
        <w:r w:rsidR="007841A8">
          <w:rPr>
            <w:noProof/>
            <w:webHidden/>
          </w:rPr>
          <w:fldChar w:fldCharType="end"/>
        </w:r>
      </w:hyperlink>
    </w:p>
    <w:p w14:paraId="01249B67"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3" w:history="1">
        <w:r w:rsidR="007841A8" w:rsidRPr="009F5C19">
          <w:rPr>
            <w:rStyle w:val="Hyperlink"/>
            <w:noProof/>
          </w:rPr>
          <w:t>Figure 33. Categorisation of numerical upscaling approaches [after Falivene et al., (2007)]</w:t>
        </w:r>
        <w:r w:rsidR="007841A8">
          <w:rPr>
            <w:noProof/>
            <w:webHidden/>
          </w:rPr>
          <w:tab/>
        </w:r>
        <w:r w:rsidR="007841A8">
          <w:rPr>
            <w:noProof/>
            <w:webHidden/>
          </w:rPr>
          <w:fldChar w:fldCharType="begin"/>
        </w:r>
        <w:r w:rsidR="007841A8">
          <w:rPr>
            <w:noProof/>
            <w:webHidden/>
          </w:rPr>
          <w:instrText xml:space="preserve"> PAGEREF _Toc449696323 \h </w:instrText>
        </w:r>
        <w:r w:rsidR="007841A8">
          <w:rPr>
            <w:noProof/>
            <w:webHidden/>
          </w:rPr>
        </w:r>
        <w:r w:rsidR="007841A8">
          <w:rPr>
            <w:noProof/>
            <w:webHidden/>
          </w:rPr>
          <w:fldChar w:fldCharType="separate"/>
        </w:r>
        <w:r w:rsidR="00C52E30">
          <w:rPr>
            <w:noProof/>
            <w:webHidden/>
          </w:rPr>
          <w:t>47</w:t>
        </w:r>
        <w:r w:rsidR="007841A8">
          <w:rPr>
            <w:noProof/>
            <w:webHidden/>
          </w:rPr>
          <w:fldChar w:fldCharType="end"/>
        </w:r>
      </w:hyperlink>
    </w:p>
    <w:p w14:paraId="746A61DB"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4" w:history="1">
        <w:r w:rsidR="007841A8" w:rsidRPr="009F5C19">
          <w:rPr>
            <w:rStyle w:val="Hyperlink"/>
            <w:noProof/>
          </w:rPr>
          <w:t>Figure 34. (left) Example semivariogram used in two-point geostatistical approaches to characterise the structure of spatial variability. (right) Example of a spatially distributed parameter field generated stochastically using the variogram from the left panel (Koltermann and Gorelick, 1996).</w:t>
        </w:r>
        <w:r w:rsidR="007841A8">
          <w:rPr>
            <w:noProof/>
            <w:webHidden/>
          </w:rPr>
          <w:tab/>
        </w:r>
        <w:r w:rsidR="007841A8">
          <w:rPr>
            <w:noProof/>
            <w:webHidden/>
          </w:rPr>
          <w:fldChar w:fldCharType="begin"/>
        </w:r>
        <w:r w:rsidR="007841A8">
          <w:rPr>
            <w:noProof/>
            <w:webHidden/>
          </w:rPr>
          <w:instrText xml:space="preserve"> PAGEREF _Toc449696324 \h </w:instrText>
        </w:r>
        <w:r w:rsidR="007841A8">
          <w:rPr>
            <w:noProof/>
            <w:webHidden/>
          </w:rPr>
        </w:r>
        <w:r w:rsidR="007841A8">
          <w:rPr>
            <w:noProof/>
            <w:webHidden/>
          </w:rPr>
          <w:fldChar w:fldCharType="separate"/>
        </w:r>
        <w:r w:rsidR="00C52E30">
          <w:rPr>
            <w:noProof/>
            <w:webHidden/>
          </w:rPr>
          <w:t>48</w:t>
        </w:r>
        <w:r w:rsidR="007841A8">
          <w:rPr>
            <w:noProof/>
            <w:webHidden/>
          </w:rPr>
          <w:fldChar w:fldCharType="end"/>
        </w:r>
      </w:hyperlink>
    </w:p>
    <w:p w14:paraId="30390B8B"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5" w:history="1">
        <w:r w:rsidR="007841A8" w:rsidRPr="009F5C19">
          <w:rPr>
            <w:rStyle w:val="Hyperlink"/>
            <w:noProof/>
          </w:rPr>
          <w:t>Figure 35. (top) Interpreted photomosaic of a quarry wall of Brussels Sands showing silt facies consisting of clay-rich bottomsets and distinct mud drapes in black; grey background consists of sand facies. Height of quarry wall is approximately 4–5 m. (bottom) Training images of 30 × 30 m (360,000 grid nodes each 0.05 × 0.05 m) used in a multiple point statistics simulation of silt and sand facies (white refers to sand facies, black refers to silt facies) (Huysmans and Dassargues, 2009).</w:t>
        </w:r>
        <w:r w:rsidR="007841A8">
          <w:rPr>
            <w:noProof/>
            <w:webHidden/>
          </w:rPr>
          <w:tab/>
        </w:r>
        <w:r w:rsidR="007841A8">
          <w:rPr>
            <w:noProof/>
            <w:webHidden/>
          </w:rPr>
          <w:fldChar w:fldCharType="begin"/>
        </w:r>
        <w:r w:rsidR="007841A8">
          <w:rPr>
            <w:noProof/>
            <w:webHidden/>
          </w:rPr>
          <w:instrText xml:space="preserve"> PAGEREF _Toc449696325 \h </w:instrText>
        </w:r>
        <w:r w:rsidR="007841A8">
          <w:rPr>
            <w:noProof/>
            <w:webHidden/>
          </w:rPr>
        </w:r>
        <w:r w:rsidR="007841A8">
          <w:rPr>
            <w:noProof/>
            <w:webHidden/>
          </w:rPr>
          <w:fldChar w:fldCharType="separate"/>
        </w:r>
        <w:r w:rsidR="00C52E30">
          <w:rPr>
            <w:noProof/>
            <w:webHidden/>
          </w:rPr>
          <w:t>50</w:t>
        </w:r>
        <w:r w:rsidR="007841A8">
          <w:rPr>
            <w:noProof/>
            <w:webHidden/>
          </w:rPr>
          <w:fldChar w:fldCharType="end"/>
        </w:r>
      </w:hyperlink>
    </w:p>
    <w:p w14:paraId="177C919D"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6" w:history="1">
        <w:r w:rsidR="007841A8" w:rsidRPr="009F5C19">
          <w:rPr>
            <w:rStyle w:val="Hyperlink"/>
            <w:noProof/>
          </w:rPr>
          <w:t>Figure 36. (a) Example SNESIM facies realisations consisting of 40,000 cells of 0.05 × 0.05 m (white refers to sand facies, black refers to silt facies); (b) corresponding hydraulic conductivity K (m.s</w:t>
        </w:r>
        <w:r w:rsidR="007841A8" w:rsidRPr="009F5C19">
          <w:rPr>
            <w:rStyle w:val="Hyperlink"/>
            <w:noProof/>
            <w:vertAlign w:val="superscript"/>
          </w:rPr>
          <w:t>-1</w:t>
        </w:r>
        <w:r w:rsidR="007841A8" w:rsidRPr="009F5C19">
          <w:rPr>
            <w:rStyle w:val="Hyperlink"/>
            <w:noProof/>
          </w:rPr>
          <w:t>) realisations based on K histograms and variograms for both facies; (c) SGSIM hydraulic conductivity K (m.s</w:t>
        </w:r>
        <w:r w:rsidR="007841A8" w:rsidRPr="009F5C19">
          <w:rPr>
            <w:rStyle w:val="Hyperlink"/>
            <w:noProof/>
            <w:vertAlign w:val="superscript"/>
          </w:rPr>
          <w:t>-1</w:t>
        </w:r>
        <w:r w:rsidR="007841A8" w:rsidRPr="009F5C19">
          <w:rPr>
            <w:rStyle w:val="Hyperlink"/>
            <w:noProof/>
          </w:rPr>
          <w:t>) realisations based on standard variograms without accounting for facies (Huysmans and Dassargues, 2009).</w:t>
        </w:r>
        <w:r w:rsidR="007841A8">
          <w:rPr>
            <w:noProof/>
            <w:webHidden/>
          </w:rPr>
          <w:tab/>
        </w:r>
        <w:r w:rsidR="007841A8">
          <w:rPr>
            <w:noProof/>
            <w:webHidden/>
          </w:rPr>
          <w:fldChar w:fldCharType="begin"/>
        </w:r>
        <w:r w:rsidR="007841A8">
          <w:rPr>
            <w:noProof/>
            <w:webHidden/>
          </w:rPr>
          <w:instrText xml:space="preserve"> PAGEREF _Toc449696326 \h </w:instrText>
        </w:r>
        <w:r w:rsidR="007841A8">
          <w:rPr>
            <w:noProof/>
            <w:webHidden/>
          </w:rPr>
        </w:r>
        <w:r w:rsidR="007841A8">
          <w:rPr>
            <w:noProof/>
            <w:webHidden/>
          </w:rPr>
          <w:fldChar w:fldCharType="separate"/>
        </w:r>
        <w:r w:rsidR="00C52E30">
          <w:rPr>
            <w:noProof/>
            <w:webHidden/>
          </w:rPr>
          <w:t>51</w:t>
        </w:r>
        <w:r w:rsidR="007841A8">
          <w:rPr>
            <w:noProof/>
            <w:webHidden/>
          </w:rPr>
          <w:fldChar w:fldCharType="end"/>
        </w:r>
      </w:hyperlink>
    </w:p>
    <w:p w14:paraId="20EAFDC4"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7" w:history="1">
        <w:r w:rsidR="007841A8" w:rsidRPr="009F5C19">
          <w:rPr>
            <w:rStyle w:val="Hyperlink"/>
            <w:noProof/>
          </w:rPr>
          <w:t>Figure 37.  Two realizations R1 and R2 of the geostatistical model of hydrofacies distributions (top) and their upscaled 4x and 10x equivalents (bottom). The original model has 120 layers (1,224,000 cells) and the upscaled models 30 layers (30,6000 cells) and 12 layers (122,400 cells) respectively (Fleckenstein and Fogg , 2008).</w:t>
        </w:r>
        <w:r w:rsidR="007841A8">
          <w:rPr>
            <w:noProof/>
            <w:webHidden/>
          </w:rPr>
          <w:tab/>
        </w:r>
        <w:r w:rsidR="007841A8">
          <w:rPr>
            <w:noProof/>
            <w:webHidden/>
          </w:rPr>
          <w:fldChar w:fldCharType="begin"/>
        </w:r>
        <w:r w:rsidR="007841A8">
          <w:rPr>
            <w:noProof/>
            <w:webHidden/>
          </w:rPr>
          <w:instrText xml:space="preserve"> PAGEREF _Toc449696327 \h </w:instrText>
        </w:r>
        <w:r w:rsidR="007841A8">
          <w:rPr>
            <w:noProof/>
            <w:webHidden/>
          </w:rPr>
        </w:r>
        <w:r w:rsidR="007841A8">
          <w:rPr>
            <w:noProof/>
            <w:webHidden/>
          </w:rPr>
          <w:fldChar w:fldCharType="separate"/>
        </w:r>
        <w:r w:rsidR="00C52E30">
          <w:rPr>
            <w:noProof/>
            <w:webHidden/>
          </w:rPr>
          <w:t>52</w:t>
        </w:r>
        <w:r w:rsidR="007841A8">
          <w:rPr>
            <w:noProof/>
            <w:webHidden/>
          </w:rPr>
          <w:fldChar w:fldCharType="end"/>
        </w:r>
      </w:hyperlink>
    </w:p>
    <w:p w14:paraId="721617D9"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8" w:history="1">
        <w:r w:rsidR="007841A8" w:rsidRPr="009F5C19">
          <w:rPr>
            <w:rStyle w:val="Hyperlink"/>
            <w:noProof/>
          </w:rPr>
          <w:t>Figure 38.  Effects of upscaling on flow connections between model blocks. Arrows indicate flow between cells, size of the arrow heads indicates the ease at which water can flow into the adjacent cell. Equivalent horizontal K was upscaled using the volume weighted arithmetic mean; equivalent vertical K was upscaled using the volume weighted harmonic mean (Fleckenstein and Fogg , 2008).</w:t>
        </w:r>
        <w:r w:rsidR="007841A8">
          <w:rPr>
            <w:noProof/>
            <w:webHidden/>
          </w:rPr>
          <w:tab/>
        </w:r>
        <w:r w:rsidR="007841A8">
          <w:rPr>
            <w:noProof/>
            <w:webHidden/>
          </w:rPr>
          <w:fldChar w:fldCharType="begin"/>
        </w:r>
        <w:r w:rsidR="007841A8">
          <w:rPr>
            <w:noProof/>
            <w:webHidden/>
          </w:rPr>
          <w:instrText xml:space="preserve"> PAGEREF _Toc449696328 \h </w:instrText>
        </w:r>
        <w:r w:rsidR="007841A8">
          <w:rPr>
            <w:noProof/>
            <w:webHidden/>
          </w:rPr>
        </w:r>
        <w:r w:rsidR="007841A8">
          <w:rPr>
            <w:noProof/>
            <w:webHidden/>
          </w:rPr>
          <w:fldChar w:fldCharType="separate"/>
        </w:r>
        <w:r w:rsidR="00C52E30">
          <w:rPr>
            <w:noProof/>
            <w:webHidden/>
          </w:rPr>
          <w:t>53</w:t>
        </w:r>
        <w:r w:rsidR="007841A8">
          <w:rPr>
            <w:noProof/>
            <w:webHidden/>
          </w:rPr>
          <w:fldChar w:fldCharType="end"/>
        </w:r>
      </w:hyperlink>
    </w:p>
    <w:p w14:paraId="549DE341"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29" w:history="1">
        <w:r w:rsidR="007841A8" w:rsidRPr="009F5C19">
          <w:rPr>
            <w:rStyle w:val="Hyperlink"/>
            <w:rFonts w:eastAsia="Times New Roman"/>
            <w:noProof/>
          </w:rPr>
          <w:t>Figure 39. Conceptualisations of fault zone architecture in (a) crystalline (deep) media and (b) unconsolidated (shallow) media, showing fault core (FC), damage zone (DZ), and mixed zone (MZ) (Loveless et al., 2011).</w:t>
        </w:r>
        <w:r w:rsidR="007841A8">
          <w:rPr>
            <w:noProof/>
            <w:webHidden/>
          </w:rPr>
          <w:tab/>
        </w:r>
        <w:r w:rsidR="007841A8">
          <w:rPr>
            <w:noProof/>
            <w:webHidden/>
          </w:rPr>
          <w:fldChar w:fldCharType="begin"/>
        </w:r>
        <w:r w:rsidR="007841A8">
          <w:rPr>
            <w:noProof/>
            <w:webHidden/>
          </w:rPr>
          <w:instrText xml:space="preserve"> PAGEREF _Toc449696329 \h </w:instrText>
        </w:r>
        <w:r w:rsidR="007841A8">
          <w:rPr>
            <w:noProof/>
            <w:webHidden/>
          </w:rPr>
        </w:r>
        <w:r w:rsidR="007841A8">
          <w:rPr>
            <w:noProof/>
            <w:webHidden/>
          </w:rPr>
          <w:fldChar w:fldCharType="separate"/>
        </w:r>
        <w:r w:rsidR="00C52E30">
          <w:rPr>
            <w:noProof/>
            <w:webHidden/>
          </w:rPr>
          <w:t>54</w:t>
        </w:r>
        <w:r w:rsidR="007841A8">
          <w:rPr>
            <w:noProof/>
            <w:webHidden/>
          </w:rPr>
          <w:fldChar w:fldCharType="end"/>
        </w:r>
      </w:hyperlink>
    </w:p>
    <w:p w14:paraId="48242588"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0" w:history="1">
        <w:r w:rsidR="007841A8" w:rsidRPr="009F5C19">
          <w:rPr>
            <w:rStyle w:val="Hyperlink"/>
            <w:noProof/>
          </w:rPr>
          <w:t>Figure 40. Three-dimensional conceptualisation of fault zone geometry, including fault, damage and relay zones, and showing the locations of multiple fault cores (Childs et al., 2009).</w:t>
        </w:r>
        <w:r w:rsidR="007841A8">
          <w:rPr>
            <w:noProof/>
            <w:webHidden/>
          </w:rPr>
          <w:tab/>
        </w:r>
        <w:r w:rsidR="007841A8">
          <w:rPr>
            <w:noProof/>
            <w:webHidden/>
          </w:rPr>
          <w:fldChar w:fldCharType="begin"/>
        </w:r>
        <w:r w:rsidR="007841A8">
          <w:rPr>
            <w:noProof/>
            <w:webHidden/>
          </w:rPr>
          <w:instrText xml:space="preserve"> PAGEREF _Toc449696330 \h </w:instrText>
        </w:r>
        <w:r w:rsidR="007841A8">
          <w:rPr>
            <w:noProof/>
            <w:webHidden/>
          </w:rPr>
        </w:r>
        <w:r w:rsidR="007841A8">
          <w:rPr>
            <w:noProof/>
            <w:webHidden/>
          </w:rPr>
          <w:fldChar w:fldCharType="separate"/>
        </w:r>
        <w:r w:rsidR="00C52E30">
          <w:rPr>
            <w:noProof/>
            <w:webHidden/>
          </w:rPr>
          <w:t>55</w:t>
        </w:r>
        <w:r w:rsidR="007841A8">
          <w:rPr>
            <w:noProof/>
            <w:webHidden/>
          </w:rPr>
          <w:fldChar w:fldCharType="end"/>
        </w:r>
      </w:hyperlink>
    </w:p>
    <w:p w14:paraId="2DC0A1FB"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1" w:history="1">
        <w:r w:rsidR="007841A8" w:rsidRPr="009F5C19">
          <w:rPr>
            <w:rStyle w:val="Hyperlink"/>
            <w:noProof/>
          </w:rPr>
          <w:t xml:space="preserve">Figure 41. Conceptualisation of permeability structures in fault zones based on the relative composition of fault core and damage zones present </w:t>
        </w:r>
        <w:r w:rsidR="007841A8" w:rsidRPr="009F5C19">
          <w:rPr>
            <w:rStyle w:val="Hyperlink"/>
            <w:rFonts w:eastAsia="Times New Roman"/>
            <w:noProof/>
          </w:rPr>
          <w:t>(after Caine et al. 1996)</w:t>
        </w:r>
        <w:r w:rsidR="007841A8">
          <w:rPr>
            <w:noProof/>
            <w:webHidden/>
          </w:rPr>
          <w:tab/>
        </w:r>
        <w:r w:rsidR="007841A8">
          <w:rPr>
            <w:noProof/>
            <w:webHidden/>
          </w:rPr>
          <w:fldChar w:fldCharType="begin"/>
        </w:r>
        <w:r w:rsidR="007841A8">
          <w:rPr>
            <w:noProof/>
            <w:webHidden/>
          </w:rPr>
          <w:instrText xml:space="preserve"> PAGEREF _Toc449696331 \h </w:instrText>
        </w:r>
        <w:r w:rsidR="007841A8">
          <w:rPr>
            <w:noProof/>
            <w:webHidden/>
          </w:rPr>
        </w:r>
        <w:r w:rsidR="007841A8">
          <w:rPr>
            <w:noProof/>
            <w:webHidden/>
          </w:rPr>
          <w:fldChar w:fldCharType="separate"/>
        </w:r>
        <w:r w:rsidR="00C52E30">
          <w:rPr>
            <w:noProof/>
            <w:webHidden/>
          </w:rPr>
          <w:t>56</w:t>
        </w:r>
        <w:r w:rsidR="007841A8">
          <w:rPr>
            <w:noProof/>
            <w:webHidden/>
          </w:rPr>
          <w:fldChar w:fldCharType="end"/>
        </w:r>
      </w:hyperlink>
    </w:p>
    <w:p w14:paraId="5212F047"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2" w:history="1">
        <w:r w:rsidR="007841A8" w:rsidRPr="009F5C19">
          <w:rPr>
            <w:rStyle w:val="Hyperlink"/>
            <w:noProof/>
          </w:rPr>
          <w:t>Figure 42. Fault displacement and length data from 15 studies collated by Kim and Sanderson (2005).</w:t>
        </w:r>
        <w:r w:rsidR="007841A8">
          <w:rPr>
            <w:noProof/>
            <w:webHidden/>
          </w:rPr>
          <w:tab/>
        </w:r>
        <w:r w:rsidR="007841A8">
          <w:rPr>
            <w:noProof/>
            <w:webHidden/>
          </w:rPr>
          <w:fldChar w:fldCharType="begin"/>
        </w:r>
        <w:r w:rsidR="007841A8">
          <w:rPr>
            <w:noProof/>
            <w:webHidden/>
          </w:rPr>
          <w:instrText xml:space="preserve"> PAGEREF _Toc449696332 \h </w:instrText>
        </w:r>
        <w:r w:rsidR="007841A8">
          <w:rPr>
            <w:noProof/>
            <w:webHidden/>
          </w:rPr>
        </w:r>
        <w:r w:rsidR="007841A8">
          <w:rPr>
            <w:noProof/>
            <w:webHidden/>
          </w:rPr>
          <w:fldChar w:fldCharType="separate"/>
        </w:r>
        <w:r w:rsidR="00C52E30">
          <w:rPr>
            <w:noProof/>
            <w:webHidden/>
          </w:rPr>
          <w:t>57</w:t>
        </w:r>
        <w:r w:rsidR="007841A8">
          <w:rPr>
            <w:noProof/>
            <w:webHidden/>
          </w:rPr>
          <w:fldChar w:fldCharType="end"/>
        </w:r>
      </w:hyperlink>
    </w:p>
    <w:p w14:paraId="3B98A252"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3" w:history="1">
        <w:r w:rsidR="007841A8" w:rsidRPr="009F5C19">
          <w:rPr>
            <w:rStyle w:val="Hyperlink"/>
            <w:noProof/>
          </w:rPr>
          <w:t>Figure 43.Observations of fault displacement and spatial distribution for the Stratford area of the Gloucester Basin, New South Wales (red circles with yellow fill); also shown are fault displacement–spatial distribution relationships derived in previous studies of the Gloucester Basin and other basins (Frery et al., 2014).</w:t>
        </w:r>
        <w:r w:rsidR="007841A8">
          <w:rPr>
            <w:noProof/>
            <w:webHidden/>
          </w:rPr>
          <w:tab/>
        </w:r>
        <w:r w:rsidR="007841A8">
          <w:rPr>
            <w:noProof/>
            <w:webHidden/>
          </w:rPr>
          <w:fldChar w:fldCharType="begin"/>
        </w:r>
        <w:r w:rsidR="007841A8">
          <w:rPr>
            <w:noProof/>
            <w:webHidden/>
          </w:rPr>
          <w:instrText xml:space="preserve"> PAGEREF _Toc449696333 \h </w:instrText>
        </w:r>
        <w:r w:rsidR="007841A8">
          <w:rPr>
            <w:noProof/>
            <w:webHidden/>
          </w:rPr>
        </w:r>
        <w:r w:rsidR="007841A8">
          <w:rPr>
            <w:noProof/>
            <w:webHidden/>
          </w:rPr>
          <w:fldChar w:fldCharType="separate"/>
        </w:r>
        <w:r w:rsidR="00C52E30">
          <w:rPr>
            <w:noProof/>
            <w:webHidden/>
          </w:rPr>
          <w:t>58</w:t>
        </w:r>
        <w:r w:rsidR="007841A8">
          <w:rPr>
            <w:noProof/>
            <w:webHidden/>
          </w:rPr>
          <w:fldChar w:fldCharType="end"/>
        </w:r>
      </w:hyperlink>
    </w:p>
    <w:p w14:paraId="6997E50D"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4" w:history="1">
        <w:r w:rsidR="007841A8" w:rsidRPr="009F5C19">
          <w:rPr>
            <w:rStyle w:val="Hyperlink"/>
            <w:noProof/>
          </w:rPr>
          <w:t>Figure 44. Damage zone width (as defined by microfracture density) data as a function of distance from fault, as summarised by Faulkner et al. (2010), using data from Anders and Wiltschko (1994), Shipton and Cowie (2001) and Vermilye and Scholz (1998).</w:t>
        </w:r>
        <w:r w:rsidR="007841A8">
          <w:rPr>
            <w:noProof/>
            <w:webHidden/>
          </w:rPr>
          <w:tab/>
        </w:r>
        <w:r w:rsidR="007841A8">
          <w:rPr>
            <w:noProof/>
            <w:webHidden/>
          </w:rPr>
          <w:fldChar w:fldCharType="begin"/>
        </w:r>
        <w:r w:rsidR="007841A8">
          <w:rPr>
            <w:noProof/>
            <w:webHidden/>
          </w:rPr>
          <w:instrText xml:space="preserve"> PAGEREF _Toc449696334 \h </w:instrText>
        </w:r>
        <w:r w:rsidR="007841A8">
          <w:rPr>
            <w:noProof/>
            <w:webHidden/>
          </w:rPr>
        </w:r>
        <w:r w:rsidR="007841A8">
          <w:rPr>
            <w:noProof/>
            <w:webHidden/>
          </w:rPr>
          <w:fldChar w:fldCharType="separate"/>
        </w:r>
        <w:r w:rsidR="00C52E30">
          <w:rPr>
            <w:noProof/>
            <w:webHidden/>
          </w:rPr>
          <w:t>58</w:t>
        </w:r>
        <w:r w:rsidR="007841A8">
          <w:rPr>
            <w:noProof/>
            <w:webHidden/>
          </w:rPr>
          <w:fldChar w:fldCharType="end"/>
        </w:r>
      </w:hyperlink>
    </w:p>
    <w:p w14:paraId="033B0595"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5" w:history="1">
        <w:r w:rsidR="007841A8" w:rsidRPr="009F5C19">
          <w:rPr>
            <w:rStyle w:val="Hyperlink"/>
            <w:noProof/>
          </w:rPr>
          <w:t>Figure 45. Common approaches to the estimation of fault zone clay content and permeability, including (a) clay shear potential (Fulljames et al., 1997), (b) shale smear factor (Lindsay et al., 1993) and (c) shale gouge ratio (Yielding et al., 1997) (Pei et al., 2015).</w:t>
        </w:r>
        <w:r w:rsidR="007841A8">
          <w:rPr>
            <w:noProof/>
            <w:webHidden/>
          </w:rPr>
          <w:tab/>
        </w:r>
        <w:r w:rsidR="007841A8">
          <w:rPr>
            <w:noProof/>
            <w:webHidden/>
          </w:rPr>
          <w:fldChar w:fldCharType="begin"/>
        </w:r>
        <w:r w:rsidR="007841A8">
          <w:rPr>
            <w:noProof/>
            <w:webHidden/>
          </w:rPr>
          <w:instrText xml:space="preserve"> PAGEREF _Toc449696335 \h </w:instrText>
        </w:r>
        <w:r w:rsidR="007841A8">
          <w:rPr>
            <w:noProof/>
            <w:webHidden/>
          </w:rPr>
        </w:r>
        <w:r w:rsidR="007841A8">
          <w:rPr>
            <w:noProof/>
            <w:webHidden/>
          </w:rPr>
          <w:fldChar w:fldCharType="separate"/>
        </w:r>
        <w:r w:rsidR="00C52E30">
          <w:rPr>
            <w:noProof/>
            <w:webHidden/>
          </w:rPr>
          <w:t>59</w:t>
        </w:r>
        <w:r w:rsidR="007841A8">
          <w:rPr>
            <w:noProof/>
            <w:webHidden/>
          </w:rPr>
          <w:fldChar w:fldCharType="end"/>
        </w:r>
      </w:hyperlink>
    </w:p>
    <w:p w14:paraId="0A51E126"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6" w:history="1">
        <w:r w:rsidR="007841A8" w:rsidRPr="009F5C19">
          <w:rPr>
            <w:rStyle w:val="Hyperlink"/>
            <w:rFonts w:eastAsia="Times New Roman"/>
            <w:noProof/>
          </w:rPr>
          <w:t>Figure 46. Constant head permeameter-based estimates of hydraulic conductivity of fault core, damage and protolith zones of the Geleen Fault Zone, part of the Roer Valley Rift System, The Netherlands (Bense et al., 2003).</w:t>
        </w:r>
        <w:r w:rsidR="007841A8">
          <w:rPr>
            <w:noProof/>
            <w:webHidden/>
          </w:rPr>
          <w:tab/>
        </w:r>
        <w:r w:rsidR="007841A8">
          <w:rPr>
            <w:noProof/>
            <w:webHidden/>
          </w:rPr>
          <w:fldChar w:fldCharType="begin"/>
        </w:r>
        <w:r w:rsidR="007841A8">
          <w:rPr>
            <w:noProof/>
            <w:webHidden/>
          </w:rPr>
          <w:instrText xml:space="preserve"> PAGEREF _Toc449696336 \h </w:instrText>
        </w:r>
        <w:r w:rsidR="007841A8">
          <w:rPr>
            <w:noProof/>
            <w:webHidden/>
          </w:rPr>
        </w:r>
        <w:r w:rsidR="007841A8">
          <w:rPr>
            <w:noProof/>
            <w:webHidden/>
          </w:rPr>
          <w:fldChar w:fldCharType="separate"/>
        </w:r>
        <w:r w:rsidR="00C52E30">
          <w:rPr>
            <w:noProof/>
            <w:webHidden/>
          </w:rPr>
          <w:t>61</w:t>
        </w:r>
        <w:r w:rsidR="007841A8">
          <w:rPr>
            <w:noProof/>
            <w:webHidden/>
          </w:rPr>
          <w:fldChar w:fldCharType="end"/>
        </w:r>
      </w:hyperlink>
    </w:p>
    <w:p w14:paraId="0237353E"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7" w:history="1">
        <w:r w:rsidR="007841A8" w:rsidRPr="009F5C19">
          <w:rPr>
            <w:rStyle w:val="Hyperlink"/>
            <w:noProof/>
          </w:rPr>
          <w:t>Figure 47. Core scale horizontal and vertical permeability for various Surat Basin geological units (QGC 2013). Coloured lines indicate various anisotropy ratios.</w:t>
        </w:r>
        <w:r w:rsidR="007841A8">
          <w:rPr>
            <w:noProof/>
            <w:webHidden/>
          </w:rPr>
          <w:tab/>
        </w:r>
        <w:r w:rsidR="007841A8">
          <w:rPr>
            <w:noProof/>
            <w:webHidden/>
          </w:rPr>
          <w:fldChar w:fldCharType="begin"/>
        </w:r>
        <w:r w:rsidR="007841A8">
          <w:rPr>
            <w:noProof/>
            <w:webHidden/>
          </w:rPr>
          <w:instrText xml:space="preserve"> PAGEREF _Toc449696337 \h </w:instrText>
        </w:r>
        <w:r w:rsidR="007841A8">
          <w:rPr>
            <w:noProof/>
            <w:webHidden/>
          </w:rPr>
        </w:r>
        <w:r w:rsidR="007841A8">
          <w:rPr>
            <w:noProof/>
            <w:webHidden/>
          </w:rPr>
          <w:fldChar w:fldCharType="separate"/>
        </w:r>
        <w:r w:rsidR="00C52E30">
          <w:rPr>
            <w:noProof/>
            <w:webHidden/>
          </w:rPr>
          <w:t>74</w:t>
        </w:r>
        <w:r w:rsidR="007841A8">
          <w:rPr>
            <w:noProof/>
            <w:webHidden/>
          </w:rPr>
          <w:fldChar w:fldCharType="end"/>
        </w:r>
      </w:hyperlink>
    </w:p>
    <w:p w14:paraId="1B024C1B" w14:textId="77777777" w:rsidR="007841A8" w:rsidRDefault="00D322E8">
      <w:pPr>
        <w:pStyle w:val="TableofFigures"/>
        <w:tabs>
          <w:tab w:val="right" w:leader="dot" w:pos="9010"/>
        </w:tabs>
        <w:rPr>
          <w:rFonts w:asciiTheme="minorHAnsi" w:hAnsiTheme="minorHAnsi"/>
          <w:noProof/>
          <w:sz w:val="22"/>
          <w:szCs w:val="22"/>
          <w:lang w:val="en-AU" w:eastAsia="en-AU"/>
        </w:rPr>
      </w:pPr>
      <w:hyperlink w:anchor="_Toc449696338" w:history="1">
        <w:r w:rsidR="007841A8" w:rsidRPr="009F5C19">
          <w:rPr>
            <w:rStyle w:val="Hyperlink"/>
            <w:noProof/>
          </w:rPr>
          <w:t>Figure 48 Examples of different types of unstructured grids implemented in MODFLOW-USG (Panday et al., 2013)).</w:t>
        </w:r>
        <w:r w:rsidR="007841A8">
          <w:rPr>
            <w:noProof/>
            <w:webHidden/>
          </w:rPr>
          <w:tab/>
        </w:r>
        <w:r w:rsidR="007841A8">
          <w:rPr>
            <w:noProof/>
            <w:webHidden/>
          </w:rPr>
          <w:fldChar w:fldCharType="begin"/>
        </w:r>
        <w:r w:rsidR="007841A8">
          <w:rPr>
            <w:noProof/>
            <w:webHidden/>
          </w:rPr>
          <w:instrText xml:space="preserve"> PAGEREF _Toc449696338 \h </w:instrText>
        </w:r>
        <w:r w:rsidR="007841A8">
          <w:rPr>
            <w:noProof/>
            <w:webHidden/>
          </w:rPr>
        </w:r>
        <w:r w:rsidR="007841A8">
          <w:rPr>
            <w:noProof/>
            <w:webHidden/>
          </w:rPr>
          <w:fldChar w:fldCharType="separate"/>
        </w:r>
        <w:r w:rsidR="00C52E30">
          <w:rPr>
            <w:noProof/>
            <w:webHidden/>
          </w:rPr>
          <w:t>83</w:t>
        </w:r>
        <w:r w:rsidR="007841A8">
          <w:rPr>
            <w:noProof/>
            <w:webHidden/>
          </w:rPr>
          <w:fldChar w:fldCharType="end"/>
        </w:r>
      </w:hyperlink>
    </w:p>
    <w:p w14:paraId="5BBB91D7" w14:textId="77777777" w:rsidR="00E713C3" w:rsidRDefault="00084CDD" w:rsidP="00E713C3">
      <w:pPr>
        <w:pStyle w:val="H1"/>
      </w:pPr>
      <w:r>
        <w:rPr>
          <w:rFonts w:ascii="Calibri" w:hAnsi="Calibri"/>
          <w:b w:val="0"/>
          <w:bCs w:val="0"/>
          <w:sz w:val="18"/>
        </w:rPr>
        <w:fldChar w:fldCharType="end"/>
      </w:r>
      <w:r w:rsidR="00AA0670" w:rsidRPr="00AA0670">
        <w:t xml:space="preserve"> </w:t>
      </w:r>
      <w:r w:rsidR="007F1009">
        <w:br w:type="page"/>
      </w:r>
    </w:p>
    <w:p w14:paraId="45D6C2EA" w14:textId="77777777" w:rsidR="00AA0670" w:rsidRDefault="00AA0670" w:rsidP="00AA0670">
      <w:pPr>
        <w:pStyle w:val="H1"/>
      </w:pPr>
      <w:r>
        <w:t>Tables</w:t>
      </w:r>
    </w:p>
    <w:p w14:paraId="1C789977" w14:textId="77777777" w:rsidR="004162F2" w:rsidRDefault="00084CDD">
      <w:pPr>
        <w:pStyle w:val="TableofFigures"/>
        <w:tabs>
          <w:tab w:val="right" w:leader="dot" w:pos="9010"/>
        </w:tabs>
        <w:rPr>
          <w:rFonts w:asciiTheme="minorHAnsi" w:hAnsiTheme="minorHAnsi"/>
          <w:noProof/>
          <w:sz w:val="22"/>
          <w:szCs w:val="22"/>
          <w:lang w:val="en-AU" w:eastAsia="en-AU"/>
        </w:rPr>
      </w:pPr>
      <w:r>
        <w:fldChar w:fldCharType="begin"/>
      </w:r>
      <w:r w:rsidR="00017C3F">
        <w:instrText xml:space="preserve"> TOC \h \z \c "Table" </w:instrText>
      </w:r>
      <w:r>
        <w:fldChar w:fldCharType="separate"/>
      </w:r>
      <w:hyperlink w:anchor="_Toc449696221" w:history="1">
        <w:r w:rsidR="004162F2" w:rsidRPr="007A287F">
          <w:rPr>
            <w:rStyle w:val="Hyperlink"/>
            <w:noProof/>
          </w:rPr>
          <w:t>Table 1. Summary of various aquifer interference threshold metrics applied in New South Wales (NSW Office of Water, 2012).</w:t>
        </w:r>
        <w:r w:rsidR="004162F2">
          <w:rPr>
            <w:noProof/>
            <w:webHidden/>
          </w:rPr>
          <w:tab/>
        </w:r>
        <w:r w:rsidR="004162F2">
          <w:rPr>
            <w:noProof/>
            <w:webHidden/>
          </w:rPr>
          <w:fldChar w:fldCharType="begin"/>
        </w:r>
        <w:r w:rsidR="004162F2">
          <w:rPr>
            <w:noProof/>
            <w:webHidden/>
          </w:rPr>
          <w:instrText xml:space="preserve"> PAGEREF _Toc449696221 \h </w:instrText>
        </w:r>
        <w:r w:rsidR="004162F2">
          <w:rPr>
            <w:noProof/>
            <w:webHidden/>
          </w:rPr>
        </w:r>
        <w:r w:rsidR="004162F2">
          <w:rPr>
            <w:noProof/>
            <w:webHidden/>
          </w:rPr>
          <w:fldChar w:fldCharType="separate"/>
        </w:r>
        <w:r w:rsidR="00C52E30">
          <w:rPr>
            <w:noProof/>
            <w:webHidden/>
          </w:rPr>
          <w:t>8</w:t>
        </w:r>
        <w:r w:rsidR="004162F2">
          <w:rPr>
            <w:noProof/>
            <w:webHidden/>
          </w:rPr>
          <w:fldChar w:fldCharType="end"/>
        </w:r>
      </w:hyperlink>
    </w:p>
    <w:p w14:paraId="59A429D8"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2" w:history="1">
        <w:r w:rsidR="004162F2" w:rsidRPr="007A287F">
          <w:rPr>
            <w:rStyle w:val="Hyperlink"/>
            <w:noProof/>
          </w:rPr>
          <w:t>Table 2. Equations used to describe relative liquid and gas permeability and saturation for Figure 17 (Mallants et al., 2007). Parameter m was fitted to liquid saturation – capillary pressure data.</w:t>
        </w:r>
        <w:r w:rsidR="004162F2">
          <w:rPr>
            <w:noProof/>
            <w:webHidden/>
          </w:rPr>
          <w:tab/>
        </w:r>
        <w:r w:rsidR="004162F2">
          <w:rPr>
            <w:noProof/>
            <w:webHidden/>
          </w:rPr>
          <w:fldChar w:fldCharType="begin"/>
        </w:r>
        <w:r w:rsidR="004162F2">
          <w:rPr>
            <w:noProof/>
            <w:webHidden/>
          </w:rPr>
          <w:instrText xml:space="preserve"> PAGEREF _Toc449696222 \h </w:instrText>
        </w:r>
        <w:r w:rsidR="004162F2">
          <w:rPr>
            <w:noProof/>
            <w:webHidden/>
          </w:rPr>
        </w:r>
        <w:r w:rsidR="004162F2">
          <w:rPr>
            <w:noProof/>
            <w:webHidden/>
          </w:rPr>
          <w:fldChar w:fldCharType="separate"/>
        </w:r>
        <w:r w:rsidR="00C52E30">
          <w:rPr>
            <w:noProof/>
            <w:webHidden/>
          </w:rPr>
          <w:t>25</w:t>
        </w:r>
        <w:r w:rsidR="004162F2">
          <w:rPr>
            <w:noProof/>
            <w:webHidden/>
          </w:rPr>
          <w:fldChar w:fldCharType="end"/>
        </w:r>
      </w:hyperlink>
    </w:p>
    <w:p w14:paraId="09E6257B"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3" w:history="1">
        <w:r w:rsidR="004162F2" w:rsidRPr="007A287F">
          <w:rPr>
            <w:rStyle w:val="Hyperlink"/>
            <w:noProof/>
          </w:rPr>
          <w:t>Table 3. Summary of methods available for the measurement of hydraulic parameters.</w:t>
        </w:r>
        <w:r w:rsidR="004162F2">
          <w:rPr>
            <w:noProof/>
            <w:webHidden/>
          </w:rPr>
          <w:tab/>
        </w:r>
        <w:r w:rsidR="004162F2">
          <w:rPr>
            <w:noProof/>
            <w:webHidden/>
          </w:rPr>
          <w:fldChar w:fldCharType="begin"/>
        </w:r>
        <w:r w:rsidR="004162F2">
          <w:rPr>
            <w:noProof/>
            <w:webHidden/>
          </w:rPr>
          <w:instrText xml:space="preserve"> PAGEREF _Toc449696223 \h </w:instrText>
        </w:r>
        <w:r w:rsidR="004162F2">
          <w:rPr>
            <w:noProof/>
            <w:webHidden/>
          </w:rPr>
        </w:r>
        <w:r w:rsidR="004162F2">
          <w:rPr>
            <w:noProof/>
            <w:webHidden/>
          </w:rPr>
          <w:fldChar w:fldCharType="separate"/>
        </w:r>
        <w:r w:rsidR="00C52E30">
          <w:rPr>
            <w:noProof/>
            <w:webHidden/>
          </w:rPr>
          <w:t>31</w:t>
        </w:r>
        <w:r w:rsidR="004162F2">
          <w:rPr>
            <w:noProof/>
            <w:webHidden/>
          </w:rPr>
          <w:fldChar w:fldCharType="end"/>
        </w:r>
      </w:hyperlink>
    </w:p>
    <w:p w14:paraId="5D388346"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4" w:history="1">
        <w:r w:rsidR="004162F2" w:rsidRPr="007A287F">
          <w:rPr>
            <w:rStyle w:val="Hyperlink"/>
            <w:noProof/>
          </w:rPr>
          <w:t>Table 4. Summary of empirical models for estimating porosity (η</w:t>
        </w:r>
        <w:r w:rsidR="004162F2" w:rsidRPr="007A287F">
          <w:rPr>
            <w:rStyle w:val="Hyperlink"/>
            <w:noProof/>
            <w:vertAlign w:val="subscript"/>
          </w:rPr>
          <w:t>d</w:t>
        </w:r>
        <w:r w:rsidR="004162F2" w:rsidRPr="007A287F">
          <w:rPr>
            <w:rStyle w:val="Hyperlink"/>
            <w:noProof/>
          </w:rPr>
          <w:t xml:space="preserve"> and η</w:t>
        </w:r>
        <w:r w:rsidR="004162F2" w:rsidRPr="007A287F">
          <w:rPr>
            <w:rStyle w:val="Hyperlink"/>
            <w:noProof/>
            <w:vertAlign w:val="subscript"/>
          </w:rPr>
          <w:t>s</w:t>
        </w:r>
        <w:r w:rsidR="004162F2" w:rsidRPr="007A287F">
          <w:rPr>
            <w:rStyle w:val="Hyperlink"/>
            <w:noProof/>
          </w:rPr>
          <w:t>) and permeability (k) from geophysical measurements</w:t>
        </w:r>
        <w:r w:rsidR="004162F2">
          <w:rPr>
            <w:noProof/>
            <w:webHidden/>
          </w:rPr>
          <w:tab/>
        </w:r>
        <w:r w:rsidR="004162F2">
          <w:rPr>
            <w:noProof/>
            <w:webHidden/>
          </w:rPr>
          <w:fldChar w:fldCharType="begin"/>
        </w:r>
        <w:r w:rsidR="004162F2">
          <w:rPr>
            <w:noProof/>
            <w:webHidden/>
          </w:rPr>
          <w:instrText xml:space="preserve"> PAGEREF _Toc449696224 \h </w:instrText>
        </w:r>
        <w:r w:rsidR="004162F2">
          <w:rPr>
            <w:noProof/>
            <w:webHidden/>
          </w:rPr>
        </w:r>
        <w:r w:rsidR="004162F2">
          <w:rPr>
            <w:noProof/>
            <w:webHidden/>
          </w:rPr>
          <w:fldChar w:fldCharType="separate"/>
        </w:r>
        <w:r w:rsidR="00C52E30">
          <w:rPr>
            <w:noProof/>
            <w:webHidden/>
          </w:rPr>
          <w:t>34</w:t>
        </w:r>
        <w:r w:rsidR="004162F2">
          <w:rPr>
            <w:noProof/>
            <w:webHidden/>
          </w:rPr>
          <w:fldChar w:fldCharType="end"/>
        </w:r>
      </w:hyperlink>
    </w:p>
    <w:p w14:paraId="5C10F8FB"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5" w:history="1">
        <w:r w:rsidR="004162F2" w:rsidRPr="007A287F">
          <w:rPr>
            <w:rStyle w:val="Hyperlink"/>
            <w:noProof/>
          </w:rPr>
          <w:t>Table 5. Summary of averaging methods commonly used in the upscaling of hydraulic properties.</w:t>
        </w:r>
        <w:r w:rsidR="004162F2">
          <w:rPr>
            <w:noProof/>
            <w:webHidden/>
          </w:rPr>
          <w:tab/>
        </w:r>
        <w:r w:rsidR="004162F2">
          <w:rPr>
            <w:noProof/>
            <w:webHidden/>
          </w:rPr>
          <w:fldChar w:fldCharType="begin"/>
        </w:r>
        <w:r w:rsidR="004162F2">
          <w:rPr>
            <w:noProof/>
            <w:webHidden/>
          </w:rPr>
          <w:instrText xml:space="preserve"> PAGEREF _Toc449696225 \h </w:instrText>
        </w:r>
        <w:r w:rsidR="004162F2">
          <w:rPr>
            <w:noProof/>
            <w:webHidden/>
          </w:rPr>
        </w:r>
        <w:r w:rsidR="004162F2">
          <w:rPr>
            <w:noProof/>
            <w:webHidden/>
          </w:rPr>
          <w:fldChar w:fldCharType="separate"/>
        </w:r>
        <w:r w:rsidR="00C52E30">
          <w:rPr>
            <w:noProof/>
            <w:webHidden/>
          </w:rPr>
          <w:t>45</w:t>
        </w:r>
        <w:r w:rsidR="004162F2">
          <w:rPr>
            <w:noProof/>
            <w:webHidden/>
          </w:rPr>
          <w:fldChar w:fldCharType="end"/>
        </w:r>
      </w:hyperlink>
    </w:p>
    <w:p w14:paraId="122CAC3F"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6" w:history="1">
        <w:r w:rsidR="004162F2" w:rsidRPr="007A287F">
          <w:rPr>
            <w:rStyle w:val="Hyperlink"/>
            <w:noProof/>
          </w:rPr>
          <w:t>Table 6 Comparison of two-point and multiple point statistics.</w:t>
        </w:r>
        <w:r w:rsidR="004162F2">
          <w:rPr>
            <w:noProof/>
            <w:webHidden/>
          </w:rPr>
          <w:tab/>
        </w:r>
        <w:r w:rsidR="004162F2">
          <w:rPr>
            <w:noProof/>
            <w:webHidden/>
          </w:rPr>
          <w:fldChar w:fldCharType="begin"/>
        </w:r>
        <w:r w:rsidR="004162F2">
          <w:rPr>
            <w:noProof/>
            <w:webHidden/>
          </w:rPr>
          <w:instrText xml:space="preserve"> PAGEREF _Toc449696226 \h </w:instrText>
        </w:r>
        <w:r w:rsidR="004162F2">
          <w:rPr>
            <w:noProof/>
            <w:webHidden/>
          </w:rPr>
        </w:r>
        <w:r w:rsidR="004162F2">
          <w:rPr>
            <w:noProof/>
            <w:webHidden/>
          </w:rPr>
          <w:fldChar w:fldCharType="separate"/>
        </w:r>
        <w:r w:rsidR="00C52E30">
          <w:rPr>
            <w:noProof/>
            <w:webHidden/>
          </w:rPr>
          <w:t>49</w:t>
        </w:r>
        <w:r w:rsidR="004162F2">
          <w:rPr>
            <w:noProof/>
            <w:webHidden/>
          </w:rPr>
          <w:fldChar w:fldCharType="end"/>
        </w:r>
      </w:hyperlink>
    </w:p>
    <w:p w14:paraId="56D8B86A"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7" w:history="1">
        <w:r w:rsidR="004162F2" w:rsidRPr="007A287F">
          <w:rPr>
            <w:rStyle w:val="Hyperlink"/>
            <w:noProof/>
          </w:rPr>
          <w:t>Table 7. Fault zone architectural styles and permeability structures (after Caine et al., 1996)</w:t>
        </w:r>
        <w:r w:rsidR="004162F2">
          <w:rPr>
            <w:noProof/>
            <w:webHidden/>
          </w:rPr>
          <w:tab/>
        </w:r>
        <w:r w:rsidR="004162F2">
          <w:rPr>
            <w:noProof/>
            <w:webHidden/>
          </w:rPr>
          <w:fldChar w:fldCharType="begin"/>
        </w:r>
        <w:r w:rsidR="004162F2">
          <w:rPr>
            <w:noProof/>
            <w:webHidden/>
          </w:rPr>
          <w:instrText xml:space="preserve"> PAGEREF _Toc449696227 \h </w:instrText>
        </w:r>
        <w:r w:rsidR="004162F2">
          <w:rPr>
            <w:noProof/>
            <w:webHidden/>
          </w:rPr>
        </w:r>
        <w:r w:rsidR="004162F2">
          <w:rPr>
            <w:noProof/>
            <w:webHidden/>
          </w:rPr>
          <w:fldChar w:fldCharType="separate"/>
        </w:r>
        <w:r w:rsidR="00C52E30">
          <w:rPr>
            <w:noProof/>
            <w:webHidden/>
          </w:rPr>
          <w:t>55</w:t>
        </w:r>
        <w:r w:rsidR="004162F2">
          <w:rPr>
            <w:noProof/>
            <w:webHidden/>
          </w:rPr>
          <w:fldChar w:fldCharType="end"/>
        </w:r>
      </w:hyperlink>
    </w:p>
    <w:p w14:paraId="532797F1"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8" w:history="1">
        <w:r w:rsidR="004162F2" w:rsidRPr="007A287F">
          <w:rPr>
            <w:rStyle w:val="Hyperlink"/>
            <w:noProof/>
          </w:rPr>
          <w:t>Table 8. Primary fault processes that enhance permeability [after Bense et al., (2013)].</w:t>
        </w:r>
        <w:r w:rsidR="004162F2">
          <w:rPr>
            <w:noProof/>
            <w:webHidden/>
          </w:rPr>
          <w:tab/>
        </w:r>
        <w:r w:rsidR="004162F2">
          <w:rPr>
            <w:noProof/>
            <w:webHidden/>
          </w:rPr>
          <w:fldChar w:fldCharType="begin"/>
        </w:r>
        <w:r w:rsidR="004162F2">
          <w:rPr>
            <w:noProof/>
            <w:webHidden/>
          </w:rPr>
          <w:instrText xml:space="preserve"> PAGEREF _Toc449696228 \h </w:instrText>
        </w:r>
        <w:r w:rsidR="004162F2">
          <w:rPr>
            <w:noProof/>
            <w:webHidden/>
          </w:rPr>
        </w:r>
        <w:r w:rsidR="004162F2">
          <w:rPr>
            <w:noProof/>
            <w:webHidden/>
          </w:rPr>
          <w:fldChar w:fldCharType="separate"/>
        </w:r>
        <w:r w:rsidR="00C52E30">
          <w:rPr>
            <w:noProof/>
            <w:webHidden/>
          </w:rPr>
          <w:t>59</w:t>
        </w:r>
        <w:r w:rsidR="004162F2">
          <w:rPr>
            <w:noProof/>
            <w:webHidden/>
          </w:rPr>
          <w:fldChar w:fldCharType="end"/>
        </w:r>
      </w:hyperlink>
    </w:p>
    <w:p w14:paraId="30FCE5CC"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29" w:history="1">
        <w:r w:rsidR="004162F2" w:rsidRPr="007A287F">
          <w:rPr>
            <w:rStyle w:val="Hyperlink"/>
            <w:noProof/>
          </w:rPr>
          <w:t>Table 9. Primary fault processes that reduce permeability [after Bense et al., (2013)].</w:t>
        </w:r>
        <w:r w:rsidR="004162F2">
          <w:rPr>
            <w:noProof/>
            <w:webHidden/>
          </w:rPr>
          <w:tab/>
        </w:r>
        <w:r w:rsidR="004162F2">
          <w:rPr>
            <w:noProof/>
            <w:webHidden/>
          </w:rPr>
          <w:fldChar w:fldCharType="begin"/>
        </w:r>
        <w:r w:rsidR="004162F2">
          <w:rPr>
            <w:noProof/>
            <w:webHidden/>
          </w:rPr>
          <w:instrText xml:space="preserve"> PAGEREF _Toc449696229 \h </w:instrText>
        </w:r>
        <w:r w:rsidR="004162F2">
          <w:rPr>
            <w:noProof/>
            <w:webHidden/>
          </w:rPr>
        </w:r>
        <w:r w:rsidR="004162F2">
          <w:rPr>
            <w:noProof/>
            <w:webHidden/>
          </w:rPr>
          <w:fldChar w:fldCharType="separate"/>
        </w:r>
        <w:r w:rsidR="00C52E30">
          <w:rPr>
            <w:noProof/>
            <w:webHidden/>
          </w:rPr>
          <w:t>60</w:t>
        </w:r>
        <w:r w:rsidR="004162F2">
          <w:rPr>
            <w:noProof/>
            <w:webHidden/>
          </w:rPr>
          <w:fldChar w:fldCharType="end"/>
        </w:r>
      </w:hyperlink>
    </w:p>
    <w:p w14:paraId="71089680"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0" w:history="1">
        <w:r w:rsidR="004162F2" w:rsidRPr="007A287F">
          <w:rPr>
            <w:rStyle w:val="Hyperlink"/>
            <w:noProof/>
          </w:rPr>
          <w:t>Table 10. Secondary fault processes that either enhance or reduce permeability [after Bense et al., (2013)].</w:t>
        </w:r>
        <w:r w:rsidR="004162F2">
          <w:rPr>
            <w:noProof/>
            <w:webHidden/>
          </w:rPr>
          <w:tab/>
        </w:r>
        <w:r w:rsidR="004162F2">
          <w:rPr>
            <w:noProof/>
            <w:webHidden/>
          </w:rPr>
          <w:fldChar w:fldCharType="begin"/>
        </w:r>
        <w:r w:rsidR="004162F2">
          <w:rPr>
            <w:noProof/>
            <w:webHidden/>
          </w:rPr>
          <w:instrText xml:space="preserve"> PAGEREF _Toc449696230 \h </w:instrText>
        </w:r>
        <w:r w:rsidR="004162F2">
          <w:rPr>
            <w:noProof/>
            <w:webHidden/>
          </w:rPr>
        </w:r>
        <w:r w:rsidR="004162F2">
          <w:rPr>
            <w:noProof/>
            <w:webHidden/>
          </w:rPr>
          <w:fldChar w:fldCharType="separate"/>
        </w:r>
        <w:r w:rsidR="00C52E30">
          <w:rPr>
            <w:noProof/>
            <w:webHidden/>
          </w:rPr>
          <w:t>60</w:t>
        </w:r>
        <w:r w:rsidR="004162F2">
          <w:rPr>
            <w:noProof/>
            <w:webHidden/>
          </w:rPr>
          <w:fldChar w:fldCharType="end"/>
        </w:r>
      </w:hyperlink>
    </w:p>
    <w:p w14:paraId="7182B312"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1" w:history="1">
        <w:r w:rsidR="004162F2" w:rsidRPr="007A287F">
          <w:rPr>
            <w:rStyle w:val="Hyperlink"/>
            <w:noProof/>
          </w:rPr>
          <w:t>Table 11. Summary of geological units, hydrostratigraphic units and groundwater flow model layers represented in OGIA Surat Basin groundwater flow model.</w:t>
        </w:r>
        <w:r w:rsidR="004162F2">
          <w:rPr>
            <w:noProof/>
            <w:webHidden/>
          </w:rPr>
          <w:tab/>
        </w:r>
        <w:r w:rsidR="004162F2">
          <w:rPr>
            <w:noProof/>
            <w:webHidden/>
          </w:rPr>
          <w:fldChar w:fldCharType="begin"/>
        </w:r>
        <w:r w:rsidR="004162F2">
          <w:rPr>
            <w:noProof/>
            <w:webHidden/>
          </w:rPr>
          <w:instrText xml:space="preserve"> PAGEREF _Toc449696231 \h </w:instrText>
        </w:r>
        <w:r w:rsidR="004162F2">
          <w:rPr>
            <w:noProof/>
            <w:webHidden/>
          </w:rPr>
        </w:r>
        <w:r w:rsidR="004162F2">
          <w:rPr>
            <w:noProof/>
            <w:webHidden/>
          </w:rPr>
          <w:fldChar w:fldCharType="separate"/>
        </w:r>
        <w:r w:rsidR="00C52E30">
          <w:rPr>
            <w:noProof/>
            <w:webHidden/>
          </w:rPr>
          <w:t>67</w:t>
        </w:r>
        <w:r w:rsidR="004162F2">
          <w:rPr>
            <w:noProof/>
            <w:webHidden/>
          </w:rPr>
          <w:fldChar w:fldCharType="end"/>
        </w:r>
      </w:hyperlink>
    </w:p>
    <w:p w14:paraId="3E1C9C12"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2" w:history="1">
        <w:r w:rsidR="004162F2" w:rsidRPr="007A287F">
          <w:rPr>
            <w:rStyle w:val="Hyperlink"/>
            <w:noProof/>
          </w:rPr>
          <w:t>Table 12. Summary of geological units, hydrostratigraphic units and groundwater flow model layers represented in Arrow Energy Surat Basin groundwater flow model.</w:t>
        </w:r>
        <w:r w:rsidR="004162F2">
          <w:rPr>
            <w:noProof/>
            <w:webHidden/>
          </w:rPr>
          <w:tab/>
        </w:r>
        <w:r w:rsidR="004162F2">
          <w:rPr>
            <w:noProof/>
            <w:webHidden/>
          </w:rPr>
          <w:fldChar w:fldCharType="begin"/>
        </w:r>
        <w:r w:rsidR="004162F2">
          <w:rPr>
            <w:noProof/>
            <w:webHidden/>
          </w:rPr>
          <w:instrText xml:space="preserve"> PAGEREF _Toc449696232 \h </w:instrText>
        </w:r>
        <w:r w:rsidR="004162F2">
          <w:rPr>
            <w:noProof/>
            <w:webHidden/>
          </w:rPr>
        </w:r>
        <w:r w:rsidR="004162F2">
          <w:rPr>
            <w:noProof/>
            <w:webHidden/>
          </w:rPr>
          <w:fldChar w:fldCharType="separate"/>
        </w:r>
        <w:r w:rsidR="00C52E30">
          <w:rPr>
            <w:noProof/>
            <w:webHidden/>
          </w:rPr>
          <w:t>70</w:t>
        </w:r>
        <w:r w:rsidR="004162F2">
          <w:rPr>
            <w:noProof/>
            <w:webHidden/>
          </w:rPr>
          <w:fldChar w:fldCharType="end"/>
        </w:r>
      </w:hyperlink>
    </w:p>
    <w:p w14:paraId="6A9C32FB"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3" w:history="1">
        <w:r w:rsidR="004162F2" w:rsidRPr="007A287F">
          <w:rPr>
            <w:rStyle w:val="Hyperlink"/>
            <w:noProof/>
          </w:rPr>
          <w:t>Table 13. Summary of geological units, hydrostratigraphic units and groundwater flow model layers represented in Origin Energy Surat Basin groundwater flow model.</w:t>
        </w:r>
        <w:r w:rsidR="004162F2">
          <w:rPr>
            <w:noProof/>
            <w:webHidden/>
          </w:rPr>
          <w:tab/>
        </w:r>
        <w:r w:rsidR="004162F2">
          <w:rPr>
            <w:noProof/>
            <w:webHidden/>
          </w:rPr>
          <w:fldChar w:fldCharType="begin"/>
        </w:r>
        <w:r w:rsidR="004162F2">
          <w:rPr>
            <w:noProof/>
            <w:webHidden/>
          </w:rPr>
          <w:instrText xml:space="preserve"> PAGEREF _Toc449696233 \h </w:instrText>
        </w:r>
        <w:r w:rsidR="004162F2">
          <w:rPr>
            <w:noProof/>
            <w:webHidden/>
          </w:rPr>
        </w:r>
        <w:r w:rsidR="004162F2">
          <w:rPr>
            <w:noProof/>
            <w:webHidden/>
          </w:rPr>
          <w:fldChar w:fldCharType="separate"/>
        </w:r>
        <w:r w:rsidR="00C52E30">
          <w:rPr>
            <w:noProof/>
            <w:webHidden/>
          </w:rPr>
          <w:t>72</w:t>
        </w:r>
        <w:r w:rsidR="004162F2">
          <w:rPr>
            <w:noProof/>
            <w:webHidden/>
          </w:rPr>
          <w:fldChar w:fldCharType="end"/>
        </w:r>
      </w:hyperlink>
    </w:p>
    <w:p w14:paraId="055CBC3A"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4" w:history="1">
        <w:r w:rsidR="004162F2" w:rsidRPr="007A287F">
          <w:rPr>
            <w:rStyle w:val="Hyperlink"/>
            <w:noProof/>
          </w:rPr>
          <w:t>Table 14. Summary of geological units, hydrostratigraphic units and groundwater flow model layers represented in QGC Surat Basin GEN3 groundwater flow model.</w:t>
        </w:r>
        <w:r w:rsidR="004162F2">
          <w:rPr>
            <w:noProof/>
            <w:webHidden/>
          </w:rPr>
          <w:tab/>
        </w:r>
        <w:r w:rsidR="004162F2">
          <w:rPr>
            <w:noProof/>
            <w:webHidden/>
          </w:rPr>
          <w:fldChar w:fldCharType="begin"/>
        </w:r>
        <w:r w:rsidR="004162F2">
          <w:rPr>
            <w:noProof/>
            <w:webHidden/>
          </w:rPr>
          <w:instrText xml:space="preserve"> PAGEREF _Toc449696234 \h </w:instrText>
        </w:r>
        <w:r w:rsidR="004162F2">
          <w:rPr>
            <w:noProof/>
            <w:webHidden/>
          </w:rPr>
        </w:r>
        <w:r w:rsidR="004162F2">
          <w:rPr>
            <w:noProof/>
            <w:webHidden/>
          </w:rPr>
          <w:fldChar w:fldCharType="separate"/>
        </w:r>
        <w:r w:rsidR="00C52E30">
          <w:rPr>
            <w:noProof/>
            <w:webHidden/>
          </w:rPr>
          <w:t>73</w:t>
        </w:r>
        <w:r w:rsidR="004162F2">
          <w:rPr>
            <w:noProof/>
            <w:webHidden/>
          </w:rPr>
          <w:fldChar w:fldCharType="end"/>
        </w:r>
      </w:hyperlink>
    </w:p>
    <w:p w14:paraId="51ADA5E8"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5" w:history="1">
        <w:r w:rsidR="004162F2" w:rsidRPr="007A287F">
          <w:rPr>
            <w:rStyle w:val="Hyperlink"/>
            <w:noProof/>
          </w:rPr>
          <w:t>Table 15. Summary of geological units, hydrostratigraphic units and groundwater flow model layers represented in Santos Surat Basin groundwater flow model.</w:t>
        </w:r>
        <w:r w:rsidR="004162F2">
          <w:rPr>
            <w:noProof/>
            <w:webHidden/>
          </w:rPr>
          <w:tab/>
        </w:r>
        <w:r w:rsidR="004162F2">
          <w:rPr>
            <w:noProof/>
            <w:webHidden/>
          </w:rPr>
          <w:fldChar w:fldCharType="begin"/>
        </w:r>
        <w:r w:rsidR="004162F2">
          <w:rPr>
            <w:noProof/>
            <w:webHidden/>
          </w:rPr>
          <w:instrText xml:space="preserve"> PAGEREF _Toc449696235 \h </w:instrText>
        </w:r>
        <w:r w:rsidR="004162F2">
          <w:rPr>
            <w:noProof/>
            <w:webHidden/>
          </w:rPr>
        </w:r>
        <w:r w:rsidR="004162F2">
          <w:rPr>
            <w:noProof/>
            <w:webHidden/>
          </w:rPr>
          <w:fldChar w:fldCharType="separate"/>
        </w:r>
        <w:r w:rsidR="00C52E30">
          <w:rPr>
            <w:noProof/>
            <w:webHidden/>
          </w:rPr>
          <w:t>75</w:t>
        </w:r>
        <w:r w:rsidR="004162F2">
          <w:rPr>
            <w:noProof/>
            <w:webHidden/>
          </w:rPr>
          <w:fldChar w:fldCharType="end"/>
        </w:r>
      </w:hyperlink>
    </w:p>
    <w:p w14:paraId="0DC28EE6"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6" w:history="1">
        <w:r w:rsidR="004162F2" w:rsidRPr="007A287F">
          <w:rPr>
            <w:rStyle w:val="Hyperlink"/>
            <w:noProof/>
          </w:rPr>
          <w:t>Table 16. Summary of geological units, hydrostratigraphic units and groundwater flow model layers represented in Arrow Energy Bowen Basin groundwater flow model.</w:t>
        </w:r>
        <w:r w:rsidR="004162F2">
          <w:rPr>
            <w:noProof/>
            <w:webHidden/>
          </w:rPr>
          <w:tab/>
        </w:r>
        <w:r w:rsidR="004162F2">
          <w:rPr>
            <w:noProof/>
            <w:webHidden/>
          </w:rPr>
          <w:fldChar w:fldCharType="begin"/>
        </w:r>
        <w:r w:rsidR="004162F2">
          <w:rPr>
            <w:noProof/>
            <w:webHidden/>
          </w:rPr>
          <w:instrText xml:space="preserve"> PAGEREF _Toc449696236 \h </w:instrText>
        </w:r>
        <w:r w:rsidR="004162F2">
          <w:rPr>
            <w:noProof/>
            <w:webHidden/>
          </w:rPr>
        </w:r>
        <w:r w:rsidR="004162F2">
          <w:rPr>
            <w:noProof/>
            <w:webHidden/>
          </w:rPr>
          <w:fldChar w:fldCharType="separate"/>
        </w:r>
        <w:r w:rsidR="00C52E30">
          <w:rPr>
            <w:noProof/>
            <w:webHidden/>
          </w:rPr>
          <w:t>76</w:t>
        </w:r>
        <w:r w:rsidR="004162F2">
          <w:rPr>
            <w:noProof/>
            <w:webHidden/>
          </w:rPr>
          <w:fldChar w:fldCharType="end"/>
        </w:r>
      </w:hyperlink>
    </w:p>
    <w:p w14:paraId="7BF0CA51"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7" w:history="1">
        <w:r w:rsidR="004162F2" w:rsidRPr="007A287F">
          <w:rPr>
            <w:rStyle w:val="Hyperlink"/>
            <w:noProof/>
          </w:rPr>
          <w:t>Table 17. Summary of geological units, hydrostratigraphic units and groundwater flow model layers represented in Santos Gunnedah Basin groundwater flow model.</w:t>
        </w:r>
        <w:r w:rsidR="004162F2">
          <w:rPr>
            <w:noProof/>
            <w:webHidden/>
          </w:rPr>
          <w:tab/>
        </w:r>
        <w:r w:rsidR="004162F2">
          <w:rPr>
            <w:noProof/>
            <w:webHidden/>
          </w:rPr>
          <w:fldChar w:fldCharType="begin"/>
        </w:r>
        <w:r w:rsidR="004162F2">
          <w:rPr>
            <w:noProof/>
            <w:webHidden/>
          </w:rPr>
          <w:instrText xml:space="preserve"> PAGEREF _Toc449696237 \h </w:instrText>
        </w:r>
        <w:r w:rsidR="004162F2">
          <w:rPr>
            <w:noProof/>
            <w:webHidden/>
          </w:rPr>
        </w:r>
        <w:r w:rsidR="004162F2">
          <w:rPr>
            <w:noProof/>
            <w:webHidden/>
          </w:rPr>
          <w:fldChar w:fldCharType="separate"/>
        </w:r>
        <w:r w:rsidR="00C52E30">
          <w:rPr>
            <w:noProof/>
            <w:webHidden/>
          </w:rPr>
          <w:t>79</w:t>
        </w:r>
        <w:r w:rsidR="004162F2">
          <w:rPr>
            <w:noProof/>
            <w:webHidden/>
          </w:rPr>
          <w:fldChar w:fldCharType="end"/>
        </w:r>
      </w:hyperlink>
    </w:p>
    <w:p w14:paraId="5F8E918A"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8" w:history="1">
        <w:r w:rsidR="004162F2" w:rsidRPr="007A287F">
          <w:rPr>
            <w:rStyle w:val="Hyperlink"/>
            <w:noProof/>
          </w:rPr>
          <w:t>Table 18. Summary of geological units, hydrostratigraphic units and groundwater flow model layers represented in Schlumberger Water Services Gunnedah Basin groundwater flow model.</w:t>
        </w:r>
        <w:r w:rsidR="004162F2">
          <w:rPr>
            <w:noProof/>
            <w:webHidden/>
          </w:rPr>
          <w:tab/>
        </w:r>
        <w:r w:rsidR="004162F2">
          <w:rPr>
            <w:noProof/>
            <w:webHidden/>
          </w:rPr>
          <w:fldChar w:fldCharType="begin"/>
        </w:r>
        <w:r w:rsidR="004162F2">
          <w:rPr>
            <w:noProof/>
            <w:webHidden/>
          </w:rPr>
          <w:instrText xml:space="preserve"> PAGEREF _Toc449696238 \h </w:instrText>
        </w:r>
        <w:r w:rsidR="004162F2">
          <w:rPr>
            <w:noProof/>
            <w:webHidden/>
          </w:rPr>
        </w:r>
        <w:r w:rsidR="004162F2">
          <w:rPr>
            <w:noProof/>
            <w:webHidden/>
          </w:rPr>
          <w:fldChar w:fldCharType="separate"/>
        </w:r>
        <w:r w:rsidR="00C52E30">
          <w:rPr>
            <w:noProof/>
            <w:webHidden/>
          </w:rPr>
          <w:t>80</w:t>
        </w:r>
        <w:r w:rsidR="004162F2">
          <w:rPr>
            <w:noProof/>
            <w:webHidden/>
          </w:rPr>
          <w:fldChar w:fldCharType="end"/>
        </w:r>
      </w:hyperlink>
    </w:p>
    <w:p w14:paraId="7B724EBE"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39" w:history="1">
        <w:r w:rsidR="004162F2" w:rsidRPr="007A287F">
          <w:rPr>
            <w:rStyle w:val="Hyperlink"/>
            <w:noProof/>
          </w:rPr>
          <w:t>Table 19. Summary of modelling case studies, including approaches to upscaling, regionalisation and structural features.</w:t>
        </w:r>
        <w:r w:rsidR="004162F2">
          <w:rPr>
            <w:noProof/>
            <w:webHidden/>
          </w:rPr>
          <w:tab/>
        </w:r>
        <w:r w:rsidR="004162F2">
          <w:rPr>
            <w:noProof/>
            <w:webHidden/>
          </w:rPr>
          <w:fldChar w:fldCharType="begin"/>
        </w:r>
        <w:r w:rsidR="004162F2">
          <w:rPr>
            <w:noProof/>
            <w:webHidden/>
          </w:rPr>
          <w:instrText xml:space="preserve"> PAGEREF _Toc449696239 \h </w:instrText>
        </w:r>
        <w:r w:rsidR="004162F2">
          <w:rPr>
            <w:noProof/>
            <w:webHidden/>
          </w:rPr>
        </w:r>
        <w:r w:rsidR="004162F2">
          <w:rPr>
            <w:noProof/>
            <w:webHidden/>
          </w:rPr>
          <w:fldChar w:fldCharType="separate"/>
        </w:r>
        <w:r w:rsidR="00C52E30">
          <w:rPr>
            <w:noProof/>
            <w:webHidden/>
          </w:rPr>
          <w:t>85</w:t>
        </w:r>
        <w:r w:rsidR="004162F2">
          <w:rPr>
            <w:noProof/>
            <w:webHidden/>
          </w:rPr>
          <w:fldChar w:fldCharType="end"/>
        </w:r>
      </w:hyperlink>
    </w:p>
    <w:p w14:paraId="6B43D9A3" w14:textId="77777777" w:rsidR="004162F2" w:rsidRDefault="00D322E8">
      <w:pPr>
        <w:pStyle w:val="TableofFigures"/>
        <w:tabs>
          <w:tab w:val="right" w:leader="dot" w:pos="9010"/>
        </w:tabs>
        <w:rPr>
          <w:rFonts w:asciiTheme="minorHAnsi" w:hAnsiTheme="minorHAnsi"/>
          <w:noProof/>
          <w:sz w:val="22"/>
          <w:szCs w:val="22"/>
          <w:lang w:val="en-AU" w:eastAsia="en-AU"/>
        </w:rPr>
      </w:pPr>
      <w:hyperlink w:anchor="_Toc449696240" w:history="1">
        <w:r w:rsidR="004162F2" w:rsidRPr="007A287F">
          <w:rPr>
            <w:rStyle w:val="Hyperlink"/>
            <w:noProof/>
          </w:rPr>
          <w:t>Table 20. Comparison of multi-phase flow modelling codes</w:t>
        </w:r>
        <w:r w:rsidR="004162F2">
          <w:rPr>
            <w:noProof/>
            <w:webHidden/>
          </w:rPr>
          <w:tab/>
        </w:r>
        <w:r w:rsidR="004162F2">
          <w:rPr>
            <w:noProof/>
            <w:webHidden/>
          </w:rPr>
          <w:fldChar w:fldCharType="begin"/>
        </w:r>
        <w:r w:rsidR="004162F2">
          <w:rPr>
            <w:noProof/>
            <w:webHidden/>
          </w:rPr>
          <w:instrText xml:space="preserve"> PAGEREF _Toc449696240 \h </w:instrText>
        </w:r>
        <w:r w:rsidR="004162F2">
          <w:rPr>
            <w:noProof/>
            <w:webHidden/>
          </w:rPr>
        </w:r>
        <w:r w:rsidR="004162F2">
          <w:rPr>
            <w:noProof/>
            <w:webHidden/>
          </w:rPr>
          <w:fldChar w:fldCharType="separate"/>
        </w:r>
        <w:r w:rsidR="00C52E30">
          <w:rPr>
            <w:noProof/>
            <w:webHidden/>
          </w:rPr>
          <w:t>106</w:t>
        </w:r>
        <w:r w:rsidR="004162F2">
          <w:rPr>
            <w:noProof/>
            <w:webHidden/>
          </w:rPr>
          <w:fldChar w:fldCharType="end"/>
        </w:r>
      </w:hyperlink>
    </w:p>
    <w:p w14:paraId="620DA274" w14:textId="77777777" w:rsidR="00F400AD" w:rsidRDefault="00084CDD" w:rsidP="00F400AD">
      <w:pPr>
        <w:pStyle w:val="Body"/>
      </w:pPr>
      <w:r>
        <w:fldChar w:fldCharType="end"/>
      </w:r>
    </w:p>
    <w:p w14:paraId="401E2531" w14:textId="77777777" w:rsidR="00F400AD" w:rsidRDefault="00F400AD">
      <w:pPr>
        <w:rPr>
          <w:rFonts w:ascii="Calibri" w:hAnsi="Calibri" w:cs="Calibri"/>
          <w:color w:val="000000"/>
          <w:sz w:val="18"/>
          <w:szCs w:val="18"/>
          <w:lang w:val="en-GB"/>
        </w:rPr>
      </w:pPr>
      <w:r>
        <w:br w:type="page"/>
      </w:r>
    </w:p>
    <w:p w14:paraId="5F85959A" w14:textId="77777777" w:rsidR="00726719" w:rsidRPr="00FD7C8D" w:rsidRDefault="00726719" w:rsidP="00F400AD">
      <w:pPr>
        <w:pStyle w:val="H1"/>
      </w:pPr>
      <w:bookmarkStart w:id="1" w:name="_Toc432618722"/>
      <w:r w:rsidRPr="00FD7C8D">
        <w:t>Abbreviations</w:t>
      </w:r>
      <w:bookmarkEnd w:id="1"/>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7087"/>
      </w:tblGrid>
      <w:tr w:rsidR="00726719" w:rsidRPr="00C270C5" w14:paraId="1A270586" w14:textId="77777777" w:rsidTr="00726719">
        <w:trPr>
          <w:trHeight w:val="188"/>
          <w:tblHeader/>
        </w:trPr>
        <w:tc>
          <w:tcPr>
            <w:tcW w:w="2127" w:type="dxa"/>
            <w:shd w:val="clear" w:color="auto" w:fill="C6D9F1"/>
          </w:tcPr>
          <w:p w14:paraId="22C915C1" w14:textId="77777777" w:rsidR="00726719" w:rsidRPr="00C270C5" w:rsidRDefault="007B180B" w:rsidP="00A8139B">
            <w:pPr>
              <w:pStyle w:val="Body"/>
              <w:spacing w:before="10" w:after="10"/>
              <w:rPr>
                <w:b/>
              </w:rPr>
            </w:pPr>
            <w:r>
              <w:rPr>
                <w:b/>
              </w:rPr>
              <w:t>A</w:t>
            </w:r>
            <w:r w:rsidR="00726719" w:rsidRPr="00C270C5">
              <w:rPr>
                <w:b/>
              </w:rPr>
              <w:t>bbreviation</w:t>
            </w:r>
          </w:p>
        </w:tc>
        <w:tc>
          <w:tcPr>
            <w:tcW w:w="7087" w:type="dxa"/>
            <w:shd w:val="clear" w:color="auto" w:fill="C6D9F1"/>
          </w:tcPr>
          <w:p w14:paraId="17545AAB" w14:textId="77777777" w:rsidR="00726719" w:rsidRPr="00C270C5" w:rsidRDefault="00726719" w:rsidP="00A8139B">
            <w:pPr>
              <w:pStyle w:val="Body"/>
              <w:spacing w:before="10" w:after="10"/>
              <w:rPr>
                <w:b/>
              </w:rPr>
            </w:pPr>
            <w:r w:rsidRPr="00C270C5">
              <w:rPr>
                <w:b/>
              </w:rPr>
              <w:t>Description</w:t>
            </w:r>
          </w:p>
        </w:tc>
      </w:tr>
      <w:tr w:rsidR="00726719" w:rsidRPr="001E0FA8" w14:paraId="1B1E8F63" w14:textId="77777777" w:rsidTr="00726719">
        <w:trPr>
          <w:trHeight w:val="188"/>
        </w:trPr>
        <w:tc>
          <w:tcPr>
            <w:tcW w:w="2127" w:type="dxa"/>
          </w:tcPr>
          <w:p w14:paraId="660BB062" w14:textId="77777777" w:rsidR="00726719" w:rsidRDefault="00726719" w:rsidP="00E4024B">
            <w:pPr>
              <w:pStyle w:val="Body"/>
              <w:tabs>
                <w:tab w:val="center" w:pos="955"/>
              </w:tabs>
              <w:spacing w:before="10" w:after="10"/>
            </w:pPr>
            <w:r>
              <w:t>API</w:t>
            </w:r>
            <w:r w:rsidR="00E4024B">
              <w:tab/>
            </w:r>
          </w:p>
        </w:tc>
        <w:tc>
          <w:tcPr>
            <w:tcW w:w="7087" w:type="dxa"/>
          </w:tcPr>
          <w:p w14:paraId="697A7D1C" w14:textId="77777777" w:rsidR="00726719" w:rsidRDefault="00726719" w:rsidP="00A8139B">
            <w:pPr>
              <w:pStyle w:val="Body"/>
              <w:spacing w:before="10" w:after="10"/>
            </w:pPr>
            <w:r w:rsidRPr="00B8479C">
              <w:t>American Petroleum Institute</w:t>
            </w:r>
          </w:p>
        </w:tc>
      </w:tr>
      <w:tr w:rsidR="00726719" w:rsidRPr="001E0FA8" w14:paraId="4797241B" w14:textId="77777777" w:rsidTr="00726719">
        <w:trPr>
          <w:trHeight w:val="188"/>
        </w:trPr>
        <w:tc>
          <w:tcPr>
            <w:tcW w:w="2127" w:type="dxa"/>
          </w:tcPr>
          <w:p w14:paraId="7E6F983C" w14:textId="77777777" w:rsidR="00726719" w:rsidRPr="00B8479C" w:rsidRDefault="004437D7" w:rsidP="00A8139B">
            <w:pPr>
              <w:pStyle w:val="Body"/>
              <w:spacing w:before="10" w:after="10"/>
            </w:pPr>
            <w:r>
              <w:t>AEM</w:t>
            </w:r>
          </w:p>
        </w:tc>
        <w:tc>
          <w:tcPr>
            <w:tcW w:w="7087" w:type="dxa"/>
          </w:tcPr>
          <w:p w14:paraId="1A303CBF" w14:textId="77777777" w:rsidR="00726719" w:rsidRPr="00B8479C" w:rsidRDefault="00536974" w:rsidP="00A8139B">
            <w:pPr>
              <w:pStyle w:val="Body"/>
              <w:spacing w:before="10" w:after="10"/>
            </w:pPr>
            <w:r>
              <w:t>Airborne ElectroMagnetic (survey)</w:t>
            </w:r>
          </w:p>
        </w:tc>
      </w:tr>
      <w:tr w:rsidR="00726719" w:rsidRPr="001E0FA8" w14:paraId="7F426C1B" w14:textId="77777777" w:rsidTr="00726719">
        <w:trPr>
          <w:trHeight w:val="188"/>
        </w:trPr>
        <w:tc>
          <w:tcPr>
            <w:tcW w:w="2127" w:type="dxa"/>
          </w:tcPr>
          <w:p w14:paraId="0C510CE8" w14:textId="77777777" w:rsidR="00726719" w:rsidRDefault="004437D7" w:rsidP="00A8139B">
            <w:pPr>
              <w:pStyle w:val="Body"/>
              <w:spacing w:before="10" w:after="10"/>
            </w:pPr>
            <w:r>
              <w:t>APLNG</w:t>
            </w:r>
          </w:p>
        </w:tc>
        <w:tc>
          <w:tcPr>
            <w:tcW w:w="7087" w:type="dxa"/>
          </w:tcPr>
          <w:p w14:paraId="1C68E5BE" w14:textId="77777777" w:rsidR="00726719" w:rsidRDefault="00536974" w:rsidP="00A8139B">
            <w:pPr>
              <w:pStyle w:val="Body"/>
              <w:spacing w:before="10" w:after="10"/>
            </w:pPr>
            <w:r w:rsidRPr="00536974">
              <w:t xml:space="preserve">Australia Pacific Liquefied Natural Gas </w:t>
            </w:r>
            <w:r>
              <w:t>(p</w:t>
            </w:r>
            <w:r w:rsidRPr="00536974">
              <w:t>roject</w:t>
            </w:r>
            <w:r>
              <w:t>)</w:t>
            </w:r>
          </w:p>
        </w:tc>
      </w:tr>
      <w:tr w:rsidR="00726719" w:rsidRPr="001E0FA8" w14:paraId="3F290683" w14:textId="77777777" w:rsidTr="00726719">
        <w:trPr>
          <w:trHeight w:val="188"/>
        </w:trPr>
        <w:tc>
          <w:tcPr>
            <w:tcW w:w="2127" w:type="dxa"/>
          </w:tcPr>
          <w:p w14:paraId="323A4FF4" w14:textId="77777777" w:rsidR="00726719" w:rsidRDefault="004437D7" w:rsidP="00A8139B">
            <w:pPr>
              <w:pStyle w:val="Body"/>
              <w:spacing w:before="10" w:after="10"/>
            </w:pPr>
            <w:r>
              <w:t>BME</w:t>
            </w:r>
          </w:p>
        </w:tc>
        <w:tc>
          <w:tcPr>
            <w:tcW w:w="7087" w:type="dxa"/>
          </w:tcPr>
          <w:p w14:paraId="021A1F22" w14:textId="77777777" w:rsidR="00726719" w:rsidRDefault="00536974" w:rsidP="00A8139B">
            <w:pPr>
              <w:pStyle w:val="Body"/>
              <w:spacing w:before="10" w:after="10"/>
            </w:pPr>
            <w:r>
              <w:t xml:space="preserve">Bayesian </w:t>
            </w:r>
            <w:r w:rsidR="008E28DE">
              <w:t>Maximum Entropy</w:t>
            </w:r>
          </w:p>
        </w:tc>
      </w:tr>
      <w:tr w:rsidR="004437D7" w:rsidRPr="001E0FA8" w14:paraId="63A7D787" w14:textId="77777777" w:rsidTr="00726719">
        <w:trPr>
          <w:trHeight w:val="188"/>
        </w:trPr>
        <w:tc>
          <w:tcPr>
            <w:tcW w:w="2127" w:type="dxa"/>
          </w:tcPr>
          <w:p w14:paraId="23EB9B0C" w14:textId="77777777" w:rsidR="004437D7" w:rsidRDefault="004437D7" w:rsidP="00A8139B">
            <w:pPr>
              <w:pStyle w:val="Body"/>
              <w:spacing w:before="10" w:after="10"/>
            </w:pPr>
            <w:r>
              <w:t>CMA</w:t>
            </w:r>
          </w:p>
        </w:tc>
        <w:tc>
          <w:tcPr>
            <w:tcW w:w="7087" w:type="dxa"/>
          </w:tcPr>
          <w:p w14:paraId="20A7E278" w14:textId="16C1ACE1" w:rsidR="004437D7" w:rsidRDefault="00536974" w:rsidP="00A8139B">
            <w:pPr>
              <w:pStyle w:val="Body"/>
              <w:spacing w:before="10" w:after="10"/>
            </w:pPr>
            <w:r>
              <w:t>Cumulative Management Authority</w:t>
            </w:r>
            <w:r w:rsidR="00515B53">
              <w:t xml:space="preserve"> (Queensland)</w:t>
            </w:r>
          </w:p>
        </w:tc>
      </w:tr>
      <w:tr w:rsidR="006F079B" w:rsidRPr="001E0FA8" w14:paraId="6BE8B015" w14:textId="77777777" w:rsidTr="00726719">
        <w:trPr>
          <w:trHeight w:val="188"/>
        </w:trPr>
        <w:tc>
          <w:tcPr>
            <w:tcW w:w="2127" w:type="dxa"/>
          </w:tcPr>
          <w:p w14:paraId="39045040" w14:textId="77777777" w:rsidR="006F079B" w:rsidRDefault="006F079B" w:rsidP="00A8139B">
            <w:pPr>
              <w:pStyle w:val="Body"/>
              <w:spacing w:before="10" w:after="10"/>
            </w:pPr>
            <w:r>
              <w:t>CoA</w:t>
            </w:r>
          </w:p>
        </w:tc>
        <w:tc>
          <w:tcPr>
            <w:tcW w:w="7087" w:type="dxa"/>
          </w:tcPr>
          <w:p w14:paraId="75878AE7" w14:textId="77777777" w:rsidR="006F079B" w:rsidRDefault="006F079B" w:rsidP="00A8139B">
            <w:pPr>
              <w:pStyle w:val="Body"/>
              <w:spacing w:before="10" w:after="10"/>
            </w:pPr>
            <w:r>
              <w:t>Commonwealth of Australia</w:t>
            </w:r>
          </w:p>
        </w:tc>
      </w:tr>
      <w:tr w:rsidR="00726719" w:rsidRPr="001E0FA8" w14:paraId="41DC7293" w14:textId="77777777" w:rsidTr="00726719">
        <w:trPr>
          <w:trHeight w:val="188"/>
        </w:trPr>
        <w:tc>
          <w:tcPr>
            <w:tcW w:w="2127" w:type="dxa"/>
          </w:tcPr>
          <w:p w14:paraId="58B812AF" w14:textId="77777777" w:rsidR="00726719" w:rsidRPr="001E0FA8" w:rsidRDefault="00726719" w:rsidP="00A8139B">
            <w:pPr>
              <w:pStyle w:val="Body"/>
              <w:spacing w:before="10" w:after="10"/>
            </w:pPr>
            <w:r>
              <w:t>CSG</w:t>
            </w:r>
          </w:p>
        </w:tc>
        <w:tc>
          <w:tcPr>
            <w:tcW w:w="7087" w:type="dxa"/>
          </w:tcPr>
          <w:p w14:paraId="28B1A38F" w14:textId="77777777" w:rsidR="00726719" w:rsidRPr="001E0FA8" w:rsidRDefault="00536974" w:rsidP="00A8139B">
            <w:pPr>
              <w:pStyle w:val="Body"/>
              <w:spacing w:before="10" w:after="10"/>
            </w:pPr>
            <w:r>
              <w:t>C</w:t>
            </w:r>
            <w:r w:rsidR="00726719">
              <w:t xml:space="preserve">oal </w:t>
            </w:r>
            <w:r>
              <w:t>S</w:t>
            </w:r>
            <w:r w:rsidR="00726719">
              <w:t xml:space="preserve">eam </w:t>
            </w:r>
            <w:r>
              <w:t>G</w:t>
            </w:r>
            <w:r w:rsidR="00726719">
              <w:t>as</w:t>
            </w:r>
          </w:p>
        </w:tc>
      </w:tr>
      <w:tr w:rsidR="00726719" w:rsidRPr="0075269C" w14:paraId="4170747F" w14:textId="77777777" w:rsidTr="00726719">
        <w:trPr>
          <w:trHeight w:val="188"/>
        </w:trPr>
        <w:tc>
          <w:tcPr>
            <w:tcW w:w="2127" w:type="dxa"/>
          </w:tcPr>
          <w:p w14:paraId="41245223" w14:textId="77777777" w:rsidR="00726719" w:rsidRPr="00F23488" w:rsidRDefault="00726719" w:rsidP="00A8139B">
            <w:pPr>
              <w:pStyle w:val="Body"/>
              <w:spacing w:before="10" w:after="10"/>
            </w:pPr>
            <w:r w:rsidRPr="00F23488">
              <w:t>CSIRO</w:t>
            </w:r>
          </w:p>
        </w:tc>
        <w:tc>
          <w:tcPr>
            <w:tcW w:w="7087" w:type="dxa"/>
          </w:tcPr>
          <w:p w14:paraId="296FCF4D" w14:textId="1F11E831" w:rsidR="00726719" w:rsidRPr="00F23488" w:rsidRDefault="00726719" w:rsidP="00A8139B">
            <w:pPr>
              <w:pStyle w:val="Body"/>
              <w:spacing w:before="10" w:after="10"/>
            </w:pPr>
            <w:r w:rsidRPr="00F23488">
              <w:t>Commonwealth Scientific and Industrial Research Organisation</w:t>
            </w:r>
            <w:r w:rsidR="00515B53">
              <w:t xml:space="preserve"> (Australia)</w:t>
            </w:r>
          </w:p>
        </w:tc>
      </w:tr>
      <w:tr w:rsidR="004437D7" w:rsidRPr="001E0FA8" w14:paraId="3A1B30CC" w14:textId="77777777" w:rsidTr="004437D7">
        <w:trPr>
          <w:trHeight w:val="188"/>
        </w:trPr>
        <w:tc>
          <w:tcPr>
            <w:tcW w:w="2127" w:type="dxa"/>
          </w:tcPr>
          <w:p w14:paraId="1231F678" w14:textId="77777777" w:rsidR="004437D7" w:rsidRDefault="004437D7" w:rsidP="00A8139B">
            <w:pPr>
              <w:pStyle w:val="Body"/>
              <w:spacing w:before="10" w:after="10"/>
            </w:pPr>
            <w:r>
              <w:t>DFN</w:t>
            </w:r>
          </w:p>
        </w:tc>
        <w:tc>
          <w:tcPr>
            <w:tcW w:w="7087" w:type="dxa"/>
          </w:tcPr>
          <w:p w14:paraId="21C91444" w14:textId="77777777" w:rsidR="004437D7" w:rsidRDefault="00536974" w:rsidP="00A8139B">
            <w:pPr>
              <w:pStyle w:val="Body"/>
              <w:spacing w:before="10" w:after="10"/>
            </w:pPr>
            <w:r>
              <w:t>Discrete Fracture Network</w:t>
            </w:r>
          </w:p>
        </w:tc>
      </w:tr>
      <w:tr w:rsidR="00726719" w:rsidRPr="001E0FA8" w14:paraId="714AFBD0" w14:textId="77777777" w:rsidTr="00726719">
        <w:trPr>
          <w:trHeight w:val="84"/>
        </w:trPr>
        <w:tc>
          <w:tcPr>
            <w:tcW w:w="2127" w:type="dxa"/>
          </w:tcPr>
          <w:p w14:paraId="402BCF83" w14:textId="77777777" w:rsidR="00726719" w:rsidRPr="00F23488" w:rsidRDefault="00726719" w:rsidP="00A8139B">
            <w:pPr>
              <w:pStyle w:val="Body"/>
              <w:spacing w:before="10" w:after="10"/>
            </w:pPr>
            <w:r w:rsidRPr="00F23488">
              <w:t>DNRM</w:t>
            </w:r>
          </w:p>
        </w:tc>
        <w:tc>
          <w:tcPr>
            <w:tcW w:w="7087" w:type="dxa"/>
          </w:tcPr>
          <w:p w14:paraId="6BC4A06A" w14:textId="77777777" w:rsidR="00726719" w:rsidRPr="00F23488" w:rsidRDefault="00726719" w:rsidP="00A8139B">
            <w:pPr>
              <w:pStyle w:val="Body"/>
              <w:spacing w:before="10" w:after="10"/>
            </w:pPr>
            <w:r w:rsidRPr="00F23488">
              <w:t xml:space="preserve">Department of Natural Resources and </w:t>
            </w:r>
            <w:r w:rsidRPr="00973A53">
              <w:t>Mines</w:t>
            </w:r>
            <w:r w:rsidR="004437D7">
              <w:t xml:space="preserve"> (Queensland)</w:t>
            </w:r>
          </w:p>
        </w:tc>
      </w:tr>
      <w:tr w:rsidR="00726719" w:rsidRPr="0075269C" w14:paraId="29A0F043" w14:textId="77777777" w:rsidTr="00726719">
        <w:trPr>
          <w:trHeight w:val="84"/>
        </w:trPr>
        <w:tc>
          <w:tcPr>
            <w:tcW w:w="2127" w:type="dxa"/>
          </w:tcPr>
          <w:p w14:paraId="64AB5DC3" w14:textId="77777777" w:rsidR="00726719" w:rsidRPr="00F23488" w:rsidRDefault="00157DCE" w:rsidP="00A8139B">
            <w:pPr>
              <w:pStyle w:val="Body"/>
              <w:spacing w:before="10" w:after="10"/>
            </w:pPr>
            <w:r>
              <w:t>EIS</w:t>
            </w:r>
          </w:p>
        </w:tc>
        <w:tc>
          <w:tcPr>
            <w:tcW w:w="7087" w:type="dxa"/>
          </w:tcPr>
          <w:p w14:paraId="1D38DDC8" w14:textId="77777777" w:rsidR="00726719" w:rsidRPr="00F23488" w:rsidRDefault="00536974" w:rsidP="00A8139B">
            <w:pPr>
              <w:pStyle w:val="Body"/>
              <w:spacing w:before="10" w:after="10"/>
            </w:pPr>
            <w:r>
              <w:t>Environmental Impact Statement</w:t>
            </w:r>
          </w:p>
        </w:tc>
      </w:tr>
      <w:tr w:rsidR="00726719" w:rsidRPr="0075269C" w14:paraId="327A3816" w14:textId="77777777" w:rsidTr="00726719">
        <w:trPr>
          <w:trHeight w:val="84"/>
        </w:trPr>
        <w:tc>
          <w:tcPr>
            <w:tcW w:w="2127" w:type="dxa"/>
          </w:tcPr>
          <w:p w14:paraId="1E2E136F" w14:textId="77777777" w:rsidR="00726719" w:rsidRDefault="00536974" w:rsidP="00A8139B">
            <w:pPr>
              <w:pStyle w:val="Body"/>
              <w:spacing w:before="10" w:after="10"/>
            </w:pPr>
            <w:r>
              <w:t>FEFLOW</w:t>
            </w:r>
          </w:p>
        </w:tc>
        <w:tc>
          <w:tcPr>
            <w:tcW w:w="7087" w:type="dxa"/>
          </w:tcPr>
          <w:p w14:paraId="68AC3BAD" w14:textId="77777777" w:rsidR="00726719" w:rsidRDefault="00536974" w:rsidP="00A8139B">
            <w:pPr>
              <w:pStyle w:val="Body"/>
              <w:spacing w:before="10" w:after="10"/>
            </w:pPr>
            <w:r>
              <w:t>Finite Element groundwater FLOW (model)</w:t>
            </w:r>
          </w:p>
        </w:tc>
      </w:tr>
      <w:tr w:rsidR="00726719" w:rsidRPr="0075269C" w14:paraId="361BCE87" w14:textId="77777777" w:rsidTr="00726719">
        <w:trPr>
          <w:trHeight w:val="84"/>
        </w:trPr>
        <w:tc>
          <w:tcPr>
            <w:tcW w:w="2127" w:type="dxa"/>
          </w:tcPr>
          <w:p w14:paraId="15C66E79" w14:textId="77777777" w:rsidR="00726719" w:rsidRDefault="00536974" w:rsidP="00A8139B">
            <w:pPr>
              <w:pStyle w:val="Body"/>
              <w:spacing w:before="10" w:after="10"/>
            </w:pPr>
            <w:r>
              <w:t>GEM</w:t>
            </w:r>
          </w:p>
        </w:tc>
        <w:tc>
          <w:tcPr>
            <w:tcW w:w="7087" w:type="dxa"/>
          </w:tcPr>
          <w:p w14:paraId="7888E08F" w14:textId="77777777" w:rsidR="00726719" w:rsidRDefault="00536974" w:rsidP="00A8139B">
            <w:pPr>
              <w:pStyle w:val="Body"/>
              <w:spacing w:before="10" w:after="10"/>
            </w:pPr>
            <w:r>
              <w:t>Generalised Equation of state Model</w:t>
            </w:r>
          </w:p>
        </w:tc>
      </w:tr>
      <w:tr w:rsidR="00536974" w:rsidRPr="0075269C" w14:paraId="6C694B60" w14:textId="77777777" w:rsidTr="00726719">
        <w:trPr>
          <w:trHeight w:val="84"/>
        </w:trPr>
        <w:tc>
          <w:tcPr>
            <w:tcW w:w="2127" w:type="dxa"/>
          </w:tcPr>
          <w:p w14:paraId="63CEDF31" w14:textId="77777777" w:rsidR="00536974" w:rsidRDefault="00536974" w:rsidP="00A8139B">
            <w:pPr>
              <w:pStyle w:val="Body"/>
              <w:spacing w:before="10" w:after="10"/>
            </w:pPr>
            <w:r>
              <w:t>GRACE</w:t>
            </w:r>
          </w:p>
        </w:tc>
        <w:tc>
          <w:tcPr>
            <w:tcW w:w="7087" w:type="dxa"/>
          </w:tcPr>
          <w:p w14:paraId="125545F4" w14:textId="77777777" w:rsidR="00536974" w:rsidRDefault="00536974" w:rsidP="00A8139B">
            <w:pPr>
              <w:pStyle w:val="Body"/>
              <w:spacing w:before="10" w:after="10"/>
            </w:pPr>
            <w:r w:rsidRPr="00536974">
              <w:t xml:space="preserve">Gravity Recovery </w:t>
            </w:r>
            <w:r>
              <w:t>A</w:t>
            </w:r>
            <w:r w:rsidRPr="00536974">
              <w:t>nd Climate Experiment</w:t>
            </w:r>
            <w:r>
              <w:t xml:space="preserve"> (satellites)</w:t>
            </w:r>
          </w:p>
        </w:tc>
      </w:tr>
      <w:tr w:rsidR="00C53A10" w:rsidRPr="0075269C" w14:paraId="21B49AD4" w14:textId="77777777" w:rsidTr="00726719">
        <w:trPr>
          <w:trHeight w:val="84"/>
        </w:trPr>
        <w:tc>
          <w:tcPr>
            <w:tcW w:w="2127" w:type="dxa"/>
          </w:tcPr>
          <w:p w14:paraId="1E7D8263" w14:textId="77777777" w:rsidR="00C53A10" w:rsidRDefault="00C53A10" w:rsidP="00A8139B">
            <w:pPr>
              <w:pStyle w:val="Body"/>
              <w:spacing w:before="10" w:after="10"/>
            </w:pPr>
            <w:r>
              <w:t>HSU</w:t>
            </w:r>
          </w:p>
        </w:tc>
        <w:tc>
          <w:tcPr>
            <w:tcW w:w="7087" w:type="dxa"/>
          </w:tcPr>
          <w:p w14:paraId="4FFFC1A4" w14:textId="77777777" w:rsidR="00C53A10" w:rsidRDefault="00C53A10" w:rsidP="00A8139B">
            <w:pPr>
              <w:pStyle w:val="Body"/>
              <w:spacing w:before="10" w:after="10"/>
            </w:pPr>
            <w:r>
              <w:t>HydroStratigraphic Unit</w:t>
            </w:r>
          </w:p>
        </w:tc>
      </w:tr>
      <w:tr w:rsidR="00726719" w:rsidRPr="0075269C" w14:paraId="77512418" w14:textId="77777777" w:rsidTr="00726719">
        <w:trPr>
          <w:trHeight w:val="84"/>
        </w:trPr>
        <w:tc>
          <w:tcPr>
            <w:tcW w:w="2127" w:type="dxa"/>
          </w:tcPr>
          <w:p w14:paraId="28A48039" w14:textId="77777777" w:rsidR="00726719" w:rsidRDefault="00536974" w:rsidP="00A8139B">
            <w:pPr>
              <w:pStyle w:val="Body"/>
              <w:spacing w:before="10" w:after="10"/>
            </w:pPr>
            <w:r>
              <w:t>MC</w:t>
            </w:r>
          </w:p>
        </w:tc>
        <w:tc>
          <w:tcPr>
            <w:tcW w:w="7087" w:type="dxa"/>
          </w:tcPr>
          <w:p w14:paraId="49D7CFF1" w14:textId="77777777" w:rsidR="00726719" w:rsidRDefault="00536974" w:rsidP="00A8139B">
            <w:pPr>
              <w:pStyle w:val="Body"/>
              <w:spacing w:before="10" w:after="10"/>
            </w:pPr>
            <w:r>
              <w:t>Monte Carlo (sampling methodology)</w:t>
            </w:r>
          </w:p>
        </w:tc>
      </w:tr>
      <w:tr w:rsidR="003E65A5" w:rsidRPr="00470AD4" w14:paraId="1F489E57" w14:textId="77777777" w:rsidTr="003E65A5">
        <w:tblPrEx>
          <w:tblLook w:val="00A0" w:firstRow="1" w:lastRow="0" w:firstColumn="1" w:lastColumn="0" w:noHBand="0" w:noVBand="0"/>
        </w:tblPrEx>
        <w:tc>
          <w:tcPr>
            <w:tcW w:w="2127" w:type="dxa"/>
          </w:tcPr>
          <w:p w14:paraId="7EE29ADC" w14:textId="77777777" w:rsidR="003E65A5" w:rsidRPr="0030293D" w:rsidRDefault="003E65A5" w:rsidP="00A8139B">
            <w:pPr>
              <w:pStyle w:val="Body"/>
              <w:spacing w:before="10" w:after="10"/>
            </w:pPr>
            <w:r w:rsidRPr="0030293D">
              <w:t>mD</w:t>
            </w:r>
          </w:p>
        </w:tc>
        <w:tc>
          <w:tcPr>
            <w:tcW w:w="7087" w:type="dxa"/>
          </w:tcPr>
          <w:p w14:paraId="565BEAB9" w14:textId="77777777" w:rsidR="003E65A5" w:rsidRPr="00156924" w:rsidRDefault="003E65A5" w:rsidP="00A8139B">
            <w:pPr>
              <w:pStyle w:val="Body"/>
              <w:spacing w:before="10" w:after="10"/>
              <w:rPr>
                <w:rFonts w:eastAsia="Times New Roman"/>
                <w:lang w:eastAsia="en-AU"/>
              </w:rPr>
            </w:pPr>
            <w:r>
              <w:rPr>
                <w:rFonts w:eastAsia="Times New Roman"/>
                <w:lang w:eastAsia="en-AU"/>
              </w:rPr>
              <w:t>milliDarcy</w:t>
            </w:r>
          </w:p>
        </w:tc>
      </w:tr>
      <w:tr w:rsidR="00726719" w:rsidRPr="0075269C" w14:paraId="28E45DFB" w14:textId="77777777" w:rsidTr="00726719">
        <w:trPr>
          <w:trHeight w:val="84"/>
        </w:trPr>
        <w:tc>
          <w:tcPr>
            <w:tcW w:w="2127" w:type="dxa"/>
          </w:tcPr>
          <w:p w14:paraId="3FEF2EFF" w14:textId="77777777" w:rsidR="00726719" w:rsidRDefault="00536974" w:rsidP="00A8139B">
            <w:pPr>
              <w:pStyle w:val="Body"/>
              <w:spacing w:before="10" w:after="10"/>
            </w:pPr>
            <w:r>
              <w:t>MODFLOW</w:t>
            </w:r>
          </w:p>
        </w:tc>
        <w:tc>
          <w:tcPr>
            <w:tcW w:w="7087" w:type="dxa"/>
          </w:tcPr>
          <w:p w14:paraId="55EAB9BD" w14:textId="77777777" w:rsidR="00726719" w:rsidRDefault="00536974" w:rsidP="00A8139B">
            <w:pPr>
              <w:pStyle w:val="Body"/>
              <w:spacing w:before="10" w:after="10"/>
            </w:pPr>
            <w:r>
              <w:t>MODular groundwater FLOW model</w:t>
            </w:r>
          </w:p>
        </w:tc>
      </w:tr>
      <w:tr w:rsidR="006F079B" w:rsidRPr="0075269C" w14:paraId="504C6992" w14:textId="77777777" w:rsidTr="00726719">
        <w:trPr>
          <w:trHeight w:val="84"/>
        </w:trPr>
        <w:tc>
          <w:tcPr>
            <w:tcW w:w="2127" w:type="dxa"/>
          </w:tcPr>
          <w:p w14:paraId="5BF62340" w14:textId="77777777" w:rsidR="006F079B" w:rsidRDefault="006F079B" w:rsidP="00A8139B">
            <w:pPr>
              <w:pStyle w:val="Body"/>
              <w:spacing w:before="10" w:after="10"/>
            </w:pPr>
            <w:r>
              <w:t>MPA</w:t>
            </w:r>
          </w:p>
        </w:tc>
        <w:tc>
          <w:tcPr>
            <w:tcW w:w="7087" w:type="dxa"/>
          </w:tcPr>
          <w:p w14:paraId="0CB32984" w14:textId="77777777" w:rsidR="006F079B" w:rsidRDefault="006F079B" w:rsidP="00A8139B">
            <w:pPr>
              <w:pStyle w:val="Body"/>
              <w:spacing w:before="10" w:after="10"/>
            </w:pPr>
            <w:r>
              <w:t>MegaPAscals</w:t>
            </w:r>
          </w:p>
        </w:tc>
      </w:tr>
      <w:tr w:rsidR="00726719" w:rsidRPr="0075269C" w14:paraId="4809467C" w14:textId="77777777" w:rsidTr="00726719">
        <w:trPr>
          <w:trHeight w:val="84"/>
        </w:trPr>
        <w:tc>
          <w:tcPr>
            <w:tcW w:w="2127" w:type="dxa"/>
          </w:tcPr>
          <w:p w14:paraId="1E7ADDDB" w14:textId="77777777" w:rsidR="00726719" w:rsidRDefault="00536974" w:rsidP="00A8139B">
            <w:pPr>
              <w:pStyle w:val="Body"/>
              <w:spacing w:before="10" w:after="10"/>
            </w:pPr>
            <w:r>
              <w:t>MPS</w:t>
            </w:r>
          </w:p>
        </w:tc>
        <w:tc>
          <w:tcPr>
            <w:tcW w:w="7087" w:type="dxa"/>
          </w:tcPr>
          <w:p w14:paraId="6A9DEFE6" w14:textId="77777777" w:rsidR="00726719" w:rsidRPr="002602FC" w:rsidRDefault="00536974" w:rsidP="00A8139B">
            <w:pPr>
              <w:pStyle w:val="Body"/>
              <w:spacing w:before="10" w:after="10"/>
            </w:pPr>
            <w:r>
              <w:t>Multiple Point Statistics</w:t>
            </w:r>
          </w:p>
        </w:tc>
      </w:tr>
      <w:tr w:rsidR="003E65A5" w:rsidRPr="00470AD4" w14:paraId="7AAB65D4" w14:textId="77777777" w:rsidTr="003E65A5">
        <w:tblPrEx>
          <w:tblLook w:val="00A0" w:firstRow="1" w:lastRow="0" w:firstColumn="1" w:lastColumn="0" w:noHBand="0" w:noVBand="0"/>
        </w:tblPrEx>
        <w:tc>
          <w:tcPr>
            <w:tcW w:w="2127" w:type="dxa"/>
          </w:tcPr>
          <w:p w14:paraId="26E1ED86" w14:textId="77777777" w:rsidR="003E65A5" w:rsidRPr="003E65A5" w:rsidRDefault="003E65A5" w:rsidP="00A8139B">
            <w:pPr>
              <w:pStyle w:val="Body"/>
              <w:spacing w:before="10" w:after="10"/>
            </w:pPr>
            <w:r w:rsidRPr="003E65A5">
              <w:t>μD</w:t>
            </w:r>
          </w:p>
        </w:tc>
        <w:tc>
          <w:tcPr>
            <w:tcW w:w="7087" w:type="dxa"/>
          </w:tcPr>
          <w:p w14:paraId="4461E56D" w14:textId="77777777" w:rsidR="003E65A5" w:rsidRPr="003048ED" w:rsidRDefault="003E65A5" w:rsidP="00A8139B">
            <w:pPr>
              <w:pStyle w:val="Body"/>
              <w:spacing w:before="10" w:after="10"/>
            </w:pPr>
            <w:r>
              <w:t>microDarcy</w:t>
            </w:r>
          </w:p>
        </w:tc>
      </w:tr>
      <w:tr w:rsidR="00157DCE" w:rsidRPr="0075269C" w14:paraId="48A9EC21" w14:textId="77777777" w:rsidTr="00726719">
        <w:trPr>
          <w:trHeight w:val="84"/>
        </w:trPr>
        <w:tc>
          <w:tcPr>
            <w:tcW w:w="2127" w:type="dxa"/>
          </w:tcPr>
          <w:p w14:paraId="1C6E710D" w14:textId="77777777" w:rsidR="00157DCE" w:rsidRPr="00F23488" w:rsidRDefault="00157DCE" w:rsidP="00A8139B">
            <w:pPr>
              <w:pStyle w:val="Body"/>
              <w:spacing w:before="10" w:after="10"/>
            </w:pPr>
            <w:r>
              <w:t>NSW</w:t>
            </w:r>
          </w:p>
        </w:tc>
        <w:tc>
          <w:tcPr>
            <w:tcW w:w="7087" w:type="dxa"/>
          </w:tcPr>
          <w:p w14:paraId="53F3BD17" w14:textId="77777777" w:rsidR="00157DCE" w:rsidRPr="00F23488" w:rsidRDefault="00157DCE" w:rsidP="00A8139B">
            <w:pPr>
              <w:pStyle w:val="Body"/>
              <w:spacing w:before="10" w:after="10"/>
            </w:pPr>
            <w:r>
              <w:t>New South Wales</w:t>
            </w:r>
          </w:p>
        </w:tc>
      </w:tr>
      <w:tr w:rsidR="00536974" w:rsidRPr="0075269C" w14:paraId="6A322D0A" w14:textId="77777777" w:rsidTr="00726719">
        <w:trPr>
          <w:trHeight w:val="84"/>
        </w:trPr>
        <w:tc>
          <w:tcPr>
            <w:tcW w:w="2127" w:type="dxa"/>
          </w:tcPr>
          <w:p w14:paraId="39D4807C" w14:textId="77777777" w:rsidR="00536974" w:rsidRDefault="00536974" w:rsidP="00A8139B">
            <w:pPr>
              <w:pStyle w:val="Body"/>
              <w:spacing w:before="10" w:after="10"/>
            </w:pPr>
            <w:r>
              <w:t>OGIA</w:t>
            </w:r>
          </w:p>
        </w:tc>
        <w:tc>
          <w:tcPr>
            <w:tcW w:w="7087" w:type="dxa"/>
          </w:tcPr>
          <w:p w14:paraId="2851EE5D" w14:textId="77777777" w:rsidR="00536974" w:rsidRDefault="00536974" w:rsidP="00A8139B">
            <w:pPr>
              <w:pStyle w:val="Body"/>
              <w:spacing w:before="10" w:after="10"/>
            </w:pPr>
            <w:r>
              <w:t>Office of Groundwater Impact Assessment</w:t>
            </w:r>
            <w:r w:rsidR="00A03846">
              <w:t xml:space="preserve"> (Queensland)</w:t>
            </w:r>
          </w:p>
        </w:tc>
      </w:tr>
      <w:tr w:rsidR="00157DCE" w:rsidRPr="0075269C" w14:paraId="69CFC770" w14:textId="77777777" w:rsidTr="00726719">
        <w:trPr>
          <w:trHeight w:val="84"/>
        </w:trPr>
        <w:tc>
          <w:tcPr>
            <w:tcW w:w="2127" w:type="dxa"/>
          </w:tcPr>
          <w:p w14:paraId="21F6CEDF" w14:textId="77777777" w:rsidR="00157DCE" w:rsidRDefault="00157DCE" w:rsidP="00A8139B">
            <w:pPr>
              <w:pStyle w:val="Body"/>
              <w:spacing w:before="10" w:after="10"/>
            </w:pPr>
            <w:r>
              <w:t>PDF</w:t>
            </w:r>
          </w:p>
        </w:tc>
        <w:tc>
          <w:tcPr>
            <w:tcW w:w="7087" w:type="dxa"/>
          </w:tcPr>
          <w:p w14:paraId="146B0C9E" w14:textId="77777777" w:rsidR="00157DCE" w:rsidRDefault="00536974" w:rsidP="00A8139B">
            <w:pPr>
              <w:pStyle w:val="Body"/>
              <w:spacing w:before="10" w:after="10"/>
            </w:pPr>
            <w:r>
              <w:t>Probability Density Function</w:t>
            </w:r>
          </w:p>
        </w:tc>
      </w:tr>
      <w:tr w:rsidR="00536974" w:rsidRPr="0075269C" w14:paraId="30731891" w14:textId="77777777" w:rsidTr="00726719">
        <w:trPr>
          <w:trHeight w:val="84"/>
        </w:trPr>
        <w:tc>
          <w:tcPr>
            <w:tcW w:w="2127" w:type="dxa"/>
          </w:tcPr>
          <w:p w14:paraId="6322FCCF" w14:textId="77777777" w:rsidR="00536974" w:rsidRDefault="00536974" w:rsidP="00A8139B">
            <w:pPr>
              <w:pStyle w:val="Body"/>
              <w:spacing w:before="10" w:after="10"/>
            </w:pPr>
            <w:r>
              <w:t>QCLNG</w:t>
            </w:r>
          </w:p>
        </w:tc>
        <w:tc>
          <w:tcPr>
            <w:tcW w:w="7087" w:type="dxa"/>
          </w:tcPr>
          <w:p w14:paraId="50498B55" w14:textId="77777777" w:rsidR="00536974" w:rsidRPr="00B8479C" w:rsidRDefault="00536974" w:rsidP="00A8139B">
            <w:pPr>
              <w:pStyle w:val="Body"/>
              <w:spacing w:before="10" w:after="10"/>
            </w:pPr>
            <w:r w:rsidRPr="00536974">
              <w:t xml:space="preserve">Queensland Curtis Liquefied Natural Gas </w:t>
            </w:r>
            <w:r>
              <w:t>(p</w:t>
            </w:r>
            <w:r w:rsidRPr="00536974">
              <w:t>roject</w:t>
            </w:r>
            <w:r>
              <w:t>)</w:t>
            </w:r>
          </w:p>
        </w:tc>
      </w:tr>
      <w:tr w:rsidR="00157DCE" w:rsidRPr="0075269C" w14:paraId="35604FE6" w14:textId="77777777" w:rsidTr="00726719">
        <w:trPr>
          <w:trHeight w:val="84"/>
        </w:trPr>
        <w:tc>
          <w:tcPr>
            <w:tcW w:w="2127" w:type="dxa"/>
          </w:tcPr>
          <w:p w14:paraId="4A82409A" w14:textId="77777777" w:rsidR="00157DCE" w:rsidRDefault="00157DCE" w:rsidP="00A8139B">
            <w:pPr>
              <w:pStyle w:val="Body"/>
              <w:spacing w:before="10" w:after="10"/>
            </w:pPr>
            <w:r>
              <w:t>QGC</w:t>
            </w:r>
          </w:p>
        </w:tc>
        <w:tc>
          <w:tcPr>
            <w:tcW w:w="7087" w:type="dxa"/>
          </w:tcPr>
          <w:p w14:paraId="01F52A31" w14:textId="77777777" w:rsidR="00157DCE" w:rsidRPr="00B8479C" w:rsidRDefault="00157DCE" w:rsidP="00A8139B">
            <w:pPr>
              <w:pStyle w:val="Body"/>
              <w:spacing w:before="10" w:after="10"/>
            </w:pPr>
            <w:r w:rsidRPr="00B8479C">
              <w:t>Queensland Gas Company</w:t>
            </w:r>
          </w:p>
        </w:tc>
      </w:tr>
      <w:tr w:rsidR="00157DCE" w:rsidRPr="0075269C" w14:paraId="19D4A562" w14:textId="77777777" w:rsidTr="00726719">
        <w:trPr>
          <w:trHeight w:val="84"/>
        </w:trPr>
        <w:tc>
          <w:tcPr>
            <w:tcW w:w="2127" w:type="dxa"/>
          </w:tcPr>
          <w:p w14:paraId="4AE609F1" w14:textId="77777777" w:rsidR="00157DCE" w:rsidRDefault="00157DCE" w:rsidP="00A8139B">
            <w:pPr>
              <w:pStyle w:val="Body"/>
              <w:spacing w:before="10" w:after="10"/>
            </w:pPr>
            <w:r>
              <w:t>Qld</w:t>
            </w:r>
          </w:p>
        </w:tc>
        <w:tc>
          <w:tcPr>
            <w:tcW w:w="7087" w:type="dxa"/>
          </w:tcPr>
          <w:p w14:paraId="761835CB" w14:textId="77777777" w:rsidR="00157DCE" w:rsidRPr="00B8479C" w:rsidRDefault="00157DCE" w:rsidP="00A8139B">
            <w:pPr>
              <w:pStyle w:val="Body"/>
              <w:spacing w:before="10" w:after="10"/>
            </w:pPr>
            <w:r>
              <w:t>Queensland</w:t>
            </w:r>
          </w:p>
        </w:tc>
      </w:tr>
      <w:tr w:rsidR="00157DCE" w:rsidRPr="0075269C" w14:paraId="7E2CA3A5" w14:textId="77777777" w:rsidTr="00726719">
        <w:trPr>
          <w:trHeight w:val="84"/>
        </w:trPr>
        <w:tc>
          <w:tcPr>
            <w:tcW w:w="2127" w:type="dxa"/>
          </w:tcPr>
          <w:p w14:paraId="0DD9652A" w14:textId="77777777" w:rsidR="00157DCE" w:rsidRDefault="00157DCE" w:rsidP="00A8139B">
            <w:pPr>
              <w:pStyle w:val="Body"/>
              <w:spacing w:before="10" w:after="10"/>
            </w:pPr>
            <w:r>
              <w:t>QWC</w:t>
            </w:r>
          </w:p>
        </w:tc>
        <w:tc>
          <w:tcPr>
            <w:tcW w:w="7087" w:type="dxa"/>
          </w:tcPr>
          <w:p w14:paraId="680AB773" w14:textId="77777777" w:rsidR="00157DCE" w:rsidRDefault="00157DCE" w:rsidP="00A8139B">
            <w:pPr>
              <w:pStyle w:val="Body"/>
              <w:spacing w:before="10" w:after="10"/>
            </w:pPr>
            <w:r w:rsidRPr="00B8479C">
              <w:t>Queensland Water Commission</w:t>
            </w:r>
          </w:p>
        </w:tc>
      </w:tr>
      <w:tr w:rsidR="00157DCE" w:rsidRPr="0075269C" w14:paraId="7DF9122F" w14:textId="77777777" w:rsidTr="00726719">
        <w:trPr>
          <w:trHeight w:val="84"/>
        </w:trPr>
        <w:tc>
          <w:tcPr>
            <w:tcW w:w="2127" w:type="dxa"/>
          </w:tcPr>
          <w:p w14:paraId="118EEE3A" w14:textId="77777777" w:rsidR="00157DCE" w:rsidRDefault="00536974" w:rsidP="00A8139B">
            <w:pPr>
              <w:pStyle w:val="Body"/>
              <w:spacing w:before="10" w:after="10"/>
            </w:pPr>
            <w:r>
              <w:t>SMOS</w:t>
            </w:r>
          </w:p>
        </w:tc>
        <w:tc>
          <w:tcPr>
            <w:tcW w:w="7087" w:type="dxa"/>
          </w:tcPr>
          <w:p w14:paraId="3355CF28" w14:textId="77777777" w:rsidR="00157DCE" w:rsidRDefault="00536974" w:rsidP="00A8139B">
            <w:pPr>
              <w:pStyle w:val="Body"/>
              <w:spacing w:before="10" w:after="10"/>
            </w:pPr>
            <w:r w:rsidRPr="00536974">
              <w:t>Soil Moisture and Ocean Salinity (</w:t>
            </w:r>
            <w:r>
              <w:t>satellite</w:t>
            </w:r>
            <w:r w:rsidRPr="00536974">
              <w:t xml:space="preserve"> mission</w:t>
            </w:r>
            <w:r>
              <w:t>)</w:t>
            </w:r>
          </w:p>
        </w:tc>
      </w:tr>
      <w:tr w:rsidR="00536974" w:rsidRPr="0075269C" w14:paraId="5C5D0EC7" w14:textId="77777777" w:rsidTr="00726719">
        <w:trPr>
          <w:trHeight w:val="84"/>
        </w:trPr>
        <w:tc>
          <w:tcPr>
            <w:tcW w:w="2127" w:type="dxa"/>
          </w:tcPr>
          <w:p w14:paraId="573BA16A" w14:textId="77777777" w:rsidR="00536974" w:rsidRDefault="00536974" w:rsidP="00A8139B">
            <w:pPr>
              <w:pStyle w:val="Body"/>
              <w:spacing w:before="10" w:after="10"/>
            </w:pPr>
            <w:r>
              <w:t>SWS</w:t>
            </w:r>
          </w:p>
        </w:tc>
        <w:tc>
          <w:tcPr>
            <w:tcW w:w="7087" w:type="dxa"/>
          </w:tcPr>
          <w:p w14:paraId="25AC4197" w14:textId="77777777" w:rsidR="00536974" w:rsidRDefault="00536974" w:rsidP="00A8139B">
            <w:pPr>
              <w:pStyle w:val="Body"/>
              <w:spacing w:before="10" w:after="10"/>
            </w:pPr>
            <w:r>
              <w:t>Schlumberger Water Services</w:t>
            </w:r>
          </w:p>
        </w:tc>
      </w:tr>
      <w:tr w:rsidR="00157DCE" w:rsidRPr="0075269C" w14:paraId="35BE7A19" w14:textId="77777777" w:rsidTr="00726719">
        <w:trPr>
          <w:trHeight w:val="84"/>
        </w:trPr>
        <w:tc>
          <w:tcPr>
            <w:tcW w:w="2127" w:type="dxa"/>
          </w:tcPr>
          <w:p w14:paraId="790CC8B9" w14:textId="77777777" w:rsidR="00157DCE" w:rsidRDefault="00157DCE" w:rsidP="00A8139B">
            <w:pPr>
              <w:pStyle w:val="Body"/>
              <w:spacing w:before="10" w:after="10"/>
            </w:pPr>
            <w:r>
              <w:t>US EPA</w:t>
            </w:r>
          </w:p>
        </w:tc>
        <w:tc>
          <w:tcPr>
            <w:tcW w:w="7087" w:type="dxa"/>
          </w:tcPr>
          <w:p w14:paraId="7A7D58A4" w14:textId="77777777" w:rsidR="00157DCE" w:rsidRDefault="00157DCE" w:rsidP="00A8139B">
            <w:pPr>
              <w:pStyle w:val="Body"/>
              <w:spacing w:before="10" w:after="10"/>
            </w:pPr>
            <w:r>
              <w:t>United States</w:t>
            </w:r>
            <w:r w:rsidRPr="00CE26BE">
              <w:rPr>
                <w:noProof/>
                <w:sz w:val="22"/>
              </w:rPr>
              <w:t xml:space="preserve"> </w:t>
            </w:r>
            <w:r w:rsidRPr="00B8479C">
              <w:t>Environmental Protection Agency</w:t>
            </w:r>
          </w:p>
        </w:tc>
      </w:tr>
      <w:tr w:rsidR="00157DCE" w:rsidRPr="0075269C" w14:paraId="39DEB08B" w14:textId="77777777" w:rsidTr="00726719">
        <w:trPr>
          <w:trHeight w:val="84"/>
        </w:trPr>
        <w:tc>
          <w:tcPr>
            <w:tcW w:w="2127" w:type="dxa"/>
          </w:tcPr>
          <w:p w14:paraId="675EE7EC" w14:textId="77777777" w:rsidR="00157DCE" w:rsidRPr="00F23488" w:rsidRDefault="00536974" w:rsidP="00A8139B">
            <w:pPr>
              <w:pStyle w:val="Body"/>
              <w:spacing w:before="10" w:after="10"/>
            </w:pPr>
            <w:r>
              <w:t>USG</w:t>
            </w:r>
          </w:p>
        </w:tc>
        <w:tc>
          <w:tcPr>
            <w:tcW w:w="7087" w:type="dxa"/>
          </w:tcPr>
          <w:p w14:paraId="3EF43694" w14:textId="77777777" w:rsidR="00157DCE" w:rsidRPr="00F23488" w:rsidRDefault="00536974" w:rsidP="00A8139B">
            <w:pPr>
              <w:pStyle w:val="Body"/>
              <w:spacing w:before="10" w:after="10"/>
            </w:pPr>
            <w:r>
              <w:t>UnStructured Grid</w:t>
            </w:r>
          </w:p>
        </w:tc>
      </w:tr>
    </w:tbl>
    <w:p w14:paraId="2F27AA1A" w14:textId="77777777" w:rsidR="00F400AD" w:rsidRDefault="00F400AD">
      <w:pPr>
        <w:rPr>
          <w:rFonts w:ascii="Calibri" w:hAnsi="Calibri" w:cs="Calibri"/>
          <w:color w:val="000000"/>
          <w:sz w:val="18"/>
          <w:szCs w:val="18"/>
          <w:lang w:val="en-GB"/>
        </w:rPr>
      </w:pPr>
      <w:r>
        <w:br w:type="page"/>
      </w:r>
    </w:p>
    <w:p w14:paraId="1FB5669D" w14:textId="77777777" w:rsidR="00726719" w:rsidRDefault="00726719" w:rsidP="00F400AD">
      <w:pPr>
        <w:pStyle w:val="H1"/>
      </w:pPr>
      <w:bookmarkStart w:id="2" w:name="_Toc351121191"/>
      <w:bookmarkStart w:id="3" w:name="_Toc409431712"/>
      <w:bookmarkStart w:id="4" w:name="_Toc413683947"/>
      <w:bookmarkStart w:id="5" w:name="_Toc432618723"/>
      <w:r w:rsidRPr="00CF283E">
        <w:t>Glossary</w:t>
      </w:r>
      <w:bookmarkEnd w:id="2"/>
      <w:bookmarkEnd w:id="3"/>
      <w:bookmarkEnd w:id="4"/>
      <w:bookmarkEnd w:id="5"/>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726719" w:rsidRPr="00AA613E" w14:paraId="26C541D8" w14:textId="77777777" w:rsidTr="00726719">
        <w:trPr>
          <w:tblHeader/>
        </w:trPr>
        <w:tc>
          <w:tcPr>
            <w:tcW w:w="2268" w:type="dxa"/>
            <w:shd w:val="clear" w:color="auto" w:fill="C6D9F1"/>
          </w:tcPr>
          <w:p w14:paraId="0D2E4D3C" w14:textId="77777777" w:rsidR="00726719" w:rsidRPr="00AA613E" w:rsidRDefault="00726719" w:rsidP="00B9544F">
            <w:pPr>
              <w:pStyle w:val="Body"/>
              <w:rPr>
                <w:b/>
              </w:rPr>
            </w:pPr>
            <w:r w:rsidRPr="00AA613E">
              <w:rPr>
                <w:b/>
              </w:rPr>
              <w:t>Term</w:t>
            </w:r>
          </w:p>
        </w:tc>
        <w:tc>
          <w:tcPr>
            <w:tcW w:w="6946" w:type="dxa"/>
            <w:shd w:val="clear" w:color="auto" w:fill="C6D9F1"/>
          </w:tcPr>
          <w:p w14:paraId="4455B31D" w14:textId="77777777" w:rsidR="00726719" w:rsidRPr="00AA613E" w:rsidRDefault="00726719" w:rsidP="00B9544F">
            <w:pPr>
              <w:pStyle w:val="Body"/>
              <w:rPr>
                <w:b/>
              </w:rPr>
            </w:pPr>
            <w:r w:rsidRPr="00AA613E">
              <w:rPr>
                <w:b/>
              </w:rPr>
              <w:t>Description</w:t>
            </w:r>
          </w:p>
        </w:tc>
      </w:tr>
      <w:tr w:rsidR="00111E98" w:rsidRPr="00AA613E" w14:paraId="6BA9C189" w14:textId="77777777" w:rsidTr="00726719">
        <w:tc>
          <w:tcPr>
            <w:tcW w:w="2268" w:type="dxa"/>
          </w:tcPr>
          <w:p w14:paraId="787BBAEE" w14:textId="77777777" w:rsidR="00111E98" w:rsidRPr="00AA613E" w:rsidRDefault="00111E98" w:rsidP="00B9544F">
            <w:pPr>
              <w:pStyle w:val="Body"/>
              <w:rPr>
                <w:rFonts w:eastAsia="Times New Roman"/>
                <w:lang w:eastAsia="en-AU"/>
              </w:rPr>
            </w:pPr>
            <w:r>
              <w:rPr>
                <w:rFonts w:eastAsia="Times New Roman"/>
                <w:lang w:eastAsia="en-AU"/>
              </w:rPr>
              <w:t>Aleatory uncertainty</w:t>
            </w:r>
          </w:p>
        </w:tc>
        <w:tc>
          <w:tcPr>
            <w:tcW w:w="6946" w:type="dxa"/>
          </w:tcPr>
          <w:p w14:paraId="3DBF36E5" w14:textId="11D32AA0" w:rsidR="00111E98" w:rsidRPr="00AA11FC" w:rsidRDefault="00BA08D5">
            <w:pPr>
              <w:pStyle w:val="Body"/>
            </w:pPr>
            <w:r>
              <w:t>U</w:t>
            </w:r>
            <w:r w:rsidRPr="00C96A00">
              <w:t>ncertainty characterised by inherent randomness or stochasticity of a system that cannot be reduced by further data collection</w:t>
            </w:r>
          </w:p>
        </w:tc>
      </w:tr>
      <w:tr w:rsidR="00726719" w:rsidRPr="00AA613E" w14:paraId="5D5AD438" w14:textId="77777777" w:rsidTr="00726719">
        <w:tc>
          <w:tcPr>
            <w:tcW w:w="2268" w:type="dxa"/>
          </w:tcPr>
          <w:p w14:paraId="6A729682" w14:textId="77777777" w:rsidR="00726719" w:rsidRPr="00AA613E" w:rsidRDefault="00D2003B" w:rsidP="00B9544F">
            <w:pPr>
              <w:pStyle w:val="Body"/>
              <w:rPr>
                <w:rFonts w:eastAsia="Times New Roman"/>
                <w:lang w:eastAsia="en-AU"/>
              </w:rPr>
            </w:pPr>
            <w:r w:rsidRPr="00AA613E">
              <w:rPr>
                <w:rFonts w:eastAsia="Times New Roman"/>
                <w:lang w:eastAsia="en-AU"/>
              </w:rPr>
              <w:t>Anisotropy</w:t>
            </w:r>
          </w:p>
        </w:tc>
        <w:tc>
          <w:tcPr>
            <w:tcW w:w="6946" w:type="dxa"/>
          </w:tcPr>
          <w:p w14:paraId="4904EF3D" w14:textId="77777777" w:rsidR="00726719" w:rsidRPr="00AA613E" w:rsidRDefault="00A03846" w:rsidP="00366E23">
            <w:pPr>
              <w:pStyle w:val="Body"/>
              <w:rPr>
                <w:rFonts w:eastAsia="Times New Roman"/>
                <w:lang w:eastAsia="en-AU"/>
              </w:rPr>
            </w:pPr>
            <w:r w:rsidRPr="00AA11FC">
              <w:t>A term used to describe the</w:t>
            </w:r>
            <w:r w:rsidR="008E0E42">
              <w:t xml:space="preserve"> directional</w:t>
            </w:r>
            <w:r w:rsidRPr="00AA11FC">
              <w:t xml:space="preserve"> </w:t>
            </w:r>
            <w:r w:rsidR="00366E23">
              <w:t xml:space="preserve">dependence </w:t>
            </w:r>
            <w:r w:rsidRPr="00AA11FC">
              <w:t xml:space="preserve">of </w:t>
            </w:r>
            <w:r w:rsidR="00366E23">
              <w:t xml:space="preserve">given </w:t>
            </w:r>
            <w:r w:rsidR="008E0E42">
              <w:t>properties</w:t>
            </w:r>
            <w:r w:rsidR="00366E23">
              <w:t xml:space="preserve">; for example, the </w:t>
            </w:r>
            <w:r>
              <w:t xml:space="preserve">hydraulic properties of an aquifer </w:t>
            </w:r>
            <w:r w:rsidRPr="00AA11FC">
              <w:t>(as opposed to isotropy, which denote</w:t>
            </w:r>
            <w:r>
              <w:t>s</w:t>
            </w:r>
            <w:r w:rsidRPr="00AA11FC">
              <w:t xml:space="preserve"> identical properties in all directions)</w:t>
            </w:r>
          </w:p>
        </w:tc>
      </w:tr>
      <w:tr w:rsidR="00726719" w:rsidRPr="00AA613E" w14:paraId="6D0CC951" w14:textId="77777777" w:rsidTr="00726719">
        <w:tc>
          <w:tcPr>
            <w:tcW w:w="2268" w:type="dxa"/>
          </w:tcPr>
          <w:p w14:paraId="008C591D" w14:textId="77777777" w:rsidR="00726719" w:rsidRPr="00AA613E" w:rsidRDefault="00726719" w:rsidP="00B9544F">
            <w:pPr>
              <w:pStyle w:val="Body"/>
              <w:rPr>
                <w:rFonts w:eastAsia="Times New Roman"/>
                <w:lang w:eastAsia="en-AU"/>
              </w:rPr>
            </w:pPr>
            <w:r w:rsidRPr="00AA613E">
              <w:rPr>
                <w:rFonts w:eastAsia="Times New Roman"/>
                <w:lang w:eastAsia="en-AU"/>
              </w:rPr>
              <w:t>Aquifer</w:t>
            </w:r>
          </w:p>
        </w:tc>
        <w:tc>
          <w:tcPr>
            <w:tcW w:w="6946" w:type="dxa"/>
          </w:tcPr>
          <w:p w14:paraId="23436F2D" w14:textId="5132315A" w:rsidR="00726719" w:rsidRPr="00AA613E" w:rsidRDefault="00726719" w:rsidP="00B9544F">
            <w:pPr>
              <w:pStyle w:val="Body"/>
              <w:rPr>
                <w:rFonts w:eastAsia="Times New Roman"/>
                <w:lang w:eastAsia="en-AU"/>
              </w:rPr>
            </w:pPr>
            <w:r w:rsidRPr="00AA613E">
              <w:rPr>
                <w:rFonts w:eastAsia="Times New Roman"/>
                <w:lang w:eastAsia="en-AU"/>
              </w:rPr>
              <w:t xml:space="preserve">Rock or sediment in </w:t>
            </w:r>
            <w:r w:rsidR="006279BB">
              <w:rPr>
                <w:rFonts w:eastAsia="Times New Roman"/>
                <w:lang w:eastAsia="en-AU"/>
              </w:rPr>
              <w:t xml:space="preserve">a </w:t>
            </w:r>
            <w:r w:rsidRPr="00AA613E">
              <w:rPr>
                <w:rFonts w:eastAsia="Times New Roman"/>
                <w:lang w:eastAsia="en-AU"/>
              </w:rPr>
              <w:t>formation, group of formations or part of a formation, which is saturated and sufficiently permeable to transmit quantities of water to wells and springs</w:t>
            </w:r>
          </w:p>
        </w:tc>
      </w:tr>
      <w:tr w:rsidR="00726719" w:rsidRPr="00AA613E" w14:paraId="7437A609" w14:textId="77777777" w:rsidTr="00726719">
        <w:tc>
          <w:tcPr>
            <w:tcW w:w="2268" w:type="dxa"/>
          </w:tcPr>
          <w:p w14:paraId="1E942812" w14:textId="77777777" w:rsidR="00726719" w:rsidRPr="00AA613E" w:rsidRDefault="00726719" w:rsidP="00B9544F">
            <w:pPr>
              <w:pStyle w:val="Body"/>
              <w:rPr>
                <w:rFonts w:eastAsia="Times New Roman"/>
                <w:lang w:eastAsia="en-AU"/>
              </w:rPr>
            </w:pPr>
            <w:r w:rsidRPr="00AA613E">
              <w:rPr>
                <w:rFonts w:eastAsia="Times New Roman"/>
                <w:lang w:eastAsia="en-AU"/>
              </w:rPr>
              <w:t>Aquitard</w:t>
            </w:r>
          </w:p>
        </w:tc>
        <w:tc>
          <w:tcPr>
            <w:tcW w:w="6946" w:type="dxa"/>
          </w:tcPr>
          <w:p w14:paraId="34D1EB2B" w14:textId="77777777" w:rsidR="00726719" w:rsidRPr="00AA613E" w:rsidRDefault="00726719" w:rsidP="00EB3023">
            <w:pPr>
              <w:pStyle w:val="Body"/>
              <w:rPr>
                <w:rFonts w:eastAsia="Times New Roman"/>
                <w:lang w:eastAsia="en-AU"/>
              </w:rPr>
            </w:pPr>
            <w:r w:rsidRPr="00AA613E">
              <w:rPr>
                <w:rFonts w:eastAsia="Times New Roman"/>
                <w:lang w:eastAsia="en-AU"/>
              </w:rPr>
              <w:t>A saturated geological unit that is less permeable than an aquifer and incapable of transmitting useful quantities of water. Aquitards often form a confining layer over aquifer</w:t>
            </w:r>
            <w:r w:rsidR="00EB3023">
              <w:rPr>
                <w:rFonts w:eastAsia="Times New Roman"/>
                <w:lang w:eastAsia="en-AU"/>
              </w:rPr>
              <w:t>s</w:t>
            </w:r>
          </w:p>
        </w:tc>
      </w:tr>
      <w:tr w:rsidR="00726719" w:rsidRPr="00AA613E" w14:paraId="5D1E23D0" w14:textId="77777777" w:rsidTr="00726719">
        <w:tc>
          <w:tcPr>
            <w:tcW w:w="2268" w:type="dxa"/>
          </w:tcPr>
          <w:p w14:paraId="15E9AA2C" w14:textId="77777777" w:rsidR="00726719" w:rsidRPr="00AA613E" w:rsidRDefault="00B9544F" w:rsidP="00C0198D">
            <w:pPr>
              <w:pStyle w:val="Body"/>
              <w:rPr>
                <w:rFonts w:eastAsia="Times New Roman"/>
                <w:lang w:eastAsia="en-AU"/>
              </w:rPr>
            </w:pPr>
            <w:r w:rsidRPr="00C0198D">
              <w:rPr>
                <w:rFonts w:eastAsia="Times New Roman"/>
                <w:lang w:eastAsia="en-AU"/>
              </w:rPr>
              <w:t>Auto-covariance</w:t>
            </w:r>
          </w:p>
        </w:tc>
        <w:tc>
          <w:tcPr>
            <w:tcW w:w="6946" w:type="dxa"/>
          </w:tcPr>
          <w:p w14:paraId="40321A0C" w14:textId="5CA52C52" w:rsidR="00726719" w:rsidRPr="00AA613E" w:rsidRDefault="00C0198D" w:rsidP="00C0198D">
            <w:pPr>
              <w:pStyle w:val="Body"/>
              <w:rPr>
                <w:rFonts w:eastAsia="Times New Roman"/>
                <w:lang w:eastAsia="en-AU"/>
              </w:rPr>
            </w:pPr>
            <w:r w:rsidRPr="00C0198D">
              <w:rPr>
                <w:rFonts w:eastAsia="Times New Roman"/>
                <w:lang w:eastAsia="en-AU"/>
              </w:rPr>
              <w:t xml:space="preserve">Function that gives the </w:t>
            </w:r>
            <w:hyperlink r:id="rId16" w:tooltip="Covariance" w:history="1">
              <w:r w:rsidRPr="00C0198D">
                <w:rPr>
                  <w:rFonts w:eastAsia="Times New Roman"/>
                  <w:lang w:eastAsia="en-AU"/>
                </w:rPr>
                <w:t>covariance</w:t>
              </w:r>
            </w:hyperlink>
            <w:r w:rsidRPr="00C0198D">
              <w:rPr>
                <w:rFonts w:eastAsia="Times New Roman"/>
                <w:lang w:eastAsia="en-AU"/>
              </w:rPr>
              <w:t xml:space="preserve"> of the process with</w:t>
            </w:r>
            <w:r w:rsidR="00AE5A01">
              <w:rPr>
                <w:rFonts w:eastAsia="Times New Roman"/>
                <w:lang w:eastAsia="en-AU"/>
              </w:rPr>
              <w:t xml:space="preserve"> itself at two points in space</w:t>
            </w:r>
          </w:p>
        </w:tc>
      </w:tr>
      <w:tr w:rsidR="00C270C5" w:rsidRPr="00AA613E" w14:paraId="7FE91C05" w14:textId="77777777" w:rsidTr="00726719">
        <w:tc>
          <w:tcPr>
            <w:tcW w:w="2268" w:type="dxa"/>
          </w:tcPr>
          <w:p w14:paraId="6850BA27" w14:textId="77777777" w:rsidR="00C270C5" w:rsidRPr="00AA613E" w:rsidRDefault="00C270C5" w:rsidP="00B9544F">
            <w:pPr>
              <w:pStyle w:val="Body"/>
              <w:rPr>
                <w:rFonts w:eastAsia="Times New Roman"/>
                <w:lang w:eastAsia="en-AU"/>
              </w:rPr>
            </w:pPr>
            <w:r w:rsidRPr="00AA613E">
              <w:rPr>
                <w:rFonts w:eastAsia="Times New Roman"/>
                <w:lang w:eastAsia="en-AU"/>
              </w:rPr>
              <w:t>Bimodal distribution</w:t>
            </w:r>
          </w:p>
        </w:tc>
        <w:tc>
          <w:tcPr>
            <w:tcW w:w="6946" w:type="dxa"/>
          </w:tcPr>
          <w:p w14:paraId="7C0250F7" w14:textId="77777777" w:rsidR="00C270C5" w:rsidRPr="00AA613E" w:rsidRDefault="00B0726C" w:rsidP="00F05A84">
            <w:pPr>
              <w:pStyle w:val="Body"/>
              <w:rPr>
                <w:rFonts w:eastAsia="Times New Roman"/>
                <w:lang w:eastAsia="en-AU"/>
              </w:rPr>
            </w:pPr>
            <w:r w:rsidRPr="00AA613E">
              <w:rPr>
                <w:rFonts w:eastAsia="Times New Roman"/>
                <w:lang w:eastAsia="en-AU"/>
              </w:rPr>
              <w:t>A statistical distribution featuring two distinct modes or maxima</w:t>
            </w:r>
          </w:p>
        </w:tc>
      </w:tr>
      <w:tr w:rsidR="00726719" w:rsidRPr="00AA613E" w14:paraId="61C576ED" w14:textId="77777777" w:rsidTr="00726719">
        <w:tc>
          <w:tcPr>
            <w:tcW w:w="2268" w:type="dxa"/>
          </w:tcPr>
          <w:p w14:paraId="2CE4FB9B" w14:textId="77777777" w:rsidR="00726719" w:rsidRPr="00AA613E" w:rsidRDefault="00B9544F" w:rsidP="00B9544F">
            <w:pPr>
              <w:pStyle w:val="Body"/>
              <w:rPr>
                <w:rFonts w:eastAsia="Times New Roman"/>
                <w:lang w:eastAsia="en-AU"/>
              </w:rPr>
            </w:pPr>
            <w:r w:rsidRPr="00AA613E">
              <w:rPr>
                <w:rFonts w:eastAsia="Times New Roman"/>
                <w:lang w:eastAsia="en-AU"/>
              </w:rPr>
              <w:t>Breccia</w:t>
            </w:r>
          </w:p>
        </w:tc>
        <w:tc>
          <w:tcPr>
            <w:tcW w:w="6946" w:type="dxa"/>
          </w:tcPr>
          <w:p w14:paraId="679532A9" w14:textId="77777777" w:rsidR="00726719" w:rsidRPr="00AA613E" w:rsidRDefault="00707787" w:rsidP="00B9544F">
            <w:pPr>
              <w:pStyle w:val="Body"/>
              <w:rPr>
                <w:rFonts w:eastAsia="Times New Roman"/>
                <w:lang w:eastAsia="en-AU"/>
              </w:rPr>
            </w:pPr>
            <w:r w:rsidRPr="00AA613E">
              <w:rPr>
                <w:rFonts w:eastAsia="Times New Roman"/>
                <w:lang w:eastAsia="en-AU"/>
              </w:rPr>
              <w:t>Rock consisting of angular fragments of stones cemented by finer calcareous material</w:t>
            </w:r>
          </w:p>
        </w:tc>
      </w:tr>
      <w:tr w:rsidR="00E513F3" w:rsidRPr="00AA613E" w14:paraId="14BB558C" w14:textId="77777777" w:rsidTr="00726719">
        <w:tc>
          <w:tcPr>
            <w:tcW w:w="2268" w:type="dxa"/>
          </w:tcPr>
          <w:p w14:paraId="6F7053C3" w14:textId="77777777" w:rsidR="00E513F3" w:rsidRPr="00AA613E" w:rsidRDefault="00E513F3" w:rsidP="00B9544F">
            <w:pPr>
              <w:pStyle w:val="Body"/>
              <w:rPr>
                <w:rFonts w:eastAsia="Times New Roman"/>
                <w:lang w:eastAsia="en-AU"/>
              </w:rPr>
            </w:pPr>
            <w:r>
              <w:rPr>
                <w:rFonts w:eastAsia="Times New Roman"/>
                <w:lang w:eastAsia="en-AU"/>
              </w:rPr>
              <w:t>Capillary pressure</w:t>
            </w:r>
          </w:p>
        </w:tc>
        <w:tc>
          <w:tcPr>
            <w:tcW w:w="6946" w:type="dxa"/>
          </w:tcPr>
          <w:p w14:paraId="434A4EBC" w14:textId="77777777" w:rsidR="00E513F3" w:rsidRPr="00AA613E" w:rsidRDefault="00E0632E" w:rsidP="00E0632E">
            <w:pPr>
              <w:pStyle w:val="Body"/>
              <w:rPr>
                <w:rFonts w:eastAsia="Times New Roman"/>
                <w:lang w:eastAsia="en-AU"/>
              </w:rPr>
            </w:pPr>
            <w:r>
              <w:rPr>
                <w:rFonts w:eastAsia="Times New Roman"/>
                <w:lang w:eastAsia="en-AU"/>
              </w:rPr>
              <w:t>T</w:t>
            </w:r>
            <w:r w:rsidRPr="00E0632E">
              <w:rPr>
                <w:rFonts w:eastAsia="Times New Roman"/>
                <w:lang w:eastAsia="en-AU"/>
              </w:rPr>
              <w:t>he force necessary to squeeze a hydrocarbon droplet through a pore throat (works against the interfacial tension between oil and water phases)</w:t>
            </w:r>
          </w:p>
        </w:tc>
      </w:tr>
      <w:tr w:rsidR="00B9544F" w:rsidRPr="00AA613E" w14:paraId="106ECE85" w14:textId="77777777" w:rsidTr="00726719">
        <w:tc>
          <w:tcPr>
            <w:tcW w:w="2268" w:type="dxa"/>
          </w:tcPr>
          <w:p w14:paraId="71CD87C4" w14:textId="77777777" w:rsidR="00B9544F" w:rsidRPr="00AA613E" w:rsidRDefault="00B9544F" w:rsidP="00B9544F">
            <w:pPr>
              <w:pStyle w:val="Body"/>
              <w:rPr>
                <w:rFonts w:eastAsia="Times New Roman"/>
                <w:lang w:eastAsia="en-AU"/>
              </w:rPr>
            </w:pPr>
            <w:r w:rsidRPr="00AA613E">
              <w:rPr>
                <w:rFonts w:eastAsia="Times New Roman"/>
                <w:lang w:eastAsia="en-AU"/>
              </w:rPr>
              <w:t>Cataclasite</w:t>
            </w:r>
          </w:p>
        </w:tc>
        <w:tc>
          <w:tcPr>
            <w:tcW w:w="6946" w:type="dxa"/>
          </w:tcPr>
          <w:p w14:paraId="74DE54F9" w14:textId="77777777" w:rsidR="00B9544F" w:rsidRPr="00AA613E" w:rsidRDefault="00C53A10" w:rsidP="00C53A10">
            <w:pPr>
              <w:pStyle w:val="Body"/>
              <w:rPr>
                <w:rFonts w:eastAsia="Times New Roman"/>
                <w:lang w:eastAsia="en-AU"/>
              </w:rPr>
            </w:pPr>
            <w:r w:rsidRPr="00AA613E">
              <w:rPr>
                <w:rFonts w:eastAsia="Times New Roman"/>
                <w:lang w:eastAsia="en-AU"/>
              </w:rPr>
              <w:t>A cohesive fault rock with a random composition containing 10%–50% fragments in a finer grained matrix</w:t>
            </w:r>
          </w:p>
        </w:tc>
      </w:tr>
      <w:tr w:rsidR="00C270C5" w:rsidRPr="00AA613E" w14:paraId="519B242A" w14:textId="77777777" w:rsidTr="00726719">
        <w:tc>
          <w:tcPr>
            <w:tcW w:w="2268" w:type="dxa"/>
          </w:tcPr>
          <w:p w14:paraId="05F573C0" w14:textId="77777777" w:rsidR="00C270C5" w:rsidRPr="00AA613E" w:rsidRDefault="00C270C5" w:rsidP="00B9544F">
            <w:pPr>
              <w:pStyle w:val="Body"/>
              <w:rPr>
                <w:rFonts w:eastAsia="Times New Roman"/>
                <w:lang w:eastAsia="en-AU"/>
              </w:rPr>
            </w:pPr>
            <w:r w:rsidRPr="00AA613E">
              <w:rPr>
                <w:rFonts w:eastAsia="Times New Roman"/>
                <w:lang w:eastAsia="en-AU"/>
              </w:rPr>
              <w:t>Cauchy boundary condition</w:t>
            </w:r>
          </w:p>
        </w:tc>
        <w:tc>
          <w:tcPr>
            <w:tcW w:w="6946" w:type="dxa"/>
          </w:tcPr>
          <w:p w14:paraId="34663F67" w14:textId="7FC7DB37" w:rsidR="005574E1" w:rsidRDefault="00707787">
            <w:pPr>
              <w:pStyle w:val="Body"/>
              <w:rPr>
                <w:rFonts w:eastAsia="Times New Roman"/>
                <w:lang w:eastAsia="en-AU"/>
              </w:rPr>
            </w:pPr>
            <w:r w:rsidRPr="00AA613E">
              <w:rPr>
                <w:rFonts w:eastAsia="Times New Roman"/>
                <w:lang w:eastAsia="en-AU"/>
              </w:rPr>
              <w:t xml:space="preserve">Also known as a third-type boundary condition, involves specification of both the value and the derivative that </w:t>
            </w:r>
            <w:r w:rsidR="00EB3023">
              <w:rPr>
                <w:rFonts w:eastAsia="Times New Roman"/>
                <w:lang w:eastAsia="en-AU"/>
              </w:rPr>
              <w:t xml:space="preserve">the </w:t>
            </w:r>
            <w:r w:rsidRPr="00AA613E">
              <w:rPr>
                <w:rFonts w:eastAsia="Times New Roman"/>
                <w:lang w:eastAsia="en-AU"/>
              </w:rPr>
              <w:t xml:space="preserve">solution </w:t>
            </w:r>
            <w:r w:rsidR="00EB3023">
              <w:rPr>
                <w:rFonts w:eastAsia="Times New Roman"/>
                <w:lang w:eastAsia="en-AU"/>
              </w:rPr>
              <w:t>o</w:t>
            </w:r>
            <w:r w:rsidR="00EB3023" w:rsidRPr="00EB3023">
              <w:rPr>
                <w:rFonts w:eastAsia="Times New Roman"/>
                <w:lang w:eastAsia="en-AU"/>
              </w:rPr>
              <w:t>f a differential equation</w:t>
            </w:r>
            <w:r w:rsidR="00EB3023">
              <w:rPr>
                <w:rFonts w:eastAsia="Times New Roman"/>
                <w:lang w:eastAsia="en-AU"/>
              </w:rPr>
              <w:t xml:space="preserve"> </w:t>
            </w:r>
            <w:r w:rsidRPr="00AA613E">
              <w:rPr>
                <w:rFonts w:eastAsia="Times New Roman"/>
                <w:lang w:eastAsia="en-AU"/>
              </w:rPr>
              <w:t>needs to produce along the boundary of a model domain</w:t>
            </w:r>
            <w:r w:rsidR="00F540F7">
              <w:rPr>
                <w:rFonts w:eastAsia="Times New Roman"/>
                <w:lang w:eastAsia="en-AU"/>
              </w:rPr>
              <w:t xml:space="preserve">. Applicable to both </w:t>
            </w:r>
            <w:r w:rsidR="00AE5A01">
              <w:rPr>
                <w:rFonts w:eastAsia="Times New Roman"/>
                <w:lang w:eastAsia="en-AU"/>
              </w:rPr>
              <w:t>numerical and analytical models</w:t>
            </w:r>
          </w:p>
        </w:tc>
      </w:tr>
      <w:tr w:rsidR="00B9544F" w:rsidRPr="00AA613E" w14:paraId="56FCD2FD" w14:textId="77777777" w:rsidTr="00726719">
        <w:tc>
          <w:tcPr>
            <w:tcW w:w="2268" w:type="dxa"/>
          </w:tcPr>
          <w:p w14:paraId="47C73F9E" w14:textId="77777777" w:rsidR="00B9544F" w:rsidRPr="00AA613E" w:rsidRDefault="00B9544F" w:rsidP="00B9544F">
            <w:pPr>
              <w:pStyle w:val="Body"/>
              <w:rPr>
                <w:rFonts w:eastAsia="Times New Roman"/>
                <w:lang w:eastAsia="en-AU"/>
              </w:rPr>
            </w:pPr>
            <w:r w:rsidRPr="00893F11">
              <w:rPr>
                <w:rFonts w:eastAsia="Times New Roman"/>
                <w:lang w:eastAsia="en-AU"/>
              </w:rPr>
              <w:t>Clay s</w:t>
            </w:r>
            <w:r w:rsidR="00893F11" w:rsidRPr="00893F11">
              <w:rPr>
                <w:rFonts w:eastAsia="Times New Roman"/>
                <w:lang w:eastAsia="en-AU"/>
              </w:rPr>
              <w:t>mear</w:t>
            </w:r>
          </w:p>
        </w:tc>
        <w:tc>
          <w:tcPr>
            <w:tcW w:w="6946" w:type="dxa"/>
          </w:tcPr>
          <w:p w14:paraId="41E05A81" w14:textId="77777777" w:rsidR="00B9544F" w:rsidRPr="00AA613E" w:rsidRDefault="00893F11" w:rsidP="00B9544F">
            <w:pPr>
              <w:pStyle w:val="Body"/>
              <w:rPr>
                <w:rFonts w:eastAsia="Times New Roman"/>
                <w:lang w:eastAsia="en-AU"/>
              </w:rPr>
            </w:pPr>
            <w:r>
              <w:rPr>
                <w:rFonts w:eastAsia="Times New Roman"/>
                <w:lang w:eastAsia="en-AU"/>
              </w:rPr>
              <w:t>Process in which clay from the wall rock is incorporated in a fault zone</w:t>
            </w:r>
          </w:p>
        </w:tc>
      </w:tr>
      <w:tr w:rsidR="00726719" w:rsidRPr="00AA613E" w14:paraId="6178EA02" w14:textId="77777777" w:rsidTr="00726719">
        <w:tc>
          <w:tcPr>
            <w:tcW w:w="2268" w:type="dxa"/>
          </w:tcPr>
          <w:p w14:paraId="3C3722BB" w14:textId="77777777" w:rsidR="00726719" w:rsidRPr="00AA613E" w:rsidRDefault="00726719" w:rsidP="00B9544F">
            <w:pPr>
              <w:pStyle w:val="Body"/>
              <w:rPr>
                <w:rFonts w:eastAsia="Times New Roman"/>
                <w:lang w:eastAsia="en-AU"/>
              </w:rPr>
            </w:pPr>
            <w:r w:rsidRPr="00AA613E">
              <w:rPr>
                <w:rFonts w:eastAsia="Times New Roman"/>
                <w:lang w:eastAsia="en-AU"/>
              </w:rPr>
              <w:t>Cleats</w:t>
            </w:r>
          </w:p>
        </w:tc>
        <w:tc>
          <w:tcPr>
            <w:tcW w:w="6946" w:type="dxa"/>
          </w:tcPr>
          <w:p w14:paraId="2A3C2C36" w14:textId="77777777" w:rsidR="00726719" w:rsidRPr="00AA613E" w:rsidRDefault="00726719" w:rsidP="00B9544F">
            <w:pPr>
              <w:pStyle w:val="Body"/>
              <w:rPr>
                <w:rFonts w:eastAsia="Times New Roman"/>
                <w:lang w:eastAsia="en-AU"/>
              </w:rPr>
            </w:pPr>
            <w:r w:rsidRPr="00AA613E">
              <w:rPr>
                <w:rFonts w:eastAsia="Times New Roman"/>
                <w:lang w:eastAsia="en-AU"/>
              </w:rPr>
              <w:t>Cleats are natural fractures in coal. They usually occur in two sets that are perpendicular to one another and perpendicular to bedding.  The cleats in one direction form first and exhibit a high level of continuity.  These are called “face cleats”.  Cleats perpendicular to face cleats are called “butt cleats”</w:t>
            </w:r>
          </w:p>
        </w:tc>
      </w:tr>
      <w:tr w:rsidR="00726719" w:rsidRPr="00AA613E" w14:paraId="52C5DDA2" w14:textId="77777777" w:rsidTr="00726719">
        <w:tc>
          <w:tcPr>
            <w:tcW w:w="2268" w:type="dxa"/>
          </w:tcPr>
          <w:p w14:paraId="76B6391F" w14:textId="77777777" w:rsidR="00726719" w:rsidRPr="00AA613E" w:rsidRDefault="00726719" w:rsidP="00B9544F">
            <w:pPr>
              <w:pStyle w:val="Body"/>
              <w:rPr>
                <w:rFonts w:eastAsia="Times New Roman"/>
                <w:lang w:eastAsia="en-AU"/>
              </w:rPr>
            </w:pPr>
            <w:r w:rsidRPr="00AA613E">
              <w:rPr>
                <w:rFonts w:eastAsia="Times New Roman"/>
                <w:lang w:eastAsia="en-AU"/>
              </w:rPr>
              <w:t>Coal measure</w:t>
            </w:r>
          </w:p>
        </w:tc>
        <w:tc>
          <w:tcPr>
            <w:tcW w:w="6946" w:type="dxa"/>
          </w:tcPr>
          <w:p w14:paraId="47BA57C4" w14:textId="4343B9B3" w:rsidR="005574E1" w:rsidRDefault="00726719" w:rsidP="00F540F7">
            <w:pPr>
              <w:pStyle w:val="Body"/>
              <w:rPr>
                <w:rFonts w:eastAsia="Times New Roman"/>
                <w:lang w:eastAsia="en-AU"/>
              </w:rPr>
            </w:pPr>
            <w:r w:rsidRPr="00AA613E">
              <w:rPr>
                <w:rFonts w:eastAsia="Times New Roman"/>
                <w:lang w:eastAsia="en-AU"/>
              </w:rPr>
              <w:t xml:space="preserve">Geological strata of the </w:t>
            </w:r>
            <w:r w:rsidR="00EB3023">
              <w:rPr>
                <w:rFonts w:eastAsia="Times New Roman"/>
                <w:lang w:eastAsia="en-AU"/>
              </w:rPr>
              <w:t>C</w:t>
            </w:r>
            <w:r w:rsidRPr="00AA613E">
              <w:rPr>
                <w:rFonts w:eastAsia="Times New Roman"/>
                <w:lang w:eastAsia="en-AU"/>
              </w:rPr>
              <w:t xml:space="preserve">arboniferous </w:t>
            </w:r>
            <w:r w:rsidR="00EB3023">
              <w:rPr>
                <w:rFonts w:eastAsia="Times New Roman"/>
                <w:lang w:eastAsia="en-AU"/>
              </w:rPr>
              <w:t xml:space="preserve">or Permian </w:t>
            </w:r>
            <w:r w:rsidRPr="00AA613E">
              <w:rPr>
                <w:rFonts w:eastAsia="Times New Roman"/>
                <w:lang w:eastAsia="en-AU"/>
              </w:rPr>
              <w:t>period</w:t>
            </w:r>
            <w:r w:rsidR="00EB3023">
              <w:rPr>
                <w:rFonts w:eastAsia="Times New Roman"/>
                <w:lang w:eastAsia="en-AU"/>
              </w:rPr>
              <w:t>s</w:t>
            </w:r>
            <w:r w:rsidRPr="00AA613E">
              <w:rPr>
                <w:rFonts w:eastAsia="Times New Roman"/>
                <w:lang w:eastAsia="en-AU"/>
              </w:rPr>
              <w:t xml:space="preserve"> usually containing </w:t>
            </w:r>
            <w:r w:rsidR="00F540F7">
              <w:rPr>
                <w:rFonts w:eastAsia="Times New Roman"/>
                <w:lang w:eastAsia="en-AU"/>
              </w:rPr>
              <w:t xml:space="preserve">sequences of </w:t>
            </w:r>
            <w:r w:rsidRPr="00AA613E">
              <w:rPr>
                <w:rFonts w:eastAsia="Times New Roman"/>
                <w:lang w:eastAsia="en-AU"/>
              </w:rPr>
              <w:t xml:space="preserve">coal </w:t>
            </w:r>
            <w:r w:rsidR="00F540F7">
              <w:rPr>
                <w:rFonts w:eastAsia="Times New Roman"/>
                <w:lang w:eastAsia="en-AU"/>
              </w:rPr>
              <w:t>seams</w:t>
            </w:r>
          </w:p>
        </w:tc>
      </w:tr>
      <w:tr w:rsidR="00726719" w:rsidRPr="00AA613E" w14:paraId="70EC11C4" w14:textId="77777777" w:rsidTr="00726719">
        <w:tc>
          <w:tcPr>
            <w:tcW w:w="2268" w:type="dxa"/>
          </w:tcPr>
          <w:p w14:paraId="0BD46B1E" w14:textId="77777777" w:rsidR="00726719" w:rsidRPr="00AA613E" w:rsidRDefault="00726719" w:rsidP="00B9544F">
            <w:pPr>
              <w:pStyle w:val="Body"/>
              <w:rPr>
                <w:rFonts w:eastAsia="Times New Roman"/>
                <w:lang w:eastAsia="en-AU"/>
              </w:rPr>
            </w:pPr>
            <w:r w:rsidRPr="00AA613E">
              <w:rPr>
                <w:rFonts w:eastAsia="Times New Roman"/>
                <w:lang w:eastAsia="en-AU"/>
              </w:rPr>
              <w:t>Coal seam</w:t>
            </w:r>
          </w:p>
        </w:tc>
        <w:tc>
          <w:tcPr>
            <w:tcW w:w="6946" w:type="dxa"/>
          </w:tcPr>
          <w:p w14:paraId="6F1E1A83" w14:textId="071D30A8" w:rsidR="00726719" w:rsidRPr="00AA613E" w:rsidRDefault="00F540F7" w:rsidP="002E7C98">
            <w:pPr>
              <w:pStyle w:val="Body"/>
              <w:rPr>
                <w:rFonts w:eastAsia="Times New Roman"/>
                <w:lang w:eastAsia="en-AU"/>
              </w:rPr>
            </w:pPr>
            <w:r>
              <w:rPr>
                <w:rFonts w:eastAsia="Times New Roman"/>
                <w:lang w:eastAsia="en-AU"/>
              </w:rPr>
              <w:t>Individual layers</w:t>
            </w:r>
            <w:r w:rsidR="00726719" w:rsidRPr="00AA613E">
              <w:rPr>
                <w:rFonts w:eastAsia="Times New Roman"/>
                <w:lang w:eastAsia="en-AU"/>
              </w:rPr>
              <w:t xml:space="preserve"> containing </w:t>
            </w:r>
            <w:r w:rsidR="002E7C98">
              <w:rPr>
                <w:rFonts w:eastAsia="Times New Roman"/>
                <w:lang w:eastAsia="en-AU"/>
              </w:rPr>
              <w:t>mostly coal</w:t>
            </w:r>
            <w:r w:rsidR="00726719" w:rsidRPr="00AA613E">
              <w:rPr>
                <w:rFonts w:eastAsia="Times New Roman"/>
                <w:lang w:eastAsia="en-AU"/>
              </w:rPr>
              <w:t>. Coal seams store both water and gas. Coal seams generally contain more salty groundwater than aquifers that are used for drinking water or agriculture</w:t>
            </w:r>
          </w:p>
        </w:tc>
      </w:tr>
      <w:tr w:rsidR="00726719" w:rsidRPr="00AA613E" w14:paraId="7587A0F5" w14:textId="77777777" w:rsidTr="007267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2B7287E9" w14:textId="77777777" w:rsidR="00726719" w:rsidRPr="00AA613E" w:rsidRDefault="00726719" w:rsidP="00B9544F">
            <w:pPr>
              <w:pStyle w:val="Body"/>
              <w:rPr>
                <w:rFonts w:eastAsia="Times New Roman"/>
                <w:lang w:eastAsia="en-AU"/>
              </w:rPr>
            </w:pPr>
            <w:r w:rsidRPr="00AA613E">
              <w:rPr>
                <w:rFonts w:eastAsia="Times New Roman"/>
                <w:lang w:eastAsia="en-AU"/>
              </w:rPr>
              <w:t>Coal seam gas</w:t>
            </w:r>
          </w:p>
        </w:tc>
        <w:tc>
          <w:tcPr>
            <w:tcW w:w="6946" w:type="dxa"/>
            <w:tcBorders>
              <w:top w:val="nil"/>
              <w:left w:val="nil"/>
              <w:bottom w:val="single" w:sz="4" w:space="0" w:color="auto"/>
              <w:right w:val="single" w:sz="4" w:space="0" w:color="auto"/>
            </w:tcBorders>
            <w:shd w:val="clear" w:color="auto" w:fill="auto"/>
          </w:tcPr>
          <w:p w14:paraId="63D4CB49" w14:textId="15621A5C" w:rsidR="00726719" w:rsidRPr="00AA613E" w:rsidRDefault="00726719" w:rsidP="00B9544F">
            <w:pPr>
              <w:pStyle w:val="Body"/>
            </w:pPr>
            <w:r w:rsidRPr="00AA613E">
              <w:rPr>
                <w:rFonts w:eastAsia="Times New Roman"/>
                <w:lang w:eastAsia="en-AU"/>
              </w:rPr>
              <w:t>A form of natural gas (generally 95 to 97% pure methane, CH</w:t>
            </w:r>
            <w:r w:rsidRPr="00AA613E">
              <w:rPr>
                <w:rFonts w:eastAsia="Times New Roman"/>
                <w:vertAlign w:val="subscript"/>
                <w:lang w:eastAsia="en-AU"/>
              </w:rPr>
              <w:t>4</w:t>
            </w:r>
            <w:r w:rsidRPr="00AA613E">
              <w:rPr>
                <w:rFonts w:eastAsia="Times New Roman"/>
                <w:lang w:eastAsia="en-AU"/>
              </w:rPr>
              <w:t>) typically extracted from permeable coal seams at depths of 300 to 1000 m</w:t>
            </w:r>
            <w:r w:rsidR="002E7C98">
              <w:rPr>
                <w:rFonts w:eastAsia="Times New Roman"/>
                <w:lang w:eastAsia="en-AU"/>
              </w:rPr>
              <w:t>.</w:t>
            </w:r>
            <w:r w:rsidRPr="00AA613E">
              <w:rPr>
                <w:rFonts w:eastAsia="Times New Roman"/>
                <w:lang w:eastAsia="en-AU"/>
              </w:rPr>
              <w:t xml:space="preserve"> Also called coal seam methane</w:t>
            </w:r>
            <w:r w:rsidR="00AE5A01">
              <w:rPr>
                <w:rFonts w:eastAsia="Times New Roman"/>
                <w:lang w:eastAsia="en-AU"/>
              </w:rPr>
              <w:t xml:space="preserve"> (CSM) or coalbed methane (CBM)</w:t>
            </w:r>
          </w:p>
        </w:tc>
      </w:tr>
      <w:tr w:rsidR="00E513F3" w:rsidRPr="00AA613E" w14:paraId="1AE05A37" w14:textId="77777777" w:rsidTr="00726719">
        <w:tc>
          <w:tcPr>
            <w:tcW w:w="2268" w:type="dxa"/>
          </w:tcPr>
          <w:p w14:paraId="6F36D75B" w14:textId="77777777" w:rsidR="00E513F3" w:rsidRPr="00AA613E" w:rsidRDefault="00E513F3" w:rsidP="00B9544F">
            <w:pPr>
              <w:pStyle w:val="Body"/>
              <w:rPr>
                <w:rFonts w:eastAsia="Times New Roman"/>
                <w:lang w:eastAsia="en-AU"/>
              </w:rPr>
            </w:pPr>
            <w:r>
              <w:rPr>
                <w:rFonts w:eastAsia="Times New Roman"/>
                <w:lang w:eastAsia="en-AU"/>
              </w:rPr>
              <w:t>Co-kriging</w:t>
            </w:r>
          </w:p>
        </w:tc>
        <w:tc>
          <w:tcPr>
            <w:tcW w:w="6946" w:type="dxa"/>
          </w:tcPr>
          <w:p w14:paraId="25F09DBE" w14:textId="77777777" w:rsidR="00E513F3" w:rsidRPr="00AA613E" w:rsidRDefault="00E0632E" w:rsidP="00E0632E">
            <w:pPr>
              <w:pStyle w:val="Body"/>
              <w:rPr>
                <w:rFonts w:eastAsia="Times New Roman"/>
                <w:lang w:eastAsia="en-AU"/>
              </w:rPr>
            </w:pPr>
            <w:r w:rsidRPr="00E0632E">
              <w:rPr>
                <w:rFonts w:eastAsia="Times New Roman"/>
                <w:lang w:eastAsia="en-AU"/>
              </w:rPr>
              <w:t>A form of kriging in which the distribution of a second, highly correlated variable (</w:t>
            </w:r>
            <w:r>
              <w:rPr>
                <w:rFonts w:eastAsia="Times New Roman"/>
                <w:lang w:eastAsia="en-AU"/>
              </w:rPr>
              <w:t xml:space="preserve">i.e. </w:t>
            </w:r>
            <w:r w:rsidRPr="00E0632E">
              <w:rPr>
                <w:rFonts w:eastAsia="Times New Roman"/>
                <w:lang w:eastAsia="en-AU"/>
              </w:rPr>
              <w:t xml:space="preserve">covariate) is used </w:t>
            </w:r>
            <w:r>
              <w:rPr>
                <w:rFonts w:eastAsia="Times New Roman"/>
                <w:lang w:eastAsia="en-AU"/>
              </w:rPr>
              <w:t xml:space="preserve">in addition to </w:t>
            </w:r>
            <w:r w:rsidRPr="00E0632E">
              <w:rPr>
                <w:rFonts w:eastAsia="Times New Roman"/>
                <w:lang w:eastAsia="en-AU"/>
              </w:rPr>
              <w:t>the primary v</w:t>
            </w:r>
            <w:r>
              <w:rPr>
                <w:rFonts w:eastAsia="Times New Roman"/>
                <w:lang w:eastAsia="en-AU"/>
              </w:rPr>
              <w:t>ariable to produce interpolated</w:t>
            </w:r>
            <w:r w:rsidRPr="00E0632E">
              <w:rPr>
                <w:rFonts w:eastAsia="Times New Roman"/>
                <w:lang w:eastAsia="en-AU"/>
              </w:rPr>
              <w:t xml:space="preserve"> </w:t>
            </w:r>
            <w:r>
              <w:rPr>
                <w:rFonts w:eastAsia="Times New Roman"/>
                <w:lang w:eastAsia="en-AU"/>
              </w:rPr>
              <w:t>values</w:t>
            </w:r>
            <w:r w:rsidRPr="00E0632E">
              <w:rPr>
                <w:rFonts w:eastAsia="Times New Roman"/>
                <w:lang w:eastAsia="en-AU"/>
              </w:rPr>
              <w:t>. Co</w:t>
            </w:r>
            <w:r>
              <w:rPr>
                <w:rFonts w:eastAsia="Times New Roman"/>
                <w:lang w:eastAsia="en-AU"/>
              </w:rPr>
              <w:t>-</w:t>
            </w:r>
            <w:r w:rsidRPr="00E0632E">
              <w:rPr>
                <w:rFonts w:eastAsia="Times New Roman"/>
                <w:lang w:eastAsia="en-AU"/>
              </w:rPr>
              <w:t xml:space="preserve">kriging can improve </w:t>
            </w:r>
            <w:r>
              <w:rPr>
                <w:rFonts w:eastAsia="Times New Roman"/>
                <w:lang w:eastAsia="en-AU"/>
              </w:rPr>
              <w:t xml:space="preserve">interpolated </w:t>
            </w:r>
            <w:r w:rsidRPr="00E0632E">
              <w:rPr>
                <w:rFonts w:eastAsia="Times New Roman"/>
                <w:lang w:eastAsia="en-AU"/>
              </w:rPr>
              <w:t>estimates if the primary variable is difficult, impossible, or expensive to measure and</w:t>
            </w:r>
            <w:r>
              <w:rPr>
                <w:rFonts w:eastAsia="Times New Roman"/>
                <w:lang w:eastAsia="en-AU"/>
              </w:rPr>
              <w:t xml:space="preserve">/or if </w:t>
            </w:r>
            <w:r w:rsidRPr="00E0632E">
              <w:rPr>
                <w:rFonts w:eastAsia="Times New Roman"/>
                <w:lang w:eastAsia="en-AU"/>
              </w:rPr>
              <w:t>the second</w:t>
            </w:r>
            <w:r>
              <w:rPr>
                <w:rFonts w:eastAsia="Times New Roman"/>
                <w:lang w:eastAsia="en-AU"/>
              </w:rPr>
              <w:t>ary</w:t>
            </w:r>
            <w:r w:rsidRPr="00E0632E">
              <w:rPr>
                <w:rFonts w:eastAsia="Times New Roman"/>
                <w:lang w:eastAsia="en-AU"/>
              </w:rPr>
              <w:t xml:space="preserve"> variable is sampled more intensely than the primary variable</w:t>
            </w:r>
          </w:p>
        </w:tc>
      </w:tr>
      <w:tr w:rsidR="00726719" w:rsidRPr="00AA613E" w14:paraId="6EEBCA74" w14:textId="77777777" w:rsidTr="00726719">
        <w:tc>
          <w:tcPr>
            <w:tcW w:w="2268" w:type="dxa"/>
          </w:tcPr>
          <w:p w14:paraId="2BF1C1CE" w14:textId="77777777" w:rsidR="00726719" w:rsidRPr="00AA613E" w:rsidRDefault="00726719" w:rsidP="00B9544F">
            <w:pPr>
              <w:pStyle w:val="Body"/>
              <w:rPr>
                <w:rFonts w:eastAsia="Times New Roman"/>
                <w:lang w:eastAsia="en-AU"/>
              </w:rPr>
            </w:pPr>
            <w:r w:rsidRPr="00AA613E">
              <w:rPr>
                <w:rFonts w:eastAsia="Times New Roman"/>
                <w:lang w:eastAsia="en-AU"/>
              </w:rPr>
              <w:t>Confined aquifer</w:t>
            </w:r>
          </w:p>
        </w:tc>
        <w:tc>
          <w:tcPr>
            <w:tcW w:w="6946" w:type="dxa"/>
          </w:tcPr>
          <w:p w14:paraId="74A4BCCC" w14:textId="77777777" w:rsidR="00726719" w:rsidRPr="00AA613E" w:rsidRDefault="002E7E2B" w:rsidP="00B9544F">
            <w:pPr>
              <w:pStyle w:val="Body"/>
              <w:rPr>
                <w:rFonts w:eastAsia="Times New Roman"/>
                <w:lang w:eastAsia="en-AU"/>
              </w:rPr>
            </w:pPr>
            <w:r w:rsidRPr="00AA613E">
              <w:rPr>
                <w:rFonts w:eastAsia="Times New Roman"/>
                <w:lang w:eastAsia="en-AU"/>
              </w:rPr>
              <w:t>An aquifer that is isolated from the atmosphere by an impermeable layer. Pressure in confined aquifers is generally greater than atmospheric pressure</w:t>
            </w:r>
          </w:p>
        </w:tc>
      </w:tr>
      <w:tr w:rsidR="00B9544F" w:rsidRPr="00AA613E" w14:paraId="34F7C115" w14:textId="77777777" w:rsidTr="00726719">
        <w:tc>
          <w:tcPr>
            <w:tcW w:w="2268" w:type="dxa"/>
          </w:tcPr>
          <w:p w14:paraId="66C2B727" w14:textId="77777777" w:rsidR="00B9544F" w:rsidRPr="00AA613E" w:rsidRDefault="00B9544F" w:rsidP="00B9544F">
            <w:pPr>
              <w:pStyle w:val="Body"/>
              <w:rPr>
                <w:rFonts w:eastAsia="Times New Roman"/>
                <w:lang w:eastAsia="en-AU"/>
              </w:rPr>
            </w:pPr>
            <w:r w:rsidRPr="00323E2F">
              <w:rPr>
                <w:rFonts w:eastAsia="Times New Roman"/>
                <w:lang w:eastAsia="en-AU"/>
              </w:rPr>
              <w:t>Confining pressure</w:t>
            </w:r>
          </w:p>
        </w:tc>
        <w:tc>
          <w:tcPr>
            <w:tcW w:w="6946" w:type="dxa"/>
          </w:tcPr>
          <w:p w14:paraId="56F94C7A" w14:textId="75D4292C" w:rsidR="00B9544F" w:rsidRPr="00AA613E" w:rsidRDefault="00323E2F" w:rsidP="00B9544F">
            <w:pPr>
              <w:pStyle w:val="Body"/>
              <w:rPr>
                <w:rFonts w:eastAsia="Times New Roman"/>
                <w:lang w:eastAsia="en-AU"/>
              </w:rPr>
            </w:pPr>
            <w:r w:rsidRPr="00323E2F">
              <w:rPr>
                <w:rFonts w:eastAsia="Times New Roman"/>
                <w:lang w:eastAsia="en-AU"/>
              </w:rPr>
              <w:t xml:space="preserve">The combined </w:t>
            </w:r>
            <w:hyperlink r:id="rId17" w:history="1">
              <w:r w:rsidRPr="00323E2F">
                <w:rPr>
                  <w:rFonts w:eastAsia="Times New Roman"/>
                  <w:lang w:eastAsia="en-AU"/>
                </w:rPr>
                <w:t>hydrostatic stress</w:t>
              </w:r>
            </w:hyperlink>
            <w:r w:rsidRPr="00323E2F">
              <w:rPr>
                <w:rFonts w:eastAsia="Times New Roman"/>
                <w:lang w:eastAsia="en-AU"/>
              </w:rPr>
              <w:t xml:space="preserve"> and </w:t>
            </w:r>
            <w:hyperlink r:id="rId18" w:history="1">
              <w:r w:rsidRPr="00323E2F">
                <w:rPr>
                  <w:rFonts w:eastAsia="Times New Roman"/>
                  <w:lang w:eastAsia="en-AU"/>
                </w:rPr>
                <w:t>lithostatic stress</w:t>
              </w:r>
            </w:hyperlink>
            <w:r w:rsidRPr="00323E2F">
              <w:rPr>
                <w:rFonts w:eastAsia="Times New Roman"/>
                <w:lang w:eastAsia="en-AU"/>
              </w:rPr>
              <w:t>; i.e. the total weight of the interstitial pore water and rock above a specified depth</w:t>
            </w:r>
          </w:p>
        </w:tc>
      </w:tr>
      <w:tr w:rsidR="00C0198D" w:rsidRPr="00AA613E" w14:paraId="13FF3250" w14:textId="77777777" w:rsidTr="00726719">
        <w:tc>
          <w:tcPr>
            <w:tcW w:w="2268" w:type="dxa"/>
          </w:tcPr>
          <w:p w14:paraId="1FB71786" w14:textId="77777777" w:rsidR="00C0198D" w:rsidRPr="00935D49" w:rsidRDefault="00C0198D" w:rsidP="00B9544F">
            <w:pPr>
              <w:pStyle w:val="Body"/>
              <w:rPr>
                <w:rFonts w:eastAsia="Times New Roman"/>
                <w:highlight w:val="green"/>
                <w:lang w:eastAsia="en-AU"/>
              </w:rPr>
            </w:pPr>
            <w:r w:rsidRPr="00C0198D">
              <w:rPr>
                <w:rFonts w:eastAsia="Times New Roman"/>
                <w:lang w:eastAsia="en-AU"/>
              </w:rPr>
              <w:t>Covariance</w:t>
            </w:r>
          </w:p>
        </w:tc>
        <w:tc>
          <w:tcPr>
            <w:tcW w:w="6946" w:type="dxa"/>
          </w:tcPr>
          <w:p w14:paraId="4E0E41CD" w14:textId="77777777" w:rsidR="00C0198D" w:rsidRPr="00AA613E" w:rsidRDefault="00D322E8" w:rsidP="00366E23">
            <w:pPr>
              <w:pStyle w:val="Body"/>
              <w:rPr>
                <w:rFonts w:eastAsia="Times New Roman"/>
                <w:lang w:eastAsia="en-AU"/>
              </w:rPr>
            </w:pPr>
            <w:hyperlink r:id="rId19" w:tooltip="Covariance" w:history="1">
              <w:r w:rsidR="00C0198D">
                <w:rPr>
                  <w:rFonts w:eastAsia="Times New Roman"/>
                  <w:lang w:eastAsia="en-AU"/>
                </w:rPr>
                <w:t>C</w:t>
              </w:r>
              <w:r w:rsidR="00C0198D" w:rsidRPr="00C0198D">
                <w:rPr>
                  <w:rFonts w:eastAsia="Times New Roman"/>
                  <w:lang w:eastAsia="en-AU"/>
                </w:rPr>
                <w:t>ovariance</w:t>
              </w:r>
            </w:hyperlink>
            <w:r w:rsidR="00C0198D" w:rsidRPr="00C0198D">
              <w:rPr>
                <w:rFonts w:eastAsia="Times New Roman"/>
                <w:lang w:eastAsia="en-AU"/>
              </w:rPr>
              <w:t xml:space="preserve"> is a measure of how much two </w:t>
            </w:r>
            <w:r w:rsidR="00366E23">
              <w:rPr>
                <w:rFonts w:eastAsia="Times New Roman"/>
                <w:lang w:eastAsia="en-AU"/>
              </w:rPr>
              <w:t xml:space="preserve">given </w:t>
            </w:r>
            <w:r w:rsidR="00C0198D" w:rsidRPr="00C0198D">
              <w:rPr>
                <w:rFonts w:eastAsia="Times New Roman"/>
                <w:lang w:eastAsia="en-AU"/>
              </w:rPr>
              <w:t xml:space="preserve">variables </w:t>
            </w:r>
            <w:r w:rsidR="00366E23">
              <w:rPr>
                <w:rFonts w:eastAsia="Times New Roman"/>
                <w:lang w:eastAsia="en-AU"/>
              </w:rPr>
              <w:t>vary</w:t>
            </w:r>
            <w:r w:rsidR="00C0198D" w:rsidRPr="00C0198D">
              <w:rPr>
                <w:rFonts w:eastAsia="Times New Roman"/>
                <w:lang w:eastAsia="en-AU"/>
              </w:rPr>
              <w:t xml:space="preserve"> together, </w:t>
            </w:r>
            <w:r w:rsidR="00366E23">
              <w:rPr>
                <w:rFonts w:eastAsia="Times New Roman"/>
                <w:lang w:eastAsia="en-AU"/>
              </w:rPr>
              <w:t>as a function of either space or time</w:t>
            </w:r>
          </w:p>
        </w:tc>
      </w:tr>
      <w:tr w:rsidR="00A03846" w:rsidRPr="00AA613E" w14:paraId="59FC3046" w14:textId="77777777" w:rsidTr="00726719">
        <w:tc>
          <w:tcPr>
            <w:tcW w:w="2268" w:type="dxa"/>
          </w:tcPr>
          <w:p w14:paraId="4039DC90" w14:textId="77777777" w:rsidR="00A03846" w:rsidRPr="00A03846" w:rsidRDefault="00A03846" w:rsidP="00A03846">
            <w:pPr>
              <w:pStyle w:val="Body"/>
              <w:rPr>
                <w:rFonts w:eastAsia="Times New Roman"/>
                <w:lang w:eastAsia="en-AU"/>
              </w:rPr>
            </w:pPr>
            <w:r w:rsidRPr="00A03846">
              <w:rPr>
                <w:rFonts w:eastAsia="Times New Roman"/>
                <w:lang w:eastAsia="en-AU"/>
              </w:rPr>
              <w:t>Darcy flow</w:t>
            </w:r>
          </w:p>
        </w:tc>
        <w:tc>
          <w:tcPr>
            <w:tcW w:w="6946" w:type="dxa"/>
          </w:tcPr>
          <w:p w14:paraId="06CF4E51" w14:textId="0CD22B4F" w:rsidR="00A03846" w:rsidRPr="00A03846" w:rsidRDefault="00A03846" w:rsidP="00A03846">
            <w:pPr>
              <w:pStyle w:val="Body"/>
              <w:rPr>
                <w:rFonts w:eastAsia="Times New Roman"/>
                <w:lang w:eastAsia="en-AU"/>
              </w:rPr>
            </w:pPr>
            <w:r w:rsidRPr="00A03846">
              <w:rPr>
                <w:rFonts w:eastAsia="Times New Roman"/>
                <w:lang w:eastAsia="en-AU"/>
              </w:rPr>
              <w:t>Liquid fl</w:t>
            </w:r>
            <w:r w:rsidR="00AE5A01">
              <w:rPr>
                <w:rFonts w:eastAsia="Times New Roman"/>
                <w:lang w:eastAsia="en-AU"/>
              </w:rPr>
              <w:t>ow that conforms to Darcy’s law</w:t>
            </w:r>
          </w:p>
        </w:tc>
      </w:tr>
      <w:tr w:rsidR="00A03846" w:rsidRPr="00AA613E" w14:paraId="05FDAD3D" w14:textId="77777777" w:rsidTr="00726719">
        <w:tc>
          <w:tcPr>
            <w:tcW w:w="2268" w:type="dxa"/>
          </w:tcPr>
          <w:p w14:paraId="3AD4C5C5" w14:textId="77777777" w:rsidR="00A03846" w:rsidRPr="00A03846" w:rsidRDefault="00A03846" w:rsidP="00A03846">
            <w:pPr>
              <w:pStyle w:val="Body"/>
              <w:rPr>
                <w:rFonts w:eastAsia="Times New Roman"/>
                <w:lang w:eastAsia="en-AU"/>
              </w:rPr>
            </w:pPr>
            <w:r w:rsidRPr="00A03846">
              <w:rPr>
                <w:rFonts w:eastAsia="Times New Roman"/>
                <w:lang w:eastAsia="en-AU"/>
              </w:rPr>
              <w:t>Darcy’s law</w:t>
            </w:r>
          </w:p>
        </w:tc>
        <w:tc>
          <w:tcPr>
            <w:tcW w:w="6946" w:type="dxa"/>
          </w:tcPr>
          <w:p w14:paraId="0FB3F654" w14:textId="2C5E3736" w:rsidR="00A03846" w:rsidRPr="00A03846" w:rsidRDefault="00A03846" w:rsidP="00A03846">
            <w:pPr>
              <w:pStyle w:val="Body"/>
              <w:rPr>
                <w:rFonts w:eastAsia="Times New Roman"/>
                <w:lang w:eastAsia="en-AU"/>
              </w:rPr>
            </w:pPr>
            <w:r w:rsidRPr="00A03846">
              <w:rPr>
                <w:rFonts w:eastAsia="Times New Roman"/>
                <w:lang w:eastAsia="en-AU"/>
              </w:rPr>
              <w:t xml:space="preserve">A constitutive equation that describes the flow </w:t>
            </w:r>
            <w:r w:rsidR="00557491">
              <w:rPr>
                <w:rFonts w:eastAsia="Times New Roman"/>
                <w:lang w:eastAsia="en-AU"/>
              </w:rPr>
              <w:t xml:space="preserve">of </w:t>
            </w:r>
            <w:r w:rsidRPr="00A03846">
              <w:rPr>
                <w:rFonts w:eastAsia="Times New Roman"/>
                <w:lang w:eastAsia="en-AU"/>
              </w:rPr>
              <w:t>a fluid through a porous medium such as rock or soil</w:t>
            </w:r>
          </w:p>
        </w:tc>
      </w:tr>
      <w:tr w:rsidR="00A03846" w:rsidRPr="00AA613E" w14:paraId="6497E1D4" w14:textId="77777777" w:rsidTr="00726719">
        <w:tc>
          <w:tcPr>
            <w:tcW w:w="2268" w:type="dxa"/>
          </w:tcPr>
          <w:p w14:paraId="6FEBC3E4" w14:textId="77777777" w:rsidR="00A03846" w:rsidRPr="00AA613E" w:rsidRDefault="00A03846" w:rsidP="00B9544F">
            <w:pPr>
              <w:pStyle w:val="Body"/>
              <w:rPr>
                <w:rFonts w:eastAsia="Times New Roman"/>
                <w:lang w:eastAsia="en-AU"/>
              </w:rPr>
            </w:pPr>
            <w:r w:rsidRPr="00AA613E">
              <w:rPr>
                <w:rFonts w:eastAsia="Times New Roman"/>
                <w:lang w:eastAsia="en-AU"/>
              </w:rPr>
              <w:t>Depressurisation</w:t>
            </w:r>
          </w:p>
        </w:tc>
        <w:tc>
          <w:tcPr>
            <w:tcW w:w="6946" w:type="dxa"/>
          </w:tcPr>
          <w:p w14:paraId="42C6EDA6" w14:textId="77777777" w:rsidR="00A03846" w:rsidRPr="00AA613E" w:rsidRDefault="00A03846" w:rsidP="00B9544F">
            <w:pPr>
              <w:pStyle w:val="Body"/>
              <w:rPr>
                <w:rFonts w:eastAsia="Times New Roman"/>
                <w:lang w:eastAsia="en-AU"/>
              </w:rPr>
            </w:pPr>
            <w:r w:rsidRPr="00AA613E">
              <w:rPr>
                <w:rFonts w:eastAsia="Times New Roman"/>
                <w:lang w:eastAsia="en-AU"/>
              </w:rPr>
              <w:t>The lowering of static groundwater levels through the partial extraction of available groundwater, usually by means of pumping from one or several groundwater bores</w:t>
            </w:r>
            <w:r w:rsidR="00430AC5">
              <w:rPr>
                <w:rFonts w:eastAsia="Times New Roman"/>
                <w:lang w:eastAsia="en-AU"/>
              </w:rPr>
              <w:t xml:space="preserve"> or gas wells</w:t>
            </w:r>
          </w:p>
        </w:tc>
      </w:tr>
      <w:tr w:rsidR="00A03846" w:rsidRPr="00AA613E" w14:paraId="3405AB11" w14:textId="77777777" w:rsidTr="00726719">
        <w:tc>
          <w:tcPr>
            <w:tcW w:w="2268" w:type="dxa"/>
          </w:tcPr>
          <w:p w14:paraId="31BF6AC4" w14:textId="77777777" w:rsidR="00A03846" w:rsidRPr="00A03846" w:rsidRDefault="00A03846" w:rsidP="00A03846">
            <w:pPr>
              <w:pStyle w:val="Body"/>
              <w:rPr>
                <w:rFonts w:eastAsia="Times New Roman"/>
                <w:lang w:eastAsia="en-AU"/>
              </w:rPr>
            </w:pPr>
            <w:r w:rsidRPr="00A03846">
              <w:rPr>
                <w:rFonts w:eastAsia="Times New Roman"/>
                <w:lang w:eastAsia="en-AU"/>
              </w:rPr>
              <w:t>Deterministic</w:t>
            </w:r>
          </w:p>
        </w:tc>
        <w:tc>
          <w:tcPr>
            <w:tcW w:w="6946" w:type="dxa"/>
          </w:tcPr>
          <w:p w14:paraId="176FB87F" w14:textId="77777777" w:rsidR="00A03846" w:rsidRPr="00A03846" w:rsidRDefault="00A03846" w:rsidP="00A03846">
            <w:pPr>
              <w:pStyle w:val="Body"/>
              <w:rPr>
                <w:rFonts w:eastAsia="Times New Roman"/>
                <w:lang w:eastAsia="en-AU"/>
              </w:rPr>
            </w:pPr>
            <w:r w:rsidRPr="00A03846">
              <w:rPr>
                <w:rFonts w:eastAsia="Times New Roman"/>
                <w:lang w:eastAsia="en-AU"/>
              </w:rPr>
              <w:t>A type of mathematical analysis that assumes no randomness in the input data. A deterministic model will thus always produce the same output from a given input data or initial state</w:t>
            </w:r>
          </w:p>
        </w:tc>
      </w:tr>
      <w:tr w:rsidR="00A03846" w:rsidRPr="00AA613E" w14:paraId="4450D522" w14:textId="77777777" w:rsidTr="00726719">
        <w:tc>
          <w:tcPr>
            <w:tcW w:w="2268" w:type="dxa"/>
          </w:tcPr>
          <w:p w14:paraId="5880773A" w14:textId="77777777" w:rsidR="00A03846" w:rsidRPr="00AA613E" w:rsidRDefault="00A03846" w:rsidP="00B9544F">
            <w:pPr>
              <w:pStyle w:val="Body"/>
              <w:rPr>
                <w:rFonts w:eastAsia="Times New Roman"/>
                <w:lang w:eastAsia="en-AU"/>
              </w:rPr>
            </w:pPr>
            <w:r w:rsidRPr="00AA613E">
              <w:rPr>
                <w:rFonts w:eastAsia="Times New Roman"/>
                <w:lang w:eastAsia="en-AU"/>
              </w:rPr>
              <w:t>Dewatering</w:t>
            </w:r>
          </w:p>
        </w:tc>
        <w:tc>
          <w:tcPr>
            <w:tcW w:w="6946" w:type="dxa"/>
          </w:tcPr>
          <w:p w14:paraId="536AD3EC" w14:textId="77777777" w:rsidR="00A03846" w:rsidRPr="00AA613E" w:rsidRDefault="00A03846" w:rsidP="00B9544F">
            <w:pPr>
              <w:pStyle w:val="Body"/>
              <w:rPr>
                <w:rFonts w:eastAsia="Times New Roman"/>
                <w:lang w:eastAsia="en-AU"/>
              </w:rPr>
            </w:pPr>
            <w:r w:rsidRPr="00AA613E">
              <w:rPr>
                <w:rFonts w:eastAsia="Times New Roman"/>
                <w:lang w:eastAsia="en-AU"/>
              </w:rPr>
              <w:t>The lowering of static groundwater levels through complete extraction of all readily available groundwater, usually by means of pumping from one or several groundwater bores</w:t>
            </w:r>
            <w:r w:rsidR="00430AC5">
              <w:rPr>
                <w:rFonts w:eastAsia="Times New Roman"/>
                <w:lang w:eastAsia="en-AU"/>
              </w:rPr>
              <w:t xml:space="preserve"> or gas wells</w:t>
            </w:r>
          </w:p>
        </w:tc>
      </w:tr>
      <w:tr w:rsidR="00E513F3" w:rsidRPr="00AA613E" w14:paraId="113DF300" w14:textId="77777777" w:rsidTr="00726719">
        <w:tc>
          <w:tcPr>
            <w:tcW w:w="2268" w:type="dxa"/>
          </w:tcPr>
          <w:p w14:paraId="6C0D4F5E" w14:textId="77777777" w:rsidR="00E513F3" w:rsidRPr="00AA613E" w:rsidRDefault="00E513F3" w:rsidP="00B9544F">
            <w:pPr>
              <w:pStyle w:val="Body"/>
              <w:rPr>
                <w:rFonts w:eastAsia="Times New Roman"/>
                <w:lang w:eastAsia="en-AU"/>
              </w:rPr>
            </w:pPr>
            <w:r>
              <w:rPr>
                <w:rFonts w:eastAsia="Times New Roman"/>
                <w:lang w:eastAsia="en-AU"/>
              </w:rPr>
              <w:t>Diffusion</w:t>
            </w:r>
          </w:p>
        </w:tc>
        <w:tc>
          <w:tcPr>
            <w:tcW w:w="6946" w:type="dxa"/>
          </w:tcPr>
          <w:p w14:paraId="55AAB711" w14:textId="77777777" w:rsidR="00E513F3" w:rsidRPr="00AA613E" w:rsidRDefault="00E0632E" w:rsidP="007D64CD">
            <w:pPr>
              <w:pStyle w:val="Body"/>
              <w:rPr>
                <w:rFonts w:eastAsia="Times New Roman"/>
                <w:lang w:eastAsia="en-AU"/>
              </w:rPr>
            </w:pPr>
            <w:r>
              <w:rPr>
                <w:rFonts w:eastAsia="Times New Roman"/>
                <w:lang w:eastAsia="en-AU"/>
              </w:rPr>
              <w:t>The process by which ionic or molecular constituents move under the influence of their kinetic activity in the direction of their concentration gradient</w:t>
            </w:r>
          </w:p>
        </w:tc>
      </w:tr>
      <w:tr w:rsidR="00E513F3" w:rsidRPr="00AA613E" w14:paraId="4204F158" w14:textId="77777777" w:rsidTr="00726719">
        <w:tc>
          <w:tcPr>
            <w:tcW w:w="2268" w:type="dxa"/>
          </w:tcPr>
          <w:p w14:paraId="10A00917" w14:textId="77777777" w:rsidR="00E513F3" w:rsidRDefault="00E513F3" w:rsidP="00B9544F">
            <w:pPr>
              <w:pStyle w:val="Body"/>
              <w:rPr>
                <w:rFonts w:eastAsia="Times New Roman"/>
                <w:lang w:eastAsia="en-AU"/>
              </w:rPr>
            </w:pPr>
            <w:r>
              <w:rPr>
                <w:rFonts w:eastAsia="Times New Roman"/>
                <w:lang w:eastAsia="en-AU"/>
              </w:rPr>
              <w:t>Diffusion coefficient</w:t>
            </w:r>
          </w:p>
        </w:tc>
        <w:tc>
          <w:tcPr>
            <w:tcW w:w="6946" w:type="dxa"/>
          </w:tcPr>
          <w:p w14:paraId="668972C6" w14:textId="77777777" w:rsidR="00E513F3" w:rsidRPr="00AA613E" w:rsidRDefault="00E0632E" w:rsidP="00E0632E">
            <w:pPr>
              <w:pStyle w:val="Body"/>
              <w:rPr>
                <w:rFonts w:eastAsia="Times New Roman"/>
                <w:lang w:eastAsia="en-AU"/>
              </w:rPr>
            </w:pPr>
            <w:r>
              <w:rPr>
                <w:rFonts w:eastAsia="Times New Roman"/>
                <w:lang w:eastAsia="en-AU"/>
              </w:rPr>
              <w:t>T</w:t>
            </w:r>
            <w:r w:rsidRPr="00E0632E">
              <w:rPr>
                <w:rFonts w:eastAsia="Times New Roman"/>
                <w:lang w:eastAsia="en-AU"/>
              </w:rPr>
              <w:t>he quantity of a substance that</w:t>
            </w:r>
            <w:r>
              <w:rPr>
                <w:rFonts w:eastAsia="Times New Roman"/>
                <w:lang w:eastAsia="en-AU"/>
              </w:rPr>
              <w:t>,</w:t>
            </w:r>
            <w:r w:rsidRPr="00E0632E">
              <w:rPr>
                <w:rFonts w:eastAsia="Times New Roman"/>
                <w:lang w:eastAsia="en-AU"/>
              </w:rPr>
              <w:t xml:space="preserve"> in diffusing from one region to another</w:t>
            </w:r>
            <w:r>
              <w:rPr>
                <w:rFonts w:eastAsia="Times New Roman"/>
                <w:lang w:eastAsia="en-AU"/>
              </w:rPr>
              <w:t>,</w:t>
            </w:r>
            <w:r w:rsidRPr="00E0632E">
              <w:rPr>
                <w:rFonts w:eastAsia="Times New Roman"/>
                <w:lang w:eastAsia="en-AU"/>
              </w:rPr>
              <w:t xml:space="preserve"> passes through each unit of cross section per unit of time when the volume-concentration gradient is unity</w:t>
            </w:r>
          </w:p>
        </w:tc>
      </w:tr>
      <w:tr w:rsidR="00A03846" w:rsidRPr="00AA613E" w14:paraId="1C3966B5" w14:textId="77777777" w:rsidTr="00726719">
        <w:tc>
          <w:tcPr>
            <w:tcW w:w="2268" w:type="dxa"/>
          </w:tcPr>
          <w:p w14:paraId="52AB8786" w14:textId="77777777" w:rsidR="00A03846" w:rsidRPr="00AA613E" w:rsidRDefault="00A03846" w:rsidP="00B9544F">
            <w:pPr>
              <w:pStyle w:val="Body"/>
              <w:rPr>
                <w:rFonts w:eastAsia="Times New Roman"/>
                <w:lang w:eastAsia="en-AU"/>
              </w:rPr>
            </w:pPr>
            <w:r w:rsidRPr="00AA613E">
              <w:rPr>
                <w:rFonts w:eastAsia="Times New Roman"/>
                <w:lang w:eastAsia="en-AU"/>
              </w:rPr>
              <w:t>Dirichlet boundary condition</w:t>
            </w:r>
          </w:p>
        </w:tc>
        <w:tc>
          <w:tcPr>
            <w:tcW w:w="6946" w:type="dxa"/>
          </w:tcPr>
          <w:p w14:paraId="197AEF42" w14:textId="4564E2D1" w:rsidR="005574E1" w:rsidRDefault="00A03846">
            <w:pPr>
              <w:pStyle w:val="Body"/>
              <w:rPr>
                <w:rFonts w:eastAsia="Times New Roman"/>
                <w:lang w:eastAsia="en-AU"/>
              </w:rPr>
            </w:pPr>
            <w:r w:rsidRPr="00AA613E">
              <w:rPr>
                <w:rFonts w:eastAsia="Times New Roman"/>
                <w:lang w:eastAsia="en-AU"/>
              </w:rPr>
              <w:t xml:space="preserve">Also known as a first type boundary condition, involves specification of the value that </w:t>
            </w:r>
            <w:r w:rsidR="007D64CD">
              <w:rPr>
                <w:rFonts w:eastAsia="Times New Roman"/>
                <w:lang w:eastAsia="en-AU"/>
              </w:rPr>
              <w:t>the</w:t>
            </w:r>
            <w:r w:rsidRPr="00AA613E">
              <w:rPr>
                <w:rFonts w:eastAsia="Times New Roman"/>
                <w:lang w:eastAsia="en-AU"/>
              </w:rPr>
              <w:t xml:space="preserve"> solution </w:t>
            </w:r>
            <w:r w:rsidR="007D64CD">
              <w:rPr>
                <w:rFonts w:eastAsia="Times New Roman"/>
                <w:lang w:eastAsia="en-AU"/>
              </w:rPr>
              <w:t>o</w:t>
            </w:r>
            <w:r w:rsidR="007D64CD" w:rsidRPr="007D64CD">
              <w:rPr>
                <w:rFonts w:eastAsia="Times New Roman"/>
                <w:lang w:eastAsia="en-AU"/>
              </w:rPr>
              <w:t>f a differential equation</w:t>
            </w:r>
            <w:r w:rsidR="007D64CD">
              <w:rPr>
                <w:rFonts w:eastAsia="Times New Roman"/>
                <w:lang w:eastAsia="en-AU"/>
              </w:rPr>
              <w:t xml:space="preserve"> </w:t>
            </w:r>
            <w:r w:rsidRPr="00AA613E">
              <w:rPr>
                <w:rFonts w:eastAsia="Times New Roman"/>
                <w:lang w:eastAsia="en-AU"/>
              </w:rPr>
              <w:t>needs to produce along the boundary of a model domain</w:t>
            </w:r>
            <w:r w:rsidR="00557491">
              <w:rPr>
                <w:rFonts w:eastAsia="Times New Roman"/>
                <w:lang w:eastAsia="en-AU"/>
              </w:rPr>
              <w:t xml:space="preserve">. Applicable to both </w:t>
            </w:r>
            <w:r w:rsidR="00605832">
              <w:rPr>
                <w:rFonts w:eastAsia="Times New Roman"/>
                <w:lang w:eastAsia="en-AU"/>
              </w:rPr>
              <w:t>numerical and analytical models</w:t>
            </w:r>
          </w:p>
        </w:tc>
      </w:tr>
      <w:tr w:rsidR="00A03846" w:rsidRPr="00AA613E" w14:paraId="472B45BA" w14:textId="77777777" w:rsidTr="00726719">
        <w:tc>
          <w:tcPr>
            <w:tcW w:w="2268" w:type="dxa"/>
          </w:tcPr>
          <w:p w14:paraId="6125FC47" w14:textId="77777777" w:rsidR="00A03846" w:rsidRPr="00AA613E" w:rsidRDefault="00A03846" w:rsidP="00B9544F">
            <w:pPr>
              <w:pStyle w:val="Body"/>
              <w:rPr>
                <w:rFonts w:eastAsia="Times New Roman"/>
                <w:lang w:eastAsia="en-AU"/>
              </w:rPr>
            </w:pPr>
            <w:r w:rsidRPr="00AA613E">
              <w:rPr>
                <w:rFonts w:eastAsia="Times New Roman"/>
                <w:lang w:eastAsia="en-AU"/>
              </w:rPr>
              <w:t>Dispersion or hydrodynamic dispersion</w:t>
            </w:r>
          </w:p>
        </w:tc>
        <w:tc>
          <w:tcPr>
            <w:tcW w:w="6946" w:type="dxa"/>
          </w:tcPr>
          <w:p w14:paraId="094C176C" w14:textId="77777777" w:rsidR="00A03846" w:rsidRPr="00AA613E" w:rsidRDefault="00A03846" w:rsidP="00B9544F">
            <w:pPr>
              <w:pStyle w:val="Body"/>
              <w:rPr>
                <w:rFonts w:eastAsia="Times New Roman"/>
                <w:lang w:eastAsia="en-AU"/>
              </w:rPr>
            </w:pPr>
            <w:r w:rsidRPr="00AA613E">
              <w:rPr>
                <w:rFonts w:eastAsia="Times New Roman"/>
                <w:lang w:eastAsia="en-AU"/>
              </w:rPr>
              <w:t>The spread of solutes, colloids, particulate matter, or heat by the combined processes of diffusion and physical mixing of fluids along the path of groundwater flow. This leads to a reduction of concentration at the macroscopic scale</w:t>
            </w:r>
          </w:p>
        </w:tc>
      </w:tr>
      <w:tr w:rsidR="00A03846" w:rsidRPr="00AA613E" w14:paraId="482325DA" w14:textId="77777777" w:rsidTr="00726719">
        <w:tc>
          <w:tcPr>
            <w:tcW w:w="2268" w:type="dxa"/>
          </w:tcPr>
          <w:p w14:paraId="621ED2F3" w14:textId="77777777" w:rsidR="00A03846" w:rsidRPr="00AA613E" w:rsidRDefault="00A03846" w:rsidP="00B9544F">
            <w:pPr>
              <w:pStyle w:val="Body"/>
              <w:rPr>
                <w:rFonts w:eastAsia="Times New Roman"/>
                <w:lang w:eastAsia="en-AU"/>
              </w:rPr>
            </w:pPr>
            <w:r w:rsidRPr="00AA613E">
              <w:rPr>
                <w:rFonts w:eastAsia="Times New Roman"/>
                <w:lang w:eastAsia="en-AU"/>
              </w:rPr>
              <w:t>Drawdown</w:t>
            </w:r>
          </w:p>
        </w:tc>
        <w:tc>
          <w:tcPr>
            <w:tcW w:w="6946" w:type="dxa"/>
          </w:tcPr>
          <w:p w14:paraId="538FA113" w14:textId="77777777" w:rsidR="00A03846" w:rsidRPr="00AA613E" w:rsidRDefault="00A03846" w:rsidP="00B9544F">
            <w:pPr>
              <w:pStyle w:val="Body"/>
              <w:rPr>
                <w:rFonts w:eastAsia="Times New Roman"/>
                <w:lang w:eastAsia="en-AU"/>
              </w:rPr>
            </w:pPr>
            <w:r w:rsidRPr="00AA613E">
              <w:rPr>
                <w:rFonts w:eastAsia="Times New Roman"/>
                <w:lang w:eastAsia="en-AU"/>
              </w:rPr>
              <w:t>A lowering of the water table of an unconfined aquifer or of the potentiometric surface of a confined aquifer, typically caused by groundwater extraction</w:t>
            </w:r>
          </w:p>
        </w:tc>
      </w:tr>
      <w:tr w:rsidR="00A03846" w:rsidRPr="00AA613E" w14:paraId="4A6A3F8C" w14:textId="77777777" w:rsidTr="00726719">
        <w:tc>
          <w:tcPr>
            <w:tcW w:w="2268" w:type="dxa"/>
          </w:tcPr>
          <w:p w14:paraId="076FEEC5" w14:textId="77777777" w:rsidR="00A03846" w:rsidRPr="00AA613E" w:rsidRDefault="00A03846" w:rsidP="00B9544F">
            <w:pPr>
              <w:pStyle w:val="Body"/>
              <w:rPr>
                <w:rFonts w:eastAsia="Times New Roman"/>
                <w:lang w:eastAsia="en-AU"/>
              </w:rPr>
            </w:pPr>
            <w:r w:rsidRPr="00AA613E">
              <w:rPr>
                <w:rFonts w:eastAsia="Times New Roman"/>
                <w:lang w:eastAsia="en-AU"/>
              </w:rPr>
              <w:t xml:space="preserve">Drill stem test  </w:t>
            </w:r>
          </w:p>
        </w:tc>
        <w:tc>
          <w:tcPr>
            <w:tcW w:w="6946" w:type="dxa"/>
          </w:tcPr>
          <w:p w14:paraId="6C27B57C" w14:textId="77777777" w:rsidR="00A03846" w:rsidRPr="00AA613E" w:rsidRDefault="00A03846" w:rsidP="00B0726C">
            <w:pPr>
              <w:pStyle w:val="Body"/>
              <w:rPr>
                <w:rFonts w:eastAsia="Times New Roman"/>
                <w:lang w:eastAsia="en-AU"/>
              </w:rPr>
            </w:pPr>
            <w:r w:rsidRPr="00AA613E">
              <w:rPr>
                <w:rFonts w:eastAsia="Times New Roman"/>
                <w:lang w:eastAsia="en-AU"/>
              </w:rPr>
              <w:t>A procedure to determine the productive capacity, pressure, permeability or extent (or a combination of these) of a hydrocarbon reservoir, involving the circulation of drilling fluids and the use of inflatable bladders (‘packers’) to isolate the vertical extent of the test</w:t>
            </w:r>
          </w:p>
        </w:tc>
      </w:tr>
      <w:tr w:rsidR="00A03846" w:rsidRPr="00AA613E" w14:paraId="0D0FFD6A" w14:textId="77777777" w:rsidTr="00726719">
        <w:tc>
          <w:tcPr>
            <w:tcW w:w="2268" w:type="dxa"/>
          </w:tcPr>
          <w:p w14:paraId="6914AE1B" w14:textId="77777777" w:rsidR="00A03846" w:rsidRPr="00AA613E" w:rsidRDefault="00A03846" w:rsidP="00B9544F">
            <w:pPr>
              <w:pStyle w:val="Body"/>
              <w:rPr>
                <w:rFonts w:eastAsia="Times New Roman"/>
                <w:lang w:eastAsia="en-AU"/>
              </w:rPr>
            </w:pPr>
            <w:r w:rsidRPr="00803613">
              <w:rPr>
                <w:rFonts w:eastAsia="Times New Roman"/>
                <w:lang w:eastAsia="en-AU"/>
              </w:rPr>
              <w:t>Dual permeability</w:t>
            </w:r>
            <w:r w:rsidRPr="00AA613E">
              <w:rPr>
                <w:rFonts w:eastAsia="Times New Roman"/>
                <w:lang w:eastAsia="en-AU"/>
              </w:rPr>
              <w:t xml:space="preserve">  </w:t>
            </w:r>
          </w:p>
        </w:tc>
        <w:tc>
          <w:tcPr>
            <w:tcW w:w="6946" w:type="dxa"/>
          </w:tcPr>
          <w:p w14:paraId="59683040" w14:textId="4A5E508E" w:rsidR="00A03846" w:rsidRPr="00AA613E" w:rsidRDefault="00A03846" w:rsidP="00323E2F">
            <w:pPr>
              <w:pStyle w:val="Body"/>
              <w:rPr>
                <w:rFonts w:eastAsia="Times New Roman"/>
                <w:lang w:eastAsia="en-AU"/>
              </w:rPr>
            </w:pPr>
            <w:r w:rsidRPr="00323E2F">
              <w:rPr>
                <w:rFonts w:eastAsia="Times New Roman"/>
                <w:lang w:eastAsia="en-AU"/>
              </w:rPr>
              <w:t>In a dual-porosity porous medium (reservoir, aquifer, aquitard), fluid flow occurs in both primary and secondary porosity systems</w:t>
            </w:r>
          </w:p>
        </w:tc>
      </w:tr>
      <w:tr w:rsidR="00A03846" w:rsidRPr="00AA613E" w14:paraId="77FA05B1" w14:textId="77777777" w:rsidTr="00726719">
        <w:tc>
          <w:tcPr>
            <w:tcW w:w="2268" w:type="dxa"/>
          </w:tcPr>
          <w:p w14:paraId="39799025" w14:textId="77777777" w:rsidR="00A03846" w:rsidRPr="00AA613E" w:rsidRDefault="00A03846" w:rsidP="00B9544F">
            <w:pPr>
              <w:pStyle w:val="Body"/>
              <w:rPr>
                <w:rFonts w:eastAsia="Times New Roman"/>
                <w:lang w:eastAsia="en-AU"/>
              </w:rPr>
            </w:pPr>
            <w:r w:rsidRPr="00AA613E">
              <w:rPr>
                <w:rFonts w:eastAsia="Times New Roman"/>
                <w:lang w:eastAsia="en-AU"/>
              </w:rPr>
              <w:t>Dual porosity</w:t>
            </w:r>
          </w:p>
        </w:tc>
        <w:tc>
          <w:tcPr>
            <w:tcW w:w="6946" w:type="dxa"/>
          </w:tcPr>
          <w:p w14:paraId="079B9D9B" w14:textId="423D8D93" w:rsidR="00A03846" w:rsidRPr="00AA613E" w:rsidRDefault="00A03846" w:rsidP="0081493F">
            <w:pPr>
              <w:pStyle w:val="Body"/>
              <w:rPr>
                <w:rFonts w:eastAsia="Times New Roman"/>
                <w:lang w:eastAsia="en-AU"/>
              </w:rPr>
            </w:pPr>
            <w:r w:rsidRPr="00AA613E">
              <w:rPr>
                <w:rFonts w:eastAsia="Times New Roman"/>
                <w:lang w:eastAsia="en-AU"/>
              </w:rPr>
              <w:t xml:space="preserve">A feature of soil/rock whereby fluids may be present within porous matrix blocks (which possess a </w:t>
            </w:r>
            <w:r w:rsidR="00545FB7">
              <w:rPr>
                <w:rFonts w:eastAsia="Times New Roman"/>
                <w:lang w:eastAsia="en-AU"/>
              </w:rPr>
              <w:t>particular</w:t>
            </w:r>
            <w:r w:rsidRPr="00AA613E">
              <w:rPr>
                <w:rFonts w:eastAsia="Times New Roman"/>
                <w:lang w:eastAsia="en-AU"/>
              </w:rPr>
              <w:t xml:space="preserve"> storage capacity or “primary porosity”) or within the open fractures (which p</w:t>
            </w:r>
            <w:r w:rsidR="00545FB7">
              <w:rPr>
                <w:rFonts w:eastAsia="Times New Roman"/>
                <w:lang w:eastAsia="en-AU"/>
              </w:rPr>
              <w:t>rovide additional</w:t>
            </w:r>
            <w:r w:rsidRPr="00AA613E">
              <w:rPr>
                <w:rFonts w:eastAsia="Times New Roman"/>
                <w:lang w:eastAsia="en-AU"/>
              </w:rPr>
              <w:t xml:space="preserve"> storage capa</w:t>
            </w:r>
            <w:r w:rsidR="0081493F">
              <w:rPr>
                <w:rFonts w:eastAsia="Times New Roman"/>
                <w:lang w:eastAsia="en-AU"/>
              </w:rPr>
              <w:t>city or “secondary porosity”). F</w:t>
            </w:r>
            <w:r w:rsidRPr="00AA613E">
              <w:rPr>
                <w:rFonts w:eastAsia="Times New Roman"/>
                <w:lang w:eastAsia="en-AU"/>
              </w:rPr>
              <w:t xml:space="preserve">low </w:t>
            </w:r>
            <w:r w:rsidR="00430AC5">
              <w:rPr>
                <w:rFonts w:eastAsia="Times New Roman"/>
                <w:lang w:eastAsia="en-AU"/>
              </w:rPr>
              <w:t xml:space="preserve">may </w:t>
            </w:r>
            <w:r w:rsidR="0081493F">
              <w:rPr>
                <w:rFonts w:eastAsia="Times New Roman"/>
                <w:lang w:eastAsia="en-AU"/>
              </w:rPr>
              <w:t>occur</w:t>
            </w:r>
            <w:r w:rsidRPr="00AA613E">
              <w:rPr>
                <w:rFonts w:eastAsia="Times New Roman"/>
                <w:lang w:eastAsia="en-AU"/>
              </w:rPr>
              <w:t xml:space="preserve"> in both the fractures and the matrix</w:t>
            </w:r>
          </w:p>
        </w:tc>
      </w:tr>
      <w:tr w:rsidR="00A03846" w:rsidRPr="00AA613E" w14:paraId="5ADC4DBF" w14:textId="77777777" w:rsidTr="00726719">
        <w:tc>
          <w:tcPr>
            <w:tcW w:w="2268" w:type="dxa"/>
          </w:tcPr>
          <w:p w14:paraId="4DB954F4" w14:textId="77777777" w:rsidR="00A03846" w:rsidRPr="00AA613E" w:rsidRDefault="00A03846" w:rsidP="00B9544F">
            <w:pPr>
              <w:pStyle w:val="Body"/>
              <w:rPr>
                <w:rFonts w:eastAsia="Times New Roman"/>
                <w:lang w:eastAsia="en-AU"/>
              </w:rPr>
            </w:pPr>
            <w:r w:rsidRPr="00AA613E">
              <w:rPr>
                <w:rFonts w:eastAsia="Times New Roman"/>
                <w:lang w:eastAsia="en-AU"/>
              </w:rPr>
              <w:t xml:space="preserve">Effective parameters  </w:t>
            </w:r>
          </w:p>
        </w:tc>
        <w:tc>
          <w:tcPr>
            <w:tcW w:w="6946" w:type="dxa"/>
          </w:tcPr>
          <w:p w14:paraId="59FD0602" w14:textId="77777777" w:rsidR="00A03846" w:rsidRPr="00AA613E" w:rsidRDefault="00B73BBB" w:rsidP="00B73BBB">
            <w:pPr>
              <w:pStyle w:val="Body"/>
              <w:rPr>
                <w:rFonts w:eastAsia="Times New Roman"/>
                <w:lang w:eastAsia="en-AU"/>
              </w:rPr>
            </w:pPr>
            <w:r>
              <w:t>P</w:t>
            </w:r>
            <w:r w:rsidRPr="00F1417D">
              <w:t>arameters used in ensemble-averaged equations (</w:t>
            </w:r>
            <w:r>
              <w:t xml:space="preserve">e.g., </w:t>
            </w:r>
            <w:r w:rsidRPr="00F1417D">
              <w:t>effective hydraulic conductivity relating the ensemble average flux to the ensemble mean gradient)</w:t>
            </w:r>
            <w:r>
              <w:t>. They</w:t>
            </w:r>
            <w:r w:rsidRPr="00F1417D">
              <w:t xml:space="preserve"> are an intrinsic property of the homogeni</w:t>
            </w:r>
            <w:r>
              <w:t xml:space="preserve">sed domain and </w:t>
            </w:r>
            <w:r w:rsidRPr="00F1417D">
              <w:t>not a function of the particular boundary conditions imposed on the domain</w:t>
            </w:r>
          </w:p>
        </w:tc>
      </w:tr>
      <w:tr w:rsidR="00A03846" w:rsidRPr="00AA613E" w14:paraId="11EEA7FC" w14:textId="77777777" w:rsidTr="00726719">
        <w:tc>
          <w:tcPr>
            <w:tcW w:w="2268" w:type="dxa"/>
          </w:tcPr>
          <w:p w14:paraId="509F7C1E" w14:textId="77777777" w:rsidR="00A03846" w:rsidRPr="00AA613E" w:rsidRDefault="00A03846" w:rsidP="00B9544F">
            <w:pPr>
              <w:pStyle w:val="Body"/>
              <w:rPr>
                <w:rFonts w:eastAsia="Times New Roman"/>
                <w:lang w:eastAsia="en-AU"/>
              </w:rPr>
            </w:pPr>
            <w:r w:rsidRPr="00AA613E">
              <w:rPr>
                <w:rFonts w:eastAsia="Times New Roman"/>
                <w:lang w:eastAsia="en-AU"/>
              </w:rPr>
              <w:t>Effective porosity</w:t>
            </w:r>
          </w:p>
        </w:tc>
        <w:tc>
          <w:tcPr>
            <w:tcW w:w="6946" w:type="dxa"/>
          </w:tcPr>
          <w:p w14:paraId="11695BAD" w14:textId="1FC530C5" w:rsidR="00A03846" w:rsidRPr="00AA613E" w:rsidRDefault="00A03846" w:rsidP="00605832">
            <w:pPr>
              <w:pStyle w:val="Body"/>
              <w:rPr>
                <w:rFonts w:eastAsia="Times New Roman"/>
                <w:lang w:eastAsia="en-AU"/>
              </w:rPr>
            </w:pPr>
            <w:r w:rsidRPr="00AA613E">
              <w:rPr>
                <w:rFonts w:eastAsia="Times New Roman"/>
                <w:lang w:eastAsia="en-AU"/>
              </w:rPr>
              <w:t xml:space="preserve">The fraction of pores that are connected to each other and contribute to flow. Materials with low or no </w:t>
            </w:r>
            <w:r w:rsidR="00A52A8A">
              <w:rPr>
                <w:rFonts w:eastAsia="Times New Roman"/>
                <w:lang w:eastAsia="en-AU"/>
              </w:rPr>
              <w:t xml:space="preserve">primary </w:t>
            </w:r>
            <w:r w:rsidRPr="00AA613E">
              <w:rPr>
                <w:rFonts w:eastAsia="Times New Roman"/>
                <w:lang w:eastAsia="en-AU"/>
              </w:rPr>
              <w:t>porosity can become very permeable if a small number of highly connected fractures are present</w:t>
            </w:r>
          </w:p>
        </w:tc>
      </w:tr>
      <w:tr w:rsidR="00A03846" w:rsidRPr="00AA613E" w14:paraId="4B01CC5A" w14:textId="77777777" w:rsidTr="00726719">
        <w:tc>
          <w:tcPr>
            <w:tcW w:w="2268" w:type="dxa"/>
          </w:tcPr>
          <w:p w14:paraId="0BAF2180" w14:textId="77777777" w:rsidR="00A03846" w:rsidRPr="00AA613E" w:rsidRDefault="00A03846" w:rsidP="00B9544F">
            <w:pPr>
              <w:pStyle w:val="Body"/>
              <w:rPr>
                <w:rFonts w:eastAsia="Times New Roman"/>
                <w:lang w:eastAsia="en-AU"/>
              </w:rPr>
            </w:pPr>
            <w:r w:rsidRPr="005B05B6">
              <w:rPr>
                <w:rFonts w:eastAsia="Times New Roman"/>
                <w:lang w:eastAsia="en-AU"/>
              </w:rPr>
              <w:t>Ensemble-averaging</w:t>
            </w:r>
          </w:p>
        </w:tc>
        <w:tc>
          <w:tcPr>
            <w:tcW w:w="6946" w:type="dxa"/>
          </w:tcPr>
          <w:p w14:paraId="58A4F2C1" w14:textId="77777777" w:rsidR="00A03846" w:rsidRPr="00AA613E" w:rsidRDefault="00A03846" w:rsidP="005B05B6">
            <w:pPr>
              <w:pStyle w:val="Body"/>
              <w:rPr>
                <w:rFonts w:eastAsia="Times New Roman"/>
                <w:lang w:eastAsia="en-AU"/>
              </w:rPr>
            </w:pPr>
            <w:r>
              <w:rPr>
                <w:rFonts w:eastAsia="Times New Roman"/>
                <w:lang w:eastAsia="en-AU"/>
              </w:rPr>
              <w:t>F</w:t>
            </w:r>
            <w:r w:rsidRPr="00803613">
              <w:rPr>
                <w:rFonts w:eastAsia="Times New Roman"/>
                <w:lang w:eastAsia="en-AU"/>
              </w:rPr>
              <w:t xml:space="preserve">ormed by averaging over multiple </w:t>
            </w:r>
            <w:r>
              <w:rPr>
                <w:rFonts w:eastAsia="Times New Roman"/>
                <w:lang w:eastAsia="en-AU"/>
              </w:rPr>
              <w:t>realis</w:t>
            </w:r>
            <w:r w:rsidRPr="00803613">
              <w:rPr>
                <w:rFonts w:eastAsia="Times New Roman"/>
                <w:lang w:eastAsia="en-AU"/>
              </w:rPr>
              <w:t xml:space="preserve">ations </w:t>
            </w:r>
            <w:r>
              <w:rPr>
                <w:rFonts w:eastAsia="Times New Roman"/>
                <w:lang w:eastAsia="en-AU"/>
              </w:rPr>
              <w:t xml:space="preserve">(model runs) </w:t>
            </w:r>
            <w:r w:rsidRPr="00803613">
              <w:rPr>
                <w:rFonts w:eastAsia="Times New Roman"/>
                <w:lang w:eastAsia="en-AU"/>
              </w:rPr>
              <w:t xml:space="preserve">of </w:t>
            </w:r>
            <w:r>
              <w:rPr>
                <w:rFonts w:eastAsia="Times New Roman"/>
                <w:lang w:eastAsia="en-AU"/>
              </w:rPr>
              <w:t>a</w:t>
            </w:r>
            <w:r w:rsidRPr="00803613">
              <w:rPr>
                <w:rFonts w:eastAsia="Times New Roman"/>
                <w:lang w:eastAsia="en-AU"/>
              </w:rPr>
              <w:t xml:space="preserve"> </w:t>
            </w:r>
            <w:r w:rsidR="007D64CD" w:rsidRPr="007D64CD">
              <w:rPr>
                <w:rFonts w:eastAsia="Times New Roman"/>
                <w:lang w:eastAsia="en-AU"/>
              </w:rPr>
              <w:t>spatio</w:t>
            </w:r>
            <w:r w:rsidR="007D64CD">
              <w:rPr>
                <w:rFonts w:eastAsia="Times New Roman"/>
                <w:lang w:eastAsia="en-AU"/>
              </w:rPr>
              <w:t>-</w:t>
            </w:r>
            <w:r w:rsidR="007D64CD" w:rsidRPr="007D64CD">
              <w:rPr>
                <w:rFonts w:eastAsia="Times New Roman"/>
                <w:lang w:eastAsia="en-AU"/>
              </w:rPr>
              <w:t>temporal</w:t>
            </w:r>
            <w:r w:rsidR="007D64CD">
              <w:rPr>
                <w:rFonts w:eastAsia="Times New Roman"/>
                <w:lang w:eastAsia="en-AU"/>
              </w:rPr>
              <w:t xml:space="preserve"> </w:t>
            </w:r>
            <w:r w:rsidRPr="00803613">
              <w:rPr>
                <w:rFonts w:eastAsia="Times New Roman"/>
                <w:lang w:eastAsia="en-AU"/>
              </w:rPr>
              <w:t>process</w:t>
            </w:r>
            <w:r>
              <w:rPr>
                <w:rFonts w:eastAsia="Times New Roman"/>
                <w:lang w:eastAsia="en-AU"/>
              </w:rPr>
              <w:t>.</w:t>
            </w:r>
          </w:p>
        </w:tc>
      </w:tr>
      <w:tr w:rsidR="00A03846" w:rsidRPr="00AA613E" w14:paraId="76C30836" w14:textId="77777777" w:rsidTr="00726719">
        <w:tc>
          <w:tcPr>
            <w:tcW w:w="2268" w:type="dxa"/>
          </w:tcPr>
          <w:p w14:paraId="1F09644D" w14:textId="77777777" w:rsidR="00A03846" w:rsidRPr="00AA613E" w:rsidRDefault="00A03846" w:rsidP="002A738B">
            <w:pPr>
              <w:pStyle w:val="Body"/>
              <w:rPr>
                <w:rFonts w:eastAsia="Times New Roman"/>
                <w:lang w:eastAsia="en-AU"/>
              </w:rPr>
            </w:pPr>
            <w:r w:rsidRPr="00AA613E">
              <w:rPr>
                <w:rFonts w:eastAsia="Times New Roman"/>
                <w:lang w:eastAsia="en-AU"/>
              </w:rPr>
              <w:t xml:space="preserve">Environmental Impact Statement </w:t>
            </w:r>
          </w:p>
        </w:tc>
        <w:tc>
          <w:tcPr>
            <w:tcW w:w="6946" w:type="dxa"/>
          </w:tcPr>
          <w:p w14:paraId="46599C03" w14:textId="77777777" w:rsidR="00A03846" w:rsidRPr="00AA613E" w:rsidRDefault="00A03846" w:rsidP="00B0726C">
            <w:pPr>
              <w:pStyle w:val="Body"/>
              <w:rPr>
                <w:rFonts w:eastAsia="Times New Roman"/>
                <w:lang w:eastAsia="en-AU"/>
              </w:rPr>
            </w:pPr>
            <w:r w:rsidRPr="00AA613E">
              <w:rPr>
                <w:rFonts w:eastAsia="Times New Roman"/>
                <w:lang w:eastAsia="en-AU"/>
              </w:rPr>
              <w:t>A document or set of documents describing a proposed development or activity and disclosing the possible, probable, or certain effects of that proposal on the environment and other potential receptors</w:t>
            </w:r>
          </w:p>
        </w:tc>
      </w:tr>
      <w:tr w:rsidR="00111E98" w:rsidRPr="00AA613E" w14:paraId="6F75B15A" w14:textId="77777777" w:rsidTr="00726719">
        <w:tc>
          <w:tcPr>
            <w:tcW w:w="2268" w:type="dxa"/>
          </w:tcPr>
          <w:p w14:paraId="331EF9C0" w14:textId="77777777" w:rsidR="00111E98" w:rsidRPr="00AA613E" w:rsidRDefault="00111E98" w:rsidP="00B9544F">
            <w:pPr>
              <w:pStyle w:val="Body"/>
              <w:rPr>
                <w:rFonts w:eastAsia="Times New Roman"/>
                <w:lang w:eastAsia="en-AU"/>
              </w:rPr>
            </w:pPr>
            <w:r>
              <w:rPr>
                <w:rFonts w:eastAsia="Times New Roman"/>
                <w:lang w:eastAsia="en-AU"/>
              </w:rPr>
              <w:t>Epistemic uncertainty</w:t>
            </w:r>
          </w:p>
        </w:tc>
        <w:tc>
          <w:tcPr>
            <w:tcW w:w="6946" w:type="dxa"/>
          </w:tcPr>
          <w:p w14:paraId="46601796" w14:textId="573A8DAC" w:rsidR="00111E98" w:rsidRPr="00AA613E" w:rsidRDefault="00BA08D5" w:rsidP="00B632ED">
            <w:pPr>
              <w:pStyle w:val="Body"/>
              <w:rPr>
                <w:rFonts w:eastAsia="Times New Roman"/>
                <w:lang w:eastAsia="en-AU"/>
              </w:rPr>
            </w:pPr>
            <w:r>
              <w:t>U</w:t>
            </w:r>
            <w:r w:rsidRPr="00C96A00">
              <w:t xml:space="preserve">ncertainty </w:t>
            </w:r>
            <w:r>
              <w:t xml:space="preserve">which </w:t>
            </w:r>
            <w:r w:rsidRPr="00C96A00">
              <w:t>represents a lack of knowledge about the appropriate value to use for a quantity; this uncertainty can be reduced through increased understanding (research) or collecting more relevant data</w:t>
            </w:r>
          </w:p>
        </w:tc>
      </w:tr>
      <w:tr w:rsidR="00A03846" w:rsidRPr="00AA613E" w14:paraId="4C92659B" w14:textId="77777777" w:rsidTr="00726719">
        <w:tc>
          <w:tcPr>
            <w:tcW w:w="2268" w:type="dxa"/>
          </w:tcPr>
          <w:p w14:paraId="1121BE10" w14:textId="77777777" w:rsidR="00A03846" w:rsidRPr="00AA613E" w:rsidRDefault="00A03846" w:rsidP="00B9544F">
            <w:pPr>
              <w:pStyle w:val="Body"/>
              <w:rPr>
                <w:rFonts w:eastAsia="Times New Roman"/>
                <w:lang w:eastAsia="en-AU"/>
              </w:rPr>
            </w:pPr>
            <w:r w:rsidRPr="00AA613E">
              <w:rPr>
                <w:rFonts w:eastAsia="Times New Roman"/>
                <w:lang w:eastAsia="en-AU"/>
              </w:rPr>
              <w:t>Equifinality</w:t>
            </w:r>
          </w:p>
        </w:tc>
        <w:tc>
          <w:tcPr>
            <w:tcW w:w="6946" w:type="dxa"/>
          </w:tcPr>
          <w:p w14:paraId="568522BC" w14:textId="77777777" w:rsidR="00A03846" w:rsidRPr="00AA613E" w:rsidRDefault="00A03846" w:rsidP="006F079B">
            <w:pPr>
              <w:pStyle w:val="Body"/>
              <w:rPr>
                <w:rFonts w:eastAsia="Times New Roman"/>
                <w:lang w:eastAsia="en-AU"/>
              </w:rPr>
            </w:pPr>
            <w:r w:rsidRPr="00AA613E">
              <w:rPr>
                <w:rFonts w:eastAsia="Times New Roman"/>
                <w:lang w:eastAsia="en-AU"/>
              </w:rPr>
              <w:t>A state in which many different models are capable of reproducing the observed behaviour of a given natural system</w:t>
            </w:r>
            <w:r w:rsidR="0011542D">
              <w:rPr>
                <w:rFonts w:eastAsia="Times New Roman"/>
                <w:lang w:eastAsia="en-AU"/>
              </w:rPr>
              <w:t>; also referred to as ‘non-uniqueness’</w:t>
            </w:r>
          </w:p>
        </w:tc>
      </w:tr>
      <w:tr w:rsidR="00A03846" w:rsidRPr="00AA613E" w14:paraId="01C05317" w14:textId="77777777" w:rsidTr="00726719">
        <w:tc>
          <w:tcPr>
            <w:tcW w:w="2268" w:type="dxa"/>
          </w:tcPr>
          <w:p w14:paraId="2750C6F3" w14:textId="77777777" w:rsidR="00A03846" w:rsidRPr="00AA613E" w:rsidRDefault="00A03846" w:rsidP="00B9544F">
            <w:pPr>
              <w:pStyle w:val="Body"/>
              <w:rPr>
                <w:rFonts w:eastAsia="Times New Roman"/>
                <w:lang w:eastAsia="en-AU"/>
              </w:rPr>
            </w:pPr>
            <w:r w:rsidRPr="00AA613E">
              <w:rPr>
                <w:rFonts w:eastAsia="Times New Roman"/>
                <w:lang w:eastAsia="en-AU"/>
              </w:rPr>
              <w:t xml:space="preserve">Equivalent parameters  </w:t>
            </w:r>
          </w:p>
        </w:tc>
        <w:tc>
          <w:tcPr>
            <w:tcW w:w="6946" w:type="dxa"/>
          </w:tcPr>
          <w:p w14:paraId="60ED115F" w14:textId="77777777" w:rsidR="00A03846" w:rsidRPr="00AA613E" w:rsidRDefault="00EA4811" w:rsidP="00EA4811">
            <w:pPr>
              <w:pStyle w:val="Body"/>
              <w:rPr>
                <w:rFonts w:eastAsia="Times New Roman"/>
                <w:lang w:eastAsia="en-AU"/>
              </w:rPr>
            </w:pPr>
            <w:r>
              <w:t>E</w:t>
            </w:r>
            <w:r w:rsidR="00B73BBB" w:rsidRPr="00F1417D">
              <w:t xml:space="preserve">quivalent parameters are </w:t>
            </w:r>
            <w:r w:rsidR="00B73BBB">
              <w:t>derived from spatial averaging methods</w:t>
            </w:r>
            <w:r w:rsidR="00B73BBB" w:rsidRPr="00F1417D">
              <w:t>.</w:t>
            </w:r>
            <w:r w:rsidR="00B73BBB">
              <w:t xml:space="preserve"> They</w:t>
            </w:r>
            <w:r w:rsidR="00B73BBB" w:rsidRPr="00F1417D">
              <w:t xml:space="preserve"> are</w:t>
            </w:r>
            <w:r w:rsidR="00B73BBB">
              <w:t xml:space="preserve"> based on numerical modelling and are therefore </w:t>
            </w:r>
            <w:r w:rsidR="00B73BBB" w:rsidRPr="00F1417D">
              <w:t xml:space="preserve">valid only for a specific set of </w:t>
            </w:r>
            <w:r w:rsidR="00B73BBB">
              <w:t xml:space="preserve">imposed groundwater flow </w:t>
            </w:r>
            <w:r w:rsidR="00B73BBB" w:rsidRPr="00F1417D">
              <w:t>boundary conditions</w:t>
            </w:r>
            <w:r w:rsidR="00415DA6">
              <w:t>. Sometimes the terms block-average or volume-average are used</w:t>
            </w:r>
          </w:p>
        </w:tc>
      </w:tr>
      <w:tr w:rsidR="00A03846" w:rsidRPr="00AA613E" w14:paraId="0354BDF2" w14:textId="77777777" w:rsidTr="00726719">
        <w:tc>
          <w:tcPr>
            <w:tcW w:w="2268" w:type="dxa"/>
          </w:tcPr>
          <w:p w14:paraId="4A404A35" w14:textId="77777777" w:rsidR="00A03846" w:rsidRPr="00AA613E" w:rsidRDefault="00A03846" w:rsidP="00D2003B">
            <w:pPr>
              <w:pStyle w:val="Body"/>
              <w:rPr>
                <w:rFonts w:eastAsia="Times New Roman"/>
                <w:lang w:eastAsia="en-AU"/>
              </w:rPr>
            </w:pPr>
            <w:r w:rsidRPr="00AA613E">
              <w:rPr>
                <w:rFonts w:eastAsia="Times New Roman"/>
                <w:lang w:eastAsia="en-AU"/>
              </w:rPr>
              <w:t xml:space="preserve">Facies </w:t>
            </w:r>
          </w:p>
        </w:tc>
        <w:tc>
          <w:tcPr>
            <w:tcW w:w="6946" w:type="dxa"/>
          </w:tcPr>
          <w:p w14:paraId="1F6BBD95" w14:textId="77777777" w:rsidR="00A03846" w:rsidRPr="00AA613E" w:rsidRDefault="00A03846" w:rsidP="00B9544F">
            <w:pPr>
              <w:pStyle w:val="Body"/>
              <w:rPr>
                <w:rFonts w:eastAsia="Times New Roman"/>
                <w:lang w:eastAsia="en-AU"/>
              </w:rPr>
            </w:pPr>
            <w:r w:rsidRPr="00AA613E">
              <w:rPr>
                <w:rFonts w:eastAsia="Times New Roman"/>
                <w:lang w:eastAsia="en-AU"/>
              </w:rPr>
              <w:t>All lithological and palaeontological features of a particular sedimentary rock, from which the depositional environment may be inferred</w:t>
            </w:r>
          </w:p>
        </w:tc>
      </w:tr>
      <w:tr w:rsidR="00A03846" w:rsidRPr="00AA613E" w14:paraId="2F9EA1B9" w14:textId="77777777" w:rsidTr="00726719">
        <w:tc>
          <w:tcPr>
            <w:tcW w:w="2268" w:type="dxa"/>
          </w:tcPr>
          <w:p w14:paraId="6507A4F5" w14:textId="77777777" w:rsidR="00A03846" w:rsidRPr="00AA613E" w:rsidRDefault="00A03846" w:rsidP="00D2003B">
            <w:pPr>
              <w:pStyle w:val="Body"/>
              <w:rPr>
                <w:rFonts w:eastAsia="Times New Roman"/>
                <w:lang w:eastAsia="en-AU"/>
              </w:rPr>
            </w:pPr>
            <w:r w:rsidRPr="00AA613E">
              <w:rPr>
                <w:rFonts w:eastAsia="Times New Roman"/>
                <w:lang w:eastAsia="en-AU"/>
              </w:rPr>
              <w:t xml:space="preserve">Fault core  </w:t>
            </w:r>
          </w:p>
        </w:tc>
        <w:tc>
          <w:tcPr>
            <w:tcW w:w="6946" w:type="dxa"/>
          </w:tcPr>
          <w:p w14:paraId="7150461C" w14:textId="0AE61BC4" w:rsidR="00A03846" w:rsidRPr="00AA613E" w:rsidRDefault="00A03846" w:rsidP="00B70F2E">
            <w:pPr>
              <w:pStyle w:val="Body"/>
              <w:rPr>
                <w:rFonts w:eastAsia="Times New Roman"/>
                <w:lang w:eastAsia="en-AU"/>
              </w:rPr>
            </w:pPr>
            <w:r w:rsidRPr="00AA613E">
              <w:rPr>
                <w:rFonts w:eastAsia="Times New Roman"/>
                <w:lang w:eastAsia="en-AU"/>
              </w:rPr>
              <w:t xml:space="preserve">The fault core is composed of structural elements that accommodate the majority of fault displacement. The fault core is often represented by a low permeability, continuous clay smear </w:t>
            </w:r>
            <w:r w:rsidR="00AE5A01">
              <w:rPr>
                <w:rFonts w:eastAsia="Times New Roman"/>
                <w:lang w:eastAsia="en-AU"/>
              </w:rPr>
              <w:t>or a deformation band shear</w:t>
            </w:r>
          </w:p>
        </w:tc>
      </w:tr>
      <w:tr w:rsidR="00A03846" w:rsidRPr="00AA613E" w14:paraId="0A556B05" w14:textId="77777777" w:rsidTr="00726719">
        <w:tc>
          <w:tcPr>
            <w:tcW w:w="2268" w:type="dxa"/>
          </w:tcPr>
          <w:p w14:paraId="73AF124B" w14:textId="77777777" w:rsidR="00A03846" w:rsidRPr="00AA613E" w:rsidRDefault="00A03846" w:rsidP="00D2003B">
            <w:pPr>
              <w:pStyle w:val="Body"/>
              <w:rPr>
                <w:rFonts w:eastAsia="Times New Roman"/>
                <w:lang w:eastAsia="en-AU"/>
              </w:rPr>
            </w:pPr>
            <w:r w:rsidRPr="00AA613E">
              <w:rPr>
                <w:rFonts w:eastAsia="Times New Roman"/>
                <w:lang w:eastAsia="en-AU"/>
              </w:rPr>
              <w:t xml:space="preserve">Fault displacement  </w:t>
            </w:r>
          </w:p>
        </w:tc>
        <w:tc>
          <w:tcPr>
            <w:tcW w:w="6946" w:type="dxa"/>
          </w:tcPr>
          <w:p w14:paraId="1E5DAA27" w14:textId="77777777" w:rsidR="00A03846" w:rsidRPr="00AA613E" w:rsidRDefault="00A03846" w:rsidP="00B868E6">
            <w:pPr>
              <w:pStyle w:val="Body"/>
              <w:rPr>
                <w:rFonts w:eastAsia="Times New Roman"/>
                <w:lang w:eastAsia="en-AU"/>
              </w:rPr>
            </w:pPr>
            <w:r w:rsidRPr="00AA613E">
              <w:rPr>
                <w:rFonts w:eastAsia="Times New Roman"/>
                <w:lang w:eastAsia="en-AU"/>
              </w:rPr>
              <w:t>The offset between two sections of the same geological formation caused by uplift during or following fault activation</w:t>
            </w:r>
          </w:p>
        </w:tc>
      </w:tr>
      <w:tr w:rsidR="00A03846" w:rsidRPr="00AA613E" w14:paraId="765A774E" w14:textId="77777777" w:rsidTr="00726719">
        <w:tc>
          <w:tcPr>
            <w:tcW w:w="2268" w:type="dxa"/>
          </w:tcPr>
          <w:p w14:paraId="09F751EC" w14:textId="77777777" w:rsidR="00A03846" w:rsidRPr="00AA613E" w:rsidRDefault="00A03846" w:rsidP="00D2003B">
            <w:pPr>
              <w:pStyle w:val="Body"/>
              <w:rPr>
                <w:rFonts w:eastAsia="Times New Roman"/>
                <w:lang w:eastAsia="en-AU"/>
              </w:rPr>
            </w:pPr>
            <w:r w:rsidRPr="00AA613E">
              <w:rPr>
                <w:rFonts w:eastAsia="Times New Roman"/>
                <w:lang w:eastAsia="en-AU"/>
              </w:rPr>
              <w:t xml:space="preserve">Fault throw  </w:t>
            </w:r>
          </w:p>
        </w:tc>
        <w:tc>
          <w:tcPr>
            <w:tcW w:w="6946" w:type="dxa"/>
          </w:tcPr>
          <w:p w14:paraId="700E7990" w14:textId="50CE89B3" w:rsidR="00A03846" w:rsidRPr="00AA613E" w:rsidRDefault="00A52A8A" w:rsidP="00B868E6">
            <w:pPr>
              <w:pStyle w:val="Body"/>
              <w:rPr>
                <w:rFonts w:eastAsia="Times New Roman"/>
                <w:lang w:eastAsia="en-AU"/>
              </w:rPr>
            </w:pPr>
            <w:r w:rsidRPr="00A52A8A">
              <w:rPr>
                <w:rFonts w:eastAsia="Times New Roman"/>
                <w:lang w:eastAsia="en-AU"/>
              </w:rPr>
              <w:t>The vertical displacement caused by fault activation</w:t>
            </w:r>
          </w:p>
        </w:tc>
      </w:tr>
      <w:tr w:rsidR="00A03846" w:rsidRPr="00AA613E" w14:paraId="47BFC9C7" w14:textId="77777777" w:rsidTr="00726719">
        <w:tc>
          <w:tcPr>
            <w:tcW w:w="2268" w:type="dxa"/>
          </w:tcPr>
          <w:p w14:paraId="079FDE0E" w14:textId="77777777" w:rsidR="00A03846" w:rsidRPr="00AA613E" w:rsidRDefault="00A03846" w:rsidP="00D2003B">
            <w:pPr>
              <w:pStyle w:val="Body"/>
              <w:rPr>
                <w:rFonts w:eastAsia="Times New Roman"/>
                <w:lang w:eastAsia="en-AU"/>
              </w:rPr>
            </w:pPr>
            <w:r w:rsidRPr="00AA613E">
              <w:rPr>
                <w:rFonts w:eastAsia="Times New Roman"/>
                <w:lang w:eastAsia="en-AU"/>
              </w:rPr>
              <w:t>Fault zone</w:t>
            </w:r>
          </w:p>
        </w:tc>
        <w:tc>
          <w:tcPr>
            <w:tcW w:w="6946" w:type="dxa"/>
          </w:tcPr>
          <w:p w14:paraId="1B167629" w14:textId="704C3C75" w:rsidR="00A03846" w:rsidRPr="00AA613E" w:rsidRDefault="00A03846" w:rsidP="00A52A8A">
            <w:pPr>
              <w:pStyle w:val="Body"/>
              <w:rPr>
                <w:rFonts w:eastAsia="Times New Roman"/>
                <w:lang w:eastAsia="en-AU"/>
              </w:rPr>
            </w:pPr>
            <w:r w:rsidRPr="00AA613E">
              <w:rPr>
                <w:rFonts w:eastAsia="Times New Roman"/>
                <w:lang w:eastAsia="en-AU"/>
              </w:rPr>
              <w:t>The complete volume of rock deformed when lithospheric stresses cause two tectonic blocks to move in relation to one another; commonly comprised of two architectural elements</w:t>
            </w:r>
            <w:r w:rsidR="00A52A8A">
              <w:rPr>
                <w:rFonts w:eastAsia="Times New Roman"/>
                <w:lang w:eastAsia="en-AU"/>
              </w:rPr>
              <w:t xml:space="preserve"> -</w:t>
            </w:r>
            <w:r w:rsidRPr="00AA613E">
              <w:rPr>
                <w:rFonts w:eastAsia="Times New Roman"/>
                <w:lang w:eastAsia="en-AU"/>
              </w:rPr>
              <w:t xml:space="preserve"> a fault core and damage zone</w:t>
            </w:r>
          </w:p>
        </w:tc>
      </w:tr>
      <w:tr w:rsidR="00D72C22" w:rsidRPr="00AA613E" w14:paraId="1DE827F9" w14:textId="77777777" w:rsidTr="00726719">
        <w:tc>
          <w:tcPr>
            <w:tcW w:w="2268" w:type="dxa"/>
          </w:tcPr>
          <w:p w14:paraId="23ACAAB1" w14:textId="77777777" w:rsidR="00D72C22" w:rsidRDefault="00D72C22" w:rsidP="00214AFB">
            <w:pPr>
              <w:pStyle w:val="Body"/>
              <w:rPr>
                <w:rFonts w:eastAsia="Times New Roman"/>
                <w:lang w:eastAsia="en-AU"/>
              </w:rPr>
            </w:pPr>
            <w:r>
              <w:rPr>
                <w:rFonts w:eastAsia="Times New Roman"/>
                <w:lang w:eastAsia="en-AU"/>
              </w:rPr>
              <w:t>Gas wetting</w:t>
            </w:r>
          </w:p>
        </w:tc>
        <w:tc>
          <w:tcPr>
            <w:tcW w:w="6946" w:type="dxa"/>
          </w:tcPr>
          <w:p w14:paraId="321D0226" w14:textId="77777777" w:rsidR="00D72C22" w:rsidRPr="00214AFB" w:rsidRDefault="009A78B7" w:rsidP="009A78B7">
            <w:pPr>
              <w:pStyle w:val="Body"/>
              <w:rPr>
                <w:rFonts w:eastAsia="Times New Roman"/>
                <w:lang w:eastAsia="en-AU"/>
              </w:rPr>
            </w:pPr>
            <w:r>
              <w:rPr>
                <w:rFonts w:eastAsia="Times New Roman"/>
                <w:lang w:eastAsia="en-AU"/>
              </w:rPr>
              <w:t>The process of gas intruding a medium that has  a preference for water</w:t>
            </w:r>
          </w:p>
        </w:tc>
      </w:tr>
      <w:tr w:rsidR="00E513F3" w:rsidRPr="00AA613E" w14:paraId="6B126F9A" w14:textId="77777777" w:rsidTr="00726719">
        <w:tc>
          <w:tcPr>
            <w:tcW w:w="2268" w:type="dxa"/>
          </w:tcPr>
          <w:p w14:paraId="6E524FD3" w14:textId="77777777" w:rsidR="00E513F3" w:rsidRPr="00214AFB" w:rsidRDefault="00E513F3" w:rsidP="00214AFB">
            <w:pPr>
              <w:pStyle w:val="Body"/>
              <w:rPr>
                <w:rFonts w:eastAsia="Times New Roman"/>
                <w:lang w:eastAsia="en-AU"/>
              </w:rPr>
            </w:pPr>
            <w:r>
              <w:rPr>
                <w:rFonts w:eastAsia="Times New Roman"/>
                <w:lang w:eastAsia="en-AU"/>
              </w:rPr>
              <w:t>Gaussian (probability distribution)</w:t>
            </w:r>
          </w:p>
        </w:tc>
        <w:tc>
          <w:tcPr>
            <w:tcW w:w="6946" w:type="dxa"/>
          </w:tcPr>
          <w:p w14:paraId="66CD3FB8" w14:textId="77777777" w:rsidR="00E513F3" w:rsidRPr="00214AFB" w:rsidRDefault="00E0632E" w:rsidP="00142C5C">
            <w:pPr>
              <w:pStyle w:val="Body"/>
              <w:rPr>
                <w:rFonts w:eastAsia="Times New Roman"/>
                <w:lang w:eastAsia="en-AU"/>
              </w:rPr>
            </w:pPr>
            <w:r>
              <w:rPr>
                <w:rFonts w:eastAsia="Times New Roman"/>
                <w:lang w:eastAsia="en-AU"/>
              </w:rPr>
              <w:t>A</w:t>
            </w:r>
            <w:r w:rsidRPr="00E0632E">
              <w:rPr>
                <w:rFonts w:eastAsia="Times New Roman"/>
                <w:lang w:eastAsia="en-AU"/>
              </w:rPr>
              <w:t xml:space="preserve"> </w:t>
            </w:r>
            <w:r>
              <w:rPr>
                <w:rFonts w:eastAsia="Times New Roman"/>
                <w:lang w:eastAsia="en-AU"/>
              </w:rPr>
              <w:t xml:space="preserve">continuous </w:t>
            </w:r>
            <w:r w:rsidRPr="00E0632E">
              <w:rPr>
                <w:rFonts w:eastAsia="Times New Roman"/>
                <w:lang w:eastAsia="en-AU"/>
              </w:rPr>
              <w:t>function that</w:t>
            </w:r>
            <w:r w:rsidR="008E0E42">
              <w:rPr>
                <w:rFonts w:eastAsia="Times New Roman"/>
                <w:lang w:eastAsia="en-AU"/>
              </w:rPr>
              <w:t xml:space="preserve"> approximates the exact binomial distribution and which</w:t>
            </w:r>
            <w:r w:rsidRPr="00E0632E">
              <w:rPr>
                <w:rFonts w:eastAsia="Times New Roman"/>
                <w:lang w:eastAsia="en-AU"/>
              </w:rPr>
              <w:t xml:space="preserve"> represents the </w:t>
            </w:r>
            <w:r>
              <w:rPr>
                <w:rFonts w:eastAsia="Times New Roman"/>
                <w:lang w:eastAsia="en-AU"/>
              </w:rPr>
              <w:t xml:space="preserve">statistical </w:t>
            </w:r>
            <w:r w:rsidRPr="00E0632E">
              <w:rPr>
                <w:rFonts w:eastAsia="Times New Roman"/>
                <w:lang w:eastAsia="en-AU"/>
              </w:rPr>
              <w:t>distribution of many random variables</w:t>
            </w:r>
            <w:r w:rsidR="00142C5C">
              <w:rPr>
                <w:rFonts w:eastAsia="Times New Roman"/>
                <w:lang w:eastAsia="en-AU"/>
              </w:rPr>
              <w:t>. This can be described using only two parameters: mean (i.e. central tendency) and variance (i.e. spread). Typically</w:t>
            </w:r>
            <w:r>
              <w:rPr>
                <w:rFonts w:eastAsia="Times New Roman"/>
                <w:lang w:eastAsia="en-AU"/>
              </w:rPr>
              <w:t xml:space="preserve"> visualised as </w:t>
            </w:r>
            <w:r w:rsidRPr="00E0632E">
              <w:rPr>
                <w:rFonts w:eastAsia="Times New Roman"/>
                <w:lang w:eastAsia="en-AU"/>
              </w:rPr>
              <w:t>a symmetrical bell-shaped graph</w:t>
            </w:r>
          </w:p>
        </w:tc>
      </w:tr>
      <w:tr w:rsidR="00214AFB" w:rsidRPr="00AA613E" w14:paraId="1A03F866" w14:textId="77777777" w:rsidTr="00726719">
        <w:tc>
          <w:tcPr>
            <w:tcW w:w="2268" w:type="dxa"/>
          </w:tcPr>
          <w:p w14:paraId="3D504727" w14:textId="77777777" w:rsidR="00214AFB" w:rsidRPr="00214AFB" w:rsidRDefault="00214AFB" w:rsidP="00214AFB">
            <w:pPr>
              <w:pStyle w:val="Body"/>
              <w:rPr>
                <w:rFonts w:eastAsia="Times New Roman"/>
                <w:lang w:eastAsia="en-AU"/>
              </w:rPr>
            </w:pPr>
            <w:r w:rsidRPr="00214AFB">
              <w:rPr>
                <w:rFonts w:eastAsia="Times New Roman"/>
                <w:lang w:eastAsia="en-AU"/>
              </w:rPr>
              <w:t>Geomechanical</w:t>
            </w:r>
          </w:p>
        </w:tc>
        <w:tc>
          <w:tcPr>
            <w:tcW w:w="6946" w:type="dxa"/>
          </w:tcPr>
          <w:p w14:paraId="4BC685B3" w14:textId="77777777" w:rsidR="00214AFB" w:rsidRPr="00214AFB" w:rsidRDefault="00214AFB" w:rsidP="00214AFB">
            <w:pPr>
              <w:pStyle w:val="Body"/>
              <w:rPr>
                <w:rFonts w:eastAsia="Times New Roman"/>
                <w:lang w:eastAsia="en-AU"/>
              </w:rPr>
            </w:pPr>
            <w:r w:rsidRPr="00214AFB">
              <w:rPr>
                <w:rFonts w:eastAsia="Times New Roman"/>
                <w:lang w:eastAsia="en-AU"/>
              </w:rPr>
              <w:t>Relating to the movement/expansion/contraction of soil and rock</w:t>
            </w:r>
          </w:p>
        </w:tc>
      </w:tr>
      <w:tr w:rsidR="00214AFB" w:rsidRPr="00AA613E" w14:paraId="2BCDC223" w14:textId="77777777" w:rsidTr="00726719">
        <w:tc>
          <w:tcPr>
            <w:tcW w:w="2268" w:type="dxa"/>
          </w:tcPr>
          <w:p w14:paraId="255D28C3" w14:textId="77777777" w:rsidR="00214AFB" w:rsidRPr="00AA613E" w:rsidRDefault="00214AFB" w:rsidP="00B9544F">
            <w:pPr>
              <w:pStyle w:val="Body"/>
              <w:rPr>
                <w:rFonts w:eastAsia="Times New Roman"/>
                <w:lang w:eastAsia="en-AU"/>
              </w:rPr>
            </w:pPr>
            <w:r w:rsidRPr="00AA613E">
              <w:rPr>
                <w:rFonts w:eastAsia="Times New Roman"/>
                <w:lang w:eastAsia="en-AU"/>
              </w:rPr>
              <w:t>Groundwater</w:t>
            </w:r>
          </w:p>
        </w:tc>
        <w:tc>
          <w:tcPr>
            <w:tcW w:w="6946" w:type="dxa"/>
          </w:tcPr>
          <w:p w14:paraId="01F1942A" w14:textId="77777777" w:rsidR="00214AFB" w:rsidRPr="00AA613E" w:rsidRDefault="00214AFB" w:rsidP="00B9544F">
            <w:pPr>
              <w:pStyle w:val="Body"/>
              <w:rPr>
                <w:rFonts w:eastAsia="Times New Roman"/>
                <w:lang w:eastAsia="en-AU"/>
              </w:rPr>
            </w:pPr>
            <w:r w:rsidRPr="00AA613E">
              <w:rPr>
                <w:rFonts w:eastAsia="Times New Roman"/>
                <w:lang w:eastAsia="en-AU"/>
              </w:rPr>
              <w:t>Water occurring naturally below ground level (whether in an aquifer or other low-permeability material), or water occurring at a place below ground that has been pumped, diverted or released to that place for storage. This does not include water held in underground tanks, pipes or other works</w:t>
            </w:r>
          </w:p>
        </w:tc>
      </w:tr>
      <w:tr w:rsidR="00214AFB" w:rsidRPr="00AA613E" w14:paraId="2B58DFF3" w14:textId="77777777" w:rsidTr="00726719">
        <w:tc>
          <w:tcPr>
            <w:tcW w:w="2268" w:type="dxa"/>
          </w:tcPr>
          <w:p w14:paraId="0F9D7902" w14:textId="77777777" w:rsidR="00214AFB" w:rsidRPr="00AA613E" w:rsidRDefault="00214AFB" w:rsidP="00B9544F">
            <w:pPr>
              <w:pStyle w:val="Body"/>
              <w:rPr>
                <w:rFonts w:eastAsia="Times New Roman"/>
                <w:lang w:eastAsia="en-AU"/>
              </w:rPr>
            </w:pPr>
            <w:r w:rsidRPr="00AA613E">
              <w:rPr>
                <w:rFonts w:eastAsia="Times New Roman"/>
                <w:lang w:eastAsia="en-AU"/>
              </w:rPr>
              <w:t xml:space="preserve">Groundwater dependent ecosystem </w:t>
            </w:r>
          </w:p>
        </w:tc>
        <w:tc>
          <w:tcPr>
            <w:tcW w:w="6946" w:type="dxa"/>
          </w:tcPr>
          <w:p w14:paraId="2738065D" w14:textId="77777777" w:rsidR="00214AFB" w:rsidRPr="00AA613E" w:rsidRDefault="00214AFB" w:rsidP="00B0726C">
            <w:pPr>
              <w:pStyle w:val="Body"/>
              <w:rPr>
                <w:rFonts w:eastAsia="Times New Roman"/>
                <w:lang w:eastAsia="en-AU"/>
              </w:rPr>
            </w:pPr>
            <w:r w:rsidRPr="00AA613E">
              <w:rPr>
                <w:rFonts w:eastAsia="Times New Roman"/>
                <w:lang w:eastAsia="en-AU"/>
              </w:rPr>
              <w:t>Ecosystems that partially or fully rely on groundwater. These include terrestrial vegetation, wetlands, estuarine and near shore marine systems, river base-flows, cave and aquifer ecosystems and terrestrial fauna</w:t>
            </w:r>
          </w:p>
        </w:tc>
      </w:tr>
      <w:tr w:rsidR="00E513F3" w:rsidRPr="00AA613E" w14:paraId="370C11A7" w14:textId="77777777" w:rsidTr="00726719">
        <w:tc>
          <w:tcPr>
            <w:tcW w:w="2268" w:type="dxa"/>
          </w:tcPr>
          <w:p w14:paraId="0B942FAB" w14:textId="77777777" w:rsidR="00E513F3" w:rsidRPr="00AA613E" w:rsidRDefault="00E513F3" w:rsidP="00B9544F">
            <w:pPr>
              <w:pStyle w:val="Body"/>
              <w:rPr>
                <w:rFonts w:eastAsia="Times New Roman"/>
                <w:lang w:eastAsia="en-AU"/>
              </w:rPr>
            </w:pPr>
            <w:r>
              <w:rPr>
                <w:rFonts w:eastAsia="Times New Roman"/>
                <w:lang w:eastAsia="en-AU"/>
              </w:rPr>
              <w:t>Groundwater (single phase) flow model</w:t>
            </w:r>
          </w:p>
        </w:tc>
        <w:tc>
          <w:tcPr>
            <w:tcW w:w="6946" w:type="dxa"/>
          </w:tcPr>
          <w:p w14:paraId="4EF5640C" w14:textId="77777777" w:rsidR="00E513F3" w:rsidRPr="00AA613E" w:rsidRDefault="00E0632E" w:rsidP="00E0632E">
            <w:pPr>
              <w:pStyle w:val="Body"/>
              <w:rPr>
                <w:lang w:eastAsia="en-AU"/>
              </w:rPr>
            </w:pPr>
            <w:r>
              <w:rPr>
                <w:rFonts w:eastAsia="Times New Roman"/>
                <w:lang w:eastAsia="en-AU"/>
              </w:rPr>
              <w:t>A numerical solution to a partial differential equation used to describe the flow of water in the subsurface. Groundwater flow models involve the flow simulation of a single fluid phase (i.e. water). Common parameters used in groundwater flow models are hydraulic conductivity, specific yield and specific storage</w:t>
            </w:r>
          </w:p>
        </w:tc>
      </w:tr>
      <w:tr w:rsidR="00214AFB" w:rsidRPr="00AA613E" w14:paraId="6938060F" w14:textId="77777777" w:rsidTr="00726719">
        <w:tc>
          <w:tcPr>
            <w:tcW w:w="2268" w:type="dxa"/>
          </w:tcPr>
          <w:p w14:paraId="650DFFB8" w14:textId="77777777" w:rsidR="00214AFB" w:rsidRPr="00AA613E" w:rsidRDefault="00214AFB" w:rsidP="00B9544F">
            <w:pPr>
              <w:pStyle w:val="Body"/>
              <w:rPr>
                <w:rFonts w:eastAsia="Times New Roman"/>
                <w:lang w:eastAsia="en-AU"/>
              </w:rPr>
            </w:pPr>
            <w:r w:rsidRPr="00AA613E">
              <w:rPr>
                <w:rFonts w:eastAsia="Times New Roman"/>
                <w:lang w:eastAsia="en-AU"/>
              </w:rPr>
              <w:t xml:space="preserve">Hydraulic conductivity  </w:t>
            </w:r>
          </w:p>
        </w:tc>
        <w:tc>
          <w:tcPr>
            <w:tcW w:w="6946" w:type="dxa"/>
          </w:tcPr>
          <w:p w14:paraId="65181DB1" w14:textId="77777777" w:rsidR="00214AFB" w:rsidRPr="00AA613E" w:rsidRDefault="00214AFB" w:rsidP="002A738B">
            <w:pPr>
              <w:pStyle w:val="Body"/>
              <w:rPr>
                <w:lang w:eastAsia="en-AU"/>
              </w:rPr>
            </w:pPr>
            <w:r w:rsidRPr="00AA613E">
              <w:rPr>
                <w:lang w:eastAsia="en-AU"/>
              </w:rPr>
              <w:t>A coefficient of proportionality describing the rate at which a fluid can move through a permeable medium</w:t>
            </w:r>
          </w:p>
        </w:tc>
      </w:tr>
      <w:tr w:rsidR="00214AFB" w:rsidRPr="00AA613E" w14:paraId="6425D792" w14:textId="77777777" w:rsidTr="00726719">
        <w:tc>
          <w:tcPr>
            <w:tcW w:w="2268" w:type="dxa"/>
          </w:tcPr>
          <w:p w14:paraId="254D69D5" w14:textId="77777777" w:rsidR="00214AFB" w:rsidRPr="00AA613E" w:rsidRDefault="00214AFB" w:rsidP="00B9544F">
            <w:pPr>
              <w:pStyle w:val="Body"/>
              <w:rPr>
                <w:rFonts w:eastAsia="Times New Roman"/>
                <w:lang w:eastAsia="en-AU"/>
              </w:rPr>
            </w:pPr>
            <w:r w:rsidRPr="00AA613E">
              <w:rPr>
                <w:rFonts w:eastAsia="Times New Roman"/>
                <w:lang w:eastAsia="en-AU"/>
              </w:rPr>
              <w:t>Hydraulic fracturing</w:t>
            </w:r>
          </w:p>
        </w:tc>
        <w:tc>
          <w:tcPr>
            <w:tcW w:w="6946" w:type="dxa"/>
          </w:tcPr>
          <w:p w14:paraId="25E1D7F0" w14:textId="77777777" w:rsidR="00214AFB" w:rsidRPr="00AA613E" w:rsidRDefault="00214AFB" w:rsidP="00B9544F">
            <w:pPr>
              <w:pStyle w:val="Body"/>
              <w:rPr>
                <w:rFonts w:eastAsia="Times New Roman"/>
                <w:lang w:eastAsia="en-AU"/>
              </w:rPr>
            </w:pPr>
            <w:r w:rsidRPr="00AA613E">
              <w:rPr>
                <w:lang w:eastAsia="en-AU"/>
              </w:rPr>
              <w:t>Also known as ‘fracking’, ‘fraccing’ or ‘fracture stimulation’, is one process by which hydrocarbon (oil and gas) bearing geological formations are ‘stimulated’ to enhance the flow of hydrocarbons and other fluids towards the well. In most cases is only undertaken where the permeability of the formation is initially insufficient to support sustained flow of gas. The hydraulic fracturing process involves the injection of fluids, gas, proppant and other additives under high pressure into a geological formation to create a conductive fracture. The fracture extends from the well into the coal reservoir, creating a large surface area through which gas and water are produced and then transported to the well via the conductive propped fracture channel</w:t>
            </w:r>
          </w:p>
        </w:tc>
      </w:tr>
      <w:tr w:rsidR="00214AFB" w:rsidRPr="00AA613E" w14:paraId="44B3C862" w14:textId="77777777" w:rsidTr="00726719">
        <w:tc>
          <w:tcPr>
            <w:tcW w:w="2268" w:type="dxa"/>
          </w:tcPr>
          <w:p w14:paraId="1ACBDD86" w14:textId="77777777" w:rsidR="00214AFB" w:rsidRPr="00AA613E" w:rsidRDefault="00214AFB" w:rsidP="00B9544F">
            <w:pPr>
              <w:pStyle w:val="Body"/>
              <w:rPr>
                <w:rFonts w:eastAsia="Times New Roman"/>
                <w:lang w:eastAsia="en-AU"/>
              </w:rPr>
            </w:pPr>
            <w:r w:rsidRPr="00AA613E">
              <w:rPr>
                <w:rFonts w:eastAsia="Times New Roman"/>
                <w:lang w:eastAsia="en-AU"/>
              </w:rPr>
              <w:t>Hydraulic gradient</w:t>
            </w:r>
          </w:p>
        </w:tc>
        <w:tc>
          <w:tcPr>
            <w:tcW w:w="6946" w:type="dxa"/>
          </w:tcPr>
          <w:p w14:paraId="19FE1D39" w14:textId="77777777" w:rsidR="00214AFB" w:rsidRPr="00AA613E" w:rsidRDefault="00214AFB" w:rsidP="00C53A10">
            <w:pPr>
              <w:pStyle w:val="Body"/>
              <w:rPr>
                <w:rFonts w:eastAsia="Times New Roman"/>
                <w:lang w:eastAsia="en-AU"/>
              </w:rPr>
            </w:pPr>
            <w:r w:rsidRPr="00AA613E">
              <w:rPr>
                <w:rFonts w:eastAsia="Times New Roman"/>
                <w:lang w:eastAsia="en-AU"/>
              </w:rPr>
              <w:t>The difference in hydraulic head between different locations within or between hydrostratigraphic units, as indicated by water levels observed in wells constructed in those units</w:t>
            </w:r>
          </w:p>
        </w:tc>
      </w:tr>
      <w:tr w:rsidR="00214AFB" w:rsidRPr="00AA613E" w14:paraId="35CEDAC3" w14:textId="77777777" w:rsidTr="00726719">
        <w:tc>
          <w:tcPr>
            <w:tcW w:w="2268" w:type="dxa"/>
          </w:tcPr>
          <w:p w14:paraId="401B25AD" w14:textId="77777777" w:rsidR="00214AFB" w:rsidRPr="00AA613E" w:rsidRDefault="00214AFB" w:rsidP="00B9544F">
            <w:pPr>
              <w:pStyle w:val="Body"/>
              <w:rPr>
                <w:rFonts w:eastAsia="Times New Roman"/>
                <w:lang w:eastAsia="en-AU"/>
              </w:rPr>
            </w:pPr>
            <w:r w:rsidRPr="00AA613E">
              <w:rPr>
                <w:rFonts w:eastAsia="Times New Roman"/>
                <w:lang w:eastAsia="en-AU"/>
              </w:rPr>
              <w:t>Hydraulic head</w:t>
            </w:r>
          </w:p>
        </w:tc>
        <w:tc>
          <w:tcPr>
            <w:tcW w:w="6946" w:type="dxa"/>
          </w:tcPr>
          <w:p w14:paraId="6C814206" w14:textId="77777777" w:rsidR="00214AFB" w:rsidRPr="00AA613E" w:rsidRDefault="00214AFB" w:rsidP="00B9544F">
            <w:pPr>
              <w:pStyle w:val="Body"/>
              <w:rPr>
                <w:rFonts w:eastAsia="Times New Roman"/>
                <w:lang w:eastAsia="en-AU"/>
              </w:rPr>
            </w:pPr>
            <w:r w:rsidRPr="00AA613E">
              <w:rPr>
                <w:rFonts w:eastAsia="Times New Roman"/>
                <w:lang w:eastAsia="en-AU"/>
              </w:rPr>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214AFB" w:rsidRPr="00AA613E" w14:paraId="13EEAE4F" w14:textId="77777777" w:rsidTr="00726719">
        <w:tc>
          <w:tcPr>
            <w:tcW w:w="2268" w:type="dxa"/>
          </w:tcPr>
          <w:p w14:paraId="5BAB4AF9" w14:textId="77777777" w:rsidR="00214AFB" w:rsidRPr="00AA613E" w:rsidRDefault="00214AFB" w:rsidP="00B9544F">
            <w:pPr>
              <w:pStyle w:val="Body"/>
              <w:rPr>
                <w:rFonts w:eastAsia="Times New Roman"/>
                <w:lang w:eastAsia="en-AU"/>
              </w:rPr>
            </w:pPr>
            <w:r w:rsidRPr="00AA613E">
              <w:rPr>
                <w:rFonts w:eastAsia="Times New Roman"/>
                <w:lang w:eastAsia="en-AU"/>
              </w:rPr>
              <w:t>Hydraulic pressure</w:t>
            </w:r>
          </w:p>
        </w:tc>
        <w:tc>
          <w:tcPr>
            <w:tcW w:w="6946" w:type="dxa"/>
          </w:tcPr>
          <w:p w14:paraId="55680E05" w14:textId="77777777" w:rsidR="00214AFB" w:rsidRPr="00AA613E" w:rsidRDefault="00214AFB" w:rsidP="00B9544F">
            <w:pPr>
              <w:pStyle w:val="Body"/>
              <w:rPr>
                <w:rFonts w:eastAsia="Times New Roman"/>
                <w:lang w:eastAsia="en-AU"/>
              </w:rPr>
            </w:pPr>
            <w:r w:rsidRPr="00AA613E">
              <w:rPr>
                <w:rFonts w:eastAsia="Times New Roman"/>
                <w:lang w:eastAsia="en-AU"/>
              </w:rPr>
              <w:t>The total pressure that water exerts on the materials comprising the aquifer. Also known as pore pressure</w:t>
            </w:r>
          </w:p>
        </w:tc>
      </w:tr>
      <w:tr w:rsidR="00214AFB" w:rsidRPr="00AA613E" w14:paraId="1F2C463C" w14:textId="77777777" w:rsidTr="00726719">
        <w:tc>
          <w:tcPr>
            <w:tcW w:w="2268" w:type="dxa"/>
          </w:tcPr>
          <w:p w14:paraId="46A1D408" w14:textId="77777777" w:rsidR="00214AFB" w:rsidRPr="005B05B6" w:rsidRDefault="00214AFB" w:rsidP="00B9544F">
            <w:pPr>
              <w:pStyle w:val="Body"/>
              <w:rPr>
                <w:rFonts w:eastAsia="Times New Roman"/>
                <w:lang w:eastAsia="en-AU"/>
              </w:rPr>
            </w:pPr>
            <w:r w:rsidRPr="005B05B6">
              <w:rPr>
                <w:rFonts w:eastAsia="Times New Roman"/>
                <w:lang w:eastAsia="en-AU"/>
              </w:rPr>
              <w:t xml:space="preserve">Hydrofacies </w:t>
            </w:r>
          </w:p>
        </w:tc>
        <w:tc>
          <w:tcPr>
            <w:tcW w:w="6946" w:type="dxa"/>
          </w:tcPr>
          <w:p w14:paraId="49500DBF" w14:textId="77777777" w:rsidR="00214AFB" w:rsidRPr="00AA613E" w:rsidRDefault="00214AFB" w:rsidP="005B05B6">
            <w:pPr>
              <w:pStyle w:val="Body"/>
              <w:rPr>
                <w:rFonts w:eastAsia="Times New Roman"/>
                <w:lang w:eastAsia="en-AU"/>
              </w:rPr>
            </w:pPr>
            <w:r>
              <w:rPr>
                <w:rFonts w:eastAsia="Times New Roman"/>
                <w:lang w:eastAsia="en-AU"/>
              </w:rPr>
              <w:t>A</w:t>
            </w:r>
            <w:r w:rsidRPr="005B05B6">
              <w:rPr>
                <w:rFonts w:eastAsia="Times New Roman"/>
                <w:lang w:eastAsia="en-AU"/>
              </w:rPr>
              <w:t xml:space="preserve"> homogeneous sedimentological unit or a homogeneous but not necessarily isotropic hydrogeological unit, formed under characteristic conditions which lead to characteristic hydraulic properties</w:t>
            </w:r>
          </w:p>
        </w:tc>
      </w:tr>
      <w:tr w:rsidR="00214AFB" w:rsidRPr="00AA613E" w14:paraId="07AD2CE0" w14:textId="77777777" w:rsidTr="00726719">
        <w:tc>
          <w:tcPr>
            <w:tcW w:w="2268" w:type="dxa"/>
          </w:tcPr>
          <w:p w14:paraId="008F2A37" w14:textId="77777777" w:rsidR="00214AFB" w:rsidRPr="00935D49" w:rsidRDefault="00214AFB" w:rsidP="00B9544F">
            <w:pPr>
              <w:pStyle w:val="Body"/>
              <w:rPr>
                <w:rFonts w:eastAsia="Times New Roman"/>
                <w:highlight w:val="green"/>
                <w:lang w:eastAsia="en-AU"/>
              </w:rPr>
            </w:pPr>
            <w:r w:rsidRPr="005B05B6">
              <w:rPr>
                <w:rFonts w:eastAsia="Times New Roman"/>
                <w:lang w:eastAsia="en-AU"/>
              </w:rPr>
              <w:t>Hydrostratigraphic unit</w:t>
            </w:r>
          </w:p>
        </w:tc>
        <w:tc>
          <w:tcPr>
            <w:tcW w:w="6946" w:type="dxa"/>
          </w:tcPr>
          <w:p w14:paraId="0F533F39" w14:textId="7505791B" w:rsidR="00214AFB" w:rsidRPr="00AA613E" w:rsidRDefault="00214AFB" w:rsidP="005B05B6">
            <w:pPr>
              <w:pStyle w:val="Body"/>
              <w:rPr>
                <w:rFonts w:eastAsia="Times New Roman"/>
                <w:lang w:eastAsia="en-AU"/>
              </w:rPr>
            </w:pPr>
            <w:r>
              <w:rPr>
                <w:rFonts w:eastAsia="Times New Roman"/>
                <w:lang w:eastAsia="en-AU"/>
              </w:rPr>
              <w:t>A</w:t>
            </w:r>
            <w:r w:rsidRPr="005B05B6">
              <w:rPr>
                <w:rFonts w:eastAsia="Times New Roman"/>
                <w:lang w:eastAsia="en-AU"/>
              </w:rPr>
              <w:t xml:space="preserve"> formation, part of a formation, or group of formations of significant</w:t>
            </w:r>
            <w:r>
              <w:rPr>
                <w:rFonts w:eastAsia="Times New Roman"/>
                <w:lang w:eastAsia="en-AU"/>
              </w:rPr>
              <w:t xml:space="preserve"> </w:t>
            </w:r>
            <w:r w:rsidRPr="005B05B6">
              <w:rPr>
                <w:rFonts w:eastAsia="Times New Roman"/>
                <w:lang w:eastAsia="en-AU"/>
              </w:rPr>
              <w:t>lateral extent that compose a unit of reasonably distinct (similar) hydrogeologic parameters</w:t>
            </w:r>
            <w:r>
              <w:rPr>
                <w:rFonts w:eastAsia="Times New Roman"/>
                <w:lang w:eastAsia="en-AU"/>
              </w:rPr>
              <w:t xml:space="preserve"> </w:t>
            </w:r>
            <w:r w:rsidR="00AE5A01">
              <w:rPr>
                <w:rFonts w:eastAsia="Times New Roman"/>
                <w:lang w:eastAsia="en-AU"/>
              </w:rPr>
              <w:t>and responses</w:t>
            </w:r>
          </w:p>
        </w:tc>
      </w:tr>
      <w:tr w:rsidR="00214AFB" w:rsidRPr="00AA613E" w14:paraId="6DF1F75D" w14:textId="77777777" w:rsidTr="00726719">
        <w:tc>
          <w:tcPr>
            <w:tcW w:w="2268" w:type="dxa"/>
          </w:tcPr>
          <w:p w14:paraId="199F5113" w14:textId="77777777" w:rsidR="00214AFB" w:rsidRPr="00AA613E" w:rsidRDefault="00214AFB" w:rsidP="00B9544F">
            <w:pPr>
              <w:pStyle w:val="Body"/>
              <w:rPr>
                <w:rFonts w:eastAsia="Times New Roman"/>
                <w:lang w:eastAsia="en-AU"/>
              </w:rPr>
            </w:pPr>
            <w:r w:rsidRPr="00AA613E">
              <w:rPr>
                <w:rFonts w:eastAsia="Times New Roman"/>
                <w:lang w:eastAsia="en-AU"/>
              </w:rPr>
              <w:t xml:space="preserve">Hysteresis </w:t>
            </w:r>
          </w:p>
        </w:tc>
        <w:tc>
          <w:tcPr>
            <w:tcW w:w="6946" w:type="dxa"/>
          </w:tcPr>
          <w:p w14:paraId="0FF610DF" w14:textId="77777777" w:rsidR="00214AFB" w:rsidRPr="00AA613E" w:rsidRDefault="00214AFB" w:rsidP="00B9544F">
            <w:pPr>
              <w:pStyle w:val="Body"/>
              <w:rPr>
                <w:rFonts w:eastAsia="Times New Roman"/>
                <w:lang w:eastAsia="en-AU"/>
              </w:rPr>
            </w:pPr>
            <w:r w:rsidRPr="00AA613E">
              <w:rPr>
                <w:rFonts w:eastAsia="Times New Roman"/>
                <w:lang w:eastAsia="en-AU"/>
              </w:rPr>
              <w:t xml:space="preserve">The difference between the paths followed with time during </w:t>
            </w:r>
            <w:r>
              <w:rPr>
                <w:rFonts w:eastAsia="Times New Roman"/>
                <w:lang w:eastAsia="en-AU"/>
              </w:rPr>
              <w:t xml:space="preserve">stress </w:t>
            </w:r>
            <w:r w:rsidRPr="00AA613E">
              <w:rPr>
                <w:rFonts w:eastAsia="Times New Roman"/>
                <w:lang w:eastAsia="en-AU"/>
              </w:rPr>
              <w:t>loading and unloading</w:t>
            </w:r>
            <w:r>
              <w:rPr>
                <w:rFonts w:eastAsia="Times New Roman"/>
                <w:lang w:eastAsia="en-AU"/>
              </w:rPr>
              <w:t xml:space="preserve">. </w:t>
            </w:r>
            <w:r w:rsidR="00430AC5">
              <w:rPr>
                <w:rFonts w:eastAsia="Times New Roman"/>
                <w:lang w:eastAsia="en-AU"/>
              </w:rPr>
              <w:t>Also used to describe different paths (1) during solute or gas adsorption and desorption and (2) wetting and drying of porous media</w:t>
            </w:r>
            <w:r w:rsidRPr="00AA613E">
              <w:rPr>
                <w:rFonts w:eastAsia="Times New Roman"/>
                <w:lang w:eastAsia="en-AU"/>
              </w:rPr>
              <w:t xml:space="preserve"> </w:t>
            </w:r>
          </w:p>
        </w:tc>
      </w:tr>
      <w:tr w:rsidR="000768A9" w:rsidRPr="00AA613E" w14:paraId="3216FBF4" w14:textId="77777777" w:rsidTr="00726719">
        <w:tc>
          <w:tcPr>
            <w:tcW w:w="2268" w:type="dxa"/>
          </w:tcPr>
          <w:p w14:paraId="76ABA3C1" w14:textId="77777777" w:rsidR="000768A9" w:rsidRPr="005B05B6" w:rsidRDefault="000768A9" w:rsidP="00B9544F">
            <w:pPr>
              <w:pStyle w:val="Body"/>
              <w:rPr>
                <w:rFonts w:eastAsia="Times New Roman"/>
                <w:lang w:eastAsia="en-AU"/>
              </w:rPr>
            </w:pPr>
            <w:r>
              <w:rPr>
                <w:rFonts w:eastAsia="Times New Roman"/>
                <w:lang w:eastAsia="en-AU"/>
              </w:rPr>
              <w:t>Imbibition</w:t>
            </w:r>
          </w:p>
        </w:tc>
        <w:tc>
          <w:tcPr>
            <w:tcW w:w="6946" w:type="dxa"/>
          </w:tcPr>
          <w:p w14:paraId="31B61A2D" w14:textId="77777777" w:rsidR="000768A9" w:rsidRPr="005B05B6" w:rsidRDefault="00966C55" w:rsidP="00966C55">
            <w:pPr>
              <w:pStyle w:val="Body"/>
              <w:rPr>
                <w:rFonts w:eastAsia="Times New Roman"/>
                <w:lang w:eastAsia="en-AU"/>
              </w:rPr>
            </w:pPr>
            <w:r w:rsidRPr="00102009">
              <w:rPr>
                <w:rFonts w:eastAsia="Times New Roman"/>
                <w:lang w:eastAsia="en-AU"/>
              </w:rPr>
              <w:t xml:space="preserve">The process of absorbing a wetting phase into a </w:t>
            </w:r>
            <w:hyperlink r:id="rId20" w:history="1">
              <w:r w:rsidRPr="00102009">
                <w:rPr>
                  <w:rFonts w:eastAsia="Times New Roman"/>
                  <w:lang w:eastAsia="en-AU"/>
                </w:rPr>
                <w:t>porous</w:t>
              </w:r>
            </w:hyperlink>
            <w:r w:rsidRPr="00102009">
              <w:rPr>
                <w:rFonts w:eastAsia="Times New Roman"/>
                <w:lang w:eastAsia="en-AU"/>
              </w:rPr>
              <w:t xml:space="preserve"> </w:t>
            </w:r>
            <w:hyperlink r:id="rId21" w:history="1">
              <w:r w:rsidRPr="00102009">
                <w:rPr>
                  <w:rFonts w:eastAsia="Times New Roman"/>
                  <w:lang w:eastAsia="en-AU"/>
                </w:rPr>
                <w:t>rock</w:t>
              </w:r>
            </w:hyperlink>
            <w:r w:rsidRPr="00102009">
              <w:rPr>
                <w:rFonts w:eastAsia="Times New Roman"/>
                <w:lang w:eastAsia="en-AU"/>
              </w:rPr>
              <w:t xml:space="preserve">. Spontaneous imbibition refers to the process of </w:t>
            </w:r>
            <w:hyperlink r:id="rId22" w:history="1">
              <w:r w:rsidRPr="00102009">
                <w:rPr>
                  <w:rFonts w:eastAsia="Times New Roman"/>
                  <w:lang w:eastAsia="en-AU"/>
                </w:rPr>
                <w:t>absorption</w:t>
              </w:r>
            </w:hyperlink>
            <w:r w:rsidRPr="00102009">
              <w:rPr>
                <w:rFonts w:eastAsia="Times New Roman"/>
                <w:lang w:eastAsia="en-AU"/>
              </w:rPr>
              <w:t xml:space="preserve"> with no </w:t>
            </w:r>
            <w:hyperlink r:id="rId23" w:history="1">
              <w:r w:rsidRPr="00A45100">
                <w:rPr>
                  <w:rFonts w:eastAsia="Times New Roman"/>
                  <w:lang w:eastAsia="en-AU"/>
                </w:rPr>
                <w:t>pressure</w:t>
              </w:r>
            </w:hyperlink>
            <w:r w:rsidRPr="00102009">
              <w:rPr>
                <w:rFonts w:eastAsia="Times New Roman"/>
                <w:lang w:eastAsia="en-AU"/>
              </w:rPr>
              <w:t xml:space="preserve"> driving the phase into the rock</w:t>
            </w:r>
          </w:p>
        </w:tc>
      </w:tr>
      <w:tr w:rsidR="00214AFB" w:rsidRPr="00AA613E" w14:paraId="03826804" w14:textId="77777777" w:rsidTr="00726719">
        <w:tc>
          <w:tcPr>
            <w:tcW w:w="2268" w:type="dxa"/>
          </w:tcPr>
          <w:p w14:paraId="36CC7DAF" w14:textId="77777777" w:rsidR="00214AFB" w:rsidRPr="00935D49" w:rsidRDefault="00214AFB" w:rsidP="00B9544F">
            <w:pPr>
              <w:pStyle w:val="Body"/>
              <w:rPr>
                <w:rFonts w:eastAsia="Times New Roman"/>
                <w:highlight w:val="green"/>
                <w:lang w:eastAsia="en-AU"/>
              </w:rPr>
            </w:pPr>
            <w:r w:rsidRPr="005B05B6">
              <w:rPr>
                <w:rFonts w:eastAsia="Times New Roman"/>
                <w:lang w:eastAsia="en-AU"/>
              </w:rPr>
              <w:t xml:space="preserve">Interburden </w:t>
            </w:r>
          </w:p>
        </w:tc>
        <w:tc>
          <w:tcPr>
            <w:tcW w:w="6946" w:type="dxa"/>
          </w:tcPr>
          <w:p w14:paraId="5DFE6555" w14:textId="61F0A04B" w:rsidR="00214AFB" w:rsidRPr="00AA613E" w:rsidRDefault="00214AFB" w:rsidP="00B9544F">
            <w:pPr>
              <w:pStyle w:val="Body"/>
              <w:rPr>
                <w:rFonts w:eastAsia="Times New Roman"/>
                <w:lang w:eastAsia="en-AU"/>
              </w:rPr>
            </w:pPr>
            <w:r w:rsidRPr="005B05B6">
              <w:rPr>
                <w:rFonts w:eastAsia="Times New Roman"/>
                <w:lang w:eastAsia="en-AU"/>
              </w:rPr>
              <w:t>Material of any nature that lies between two or more bedded ore zones or coal seams</w:t>
            </w:r>
          </w:p>
        </w:tc>
      </w:tr>
      <w:tr w:rsidR="00214AFB" w:rsidRPr="00AA613E" w14:paraId="79E36995" w14:textId="77777777" w:rsidTr="00726719">
        <w:tc>
          <w:tcPr>
            <w:tcW w:w="2268" w:type="dxa"/>
          </w:tcPr>
          <w:p w14:paraId="3CDD17C7" w14:textId="77777777" w:rsidR="00214AFB" w:rsidRPr="00935D49" w:rsidRDefault="00214AFB" w:rsidP="00B9544F">
            <w:pPr>
              <w:pStyle w:val="Body"/>
              <w:rPr>
                <w:rFonts w:eastAsia="Times New Roman"/>
                <w:highlight w:val="green"/>
                <w:lang w:eastAsia="en-AU"/>
              </w:rPr>
            </w:pPr>
            <w:r w:rsidRPr="00257045">
              <w:rPr>
                <w:rFonts w:eastAsia="Times New Roman"/>
                <w:lang w:eastAsia="en-AU"/>
              </w:rPr>
              <w:t xml:space="preserve">Inter-cell hydraulic conductivity  </w:t>
            </w:r>
          </w:p>
        </w:tc>
        <w:tc>
          <w:tcPr>
            <w:tcW w:w="6946" w:type="dxa"/>
          </w:tcPr>
          <w:p w14:paraId="08E5FB39" w14:textId="77777777" w:rsidR="00214AFB" w:rsidRPr="00AA613E" w:rsidRDefault="00214AFB" w:rsidP="00DA4C32">
            <w:pPr>
              <w:pStyle w:val="Body"/>
              <w:rPr>
                <w:rFonts w:eastAsia="Times New Roman"/>
                <w:lang w:eastAsia="en-AU"/>
              </w:rPr>
            </w:pPr>
            <w:r>
              <w:rPr>
                <w:rFonts w:eastAsia="Times New Roman"/>
                <w:lang w:eastAsia="en-AU"/>
              </w:rPr>
              <w:t xml:space="preserve">Hydraulic conductivity </w:t>
            </w:r>
            <w:r w:rsidR="00DA4C32" w:rsidRPr="00DA4C32">
              <w:rPr>
                <w:rFonts w:eastAsia="Times New Roman"/>
                <w:lang w:eastAsia="en-AU"/>
              </w:rPr>
              <w:t xml:space="preserve">computed </w:t>
            </w:r>
            <w:r w:rsidR="00DA4C32">
              <w:rPr>
                <w:rFonts w:eastAsia="Times New Roman"/>
                <w:lang w:eastAsia="en-AU"/>
              </w:rPr>
              <w:t xml:space="preserve">at the interface of two neighbouring model cells </w:t>
            </w:r>
            <w:r w:rsidR="00DA4C32" w:rsidRPr="00DA4C32">
              <w:rPr>
                <w:rFonts w:eastAsia="Times New Roman"/>
                <w:lang w:eastAsia="en-AU"/>
              </w:rPr>
              <w:t xml:space="preserve">by combining the </w:t>
            </w:r>
            <w:r w:rsidR="00DA4C32">
              <w:rPr>
                <w:rFonts w:eastAsia="Times New Roman"/>
                <w:lang w:eastAsia="en-AU"/>
              </w:rPr>
              <w:t>hydraulic conductivities</w:t>
            </w:r>
            <w:r w:rsidR="00DA4C32" w:rsidRPr="00DA4C32">
              <w:rPr>
                <w:rFonts w:eastAsia="Times New Roman"/>
                <w:lang w:eastAsia="en-AU"/>
              </w:rPr>
              <w:t xml:space="preserve"> pertaining to neighbo</w:t>
            </w:r>
            <w:r w:rsidR="00DA4C32">
              <w:rPr>
                <w:rFonts w:eastAsia="Times New Roman"/>
                <w:lang w:eastAsia="en-AU"/>
              </w:rPr>
              <w:t>u</w:t>
            </w:r>
            <w:r w:rsidR="00DA4C32" w:rsidRPr="00DA4C32">
              <w:rPr>
                <w:rFonts w:eastAsia="Times New Roman"/>
                <w:lang w:eastAsia="en-AU"/>
              </w:rPr>
              <w:t>ring cell centres in various ways</w:t>
            </w:r>
            <w:r w:rsidR="00257045">
              <w:rPr>
                <w:rFonts w:eastAsia="Times New Roman"/>
                <w:lang w:eastAsia="en-AU"/>
              </w:rPr>
              <w:t xml:space="preserve"> (typically harmonic mean)</w:t>
            </w:r>
            <w:r w:rsidR="00DA4C32" w:rsidRPr="00DA4C32">
              <w:rPr>
                <w:rFonts w:eastAsia="Times New Roman"/>
                <w:lang w:eastAsia="en-AU"/>
              </w:rPr>
              <w:t>, depending on flow conditions and on the manner in which hydraulic conductivity is assumed to vary between these cell</w:t>
            </w:r>
            <w:r w:rsidR="00DA4C32">
              <w:rPr>
                <w:rFonts w:eastAsia="Times New Roman"/>
                <w:lang w:eastAsia="en-AU"/>
              </w:rPr>
              <w:t>s</w:t>
            </w:r>
          </w:p>
        </w:tc>
      </w:tr>
      <w:tr w:rsidR="00214AFB" w:rsidRPr="00AA613E" w14:paraId="785ECB86" w14:textId="77777777" w:rsidTr="00726719">
        <w:tc>
          <w:tcPr>
            <w:tcW w:w="2268" w:type="dxa"/>
          </w:tcPr>
          <w:p w14:paraId="24567BF5" w14:textId="77777777" w:rsidR="00214AFB" w:rsidRPr="00935D49" w:rsidRDefault="00214AFB" w:rsidP="00B9544F">
            <w:pPr>
              <w:pStyle w:val="Body"/>
              <w:rPr>
                <w:rFonts w:eastAsia="Times New Roman"/>
                <w:highlight w:val="green"/>
                <w:lang w:eastAsia="en-AU"/>
              </w:rPr>
            </w:pPr>
            <w:r w:rsidRPr="00F6642C">
              <w:rPr>
                <w:rFonts w:eastAsia="Times New Roman"/>
                <w:lang w:eastAsia="en-AU"/>
              </w:rPr>
              <w:t>Inter-layer conductance</w:t>
            </w:r>
          </w:p>
        </w:tc>
        <w:tc>
          <w:tcPr>
            <w:tcW w:w="6946" w:type="dxa"/>
          </w:tcPr>
          <w:p w14:paraId="24DE1F2D" w14:textId="77777777" w:rsidR="0085543A" w:rsidRPr="00AA613E" w:rsidRDefault="0085543A" w:rsidP="0085543A">
            <w:pPr>
              <w:pStyle w:val="Body"/>
              <w:rPr>
                <w:rFonts w:eastAsia="Times New Roman"/>
                <w:lang w:eastAsia="en-AU"/>
              </w:rPr>
            </w:pPr>
            <w:r>
              <w:rPr>
                <w:rFonts w:eastAsia="Times New Roman"/>
                <w:lang w:eastAsia="en-AU"/>
              </w:rPr>
              <w:t>I</w:t>
            </w:r>
            <w:r w:rsidRPr="0085543A">
              <w:rPr>
                <w:rFonts w:eastAsia="Times New Roman"/>
                <w:lang w:eastAsia="en-AU"/>
              </w:rPr>
              <w:t>nter</w:t>
            </w:r>
            <w:r>
              <w:rPr>
                <w:rFonts w:eastAsia="Times New Roman"/>
                <w:lang w:eastAsia="en-AU"/>
              </w:rPr>
              <w:t>-layer</w:t>
            </w:r>
            <w:r w:rsidRPr="0085543A">
              <w:rPr>
                <w:rFonts w:eastAsia="Times New Roman"/>
                <w:lang w:eastAsia="en-AU"/>
              </w:rPr>
              <w:t xml:space="preserve"> conductances quantify the ability to conduct flow between a pair of adjacent grid cells</w:t>
            </w:r>
            <w:r>
              <w:rPr>
                <w:rFonts w:eastAsia="Times New Roman"/>
                <w:lang w:eastAsia="en-AU"/>
              </w:rPr>
              <w:t>. The interlayer-layer conductance is calculated as the i</w:t>
            </w:r>
            <w:r w:rsidR="00214AFB">
              <w:rPr>
                <w:rFonts w:eastAsia="Times New Roman"/>
                <w:lang w:eastAsia="en-AU"/>
              </w:rPr>
              <w:t>nter</w:t>
            </w:r>
            <w:r>
              <w:rPr>
                <w:rFonts w:eastAsia="Times New Roman"/>
                <w:lang w:eastAsia="en-AU"/>
              </w:rPr>
              <w:t>-</w:t>
            </w:r>
            <w:r w:rsidR="00214AFB">
              <w:rPr>
                <w:rFonts w:eastAsia="Times New Roman"/>
                <w:lang w:eastAsia="en-AU"/>
              </w:rPr>
              <w:t xml:space="preserve">layer hydraulic conductivity divided by the elevation difference between adjacent </w:t>
            </w:r>
            <w:r w:rsidR="00430AC5">
              <w:rPr>
                <w:rFonts w:eastAsia="Times New Roman"/>
                <w:lang w:eastAsia="en-AU"/>
              </w:rPr>
              <w:t xml:space="preserve">model </w:t>
            </w:r>
            <w:r w:rsidR="00214AFB">
              <w:rPr>
                <w:rFonts w:eastAsia="Times New Roman"/>
                <w:lang w:eastAsia="en-AU"/>
              </w:rPr>
              <w:t>layers</w:t>
            </w:r>
          </w:p>
        </w:tc>
      </w:tr>
      <w:tr w:rsidR="008E7895" w:rsidRPr="00AA613E" w14:paraId="028A6909" w14:textId="77777777" w:rsidTr="008E7895">
        <w:tc>
          <w:tcPr>
            <w:tcW w:w="2268" w:type="dxa"/>
          </w:tcPr>
          <w:p w14:paraId="67B2CD23" w14:textId="77777777" w:rsidR="008E7895" w:rsidRPr="00EC06E1" w:rsidRDefault="008E7895" w:rsidP="008E7895">
            <w:pPr>
              <w:pStyle w:val="Body"/>
              <w:rPr>
                <w:rFonts w:eastAsia="Times New Roman"/>
                <w:lang w:eastAsia="en-AU"/>
              </w:rPr>
            </w:pPr>
            <w:r>
              <w:rPr>
                <w:rFonts w:eastAsia="Times New Roman"/>
                <w:lang w:eastAsia="en-AU"/>
              </w:rPr>
              <w:t>I</w:t>
            </w:r>
            <w:r w:rsidRPr="007725A2">
              <w:rPr>
                <w:rFonts w:eastAsia="Times New Roman"/>
                <w:lang w:eastAsia="en-AU"/>
              </w:rPr>
              <w:t>ntrinsic permeability</w:t>
            </w:r>
          </w:p>
        </w:tc>
        <w:tc>
          <w:tcPr>
            <w:tcW w:w="6946" w:type="dxa"/>
          </w:tcPr>
          <w:p w14:paraId="5174A27D" w14:textId="77777777" w:rsidR="008E7895" w:rsidRDefault="008E7895" w:rsidP="008E7895">
            <w:pPr>
              <w:pStyle w:val="Body"/>
            </w:pPr>
            <w:r>
              <w:rPr>
                <w:rFonts w:eastAsia="Times New Roman"/>
                <w:lang w:eastAsia="en-AU"/>
              </w:rPr>
              <w:t>T</w:t>
            </w:r>
            <w:r w:rsidRPr="007725A2">
              <w:rPr>
                <w:rFonts w:eastAsia="Times New Roman"/>
                <w:lang w:eastAsia="en-AU"/>
              </w:rPr>
              <w:t xml:space="preserve">he permeability of </w:t>
            </w:r>
            <w:r>
              <w:rPr>
                <w:rFonts w:eastAsia="Times New Roman"/>
                <w:lang w:eastAsia="en-AU"/>
              </w:rPr>
              <w:t xml:space="preserve">a given </w:t>
            </w:r>
            <w:r w:rsidRPr="007725A2">
              <w:rPr>
                <w:rFonts w:eastAsia="Times New Roman"/>
                <w:lang w:eastAsia="en-AU"/>
              </w:rPr>
              <w:t>medium independent of the type of fluid</w:t>
            </w:r>
            <w:r>
              <w:rPr>
                <w:rFonts w:eastAsia="Times New Roman"/>
                <w:lang w:eastAsia="en-AU"/>
              </w:rPr>
              <w:t xml:space="preserve"> </w:t>
            </w:r>
            <w:r w:rsidRPr="007725A2">
              <w:rPr>
                <w:rFonts w:eastAsia="Times New Roman"/>
                <w:lang w:eastAsia="en-AU"/>
              </w:rPr>
              <w:t>present</w:t>
            </w:r>
          </w:p>
        </w:tc>
      </w:tr>
      <w:tr w:rsidR="00214AFB" w:rsidRPr="00AA613E" w14:paraId="29CD7E06" w14:textId="77777777" w:rsidTr="00726719">
        <w:tc>
          <w:tcPr>
            <w:tcW w:w="2268" w:type="dxa"/>
          </w:tcPr>
          <w:p w14:paraId="12EC26A9" w14:textId="77777777" w:rsidR="00214AFB" w:rsidRPr="00935D49" w:rsidRDefault="00214AFB" w:rsidP="00B9544F">
            <w:pPr>
              <w:pStyle w:val="Body"/>
              <w:rPr>
                <w:rFonts w:eastAsia="Times New Roman"/>
                <w:highlight w:val="green"/>
                <w:lang w:eastAsia="en-AU"/>
              </w:rPr>
            </w:pPr>
            <w:r w:rsidRPr="00EC06E1">
              <w:rPr>
                <w:rFonts w:eastAsia="Times New Roman"/>
                <w:lang w:eastAsia="en-AU"/>
              </w:rPr>
              <w:t xml:space="preserve">Inverse modelling  </w:t>
            </w:r>
          </w:p>
        </w:tc>
        <w:tc>
          <w:tcPr>
            <w:tcW w:w="6946" w:type="dxa"/>
          </w:tcPr>
          <w:p w14:paraId="0893D134" w14:textId="77777777" w:rsidR="00214AFB" w:rsidRPr="00AA613E" w:rsidRDefault="00214AFB" w:rsidP="00B9544F">
            <w:pPr>
              <w:pStyle w:val="Body"/>
              <w:rPr>
                <w:rFonts w:eastAsia="Times New Roman"/>
                <w:lang w:eastAsia="en-AU"/>
              </w:rPr>
            </w:pPr>
            <w:r>
              <w:t>The process of calculating from a set of observations the causal factors that produced them.</w:t>
            </w:r>
            <w:r w:rsidR="00430AC5">
              <w:t xml:space="preserve"> Typically involves multiple model runs or iterations, starting with an initial set of parameter values that are gradually updated during the subsequent model runs until model predictions adequately describe the observations. The final parameter set is considered to be the best-fit representation of the real parameter values at the scale of measurement  </w:t>
            </w:r>
          </w:p>
        </w:tc>
      </w:tr>
      <w:tr w:rsidR="00214AFB" w:rsidRPr="00AA613E" w14:paraId="3EC5C6ED" w14:textId="77777777" w:rsidTr="00726719">
        <w:tc>
          <w:tcPr>
            <w:tcW w:w="2268" w:type="dxa"/>
          </w:tcPr>
          <w:p w14:paraId="4B68869E" w14:textId="77777777" w:rsidR="00214AFB" w:rsidRPr="00AA613E" w:rsidRDefault="00214AFB" w:rsidP="00D2003B">
            <w:pPr>
              <w:pStyle w:val="Body"/>
              <w:rPr>
                <w:rFonts w:eastAsia="Times New Roman"/>
                <w:lang w:eastAsia="en-AU"/>
              </w:rPr>
            </w:pPr>
            <w:r w:rsidRPr="00AA613E">
              <w:rPr>
                <w:rFonts w:eastAsia="Times New Roman"/>
                <w:lang w:eastAsia="en-AU"/>
              </w:rPr>
              <w:t>Isotherm</w:t>
            </w:r>
          </w:p>
        </w:tc>
        <w:tc>
          <w:tcPr>
            <w:tcW w:w="6946" w:type="dxa"/>
          </w:tcPr>
          <w:p w14:paraId="04013E75" w14:textId="77777777" w:rsidR="00214AFB" w:rsidRPr="00AA613E" w:rsidRDefault="00430AC5" w:rsidP="002A738B">
            <w:pPr>
              <w:pStyle w:val="Body"/>
              <w:rPr>
                <w:rFonts w:eastAsia="Times New Roman"/>
                <w:lang w:eastAsia="en-AU"/>
              </w:rPr>
            </w:pPr>
            <w:r>
              <w:rPr>
                <w:rFonts w:eastAsia="Times New Roman"/>
                <w:lang w:eastAsia="en-AU"/>
              </w:rPr>
              <w:t>A function describing the adsorption/desorption path of solute or gas on solids (e.g. rocks, coal)</w:t>
            </w:r>
          </w:p>
        </w:tc>
      </w:tr>
      <w:tr w:rsidR="00214AFB" w:rsidRPr="00AA613E" w14:paraId="0F23CAE3" w14:textId="77777777" w:rsidTr="00726719">
        <w:tc>
          <w:tcPr>
            <w:tcW w:w="2268" w:type="dxa"/>
          </w:tcPr>
          <w:p w14:paraId="446D4352" w14:textId="77777777" w:rsidR="00214AFB" w:rsidRPr="00AA613E" w:rsidRDefault="00214AFB" w:rsidP="00D2003B">
            <w:pPr>
              <w:pStyle w:val="Body"/>
              <w:rPr>
                <w:rFonts w:eastAsia="Times New Roman"/>
                <w:lang w:eastAsia="en-AU"/>
              </w:rPr>
            </w:pPr>
            <w:r w:rsidRPr="00AA613E">
              <w:rPr>
                <w:rFonts w:eastAsia="Times New Roman"/>
                <w:lang w:eastAsia="en-AU"/>
              </w:rPr>
              <w:t>Isotropy</w:t>
            </w:r>
          </w:p>
        </w:tc>
        <w:tc>
          <w:tcPr>
            <w:tcW w:w="6946" w:type="dxa"/>
          </w:tcPr>
          <w:p w14:paraId="2EBC76BC" w14:textId="77777777" w:rsidR="00214AFB" w:rsidRPr="00AA613E" w:rsidRDefault="00214AFB" w:rsidP="00B9544F">
            <w:pPr>
              <w:pStyle w:val="Body"/>
              <w:rPr>
                <w:rFonts w:eastAsia="Times New Roman"/>
                <w:lang w:eastAsia="en-AU"/>
              </w:rPr>
            </w:pPr>
            <w:r w:rsidRPr="00AA613E">
              <w:rPr>
                <w:rFonts w:eastAsia="Times New Roman"/>
                <w:lang w:eastAsia="en-AU"/>
              </w:rPr>
              <w:t>The condition in which the hydraulic properties of a hydrostratigraphic unit are equal in all directions</w:t>
            </w:r>
          </w:p>
        </w:tc>
      </w:tr>
      <w:tr w:rsidR="00214AFB" w:rsidRPr="00AA613E" w14:paraId="017F73F5" w14:textId="77777777" w:rsidTr="00726719">
        <w:tc>
          <w:tcPr>
            <w:tcW w:w="2268" w:type="dxa"/>
          </w:tcPr>
          <w:p w14:paraId="6B2B2FF8" w14:textId="77777777" w:rsidR="00214AFB" w:rsidRPr="00AA613E" w:rsidRDefault="00214AFB" w:rsidP="00B9544F">
            <w:pPr>
              <w:pStyle w:val="Body"/>
              <w:rPr>
                <w:rFonts w:eastAsia="Times New Roman"/>
                <w:lang w:eastAsia="en-AU"/>
              </w:rPr>
            </w:pPr>
            <w:r w:rsidRPr="00AA613E">
              <w:rPr>
                <w:rFonts w:eastAsia="Times New Roman"/>
                <w:lang w:eastAsia="en-AU"/>
              </w:rPr>
              <w:t xml:space="preserve">Kriging </w:t>
            </w:r>
          </w:p>
        </w:tc>
        <w:tc>
          <w:tcPr>
            <w:tcW w:w="6946" w:type="dxa"/>
          </w:tcPr>
          <w:p w14:paraId="72DC1E33" w14:textId="77777777" w:rsidR="00214AFB" w:rsidRPr="00AA613E" w:rsidRDefault="00EA4811" w:rsidP="00EA4811">
            <w:pPr>
              <w:pStyle w:val="Body"/>
              <w:rPr>
                <w:rFonts w:eastAsia="Times New Roman"/>
                <w:lang w:eastAsia="en-AU"/>
              </w:rPr>
            </w:pPr>
            <w:r>
              <w:rPr>
                <w:rFonts w:eastAsia="Times New Roman"/>
                <w:lang w:eastAsia="en-AU"/>
              </w:rPr>
              <w:t>A</w:t>
            </w:r>
            <w:r w:rsidRPr="00EA4811">
              <w:rPr>
                <w:rFonts w:eastAsia="Times New Roman"/>
                <w:lang w:eastAsia="en-AU"/>
              </w:rPr>
              <w:t xml:space="preserve"> geostatistical method of </w:t>
            </w:r>
            <w:r>
              <w:rPr>
                <w:rFonts w:eastAsia="Times New Roman"/>
                <w:lang w:eastAsia="en-AU"/>
              </w:rPr>
              <w:t xml:space="preserve">spatial interpolation </w:t>
            </w:r>
            <w:r w:rsidR="00893F11">
              <w:rPr>
                <w:rFonts w:eastAsia="Times New Roman"/>
                <w:lang w:eastAsia="en-AU"/>
              </w:rPr>
              <w:t>(</w:t>
            </w:r>
            <w:r w:rsidR="00E0632E">
              <w:rPr>
                <w:rFonts w:eastAsia="Times New Roman"/>
                <w:lang w:eastAsia="en-AU"/>
              </w:rPr>
              <w:t xml:space="preserve">i.e. </w:t>
            </w:r>
            <w:r w:rsidR="00893F11">
              <w:rPr>
                <w:rFonts w:eastAsia="Times New Roman"/>
                <w:lang w:eastAsia="en-AU"/>
              </w:rPr>
              <w:t xml:space="preserve">prediction) </w:t>
            </w:r>
            <w:r w:rsidRPr="00EA4811">
              <w:rPr>
                <w:rFonts w:eastAsia="Times New Roman"/>
                <w:lang w:eastAsia="en-AU"/>
              </w:rPr>
              <w:t>using weighted averages of surrounding data</w:t>
            </w:r>
            <w:r>
              <w:rPr>
                <w:rFonts w:eastAsia="Times New Roman"/>
                <w:lang w:eastAsia="en-AU"/>
              </w:rPr>
              <w:t xml:space="preserve"> </w:t>
            </w:r>
            <w:r w:rsidRPr="00EA4811">
              <w:rPr>
                <w:rFonts w:eastAsia="Times New Roman"/>
                <w:lang w:eastAsia="en-AU"/>
              </w:rPr>
              <w:t>points.</w:t>
            </w:r>
            <w:r w:rsidR="00893F11">
              <w:rPr>
                <w:rFonts w:eastAsia="Times New Roman"/>
                <w:lang w:eastAsia="en-AU"/>
              </w:rPr>
              <w:t xml:space="preserve"> The data are a set of observations with some spatial correlation present</w:t>
            </w:r>
          </w:p>
        </w:tc>
      </w:tr>
      <w:tr w:rsidR="00214AFB" w:rsidRPr="00AA613E" w14:paraId="21D54101" w14:textId="77777777" w:rsidTr="00726719">
        <w:tc>
          <w:tcPr>
            <w:tcW w:w="2268" w:type="dxa"/>
          </w:tcPr>
          <w:p w14:paraId="11902100" w14:textId="77777777" w:rsidR="00214AFB" w:rsidRPr="00935D49" w:rsidRDefault="00214AFB" w:rsidP="00B9544F">
            <w:pPr>
              <w:pStyle w:val="Body"/>
              <w:rPr>
                <w:rFonts w:eastAsia="Times New Roman"/>
                <w:highlight w:val="green"/>
                <w:lang w:eastAsia="en-AU"/>
              </w:rPr>
            </w:pPr>
            <w:r w:rsidRPr="00FF4A67">
              <w:rPr>
                <w:rFonts w:eastAsia="Times New Roman"/>
                <w:lang w:eastAsia="en-AU"/>
              </w:rPr>
              <w:t xml:space="preserve">Langmuir isotherm  </w:t>
            </w:r>
          </w:p>
        </w:tc>
        <w:tc>
          <w:tcPr>
            <w:tcW w:w="6946" w:type="dxa"/>
          </w:tcPr>
          <w:p w14:paraId="614EA9CE" w14:textId="77777777" w:rsidR="00214AFB" w:rsidRPr="00AA613E" w:rsidRDefault="00214AFB" w:rsidP="00214AFB">
            <w:pPr>
              <w:pStyle w:val="Body"/>
              <w:rPr>
                <w:rFonts w:eastAsia="Times New Roman"/>
                <w:lang w:eastAsia="en-AU"/>
              </w:rPr>
            </w:pPr>
            <w:r w:rsidRPr="00AA11FC">
              <w:t xml:space="preserve">A mathematical relationship describing the covering or adsorption of a substance </w:t>
            </w:r>
            <w:r>
              <w:t xml:space="preserve">(e.g. gas) </w:t>
            </w:r>
            <w:r w:rsidRPr="00AA11FC">
              <w:t>to a solid surface in relation to gas pressure or substance concentration</w:t>
            </w:r>
            <w:r>
              <w:rPr>
                <w:rFonts w:eastAsia="Times New Roman"/>
                <w:lang w:eastAsia="en-AU"/>
              </w:rPr>
              <w:t>. In case of unconventional gas, t</w:t>
            </w:r>
            <w:r w:rsidRPr="00FF4A67">
              <w:rPr>
                <w:rFonts w:eastAsia="Times New Roman"/>
                <w:lang w:eastAsia="en-AU"/>
              </w:rPr>
              <w:t>he Langmuir adsorption isotherm assumes that the gas attaches to the surface of the coal or shale, and covers the surface as a single layer of gas</w:t>
            </w:r>
            <w:r>
              <w:rPr>
                <w:rFonts w:eastAsia="Times New Roman"/>
                <w:lang w:eastAsia="en-AU"/>
              </w:rPr>
              <w:t>.</w:t>
            </w:r>
            <w:r w:rsidRPr="00FF4A67">
              <w:rPr>
                <w:rFonts w:eastAsia="Times New Roman"/>
                <w:lang w:eastAsia="en-AU"/>
              </w:rPr>
              <w:t xml:space="preserve"> The release of adsorbed gas </w:t>
            </w:r>
            <w:r>
              <w:rPr>
                <w:rFonts w:eastAsia="Times New Roman"/>
                <w:lang w:eastAsia="en-AU"/>
              </w:rPr>
              <w:t xml:space="preserve">from coal or shale </w:t>
            </w:r>
            <w:r w:rsidRPr="00FF4A67">
              <w:rPr>
                <w:rFonts w:eastAsia="Times New Roman"/>
                <w:lang w:eastAsia="en-AU"/>
              </w:rPr>
              <w:t>is commonly described by a pressure relationship called the Langmuir Isotherm</w:t>
            </w:r>
          </w:p>
        </w:tc>
      </w:tr>
      <w:tr w:rsidR="00214AFB" w:rsidRPr="00AA613E" w14:paraId="1A4DE488" w14:textId="77777777" w:rsidTr="00726719">
        <w:tc>
          <w:tcPr>
            <w:tcW w:w="2268" w:type="dxa"/>
          </w:tcPr>
          <w:p w14:paraId="0D2B9A95" w14:textId="77777777" w:rsidR="00214AFB" w:rsidRPr="00935D49" w:rsidRDefault="00214AFB" w:rsidP="00B9544F">
            <w:pPr>
              <w:pStyle w:val="Body"/>
              <w:rPr>
                <w:rFonts w:eastAsia="Times New Roman"/>
                <w:highlight w:val="green"/>
                <w:lang w:eastAsia="en-AU"/>
              </w:rPr>
            </w:pPr>
            <w:r w:rsidRPr="00FF4A67">
              <w:rPr>
                <w:rFonts w:eastAsia="Times New Roman"/>
                <w:lang w:eastAsia="en-AU"/>
              </w:rPr>
              <w:t>Lithospheric stress</w:t>
            </w:r>
          </w:p>
        </w:tc>
        <w:tc>
          <w:tcPr>
            <w:tcW w:w="6946" w:type="dxa"/>
          </w:tcPr>
          <w:p w14:paraId="5CD60A16" w14:textId="77777777" w:rsidR="00214AFB" w:rsidRPr="00AA613E" w:rsidRDefault="00214AFB" w:rsidP="00B9544F">
            <w:pPr>
              <w:pStyle w:val="Body"/>
              <w:rPr>
                <w:rFonts w:eastAsia="Times New Roman"/>
                <w:lang w:eastAsia="en-AU"/>
              </w:rPr>
            </w:pPr>
            <w:r>
              <w:rPr>
                <w:rFonts w:eastAsia="Times New Roman"/>
                <w:lang w:eastAsia="en-AU"/>
              </w:rPr>
              <w:t>Stress in the outer solid part of the Earth (lithosphere)</w:t>
            </w:r>
          </w:p>
        </w:tc>
      </w:tr>
      <w:tr w:rsidR="00214AFB" w:rsidRPr="00AA613E" w14:paraId="3D8B886C" w14:textId="77777777" w:rsidTr="00726719">
        <w:tc>
          <w:tcPr>
            <w:tcW w:w="2268" w:type="dxa"/>
          </w:tcPr>
          <w:p w14:paraId="3944F685" w14:textId="77777777" w:rsidR="00214AFB" w:rsidRPr="00AA613E" w:rsidRDefault="00214AFB" w:rsidP="00B9544F">
            <w:pPr>
              <w:pStyle w:val="Body"/>
              <w:rPr>
                <w:rFonts w:eastAsia="Times New Roman"/>
                <w:lang w:eastAsia="en-AU"/>
              </w:rPr>
            </w:pPr>
            <w:r>
              <w:rPr>
                <w:rFonts w:eastAsia="Times New Roman"/>
                <w:lang w:eastAsia="en-AU"/>
              </w:rPr>
              <w:t>Lithological facies</w:t>
            </w:r>
          </w:p>
        </w:tc>
        <w:tc>
          <w:tcPr>
            <w:tcW w:w="6946" w:type="dxa"/>
          </w:tcPr>
          <w:p w14:paraId="25B2203D" w14:textId="77777777" w:rsidR="00214AFB" w:rsidRPr="00AA613E" w:rsidRDefault="00214AFB" w:rsidP="00B9544F">
            <w:pPr>
              <w:pStyle w:val="Body"/>
              <w:rPr>
                <w:rFonts w:eastAsia="Times New Roman"/>
                <w:lang w:eastAsia="en-AU"/>
              </w:rPr>
            </w:pPr>
            <w:r w:rsidRPr="005B05B6">
              <w:rPr>
                <w:rFonts w:eastAsia="Times New Roman"/>
                <w:lang w:eastAsia="en-AU"/>
              </w:rPr>
              <w:t xml:space="preserve">A mappable subdivision of a stratigraphic unit that can be distinguished by its </w:t>
            </w:r>
            <w:hyperlink r:id="rId24" w:history="1">
              <w:r w:rsidRPr="005B05B6">
                <w:rPr>
                  <w:rFonts w:eastAsia="Times New Roman"/>
                  <w:lang w:eastAsia="en-AU"/>
                </w:rPr>
                <w:t>facies</w:t>
              </w:r>
            </w:hyperlink>
            <w:r w:rsidRPr="005B05B6">
              <w:rPr>
                <w:rFonts w:eastAsia="Times New Roman"/>
                <w:lang w:eastAsia="en-AU"/>
              </w:rPr>
              <w:t xml:space="preserve"> or </w:t>
            </w:r>
            <w:hyperlink r:id="rId25" w:history="1">
              <w:r w:rsidRPr="005B05B6">
                <w:rPr>
                  <w:rFonts w:eastAsia="Times New Roman"/>
                  <w:lang w:eastAsia="en-AU"/>
                </w:rPr>
                <w:t>lithology</w:t>
              </w:r>
            </w:hyperlink>
            <w:r w:rsidRPr="005B05B6">
              <w:rPr>
                <w:rFonts w:eastAsia="Times New Roman"/>
                <w:lang w:eastAsia="en-AU"/>
              </w:rPr>
              <w:t>-the texture, mineralogy, grain size, and the depositional environment that produced it</w:t>
            </w:r>
          </w:p>
        </w:tc>
      </w:tr>
      <w:tr w:rsidR="00214AFB" w:rsidRPr="00AA613E" w14:paraId="217D1735" w14:textId="77777777" w:rsidTr="00726719">
        <w:tc>
          <w:tcPr>
            <w:tcW w:w="2268" w:type="dxa"/>
          </w:tcPr>
          <w:p w14:paraId="2CFD5CEB" w14:textId="77777777" w:rsidR="00214AFB" w:rsidRPr="00AA613E" w:rsidRDefault="00214AFB" w:rsidP="00B9544F">
            <w:pPr>
              <w:pStyle w:val="Body"/>
              <w:rPr>
                <w:rFonts w:eastAsia="Times New Roman"/>
                <w:lang w:eastAsia="en-AU"/>
              </w:rPr>
            </w:pPr>
            <w:r w:rsidRPr="00AA613E">
              <w:rPr>
                <w:rFonts w:eastAsia="Times New Roman"/>
                <w:lang w:eastAsia="en-AU"/>
              </w:rPr>
              <w:t>Matrix (rock matrix)</w:t>
            </w:r>
          </w:p>
        </w:tc>
        <w:tc>
          <w:tcPr>
            <w:tcW w:w="6946" w:type="dxa"/>
          </w:tcPr>
          <w:p w14:paraId="0EE27A5E" w14:textId="77777777" w:rsidR="00214AFB" w:rsidRPr="00AA613E" w:rsidRDefault="00214AFB" w:rsidP="00B9544F">
            <w:pPr>
              <w:pStyle w:val="Body"/>
              <w:rPr>
                <w:rFonts w:eastAsia="Times New Roman"/>
                <w:lang w:eastAsia="en-AU"/>
              </w:rPr>
            </w:pPr>
            <w:r w:rsidRPr="00AA613E">
              <w:rPr>
                <w:rFonts w:eastAsia="Times New Roman"/>
                <w:lang w:eastAsia="en-AU"/>
              </w:rPr>
              <w:t>The finer grained mass of rock material in which larger grains/crystals are embedded</w:t>
            </w:r>
          </w:p>
        </w:tc>
      </w:tr>
      <w:tr w:rsidR="00213159" w:rsidRPr="00AA613E" w14:paraId="3D7D49C3" w14:textId="77777777" w:rsidTr="00726719">
        <w:tc>
          <w:tcPr>
            <w:tcW w:w="2268" w:type="dxa"/>
          </w:tcPr>
          <w:p w14:paraId="56F0026D" w14:textId="77777777" w:rsidR="00213159" w:rsidRPr="00EC06E1" w:rsidRDefault="00213159" w:rsidP="00D2003B">
            <w:pPr>
              <w:pStyle w:val="Body"/>
              <w:rPr>
                <w:rFonts w:eastAsia="Times New Roman"/>
                <w:lang w:eastAsia="en-AU"/>
              </w:rPr>
            </w:pPr>
            <w:r>
              <w:rPr>
                <w:rFonts w:eastAsia="Times New Roman"/>
                <w:lang w:eastAsia="en-AU"/>
              </w:rPr>
              <w:t>Mode</w:t>
            </w:r>
          </w:p>
        </w:tc>
        <w:tc>
          <w:tcPr>
            <w:tcW w:w="6946" w:type="dxa"/>
          </w:tcPr>
          <w:p w14:paraId="5099F5F3" w14:textId="77777777" w:rsidR="00213159" w:rsidRPr="00EC06E1" w:rsidRDefault="00213159" w:rsidP="00B9544F">
            <w:pPr>
              <w:pStyle w:val="Body"/>
              <w:rPr>
                <w:rFonts w:eastAsia="Times New Roman"/>
                <w:lang w:eastAsia="en-AU"/>
              </w:rPr>
            </w:pPr>
            <w:r>
              <w:rPr>
                <w:rFonts w:eastAsia="Times New Roman"/>
                <w:lang w:eastAsia="en-AU"/>
              </w:rPr>
              <w:t>Most frequent value of a frequency distribution</w:t>
            </w:r>
          </w:p>
        </w:tc>
      </w:tr>
      <w:tr w:rsidR="00214AFB" w:rsidRPr="00AA613E" w14:paraId="13D471C3" w14:textId="77777777" w:rsidTr="00726719">
        <w:tc>
          <w:tcPr>
            <w:tcW w:w="2268" w:type="dxa"/>
          </w:tcPr>
          <w:p w14:paraId="0A83998E" w14:textId="77777777" w:rsidR="00214AFB" w:rsidRPr="00EC06E1" w:rsidRDefault="00214AFB" w:rsidP="00D2003B">
            <w:pPr>
              <w:pStyle w:val="Body"/>
              <w:rPr>
                <w:rFonts w:eastAsia="Times New Roman"/>
                <w:lang w:eastAsia="en-AU"/>
              </w:rPr>
            </w:pPr>
            <w:r w:rsidRPr="00EC06E1">
              <w:rPr>
                <w:rFonts w:eastAsia="Times New Roman"/>
                <w:lang w:eastAsia="en-AU"/>
              </w:rPr>
              <w:t xml:space="preserve">Monte Carlo sampling </w:t>
            </w:r>
          </w:p>
        </w:tc>
        <w:tc>
          <w:tcPr>
            <w:tcW w:w="6946" w:type="dxa"/>
          </w:tcPr>
          <w:p w14:paraId="75A69CA6" w14:textId="77777777" w:rsidR="00214AFB" w:rsidRPr="00AA613E" w:rsidRDefault="00214AFB" w:rsidP="00B9544F">
            <w:pPr>
              <w:pStyle w:val="Body"/>
              <w:rPr>
                <w:rFonts w:eastAsia="Times New Roman"/>
                <w:lang w:eastAsia="en-AU"/>
              </w:rPr>
            </w:pPr>
            <w:r w:rsidRPr="00EC06E1">
              <w:rPr>
                <w:rFonts w:eastAsia="Times New Roman"/>
                <w:lang w:eastAsia="en-AU"/>
              </w:rPr>
              <w:t>The sampling of uncertain data for use in Monte Carlo risk analysis or simulation</w:t>
            </w:r>
          </w:p>
        </w:tc>
      </w:tr>
      <w:tr w:rsidR="00214AFB" w:rsidRPr="00AA613E" w14:paraId="71608588" w14:textId="77777777" w:rsidTr="00726719">
        <w:tc>
          <w:tcPr>
            <w:tcW w:w="2268" w:type="dxa"/>
          </w:tcPr>
          <w:p w14:paraId="581CF737" w14:textId="77777777" w:rsidR="00214AFB" w:rsidRPr="00EC06E1" w:rsidRDefault="00214AFB" w:rsidP="00D2003B">
            <w:pPr>
              <w:pStyle w:val="Body"/>
              <w:rPr>
                <w:rFonts w:eastAsia="Times New Roman"/>
                <w:lang w:eastAsia="en-AU"/>
              </w:rPr>
            </w:pPr>
            <w:r w:rsidRPr="00EC06E1">
              <w:rPr>
                <w:rFonts w:eastAsia="Times New Roman"/>
                <w:lang w:eastAsia="en-AU"/>
              </w:rPr>
              <w:t>Monte Carlo simulation</w:t>
            </w:r>
          </w:p>
        </w:tc>
        <w:tc>
          <w:tcPr>
            <w:tcW w:w="6946" w:type="dxa"/>
          </w:tcPr>
          <w:p w14:paraId="6A44EDB7" w14:textId="77777777" w:rsidR="00214AFB" w:rsidRPr="00AA613E" w:rsidRDefault="00214AFB" w:rsidP="00EC06E1">
            <w:pPr>
              <w:pStyle w:val="Body"/>
              <w:rPr>
                <w:rFonts w:eastAsia="Times New Roman"/>
                <w:lang w:eastAsia="en-AU"/>
              </w:rPr>
            </w:pPr>
            <w:r w:rsidRPr="00EC06E1">
              <w:rPr>
                <w:rFonts w:eastAsia="Times New Roman"/>
                <w:lang w:eastAsia="en-AU"/>
              </w:rPr>
              <w:t xml:space="preserve">The use of Monte Carlo analysis techniques to estimate the most probable outcomes from a </w:t>
            </w:r>
            <w:hyperlink r:id="rId26" w:history="1">
              <w:r w:rsidRPr="00EC06E1">
                <w:rPr>
                  <w:rFonts w:eastAsia="Times New Roman"/>
                  <w:lang w:eastAsia="en-AU"/>
                </w:rPr>
                <w:t>model</w:t>
              </w:r>
            </w:hyperlink>
            <w:r w:rsidRPr="00EC06E1">
              <w:rPr>
                <w:rFonts w:eastAsia="Times New Roman"/>
                <w:lang w:eastAsia="en-AU"/>
              </w:rPr>
              <w:t xml:space="preserve"> with uncertain input data</w:t>
            </w:r>
          </w:p>
        </w:tc>
      </w:tr>
      <w:tr w:rsidR="00214AFB" w:rsidRPr="00AA613E" w14:paraId="5224EF9D" w14:textId="77777777" w:rsidTr="00726719">
        <w:tc>
          <w:tcPr>
            <w:tcW w:w="2268" w:type="dxa"/>
          </w:tcPr>
          <w:p w14:paraId="1EEF9C82" w14:textId="77777777" w:rsidR="00214AFB" w:rsidRPr="00935D49" w:rsidRDefault="00214AFB" w:rsidP="00D2003B">
            <w:pPr>
              <w:pStyle w:val="Body"/>
              <w:rPr>
                <w:rFonts w:eastAsia="Times New Roman"/>
                <w:highlight w:val="green"/>
                <w:lang w:eastAsia="en-AU"/>
              </w:rPr>
            </w:pPr>
            <w:r w:rsidRPr="00EC06E1">
              <w:rPr>
                <w:rFonts w:eastAsia="Times New Roman"/>
                <w:lang w:eastAsia="en-AU"/>
              </w:rPr>
              <w:t>Multi-Gaussian distribution</w:t>
            </w:r>
          </w:p>
        </w:tc>
        <w:tc>
          <w:tcPr>
            <w:tcW w:w="6946" w:type="dxa"/>
          </w:tcPr>
          <w:p w14:paraId="6953E27E" w14:textId="77777777" w:rsidR="00214AFB" w:rsidRPr="00AA613E" w:rsidRDefault="00214AFB" w:rsidP="00F05A84">
            <w:pPr>
              <w:pStyle w:val="Body"/>
              <w:rPr>
                <w:rFonts w:eastAsia="Times New Roman"/>
                <w:lang w:eastAsia="en-AU"/>
              </w:rPr>
            </w:pPr>
            <w:r>
              <w:rPr>
                <w:rFonts w:eastAsia="Times New Roman"/>
                <w:lang w:eastAsia="en-AU"/>
              </w:rPr>
              <w:t xml:space="preserve">Also multivariate normal distribution, is </w:t>
            </w:r>
            <w:r w:rsidRPr="00EC06E1">
              <w:rPr>
                <w:rFonts w:eastAsia="Times New Roman"/>
                <w:lang w:eastAsia="en-AU"/>
              </w:rPr>
              <w:t>a generalization of the one-dimensional (</w:t>
            </w:r>
            <w:hyperlink r:id="rId27" w:tooltip="Univariate" w:history="1">
              <w:r w:rsidRPr="00EC06E1">
                <w:rPr>
                  <w:rFonts w:eastAsia="Times New Roman"/>
                  <w:lang w:eastAsia="en-AU"/>
                </w:rPr>
                <w:t>univariate</w:t>
              </w:r>
            </w:hyperlink>
            <w:r w:rsidRPr="00EC06E1">
              <w:rPr>
                <w:rFonts w:eastAsia="Times New Roman"/>
                <w:lang w:eastAsia="en-AU"/>
              </w:rPr>
              <w:t xml:space="preserve">) </w:t>
            </w:r>
            <w:hyperlink r:id="rId28" w:tooltip="Normal distribution" w:history="1">
              <w:r w:rsidRPr="00EC06E1">
                <w:rPr>
                  <w:rFonts w:eastAsia="Times New Roman"/>
                  <w:lang w:eastAsia="en-AU"/>
                </w:rPr>
                <w:t>normal distribution</w:t>
              </w:r>
            </w:hyperlink>
            <w:r w:rsidRPr="00EC06E1">
              <w:rPr>
                <w:rFonts w:eastAsia="Times New Roman"/>
                <w:lang w:eastAsia="en-AU"/>
              </w:rPr>
              <w:t xml:space="preserve"> to higher dimensions</w:t>
            </w:r>
          </w:p>
        </w:tc>
      </w:tr>
      <w:tr w:rsidR="00214AFB" w:rsidRPr="00AA613E" w14:paraId="1C9FC607" w14:textId="77777777" w:rsidTr="00726719">
        <w:tc>
          <w:tcPr>
            <w:tcW w:w="2268" w:type="dxa"/>
          </w:tcPr>
          <w:p w14:paraId="6E092CD4" w14:textId="77777777" w:rsidR="00214AFB" w:rsidRPr="00AA613E" w:rsidRDefault="00214AFB" w:rsidP="00D2003B">
            <w:pPr>
              <w:pStyle w:val="Body"/>
              <w:rPr>
                <w:rFonts w:eastAsia="Times New Roman"/>
                <w:lang w:eastAsia="en-AU"/>
              </w:rPr>
            </w:pPr>
            <w:r w:rsidRPr="00AA613E">
              <w:rPr>
                <w:rFonts w:eastAsia="Times New Roman"/>
                <w:lang w:eastAsia="en-AU"/>
              </w:rPr>
              <w:t xml:space="preserve">Multi-phase flow </w:t>
            </w:r>
          </w:p>
        </w:tc>
        <w:tc>
          <w:tcPr>
            <w:tcW w:w="6946" w:type="dxa"/>
          </w:tcPr>
          <w:p w14:paraId="7109B633" w14:textId="77777777" w:rsidR="00214AFB" w:rsidRPr="00AA613E" w:rsidRDefault="00214AFB" w:rsidP="00F05A84">
            <w:pPr>
              <w:pStyle w:val="Body"/>
              <w:rPr>
                <w:rFonts w:eastAsia="Times New Roman"/>
                <w:lang w:eastAsia="en-AU"/>
              </w:rPr>
            </w:pPr>
            <w:r w:rsidRPr="00AA613E">
              <w:rPr>
                <w:rFonts w:eastAsia="Times New Roman"/>
                <w:lang w:eastAsia="en-AU"/>
              </w:rPr>
              <w:t>The simultaneous flow of multiple phases, e.g. liquid and gas</w:t>
            </w:r>
          </w:p>
        </w:tc>
      </w:tr>
      <w:tr w:rsidR="00214AFB" w:rsidRPr="00AA613E" w14:paraId="78F35410" w14:textId="77777777" w:rsidTr="00726719">
        <w:tc>
          <w:tcPr>
            <w:tcW w:w="2268" w:type="dxa"/>
          </w:tcPr>
          <w:p w14:paraId="387CCBFE" w14:textId="77777777" w:rsidR="00214AFB" w:rsidRPr="00AA613E" w:rsidRDefault="00214AFB" w:rsidP="00545B1A">
            <w:pPr>
              <w:pStyle w:val="Body"/>
              <w:rPr>
                <w:rFonts w:eastAsia="Times New Roman"/>
                <w:lang w:eastAsia="en-AU"/>
              </w:rPr>
            </w:pPr>
            <w:r w:rsidRPr="00AA613E">
              <w:rPr>
                <w:rFonts w:eastAsia="Times New Roman"/>
                <w:lang w:eastAsia="en-AU"/>
              </w:rPr>
              <w:t>Multimodal distribution</w:t>
            </w:r>
          </w:p>
        </w:tc>
        <w:tc>
          <w:tcPr>
            <w:tcW w:w="6946" w:type="dxa"/>
          </w:tcPr>
          <w:p w14:paraId="26AA93C3" w14:textId="77777777" w:rsidR="00214AFB" w:rsidRPr="00AA613E" w:rsidRDefault="00214AFB" w:rsidP="005D5B55">
            <w:pPr>
              <w:pStyle w:val="Body"/>
              <w:rPr>
                <w:rFonts w:eastAsia="Times New Roman"/>
                <w:lang w:eastAsia="en-AU"/>
              </w:rPr>
            </w:pPr>
            <w:r w:rsidRPr="00AA613E">
              <w:rPr>
                <w:rFonts w:eastAsia="Times New Roman"/>
                <w:lang w:eastAsia="en-AU"/>
              </w:rPr>
              <w:t>A statistical distribution featuring more than two distinct modes or maxima</w:t>
            </w:r>
          </w:p>
        </w:tc>
      </w:tr>
      <w:tr w:rsidR="00214AFB" w:rsidRPr="00AA613E" w14:paraId="64C34635" w14:textId="77777777" w:rsidTr="00726719">
        <w:tc>
          <w:tcPr>
            <w:tcW w:w="2268" w:type="dxa"/>
          </w:tcPr>
          <w:p w14:paraId="29ECDACE" w14:textId="77777777" w:rsidR="00214AFB" w:rsidRPr="00AA613E" w:rsidRDefault="00214AFB" w:rsidP="00545B1A">
            <w:pPr>
              <w:pStyle w:val="Body"/>
              <w:rPr>
                <w:rFonts w:eastAsia="Times New Roman"/>
                <w:lang w:eastAsia="en-AU"/>
              </w:rPr>
            </w:pPr>
            <w:r w:rsidRPr="00AA613E">
              <w:rPr>
                <w:rFonts w:eastAsia="Times New Roman"/>
                <w:lang w:eastAsia="en-AU"/>
              </w:rPr>
              <w:t>Neumann boundary condition</w:t>
            </w:r>
          </w:p>
        </w:tc>
        <w:tc>
          <w:tcPr>
            <w:tcW w:w="6946" w:type="dxa"/>
          </w:tcPr>
          <w:p w14:paraId="7E92E760" w14:textId="5A3163BA" w:rsidR="005574E1" w:rsidRDefault="00214AFB">
            <w:pPr>
              <w:pStyle w:val="Body"/>
              <w:rPr>
                <w:rFonts w:eastAsia="Times New Roman"/>
                <w:lang w:eastAsia="en-AU"/>
              </w:rPr>
            </w:pPr>
            <w:r w:rsidRPr="00AA613E">
              <w:rPr>
                <w:rFonts w:eastAsia="Times New Roman"/>
                <w:lang w:eastAsia="en-AU"/>
              </w:rPr>
              <w:t xml:space="preserve">Also known as a second type boundary condition, involves specification of the derivative that </w:t>
            </w:r>
            <w:r w:rsidR="007D64CD">
              <w:rPr>
                <w:rFonts w:eastAsia="Times New Roman"/>
                <w:lang w:eastAsia="en-AU"/>
              </w:rPr>
              <w:t xml:space="preserve">the </w:t>
            </w:r>
            <w:r w:rsidRPr="00AA613E">
              <w:rPr>
                <w:rFonts w:eastAsia="Times New Roman"/>
                <w:lang w:eastAsia="en-AU"/>
              </w:rPr>
              <w:t xml:space="preserve">solution </w:t>
            </w:r>
            <w:r w:rsidR="007D64CD">
              <w:rPr>
                <w:rFonts w:eastAsia="Times New Roman"/>
                <w:lang w:eastAsia="en-AU"/>
              </w:rPr>
              <w:t>o</w:t>
            </w:r>
            <w:r w:rsidR="007D64CD" w:rsidRPr="007D64CD">
              <w:rPr>
                <w:rFonts w:eastAsia="Times New Roman"/>
                <w:lang w:eastAsia="en-AU"/>
              </w:rPr>
              <w:t>f a differential equation</w:t>
            </w:r>
            <w:r w:rsidR="007D64CD">
              <w:rPr>
                <w:rFonts w:eastAsia="Times New Roman"/>
                <w:lang w:eastAsia="en-AU"/>
              </w:rPr>
              <w:t xml:space="preserve"> </w:t>
            </w:r>
            <w:r w:rsidRPr="00AA613E">
              <w:rPr>
                <w:rFonts w:eastAsia="Times New Roman"/>
                <w:lang w:eastAsia="en-AU"/>
              </w:rPr>
              <w:t>needs to produce along the boundary of a model domain</w:t>
            </w:r>
            <w:r w:rsidR="00A52A8A">
              <w:rPr>
                <w:rFonts w:eastAsia="Times New Roman"/>
                <w:lang w:eastAsia="en-AU"/>
              </w:rPr>
              <w:t>. Applicable to both numerical and analytical models</w:t>
            </w:r>
          </w:p>
        </w:tc>
      </w:tr>
      <w:tr w:rsidR="00214AFB" w:rsidRPr="00AA613E" w14:paraId="2FB9507C" w14:textId="77777777" w:rsidTr="00726719">
        <w:tc>
          <w:tcPr>
            <w:tcW w:w="2268" w:type="dxa"/>
          </w:tcPr>
          <w:p w14:paraId="326954AB" w14:textId="77777777" w:rsidR="00214AFB" w:rsidRPr="00B029E5" w:rsidRDefault="00214AFB" w:rsidP="00545B1A">
            <w:pPr>
              <w:pStyle w:val="Body"/>
              <w:rPr>
                <w:rFonts w:eastAsia="Times New Roman"/>
                <w:lang w:eastAsia="en-AU"/>
              </w:rPr>
            </w:pPr>
            <w:r w:rsidRPr="00B029E5">
              <w:rPr>
                <w:rFonts w:eastAsia="Times New Roman"/>
                <w:lang w:eastAsia="en-AU"/>
              </w:rPr>
              <w:t>Numerical realisation</w:t>
            </w:r>
          </w:p>
        </w:tc>
        <w:tc>
          <w:tcPr>
            <w:tcW w:w="6946" w:type="dxa"/>
          </w:tcPr>
          <w:p w14:paraId="0DE1EFCD" w14:textId="77777777" w:rsidR="00214AFB" w:rsidRPr="00AA613E" w:rsidRDefault="00214AFB" w:rsidP="00B9544F">
            <w:pPr>
              <w:pStyle w:val="Body"/>
              <w:rPr>
                <w:rFonts w:eastAsia="Times New Roman"/>
                <w:lang w:eastAsia="en-AU"/>
              </w:rPr>
            </w:pPr>
            <w:r>
              <w:rPr>
                <w:rFonts w:eastAsia="Times New Roman"/>
                <w:lang w:eastAsia="en-AU"/>
              </w:rPr>
              <w:t>A numerically generated sample (usually of model parameters) drawn from a probability distribution, used to run a model simulation</w:t>
            </w:r>
          </w:p>
        </w:tc>
      </w:tr>
      <w:tr w:rsidR="00214AFB" w:rsidRPr="00AA613E" w14:paraId="48039DDE" w14:textId="77777777" w:rsidTr="00726719">
        <w:tc>
          <w:tcPr>
            <w:tcW w:w="2268" w:type="dxa"/>
          </w:tcPr>
          <w:p w14:paraId="735163AF" w14:textId="77777777" w:rsidR="00214AFB" w:rsidRPr="00AA613E" w:rsidRDefault="00214AFB" w:rsidP="00B9544F">
            <w:pPr>
              <w:pStyle w:val="Body"/>
              <w:rPr>
                <w:rFonts w:eastAsia="Times New Roman"/>
                <w:lang w:eastAsia="en-AU"/>
              </w:rPr>
            </w:pPr>
            <w:r w:rsidRPr="00AA613E">
              <w:rPr>
                <w:rFonts w:eastAsia="Times New Roman"/>
                <w:lang w:eastAsia="en-AU"/>
              </w:rPr>
              <w:t>Palaeochannel</w:t>
            </w:r>
          </w:p>
        </w:tc>
        <w:tc>
          <w:tcPr>
            <w:tcW w:w="6946" w:type="dxa"/>
          </w:tcPr>
          <w:p w14:paraId="146A2B16" w14:textId="77777777" w:rsidR="00214AFB" w:rsidRPr="00AA613E" w:rsidRDefault="00214AFB" w:rsidP="00B9544F">
            <w:pPr>
              <w:pStyle w:val="Body"/>
              <w:rPr>
                <w:rFonts w:eastAsia="Times New Roman"/>
                <w:lang w:eastAsia="en-AU"/>
              </w:rPr>
            </w:pPr>
            <w:r w:rsidRPr="00AA613E">
              <w:rPr>
                <w:rFonts w:eastAsia="Times New Roman"/>
                <w:lang w:eastAsia="en-AU"/>
              </w:rPr>
              <w:t>A remnant of an inactive river or stream channel that has been either filled or buried by younger sediment</w:t>
            </w:r>
          </w:p>
        </w:tc>
      </w:tr>
      <w:tr w:rsidR="008E7895" w:rsidRPr="00AA613E" w14:paraId="34929253" w14:textId="77777777" w:rsidTr="008E7895">
        <w:tc>
          <w:tcPr>
            <w:tcW w:w="2268" w:type="dxa"/>
          </w:tcPr>
          <w:p w14:paraId="4DCC344D" w14:textId="77777777" w:rsidR="008E7895" w:rsidRPr="00AA613E" w:rsidRDefault="008E7895" w:rsidP="008E7895">
            <w:pPr>
              <w:pStyle w:val="Body"/>
              <w:rPr>
                <w:rFonts w:eastAsia="Times New Roman"/>
                <w:lang w:eastAsia="en-AU"/>
              </w:rPr>
            </w:pPr>
            <w:r w:rsidRPr="00AA613E">
              <w:rPr>
                <w:rFonts w:eastAsia="Times New Roman"/>
                <w:lang w:eastAsia="en-AU"/>
              </w:rPr>
              <w:t>Permeability</w:t>
            </w:r>
          </w:p>
        </w:tc>
        <w:tc>
          <w:tcPr>
            <w:tcW w:w="6946" w:type="dxa"/>
          </w:tcPr>
          <w:p w14:paraId="2DFF41F8" w14:textId="7F184A8B" w:rsidR="008E7895" w:rsidRPr="00AA613E" w:rsidRDefault="008E7895" w:rsidP="008E7895">
            <w:pPr>
              <w:pStyle w:val="Body"/>
              <w:rPr>
                <w:rFonts w:eastAsia="Times New Roman"/>
                <w:lang w:eastAsia="en-AU"/>
              </w:rPr>
            </w:pPr>
            <w:r w:rsidRPr="00AA613E">
              <w:rPr>
                <w:rFonts w:eastAsia="Times New Roman"/>
                <w:lang w:eastAsia="en-AU"/>
              </w:rPr>
              <w:t>The measure of the ability of a rock, soil or sediment to yield or transmit a fluid. The magnitude of permeability depends largely on the porosity and the interconnectivity of pores and spaces in the ground</w:t>
            </w:r>
          </w:p>
        </w:tc>
      </w:tr>
      <w:tr w:rsidR="00214AFB" w:rsidRPr="00AA613E" w14:paraId="40A100E1" w14:textId="77777777" w:rsidTr="00726719">
        <w:tc>
          <w:tcPr>
            <w:tcW w:w="2268" w:type="dxa"/>
          </w:tcPr>
          <w:p w14:paraId="76043BB6" w14:textId="77777777" w:rsidR="00214AFB" w:rsidRPr="00AA613E" w:rsidRDefault="00214AFB" w:rsidP="00B9544F">
            <w:pPr>
              <w:pStyle w:val="Body"/>
              <w:rPr>
                <w:rFonts w:eastAsia="Times New Roman"/>
                <w:lang w:eastAsia="en-AU"/>
              </w:rPr>
            </w:pPr>
            <w:r w:rsidRPr="00AA6A3A">
              <w:rPr>
                <w:rFonts w:eastAsia="Times New Roman"/>
                <w:lang w:eastAsia="en-AU"/>
              </w:rPr>
              <w:t>Petrophysical observations</w:t>
            </w:r>
            <w:r w:rsidRPr="00AA613E">
              <w:rPr>
                <w:rFonts w:eastAsia="Times New Roman"/>
                <w:lang w:eastAsia="en-AU"/>
              </w:rPr>
              <w:t xml:space="preserve">  </w:t>
            </w:r>
          </w:p>
        </w:tc>
        <w:tc>
          <w:tcPr>
            <w:tcW w:w="6946" w:type="dxa"/>
          </w:tcPr>
          <w:p w14:paraId="1B73B2D9" w14:textId="77777777" w:rsidR="00214AFB" w:rsidRPr="00AA613E" w:rsidRDefault="00214AFB" w:rsidP="005A01F3">
            <w:pPr>
              <w:pStyle w:val="Body"/>
              <w:rPr>
                <w:rFonts w:eastAsia="Times New Roman"/>
                <w:lang w:eastAsia="en-AU"/>
              </w:rPr>
            </w:pPr>
            <w:r w:rsidRPr="005A01F3">
              <w:rPr>
                <w:rFonts w:eastAsia="Times New Roman"/>
                <w:lang w:eastAsia="en-AU"/>
              </w:rPr>
              <w:t xml:space="preserve">Properties that pertain to fluid behaviour within the rock, such as </w:t>
            </w:r>
            <w:r>
              <w:rPr>
                <w:rFonts w:eastAsia="Times New Roman"/>
                <w:lang w:eastAsia="en-AU"/>
              </w:rPr>
              <w:t>lithology (</w:t>
            </w:r>
            <w:r>
              <w:t>grain size, composition and texture</w:t>
            </w:r>
            <w:r>
              <w:rPr>
                <w:rFonts w:eastAsia="Times New Roman"/>
                <w:lang w:eastAsia="en-AU"/>
              </w:rPr>
              <w:t xml:space="preserve">), </w:t>
            </w:r>
            <w:hyperlink r:id="rId29" w:history="1">
              <w:r w:rsidRPr="005A01F3">
                <w:rPr>
                  <w:rFonts w:eastAsia="Times New Roman"/>
                  <w:lang w:eastAsia="en-AU"/>
                </w:rPr>
                <w:t>porosity</w:t>
              </w:r>
            </w:hyperlink>
            <w:r w:rsidRPr="005A01F3">
              <w:rPr>
                <w:rFonts w:eastAsia="Times New Roman"/>
                <w:lang w:eastAsia="en-AU"/>
              </w:rPr>
              <w:t xml:space="preserve">, capillary </w:t>
            </w:r>
            <w:hyperlink r:id="rId30" w:history="1">
              <w:r w:rsidRPr="005A01F3">
                <w:rPr>
                  <w:rFonts w:eastAsia="Times New Roman"/>
                  <w:lang w:eastAsia="en-AU"/>
                </w:rPr>
                <w:t>pressure</w:t>
              </w:r>
            </w:hyperlink>
            <w:r w:rsidRPr="005A01F3">
              <w:rPr>
                <w:rFonts w:eastAsia="Times New Roman"/>
                <w:lang w:eastAsia="en-AU"/>
              </w:rPr>
              <w:t>, permeabilities, irreducible saturations or saturations</w:t>
            </w:r>
            <w:r>
              <w:rPr>
                <w:rFonts w:eastAsia="Times New Roman"/>
                <w:lang w:eastAsia="en-AU"/>
              </w:rPr>
              <w:t>.</w:t>
            </w:r>
          </w:p>
        </w:tc>
      </w:tr>
      <w:tr w:rsidR="00214AFB" w:rsidRPr="00AA613E" w14:paraId="46DC31F2" w14:textId="77777777" w:rsidTr="00726719">
        <w:tc>
          <w:tcPr>
            <w:tcW w:w="2268" w:type="dxa"/>
          </w:tcPr>
          <w:p w14:paraId="7BAB8D9A" w14:textId="77777777" w:rsidR="00214AFB" w:rsidRPr="00AA613E" w:rsidRDefault="00214AFB" w:rsidP="00B9544F">
            <w:pPr>
              <w:pStyle w:val="Body"/>
              <w:rPr>
                <w:rFonts w:eastAsia="Times New Roman"/>
                <w:lang w:eastAsia="en-AU"/>
              </w:rPr>
            </w:pPr>
            <w:r w:rsidRPr="00AA613E">
              <w:rPr>
                <w:rFonts w:eastAsia="Times New Roman"/>
                <w:lang w:eastAsia="en-AU"/>
              </w:rPr>
              <w:t>Porosity</w:t>
            </w:r>
          </w:p>
        </w:tc>
        <w:tc>
          <w:tcPr>
            <w:tcW w:w="6946" w:type="dxa"/>
          </w:tcPr>
          <w:p w14:paraId="7F64534A" w14:textId="77777777" w:rsidR="00214AFB" w:rsidRPr="00AA613E" w:rsidRDefault="00214AFB" w:rsidP="00B9544F">
            <w:pPr>
              <w:pStyle w:val="Body"/>
              <w:rPr>
                <w:rFonts w:eastAsia="Times New Roman"/>
                <w:lang w:eastAsia="en-AU"/>
              </w:rPr>
            </w:pPr>
            <w:r w:rsidRPr="00AA613E">
              <w:rPr>
                <w:rFonts w:eastAsia="Times New Roman"/>
                <w:lang w:eastAsia="en-AU"/>
              </w:rPr>
              <w:t>The proportion of the volume of rock consisting of pores, usually expressed as a percentage of the total rock or soil mass</w:t>
            </w:r>
          </w:p>
        </w:tc>
      </w:tr>
      <w:tr w:rsidR="00214AFB" w:rsidRPr="00AA613E" w14:paraId="55194B12" w14:textId="77777777" w:rsidTr="00726719">
        <w:tc>
          <w:tcPr>
            <w:tcW w:w="2268" w:type="dxa"/>
          </w:tcPr>
          <w:p w14:paraId="0874F8B2" w14:textId="77777777" w:rsidR="00214AFB" w:rsidRPr="00AA613E" w:rsidRDefault="00214AFB" w:rsidP="00B9544F">
            <w:pPr>
              <w:pStyle w:val="Body"/>
              <w:rPr>
                <w:rFonts w:eastAsia="Times New Roman"/>
                <w:lang w:eastAsia="en-AU"/>
              </w:rPr>
            </w:pPr>
            <w:r w:rsidRPr="00AA613E">
              <w:rPr>
                <w:rFonts w:eastAsia="Times New Roman"/>
                <w:lang w:eastAsia="en-AU"/>
              </w:rPr>
              <w:t>Preferential flow</w:t>
            </w:r>
          </w:p>
        </w:tc>
        <w:tc>
          <w:tcPr>
            <w:tcW w:w="6946" w:type="dxa"/>
          </w:tcPr>
          <w:p w14:paraId="0A7567BC" w14:textId="102C77CE" w:rsidR="00214AFB" w:rsidRPr="00AA613E" w:rsidRDefault="00214AFB" w:rsidP="00A52A8A">
            <w:pPr>
              <w:pStyle w:val="Body"/>
              <w:rPr>
                <w:rFonts w:eastAsia="Times New Roman"/>
                <w:lang w:eastAsia="en-AU"/>
              </w:rPr>
            </w:pPr>
            <w:r w:rsidRPr="00AA613E">
              <w:rPr>
                <w:rFonts w:eastAsia="Times New Roman"/>
                <w:lang w:eastAsia="en-AU"/>
              </w:rPr>
              <w:t>Preferential flow refers to the uneven and often rapid and short-circuiting movement of water and solutes throu</w:t>
            </w:r>
            <w:r w:rsidR="00430AC5">
              <w:rPr>
                <w:rFonts w:eastAsia="Times New Roman"/>
                <w:lang w:eastAsia="en-AU"/>
              </w:rPr>
              <w:t>gh porous media</w:t>
            </w:r>
            <w:r w:rsidRPr="00AA613E">
              <w:rPr>
                <w:rFonts w:eastAsia="Times New Roman"/>
                <w:lang w:eastAsia="en-AU"/>
              </w:rPr>
              <w:t xml:space="preserve"> characterised by small regions of enhanced flux (such as faults, fractures or other high permeability pathways), which contributes most of the flow, allowing much faster </w:t>
            </w:r>
            <w:r w:rsidR="0094146F">
              <w:rPr>
                <w:rFonts w:eastAsia="Times New Roman"/>
                <w:lang w:eastAsia="en-AU"/>
              </w:rPr>
              <w:t xml:space="preserve">propagation of pressure differences and </w:t>
            </w:r>
            <w:r w:rsidRPr="00AA613E">
              <w:rPr>
                <w:rFonts w:eastAsia="Times New Roman"/>
                <w:lang w:eastAsia="en-AU"/>
              </w:rPr>
              <w:t xml:space="preserve">transport of </w:t>
            </w:r>
            <w:r w:rsidR="00A52A8A">
              <w:rPr>
                <w:rFonts w:eastAsia="Times New Roman"/>
                <w:lang w:eastAsia="en-AU"/>
              </w:rPr>
              <w:t>solutes</w:t>
            </w:r>
            <w:r w:rsidRPr="00AA613E">
              <w:rPr>
                <w:rFonts w:eastAsia="Times New Roman"/>
                <w:lang w:eastAsia="en-AU"/>
              </w:rPr>
              <w:t xml:space="preserve"> through that pathway</w:t>
            </w:r>
          </w:p>
        </w:tc>
      </w:tr>
      <w:tr w:rsidR="00214AFB" w:rsidRPr="00AA613E" w14:paraId="3879A247" w14:textId="77777777" w:rsidTr="00726719">
        <w:tc>
          <w:tcPr>
            <w:tcW w:w="2268" w:type="dxa"/>
          </w:tcPr>
          <w:p w14:paraId="4661DF16" w14:textId="77777777" w:rsidR="00214AFB" w:rsidRPr="00AA613E" w:rsidRDefault="00214AFB" w:rsidP="00B9544F">
            <w:pPr>
              <w:pStyle w:val="Body"/>
              <w:rPr>
                <w:rFonts w:eastAsia="Times New Roman"/>
                <w:lang w:eastAsia="en-AU"/>
              </w:rPr>
            </w:pPr>
            <w:r w:rsidRPr="00EC06E1">
              <w:rPr>
                <w:rFonts w:eastAsia="Times New Roman"/>
                <w:lang w:eastAsia="en-AU"/>
              </w:rPr>
              <w:t>Probability density function</w:t>
            </w:r>
          </w:p>
        </w:tc>
        <w:tc>
          <w:tcPr>
            <w:tcW w:w="6946" w:type="dxa"/>
          </w:tcPr>
          <w:p w14:paraId="33B817E6" w14:textId="77777777" w:rsidR="00214AFB" w:rsidRPr="00AA613E" w:rsidRDefault="00214AFB" w:rsidP="00EC06E1">
            <w:pPr>
              <w:pStyle w:val="Body"/>
              <w:rPr>
                <w:rFonts w:eastAsia="Times New Roman"/>
                <w:lang w:eastAsia="en-AU"/>
              </w:rPr>
            </w:pPr>
            <w:r w:rsidRPr="00EC06E1">
              <w:rPr>
                <w:rFonts w:eastAsia="Times New Roman"/>
                <w:lang w:eastAsia="en-AU"/>
              </w:rPr>
              <w:t xml:space="preserve">A </w:t>
            </w:r>
            <w:hyperlink r:id="rId31" w:tooltip="Function (mathematics)" w:history="1">
              <w:r w:rsidRPr="00EC06E1">
                <w:rPr>
                  <w:rFonts w:eastAsia="Times New Roman"/>
                  <w:lang w:eastAsia="en-AU"/>
                </w:rPr>
                <w:t>function</w:t>
              </w:r>
            </w:hyperlink>
            <w:r w:rsidRPr="00EC06E1">
              <w:rPr>
                <w:rFonts w:eastAsia="Times New Roman"/>
                <w:lang w:eastAsia="en-AU"/>
              </w:rPr>
              <w:t xml:space="preserve"> that describes the relative likelihood for </w:t>
            </w:r>
            <w:r>
              <w:rPr>
                <w:rFonts w:eastAsia="Times New Roman"/>
                <w:lang w:eastAsia="en-AU"/>
              </w:rPr>
              <w:t>a</w:t>
            </w:r>
            <w:r w:rsidRPr="00EC06E1">
              <w:rPr>
                <w:rFonts w:eastAsia="Times New Roman"/>
                <w:lang w:eastAsia="en-AU"/>
              </w:rPr>
              <w:t xml:space="preserve"> random variable to take on a given value</w:t>
            </w:r>
          </w:p>
        </w:tc>
      </w:tr>
      <w:tr w:rsidR="00214AFB" w:rsidRPr="00AA613E" w14:paraId="153D3634" w14:textId="77777777" w:rsidTr="00726719">
        <w:tc>
          <w:tcPr>
            <w:tcW w:w="2268" w:type="dxa"/>
          </w:tcPr>
          <w:p w14:paraId="2D5361D3" w14:textId="77777777" w:rsidR="00214AFB" w:rsidRPr="00AA613E" w:rsidRDefault="00214AFB" w:rsidP="00B9544F">
            <w:pPr>
              <w:pStyle w:val="Body"/>
              <w:rPr>
                <w:rFonts w:eastAsia="Times New Roman"/>
                <w:lang w:eastAsia="en-AU"/>
              </w:rPr>
            </w:pPr>
            <w:r w:rsidRPr="00AA613E">
              <w:rPr>
                <w:rFonts w:eastAsia="Times New Roman"/>
                <w:lang w:eastAsia="en-AU"/>
              </w:rPr>
              <w:t xml:space="preserve">Protolith </w:t>
            </w:r>
          </w:p>
        </w:tc>
        <w:tc>
          <w:tcPr>
            <w:tcW w:w="6946" w:type="dxa"/>
          </w:tcPr>
          <w:p w14:paraId="72DCA1EF" w14:textId="77777777" w:rsidR="00214AFB" w:rsidRPr="00AA613E" w:rsidRDefault="00214AFB" w:rsidP="00707787">
            <w:pPr>
              <w:pStyle w:val="Body"/>
              <w:rPr>
                <w:rFonts w:eastAsia="Times New Roman"/>
                <w:lang w:eastAsia="en-AU"/>
              </w:rPr>
            </w:pPr>
            <w:r w:rsidRPr="00AA613E">
              <w:rPr>
                <w:rFonts w:eastAsia="Times New Roman"/>
                <w:lang w:eastAsia="en-AU"/>
              </w:rPr>
              <w:t>Unmetamorphosed rock from which a given metamorphic rock is formed</w:t>
            </w:r>
          </w:p>
        </w:tc>
      </w:tr>
      <w:tr w:rsidR="00214AFB" w:rsidRPr="00AA613E" w14:paraId="1E950326" w14:textId="77777777" w:rsidTr="00726719">
        <w:tc>
          <w:tcPr>
            <w:tcW w:w="2268" w:type="dxa"/>
          </w:tcPr>
          <w:p w14:paraId="68551D6A" w14:textId="77777777" w:rsidR="00214AFB" w:rsidRPr="00AA613E" w:rsidRDefault="00214AFB" w:rsidP="00B9544F">
            <w:pPr>
              <w:pStyle w:val="Body"/>
              <w:rPr>
                <w:rFonts w:eastAsia="Times New Roman"/>
                <w:lang w:eastAsia="en-AU"/>
              </w:rPr>
            </w:pPr>
            <w:r w:rsidRPr="00B029E5">
              <w:rPr>
                <w:rFonts w:eastAsia="Times New Roman"/>
                <w:lang w:eastAsia="en-AU"/>
              </w:rPr>
              <w:t>Radioactive isotopes</w:t>
            </w:r>
          </w:p>
        </w:tc>
        <w:tc>
          <w:tcPr>
            <w:tcW w:w="6946" w:type="dxa"/>
          </w:tcPr>
          <w:p w14:paraId="24565203" w14:textId="77777777" w:rsidR="00214AFB" w:rsidRPr="00AA613E" w:rsidRDefault="00214AFB" w:rsidP="00B029E5">
            <w:pPr>
              <w:pStyle w:val="Body"/>
              <w:rPr>
                <w:rFonts w:eastAsia="Times New Roman"/>
                <w:lang w:eastAsia="en-AU"/>
              </w:rPr>
            </w:pPr>
            <w:r>
              <w:rPr>
                <w:rFonts w:eastAsia="Times New Roman"/>
                <w:lang w:eastAsia="en-AU"/>
              </w:rPr>
              <w:t>N</w:t>
            </w:r>
            <w:r w:rsidRPr="00B029E5">
              <w:rPr>
                <w:rFonts w:eastAsia="Times New Roman"/>
                <w:lang w:eastAsia="en-AU"/>
              </w:rPr>
              <w:t>atural or artificially created isotope of a chemical element having an unstable nucleus that decays, emitting alpha, beta, or gamma rays until stability is reached</w:t>
            </w:r>
            <w:r>
              <w:rPr>
                <w:rFonts w:eastAsia="Times New Roman"/>
                <w:lang w:eastAsia="en-AU"/>
              </w:rPr>
              <w:t>.</w:t>
            </w:r>
          </w:p>
        </w:tc>
      </w:tr>
      <w:tr w:rsidR="00214AFB" w:rsidRPr="00AA613E" w14:paraId="1077E8B9" w14:textId="77777777" w:rsidTr="00726719">
        <w:tc>
          <w:tcPr>
            <w:tcW w:w="2268" w:type="dxa"/>
          </w:tcPr>
          <w:p w14:paraId="55A69C46" w14:textId="77777777" w:rsidR="00214AFB" w:rsidRPr="00AA613E" w:rsidRDefault="00214AFB" w:rsidP="00B9544F">
            <w:pPr>
              <w:pStyle w:val="Body"/>
              <w:rPr>
                <w:rFonts w:eastAsia="Times New Roman"/>
                <w:lang w:eastAsia="en-AU"/>
              </w:rPr>
            </w:pPr>
            <w:r w:rsidRPr="00AA613E">
              <w:rPr>
                <w:rFonts w:eastAsia="Times New Roman"/>
                <w:lang w:eastAsia="en-AU"/>
              </w:rPr>
              <w:t>Recharge</w:t>
            </w:r>
          </w:p>
        </w:tc>
        <w:tc>
          <w:tcPr>
            <w:tcW w:w="6946" w:type="dxa"/>
          </w:tcPr>
          <w:p w14:paraId="73C6109A" w14:textId="6C9B4822" w:rsidR="00214AFB" w:rsidRPr="00AA613E" w:rsidRDefault="00C20A8B" w:rsidP="00B9544F">
            <w:pPr>
              <w:pStyle w:val="Body"/>
              <w:rPr>
                <w:rFonts w:eastAsia="Times New Roman"/>
                <w:lang w:eastAsia="en-AU"/>
              </w:rPr>
            </w:pPr>
            <w:r>
              <w:rPr>
                <w:rFonts w:eastAsia="Times New Roman"/>
                <w:lang w:eastAsia="en-AU"/>
              </w:rPr>
              <w:t>T</w:t>
            </w:r>
            <w:r w:rsidR="00214AFB" w:rsidRPr="00AA613E">
              <w:rPr>
                <w:rFonts w:eastAsia="Times New Roman"/>
                <w:lang w:eastAsia="en-AU"/>
              </w:rPr>
              <w:t>he process whereby surface water (such as from rainfall runoff</w:t>
            </w:r>
            <w:r w:rsidR="0094146F">
              <w:rPr>
                <w:rFonts w:eastAsia="Times New Roman"/>
                <w:lang w:eastAsia="en-AU"/>
              </w:rPr>
              <w:t xml:space="preserve"> or irrigation</w:t>
            </w:r>
            <w:r w:rsidR="00214AFB" w:rsidRPr="00AA613E">
              <w:rPr>
                <w:rFonts w:eastAsia="Times New Roman"/>
                <w:lang w:eastAsia="en-AU"/>
              </w:rPr>
              <w:t>) percolates through the ground to the water table</w:t>
            </w:r>
          </w:p>
        </w:tc>
      </w:tr>
      <w:tr w:rsidR="00214AFB" w:rsidRPr="00AA613E" w14:paraId="6F437CB5" w14:textId="77777777" w:rsidTr="00726719">
        <w:tc>
          <w:tcPr>
            <w:tcW w:w="2268" w:type="dxa"/>
          </w:tcPr>
          <w:p w14:paraId="6327AF96" w14:textId="77777777" w:rsidR="00214AFB" w:rsidRDefault="00214AFB" w:rsidP="00214AFB">
            <w:pPr>
              <w:pStyle w:val="Body"/>
            </w:pPr>
            <w:r>
              <w:t>Regional-scale groundwater models</w:t>
            </w:r>
          </w:p>
        </w:tc>
        <w:tc>
          <w:tcPr>
            <w:tcW w:w="6946" w:type="dxa"/>
          </w:tcPr>
          <w:p w14:paraId="0487F80B" w14:textId="77777777" w:rsidR="00214AFB" w:rsidRDefault="00214AFB" w:rsidP="00214AFB">
            <w:pPr>
              <w:pStyle w:val="Body"/>
            </w:pPr>
            <w:r>
              <w:t>Models that encompass an entire groundwater system, geological basin or other significant area of interest that extends well beyond the measurable influence of individual bores or borefields</w:t>
            </w:r>
          </w:p>
        </w:tc>
      </w:tr>
      <w:tr w:rsidR="008E7895" w:rsidRPr="00AA613E" w14:paraId="5496F961" w14:textId="77777777" w:rsidTr="008E7895">
        <w:tc>
          <w:tcPr>
            <w:tcW w:w="2268" w:type="dxa"/>
          </w:tcPr>
          <w:p w14:paraId="0B142D3C" w14:textId="77777777" w:rsidR="008E7895" w:rsidRDefault="008E7895" w:rsidP="008E7895">
            <w:pPr>
              <w:pStyle w:val="Body"/>
              <w:rPr>
                <w:rFonts w:eastAsia="Times New Roman"/>
                <w:lang w:eastAsia="en-AU"/>
              </w:rPr>
            </w:pPr>
            <w:r>
              <w:rPr>
                <w:rFonts w:eastAsia="Times New Roman"/>
                <w:lang w:eastAsia="en-AU"/>
              </w:rPr>
              <w:t>R</w:t>
            </w:r>
            <w:r w:rsidRPr="007725A2">
              <w:rPr>
                <w:rFonts w:eastAsia="Times New Roman"/>
                <w:lang w:eastAsia="en-AU"/>
              </w:rPr>
              <w:t>elative permeability</w:t>
            </w:r>
          </w:p>
        </w:tc>
        <w:tc>
          <w:tcPr>
            <w:tcW w:w="6946" w:type="dxa"/>
          </w:tcPr>
          <w:p w14:paraId="2018057B" w14:textId="77777777" w:rsidR="008E7895" w:rsidRDefault="008E7895" w:rsidP="008E7895">
            <w:pPr>
              <w:pStyle w:val="Body"/>
            </w:pPr>
            <w:r>
              <w:t>T</w:t>
            </w:r>
            <w:r w:rsidRPr="007725A2">
              <w:rPr>
                <w:rFonts w:eastAsia="Times New Roman"/>
                <w:lang w:eastAsia="en-AU"/>
              </w:rPr>
              <w:t xml:space="preserve">he permeability of </w:t>
            </w:r>
            <w:r>
              <w:rPr>
                <w:rFonts w:eastAsia="Times New Roman"/>
                <w:lang w:eastAsia="en-AU"/>
              </w:rPr>
              <w:t>a</w:t>
            </w:r>
            <w:r w:rsidRPr="007725A2">
              <w:rPr>
                <w:rFonts w:eastAsia="Times New Roman"/>
                <w:lang w:eastAsia="en-AU"/>
              </w:rPr>
              <w:t xml:space="preserve"> medium for a specific fluid relative to</w:t>
            </w:r>
            <w:r>
              <w:rPr>
                <w:rFonts w:eastAsia="Times New Roman"/>
                <w:lang w:eastAsia="en-AU"/>
              </w:rPr>
              <w:t xml:space="preserve"> </w:t>
            </w:r>
            <w:r w:rsidRPr="007725A2">
              <w:rPr>
                <w:rFonts w:eastAsia="Times New Roman"/>
                <w:lang w:eastAsia="en-AU"/>
              </w:rPr>
              <w:t>the intrinsic permeability for a porous medium containing more than a single fluid phase (e.g., air and water or oil, gas, and water</w:t>
            </w:r>
            <w:r>
              <w:rPr>
                <w:rFonts w:eastAsia="Times New Roman"/>
                <w:lang w:eastAsia="en-AU"/>
              </w:rPr>
              <w:t>)</w:t>
            </w:r>
          </w:p>
        </w:tc>
      </w:tr>
      <w:tr w:rsidR="00214AFB" w:rsidRPr="00AA613E" w14:paraId="53A1043B" w14:textId="77777777" w:rsidTr="00726719">
        <w:tc>
          <w:tcPr>
            <w:tcW w:w="2268" w:type="dxa"/>
          </w:tcPr>
          <w:p w14:paraId="3EE9D2D5" w14:textId="77777777" w:rsidR="00214AFB" w:rsidRPr="00AA613E" w:rsidRDefault="00214AFB" w:rsidP="00B9544F">
            <w:pPr>
              <w:pStyle w:val="Body"/>
              <w:rPr>
                <w:rFonts w:eastAsia="Times New Roman"/>
                <w:lang w:eastAsia="en-AU"/>
              </w:rPr>
            </w:pPr>
            <w:r w:rsidRPr="00B029E5">
              <w:rPr>
                <w:rFonts w:eastAsia="Times New Roman"/>
                <w:lang w:eastAsia="en-AU"/>
              </w:rPr>
              <w:t>Representative elementary volume</w:t>
            </w:r>
            <w:r w:rsidR="0094146F">
              <w:rPr>
                <w:rFonts w:eastAsia="Times New Roman"/>
                <w:lang w:eastAsia="en-AU"/>
              </w:rPr>
              <w:t xml:space="preserve"> (REV)</w:t>
            </w:r>
          </w:p>
        </w:tc>
        <w:tc>
          <w:tcPr>
            <w:tcW w:w="6946" w:type="dxa"/>
          </w:tcPr>
          <w:p w14:paraId="2B4A11FE" w14:textId="77777777" w:rsidR="00214AFB" w:rsidRPr="00AA613E" w:rsidRDefault="00214AFB" w:rsidP="00B9544F">
            <w:pPr>
              <w:pStyle w:val="Body"/>
              <w:rPr>
                <w:rFonts w:eastAsia="Times New Roman"/>
                <w:lang w:eastAsia="en-AU"/>
              </w:rPr>
            </w:pPr>
            <w:r>
              <w:t>The smallest volume over which a measurement of a property can be made that will yield a value rep</w:t>
            </w:r>
            <w:r w:rsidR="0094146F">
              <w:t>resentative of the whole volume under investigation</w:t>
            </w:r>
          </w:p>
        </w:tc>
      </w:tr>
      <w:tr w:rsidR="00E513F3" w:rsidRPr="00AA613E" w14:paraId="7C296411" w14:textId="77777777" w:rsidTr="00726719">
        <w:tc>
          <w:tcPr>
            <w:tcW w:w="2268" w:type="dxa"/>
          </w:tcPr>
          <w:p w14:paraId="632C25CC" w14:textId="77777777" w:rsidR="005574E1" w:rsidRDefault="00E513F3">
            <w:pPr>
              <w:pStyle w:val="Body"/>
              <w:rPr>
                <w:rFonts w:eastAsia="Times New Roman"/>
                <w:lang w:eastAsia="en-AU"/>
              </w:rPr>
            </w:pPr>
            <w:r>
              <w:rPr>
                <w:rFonts w:eastAsia="Times New Roman"/>
                <w:lang w:eastAsia="en-AU"/>
              </w:rPr>
              <w:t>Reservoir (hydrocarbon)</w:t>
            </w:r>
          </w:p>
        </w:tc>
        <w:tc>
          <w:tcPr>
            <w:tcW w:w="6946" w:type="dxa"/>
          </w:tcPr>
          <w:p w14:paraId="2FB2DF33" w14:textId="3CDEEE1A" w:rsidR="00E513F3" w:rsidRPr="00AA613E" w:rsidRDefault="00C20A8B" w:rsidP="00E0632E">
            <w:pPr>
              <w:pStyle w:val="Body"/>
              <w:rPr>
                <w:rFonts w:eastAsia="Times New Roman"/>
                <w:lang w:eastAsia="en-AU"/>
              </w:rPr>
            </w:pPr>
            <w:r>
              <w:rPr>
                <w:rFonts w:eastAsia="Times New Roman"/>
                <w:lang w:eastAsia="en-AU"/>
              </w:rPr>
              <w:t>P</w:t>
            </w:r>
            <w:r w:rsidR="00E0632E" w:rsidRPr="00E0632E">
              <w:rPr>
                <w:rFonts w:eastAsia="Times New Roman"/>
                <w:lang w:eastAsia="en-AU"/>
              </w:rPr>
              <w:t>orous or fractured rock formations</w:t>
            </w:r>
            <w:r>
              <w:rPr>
                <w:rFonts w:eastAsia="Times New Roman"/>
                <w:lang w:eastAsia="en-AU"/>
              </w:rPr>
              <w:t xml:space="preserve"> </w:t>
            </w:r>
            <w:r w:rsidRPr="00C20A8B">
              <w:rPr>
                <w:rFonts w:eastAsia="Times New Roman"/>
                <w:lang w:eastAsia="en-AU"/>
              </w:rPr>
              <w:t>that contain significant reserves of hydrocarbons</w:t>
            </w:r>
            <w:r w:rsidR="00E0632E" w:rsidRPr="00E0632E">
              <w:rPr>
                <w:rFonts w:eastAsia="Times New Roman"/>
                <w:lang w:eastAsia="en-AU"/>
              </w:rPr>
              <w:t xml:space="preserve">. </w:t>
            </w:r>
            <w:r w:rsidR="00E0632E">
              <w:rPr>
                <w:rFonts w:eastAsia="Times New Roman"/>
                <w:lang w:eastAsia="en-AU"/>
              </w:rPr>
              <w:t>Naturally-</w:t>
            </w:r>
            <w:r w:rsidR="00E0632E" w:rsidRPr="00E0632E">
              <w:rPr>
                <w:rFonts w:eastAsia="Times New Roman"/>
                <w:lang w:eastAsia="en-AU"/>
              </w:rPr>
              <w:t xml:space="preserve">occurring hydrocarbons such as crude oil or natural gas are </w:t>
            </w:r>
            <w:r w:rsidR="00E0632E">
              <w:rPr>
                <w:rFonts w:eastAsia="Times New Roman"/>
                <w:lang w:eastAsia="en-AU"/>
              </w:rPr>
              <w:t xml:space="preserve">typically </w:t>
            </w:r>
            <w:r w:rsidR="00E0632E" w:rsidRPr="00E0632E">
              <w:rPr>
                <w:rFonts w:eastAsia="Times New Roman"/>
                <w:lang w:eastAsia="en-AU"/>
              </w:rPr>
              <w:t xml:space="preserve">trapped </w:t>
            </w:r>
            <w:r w:rsidR="00E0632E">
              <w:rPr>
                <w:rFonts w:eastAsia="Times New Roman"/>
                <w:lang w:eastAsia="en-AU"/>
              </w:rPr>
              <w:t xml:space="preserve">in source or host rocks by </w:t>
            </w:r>
            <w:r w:rsidR="00E0632E" w:rsidRPr="00E0632E">
              <w:rPr>
                <w:rFonts w:eastAsia="Times New Roman"/>
                <w:lang w:eastAsia="en-AU"/>
              </w:rPr>
              <w:t xml:space="preserve">overlying </w:t>
            </w:r>
            <w:r w:rsidR="00E0632E">
              <w:rPr>
                <w:rFonts w:eastAsia="Times New Roman"/>
                <w:lang w:eastAsia="en-AU"/>
              </w:rPr>
              <w:t>low</w:t>
            </w:r>
            <w:r w:rsidR="00E0632E" w:rsidRPr="00E0632E">
              <w:rPr>
                <w:rFonts w:eastAsia="Times New Roman"/>
                <w:lang w:eastAsia="en-AU"/>
              </w:rPr>
              <w:t xml:space="preserve"> permeabilit</w:t>
            </w:r>
            <w:r w:rsidR="00E0632E">
              <w:rPr>
                <w:rFonts w:eastAsia="Times New Roman"/>
                <w:lang w:eastAsia="en-AU"/>
              </w:rPr>
              <w:t>y formations</w:t>
            </w:r>
          </w:p>
        </w:tc>
      </w:tr>
      <w:tr w:rsidR="00E513F3" w:rsidRPr="00AA613E" w14:paraId="2EFC9307" w14:textId="77777777" w:rsidTr="00726719">
        <w:tc>
          <w:tcPr>
            <w:tcW w:w="2268" w:type="dxa"/>
          </w:tcPr>
          <w:p w14:paraId="5AF0D763" w14:textId="77777777" w:rsidR="00E513F3" w:rsidRPr="00AA613E" w:rsidRDefault="00E513F3" w:rsidP="00B9544F">
            <w:pPr>
              <w:pStyle w:val="Body"/>
              <w:rPr>
                <w:rFonts w:eastAsia="Times New Roman"/>
                <w:lang w:eastAsia="en-AU"/>
              </w:rPr>
            </w:pPr>
            <w:r>
              <w:rPr>
                <w:rFonts w:eastAsia="Times New Roman"/>
                <w:lang w:eastAsia="en-AU"/>
              </w:rPr>
              <w:t>Reservoir (multiphase) flow model</w:t>
            </w:r>
          </w:p>
        </w:tc>
        <w:tc>
          <w:tcPr>
            <w:tcW w:w="6946" w:type="dxa"/>
          </w:tcPr>
          <w:p w14:paraId="6483CA81" w14:textId="77777777" w:rsidR="00E513F3" w:rsidRPr="00AA613E" w:rsidRDefault="00E0632E" w:rsidP="00E0632E">
            <w:pPr>
              <w:pStyle w:val="Body"/>
              <w:rPr>
                <w:rFonts w:eastAsia="Times New Roman"/>
                <w:lang w:eastAsia="en-AU"/>
              </w:rPr>
            </w:pPr>
            <w:r>
              <w:rPr>
                <w:rFonts w:eastAsia="Times New Roman"/>
                <w:lang w:eastAsia="en-AU"/>
              </w:rPr>
              <w:t xml:space="preserve">A numerical solution to a partial differential equation used to describe the flow of hydrocarbons and other fluids in a hydrocarbon reservoir. Reservoir models typically involve the flow simulation of multiple fluid phases and the use of dual domain approaches to simulate matrix and fracture flow. Common parameters used in reservoir models are </w:t>
            </w:r>
            <w:r w:rsidRPr="00E0632E">
              <w:rPr>
                <w:rFonts w:eastAsia="Times New Roman"/>
                <w:lang w:eastAsia="en-AU"/>
              </w:rPr>
              <w:t xml:space="preserve">porosity, permeability and water saturation </w:t>
            </w:r>
          </w:p>
        </w:tc>
      </w:tr>
      <w:tr w:rsidR="002C661C" w:rsidRPr="00AA613E" w14:paraId="2CC26567" w14:textId="77777777" w:rsidTr="00726719">
        <w:tc>
          <w:tcPr>
            <w:tcW w:w="2268" w:type="dxa"/>
          </w:tcPr>
          <w:p w14:paraId="2AA1370E" w14:textId="30937A74" w:rsidR="002C661C" w:rsidRPr="00AA613E" w:rsidRDefault="002C661C" w:rsidP="00BC5355">
            <w:pPr>
              <w:pStyle w:val="Body"/>
              <w:rPr>
                <w:rFonts w:eastAsia="Times New Roman"/>
                <w:lang w:eastAsia="en-AU"/>
              </w:rPr>
            </w:pPr>
            <w:r>
              <w:rPr>
                <w:rFonts w:eastAsia="Times New Roman"/>
                <w:lang w:eastAsia="en-AU"/>
              </w:rPr>
              <w:t xml:space="preserve">Robustness (of </w:t>
            </w:r>
            <w:r w:rsidR="00854A1C">
              <w:rPr>
                <w:rFonts w:eastAsia="Times New Roman"/>
                <w:lang w:eastAsia="en-AU"/>
              </w:rPr>
              <w:t>model</w:t>
            </w:r>
            <w:r w:rsidR="00084CDD" w:rsidRPr="00A45100">
              <w:rPr>
                <w:rFonts w:eastAsia="Times New Roman"/>
                <w:strike/>
                <w:lang w:eastAsia="en-AU"/>
              </w:rPr>
              <w:t xml:space="preserve"> </w:t>
            </w:r>
            <w:r>
              <w:rPr>
                <w:rFonts w:eastAsia="Times New Roman"/>
                <w:lang w:eastAsia="en-AU"/>
              </w:rPr>
              <w:t>predictions)</w:t>
            </w:r>
          </w:p>
        </w:tc>
        <w:tc>
          <w:tcPr>
            <w:tcW w:w="6946" w:type="dxa"/>
          </w:tcPr>
          <w:p w14:paraId="05C9E0D1" w14:textId="4BD8775A" w:rsidR="00B26410" w:rsidRDefault="002C661C">
            <w:pPr>
              <w:pStyle w:val="Body"/>
              <w:rPr>
                <w:rFonts w:eastAsia="Times New Roman"/>
                <w:lang w:eastAsia="en-AU"/>
              </w:rPr>
            </w:pPr>
            <w:r>
              <w:rPr>
                <w:rFonts w:eastAsia="Times New Roman"/>
                <w:lang w:eastAsia="en-AU"/>
              </w:rPr>
              <w:t xml:space="preserve">Insensitivity </w:t>
            </w:r>
            <w:r w:rsidR="00B26410">
              <w:rPr>
                <w:rFonts w:eastAsia="Times New Roman"/>
                <w:lang w:eastAsia="en-AU"/>
              </w:rPr>
              <w:t xml:space="preserve">of model predictions </w:t>
            </w:r>
            <w:r>
              <w:rPr>
                <w:rFonts w:eastAsia="Times New Roman"/>
                <w:lang w:eastAsia="en-AU"/>
              </w:rPr>
              <w:t xml:space="preserve">to data outliers or other </w:t>
            </w:r>
            <w:r w:rsidR="0027336F">
              <w:rPr>
                <w:rFonts w:eastAsia="Times New Roman"/>
                <w:lang w:eastAsia="en-AU"/>
              </w:rPr>
              <w:t xml:space="preserve">small departures </w:t>
            </w:r>
            <w:r>
              <w:rPr>
                <w:rFonts w:eastAsia="Times New Roman"/>
                <w:lang w:eastAsia="en-AU"/>
              </w:rPr>
              <w:t>from assumptions</w:t>
            </w:r>
            <w:r w:rsidR="00123556">
              <w:rPr>
                <w:rFonts w:eastAsia="Times New Roman"/>
                <w:lang w:eastAsia="en-AU"/>
              </w:rPr>
              <w:t xml:space="preserve"> required by a predictive model</w:t>
            </w:r>
            <w:r>
              <w:rPr>
                <w:rFonts w:eastAsia="Times New Roman"/>
                <w:lang w:eastAsia="en-AU"/>
              </w:rPr>
              <w:t xml:space="preserve">, </w:t>
            </w:r>
            <w:r w:rsidR="0027336F">
              <w:rPr>
                <w:rFonts w:eastAsia="Times New Roman"/>
                <w:lang w:eastAsia="en-AU"/>
              </w:rPr>
              <w:t>including the type</w:t>
            </w:r>
            <w:r w:rsidR="005D58A6">
              <w:rPr>
                <w:rFonts w:eastAsia="Times New Roman"/>
                <w:lang w:eastAsia="en-AU"/>
              </w:rPr>
              <w:t>s</w:t>
            </w:r>
            <w:r w:rsidR="0027336F">
              <w:rPr>
                <w:rFonts w:eastAsia="Times New Roman"/>
                <w:lang w:eastAsia="en-AU"/>
              </w:rPr>
              <w:t xml:space="preserve"> of </w:t>
            </w:r>
            <w:r>
              <w:rPr>
                <w:rFonts w:eastAsia="Times New Roman"/>
                <w:lang w:eastAsia="en-AU"/>
              </w:rPr>
              <w:t>parametric distribution</w:t>
            </w:r>
            <w:r w:rsidR="005D58A6">
              <w:rPr>
                <w:rFonts w:eastAsia="Times New Roman"/>
                <w:lang w:eastAsia="en-AU"/>
              </w:rPr>
              <w:t>s</w:t>
            </w:r>
            <w:r w:rsidR="0027336F">
              <w:rPr>
                <w:rFonts w:eastAsia="Times New Roman"/>
                <w:lang w:eastAsia="en-AU"/>
              </w:rPr>
              <w:t xml:space="preserve"> assumed </w:t>
            </w:r>
          </w:p>
        </w:tc>
      </w:tr>
      <w:tr w:rsidR="00214AFB" w:rsidRPr="00AA613E" w14:paraId="7D16AE9C" w14:textId="77777777" w:rsidTr="00726719">
        <w:tc>
          <w:tcPr>
            <w:tcW w:w="2268" w:type="dxa"/>
          </w:tcPr>
          <w:p w14:paraId="38B8F217" w14:textId="77777777" w:rsidR="00214AFB" w:rsidRPr="00AA613E" w:rsidRDefault="00214AFB" w:rsidP="00B9544F">
            <w:pPr>
              <w:pStyle w:val="Body"/>
              <w:rPr>
                <w:rFonts w:eastAsia="Times New Roman"/>
                <w:lang w:eastAsia="en-AU"/>
              </w:rPr>
            </w:pPr>
            <w:r w:rsidRPr="00AA613E">
              <w:rPr>
                <w:rFonts w:eastAsia="Times New Roman"/>
                <w:lang w:eastAsia="en-AU"/>
              </w:rPr>
              <w:t>Saturated flow</w:t>
            </w:r>
          </w:p>
        </w:tc>
        <w:tc>
          <w:tcPr>
            <w:tcW w:w="6946" w:type="dxa"/>
          </w:tcPr>
          <w:p w14:paraId="2A2C35BF" w14:textId="77777777" w:rsidR="00214AFB" w:rsidRPr="00AA613E" w:rsidRDefault="00214AFB" w:rsidP="00B9544F">
            <w:pPr>
              <w:pStyle w:val="Body"/>
              <w:rPr>
                <w:rFonts w:eastAsia="Times New Roman"/>
                <w:lang w:eastAsia="en-AU"/>
              </w:rPr>
            </w:pPr>
            <w:r w:rsidRPr="00AA613E">
              <w:rPr>
                <w:rFonts w:eastAsia="Times New Roman"/>
                <w:lang w:eastAsia="en-AU"/>
              </w:rPr>
              <w:t>Flow through a porous medium (such as soil or rock) in which the void space within the porous medium is entirely occupied by water (as opposed to water and gas)</w:t>
            </w:r>
          </w:p>
        </w:tc>
      </w:tr>
      <w:tr w:rsidR="00214AFB" w:rsidRPr="00AA613E" w14:paraId="3FB87F2D" w14:textId="77777777" w:rsidTr="00726719">
        <w:tc>
          <w:tcPr>
            <w:tcW w:w="2268" w:type="dxa"/>
          </w:tcPr>
          <w:p w14:paraId="6A3588C9" w14:textId="77777777" w:rsidR="00214AFB" w:rsidRPr="00AA613E" w:rsidRDefault="00214AFB" w:rsidP="00B9544F">
            <w:pPr>
              <w:pStyle w:val="Body"/>
              <w:rPr>
                <w:rFonts w:eastAsia="Times New Roman"/>
                <w:lang w:eastAsia="en-AU"/>
              </w:rPr>
            </w:pPr>
            <w:r w:rsidRPr="00AA613E">
              <w:rPr>
                <w:rFonts w:eastAsia="Times New Roman"/>
                <w:lang w:eastAsia="en-AU"/>
              </w:rPr>
              <w:t>Single phase flow</w:t>
            </w:r>
          </w:p>
        </w:tc>
        <w:tc>
          <w:tcPr>
            <w:tcW w:w="6946" w:type="dxa"/>
          </w:tcPr>
          <w:p w14:paraId="22CD7970" w14:textId="77777777" w:rsidR="00214AFB" w:rsidRPr="00AA613E" w:rsidRDefault="00214AFB" w:rsidP="00F05A84">
            <w:pPr>
              <w:pStyle w:val="Body"/>
              <w:rPr>
                <w:rFonts w:eastAsia="Times New Roman"/>
                <w:lang w:eastAsia="en-AU"/>
              </w:rPr>
            </w:pPr>
            <w:r w:rsidRPr="00AA613E">
              <w:rPr>
                <w:rFonts w:eastAsia="Times New Roman"/>
                <w:lang w:eastAsia="en-AU"/>
              </w:rPr>
              <w:t>The flow of a single phase, e.g. liquid or gas</w:t>
            </w:r>
          </w:p>
        </w:tc>
      </w:tr>
      <w:tr w:rsidR="00214AFB" w:rsidRPr="00AA613E" w14:paraId="538CD756" w14:textId="77777777" w:rsidTr="00726719">
        <w:tc>
          <w:tcPr>
            <w:tcW w:w="2268" w:type="dxa"/>
          </w:tcPr>
          <w:p w14:paraId="23F3B1BF" w14:textId="77777777" w:rsidR="00214AFB" w:rsidRPr="00AA613E" w:rsidRDefault="00214AFB" w:rsidP="00B9544F">
            <w:pPr>
              <w:pStyle w:val="Body"/>
              <w:rPr>
                <w:rFonts w:eastAsia="Times New Roman"/>
                <w:lang w:eastAsia="en-AU"/>
              </w:rPr>
            </w:pPr>
            <w:r w:rsidRPr="00AA613E">
              <w:rPr>
                <w:rFonts w:eastAsia="Times New Roman"/>
                <w:lang w:eastAsia="en-AU"/>
              </w:rPr>
              <w:t>Solute</w:t>
            </w:r>
          </w:p>
        </w:tc>
        <w:tc>
          <w:tcPr>
            <w:tcW w:w="6946" w:type="dxa"/>
          </w:tcPr>
          <w:p w14:paraId="56F6C267" w14:textId="0FAF74F4" w:rsidR="00214AFB" w:rsidRPr="00AA613E" w:rsidRDefault="00214AFB" w:rsidP="00BC5355">
            <w:pPr>
              <w:pStyle w:val="Body"/>
              <w:rPr>
                <w:rFonts w:eastAsia="Times New Roman"/>
                <w:lang w:eastAsia="en-AU"/>
              </w:rPr>
            </w:pPr>
            <w:r w:rsidRPr="00AA613E">
              <w:rPr>
                <w:rFonts w:eastAsia="Times New Roman"/>
                <w:lang w:eastAsia="en-AU"/>
              </w:rPr>
              <w:t xml:space="preserve">The substance present in a solution in the smaller amount. </w:t>
            </w:r>
            <w:r w:rsidR="00BC5355">
              <w:rPr>
                <w:rFonts w:eastAsia="Times New Roman"/>
                <w:lang w:eastAsia="en-AU"/>
              </w:rPr>
              <w:t>However, f</w:t>
            </w:r>
            <w:r w:rsidRPr="00AA613E">
              <w:rPr>
                <w:rFonts w:eastAsia="Times New Roman"/>
                <w:lang w:eastAsia="en-AU"/>
              </w:rPr>
              <w:t xml:space="preserve">or convenience, water is generally considered the solvent </w:t>
            </w:r>
            <w:r w:rsidR="00BC5355">
              <w:rPr>
                <w:rFonts w:eastAsia="Times New Roman"/>
                <w:lang w:eastAsia="en-AU"/>
              </w:rPr>
              <w:t xml:space="preserve">(not the solute) </w:t>
            </w:r>
            <w:r w:rsidRPr="00AA613E">
              <w:rPr>
                <w:rFonts w:eastAsia="Times New Roman"/>
                <w:lang w:eastAsia="en-AU"/>
              </w:rPr>
              <w:t>even in concentrated solutions with water molecules in the minority</w:t>
            </w:r>
          </w:p>
        </w:tc>
      </w:tr>
      <w:tr w:rsidR="00214AFB" w:rsidRPr="00AA613E" w14:paraId="6BC2923A" w14:textId="77777777" w:rsidTr="00726719">
        <w:tc>
          <w:tcPr>
            <w:tcW w:w="2268" w:type="dxa"/>
          </w:tcPr>
          <w:p w14:paraId="5D2DE9FD" w14:textId="77777777" w:rsidR="00214AFB" w:rsidRPr="00AA613E" w:rsidRDefault="00214AFB" w:rsidP="00C270C5">
            <w:pPr>
              <w:pStyle w:val="Body"/>
              <w:rPr>
                <w:rFonts w:eastAsia="Times New Roman"/>
                <w:lang w:eastAsia="en-AU"/>
              </w:rPr>
            </w:pPr>
            <w:r w:rsidRPr="00180C00">
              <w:rPr>
                <w:rFonts w:eastAsia="Times New Roman"/>
                <w:lang w:eastAsia="en-AU"/>
              </w:rPr>
              <w:t>Spatial correlation</w:t>
            </w:r>
            <w:r w:rsidRPr="00AA613E">
              <w:rPr>
                <w:rFonts w:eastAsia="Times New Roman"/>
                <w:lang w:eastAsia="en-AU"/>
              </w:rPr>
              <w:t xml:space="preserve">  </w:t>
            </w:r>
          </w:p>
        </w:tc>
        <w:tc>
          <w:tcPr>
            <w:tcW w:w="6946" w:type="dxa"/>
          </w:tcPr>
          <w:p w14:paraId="45767064" w14:textId="77777777" w:rsidR="00214AFB" w:rsidRPr="00AA613E" w:rsidRDefault="00214AFB" w:rsidP="00B9544F">
            <w:pPr>
              <w:pStyle w:val="Body"/>
              <w:rPr>
                <w:rFonts w:eastAsia="Times New Roman"/>
                <w:lang w:eastAsia="en-AU"/>
              </w:rPr>
            </w:pPr>
            <w:r>
              <w:rPr>
                <w:rFonts w:eastAsia="Times New Roman"/>
                <w:lang w:eastAsia="en-AU"/>
              </w:rPr>
              <w:t>Spatial dependency (</w:t>
            </w:r>
            <w:r w:rsidR="0094146F">
              <w:rPr>
                <w:rFonts w:eastAsia="Times New Roman"/>
                <w:lang w:eastAsia="en-AU"/>
              </w:rPr>
              <w:t>or correlation) between samples</w:t>
            </w:r>
          </w:p>
        </w:tc>
      </w:tr>
      <w:tr w:rsidR="00214AFB" w:rsidRPr="00AA613E" w14:paraId="25D9C2AF" w14:textId="77777777" w:rsidTr="00726719">
        <w:tc>
          <w:tcPr>
            <w:tcW w:w="2268" w:type="dxa"/>
          </w:tcPr>
          <w:p w14:paraId="2270BC79" w14:textId="77777777" w:rsidR="00214AFB" w:rsidRPr="00AA613E" w:rsidRDefault="00214AFB" w:rsidP="00D2003B">
            <w:pPr>
              <w:pStyle w:val="Body"/>
              <w:rPr>
                <w:rFonts w:eastAsia="Times New Roman"/>
                <w:lang w:eastAsia="en-AU"/>
              </w:rPr>
            </w:pPr>
            <w:r w:rsidRPr="00180C00">
              <w:rPr>
                <w:rFonts w:eastAsia="Times New Roman"/>
                <w:lang w:eastAsia="en-AU"/>
              </w:rPr>
              <w:t>Spatial interpolation</w:t>
            </w:r>
            <w:r w:rsidRPr="00AA613E">
              <w:rPr>
                <w:rFonts w:eastAsia="Times New Roman"/>
                <w:lang w:eastAsia="en-AU"/>
              </w:rPr>
              <w:t xml:space="preserve">  </w:t>
            </w:r>
          </w:p>
        </w:tc>
        <w:tc>
          <w:tcPr>
            <w:tcW w:w="6946" w:type="dxa"/>
          </w:tcPr>
          <w:p w14:paraId="22D022F4" w14:textId="77777777" w:rsidR="00214AFB" w:rsidRPr="00AA613E" w:rsidRDefault="00214AFB" w:rsidP="0011542D">
            <w:pPr>
              <w:pStyle w:val="Body"/>
              <w:rPr>
                <w:rFonts w:eastAsia="Times New Roman"/>
                <w:lang w:eastAsia="en-AU"/>
              </w:rPr>
            </w:pPr>
            <w:r>
              <w:rPr>
                <w:rFonts w:eastAsia="Times New Roman"/>
                <w:lang w:eastAsia="en-AU"/>
              </w:rPr>
              <w:t>T</w:t>
            </w:r>
            <w:r w:rsidRPr="00180C00">
              <w:rPr>
                <w:rFonts w:eastAsia="Times New Roman"/>
                <w:lang w:eastAsia="en-AU"/>
              </w:rPr>
              <w:t>he procedure of estimating the value of properties at unsampled sites within the area covered by existing observations</w:t>
            </w:r>
          </w:p>
        </w:tc>
      </w:tr>
      <w:tr w:rsidR="00214AFB" w:rsidRPr="00AA613E" w14:paraId="1B27A523" w14:textId="77777777" w:rsidTr="00726719">
        <w:tc>
          <w:tcPr>
            <w:tcW w:w="2268" w:type="dxa"/>
          </w:tcPr>
          <w:p w14:paraId="2E0E7776" w14:textId="77777777" w:rsidR="00214AFB" w:rsidRPr="00AA613E" w:rsidRDefault="00214AFB" w:rsidP="00D2003B">
            <w:pPr>
              <w:pStyle w:val="Body"/>
              <w:rPr>
                <w:rFonts w:eastAsia="Times New Roman"/>
                <w:lang w:eastAsia="en-AU"/>
              </w:rPr>
            </w:pPr>
            <w:r w:rsidRPr="00AA613E">
              <w:rPr>
                <w:rFonts w:eastAsia="Times New Roman"/>
                <w:lang w:eastAsia="en-AU"/>
              </w:rPr>
              <w:t>Specific storage</w:t>
            </w:r>
          </w:p>
        </w:tc>
        <w:tc>
          <w:tcPr>
            <w:tcW w:w="6946" w:type="dxa"/>
          </w:tcPr>
          <w:p w14:paraId="7C09B312" w14:textId="77777777" w:rsidR="00214AFB" w:rsidRPr="00AA613E" w:rsidRDefault="00214AFB" w:rsidP="00C53A10">
            <w:pPr>
              <w:pStyle w:val="Body"/>
              <w:rPr>
                <w:rFonts w:eastAsia="Times New Roman"/>
                <w:lang w:eastAsia="en-AU"/>
              </w:rPr>
            </w:pPr>
            <w:r w:rsidRPr="00AA613E">
              <w:rPr>
                <w:rFonts w:eastAsia="Times New Roman"/>
                <w:lang w:eastAsia="en-AU"/>
              </w:rPr>
              <w:t>The volume of water released from a hydrostratigraphic unit under confined conditions due to a unit decrease in pressure head</w:t>
            </w:r>
          </w:p>
        </w:tc>
      </w:tr>
      <w:tr w:rsidR="00214AFB" w:rsidRPr="00AA613E" w14:paraId="5BB0248D" w14:textId="77777777" w:rsidTr="00A45100">
        <w:trPr>
          <w:trHeight w:val="1060"/>
        </w:trPr>
        <w:tc>
          <w:tcPr>
            <w:tcW w:w="2268" w:type="dxa"/>
          </w:tcPr>
          <w:p w14:paraId="5AF70342" w14:textId="77777777" w:rsidR="00214AFB" w:rsidRPr="00AA613E" w:rsidRDefault="00214AFB" w:rsidP="00D2003B">
            <w:pPr>
              <w:pStyle w:val="Body"/>
              <w:rPr>
                <w:rFonts w:eastAsia="Times New Roman"/>
                <w:lang w:eastAsia="en-AU"/>
              </w:rPr>
            </w:pPr>
            <w:r w:rsidRPr="00AA613E">
              <w:rPr>
                <w:rFonts w:eastAsia="Times New Roman"/>
                <w:lang w:eastAsia="en-AU"/>
              </w:rPr>
              <w:t>Specific yield</w:t>
            </w:r>
          </w:p>
        </w:tc>
        <w:tc>
          <w:tcPr>
            <w:tcW w:w="6946" w:type="dxa"/>
          </w:tcPr>
          <w:p w14:paraId="5144E91F" w14:textId="77777777" w:rsidR="00214AFB" w:rsidRPr="00AA613E" w:rsidRDefault="00214AFB" w:rsidP="00C53A10">
            <w:pPr>
              <w:pStyle w:val="Body"/>
              <w:rPr>
                <w:rFonts w:eastAsia="Times New Roman"/>
                <w:lang w:eastAsia="en-AU"/>
              </w:rPr>
            </w:pPr>
            <w:r w:rsidRPr="00AA613E">
              <w:rPr>
                <w:rFonts w:eastAsia="Times New Roman"/>
                <w:lang w:eastAsia="en-AU"/>
              </w:rPr>
              <w:t xml:space="preserve">The ratio of (a) the volume of water released from an  hydrostratigraphic unit under unconfined conditions due to a unit decrease in pressure head to (b) the total volume of the hydrostratigraphic unit </w:t>
            </w:r>
          </w:p>
        </w:tc>
      </w:tr>
      <w:tr w:rsidR="00430AC5" w:rsidRPr="00AA613E" w14:paraId="33E54E15" w14:textId="77777777" w:rsidTr="00726719">
        <w:tc>
          <w:tcPr>
            <w:tcW w:w="2268" w:type="dxa"/>
          </w:tcPr>
          <w:p w14:paraId="4A0A2153" w14:textId="0A319159" w:rsidR="00CA46B1" w:rsidRPr="00430AC5" w:rsidRDefault="00430AC5" w:rsidP="00430AC5">
            <w:pPr>
              <w:pStyle w:val="Body"/>
              <w:rPr>
                <w:rFonts w:eastAsia="Times New Roman"/>
                <w:lang w:eastAsia="en-AU"/>
              </w:rPr>
            </w:pPr>
            <w:r w:rsidRPr="00430AC5">
              <w:rPr>
                <w:rFonts w:eastAsia="Times New Roman"/>
                <w:lang w:eastAsia="en-AU"/>
              </w:rPr>
              <w:t>Stochastic</w:t>
            </w:r>
            <w:r w:rsidR="00B26410">
              <w:rPr>
                <w:rFonts w:eastAsia="Times New Roman"/>
                <w:lang w:eastAsia="en-AU"/>
              </w:rPr>
              <w:t xml:space="preserve"> process</w:t>
            </w:r>
          </w:p>
        </w:tc>
        <w:tc>
          <w:tcPr>
            <w:tcW w:w="6946" w:type="dxa"/>
          </w:tcPr>
          <w:p w14:paraId="195A2FB7" w14:textId="689A0A01" w:rsidR="00430AC5" w:rsidRPr="00430AC5" w:rsidRDefault="00B26410" w:rsidP="0011542D">
            <w:pPr>
              <w:pStyle w:val="Body"/>
              <w:rPr>
                <w:rFonts w:eastAsia="Times New Roman"/>
                <w:lang w:eastAsia="en-AU"/>
              </w:rPr>
            </w:pPr>
            <w:r w:rsidRPr="00A45100">
              <w:rPr>
                <w:shd w:val="clear" w:color="auto" w:fill="FFFFFF"/>
              </w:rPr>
              <w:t>Process characterised by</w:t>
            </w:r>
            <w:r w:rsidR="008E0E42" w:rsidRPr="00A45100">
              <w:rPr>
                <w:shd w:val="clear" w:color="auto" w:fill="FFFFFF"/>
              </w:rPr>
              <w:t xml:space="preserve"> a random probability distribution or pattern that may be analysed statistically but may not be predicted precisely</w:t>
            </w:r>
          </w:p>
        </w:tc>
      </w:tr>
      <w:tr w:rsidR="0011542D" w:rsidRPr="00AA613E" w14:paraId="0F4F0BDD" w14:textId="77777777" w:rsidTr="00726719">
        <w:tc>
          <w:tcPr>
            <w:tcW w:w="2268" w:type="dxa"/>
          </w:tcPr>
          <w:p w14:paraId="7EF143DB" w14:textId="798A207B" w:rsidR="0011542D" w:rsidRPr="00430AC5" w:rsidRDefault="0011542D" w:rsidP="00430AC5">
            <w:pPr>
              <w:pStyle w:val="Body"/>
              <w:rPr>
                <w:rFonts w:eastAsia="Times New Roman"/>
                <w:lang w:eastAsia="en-AU"/>
              </w:rPr>
            </w:pPr>
            <w:r>
              <w:rPr>
                <w:rFonts w:eastAsia="Times New Roman"/>
                <w:lang w:eastAsia="en-AU"/>
              </w:rPr>
              <w:t>Stochastic analysis</w:t>
            </w:r>
          </w:p>
        </w:tc>
        <w:tc>
          <w:tcPr>
            <w:tcW w:w="6946" w:type="dxa"/>
          </w:tcPr>
          <w:p w14:paraId="08C52CA9" w14:textId="77777777" w:rsidR="0011542D" w:rsidRDefault="0011542D" w:rsidP="008E0E42">
            <w:pPr>
              <w:pStyle w:val="Body"/>
              <w:rPr>
                <w:rFonts w:ascii="Arial" w:hAnsi="Arial" w:cs="Arial"/>
                <w:color w:val="222222"/>
                <w:shd w:val="clear" w:color="auto" w:fill="FFFFFF"/>
              </w:rPr>
            </w:pPr>
            <w:r w:rsidRPr="00430AC5">
              <w:rPr>
                <w:rFonts w:eastAsia="Times New Roman"/>
                <w:lang w:eastAsia="en-AU"/>
              </w:rPr>
              <w:t>A type of mathematical analysis that can be used to assess the uncertainty associated with models. It estimates the probability distribution of potential outcomes by allowing for random variation in one or more input parameters</w:t>
            </w:r>
          </w:p>
        </w:tc>
      </w:tr>
      <w:tr w:rsidR="00430AC5" w:rsidRPr="00AA613E" w14:paraId="3A891A4A" w14:textId="77777777" w:rsidTr="00726719">
        <w:tc>
          <w:tcPr>
            <w:tcW w:w="2268" w:type="dxa"/>
          </w:tcPr>
          <w:p w14:paraId="6686E72A" w14:textId="77777777" w:rsidR="00430AC5" w:rsidRPr="00AA613E" w:rsidRDefault="00430AC5" w:rsidP="00D2003B">
            <w:pPr>
              <w:pStyle w:val="Body"/>
              <w:rPr>
                <w:rFonts w:eastAsia="Times New Roman"/>
                <w:lang w:eastAsia="en-AU"/>
              </w:rPr>
            </w:pPr>
            <w:r w:rsidRPr="00AA613E">
              <w:rPr>
                <w:rFonts w:eastAsia="Times New Roman"/>
                <w:lang w:eastAsia="en-AU"/>
              </w:rPr>
              <w:t xml:space="preserve">Storativity </w:t>
            </w:r>
          </w:p>
        </w:tc>
        <w:tc>
          <w:tcPr>
            <w:tcW w:w="6946" w:type="dxa"/>
          </w:tcPr>
          <w:p w14:paraId="605F13D7" w14:textId="77777777" w:rsidR="00430AC5" w:rsidRPr="00AA613E" w:rsidRDefault="00430AC5" w:rsidP="00C53A10">
            <w:pPr>
              <w:pStyle w:val="Body"/>
              <w:rPr>
                <w:rFonts w:eastAsia="Times New Roman"/>
                <w:lang w:eastAsia="en-AU"/>
              </w:rPr>
            </w:pPr>
            <w:r w:rsidRPr="00AA613E">
              <w:rPr>
                <w:rFonts w:eastAsia="Times New Roman"/>
                <w:lang w:eastAsia="en-AU"/>
              </w:rPr>
              <w:t xml:space="preserve">The volume of water released from a hydrostratigraphic unit per unit surface area due to a unit decrease in pressure head. Under unconfined conditions, storativity is equal to specific yield. Under confined conditions, storativity is equal to the product of specific storage and the thickness of the hydrostratigraphic unit </w:t>
            </w:r>
          </w:p>
        </w:tc>
      </w:tr>
      <w:tr w:rsidR="00430AC5" w:rsidRPr="00AA613E" w14:paraId="4074928F" w14:textId="77777777" w:rsidTr="00726719">
        <w:tc>
          <w:tcPr>
            <w:tcW w:w="2268" w:type="dxa"/>
          </w:tcPr>
          <w:p w14:paraId="38C25409" w14:textId="77777777" w:rsidR="00430AC5" w:rsidRPr="00AA613E" w:rsidRDefault="00430AC5" w:rsidP="00D2003B">
            <w:pPr>
              <w:pStyle w:val="Body"/>
              <w:rPr>
                <w:rFonts w:eastAsia="Times New Roman"/>
                <w:lang w:eastAsia="en-AU"/>
              </w:rPr>
            </w:pPr>
            <w:r w:rsidRPr="00AA613E">
              <w:rPr>
                <w:rFonts w:eastAsia="Times New Roman"/>
                <w:lang w:eastAsia="en-AU"/>
              </w:rPr>
              <w:t xml:space="preserve">Stratigraphy </w:t>
            </w:r>
          </w:p>
        </w:tc>
        <w:tc>
          <w:tcPr>
            <w:tcW w:w="6946" w:type="dxa"/>
          </w:tcPr>
          <w:p w14:paraId="121EBE3B" w14:textId="77777777" w:rsidR="00430AC5" w:rsidRPr="00AA613E" w:rsidRDefault="00430AC5" w:rsidP="00B9544F">
            <w:pPr>
              <w:pStyle w:val="Body"/>
              <w:rPr>
                <w:rFonts w:eastAsia="Times New Roman"/>
                <w:lang w:eastAsia="en-AU"/>
              </w:rPr>
            </w:pPr>
            <w:r w:rsidRPr="00AA613E">
              <w:rPr>
                <w:rFonts w:eastAsia="Times New Roman"/>
                <w:lang w:eastAsia="en-AU"/>
              </w:rPr>
              <w:t>An arrangement of sedimentary, metamorphic and/or igneous rocks</w:t>
            </w:r>
          </w:p>
        </w:tc>
      </w:tr>
      <w:tr w:rsidR="00430AC5" w:rsidRPr="00AA613E" w14:paraId="4E43FC9C" w14:textId="77777777" w:rsidTr="00E4024B">
        <w:tc>
          <w:tcPr>
            <w:tcW w:w="2268" w:type="dxa"/>
          </w:tcPr>
          <w:p w14:paraId="53274978" w14:textId="77777777" w:rsidR="00430AC5" w:rsidRPr="00430AC5" w:rsidRDefault="00430AC5" w:rsidP="00430AC5">
            <w:pPr>
              <w:pStyle w:val="Body"/>
              <w:rPr>
                <w:rFonts w:eastAsia="Times New Roman"/>
                <w:lang w:eastAsia="en-AU"/>
              </w:rPr>
            </w:pPr>
            <w:r w:rsidRPr="00430AC5">
              <w:rPr>
                <w:rFonts w:eastAsia="Times New Roman"/>
                <w:lang w:eastAsia="en-AU"/>
              </w:rPr>
              <w:t>Subsidence</w:t>
            </w:r>
          </w:p>
        </w:tc>
        <w:tc>
          <w:tcPr>
            <w:tcW w:w="6946" w:type="dxa"/>
            <w:vAlign w:val="center"/>
          </w:tcPr>
          <w:p w14:paraId="253A7269" w14:textId="77777777" w:rsidR="00430AC5" w:rsidRPr="00430AC5" w:rsidRDefault="00430AC5" w:rsidP="00430AC5">
            <w:pPr>
              <w:pStyle w:val="Body"/>
              <w:rPr>
                <w:rFonts w:eastAsia="Times New Roman"/>
                <w:lang w:eastAsia="en-AU"/>
              </w:rPr>
            </w:pPr>
            <w:r w:rsidRPr="00430AC5">
              <w:rPr>
                <w:rFonts w:eastAsia="Times New Roman"/>
                <w:lang w:eastAsia="en-AU"/>
              </w:rPr>
              <w:t xml:space="preserve">Usually refers to </w:t>
            </w:r>
            <w:r w:rsidR="008E0E42">
              <w:rPr>
                <w:rFonts w:eastAsia="Times New Roman"/>
                <w:lang w:eastAsia="en-AU"/>
              </w:rPr>
              <w:t xml:space="preserve">downward </w:t>
            </w:r>
            <w:r w:rsidRPr="00430AC5">
              <w:rPr>
                <w:rFonts w:eastAsia="Times New Roman"/>
                <w:lang w:eastAsia="en-AU"/>
              </w:rPr>
              <w:t>vertical displacement of a point at or below the ground surface. However, the subsidence process actually includes both vertical and horizontal displacements. These horizontal displacements, in cases where subsidence is small, can be greater than the vertical displacement. Subsidence is usually expressed in units of millimetres</w:t>
            </w:r>
          </w:p>
        </w:tc>
      </w:tr>
      <w:tr w:rsidR="00FA1ADB" w:rsidRPr="00AA613E" w14:paraId="35C80266" w14:textId="77777777" w:rsidTr="00726719">
        <w:tc>
          <w:tcPr>
            <w:tcW w:w="2268" w:type="dxa"/>
          </w:tcPr>
          <w:p w14:paraId="213EDE0A" w14:textId="77777777" w:rsidR="00FA1ADB" w:rsidRPr="00AA613E" w:rsidRDefault="00FA1ADB" w:rsidP="00D2003B">
            <w:pPr>
              <w:pStyle w:val="Body"/>
              <w:rPr>
                <w:rFonts w:eastAsia="Times New Roman"/>
                <w:lang w:eastAsia="en-AU"/>
              </w:rPr>
            </w:pPr>
            <w:r>
              <w:rPr>
                <w:rFonts w:eastAsia="Times New Roman"/>
                <w:lang w:eastAsia="en-AU"/>
              </w:rPr>
              <w:t>Sustainable groundwater use</w:t>
            </w:r>
          </w:p>
        </w:tc>
        <w:tc>
          <w:tcPr>
            <w:tcW w:w="6946" w:type="dxa"/>
          </w:tcPr>
          <w:p w14:paraId="03D8F8A8" w14:textId="4EFF9973" w:rsidR="00FA1ADB" w:rsidRPr="006A3BC8" w:rsidRDefault="00BC5355" w:rsidP="00BC5355">
            <w:pPr>
              <w:pStyle w:val="Body"/>
              <w:rPr>
                <w:rFonts w:eastAsia="Times New Roman"/>
                <w:lang w:eastAsia="en-AU"/>
              </w:rPr>
            </w:pPr>
            <w:r>
              <w:rPr>
                <w:rFonts w:eastAsia="Times New Roman"/>
                <w:lang w:eastAsia="en-AU"/>
              </w:rPr>
              <w:t>The groundwater extraction regime, measured over a specified planning timeframe, that allows acceptable levels of stress and protects dependent economic, social, and environmental values</w:t>
            </w:r>
          </w:p>
        </w:tc>
      </w:tr>
      <w:tr w:rsidR="00430AC5" w:rsidRPr="00AA613E" w14:paraId="3BBA00E8" w14:textId="77777777" w:rsidTr="00726719">
        <w:tc>
          <w:tcPr>
            <w:tcW w:w="2268" w:type="dxa"/>
          </w:tcPr>
          <w:p w14:paraId="5510D3D4" w14:textId="77777777" w:rsidR="00430AC5" w:rsidRPr="00AA613E" w:rsidRDefault="00430AC5" w:rsidP="00D2003B">
            <w:pPr>
              <w:pStyle w:val="Body"/>
              <w:rPr>
                <w:rFonts w:eastAsia="Times New Roman"/>
                <w:lang w:eastAsia="en-AU"/>
              </w:rPr>
            </w:pPr>
            <w:r w:rsidRPr="00AA613E">
              <w:rPr>
                <w:rFonts w:eastAsia="Times New Roman"/>
                <w:lang w:eastAsia="en-AU"/>
              </w:rPr>
              <w:t xml:space="preserve">Transmissibility  </w:t>
            </w:r>
          </w:p>
        </w:tc>
        <w:tc>
          <w:tcPr>
            <w:tcW w:w="6946" w:type="dxa"/>
          </w:tcPr>
          <w:p w14:paraId="019B3E84" w14:textId="77777777" w:rsidR="00430AC5" w:rsidRPr="00AA613E" w:rsidRDefault="006A3BC8" w:rsidP="006A3BC8">
            <w:pPr>
              <w:pStyle w:val="Body"/>
              <w:rPr>
                <w:rFonts w:eastAsia="Times New Roman"/>
                <w:lang w:eastAsia="en-AU"/>
              </w:rPr>
            </w:pPr>
            <w:r w:rsidRPr="006A3BC8">
              <w:rPr>
                <w:rFonts w:eastAsia="Times New Roman"/>
                <w:lang w:eastAsia="en-AU"/>
              </w:rPr>
              <w:t>Synonym for transmissivity. The hydraulic conductivity of an aquifer multiplied by the thickness of that unit</w:t>
            </w:r>
          </w:p>
        </w:tc>
      </w:tr>
      <w:tr w:rsidR="00430AC5" w:rsidRPr="00AA613E" w14:paraId="1238CD8C" w14:textId="77777777" w:rsidTr="00726719">
        <w:tc>
          <w:tcPr>
            <w:tcW w:w="2268" w:type="dxa"/>
          </w:tcPr>
          <w:p w14:paraId="69C18B89" w14:textId="77777777" w:rsidR="00430AC5" w:rsidRPr="00AA613E" w:rsidRDefault="00430AC5" w:rsidP="00D2003B">
            <w:pPr>
              <w:pStyle w:val="Body"/>
              <w:rPr>
                <w:rFonts w:eastAsia="Times New Roman"/>
                <w:lang w:eastAsia="en-AU"/>
              </w:rPr>
            </w:pPr>
            <w:r w:rsidRPr="00FF4A67">
              <w:rPr>
                <w:rFonts w:eastAsia="Times New Roman"/>
                <w:lang w:eastAsia="en-AU"/>
              </w:rPr>
              <w:t>Transmissibility multiplier</w:t>
            </w:r>
            <w:r w:rsidRPr="00AA613E">
              <w:rPr>
                <w:rFonts w:eastAsia="Times New Roman"/>
                <w:lang w:eastAsia="en-AU"/>
              </w:rPr>
              <w:t xml:space="preserve">  </w:t>
            </w:r>
          </w:p>
        </w:tc>
        <w:tc>
          <w:tcPr>
            <w:tcW w:w="6946" w:type="dxa"/>
          </w:tcPr>
          <w:p w14:paraId="41130878" w14:textId="77777777" w:rsidR="00430AC5" w:rsidRPr="00AA613E" w:rsidRDefault="00430AC5" w:rsidP="00FF4A67">
            <w:pPr>
              <w:pStyle w:val="Body"/>
              <w:rPr>
                <w:rFonts w:eastAsia="Times New Roman"/>
                <w:lang w:eastAsia="en-AU"/>
              </w:rPr>
            </w:pPr>
            <w:r>
              <w:rPr>
                <w:rFonts w:eastAsia="Times New Roman"/>
                <w:lang w:eastAsia="en-AU"/>
              </w:rPr>
              <w:t>T</w:t>
            </w:r>
            <w:r w:rsidRPr="00FF4A67">
              <w:rPr>
                <w:rFonts w:eastAsia="Times New Roman"/>
                <w:lang w:eastAsia="en-AU"/>
              </w:rPr>
              <w:t>ransmissibility multipliers account for the reduced or increased permeability for each cross-fault connection</w:t>
            </w:r>
          </w:p>
        </w:tc>
      </w:tr>
      <w:tr w:rsidR="00430AC5" w:rsidRPr="00AA613E" w14:paraId="20DC025D" w14:textId="77777777" w:rsidTr="00726719">
        <w:tc>
          <w:tcPr>
            <w:tcW w:w="2268" w:type="dxa"/>
          </w:tcPr>
          <w:p w14:paraId="28322131" w14:textId="77777777" w:rsidR="00430AC5" w:rsidRPr="00AA613E" w:rsidRDefault="00430AC5" w:rsidP="00D2003B">
            <w:pPr>
              <w:pStyle w:val="Body"/>
              <w:rPr>
                <w:rFonts w:eastAsia="Times New Roman"/>
                <w:lang w:eastAsia="en-AU"/>
              </w:rPr>
            </w:pPr>
            <w:r w:rsidRPr="00AA613E">
              <w:rPr>
                <w:rFonts w:eastAsia="Times New Roman"/>
                <w:lang w:eastAsia="en-AU"/>
              </w:rPr>
              <w:t xml:space="preserve">Transmissivity </w:t>
            </w:r>
          </w:p>
        </w:tc>
        <w:tc>
          <w:tcPr>
            <w:tcW w:w="6946" w:type="dxa"/>
          </w:tcPr>
          <w:p w14:paraId="26302A85" w14:textId="77777777" w:rsidR="00430AC5" w:rsidRPr="00AA613E" w:rsidRDefault="00430AC5" w:rsidP="00C53A10">
            <w:pPr>
              <w:pStyle w:val="Body"/>
              <w:rPr>
                <w:rFonts w:eastAsia="Times New Roman"/>
                <w:lang w:eastAsia="en-AU"/>
              </w:rPr>
            </w:pPr>
            <w:r w:rsidRPr="00AA613E">
              <w:rPr>
                <w:rFonts w:eastAsia="Times New Roman"/>
                <w:lang w:eastAsia="en-AU"/>
              </w:rPr>
              <w:t>The rate at which a fluid is transmitted through a unit width of a hydrostratigraphic unit under a hydraulic gradient</w:t>
            </w:r>
          </w:p>
        </w:tc>
      </w:tr>
      <w:tr w:rsidR="00430AC5" w:rsidRPr="00AA613E" w14:paraId="4A60194B" w14:textId="77777777" w:rsidTr="00726719">
        <w:tc>
          <w:tcPr>
            <w:tcW w:w="2268" w:type="dxa"/>
          </w:tcPr>
          <w:p w14:paraId="33537FA7" w14:textId="77777777" w:rsidR="00430AC5" w:rsidRPr="00AA613E" w:rsidRDefault="00430AC5" w:rsidP="00D2003B">
            <w:pPr>
              <w:pStyle w:val="Body"/>
              <w:rPr>
                <w:rFonts w:eastAsia="Times New Roman"/>
                <w:lang w:eastAsia="en-AU"/>
              </w:rPr>
            </w:pPr>
            <w:r w:rsidRPr="00AA613E">
              <w:rPr>
                <w:rFonts w:eastAsia="Times New Roman"/>
                <w:lang w:eastAsia="en-AU"/>
              </w:rPr>
              <w:t>Unconfined aquifer</w:t>
            </w:r>
          </w:p>
        </w:tc>
        <w:tc>
          <w:tcPr>
            <w:tcW w:w="6946" w:type="dxa"/>
          </w:tcPr>
          <w:p w14:paraId="255509A7" w14:textId="77777777" w:rsidR="00430AC5" w:rsidRPr="00AA613E" w:rsidRDefault="00430AC5" w:rsidP="002E7E2B">
            <w:pPr>
              <w:pStyle w:val="Body"/>
              <w:rPr>
                <w:rFonts w:eastAsia="Times New Roman"/>
                <w:lang w:eastAsia="en-AU"/>
              </w:rPr>
            </w:pPr>
            <w:r w:rsidRPr="00AA613E">
              <w:rPr>
                <w:rFonts w:eastAsia="Times New Roman"/>
                <w:lang w:eastAsia="en-AU"/>
              </w:rPr>
              <w:t>An aquifer in which there are no confining beds between the zone of saturation and land surface</w:t>
            </w:r>
          </w:p>
        </w:tc>
      </w:tr>
      <w:tr w:rsidR="00430AC5" w:rsidRPr="00AA613E" w14:paraId="4FEA7616" w14:textId="77777777" w:rsidTr="00726719">
        <w:tc>
          <w:tcPr>
            <w:tcW w:w="2268" w:type="dxa"/>
          </w:tcPr>
          <w:p w14:paraId="63B732FA" w14:textId="77777777" w:rsidR="00430AC5" w:rsidRPr="00AA613E" w:rsidRDefault="00430AC5" w:rsidP="00B9544F">
            <w:pPr>
              <w:pStyle w:val="Body"/>
              <w:rPr>
                <w:rFonts w:eastAsia="Times New Roman"/>
                <w:lang w:eastAsia="en-AU"/>
              </w:rPr>
            </w:pPr>
            <w:r w:rsidRPr="00AA613E">
              <w:rPr>
                <w:rFonts w:eastAsia="Times New Roman"/>
                <w:lang w:eastAsia="en-AU"/>
              </w:rPr>
              <w:t>Unconventional gas</w:t>
            </w:r>
          </w:p>
        </w:tc>
        <w:tc>
          <w:tcPr>
            <w:tcW w:w="6946" w:type="dxa"/>
          </w:tcPr>
          <w:p w14:paraId="062B8DC5" w14:textId="77777777" w:rsidR="00430AC5" w:rsidRPr="00AA613E" w:rsidRDefault="00430AC5" w:rsidP="00C23CFC">
            <w:pPr>
              <w:pStyle w:val="Body"/>
              <w:rPr>
                <w:rFonts w:eastAsia="Times New Roman"/>
                <w:lang w:eastAsia="en-AU"/>
              </w:rPr>
            </w:pPr>
            <w:r w:rsidRPr="00C23CFC">
              <w:rPr>
                <w:rFonts w:eastAsia="Times New Roman"/>
                <w:lang w:eastAsia="en-AU"/>
              </w:rPr>
              <w:t xml:space="preserve">Natural gas found in a very low permeability rock, such as </w:t>
            </w:r>
            <w:r w:rsidR="00C23CFC" w:rsidRPr="00C23CFC">
              <w:rPr>
                <w:rFonts w:eastAsia="Times New Roman"/>
                <w:lang w:eastAsia="en-AU"/>
              </w:rPr>
              <w:t>coal seam gas</w:t>
            </w:r>
            <w:r w:rsidR="00C23CFC">
              <w:rPr>
                <w:rFonts w:eastAsia="Times New Roman"/>
                <w:lang w:eastAsia="en-AU"/>
              </w:rPr>
              <w:t>,</w:t>
            </w:r>
            <w:r w:rsidR="00C23CFC" w:rsidRPr="00C23CFC">
              <w:rPr>
                <w:rFonts w:eastAsia="Times New Roman"/>
                <w:lang w:eastAsia="en-AU"/>
              </w:rPr>
              <w:t xml:space="preserve"> </w:t>
            </w:r>
            <w:r w:rsidRPr="00C23CFC">
              <w:rPr>
                <w:rFonts w:eastAsia="Times New Roman"/>
                <w:lang w:eastAsia="en-AU"/>
              </w:rPr>
              <w:t>shale gas</w:t>
            </w:r>
            <w:r w:rsidR="00C23CFC">
              <w:rPr>
                <w:rFonts w:eastAsia="Times New Roman"/>
                <w:lang w:eastAsia="en-AU"/>
              </w:rPr>
              <w:t>, and tight</w:t>
            </w:r>
            <w:r w:rsidRPr="00C23CFC">
              <w:rPr>
                <w:rFonts w:eastAsia="Times New Roman"/>
                <w:lang w:eastAsia="en-AU"/>
              </w:rPr>
              <w:t xml:space="preserve"> </w:t>
            </w:r>
            <w:r w:rsidR="00C23CFC">
              <w:rPr>
                <w:rFonts w:eastAsia="Times New Roman"/>
                <w:lang w:eastAsia="en-AU"/>
              </w:rPr>
              <w:t>gas</w:t>
            </w:r>
            <w:r w:rsidR="00213159" w:rsidRPr="00C23CFC">
              <w:rPr>
                <w:rFonts w:eastAsia="Times New Roman"/>
                <w:lang w:eastAsia="en-AU"/>
              </w:rPr>
              <w:t>.</w:t>
            </w:r>
            <w:r w:rsidR="00213159" w:rsidRPr="00B0541A">
              <w:t xml:space="preserve"> Unconventional gas </w:t>
            </w:r>
            <w:r w:rsidR="00C23CFC">
              <w:t xml:space="preserve">such as coal seam gas </w:t>
            </w:r>
            <w:r w:rsidR="00213159" w:rsidRPr="00B0541A">
              <w:t>is trapped in coal beds by adsorption of the gas molecules to the internal surfaces of coal</w:t>
            </w:r>
            <w:r w:rsidR="00213159">
              <w:t>.</w:t>
            </w:r>
            <w:r w:rsidR="00213159" w:rsidRPr="00B0541A">
              <w:t xml:space="preserve"> </w:t>
            </w:r>
            <w:r w:rsidR="00213159">
              <w:t>It</w:t>
            </w:r>
            <w:r w:rsidR="00213159" w:rsidRPr="00B0541A">
              <w:t xml:space="preserve"> cannot migrate to a trap and form a conventional gas deposit. </w:t>
            </w:r>
            <w:r w:rsidR="00213159">
              <w:t>This distinguishes it from c</w:t>
            </w:r>
            <w:r w:rsidR="00213159" w:rsidRPr="00B0541A">
              <w:t>onventional gas resources</w:t>
            </w:r>
            <w:r w:rsidR="00213159">
              <w:t>, which</w:t>
            </w:r>
            <w:r w:rsidR="00213159" w:rsidRPr="00B0541A">
              <w:t xml:space="preserve"> occur as discrete accumulations in traps formed by folds and other structures in sedimentary layers</w:t>
            </w:r>
          </w:p>
        </w:tc>
      </w:tr>
      <w:tr w:rsidR="00430AC5" w:rsidRPr="00AA613E" w14:paraId="4403F8D7" w14:textId="77777777" w:rsidTr="00726719">
        <w:tc>
          <w:tcPr>
            <w:tcW w:w="2268" w:type="dxa"/>
          </w:tcPr>
          <w:p w14:paraId="70C11AAF" w14:textId="77777777" w:rsidR="00430AC5" w:rsidRPr="00935D49" w:rsidRDefault="00430AC5" w:rsidP="00B9544F">
            <w:pPr>
              <w:pStyle w:val="Body"/>
              <w:rPr>
                <w:rFonts w:eastAsia="Times New Roman"/>
                <w:highlight w:val="green"/>
                <w:lang w:eastAsia="en-AU"/>
              </w:rPr>
            </w:pPr>
            <w:r w:rsidRPr="00FF4A67">
              <w:rPr>
                <w:rFonts w:eastAsia="Times New Roman"/>
                <w:lang w:eastAsia="en-AU"/>
              </w:rPr>
              <w:t>Unimodal distribution</w:t>
            </w:r>
          </w:p>
        </w:tc>
        <w:tc>
          <w:tcPr>
            <w:tcW w:w="6946" w:type="dxa"/>
          </w:tcPr>
          <w:p w14:paraId="3B298C9B" w14:textId="44334CDB" w:rsidR="00430AC5" w:rsidRPr="00AA613E" w:rsidRDefault="00430AC5" w:rsidP="00FF4A67">
            <w:pPr>
              <w:pStyle w:val="Body"/>
              <w:rPr>
                <w:rFonts w:eastAsia="Times New Roman"/>
                <w:lang w:eastAsia="en-AU"/>
              </w:rPr>
            </w:pPr>
            <w:r>
              <w:rPr>
                <w:rFonts w:eastAsia="Times New Roman"/>
                <w:lang w:eastAsia="en-AU"/>
              </w:rPr>
              <w:t>A</w:t>
            </w:r>
            <w:r w:rsidRPr="00FF4A67">
              <w:rPr>
                <w:rFonts w:eastAsia="Times New Roman"/>
                <w:lang w:eastAsia="en-AU"/>
              </w:rPr>
              <w:t xml:space="preserve"> probability distr</w:t>
            </w:r>
            <w:r w:rsidR="00AE5A01">
              <w:rPr>
                <w:rFonts w:eastAsia="Times New Roman"/>
                <w:lang w:eastAsia="en-AU"/>
              </w:rPr>
              <w:t>ibution which has a single mode</w:t>
            </w:r>
          </w:p>
        </w:tc>
      </w:tr>
      <w:tr w:rsidR="00430AC5" w:rsidRPr="00AA613E" w14:paraId="73C4F3DC" w14:textId="77777777" w:rsidTr="00726719">
        <w:tc>
          <w:tcPr>
            <w:tcW w:w="2268" w:type="dxa"/>
          </w:tcPr>
          <w:p w14:paraId="676E2479" w14:textId="77777777" w:rsidR="00430AC5" w:rsidRPr="00935D49" w:rsidRDefault="00430AC5" w:rsidP="00B9544F">
            <w:pPr>
              <w:pStyle w:val="Body"/>
              <w:rPr>
                <w:rFonts w:eastAsia="Times New Roman"/>
                <w:highlight w:val="green"/>
                <w:lang w:eastAsia="en-AU"/>
              </w:rPr>
            </w:pPr>
            <w:r w:rsidRPr="00180C00">
              <w:rPr>
                <w:rFonts w:eastAsia="Times New Roman"/>
                <w:lang w:eastAsia="en-AU"/>
              </w:rPr>
              <w:t xml:space="preserve">Unlithified rock </w:t>
            </w:r>
          </w:p>
        </w:tc>
        <w:tc>
          <w:tcPr>
            <w:tcW w:w="6946" w:type="dxa"/>
          </w:tcPr>
          <w:p w14:paraId="077A2408" w14:textId="77777777" w:rsidR="00430AC5" w:rsidRPr="00AA613E" w:rsidRDefault="00430AC5" w:rsidP="00180C00">
            <w:pPr>
              <w:pStyle w:val="Body"/>
              <w:rPr>
                <w:rFonts w:eastAsia="Times New Roman"/>
                <w:lang w:eastAsia="en-AU"/>
              </w:rPr>
            </w:pPr>
            <w:r>
              <w:rPr>
                <w:rFonts w:eastAsia="Times New Roman"/>
                <w:lang w:eastAsia="en-AU"/>
              </w:rPr>
              <w:t>S</w:t>
            </w:r>
            <w:r w:rsidRPr="00180C00">
              <w:rPr>
                <w:rFonts w:eastAsia="Times New Roman"/>
                <w:lang w:eastAsia="en-AU"/>
              </w:rPr>
              <w:t>oft sediments that have little strength and</w:t>
            </w:r>
            <w:r w:rsidR="0094146F">
              <w:rPr>
                <w:rFonts w:eastAsia="Times New Roman"/>
                <w:lang w:eastAsia="en-AU"/>
              </w:rPr>
              <w:t xml:space="preserve"> are readily deformed under </w:t>
            </w:r>
            <w:r w:rsidRPr="00180C00">
              <w:rPr>
                <w:rFonts w:eastAsia="Times New Roman"/>
                <w:lang w:eastAsia="en-AU"/>
              </w:rPr>
              <w:t>pressure</w:t>
            </w:r>
          </w:p>
        </w:tc>
      </w:tr>
      <w:tr w:rsidR="00430AC5" w:rsidRPr="00AA613E" w14:paraId="547C4DBE" w14:textId="77777777" w:rsidTr="00726719">
        <w:tc>
          <w:tcPr>
            <w:tcW w:w="2268" w:type="dxa"/>
          </w:tcPr>
          <w:p w14:paraId="65CC3E86" w14:textId="77777777" w:rsidR="00430AC5" w:rsidRPr="00935D49" w:rsidRDefault="00430AC5" w:rsidP="00B9544F">
            <w:pPr>
              <w:pStyle w:val="Body"/>
              <w:rPr>
                <w:rFonts w:eastAsia="Times New Roman"/>
                <w:highlight w:val="green"/>
                <w:lang w:eastAsia="en-AU"/>
              </w:rPr>
            </w:pPr>
            <w:r w:rsidRPr="00180C00">
              <w:rPr>
                <w:rFonts w:eastAsia="Times New Roman"/>
                <w:lang w:eastAsia="en-AU"/>
              </w:rPr>
              <w:t>Upscaling</w:t>
            </w:r>
            <w:r w:rsidRPr="00935D49">
              <w:rPr>
                <w:rFonts w:eastAsia="Times New Roman"/>
                <w:highlight w:val="green"/>
                <w:lang w:eastAsia="en-AU"/>
              </w:rPr>
              <w:t xml:space="preserve"> </w:t>
            </w:r>
          </w:p>
        </w:tc>
        <w:tc>
          <w:tcPr>
            <w:tcW w:w="6946" w:type="dxa"/>
          </w:tcPr>
          <w:p w14:paraId="67878167" w14:textId="77777777" w:rsidR="00EA4811" w:rsidRPr="00AA613E" w:rsidRDefault="00430AC5" w:rsidP="00EA4811">
            <w:pPr>
              <w:pStyle w:val="Body"/>
              <w:rPr>
                <w:rFonts w:eastAsia="Times New Roman"/>
                <w:lang w:eastAsia="en-AU"/>
              </w:rPr>
            </w:pPr>
            <w:r>
              <w:rPr>
                <w:rFonts w:eastAsia="Times New Roman"/>
                <w:lang w:eastAsia="en-AU"/>
              </w:rPr>
              <w:t>Upscaling is the process of transforming the detailed description of hydraulic parameters in a grid constructed a</w:t>
            </w:r>
            <w:r w:rsidR="00EA4811">
              <w:rPr>
                <w:rFonts w:eastAsia="Times New Roman"/>
                <w:lang w:eastAsia="en-AU"/>
              </w:rPr>
              <w:t>t</w:t>
            </w:r>
            <w:r>
              <w:rPr>
                <w:rFonts w:eastAsia="Times New Roman"/>
                <w:lang w:eastAsia="en-AU"/>
              </w:rPr>
              <w:t xml:space="preserve"> measurement scale to a coarser grid with less detailed description.</w:t>
            </w:r>
            <w:r w:rsidR="00EA4811">
              <w:rPr>
                <w:rFonts w:eastAsia="Times New Roman"/>
                <w:lang w:eastAsia="en-AU"/>
              </w:rPr>
              <w:t xml:space="preserve"> </w:t>
            </w:r>
            <w:r w:rsidR="00EA4811" w:rsidRPr="00EA4811">
              <w:rPr>
                <w:rFonts w:eastAsia="Times New Roman"/>
                <w:lang w:eastAsia="en-AU"/>
              </w:rPr>
              <w:t>It replaces a heterogeneous domain with a homogeneous</w:t>
            </w:r>
            <w:r w:rsidR="00EA4811">
              <w:rPr>
                <w:rFonts w:eastAsia="Times New Roman"/>
                <w:lang w:eastAsia="en-AU"/>
              </w:rPr>
              <w:t xml:space="preserve"> </w:t>
            </w:r>
            <w:r w:rsidR="00EA4811" w:rsidRPr="00EA4811">
              <w:rPr>
                <w:rFonts w:eastAsia="Times New Roman"/>
                <w:lang w:eastAsia="en-AU"/>
              </w:rPr>
              <w:t xml:space="preserve">one in such a </w:t>
            </w:r>
            <w:r w:rsidR="00EA4811">
              <w:rPr>
                <w:rFonts w:eastAsia="Times New Roman"/>
                <w:lang w:eastAsia="en-AU"/>
              </w:rPr>
              <w:t>way</w:t>
            </w:r>
            <w:r w:rsidR="00EA4811" w:rsidRPr="00EA4811">
              <w:rPr>
                <w:rFonts w:eastAsia="Times New Roman"/>
                <w:lang w:eastAsia="en-AU"/>
              </w:rPr>
              <w:t xml:space="preserve"> that both domains produce the same response under some upscaled boundary conditions</w:t>
            </w:r>
          </w:p>
        </w:tc>
      </w:tr>
      <w:tr w:rsidR="00D72C22" w:rsidRPr="00AA613E" w14:paraId="64FCA5BF" w14:textId="77777777" w:rsidTr="00726719">
        <w:tc>
          <w:tcPr>
            <w:tcW w:w="2268" w:type="dxa"/>
          </w:tcPr>
          <w:p w14:paraId="3FBF5F7E" w14:textId="77777777" w:rsidR="005574E1" w:rsidRDefault="00D72C22">
            <w:pPr>
              <w:pStyle w:val="Body"/>
              <w:rPr>
                <w:rFonts w:eastAsia="Times New Roman"/>
                <w:lang w:eastAsia="en-AU"/>
              </w:rPr>
            </w:pPr>
            <w:r>
              <w:rPr>
                <w:rFonts w:eastAsia="Times New Roman"/>
                <w:lang w:eastAsia="en-AU"/>
              </w:rPr>
              <w:t>Vadose zone</w:t>
            </w:r>
          </w:p>
        </w:tc>
        <w:tc>
          <w:tcPr>
            <w:tcW w:w="6946" w:type="dxa"/>
          </w:tcPr>
          <w:p w14:paraId="2BBF4D13" w14:textId="77777777" w:rsidR="00D72C22" w:rsidRPr="00AA613E" w:rsidRDefault="00E0632E" w:rsidP="00E0632E">
            <w:pPr>
              <w:pStyle w:val="Body"/>
              <w:rPr>
                <w:rFonts w:eastAsia="Times New Roman"/>
                <w:lang w:eastAsia="en-AU"/>
              </w:rPr>
            </w:pPr>
            <w:r>
              <w:rPr>
                <w:rFonts w:eastAsia="Times New Roman"/>
                <w:lang w:eastAsia="en-AU"/>
              </w:rPr>
              <w:t>T</w:t>
            </w:r>
            <w:r w:rsidRPr="00E0632E">
              <w:rPr>
                <w:rFonts w:eastAsia="Times New Roman"/>
                <w:lang w:eastAsia="en-AU"/>
              </w:rPr>
              <w:t xml:space="preserve">he part of </w:t>
            </w:r>
            <w:r>
              <w:rPr>
                <w:rFonts w:eastAsia="Times New Roman"/>
                <w:lang w:eastAsia="en-AU"/>
              </w:rPr>
              <w:t xml:space="preserve">the </w:t>
            </w:r>
            <w:r w:rsidRPr="00E0632E">
              <w:rPr>
                <w:rFonts w:eastAsia="Times New Roman"/>
                <w:lang w:eastAsia="en-AU"/>
              </w:rPr>
              <w:t xml:space="preserve">Earth </w:t>
            </w:r>
            <w:r>
              <w:rPr>
                <w:rFonts w:eastAsia="Times New Roman"/>
                <w:lang w:eastAsia="en-AU"/>
              </w:rPr>
              <w:t xml:space="preserve">located </w:t>
            </w:r>
            <w:r w:rsidRPr="00E0632E">
              <w:rPr>
                <w:rFonts w:eastAsia="Times New Roman"/>
                <w:lang w:eastAsia="en-AU"/>
              </w:rPr>
              <w:t xml:space="preserve">between the land surface and the top of the </w:t>
            </w:r>
            <w:r>
              <w:rPr>
                <w:rFonts w:eastAsia="Times New Roman"/>
                <w:lang w:eastAsia="en-AU"/>
              </w:rPr>
              <w:t xml:space="preserve">saturated </w:t>
            </w:r>
            <w:r w:rsidRPr="00E0632E">
              <w:rPr>
                <w:rFonts w:eastAsia="Times New Roman"/>
                <w:lang w:eastAsia="en-AU"/>
              </w:rPr>
              <w:t>zone</w:t>
            </w:r>
            <w:r>
              <w:rPr>
                <w:rFonts w:eastAsia="Times New Roman"/>
                <w:lang w:eastAsia="en-AU"/>
              </w:rPr>
              <w:t>;</w:t>
            </w:r>
            <w:r w:rsidRPr="00E0632E">
              <w:rPr>
                <w:rFonts w:eastAsia="Times New Roman"/>
                <w:lang w:eastAsia="en-AU"/>
              </w:rPr>
              <w:t xml:space="preserve"> i.e.</w:t>
            </w:r>
            <w:r>
              <w:rPr>
                <w:rFonts w:eastAsia="Times New Roman"/>
                <w:lang w:eastAsia="en-AU"/>
              </w:rPr>
              <w:t>,</w:t>
            </w:r>
            <w:r w:rsidRPr="00E0632E">
              <w:rPr>
                <w:rFonts w:eastAsia="Times New Roman"/>
                <w:lang w:eastAsia="en-AU"/>
              </w:rPr>
              <w:t xml:space="preserve"> the position at which groundwater </w:t>
            </w:r>
            <w:r>
              <w:rPr>
                <w:rFonts w:eastAsia="Times New Roman"/>
                <w:lang w:eastAsia="en-AU"/>
              </w:rPr>
              <w:t xml:space="preserve">pore pressure </w:t>
            </w:r>
            <w:r w:rsidRPr="00E0632E">
              <w:rPr>
                <w:rFonts w:eastAsia="Times New Roman"/>
                <w:lang w:eastAsia="en-AU"/>
              </w:rPr>
              <w:t xml:space="preserve">is </w:t>
            </w:r>
            <w:r>
              <w:rPr>
                <w:rFonts w:eastAsia="Times New Roman"/>
                <w:lang w:eastAsia="en-AU"/>
              </w:rPr>
              <w:t xml:space="preserve">equal to </w:t>
            </w:r>
            <w:r w:rsidRPr="00E0632E">
              <w:rPr>
                <w:rFonts w:eastAsia="Times New Roman"/>
                <w:lang w:eastAsia="en-AU"/>
              </w:rPr>
              <w:t>atmospheric pressure</w:t>
            </w:r>
          </w:p>
        </w:tc>
      </w:tr>
      <w:tr w:rsidR="00430AC5" w:rsidRPr="00AA613E" w14:paraId="2309F618" w14:textId="77777777" w:rsidTr="00726719">
        <w:tc>
          <w:tcPr>
            <w:tcW w:w="2268" w:type="dxa"/>
          </w:tcPr>
          <w:p w14:paraId="4B6F740A" w14:textId="77777777" w:rsidR="00430AC5" w:rsidRPr="00AA613E" w:rsidRDefault="00430AC5" w:rsidP="00C270C5">
            <w:pPr>
              <w:pStyle w:val="Body"/>
              <w:rPr>
                <w:rFonts w:eastAsia="Times New Roman"/>
                <w:lang w:eastAsia="en-AU"/>
              </w:rPr>
            </w:pPr>
            <w:r w:rsidRPr="00AA613E">
              <w:rPr>
                <w:rFonts w:eastAsia="Times New Roman"/>
                <w:lang w:eastAsia="en-AU"/>
              </w:rPr>
              <w:t xml:space="preserve">Variogram </w:t>
            </w:r>
            <w:r w:rsidR="0094146F">
              <w:rPr>
                <w:rFonts w:eastAsia="Times New Roman"/>
                <w:lang w:eastAsia="en-AU"/>
              </w:rPr>
              <w:t xml:space="preserve"> (also semi-variogram)</w:t>
            </w:r>
          </w:p>
        </w:tc>
        <w:tc>
          <w:tcPr>
            <w:tcW w:w="6946" w:type="dxa"/>
          </w:tcPr>
          <w:p w14:paraId="0DC393CE" w14:textId="77777777" w:rsidR="00430AC5" w:rsidRPr="00AA613E" w:rsidRDefault="00430AC5" w:rsidP="0094146F">
            <w:pPr>
              <w:pStyle w:val="Body"/>
              <w:rPr>
                <w:rFonts w:eastAsia="Times New Roman"/>
                <w:lang w:eastAsia="en-AU"/>
              </w:rPr>
            </w:pPr>
            <w:r w:rsidRPr="00AA613E">
              <w:rPr>
                <w:rFonts w:eastAsia="Times New Roman"/>
                <w:lang w:eastAsia="en-AU"/>
              </w:rPr>
              <w:t xml:space="preserve">A function </w:t>
            </w:r>
            <w:r w:rsidR="0094146F">
              <w:rPr>
                <w:rFonts w:eastAsia="Times New Roman"/>
                <w:lang w:eastAsia="en-AU"/>
              </w:rPr>
              <w:t xml:space="preserve">describing the spatial dependency (similarity) between observations of a variable. The shape of the variogram is typically function </w:t>
            </w:r>
            <w:r w:rsidRPr="00AA613E">
              <w:rPr>
                <w:rFonts w:eastAsia="Times New Roman"/>
                <w:lang w:eastAsia="en-AU"/>
              </w:rPr>
              <w:t xml:space="preserve">of the distance and direction separating </w:t>
            </w:r>
            <w:r w:rsidR="0094146F">
              <w:rPr>
                <w:rFonts w:eastAsia="Times New Roman"/>
                <w:lang w:eastAsia="en-AU"/>
              </w:rPr>
              <w:t xml:space="preserve">observations at </w:t>
            </w:r>
            <w:r w:rsidRPr="00AA613E">
              <w:rPr>
                <w:rFonts w:eastAsia="Times New Roman"/>
                <w:lang w:eastAsia="en-AU"/>
              </w:rPr>
              <w:t>two locations</w:t>
            </w:r>
            <w:r w:rsidR="0094146F">
              <w:rPr>
                <w:rFonts w:eastAsia="Times New Roman"/>
                <w:lang w:eastAsia="en-AU"/>
              </w:rPr>
              <w:t>; at short distances the semi-variance is small, and typically increases with increasing separation distance. The</w:t>
            </w:r>
            <w:r w:rsidRPr="00AA613E">
              <w:rPr>
                <w:rFonts w:eastAsia="Times New Roman"/>
                <w:lang w:eastAsia="en-AU"/>
              </w:rPr>
              <w:t xml:space="preserve"> </w:t>
            </w:r>
            <w:r w:rsidR="0094146F">
              <w:rPr>
                <w:rFonts w:eastAsia="Times New Roman"/>
                <w:lang w:eastAsia="en-AU"/>
              </w:rPr>
              <w:t xml:space="preserve">semi-variance </w:t>
            </w:r>
            <w:r w:rsidRPr="00AA613E">
              <w:rPr>
                <w:rFonts w:eastAsia="Times New Roman"/>
                <w:lang w:eastAsia="en-AU"/>
              </w:rPr>
              <w:t>is defined as the variance of the difference between two variables at two locations</w:t>
            </w:r>
            <w:r w:rsidR="0094146F">
              <w:rPr>
                <w:rFonts w:eastAsia="Times New Roman"/>
                <w:lang w:eastAsia="en-AU"/>
              </w:rPr>
              <w:t>. A</w:t>
            </w:r>
            <w:r w:rsidR="0094146F" w:rsidRPr="0094146F">
              <w:rPr>
                <w:rFonts w:eastAsia="Times New Roman"/>
                <w:lang w:eastAsia="en-AU"/>
              </w:rPr>
              <w:t xml:space="preserve">t zero </w:t>
            </w:r>
            <w:r w:rsidR="0094146F">
              <w:rPr>
                <w:rFonts w:eastAsia="Times New Roman"/>
                <w:lang w:eastAsia="en-AU"/>
              </w:rPr>
              <w:t>separation distance the semivariance is called nugget (-effect). T</w:t>
            </w:r>
            <w:r w:rsidR="00213159">
              <w:rPr>
                <w:rFonts w:eastAsia="Times New Roman"/>
                <w:lang w:eastAsia="en-AU"/>
              </w:rPr>
              <w:t>h</w:t>
            </w:r>
            <w:r w:rsidR="0094146F" w:rsidRPr="0094146F">
              <w:rPr>
                <w:rFonts w:eastAsia="Times New Roman"/>
                <w:lang w:eastAsia="en-AU"/>
              </w:rPr>
              <w:t>e sill is the maximum</w:t>
            </w:r>
            <w:r w:rsidR="0094146F">
              <w:rPr>
                <w:rFonts w:eastAsia="Times New Roman"/>
                <w:lang w:eastAsia="en-AU"/>
              </w:rPr>
              <w:t xml:space="preserve"> </w:t>
            </w:r>
            <w:r w:rsidR="0094146F" w:rsidRPr="0094146F">
              <w:rPr>
                <w:rFonts w:eastAsia="Times New Roman"/>
                <w:lang w:eastAsia="en-AU"/>
              </w:rPr>
              <w:t xml:space="preserve">semivariance or the plateau of the semi variogram; the correlation length or </w:t>
            </w:r>
            <w:r w:rsidR="00213159">
              <w:rPr>
                <w:rFonts w:eastAsia="Times New Roman"/>
                <w:lang w:eastAsia="en-AU"/>
              </w:rPr>
              <w:t xml:space="preserve">spatial </w:t>
            </w:r>
            <w:r w:rsidR="0094146F" w:rsidRPr="0094146F">
              <w:rPr>
                <w:rFonts w:eastAsia="Times New Roman"/>
                <w:lang w:eastAsia="en-AU"/>
              </w:rPr>
              <w:t>range is the</w:t>
            </w:r>
            <w:r w:rsidR="0094146F">
              <w:rPr>
                <w:rFonts w:eastAsia="Times New Roman"/>
                <w:lang w:eastAsia="en-AU"/>
              </w:rPr>
              <w:t xml:space="preserve"> </w:t>
            </w:r>
            <w:r w:rsidR="0094146F" w:rsidRPr="0094146F">
              <w:rPr>
                <w:rFonts w:eastAsia="Times New Roman"/>
                <w:lang w:eastAsia="en-AU"/>
              </w:rPr>
              <w:t xml:space="preserve">distance over which variables are </w:t>
            </w:r>
            <w:r w:rsidR="00213159">
              <w:rPr>
                <w:rFonts w:eastAsia="Times New Roman"/>
                <w:lang w:eastAsia="en-AU"/>
              </w:rPr>
              <w:t xml:space="preserve">spatially </w:t>
            </w:r>
            <w:r w:rsidR="0094146F" w:rsidRPr="0094146F">
              <w:rPr>
                <w:rFonts w:eastAsia="Times New Roman"/>
                <w:lang w:eastAsia="en-AU"/>
              </w:rPr>
              <w:t>correlated</w:t>
            </w:r>
          </w:p>
        </w:tc>
      </w:tr>
      <w:tr w:rsidR="00430AC5" w:rsidRPr="00470AD4" w14:paraId="7F442171" w14:textId="77777777" w:rsidTr="00726719">
        <w:tc>
          <w:tcPr>
            <w:tcW w:w="2268" w:type="dxa"/>
          </w:tcPr>
          <w:p w14:paraId="5032A94B" w14:textId="77777777" w:rsidR="00430AC5" w:rsidRPr="00B73BBB" w:rsidRDefault="00430AC5" w:rsidP="008E28DE">
            <w:pPr>
              <w:pStyle w:val="Body"/>
              <w:rPr>
                <w:rFonts w:eastAsia="Times New Roman"/>
                <w:highlight w:val="yellow"/>
                <w:lang w:eastAsia="en-AU"/>
              </w:rPr>
            </w:pPr>
            <w:r w:rsidRPr="006A3BC8">
              <w:rPr>
                <w:rFonts w:eastAsia="Times New Roman"/>
                <w:lang w:eastAsia="en-AU"/>
              </w:rPr>
              <w:t xml:space="preserve">Vibrating wire piezometer  </w:t>
            </w:r>
          </w:p>
        </w:tc>
        <w:tc>
          <w:tcPr>
            <w:tcW w:w="6946" w:type="dxa"/>
          </w:tcPr>
          <w:p w14:paraId="42959363" w14:textId="33C81F2F" w:rsidR="00430AC5" w:rsidRPr="00B73BBB" w:rsidRDefault="006A3BC8" w:rsidP="00BC5355">
            <w:pPr>
              <w:pStyle w:val="Body"/>
              <w:rPr>
                <w:rFonts w:eastAsia="Times New Roman"/>
                <w:highlight w:val="yellow"/>
                <w:lang w:eastAsia="en-AU"/>
              </w:rPr>
            </w:pPr>
            <w:r w:rsidRPr="006A3BC8">
              <w:rPr>
                <w:rFonts w:eastAsia="Times New Roman"/>
                <w:lang w:eastAsia="en-AU"/>
              </w:rPr>
              <w:t>Absolute pressure transducers aimed to measure soil or rock pore pressure</w:t>
            </w:r>
            <w:r>
              <w:rPr>
                <w:rFonts w:eastAsia="Times New Roman"/>
                <w:lang w:eastAsia="en-AU"/>
              </w:rPr>
              <w:t>. Multiple piezometers can be connected along a string that allows multiple pressure measurements in</w:t>
            </w:r>
            <w:r w:rsidR="00BC5355">
              <w:rPr>
                <w:rFonts w:eastAsia="Times New Roman"/>
                <w:lang w:eastAsia="en-AU"/>
              </w:rPr>
              <w:t xml:space="preserve"> a single</w:t>
            </w:r>
            <w:r>
              <w:rPr>
                <w:rFonts w:eastAsia="Times New Roman"/>
                <w:lang w:eastAsia="en-AU"/>
              </w:rPr>
              <w:t xml:space="preserve"> borehole</w:t>
            </w:r>
          </w:p>
        </w:tc>
      </w:tr>
      <w:tr w:rsidR="00D72C22" w:rsidRPr="00470AD4" w14:paraId="4C711A7E" w14:textId="77777777" w:rsidTr="00726719">
        <w:tc>
          <w:tcPr>
            <w:tcW w:w="2268" w:type="dxa"/>
          </w:tcPr>
          <w:p w14:paraId="73C3DC24" w14:textId="77777777" w:rsidR="00D72C22" w:rsidRPr="00430AC5" w:rsidRDefault="00D72C22" w:rsidP="00430AC5">
            <w:pPr>
              <w:pStyle w:val="Body"/>
              <w:rPr>
                <w:rFonts w:eastAsia="Times New Roman"/>
                <w:lang w:eastAsia="en-AU"/>
              </w:rPr>
            </w:pPr>
            <w:r>
              <w:rPr>
                <w:rFonts w:eastAsia="Times New Roman"/>
                <w:lang w:eastAsia="en-AU"/>
              </w:rPr>
              <w:t>Water wetting</w:t>
            </w:r>
          </w:p>
        </w:tc>
        <w:tc>
          <w:tcPr>
            <w:tcW w:w="6946" w:type="dxa"/>
          </w:tcPr>
          <w:p w14:paraId="3BE14717" w14:textId="77777777" w:rsidR="00D72C22" w:rsidRPr="00430AC5" w:rsidRDefault="009A78B7" w:rsidP="009A78B7">
            <w:pPr>
              <w:pStyle w:val="Body"/>
              <w:rPr>
                <w:rFonts w:eastAsia="Times New Roman"/>
                <w:lang w:eastAsia="en-AU"/>
              </w:rPr>
            </w:pPr>
            <w:r>
              <w:rPr>
                <w:rFonts w:eastAsia="Times New Roman"/>
                <w:lang w:eastAsia="en-AU"/>
              </w:rPr>
              <w:t>The process of water intruding a medium that has a preference for gas</w:t>
            </w:r>
          </w:p>
        </w:tc>
      </w:tr>
      <w:tr w:rsidR="00430AC5" w:rsidRPr="00470AD4" w14:paraId="35D58880" w14:textId="77777777" w:rsidTr="00726719">
        <w:tc>
          <w:tcPr>
            <w:tcW w:w="2268" w:type="dxa"/>
          </w:tcPr>
          <w:p w14:paraId="2A122526" w14:textId="77777777" w:rsidR="00430AC5" w:rsidRPr="00430AC5" w:rsidRDefault="00430AC5" w:rsidP="00430AC5">
            <w:pPr>
              <w:pStyle w:val="Body"/>
              <w:rPr>
                <w:rFonts w:eastAsia="Times New Roman"/>
                <w:lang w:eastAsia="en-AU"/>
              </w:rPr>
            </w:pPr>
            <w:r w:rsidRPr="00430AC5">
              <w:rPr>
                <w:rFonts w:eastAsia="Times New Roman"/>
                <w:lang w:eastAsia="en-AU"/>
              </w:rPr>
              <w:t>Well</w:t>
            </w:r>
          </w:p>
        </w:tc>
        <w:tc>
          <w:tcPr>
            <w:tcW w:w="6946" w:type="dxa"/>
          </w:tcPr>
          <w:p w14:paraId="1527E053" w14:textId="77777777" w:rsidR="00430AC5" w:rsidRPr="00430AC5" w:rsidRDefault="00430AC5" w:rsidP="00430AC5">
            <w:pPr>
              <w:pStyle w:val="Body"/>
              <w:rPr>
                <w:rFonts w:eastAsia="Times New Roman"/>
                <w:lang w:eastAsia="en-AU"/>
              </w:rPr>
            </w:pPr>
            <w:r w:rsidRPr="00430AC5">
              <w:rPr>
                <w:rFonts w:eastAsia="Times New Roman"/>
                <w:lang w:eastAsia="en-AU"/>
              </w:rPr>
              <w:t>Borehole in which a casing (e.g. steel piping) has been placed to restrict connection to specific ground horizons/depths</w:t>
            </w:r>
          </w:p>
        </w:tc>
      </w:tr>
    </w:tbl>
    <w:p w14:paraId="5BE260C1" w14:textId="77777777" w:rsidR="00F400AD" w:rsidRDefault="00F400AD">
      <w:pPr>
        <w:rPr>
          <w:rFonts w:ascii="Calibri" w:eastAsia="Times New Roman" w:hAnsi="Calibri" w:cs="Calibri"/>
          <w:color w:val="000000"/>
          <w:sz w:val="18"/>
          <w:szCs w:val="18"/>
          <w:lang w:val="en-GB" w:eastAsia="en-AU"/>
        </w:rPr>
      </w:pPr>
    </w:p>
    <w:p w14:paraId="16A6A62E" w14:textId="77777777" w:rsidR="00A12398" w:rsidRDefault="00A12398">
      <w:pPr>
        <w:rPr>
          <w:rFonts w:ascii="Calibri-Bold" w:hAnsi="Calibri-Bold" w:cs="Calibri-Bold"/>
          <w:b/>
          <w:bCs/>
          <w:color w:val="00AEEF"/>
          <w:sz w:val="48"/>
          <w:szCs w:val="48"/>
          <w:lang w:val="en-GB"/>
        </w:rPr>
      </w:pPr>
      <w:bookmarkStart w:id="6" w:name="_Toc432618724"/>
      <w:r>
        <w:br w:type="page"/>
      </w:r>
    </w:p>
    <w:p w14:paraId="1241F2ED" w14:textId="77777777" w:rsidR="00726719" w:rsidRDefault="00726719" w:rsidP="00F400AD">
      <w:pPr>
        <w:pStyle w:val="H1"/>
      </w:pPr>
      <w:r w:rsidRPr="00D01A8F">
        <w:t>Symbols</w:t>
      </w:r>
      <w:bookmarkEnd w:id="6"/>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C270C5" w:rsidRPr="00C270C5" w14:paraId="57897D02" w14:textId="77777777" w:rsidTr="00C270C5">
        <w:trPr>
          <w:tblHeader/>
        </w:trPr>
        <w:tc>
          <w:tcPr>
            <w:tcW w:w="2268" w:type="dxa"/>
            <w:shd w:val="clear" w:color="auto" w:fill="C6D9F1"/>
          </w:tcPr>
          <w:p w14:paraId="07113B21" w14:textId="77777777" w:rsidR="00C270C5" w:rsidRPr="00C270C5" w:rsidRDefault="00C270C5" w:rsidP="00C270C5">
            <w:pPr>
              <w:pStyle w:val="Body"/>
              <w:rPr>
                <w:b/>
              </w:rPr>
            </w:pPr>
            <w:r>
              <w:rPr>
                <w:b/>
              </w:rPr>
              <w:t>Symbol</w:t>
            </w:r>
          </w:p>
        </w:tc>
        <w:tc>
          <w:tcPr>
            <w:tcW w:w="6946" w:type="dxa"/>
            <w:shd w:val="clear" w:color="auto" w:fill="C6D9F1"/>
          </w:tcPr>
          <w:p w14:paraId="3B1609FA" w14:textId="77777777" w:rsidR="00C270C5" w:rsidRPr="00C270C5" w:rsidRDefault="00366E23" w:rsidP="005574E1">
            <w:pPr>
              <w:pStyle w:val="Body"/>
              <w:rPr>
                <w:b/>
              </w:rPr>
            </w:pPr>
            <w:r>
              <w:rPr>
                <w:b/>
              </w:rPr>
              <w:t>Brief</w:t>
            </w:r>
            <w:r w:rsidR="00C270C5">
              <w:rPr>
                <w:b/>
              </w:rPr>
              <w:t xml:space="preserve"> d</w:t>
            </w:r>
            <w:r w:rsidR="00C270C5" w:rsidRPr="00C270C5">
              <w:rPr>
                <w:b/>
              </w:rPr>
              <w:t>escription</w:t>
            </w:r>
            <w:r w:rsidR="005574E1">
              <w:rPr>
                <w:b/>
              </w:rPr>
              <w:t xml:space="preserve"> and </w:t>
            </w:r>
            <w:r w:rsidR="00935D49">
              <w:rPr>
                <w:b/>
              </w:rPr>
              <w:t>unit</w:t>
            </w:r>
            <w:r w:rsidR="005574E1">
              <w:rPr>
                <w:b/>
              </w:rPr>
              <w:t xml:space="preserve"> of measurement (L = length, T = time)</w:t>
            </w:r>
          </w:p>
        </w:tc>
      </w:tr>
      <w:tr w:rsidR="003E65A5" w:rsidRPr="00470AD4" w14:paraId="12011D32" w14:textId="77777777" w:rsidTr="008E28DE">
        <w:tc>
          <w:tcPr>
            <w:tcW w:w="2268" w:type="dxa"/>
          </w:tcPr>
          <w:p w14:paraId="508D909D" w14:textId="77777777" w:rsidR="003E65A5" w:rsidRPr="0030293D" w:rsidRDefault="003E65A5" w:rsidP="008E28DE">
            <w:pPr>
              <w:pStyle w:val="Body"/>
              <w:rPr>
                <w:i/>
              </w:rPr>
            </w:pPr>
            <w:r>
              <w:rPr>
                <w:i/>
              </w:rPr>
              <w:t>η</w:t>
            </w:r>
            <w:r w:rsidRPr="003E65A5">
              <w:rPr>
                <w:i/>
                <w:vertAlign w:val="subscript"/>
              </w:rPr>
              <w:t>e</w:t>
            </w:r>
          </w:p>
        </w:tc>
        <w:tc>
          <w:tcPr>
            <w:tcW w:w="6946" w:type="dxa"/>
          </w:tcPr>
          <w:p w14:paraId="61F1BD89" w14:textId="77777777" w:rsidR="003E65A5" w:rsidRPr="00156924" w:rsidRDefault="003E65A5" w:rsidP="005574E1">
            <w:pPr>
              <w:pStyle w:val="Body"/>
              <w:rPr>
                <w:rFonts w:eastAsia="Times New Roman"/>
                <w:lang w:eastAsia="en-AU"/>
              </w:rPr>
            </w:pPr>
            <w:r>
              <w:rPr>
                <w:rFonts w:eastAsia="Times New Roman"/>
                <w:lang w:eastAsia="en-AU"/>
              </w:rPr>
              <w:t>effective porosity</w:t>
            </w:r>
            <w:r w:rsidR="0052370A">
              <w:rPr>
                <w:rFonts w:eastAsia="Times New Roman"/>
                <w:lang w:eastAsia="en-AU"/>
              </w:rPr>
              <w:t xml:space="preserve"> [</w:t>
            </w:r>
            <w:r w:rsidR="005574E1">
              <w:rPr>
                <w:rFonts w:eastAsia="Times New Roman"/>
                <w:lang w:eastAsia="en-AU"/>
              </w:rPr>
              <w:t>L</w:t>
            </w:r>
            <w:r w:rsidR="005574E1" w:rsidRPr="0052370A">
              <w:rPr>
                <w:rFonts w:eastAsia="Times New Roman"/>
                <w:vertAlign w:val="superscript"/>
                <w:lang w:eastAsia="en-AU"/>
              </w:rPr>
              <w:t>3</w:t>
            </w:r>
            <w:r w:rsidR="0052370A">
              <w:rPr>
                <w:rFonts w:eastAsia="Times New Roman"/>
                <w:lang w:eastAsia="en-AU"/>
              </w:rPr>
              <w:t>.</w:t>
            </w:r>
            <w:r w:rsidR="005574E1">
              <w:rPr>
                <w:rFonts w:eastAsia="Times New Roman"/>
                <w:lang w:eastAsia="en-AU"/>
              </w:rPr>
              <w:t>L</w:t>
            </w:r>
            <w:r w:rsidR="0052370A" w:rsidRPr="0052370A">
              <w:rPr>
                <w:rFonts w:eastAsia="Times New Roman"/>
                <w:vertAlign w:val="superscript"/>
                <w:lang w:eastAsia="en-AU"/>
              </w:rPr>
              <w:t>-3</w:t>
            </w:r>
            <w:r w:rsidR="0052370A">
              <w:rPr>
                <w:rFonts w:eastAsia="Times New Roman"/>
                <w:lang w:eastAsia="en-AU"/>
              </w:rPr>
              <w:t>]</w:t>
            </w:r>
          </w:p>
        </w:tc>
      </w:tr>
      <w:tr w:rsidR="003E65A5" w:rsidRPr="00470AD4" w14:paraId="40FE02EF" w14:textId="77777777" w:rsidTr="008E28DE">
        <w:tc>
          <w:tcPr>
            <w:tcW w:w="2268" w:type="dxa"/>
          </w:tcPr>
          <w:p w14:paraId="4FC9B445" w14:textId="77777777" w:rsidR="003E65A5" w:rsidRPr="0030293D" w:rsidRDefault="003E65A5" w:rsidP="008E28DE">
            <w:pPr>
              <w:pStyle w:val="Body"/>
              <w:rPr>
                <w:i/>
              </w:rPr>
            </w:pPr>
            <w:r>
              <w:rPr>
                <w:i/>
              </w:rPr>
              <w:t>η</w:t>
            </w:r>
            <w:r w:rsidRPr="003E65A5">
              <w:rPr>
                <w:i/>
                <w:vertAlign w:val="subscript"/>
              </w:rPr>
              <w:t>f</w:t>
            </w:r>
          </w:p>
        </w:tc>
        <w:tc>
          <w:tcPr>
            <w:tcW w:w="6946" w:type="dxa"/>
          </w:tcPr>
          <w:p w14:paraId="0815A23F" w14:textId="77777777" w:rsidR="003E65A5" w:rsidRPr="00156924" w:rsidRDefault="003E65A5" w:rsidP="005574E1">
            <w:pPr>
              <w:pStyle w:val="Body"/>
              <w:rPr>
                <w:rFonts w:eastAsia="Times New Roman"/>
                <w:lang w:eastAsia="en-AU"/>
              </w:rPr>
            </w:pPr>
            <w:r>
              <w:rPr>
                <w:rFonts w:eastAsia="Times New Roman"/>
                <w:lang w:eastAsia="en-AU"/>
              </w:rPr>
              <w:t>fracture porosity</w:t>
            </w:r>
            <w:r w:rsidR="0052370A">
              <w:rPr>
                <w:rFonts w:eastAsia="Times New Roman"/>
                <w:lang w:eastAsia="en-AU"/>
              </w:rPr>
              <w:t xml:space="preserve"> [</w:t>
            </w:r>
            <w:r w:rsidR="005574E1">
              <w:rPr>
                <w:rFonts w:eastAsia="Times New Roman"/>
                <w:lang w:eastAsia="en-AU"/>
              </w:rPr>
              <w:t>L</w:t>
            </w:r>
            <w:r w:rsidR="005574E1" w:rsidRPr="0052370A">
              <w:rPr>
                <w:rFonts w:eastAsia="Times New Roman"/>
                <w:vertAlign w:val="superscript"/>
                <w:lang w:eastAsia="en-AU"/>
              </w:rPr>
              <w:t>3</w:t>
            </w:r>
            <w:r w:rsidR="0052370A">
              <w:rPr>
                <w:rFonts w:eastAsia="Times New Roman"/>
                <w:lang w:eastAsia="en-AU"/>
              </w:rPr>
              <w:t>.</w:t>
            </w:r>
            <w:r w:rsidR="005574E1">
              <w:rPr>
                <w:rFonts w:eastAsia="Times New Roman"/>
                <w:lang w:eastAsia="en-AU"/>
              </w:rPr>
              <w:t>L</w:t>
            </w:r>
            <w:r w:rsidR="0052370A" w:rsidRPr="0052370A">
              <w:rPr>
                <w:rFonts w:eastAsia="Times New Roman"/>
                <w:vertAlign w:val="superscript"/>
                <w:lang w:eastAsia="en-AU"/>
              </w:rPr>
              <w:t>-3</w:t>
            </w:r>
            <w:r w:rsidR="0052370A">
              <w:rPr>
                <w:rFonts w:eastAsia="Times New Roman"/>
                <w:lang w:eastAsia="en-AU"/>
              </w:rPr>
              <w:t>]</w:t>
            </w:r>
          </w:p>
        </w:tc>
      </w:tr>
      <w:tr w:rsidR="003E65A5" w:rsidRPr="00470AD4" w14:paraId="55B1F7EF" w14:textId="77777777" w:rsidTr="008E28DE">
        <w:tc>
          <w:tcPr>
            <w:tcW w:w="2268" w:type="dxa"/>
          </w:tcPr>
          <w:p w14:paraId="6BC35F91" w14:textId="77777777" w:rsidR="003E65A5" w:rsidRPr="0030293D" w:rsidRDefault="003E65A5" w:rsidP="008E28DE">
            <w:pPr>
              <w:pStyle w:val="Body"/>
              <w:rPr>
                <w:i/>
              </w:rPr>
            </w:pPr>
            <w:r>
              <w:rPr>
                <w:i/>
              </w:rPr>
              <w:t>η</w:t>
            </w:r>
            <w:r w:rsidRPr="003E65A5">
              <w:rPr>
                <w:i/>
                <w:vertAlign w:val="subscript"/>
              </w:rPr>
              <w:t>m</w:t>
            </w:r>
          </w:p>
        </w:tc>
        <w:tc>
          <w:tcPr>
            <w:tcW w:w="6946" w:type="dxa"/>
          </w:tcPr>
          <w:p w14:paraId="41362839" w14:textId="77777777" w:rsidR="003E65A5" w:rsidRPr="00156924" w:rsidRDefault="003E65A5" w:rsidP="005574E1">
            <w:pPr>
              <w:pStyle w:val="Body"/>
              <w:rPr>
                <w:rFonts w:eastAsia="Times New Roman"/>
                <w:lang w:eastAsia="en-AU"/>
              </w:rPr>
            </w:pPr>
            <w:r>
              <w:rPr>
                <w:rFonts w:eastAsia="Times New Roman"/>
                <w:lang w:eastAsia="en-AU"/>
              </w:rPr>
              <w:t>matrix porosity</w:t>
            </w:r>
            <w:r w:rsidR="0052370A">
              <w:rPr>
                <w:rFonts w:eastAsia="Times New Roman"/>
                <w:lang w:eastAsia="en-AU"/>
              </w:rPr>
              <w:t xml:space="preserve"> [</w:t>
            </w:r>
            <w:r w:rsidR="005574E1">
              <w:rPr>
                <w:rFonts w:eastAsia="Times New Roman"/>
                <w:lang w:eastAsia="en-AU"/>
              </w:rPr>
              <w:t>L</w:t>
            </w:r>
            <w:r w:rsidR="005574E1" w:rsidRPr="0052370A">
              <w:rPr>
                <w:rFonts w:eastAsia="Times New Roman"/>
                <w:vertAlign w:val="superscript"/>
                <w:lang w:eastAsia="en-AU"/>
              </w:rPr>
              <w:t>3</w:t>
            </w:r>
            <w:r w:rsidR="0052370A">
              <w:rPr>
                <w:rFonts w:eastAsia="Times New Roman"/>
                <w:lang w:eastAsia="en-AU"/>
              </w:rPr>
              <w:t>.</w:t>
            </w:r>
            <w:r w:rsidR="005574E1">
              <w:rPr>
                <w:rFonts w:eastAsia="Times New Roman"/>
                <w:lang w:eastAsia="en-AU"/>
              </w:rPr>
              <w:t>L</w:t>
            </w:r>
            <w:r w:rsidR="0052370A" w:rsidRPr="0052370A">
              <w:rPr>
                <w:rFonts w:eastAsia="Times New Roman"/>
                <w:vertAlign w:val="superscript"/>
                <w:lang w:eastAsia="en-AU"/>
              </w:rPr>
              <w:t>-3</w:t>
            </w:r>
            <w:r w:rsidR="0052370A">
              <w:rPr>
                <w:rFonts w:eastAsia="Times New Roman"/>
                <w:lang w:eastAsia="en-AU"/>
              </w:rPr>
              <w:t>]</w:t>
            </w:r>
          </w:p>
        </w:tc>
      </w:tr>
      <w:tr w:rsidR="0030293D" w:rsidRPr="00470AD4" w14:paraId="0027D929" w14:textId="77777777" w:rsidTr="00C270C5">
        <w:tc>
          <w:tcPr>
            <w:tcW w:w="2268" w:type="dxa"/>
          </w:tcPr>
          <w:p w14:paraId="278174E0" w14:textId="77777777" w:rsidR="0030293D" w:rsidRPr="0030293D" w:rsidRDefault="0030293D" w:rsidP="0030293D">
            <w:pPr>
              <w:pStyle w:val="Body"/>
              <w:rPr>
                <w:i/>
              </w:rPr>
            </w:pPr>
            <w:r w:rsidRPr="0030293D">
              <w:rPr>
                <w:i/>
              </w:rPr>
              <w:t>k</w:t>
            </w:r>
          </w:p>
        </w:tc>
        <w:tc>
          <w:tcPr>
            <w:tcW w:w="6946" w:type="dxa"/>
          </w:tcPr>
          <w:p w14:paraId="2C6D822E" w14:textId="77777777" w:rsidR="0030293D" w:rsidRPr="00156924" w:rsidRDefault="00EB3023" w:rsidP="005574E1">
            <w:pPr>
              <w:pStyle w:val="Body"/>
              <w:rPr>
                <w:rFonts w:eastAsia="Times New Roman"/>
                <w:lang w:eastAsia="en-AU"/>
              </w:rPr>
            </w:pPr>
            <w:r>
              <w:rPr>
                <w:rFonts w:eastAsia="Times New Roman"/>
                <w:lang w:eastAsia="en-AU"/>
              </w:rPr>
              <w:t xml:space="preserve">permeability </w:t>
            </w:r>
            <w:r w:rsidR="0052370A">
              <w:rPr>
                <w:rFonts w:eastAsia="Times New Roman"/>
                <w:lang w:eastAsia="en-AU"/>
              </w:rPr>
              <w:t>[</w:t>
            </w:r>
            <w:r w:rsidR="005574E1">
              <w:rPr>
                <w:rFonts w:eastAsia="Times New Roman"/>
                <w:lang w:eastAsia="en-AU"/>
              </w:rPr>
              <w:t>L</w:t>
            </w:r>
            <w:r w:rsidR="005574E1" w:rsidRPr="001842F5">
              <w:rPr>
                <w:rFonts w:eastAsia="Times New Roman"/>
                <w:vertAlign w:val="superscript"/>
                <w:lang w:eastAsia="en-AU"/>
              </w:rPr>
              <w:t>2</w:t>
            </w:r>
            <w:r w:rsidR="0052370A">
              <w:rPr>
                <w:rFonts w:eastAsia="Times New Roman"/>
                <w:lang w:eastAsia="en-AU"/>
              </w:rPr>
              <w:t>]</w:t>
            </w:r>
          </w:p>
        </w:tc>
      </w:tr>
      <w:tr w:rsidR="0030293D" w:rsidRPr="00470AD4" w14:paraId="237307C4" w14:textId="77777777" w:rsidTr="00C270C5">
        <w:tc>
          <w:tcPr>
            <w:tcW w:w="2268" w:type="dxa"/>
          </w:tcPr>
          <w:p w14:paraId="13C2A116" w14:textId="77777777" w:rsidR="0030293D" w:rsidRPr="0030293D" w:rsidRDefault="0030293D" w:rsidP="0030293D">
            <w:pPr>
              <w:pStyle w:val="Body"/>
              <w:rPr>
                <w:i/>
              </w:rPr>
            </w:pPr>
            <w:r w:rsidRPr="0030293D">
              <w:rPr>
                <w:i/>
              </w:rPr>
              <w:t>k</w:t>
            </w:r>
            <w:r w:rsidRPr="0030293D">
              <w:rPr>
                <w:i/>
                <w:vertAlign w:val="subscript"/>
              </w:rPr>
              <w:t>h</w:t>
            </w:r>
          </w:p>
        </w:tc>
        <w:tc>
          <w:tcPr>
            <w:tcW w:w="6946" w:type="dxa"/>
          </w:tcPr>
          <w:p w14:paraId="2CAA7C65" w14:textId="77777777" w:rsidR="0030293D" w:rsidRPr="00156924" w:rsidRDefault="0030293D" w:rsidP="005574E1">
            <w:pPr>
              <w:pStyle w:val="Body"/>
              <w:rPr>
                <w:rFonts w:eastAsia="Times New Roman"/>
                <w:lang w:eastAsia="en-AU"/>
              </w:rPr>
            </w:pPr>
            <w:r>
              <w:rPr>
                <w:rFonts w:eastAsia="Times New Roman"/>
                <w:lang w:eastAsia="en-AU"/>
              </w:rPr>
              <w:t>horizontal permeability</w:t>
            </w:r>
            <w:r w:rsidR="001842F5">
              <w:rPr>
                <w:rFonts w:eastAsia="Times New Roman"/>
                <w:lang w:eastAsia="en-AU"/>
              </w:rPr>
              <w:t xml:space="preserve"> [</w:t>
            </w:r>
            <w:r w:rsidR="005574E1">
              <w:rPr>
                <w:rFonts w:eastAsia="Times New Roman"/>
                <w:lang w:eastAsia="en-AU"/>
              </w:rPr>
              <w:t>L</w:t>
            </w:r>
            <w:r w:rsidR="005574E1" w:rsidRPr="001842F5">
              <w:rPr>
                <w:rFonts w:eastAsia="Times New Roman"/>
                <w:vertAlign w:val="superscript"/>
                <w:lang w:eastAsia="en-AU"/>
              </w:rPr>
              <w:t>2</w:t>
            </w:r>
            <w:r w:rsidR="001842F5">
              <w:rPr>
                <w:rFonts w:eastAsia="Times New Roman"/>
                <w:lang w:eastAsia="en-AU"/>
              </w:rPr>
              <w:t>]</w:t>
            </w:r>
          </w:p>
        </w:tc>
      </w:tr>
      <w:tr w:rsidR="0030293D" w:rsidRPr="00470AD4" w14:paraId="27F20AA7" w14:textId="77777777" w:rsidTr="00C270C5">
        <w:tc>
          <w:tcPr>
            <w:tcW w:w="2268" w:type="dxa"/>
          </w:tcPr>
          <w:p w14:paraId="0EFDA46D" w14:textId="77777777" w:rsidR="0030293D" w:rsidRPr="0030293D" w:rsidRDefault="0030293D" w:rsidP="0030293D">
            <w:pPr>
              <w:pStyle w:val="Body"/>
              <w:rPr>
                <w:i/>
              </w:rPr>
            </w:pPr>
            <w:r w:rsidRPr="0030293D">
              <w:rPr>
                <w:i/>
              </w:rPr>
              <w:t>k</w:t>
            </w:r>
            <w:r w:rsidRPr="0030293D">
              <w:rPr>
                <w:i/>
                <w:vertAlign w:val="subscript"/>
              </w:rPr>
              <w:t>v</w:t>
            </w:r>
          </w:p>
        </w:tc>
        <w:tc>
          <w:tcPr>
            <w:tcW w:w="6946" w:type="dxa"/>
          </w:tcPr>
          <w:p w14:paraId="3399A23F" w14:textId="77777777" w:rsidR="0030293D" w:rsidRPr="00156924" w:rsidRDefault="0030293D" w:rsidP="005574E1">
            <w:pPr>
              <w:pStyle w:val="Body"/>
              <w:rPr>
                <w:rFonts w:eastAsia="Times New Roman"/>
                <w:lang w:eastAsia="en-AU"/>
              </w:rPr>
            </w:pPr>
            <w:r>
              <w:rPr>
                <w:rFonts w:eastAsia="Times New Roman"/>
                <w:lang w:eastAsia="en-AU"/>
              </w:rPr>
              <w:t>vertical permeability</w:t>
            </w:r>
            <w:r w:rsidR="001842F5">
              <w:rPr>
                <w:rFonts w:eastAsia="Times New Roman"/>
                <w:lang w:eastAsia="en-AU"/>
              </w:rPr>
              <w:t xml:space="preserve"> [</w:t>
            </w:r>
            <w:r w:rsidR="005574E1">
              <w:rPr>
                <w:rFonts w:eastAsia="Times New Roman"/>
                <w:lang w:eastAsia="en-AU"/>
              </w:rPr>
              <w:t>L</w:t>
            </w:r>
            <w:r w:rsidR="005574E1" w:rsidRPr="001842F5">
              <w:rPr>
                <w:rFonts w:eastAsia="Times New Roman"/>
                <w:vertAlign w:val="superscript"/>
                <w:lang w:eastAsia="en-AU"/>
              </w:rPr>
              <w:t>2</w:t>
            </w:r>
            <w:r w:rsidR="001842F5">
              <w:rPr>
                <w:rFonts w:eastAsia="Times New Roman"/>
                <w:lang w:eastAsia="en-AU"/>
              </w:rPr>
              <w:t>]</w:t>
            </w:r>
          </w:p>
        </w:tc>
      </w:tr>
      <w:tr w:rsidR="0030293D" w:rsidRPr="00470AD4" w14:paraId="4C2A3CAB" w14:textId="77777777" w:rsidTr="00C270C5">
        <w:tc>
          <w:tcPr>
            <w:tcW w:w="2268" w:type="dxa"/>
          </w:tcPr>
          <w:p w14:paraId="0B8F7240" w14:textId="77777777" w:rsidR="0030293D" w:rsidRPr="0030293D" w:rsidRDefault="0030293D" w:rsidP="0030293D">
            <w:pPr>
              <w:pStyle w:val="Body"/>
              <w:rPr>
                <w:i/>
              </w:rPr>
            </w:pPr>
            <w:r w:rsidRPr="0030293D">
              <w:rPr>
                <w:i/>
              </w:rPr>
              <w:t>K</w:t>
            </w:r>
          </w:p>
        </w:tc>
        <w:tc>
          <w:tcPr>
            <w:tcW w:w="6946" w:type="dxa"/>
          </w:tcPr>
          <w:p w14:paraId="191EC2F7" w14:textId="77777777" w:rsidR="0030293D" w:rsidRPr="00156924" w:rsidRDefault="0030293D" w:rsidP="005574E1">
            <w:pPr>
              <w:pStyle w:val="Body"/>
              <w:rPr>
                <w:rFonts w:eastAsia="Times New Roman"/>
                <w:lang w:eastAsia="en-AU"/>
              </w:rPr>
            </w:pPr>
            <w:r>
              <w:rPr>
                <w:rFonts w:eastAsia="Times New Roman"/>
                <w:lang w:eastAsia="en-AU"/>
              </w:rPr>
              <w:t>hydraulic conductivity</w:t>
            </w:r>
            <w:r w:rsidR="0052370A">
              <w:rPr>
                <w:rFonts w:eastAsia="Times New Roman"/>
                <w:lang w:eastAsia="en-AU"/>
              </w:rPr>
              <w:t xml:space="preserve"> [</w:t>
            </w:r>
            <w:r w:rsidR="005574E1">
              <w:rPr>
                <w:rFonts w:eastAsia="Times New Roman"/>
                <w:lang w:eastAsia="en-AU"/>
              </w:rPr>
              <w:t>L</w:t>
            </w:r>
            <w:r w:rsidR="0052370A">
              <w:rPr>
                <w:rFonts w:eastAsia="Times New Roman"/>
                <w:lang w:eastAsia="en-AU"/>
              </w:rPr>
              <w:t>.</w:t>
            </w:r>
            <w:r w:rsidR="005574E1">
              <w:rPr>
                <w:rFonts w:eastAsia="Times New Roman"/>
                <w:lang w:eastAsia="en-AU"/>
              </w:rPr>
              <w:t>T</w:t>
            </w:r>
            <w:r w:rsidR="0052370A" w:rsidRPr="0052370A">
              <w:rPr>
                <w:rFonts w:eastAsia="Times New Roman"/>
                <w:vertAlign w:val="superscript"/>
                <w:lang w:eastAsia="en-AU"/>
              </w:rPr>
              <w:t>-</w:t>
            </w:r>
            <w:r w:rsidR="0052370A">
              <w:rPr>
                <w:rFonts w:eastAsia="Times New Roman"/>
                <w:vertAlign w:val="superscript"/>
                <w:lang w:eastAsia="en-AU"/>
              </w:rPr>
              <w:t>1</w:t>
            </w:r>
            <w:r w:rsidR="0052370A">
              <w:rPr>
                <w:rFonts w:eastAsia="Times New Roman"/>
                <w:lang w:eastAsia="en-AU"/>
              </w:rPr>
              <w:t>]</w:t>
            </w:r>
          </w:p>
        </w:tc>
      </w:tr>
      <w:tr w:rsidR="0030293D" w:rsidRPr="00470AD4" w14:paraId="4CBC88A8" w14:textId="77777777" w:rsidTr="00C270C5">
        <w:tc>
          <w:tcPr>
            <w:tcW w:w="2268" w:type="dxa"/>
          </w:tcPr>
          <w:p w14:paraId="0B665C24" w14:textId="77777777" w:rsidR="0030293D" w:rsidRPr="0030293D" w:rsidRDefault="0030293D" w:rsidP="0030293D">
            <w:pPr>
              <w:pStyle w:val="Body"/>
              <w:rPr>
                <w:i/>
              </w:rPr>
            </w:pPr>
            <w:r w:rsidRPr="0030293D">
              <w:rPr>
                <w:i/>
              </w:rPr>
              <w:t>K</w:t>
            </w:r>
            <w:r w:rsidRPr="0030293D">
              <w:rPr>
                <w:i/>
                <w:vertAlign w:val="subscript"/>
              </w:rPr>
              <w:t>e</w:t>
            </w:r>
          </w:p>
        </w:tc>
        <w:tc>
          <w:tcPr>
            <w:tcW w:w="6946" w:type="dxa"/>
          </w:tcPr>
          <w:p w14:paraId="70E999C2" w14:textId="77777777" w:rsidR="0030293D" w:rsidRPr="0030293D" w:rsidRDefault="0030293D" w:rsidP="005574E1">
            <w:pPr>
              <w:pStyle w:val="Body"/>
              <w:rPr>
                <w:rFonts w:eastAsia="Times New Roman"/>
                <w:b/>
                <w:lang w:eastAsia="en-AU"/>
              </w:rPr>
            </w:pPr>
            <w:r>
              <w:rPr>
                <w:rFonts w:eastAsia="Times New Roman"/>
                <w:lang w:eastAsia="en-AU"/>
              </w:rPr>
              <w:t>effective hydraulic conductivity</w:t>
            </w:r>
            <w:r w:rsidR="0052370A">
              <w:rPr>
                <w:rFonts w:eastAsia="Times New Roman"/>
                <w:lang w:eastAsia="en-AU"/>
              </w:rPr>
              <w:t xml:space="preserve"> [</w:t>
            </w:r>
            <w:r w:rsidR="005574E1">
              <w:rPr>
                <w:rFonts w:eastAsia="Times New Roman"/>
                <w:lang w:eastAsia="en-AU"/>
              </w:rPr>
              <w:t>L</w:t>
            </w:r>
            <w:r w:rsidR="0052370A">
              <w:rPr>
                <w:rFonts w:eastAsia="Times New Roman"/>
                <w:lang w:eastAsia="en-AU"/>
              </w:rPr>
              <w:t>.</w:t>
            </w:r>
            <w:r w:rsidR="005574E1">
              <w:rPr>
                <w:rFonts w:eastAsia="Times New Roman"/>
                <w:lang w:eastAsia="en-AU"/>
              </w:rPr>
              <w:t>T</w:t>
            </w:r>
            <w:r w:rsidR="0052370A" w:rsidRPr="0052370A">
              <w:rPr>
                <w:rFonts w:eastAsia="Times New Roman"/>
                <w:vertAlign w:val="superscript"/>
                <w:lang w:eastAsia="en-AU"/>
              </w:rPr>
              <w:t>-</w:t>
            </w:r>
            <w:r w:rsidR="0052370A">
              <w:rPr>
                <w:rFonts w:eastAsia="Times New Roman"/>
                <w:vertAlign w:val="superscript"/>
                <w:lang w:eastAsia="en-AU"/>
              </w:rPr>
              <w:t>1</w:t>
            </w:r>
            <w:r w:rsidR="0052370A">
              <w:rPr>
                <w:rFonts w:eastAsia="Times New Roman"/>
                <w:lang w:eastAsia="en-AU"/>
              </w:rPr>
              <w:t>]</w:t>
            </w:r>
          </w:p>
        </w:tc>
      </w:tr>
      <w:tr w:rsidR="0030293D" w:rsidRPr="00470AD4" w14:paraId="2E2327F2" w14:textId="77777777" w:rsidTr="00C270C5">
        <w:tc>
          <w:tcPr>
            <w:tcW w:w="2268" w:type="dxa"/>
          </w:tcPr>
          <w:p w14:paraId="77D3857F" w14:textId="77777777" w:rsidR="0030293D" w:rsidRPr="0030293D" w:rsidRDefault="0030293D" w:rsidP="0030293D">
            <w:pPr>
              <w:pStyle w:val="Body"/>
              <w:rPr>
                <w:i/>
              </w:rPr>
            </w:pPr>
            <w:r w:rsidRPr="0030293D">
              <w:rPr>
                <w:i/>
              </w:rPr>
              <w:t>K</w:t>
            </w:r>
            <w:r w:rsidRPr="0030293D">
              <w:rPr>
                <w:i/>
                <w:vertAlign w:val="subscript"/>
              </w:rPr>
              <w:t>f</w:t>
            </w:r>
          </w:p>
        </w:tc>
        <w:tc>
          <w:tcPr>
            <w:tcW w:w="6946" w:type="dxa"/>
          </w:tcPr>
          <w:p w14:paraId="08B54BA1" w14:textId="77777777" w:rsidR="0030293D" w:rsidRPr="00156924" w:rsidRDefault="0030293D" w:rsidP="005574E1">
            <w:pPr>
              <w:pStyle w:val="Body"/>
              <w:rPr>
                <w:rFonts w:eastAsia="Times New Roman"/>
                <w:lang w:eastAsia="en-AU"/>
              </w:rPr>
            </w:pPr>
            <w:r>
              <w:rPr>
                <w:rFonts w:eastAsia="Times New Roman"/>
                <w:lang w:eastAsia="en-AU"/>
              </w:rPr>
              <w:t>fracture hydraulic conductivity</w:t>
            </w:r>
            <w:r w:rsidR="0052370A">
              <w:rPr>
                <w:rFonts w:eastAsia="Times New Roman"/>
                <w:lang w:eastAsia="en-AU"/>
              </w:rPr>
              <w:t xml:space="preserve"> [</w:t>
            </w:r>
            <w:r w:rsidR="005574E1">
              <w:rPr>
                <w:rFonts w:eastAsia="Times New Roman"/>
                <w:lang w:eastAsia="en-AU"/>
              </w:rPr>
              <w:t>L</w:t>
            </w:r>
            <w:r w:rsidR="0052370A">
              <w:rPr>
                <w:rFonts w:eastAsia="Times New Roman"/>
                <w:lang w:eastAsia="en-AU"/>
              </w:rPr>
              <w:t>.</w:t>
            </w:r>
            <w:r w:rsidR="005574E1">
              <w:rPr>
                <w:rFonts w:eastAsia="Times New Roman"/>
                <w:lang w:eastAsia="en-AU"/>
              </w:rPr>
              <w:t>T</w:t>
            </w:r>
            <w:r w:rsidR="0052370A" w:rsidRPr="0052370A">
              <w:rPr>
                <w:rFonts w:eastAsia="Times New Roman"/>
                <w:vertAlign w:val="superscript"/>
                <w:lang w:eastAsia="en-AU"/>
              </w:rPr>
              <w:t>-</w:t>
            </w:r>
            <w:r w:rsidR="0052370A">
              <w:rPr>
                <w:rFonts w:eastAsia="Times New Roman"/>
                <w:vertAlign w:val="superscript"/>
                <w:lang w:eastAsia="en-AU"/>
              </w:rPr>
              <w:t>1</w:t>
            </w:r>
            <w:r w:rsidR="0052370A">
              <w:rPr>
                <w:rFonts w:eastAsia="Times New Roman"/>
                <w:lang w:eastAsia="en-AU"/>
              </w:rPr>
              <w:t>]</w:t>
            </w:r>
          </w:p>
        </w:tc>
      </w:tr>
      <w:tr w:rsidR="0030293D" w:rsidRPr="00470AD4" w14:paraId="74BA4B32" w14:textId="77777777" w:rsidTr="00C270C5">
        <w:tc>
          <w:tcPr>
            <w:tcW w:w="2268" w:type="dxa"/>
          </w:tcPr>
          <w:p w14:paraId="15C03B32" w14:textId="77777777" w:rsidR="0030293D" w:rsidRPr="008E7895" w:rsidRDefault="0030293D" w:rsidP="0030293D">
            <w:pPr>
              <w:pStyle w:val="Body"/>
              <w:rPr>
                <w:i/>
              </w:rPr>
            </w:pPr>
            <w:r w:rsidRPr="0030293D">
              <w:rPr>
                <w:i/>
              </w:rPr>
              <w:t>K</w:t>
            </w:r>
            <w:r w:rsidRPr="0030293D">
              <w:rPr>
                <w:i/>
                <w:vertAlign w:val="subscript"/>
              </w:rPr>
              <w:t>h</w:t>
            </w:r>
            <w:r w:rsidR="008E7895">
              <w:rPr>
                <w:i/>
              </w:rPr>
              <w:t xml:space="preserve"> , K</w:t>
            </w:r>
            <w:r w:rsidR="008E7895">
              <w:rPr>
                <w:i/>
                <w:vertAlign w:val="subscript"/>
              </w:rPr>
              <w:t>x</w:t>
            </w:r>
            <w:r w:rsidR="008E7895">
              <w:rPr>
                <w:i/>
              </w:rPr>
              <w:t xml:space="preserve"> , K</w:t>
            </w:r>
            <w:r w:rsidR="008E7895">
              <w:rPr>
                <w:i/>
                <w:vertAlign w:val="subscript"/>
              </w:rPr>
              <w:t>y</w:t>
            </w:r>
            <w:r w:rsidR="008E7895">
              <w:rPr>
                <w:i/>
              </w:rPr>
              <w:t xml:space="preserve"> </w:t>
            </w:r>
          </w:p>
        </w:tc>
        <w:tc>
          <w:tcPr>
            <w:tcW w:w="6946" w:type="dxa"/>
          </w:tcPr>
          <w:p w14:paraId="0AAB9D32" w14:textId="77777777" w:rsidR="0030293D" w:rsidRPr="00156924" w:rsidRDefault="0030293D" w:rsidP="005574E1">
            <w:pPr>
              <w:pStyle w:val="Body"/>
              <w:rPr>
                <w:rFonts w:eastAsia="Times New Roman"/>
                <w:lang w:eastAsia="en-AU"/>
              </w:rPr>
            </w:pPr>
            <w:r>
              <w:rPr>
                <w:rFonts w:eastAsia="Times New Roman"/>
                <w:lang w:eastAsia="en-AU"/>
              </w:rPr>
              <w:t>horizontal hydraulic conductivity</w:t>
            </w:r>
            <w:r w:rsidR="0052370A">
              <w:rPr>
                <w:rFonts w:eastAsia="Times New Roman"/>
                <w:lang w:eastAsia="en-AU"/>
              </w:rPr>
              <w:t xml:space="preserve"> [</w:t>
            </w:r>
            <w:r w:rsidR="005574E1">
              <w:rPr>
                <w:rFonts w:eastAsia="Times New Roman"/>
                <w:lang w:eastAsia="en-AU"/>
              </w:rPr>
              <w:t>L</w:t>
            </w:r>
            <w:r w:rsidR="0052370A">
              <w:rPr>
                <w:rFonts w:eastAsia="Times New Roman"/>
                <w:lang w:eastAsia="en-AU"/>
              </w:rPr>
              <w:t>.</w:t>
            </w:r>
            <w:r w:rsidR="005574E1">
              <w:rPr>
                <w:rFonts w:eastAsia="Times New Roman"/>
                <w:lang w:eastAsia="en-AU"/>
              </w:rPr>
              <w:t>T</w:t>
            </w:r>
            <w:r w:rsidR="0052370A" w:rsidRPr="0052370A">
              <w:rPr>
                <w:rFonts w:eastAsia="Times New Roman"/>
                <w:vertAlign w:val="superscript"/>
                <w:lang w:eastAsia="en-AU"/>
              </w:rPr>
              <w:t>-</w:t>
            </w:r>
            <w:r w:rsidR="0052370A">
              <w:rPr>
                <w:rFonts w:eastAsia="Times New Roman"/>
                <w:vertAlign w:val="superscript"/>
                <w:lang w:eastAsia="en-AU"/>
              </w:rPr>
              <w:t>1</w:t>
            </w:r>
            <w:r w:rsidR="0052370A">
              <w:rPr>
                <w:rFonts w:eastAsia="Times New Roman"/>
                <w:lang w:eastAsia="en-AU"/>
              </w:rPr>
              <w:t>]</w:t>
            </w:r>
          </w:p>
        </w:tc>
      </w:tr>
      <w:tr w:rsidR="0030293D" w:rsidRPr="00470AD4" w14:paraId="79B09D7B" w14:textId="77777777" w:rsidTr="00C270C5">
        <w:tc>
          <w:tcPr>
            <w:tcW w:w="2268" w:type="dxa"/>
          </w:tcPr>
          <w:p w14:paraId="29E3BAAC" w14:textId="77777777" w:rsidR="0030293D" w:rsidRPr="0030293D" w:rsidRDefault="0030293D" w:rsidP="0030293D">
            <w:pPr>
              <w:pStyle w:val="Body"/>
              <w:rPr>
                <w:i/>
              </w:rPr>
            </w:pPr>
            <w:r w:rsidRPr="0030293D">
              <w:rPr>
                <w:i/>
              </w:rPr>
              <w:t>K</w:t>
            </w:r>
            <w:r w:rsidRPr="0030293D">
              <w:rPr>
                <w:i/>
                <w:vertAlign w:val="subscript"/>
              </w:rPr>
              <w:t>m</w:t>
            </w:r>
          </w:p>
        </w:tc>
        <w:tc>
          <w:tcPr>
            <w:tcW w:w="6946" w:type="dxa"/>
          </w:tcPr>
          <w:p w14:paraId="207D158E" w14:textId="77777777" w:rsidR="0030293D" w:rsidRPr="00156924" w:rsidRDefault="0030293D" w:rsidP="005574E1">
            <w:pPr>
              <w:pStyle w:val="Body"/>
              <w:rPr>
                <w:rFonts w:eastAsia="Times New Roman"/>
                <w:lang w:eastAsia="en-AU"/>
              </w:rPr>
            </w:pPr>
            <w:r>
              <w:rPr>
                <w:rFonts w:eastAsia="Times New Roman"/>
                <w:lang w:eastAsia="en-AU"/>
              </w:rPr>
              <w:t>matrix hydraulic conductivity</w:t>
            </w:r>
            <w:r w:rsidR="0052370A">
              <w:rPr>
                <w:rFonts w:eastAsia="Times New Roman"/>
                <w:lang w:eastAsia="en-AU"/>
              </w:rPr>
              <w:t xml:space="preserve"> [</w:t>
            </w:r>
            <w:r w:rsidR="005574E1">
              <w:rPr>
                <w:rFonts w:eastAsia="Times New Roman"/>
                <w:lang w:eastAsia="en-AU"/>
              </w:rPr>
              <w:t>L</w:t>
            </w:r>
            <w:r w:rsidR="0052370A">
              <w:rPr>
                <w:rFonts w:eastAsia="Times New Roman"/>
                <w:lang w:eastAsia="en-AU"/>
              </w:rPr>
              <w:t>.</w:t>
            </w:r>
            <w:r w:rsidR="005574E1">
              <w:rPr>
                <w:rFonts w:eastAsia="Times New Roman"/>
                <w:lang w:eastAsia="en-AU"/>
              </w:rPr>
              <w:t>T</w:t>
            </w:r>
            <w:r w:rsidR="0052370A" w:rsidRPr="0052370A">
              <w:rPr>
                <w:rFonts w:eastAsia="Times New Roman"/>
                <w:vertAlign w:val="superscript"/>
                <w:lang w:eastAsia="en-AU"/>
              </w:rPr>
              <w:t>-</w:t>
            </w:r>
            <w:r w:rsidR="0052370A">
              <w:rPr>
                <w:rFonts w:eastAsia="Times New Roman"/>
                <w:vertAlign w:val="superscript"/>
                <w:lang w:eastAsia="en-AU"/>
              </w:rPr>
              <w:t>1</w:t>
            </w:r>
            <w:r w:rsidR="0052370A">
              <w:rPr>
                <w:rFonts w:eastAsia="Times New Roman"/>
                <w:lang w:eastAsia="en-AU"/>
              </w:rPr>
              <w:t>]</w:t>
            </w:r>
          </w:p>
        </w:tc>
      </w:tr>
      <w:tr w:rsidR="0030293D" w:rsidRPr="00470AD4" w14:paraId="50699BA3" w14:textId="77777777" w:rsidTr="00C270C5">
        <w:tc>
          <w:tcPr>
            <w:tcW w:w="2268" w:type="dxa"/>
          </w:tcPr>
          <w:p w14:paraId="07968108" w14:textId="77777777" w:rsidR="0030293D" w:rsidRPr="008E7895" w:rsidRDefault="0030293D" w:rsidP="0030293D">
            <w:pPr>
              <w:pStyle w:val="Body"/>
              <w:rPr>
                <w:i/>
                <w:vertAlign w:val="superscript"/>
              </w:rPr>
            </w:pPr>
            <w:r w:rsidRPr="0030293D">
              <w:rPr>
                <w:i/>
              </w:rPr>
              <w:t>K</w:t>
            </w:r>
            <w:r w:rsidRPr="0030293D">
              <w:rPr>
                <w:i/>
                <w:vertAlign w:val="subscript"/>
              </w:rPr>
              <w:t>v</w:t>
            </w:r>
            <w:r w:rsidR="008E7895">
              <w:rPr>
                <w:i/>
                <w:vertAlign w:val="subscript"/>
              </w:rPr>
              <w:t xml:space="preserve"> </w:t>
            </w:r>
            <w:r w:rsidR="008E7895">
              <w:rPr>
                <w:i/>
              </w:rPr>
              <w:t xml:space="preserve"> </w:t>
            </w:r>
            <w:r w:rsidR="008E7895" w:rsidRPr="008E7895">
              <w:rPr>
                <w:i/>
              </w:rPr>
              <w:t>,</w:t>
            </w:r>
            <w:r w:rsidR="008E7895">
              <w:rPr>
                <w:i/>
              </w:rPr>
              <w:t xml:space="preserve"> </w:t>
            </w:r>
            <w:r w:rsidR="008E7895" w:rsidRPr="008E7895">
              <w:rPr>
                <w:i/>
              </w:rPr>
              <w:t>K</w:t>
            </w:r>
            <w:r w:rsidR="008E7895">
              <w:rPr>
                <w:i/>
                <w:vertAlign w:val="subscript"/>
              </w:rPr>
              <w:t>z</w:t>
            </w:r>
          </w:p>
        </w:tc>
        <w:tc>
          <w:tcPr>
            <w:tcW w:w="6946" w:type="dxa"/>
          </w:tcPr>
          <w:p w14:paraId="33E0C16F" w14:textId="77777777" w:rsidR="0030293D" w:rsidRPr="00156924" w:rsidRDefault="0030293D" w:rsidP="005574E1">
            <w:pPr>
              <w:pStyle w:val="Body"/>
              <w:rPr>
                <w:rFonts w:eastAsia="Times New Roman"/>
                <w:lang w:eastAsia="en-AU"/>
              </w:rPr>
            </w:pPr>
            <w:r>
              <w:rPr>
                <w:rFonts w:eastAsia="Times New Roman"/>
                <w:lang w:eastAsia="en-AU"/>
              </w:rPr>
              <w:t>vertical hydraulic conductivity</w:t>
            </w:r>
            <w:r w:rsidR="0052370A">
              <w:rPr>
                <w:rFonts w:eastAsia="Times New Roman"/>
                <w:lang w:eastAsia="en-AU"/>
              </w:rPr>
              <w:t xml:space="preserve"> [</w:t>
            </w:r>
            <w:r w:rsidR="005574E1">
              <w:rPr>
                <w:rFonts w:eastAsia="Times New Roman"/>
                <w:lang w:eastAsia="en-AU"/>
              </w:rPr>
              <w:t>L</w:t>
            </w:r>
            <w:r w:rsidR="0052370A">
              <w:rPr>
                <w:rFonts w:eastAsia="Times New Roman"/>
                <w:lang w:eastAsia="en-AU"/>
              </w:rPr>
              <w:t>.</w:t>
            </w:r>
            <w:r w:rsidR="005574E1">
              <w:rPr>
                <w:rFonts w:eastAsia="Times New Roman"/>
                <w:lang w:eastAsia="en-AU"/>
              </w:rPr>
              <w:t>T</w:t>
            </w:r>
            <w:r w:rsidR="0052370A" w:rsidRPr="0052370A">
              <w:rPr>
                <w:rFonts w:eastAsia="Times New Roman"/>
                <w:vertAlign w:val="superscript"/>
                <w:lang w:eastAsia="en-AU"/>
              </w:rPr>
              <w:t>-</w:t>
            </w:r>
            <w:r w:rsidR="0052370A">
              <w:rPr>
                <w:rFonts w:eastAsia="Times New Roman"/>
                <w:vertAlign w:val="superscript"/>
                <w:lang w:eastAsia="en-AU"/>
              </w:rPr>
              <w:t>1</w:t>
            </w:r>
            <w:r w:rsidR="0052370A">
              <w:rPr>
                <w:rFonts w:eastAsia="Times New Roman"/>
                <w:lang w:eastAsia="en-AU"/>
              </w:rPr>
              <w:t>]</w:t>
            </w:r>
          </w:p>
        </w:tc>
      </w:tr>
      <w:tr w:rsidR="0030293D" w:rsidRPr="00470AD4" w14:paraId="0A5A6044" w14:textId="77777777" w:rsidTr="00C270C5">
        <w:tc>
          <w:tcPr>
            <w:tcW w:w="2268" w:type="dxa"/>
          </w:tcPr>
          <w:p w14:paraId="7E848DA9" w14:textId="77777777" w:rsidR="0030293D" w:rsidRPr="0030293D" w:rsidRDefault="0030293D" w:rsidP="0030293D">
            <w:pPr>
              <w:pStyle w:val="Body"/>
              <w:rPr>
                <w:i/>
              </w:rPr>
            </w:pPr>
            <w:r w:rsidRPr="0030293D">
              <w:rPr>
                <w:i/>
              </w:rPr>
              <w:t>Q</w:t>
            </w:r>
          </w:p>
        </w:tc>
        <w:tc>
          <w:tcPr>
            <w:tcW w:w="6946" w:type="dxa"/>
          </w:tcPr>
          <w:p w14:paraId="3E3B773E" w14:textId="77777777" w:rsidR="0030293D" w:rsidRPr="0030293D" w:rsidRDefault="0030293D" w:rsidP="005574E1">
            <w:pPr>
              <w:pStyle w:val="Body"/>
              <w:rPr>
                <w:rFonts w:eastAsia="Times New Roman"/>
                <w:lang w:eastAsia="en-AU"/>
              </w:rPr>
            </w:pPr>
            <w:r>
              <w:rPr>
                <w:rFonts w:eastAsia="Times New Roman"/>
                <w:lang w:eastAsia="en-AU"/>
              </w:rPr>
              <w:t xml:space="preserve">volumetric </w:t>
            </w:r>
            <w:r w:rsidR="003E65A5">
              <w:rPr>
                <w:rFonts w:eastAsia="Times New Roman"/>
                <w:lang w:eastAsia="en-AU"/>
              </w:rPr>
              <w:t>fluid</w:t>
            </w:r>
            <w:r>
              <w:rPr>
                <w:rFonts w:eastAsia="Times New Roman"/>
                <w:lang w:eastAsia="en-AU"/>
              </w:rPr>
              <w:t xml:space="preserve"> flux [</w:t>
            </w:r>
            <w:r w:rsidR="005574E1">
              <w:rPr>
                <w:rFonts w:eastAsia="Times New Roman"/>
                <w:lang w:eastAsia="en-AU"/>
              </w:rPr>
              <w:t>L</w:t>
            </w:r>
            <w:r w:rsidR="005574E1">
              <w:rPr>
                <w:rFonts w:eastAsia="Times New Roman"/>
                <w:vertAlign w:val="superscript"/>
                <w:lang w:eastAsia="en-AU"/>
              </w:rPr>
              <w:t>3</w:t>
            </w:r>
            <w:r>
              <w:rPr>
                <w:rFonts w:eastAsia="Times New Roman"/>
                <w:lang w:eastAsia="en-AU"/>
              </w:rPr>
              <w:t>.</w:t>
            </w:r>
            <w:r w:rsidR="005574E1">
              <w:rPr>
                <w:rFonts w:eastAsia="Times New Roman"/>
                <w:lang w:eastAsia="en-AU"/>
              </w:rPr>
              <w:t>T</w:t>
            </w:r>
            <w:r>
              <w:rPr>
                <w:rFonts w:eastAsia="Times New Roman"/>
                <w:vertAlign w:val="superscript"/>
                <w:lang w:eastAsia="en-AU"/>
              </w:rPr>
              <w:t>-1</w:t>
            </w:r>
            <w:r>
              <w:rPr>
                <w:rFonts w:eastAsia="Times New Roman"/>
                <w:lang w:eastAsia="en-AU"/>
              </w:rPr>
              <w:t>]</w:t>
            </w:r>
          </w:p>
        </w:tc>
      </w:tr>
      <w:tr w:rsidR="0030293D" w:rsidRPr="00470AD4" w14:paraId="41AC82DA" w14:textId="77777777" w:rsidTr="00C270C5">
        <w:tc>
          <w:tcPr>
            <w:tcW w:w="2268" w:type="dxa"/>
          </w:tcPr>
          <w:p w14:paraId="482BC2E8" w14:textId="77777777" w:rsidR="0030293D" w:rsidRPr="0030293D" w:rsidRDefault="0030293D" w:rsidP="0030293D">
            <w:pPr>
              <w:pStyle w:val="Body"/>
              <w:rPr>
                <w:i/>
              </w:rPr>
            </w:pPr>
            <w:r w:rsidRPr="0030293D">
              <w:rPr>
                <w:i/>
              </w:rPr>
              <w:t>v</w:t>
            </w:r>
          </w:p>
        </w:tc>
        <w:tc>
          <w:tcPr>
            <w:tcW w:w="6946" w:type="dxa"/>
          </w:tcPr>
          <w:p w14:paraId="51E10C95" w14:textId="77777777" w:rsidR="0030293D" w:rsidRPr="003048ED" w:rsidRDefault="0030293D" w:rsidP="005574E1">
            <w:pPr>
              <w:pStyle w:val="Body"/>
            </w:pPr>
            <w:r>
              <w:t xml:space="preserve">linear </w:t>
            </w:r>
            <w:r w:rsidR="003E65A5">
              <w:rPr>
                <w:rFonts w:eastAsia="Times New Roman"/>
                <w:lang w:eastAsia="en-AU"/>
              </w:rPr>
              <w:t xml:space="preserve">fluid </w:t>
            </w:r>
            <w:r>
              <w:t xml:space="preserve">flux </w:t>
            </w:r>
            <w:r>
              <w:rPr>
                <w:rFonts w:eastAsia="Times New Roman"/>
                <w:lang w:eastAsia="en-AU"/>
              </w:rPr>
              <w:t>[</w:t>
            </w:r>
            <w:r w:rsidR="005574E1">
              <w:rPr>
                <w:rFonts w:eastAsia="Times New Roman"/>
                <w:lang w:eastAsia="en-AU"/>
              </w:rPr>
              <w:t>L</w:t>
            </w:r>
            <w:r>
              <w:rPr>
                <w:rFonts w:eastAsia="Times New Roman"/>
                <w:lang w:eastAsia="en-AU"/>
              </w:rPr>
              <w:t>.</w:t>
            </w:r>
            <w:r w:rsidR="005574E1">
              <w:rPr>
                <w:rFonts w:eastAsia="Times New Roman"/>
                <w:lang w:eastAsia="en-AU"/>
              </w:rPr>
              <w:t>T</w:t>
            </w:r>
            <w:r>
              <w:rPr>
                <w:rFonts w:eastAsia="Times New Roman"/>
                <w:vertAlign w:val="superscript"/>
                <w:lang w:eastAsia="en-AU"/>
              </w:rPr>
              <w:t>-1</w:t>
            </w:r>
            <w:r>
              <w:rPr>
                <w:rFonts w:eastAsia="Times New Roman"/>
                <w:lang w:eastAsia="en-AU"/>
              </w:rPr>
              <w:t>]</w:t>
            </w:r>
          </w:p>
        </w:tc>
      </w:tr>
    </w:tbl>
    <w:p w14:paraId="1224AD0E" w14:textId="77777777" w:rsidR="00C270C5" w:rsidRDefault="00C270C5" w:rsidP="00C270C5">
      <w:pPr>
        <w:pStyle w:val="BodyText"/>
      </w:pPr>
    </w:p>
    <w:p w14:paraId="240FACFB" w14:textId="77777777" w:rsidR="00F400AD" w:rsidRDefault="00F400AD">
      <w:pPr>
        <w:rPr>
          <w:rFonts w:eastAsia="Times New Roman"/>
          <w:lang w:eastAsia="en-AU"/>
        </w:rPr>
      </w:pPr>
    </w:p>
    <w:p w14:paraId="086BEA2F" w14:textId="77777777" w:rsidR="00F400AD" w:rsidRDefault="00F400AD">
      <w:pPr>
        <w:rPr>
          <w:rFonts w:ascii="Calibri" w:eastAsia="Times New Roman" w:hAnsi="Calibri" w:cs="Calibri"/>
          <w:color w:val="000000"/>
          <w:sz w:val="18"/>
          <w:szCs w:val="18"/>
          <w:lang w:val="en-GB" w:eastAsia="en-AU"/>
        </w:rPr>
      </w:pPr>
      <w:r>
        <w:rPr>
          <w:rFonts w:eastAsia="Times New Roman"/>
          <w:lang w:eastAsia="en-AU"/>
        </w:rPr>
        <w:br w:type="page"/>
      </w:r>
    </w:p>
    <w:p w14:paraId="2F03CE1D" w14:textId="77777777" w:rsidR="00DD54F3" w:rsidRPr="00DD54F3" w:rsidRDefault="00DD54F3" w:rsidP="00DD54F3">
      <w:pPr>
        <w:pStyle w:val="H1"/>
        <w:rPr>
          <w:rFonts w:ascii="Calibri" w:hAnsi="Calibri"/>
        </w:rPr>
      </w:pPr>
      <w:r w:rsidRPr="00DD54F3">
        <w:rPr>
          <w:rFonts w:ascii="Calibri" w:hAnsi="Calibri"/>
        </w:rPr>
        <w:t>Acknowledgements</w:t>
      </w:r>
    </w:p>
    <w:p w14:paraId="4006FB7D" w14:textId="68E4E9C0" w:rsidR="00F400AD" w:rsidRDefault="00DD54F3" w:rsidP="00F400AD">
      <w:pPr>
        <w:pStyle w:val="Body"/>
      </w:pPr>
      <w:r w:rsidRPr="00B9544F">
        <w:t>The authors would like to acknowledge the Commonwealth Department of the Environment</w:t>
      </w:r>
      <w:r w:rsidR="00512C80">
        <w:t xml:space="preserve"> and Energy</w:t>
      </w:r>
      <w:r w:rsidRPr="00B9544F">
        <w:t xml:space="preserve"> for funding the project “Research to improve treatment of faults and aquitards in Australian regional groundwater models to improve assessment of impacts of CSG extraction”. </w:t>
      </w:r>
      <w:r w:rsidR="00A423DF" w:rsidRPr="00B9544F">
        <w:t xml:space="preserve">The report was subject to internal </w:t>
      </w:r>
      <w:r w:rsidR="009E76A6">
        <w:t xml:space="preserve">peer </w:t>
      </w:r>
      <w:r w:rsidR="00A423DF" w:rsidRPr="00B9544F">
        <w:t xml:space="preserve">review processes during its development and </w:t>
      </w:r>
      <w:r w:rsidRPr="00B9544F">
        <w:t xml:space="preserve">benefitted from </w:t>
      </w:r>
      <w:r w:rsidR="008E7895">
        <w:t>reviews undertaken by</w:t>
      </w:r>
      <w:r w:rsidR="009574DC" w:rsidRPr="00B9544F">
        <w:t xml:space="preserve"> </w:t>
      </w:r>
      <w:r w:rsidR="001C33C3">
        <w:t xml:space="preserve">Dr. </w:t>
      </w:r>
      <w:r w:rsidR="009574DC" w:rsidRPr="00B9544F">
        <w:t>Ludovic Ricard (C</w:t>
      </w:r>
      <w:r w:rsidR="00A423DF" w:rsidRPr="00B9544F">
        <w:t>S</w:t>
      </w:r>
      <w:r w:rsidR="009574DC" w:rsidRPr="00B9544F">
        <w:t>IRO</w:t>
      </w:r>
      <w:r w:rsidR="00A423DF" w:rsidRPr="00B9544F">
        <w:t xml:space="preserve"> Energy</w:t>
      </w:r>
      <w:r w:rsidR="009574DC" w:rsidRPr="00B9544F">
        <w:t>)</w:t>
      </w:r>
      <w:r w:rsidR="007D64CD">
        <w:t>,</w:t>
      </w:r>
      <w:r w:rsidR="009574DC" w:rsidRPr="00B9544F">
        <w:t xml:space="preserve"> </w:t>
      </w:r>
      <w:r w:rsidR="001C33C3">
        <w:t xml:space="preserve">Dr. </w:t>
      </w:r>
      <w:r w:rsidR="009574DC" w:rsidRPr="00B9544F">
        <w:t>Rodrigo Rojas (CSIRO</w:t>
      </w:r>
      <w:r w:rsidR="00A423DF" w:rsidRPr="00B9544F">
        <w:t xml:space="preserve"> Land and Water</w:t>
      </w:r>
      <w:r w:rsidR="009574DC" w:rsidRPr="00B9544F">
        <w:t>)</w:t>
      </w:r>
      <w:r w:rsidR="00D72C22">
        <w:t>,</w:t>
      </w:r>
      <w:r w:rsidR="007D64CD">
        <w:t xml:space="preserve"> Dr. Jim Underschultz (</w:t>
      </w:r>
      <w:r w:rsidR="007D64CD" w:rsidRPr="007D64CD">
        <w:t>University of Queensland</w:t>
      </w:r>
      <w:r w:rsidR="007D64CD">
        <w:t>)</w:t>
      </w:r>
      <w:r w:rsidR="00D72C22">
        <w:t xml:space="preserve"> and Dr. Catherine Moore (GNS Science, New Zealand)</w:t>
      </w:r>
      <w:r w:rsidR="009574DC" w:rsidRPr="00B9544F">
        <w:t xml:space="preserve">. </w:t>
      </w:r>
      <w:r w:rsidR="00A423DF" w:rsidRPr="00B9544F">
        <w:t xml:space="preserve">The authors also thank CDM Smith, the Office of Groundwater Impact Assessment (Qld), Origin Energy, the Queensland Gas Company, and Santos Ltd for their assistance in the preparation of </w:t>
      </w:r>
      <w:r w:rsidR="002E74E0">
        <w:t xml:space="preserve">those </w:t>
      </w:r>
      <w:r w:rsidR="00A423DF" w:rsidRPr="00B9544F">
        <w:t xml:space="preserve">parts of this </w:t>
      </w:r>
      <w:r w:rsidR="009E76A6">
        <w:t>over</w:t>
      </w:r>
      <w:r w:rsidR="00A423DF" w:rsidRPr="00B9544F">
        <w:t>view</w:t>
      </w:r>
      <w:r w:rsidR="002E74E0">
        <w:t xml:space="preserve"> that relate to groundwater flow modelling of coal seam gas related activities in Australia</w:t>
      </w:r>
      <w:r w:rsidR="00A423DF" w:rsidRPr="00B9544F">
        <w:t>.</w:t>
      </w:r>
      <w:r w:rsidR="00B26410">
        <w:t xml:space="preserve"> </w:t>
      </w:r>
    </w:p>
    <w:p w14:paraId="54D9DB0E" w14:textId="77777777" w:rsidR="00BA6CFE" w:rsidRDefault="00BA6CFE">
      <w:pPr>
        <w:sectPr w:rsidR="00BA6CFE" w:rsidSect="00BA6CFE">
          <w:headerReference w:type="even" r:id="rId32"/>
          <w:headerReference w:type="default" r:id="rId33"/>
          <w:footerReference w:type="even" r:id="rId34"/>
          <w:footerReference w:type="default" r:id="rId35"/>
          <w:headerReference w:type="first" r:id="rId36"/>
          <w:pgSz w:w="11900" w:h="16840"/>
          <w:pgMar w:top="1440" w:right="1440" w:bottom="1440" w:left="1440" w:header="0" w:footer="0" w:gutter="0"/>
          <w:pgNumType w:fmt="lowerRoman"/>
          <w:cols w:space="284"/>
          <w:noEndnote/>
          <w:docGrid w:linePitch="326"/>
        </w:sectPr>
      </w:pPr>
    </w:p>
    <w:p w14:paraId="0260119C" w14:textId="77777777" w:rsidR="002611C1" w:rsidRPr="007D01DE" w:rsidRDefault="0092387D" w:rsidP="002611C1">
      <w:pPr>
        <w:pStyle w:val="H1"/>
        <w:rPr>
          <w:rFonts w:ascii="Calibri" w:hAnsi="Calibri"/>
        </w:rPr>
      </w:pPr>
      <w:r w:rsidRPr="007D01DE">
        <w:rPr>
          <w:rFonts w:ascii="Calibri" w:hAnsi="Calibri"/>
        </w:rPr>
        <w:t>E</w:t>
      </w:r>
      <w:r w:rsidR="002611C1" w:rsidRPr="007D01DE">
        <w:rPr>
          <w:rFonts w:ascii="Calibri" w:hAnsi="Calibri"/>
        </w:rPr>
        <w:t>x</w:t>
      </w:r>
      <w:r w:rsidRPr="007D01DE">
        <w:rPr>
          <w:rFonts w:ascii="Calibri" w:hAnsi="Calibri"/>
        </w:rPr>
        <w:t>ecu</w:t>
      </w:r>
      <w:r w:rsidR="002611C1" w:rsidRPr="007D01DE">
        <w:rPr>
          <w:rFonts w:ascii="Calibri" w:hAnsi="Calibri"/>
        </w:rPr>
        <w:t>ti</w:t>
      </w:r>
      <w:r w:rsidRPr="007D01DE">
        <w:rPr>
          <w:rFonts w:ascii="Calibri" w:hAnsi="Calibri"/>
        </w:rPr>
        <w:t>ve summary</w:t>
      </w:r>
    </w:p>
    <w:p w14:paraId="06AA6039" w14:textId="77777777" w:rsidR="0071781B" w:rsidRDefault="00AB53B9" w:rsidP="00E713C3">
      <w:pPr>
        <w:pStyle w:val="Body"/>
      </w:pPr>
      <w:r>
        <w:t>The project “</w:t>
      </w:r>
      <w:r w:rsidR="00E713C3" w:rsidRPr="00E713C3">
        <w:t xml:space="preserve">Research to improve treatment of faults and aquitards in Australian regional groundwater models to improve assessment of impacts of </w:t>
      </w:r>
      <w:r w:rsidR="00A10AFA">
        <w:t>coal seam gas (</w:t>
      </w:r>
      <w:r w:rsidR="00E713C3" w:rsidRPr="00E713C3">
        <w:t>CSG</w:t>
      </w:r>
      <w:r w:rsidR="00A10AFA">
        <w:t>)</w:t>
      </w:r>
      <w:r w:rsidR="00E713C3" w:rsidRPr="00E713C3">
        <w:t xml:space="preserve"> extraction</w:t>
      </w:r>
      <w:r>
        <w:t xml:space="preserve">” </w:t>
      </w:r>
      <w:r w:rsidRPr="00AB53B9">
        <w:t xml:space="preserve">focuses on identifying and assessing the risks associated with deep groundwater extraction and depressurisation </w:t>
      </w:r>
      <w:r w:rsidR="007D64CD">
        <w:t xml:space="preserve">from </w:t>
      </w:r>
      <w:r w:rsidRPr="00AB53B9">
        <w:t>energy resource development.  The project aims to develop methodologies and techniques that will improve the predictive capability of regional groundwater models used in this context</w:t>
      </w:r>
      <w:r w:rsidR="00886315">
        <w:t xml:space="preserve">, specifically with respect to the </w:t>
      </w:r>
      <w:r w:rsidR="00C05096">
        <w:t xml:space="preserve">representation </w:t>
      </w:r>
      <w:r w:rsidR="00886315">
        <w:t xml:space="preserve">of faults and </w:t>
      </w:r>
      <w:r w:rsidR="00C05096">
        <w:t>aquitards</w:t>
      </w:r>
      <w:r w:rsidRPr="00AB53B9">
        <w:t xml:space="preserve">.  The project has three components: 1) </w:t>
      </w:r>
      <w:r w:rsidR="005F279C">
        <w:t xml:space="preserve">an </w:t>
      </w:r>
      <w:r w:rsidRPr="00AB53B9">
        <w:t xml:space="preserve">examination of aquitards, 2) </w:t>
      </w:r>
      <w:r w:rsidR="005F279C">
        <w:t xml:space="preserve">an </w:t>
      </w:r>
      <w:r w:rsidRPr="00AB53B9">
        <w:t xml:space="preserve">examination of faults, and 3) </w:t>
      </w:r>
      <w:r w:rsidR="005F279C">
        <w:t xml:space="preserve">an </w:t>
      </w:r>
      <w:r w:rsidRPr="00AB53B9">
        <w:t xml:space="preserve">examination of </w:t>
      </w:r>
      <w:r w:rsidR="005F279C">
        <w:t xml:space="preserve">the </w:t>
      </w:r>
      <w:r w:rsidRPr="00AB53B9">
        <w:t xml:space="preserve">upscaling </w:t>
      </w:r>
      <w:r w:rsidR="005F279C">
        <w:t xml:space="preserve">of </w:t>
      </w:r>
      <w:r w:rsidRPr="00AB53B9">
        <w:t xml:space="preserve">aquitard and fault properties such that they can be adequately represented in regional groundwater flow models.  </w:t>
      </w:r>
    </w:p>
    <w:p w14:paraId="3A9041F9" w14:textId="6FB8765F" w:rsidR="00E713C3" w:rsidRDefault="00AB53B9" w:rsidP="00E713C3">
      <w:pPr>
        <w:pStyle w:val="Body"/>
      </w:pPr>
      <w:r w:rsidRPr="00AB53B9">
        <w:t xml:space="preserve">This report </w:t>
      </w:r>
      <w:r w:rsidR="0071781B" w:rsidRPr="0071781B">
        <w:t xml:space="preserve">provides an overview of approaches to simulating the hydrological influence of aquitards and faults in regional groundwater models, and </w:t>
      </w:r>
      <w:r w:rsidR="005F279C">
        <w:t xml:space="preserve">also includes </w:t>
      </w:r>
      <w:r w:rsidR="00886315">
        <w:t>a</w:t>
      </w:r>
      <w:r w:rsidR="005F279C">
        <w:t xml:space="preserve"> summary </w:t>
      </w:r>
      <w:r w:rsidR="00886315">
        <w:t xml:space="preserve">of the </w:t>
      </w:r>
      <w:r w:rsidRPr="00AB53B9">
        <w:t>literature relat</w:t>
      </w:r>
      <w:r w:rsidR="005F279C">
        <w:t>ing</w:t>
      </w:r>
      <w:r w:rsidRPr="00AB53B9">
        <w:t xml:space="preserve"> to </w:t>
      </w:r>
      <w:r w:rsidR="00886315">
        <w:t xml:space="preserve">the third component of the report, </w:t>
      </w:r>
      <w:r w:rsidR="005F279C">
        <w:t xml:space="preserve">i.e. </w:t>
      </w:r>
      <w:r w:rsidR="00E9094E">
        <w:t>regional scale groundwater modelling approaches</w:t>
      </w:r>
      <w:r w:rsidRPr="00AB53B9">
        <w:t>.</w:t>
      </w:r>
      <w:r w:rsidR="00E9094E">
        <w:t xml:space="preserve"> The </w:t>
      </w:r>
      <w:r w:rsidR="009E76A6">
        <w:t>ove</w:t>
      </w:r>
      <w:r w:rsidR="00E9094E">
        <w:t xml:space="preserve">rview provides </w:t>
      </w:r>
      <w:r w:rsidR="00A25F4E">
        <w:t xml:space="preserve">a </w:t>
      </w:r>
      <w:r w:rsidR="00E9094E">
        <w:t xml:space="preserve">framework that can be used to guide research </w:t>
      </w:r>
      <w:r w:rsidR="005F279C">
        <w:t>into</w:t>
      </w:r>
      <w:r w:rsidR="00C05096">
        <w:t xml:space="preserve"> </w:t>
      </w:r>
      <w:r w:rsidR="00E9094E">
        <w:t xml:space="preserve">appropriate methodologies and procedures </w:t>
      </w:r>
      <w:r w:rsidR="00C05096">
        <w:t xml:space="preserve">for </w:t>
      </w:r>
      <w:r w:rsidR="00E9094E">
        <w:t>aquitard and fault zone representation in regional groundwater models.</w:t>
      </w:r>
      <w:r w:rsidR="00430485">
        <w:t xml:space="preserve"> Specifically this study:</w:t>
      </w:r>
    </w:p>
    <w:p w14:paraId="14C3C0D7" w14:textId="70662A89" w:rsidR="00430485" w:rsidRDefault="00430485" w:rsidP="00A45100">
      <w:pPr>
        <w:pStyle w:val="Body"/>
        <w:numPr>
          <w:ilvl w:val="0"/>
          <w:numId w:val="51"/>
        </w:numPr>
      </w:pPr>
      <w:r>
        <w:t>Provide</w:t>
      </w:r>
      <w:r w:rsidR="0071781B">
        <w:t>s</w:t>
      </w:r>
      <w:r>
        <w:t xml:space="preserve"> an overview of sources of uncertainty (</w:t>
      </w:r>
      <w:r w:rsidRPr="005E6197">
        <w:t>aleatory and epistemic</w:t>
      </w:r>
      <w:r>
        <w:t>) and discussed methods to quantify their impact on groundwater flow and chemical transport</w:t>
      </w:r>
    </w:p>
    <w:p w14:paraId="4C95077D" w14:textId="706FEC22" w:rsidR="00430485" w:rsidRDefault="00FC738E" w:rsidP="00A45100">
      <w:pPr>
        <w:pStyle w:val="Body"/>
        <w:numPr>
          <w:ilvl w:val="0"/>
          <w:numId w:val="51"/>
        </w:numPr>
      </w:pPr>
      <w:r>
        <w:t>Discusse</w:t>
      </w:r>
      <w:r w:rsidR="0071781B">
        <w:t>s</w:t>
      </w:r>
      <w:r>
        <w:t xml:space="preserve"> four key physical processes involved in coal seam gas extraction at a local scale: dual domain flow, gas desorption, dual phase flow, and geomechanical deformation</w:t>
      </w:r>
    </w:p>
    <w:p w14:paraId="74D278F6" w14:textId="5F04FDF7" w:rsidR="00FC738E" w:rsidRDefault="00FC738E" w:rsidP="00A45100">
      <w:pPr>
        <w:pStyle w:val="Body"/>
        <w:numPr>
          <w:ilvl w:val="0"/>
          <w:numId w:val="51"/>
        </w:numPr>
      </w:pPr>
      <w:r>
        <w:t>Review</w:t>
      </w:r>
      <w:r w:rsidR="0071781B">
        <w:t>s</w:t>
      </w:r>
      <w:r>
        <w:t xml:space="preserve"> hydraulic conductivity measurement methods across a range of spatial scales (core, bore, regional)</w:t>
      </w:r>
    </w:p>
    <w:p w14:paraId="66F1A5CD" w14:textId="71934BC2" w:rsidR="00FC738E" w:rsidRDefault="000C214C" w:rsidP="00A45100">
      <w:pPr>
        <w:pStyle w:val="Body"/>
        <w:numPr>
          <w:ilvl w:val="0"/>
          <w:numId w:val="51"/>
        </w:numPr>
      </w:pPr>
      <w:r>
        <w:t>Provide</w:t>
      </w:r>
      <w:r w:rsidR="0071781B">
        <w:t>s</w:t>
      </w:r>
      <w:r>
        <w:t xml:space="preserve"> examples of how soft data (mostly of a qualitative nature but plentiful in either the horizontal or vertical plane) may be used to derive improved estimates of hard (but sparse) data such as hydraulic conductivity</w:t>
      </w:r>
    </w:p>
    <w:p w14:paraId="4BC722B7" w14:textId="15BEED61" w:rsidR="000C214C" w:rsidRDefault="000C214C" w:rsidP="00A45100">
      <w:pPr>
        <w:pStyle w:val="Body"/>
        <w:numPr>
          <w:ilvl w:val="0"/>
          <w:numId w:val="51"/>
        </w:numPr>
      </w:pPr>
      <w:r>
        <w:t>Discusse</w:t>
      </w:r>
      <w:r w:rsidR="0071781B">
        <w:t>s</w:t>
      </w:r>
      <w:r>
        <w:t xml:space="preserve"> local and global upscaling methods and their advantages/disadvantages in a CSG impact assessment context</w:t>
      </w:r>
    </w:p>
    <w:p w14:paraId="46D69D13" w14:textId="087BF5BB" w:rsidR="000C214C" w:rsidRDefault="000C214C" w:rsidP="00A45100">
      <w:pPr>
        <w:pStyle w:val="Body"/>
        <w:numPr>
          <w:ilvl w:val="0"/>
          <w:numId w:val="51"/>
        </w:numPr>
      </w:pPr>
      <w:r>
        <w:t>Review</w:t>
      </w:r>
      <w:r w:rsidR="0071781B">
        <w:t>s</w:t>
      </w:r>
      <w:r>
        <w:t xml:space="preserve"> simulation-based spatial interpolation methods, including Monte Carlo sampling, two-point statistics, multi-point statistics, and transition probability geostatistics</w:t>
      </w:r>
    </w:p>
    <w:p w14:paraId="66214B41" w14:textId="7EF38465" w:rsidR="009F6C95" w:rsidRPr="00A45100" w:rsidRDefault="009F6C95" w:rsidP="00A45100">
      <w:pPr>
        <w:pStyle w:val="Body"/>
        <w:numPr>
          <w:ilvl w:val="0"/>
          <w:numId w:val="51"/>
        </w:numPr>
      </w:pPr>
      <w:r>
        <w:t>Provide</w:t>
      </w:r>
      <w:r w:rsidR="0071781B">
        <w:t>s</w:t>
      </w:r>
      <w:r>
        <w:t xml:space="preserve"> a review of structural features including geological faults and fractured zones, in particular fault architecture and distributions and processes that alter fault zone permeability; identified that </w:t>
      </w:r>
      <w:r>
        <w:rPr>
          <w:color w:val="auto"/>
        </w:rPr>
        <w:t>representation of faults in groundwater flow models for CSG-related impact assessments in Australia is rare</w:t>
      </w:r>
    </w:p>
    <w:p w14:paraId="58D2E822" w14:textId="4F5DD562" w:rsidR="009F6C95" w:rsidRDefault="009F6C95" w:rsidP="00A45100">
      <w:pPr>
        <w:pStyle w:val="Body"/>
        <w:numPr>
          <w:ilvl w:val="0"/>
          <w:numId w:val="51"/>
        </w:numPr>
      </w:pPr>
      <w:r>
        <w:t>Discusse</w:t>
      </w:r>
      <w:r w:rsidR="0071781B">
        <w:t>s</w:t>
      </w:r>
      <w:r>
        <w:t xml:space="preserve"> equivalent porous media approaches for representation of combined matrix and fracture flow in </w:t>
      </w:r>
      <w:r w:rsidR="003A385B">
        <w:t>fractured</w:t>
      </w:r>
      <w:r>
        <w:t xml:space="preserve"> zones, including dual domain and discrete fracture network approaches</w:t>
      </w:r>
    </w:p>
    <w:p w14:paraId="456A82F9" w14:textId="0DA0D45F" w:rsidR="000C214C" w:rsidRDefault="009F6C95" w:rsidP="00A45100">
      <w:pPr>
        <w:pStyle w:val="Body"/>
        <w:numPr>
          <w:ilvl w:val="0"/>
          <w:numId w:val="51"/>
        </w:numPr>
      </w:pPr>
      <w:r>
        <w:t>Analyse</w:t>
      </w:r>
      <w:r w:rsidR="0071781B">
        <w:t>s</w:t>
      </w:r>
      <w:r>
        <w:t xml:space="preserve"> </w:t>
      </w:r>
      <w:r w:rsidRPr="0032201E">
        <w:t xml:space="preserve">ten </w:t>
      </w:r>
      <w:r w:rsidR="0071781B">
        <w:t xml:space="preserve">Australian </w:t>
      </w:r>
      <w:r w:rsidRPr="0032201E">
        <w:t>CSG impact studies involving groundwater flow models</w:t>
      </w:r>
      <w:r>
        <w:t xml:space="preserve"> for the Surat Basin</w:t>
      </w:r>
      <w:r w:rsidR="0071781B">
        <w:t xml:space="preserve"> and</w:t>
      </w:r>
      <w:r>
        <w:t xml:space="preserve"> Bowen Basin</w:t>
      </w:r>
      <w:r w:rsidR="0071781B">
        <w:t>s (Queensland)</w:t>
      </w:r>
      <w:r>
        <w:t xml:space="preserve">, Gunnedah Basin </w:t>
      </w:r>
      <w:r w:rsidR="0071781B">
        <w:t xml:space="preserve">(New South Wales) </w:t>
      </w:r>
      <w:r>
        <w:t>and Gippsland Basin</w:t>
      </w:r>
      <w:r w:rsidR="0071781B">
        <w:t xml:space="preserve"> (Victoria)</w:t>
      </w:r>
      <w:r w:rsidR="00A06671">
        <w:t>. M</w:t>
      </w:r>
      <w:r w:rsidR="00A06671" w:rsidRPr="0032201E">
        <w:t xml:space="preserve">odels </w:t>
      </w:r>
      <w:r w:rsidR="00A06671">
        <w:t>were</w:t>
      </w:r>
      <w:r w:rsidR="00A06671" w:rsidRPr="0032201E">
        <w:t xml:space="preserve"> summarised with respect to the key </w:t>
      </w:r>
      <w:r w:rsidR="00FB35AB">
        <w:t xml:space="preserve">local scale physical processes and </w:t>
      </w:r>
      <w:r w:rsidR="00A06671" w:rsidRPr="0032201E">
        <w:t xml:space="preserve">regional scale considerations identified in this report, </w:t>
      </w:r>
      <w:r w:rsidR="00FB35AB">
        <w:t xml:space="preserve">including dual phase flow, </w:t>
      </w:r>
      <w:r w:rsidR="00A06671" w:rsidRPr="0032201E">
        <w:t>parameter upscaling and regionalisation, and representations of faults and fracture zones</w:t>
      </w:r>
      <w:r w:rsidR="00FB35AB">
        <w:t>.</w:t>
      </w:r>
    </w:p>
    <w:p w14:paraId="1AD574EE" w14:textId="2F7F27FA" w:rsidR="003341EA" w:rsidRPr="0032201E" w:rsidRDefault="00FB35AB">
      <w:pPr>
        <w:pStyle w:val="Body"/>
        <w:numPr>
          <w:ilvl w:val="0"/>
          <w:numId w:val="51"/>
        </w:numPr>
      </w:pPr>
      <w:r>
        <w:t>Highlight</w:t>
      </w:r>
      <w:r w:rsidR="0071781B">
        <w:t>s</w:t>
      </w:r>
      <w:r>
        <w:t xml:space="preserve"> the highly simplified representation of such local scale processes and regional scale considerations in the majority of groundwater models used in those ten CSG impact studies. Simplifications involved </w:t>
      </w:r>
      <w:r w:rsidR="00CB58BF">
        <w:t xml:space="preserve">adopting spatially uniform values of hydraulic conductivity and storativity for aquitards, thus </w:t>
      </w:r>
      <w:r>
        <w:t>neglecting the spatial heterogeneity</w:t>
      </w:r>
      <w:r w:rsidR="00CB58BF">
        <w:t>.</w:t>
      </w:r>
      <w:r>
        <w:t xml:space="preserve"> </w:t>
      </w:r>
      <w:r w:rsidR="00CB58BF">
        <w:t>The lack of data with regards to fault architecture and fault hydraulic properties means their representation in groundwater flow models is also very simplified</w:t>
      </w:r>
      <w:r w:rsidR="003341EA">
        <w:t xml:space="preserve">: the only two studies that had reported inclusion of faults did so by </w:t>
      </w:r>
      <w:r w:rsidR="003341EA" w:rsidRPr="0032201E">
        <w:t>modif</w:t>
      </w:r>
      <w:r w:rsidR="003341EA">
        <w:t>ying</w:t>
      </w:r>
      <w:r w:rsidR="003341EA" w:rsidRPr="0032201E">
        <w:t xml:space="preserve"> the conductance between neighbouring model cells in order to represent barriers or conduits to flow. </w:t>
      </w:r>
      <w:r w:rsidR="003341EA">
        <w:t>T</w:t>
      </w:r>
      <w:r w:rsidR="003341EA" w:rsidRPr="0032201E">
        <w:t>his approach cannot be used to represent complex anisotropic fault conceptualisations</w:t>
      </w:r>
      <w:r w:rsidR="003341EA">
        <w:t xml:space="preserve"> (e.g., </w:t>
      </w:r>
      <w:r w:rsidR="00AE5A01">
        <w:t xml:space="preserve">cross-fault </w:t>
      </w:r>
      <w:r w:rsidR="003341EA" w:rsidRPr="0032201E">
        <w:t>barrier</w:t>
      </w:r>
      <w:r w:rsidR="00AE5A01">
        <w:t>/along-fault</w:t>
      </w:r>
      <w:r w:rsidR="003341EA" w:rsidRPr="0032201E">
        <w:t xml:space="preserve"> conduit structure</w:t>
      </w:r>
      <w:r w:rsidR="003341EA">
        <w:t>); also, f</w:t>
      </w:r>
      <w:r w:rsidR="003341EA" w:rsidRPr="0032201E">
        <w:t xml:space="preserve">racture zones </w:t>
      </w:r>
      <w:r w:rsidR="003341EA">
        <w:t xml:space="preserve">surrounding the fault core </w:t>
      </w:r>
      <w:r w:rsidR="003341EA" w:rsidRPr="0032201E">
        <w:t>were not simulated in any of the models.</w:t>
      </w:r>
    </w:p>
    <w:p w14:paraId="3BE9FE81" w14:textId="170CCD22" w:rsidR="003341EA" w:rsidRDefault="00512FF0" w:rsidP="00A45100">
      <w:pPr>
        <w:pStyle w:val="Body"/>
        <w:numPr>
          <w:ilvl w:val="0"/>
          <w:numId w:val="51"/>
        </w:numPr>
      </w:pPr>
      <w:r>
        <w:t>Identifie</w:t>
      </w:r>
      <w:r w:rsidR="0071781B">
        <w:t>s</w:t>
      </w:r>
      <w:r>
        <w:t xml:space="preserve"> key knowledge and data gaps in regards to developing simplified, but defensible, regional scale groundwater flow models incorporating fit-for-purpose representations of aquitards and faults. </w:t>
      </w:r>
      <w:r w:rsidR="00F14A4D">
        <w:t>While</w:t>
      </w:r>
      <w:r>
        <w:t xml:space="preserve"> use of simplified models is an undeniable necessity, given the limitations regarding computational resources and data coverage, </w:t>
      </w:r>
      <w:r w:rsidR="00F14A4D">
        <w:t>simplifications</w:t>
      </w:r>
      <w:r>
        <w:t xml:space="preserve"> must be justified and based on </w:t>
      </w:r>
      <w:r w:rsidR="00F14A4D">
        <w:t>application of accepted methodologies such as</w:t>
      </w:r>
      <w:r>
        <w:t xml:space="preserve"> </w:t>
      </w:r>
      <w:r w:rsidR="00F14A4D">
        <w:t>deriving</w:t>
      </w:r>
      <w:r>
        <w:t xml:space="preserve"> equivalent properties </w:t>
      </w:r>
      <w:r w:rsidR="00F14A4D">
        <w:t>through</w:t>
      </w:r>
      <w:r>
        <w:t xml:space="preserve"> robust upscaling. Often, however, there are insufficient data to derive meaningful equivalent properties in the first place. </w:t>
      </w:r>
      <w:r w:rsidR="00F14A4D">
        <w:t>T</w:t>
      </w:r>
      <w:r>
        <w:t xml:space="preserve">here is </w:t>
      </w:r>
      <w:r w:rsidR="00F14A4D">
        <w:t xml:space="preserve">therefore </w:t>
      </w:r>
      <w:r>
        <w:t>a need for better data integration across multiple scales to maximise subsurface coverage</w:t>
      </w:r>
      <w:r w:rsidR="00F14A4D" w:rsidRPr="00F14A4D">
        <w:t xml:space="preserve"> </w:t>
      </w:r>
      <w:r w:rsidR="00F14A4D">
        <w:t>with existing data</w:t>
      </w:r>
      <w:r>
        <w:t>; this will require better linkages between geological, geophysical, hydrological and hydrochemical information, thereby encompassing several spatial scales of heterogeneity</w:t>
      </w:r>
      <w:r w:rsidR="00F14A4D">
        <w:t>.</w:t>
      </w:r>
    </w:p>
    <w:p w14:paraId="70A74D73" w14:textId="6DFFF675" w:rsidR="00772D9C" w:rsidRDefault="005B00D9" w:rsidP="00A45100">
      <w:pPr>
        <w:pStyle w:val="Body"/>
        <w:numPr>
          <w:ilvl w:val="0"/>
          <w:numId w:val="51"/>
        </w:numPr>
      </w:pPr>
      <w:r>
        <w:t>Identifie</w:t>
      </w:r>
      <w:r w:rsidR="0071781B">
        <w:t>s</w:t>
      </w:r>
      <w:r>
        <w:t xml:space="preserve"> the need for a more systematic adoption of methods to test the validity of model simplifications, e.g. what degree of complexity is required or acceptable for </w:t>
      </w:r>
      <w:r w:rsidR="00772D9C" w:rsidRPr="0032201E">
        <w:t>represent</w:t>
      </w:r>
      <w:r>
        <w:t>ing</w:t>
      </w:r>
      <w:r w:rsidR="00772D9C" w:rsidRPr="0032201E">
        <w:t xml:space="preserve"> geological complexity, including discontinuous geological units and structural discontinuities, such as geological faults</w:t>
      </w:r>
      <w:r>
        <w:t>. The answer to this question will necessarily depend on the objective the model has to fulfil; there is thus no unique solution. Some studies discussed here provid</w:t>
      </w:r>
      <w:r w:rsidR="0090072F">
        <w:t>e</w:t>
      </w:r>
      <w:r>
        <w:t xml:space="preserve"> a </w:t>
      </w:r>
      <w:r w:rsidR="003A385B">
        <w:t>benchmark</w:t>
      </w:r>
      <w:r>
        <w:t xml:space="preserve"> example of how such testing can be undertaken; these involved comparison between single phase and dual phase simulations of depressurisation and the effect of </w:t>
      </w:r>
      <w:r w:rsidR="0090072F">
        <w:t xml:space="preserve">different ways of </w:t>
      </w:r>
      <w:r>
        <w:t xml:space="preserve">upscaling </w:t>
      </w:r>
      <w:r w:rsidR="0090072F">
        <w:t xml:space="preserve">geological layers exhibiting </w:t>
      </w:r>
      <w:r>
        <w:t>contrasting hydraulic properties such as coal beds and interburden.</w:t>
      </w:r>
    </w:p>
    <w:p w14:paraId="4B3FBF0E" w14:textId="77777777" w:rsidR="005232DB" w:rsidRDefault="005232DB" w:rsidP="003B3905">
      <w:pPr>
        <w:pStyle w:val="Body"/>
      </w:pPr>
      <w:r w:rsidRPr="005232DB">
        <w:t>The imposition of large hydraulic stresses associate</w:t>
      </w:r>
      <w:r w:rsidR="00465F01">
        <w:t xml:space="preserve">d with coal seam gas </w:t>
      </w:r>
      <w:r w:rsidR="00725001">
        <w:t>extraction</w:t>
      </w:r>
      <w:r w:rsidRPr="005232DB">
        <w:t xml:space="preserve"> has the potential to result in significant </w:t>
      </w:r>
      <w:r w:rsidR="00725001">
        <w:t>increases</w:t>
      </w:r>
      <w:r w:rsidR="005F279C">
        <w:t xml:space="preserve"> in magnitude of vertical </w:t>
      </w:r>
      <w:r w:rsidRPr="005232DB">
        <w:t>hydraulic grad</w:t>
      </w:r>
      <w:r w:rsidR="00890C30">
        <w:t xml:space="preserve">ients </w:t>
      </w:r>
      <w:r w:rsidR="00725001">
        <w:t xml:space="preserve">across </w:t>
      </w:r>
      <w:r w:rsidR="00890C30">
        <w:t>a</w:t>
      </w:r>
      <w:r w:rsidR="00725001">
        <w:t>quitards</w:t>
      </w:r>
      <w:r w:rsidR="00E54593">
        <w:t xml:space="preserve">. </w:t>
      </w:r>
      <w:r w:rsidR="008A690F">
        <w:t xml:space="preserve">In this context, the term “significant” may refer to changes </w:t>
      </w:r>
      <w:r w:rsidR="005F279C">
        <w:t xml:space="preserve">that are </w:t>
      </w:r>
      <w:r w:rsidR="008A690F">
        <w:t>sufficient to trigger legislative requirements</w:t>
      </w:r>
      <w:r w:rsidR="009940CF">
        <w:t>. F</w:t>
      </w:r>
      <w:r w:rsidR="008A690F">
        <w:t xml:space="preserve">or example, </w:t>
      </w:r>
      <w:r w:rsidR="005F279C">
        <w:t xml:space="preserve">for </w:t>
      </w:r>
      <w:r w:rsidR="006D1E38">
        <w:t>unconsolidated aquifers of</w:t>
      </w:r>
      <w:r w:rsidR="008A690F">
        <w:t xml:space="preserve"> </w:t>
      </w:r>
      <w:r w:rsidR="009940CF">
        <w:t>the S</w:t>
      </w:r>
      <w:r w:rsidR="006D1E38">
        <w:t>urat Cumulative Management Area of</w:t>
      </w:r>
      <w:r w:rsidR="009940CF">
        <w:t xml:space="preserve"> Queensland, </w:t>
      </w:r>
      <w:r w:rsidR="006D1E38">
        <w:t xml:space="preserve">areas in which </w:t>
      </w:r>
      <w:r w:rsidR="008A690F">
        <w:t xml:space="preserve">groundwater level drawdowns greater than two metres </w:t>
      </w:r>
      <w:r w:rsidR="006D1E38">
        <w:t xml:space="preserve">persist are classed as </w:t>
      </w:r>
      <w:r w:rsidR="006D1E38" w:rsidRPr="006D1E38">
        <w:t xml:space="preserve">Immediately </w:t>
      </w:r>
      <w:r w:rsidR="006D1E38">
        <w:t xml:space="preserve">or Long-term </w:t>
      </w:r>
      <w:r w:rsidR="006D1E38" w:rsidRPr="006D1E38">
        <w:t>Affected Area</w:t>
      </w:r>
      <w:r w:rsidR="006D1E38">
        <w:t>s</w:t>
      </w:r>
      <w:r w:rsidR="008A690F">
        <w:t xml:space="preserve">. </w:t>
      </w:r>
      <w:r w:rsidR="006D1E38">
        <w:t>Changes in vertical hydraulic gradients</w:t>
      </w:r>
      <w:r w:rsidR="00E54593">
        <w:t xml:space="preserve"> may </w:t>
      </w:r>
      <w:r w:rsidR="006D1E38">
        <w:t xml:space="preserve">in turn </w:t>
      </w:r>
      <w:r w:rsidR="00E54593">
        <w:t>affect</w:t>
      </w:r>
      <w:r w:rsidR="00725001">
        <w:t xml:space="preserve"> </w:t>
      </w:r>
      <w:r w:rsidR="00E76A27">
        <w:t xml:space="preserve">the </w:t>
      </w:r>
      <w:r w:rsidR="00890C30">
        <w:t xml:space="preserve">groundwater flow </w:t>
      </w:r>
      <w:r w:rsidR="00E76A27">
        <w:t>regime</w:t>
      </w:r>
      <w:r w:rsidR="00E54593">
        <w:t xml:space="preserve"> of aquifers overlying or underlying the target coal seam formations</w:t>
      </w:r>
      <w:r w:rsidRPr="005232DB">
        <w:t xml:space="preserve">. </w:t>
      </w:r>
      <w:r w:rsidR="003B3905">
        <w:t>Aquifers</w:t>
      </w:r>
      <w:r w:rsidR="005F279C">
        <w:t xml:space="preserve"> serve as a</w:t>
      </w:r>
      <w:r w:rsidR="003B3905">
        <w:t xml:space="preserve"> water source for purposes such as stock and domestic use, crop irrigation, or town water supplies. </w:t>
      </w:r>
      <w:r w:rsidR="002268C3">
        <w:t>C</w:t>
      </w:r>
      <w:r w:rsidR="00E76A27">
        <w:t xml:space="preserve">hanges </w:t>
      </w:r>
      <w:r w:rsidR="005F279C">
        <w:t xml:space="preserve">to </w:t>
      </w:r>
      <w:r w:rsidR="00E76A27">
        <w:t>flow regime</w:t>
      </w:r>
      <w:r w:rsidR="005F279C">
        <w:t>s</w:t>
      </w:r>
      <w:r w:rsidR="00E76A27">
        <w:t xml:space="preserve"> </w:t>
      </w:r>
      <w:r w:rsidR="002268C3">
        <w:t xml:space="preserve">in such aquifers </w:t>
      </w:r>
      <w:r w:rsidRPr="005232DB">
        <w:t xml:space="preserve">may </w:t>
      </w:r>
      <w:r w:rsidR="002268C3">
        <w:t xml:space="preserve">therefore </w:t>
      </w:r>
      <w:r w:rsidR="00F27728">
        <w:t xml:space="preserve">impact upon the sustainable use of </w:t>
      </w:r>
      <w:r w:rsidRPr="005232DB">
        <w:t xml:space="preserve">existing </w:t>
      </w:r>
      <w:r w:rsidR="00DB776B">
        <w:t xml:space="preserve">and future </w:t>
      </w:r>
      <w:r w:rsidRPr="005232DB">
        <w:t>groundwater users. Due to the anisotropy of coal formations (</w:t>
      </w:r>
      <w:r w:rsidR="00CF7797" w:rsidRPr="00B27177">
        <w:t xml:space="preserve">which typically consist of </w:t>
      </w:r>
      <w:r w:rsidR="00CF7797">
        <w:t>alternating permeable fractured</w:t>
      </w:r>
      <w:r w:rsidR="00CF7797" w:rsidRPr="00B27177">
        <w:t xml:space="preserve"> coal and </w:t>
      </w:r>
      <w:r w:rsidR="00CF7797">
        <w:t xml:space="preserve">less permeable </w:t>
      </w:r>
      <w:r w:rsidR="00CF7797" w:rsidRPr="00B27177">
        <w:t>interburden facies</w:t>
      </w:r>
      <w:r w:rsidRPr="005232DB">
        <w:t xml:space="preserve">), groundwater extraction from coal seams will primarily induce horizontal flow within the seams. </w:t>
      </w:r>
      <w:r w:rsidR="009906AE">
        <w:t xml:space="preserve"> </w:t>
      </w:r>
      <w:r w:rsidRPr="005232DB">
        <w:t>Vertical flows into coal seam formations during depressurisation for CSG extraction are typically further limited by overlying and/or underlying aquitard units that act as hydraulic seals. The relatively low hydraulic conductivity of these units restricts the vertical propagation of</w:t>
      </w:r>
      <w:r w:rsidR="006679F2">
        <w:t xml:space="preserve"> </w:t>
      </w:r>
      <w:r w:rsidR="00923561">
        <w:t xml:space="preserve">significant </w:t>
      </w:r>
      <w:r w:rsidR="006679F2">
        <w:t>changes to</w:t>
      </w:r>
      <w:r w:rsidRPr="005232DB">
        <w:t xml:space="preserve"> hydraulic gradients induced by CSG production</w:t>
      </w:r>
      <w:r w:rsidR="00B46654">
        <w:t xml:space="preserve"> to remain mainly within the overlying and/or underlying aquitards</w:t>
      </w:r>
      <w:r w:rsidRPr="005232DB">
        <w:t xml:space="preserve">; consequently, vertical flows through these units are limited. </w:t>
      </w:r>
      <w:r w:rsidR="009906AE">
        <w:t xml:space="preserve">  The desaturation of coal seams that occurs as gas flow</w:t>
      </w:r>
      <w:r w:rsidR="002268C3">
        <w:t>s</w:t>
      </w:r>
      <w:r w:rsidR="009906AE">
        <w:t xml:space="preserve"> </w:t>
      </w:r>
      <w:r w:rsidR="002268C3">
        <w:t>replace</w:t>
      </w:r>
      <w:r w:rsidR="009906AE">
        <w:t xml:space="preserve"> water flow</w:t>
      </w:r>
      <w:r w:rsidR="002268C3">
        <w:t xml:space="preserve">s in the vicinity of </w:t>
      </w:r>
      <w:r w:rsidR="009906AE">
        <w:t xml:space="preserve">CSG </w:t>
      </w:r>
      <w:r w:rsidR="002268C3">
        <w:t xml:space="preserve">extraction </w:t>
      </w:r>
      <w:r w:rsidR="009906AE">
        <w:t xml:space="preserve">wells can further restrict the propagation of hydraulic gradient impacts.  </w:t>
      </w:r>
      <w:r w:rsidRPr="005232DB">
        <w:t xml:space="preserve">However, the sealing capacity of aquitard units can </w:t>
      </w:r>
      <w:r w:rsidR="002268C3">
        <w:t xml:space="preserve">potentially </w:t>
      </w:r>
      <w:r w:rsidRPr="005232DB">
        <w:t xml:space="preserve">be compromised by the presence of preferential flow paths </w:t>
      </w:r>
      <w:r w:rsidR="00FA1ADB">
        <w:t>along</w:t>
      </w:r>
      <w:r w:rsidR="00B46654">
        <w:t xml:space="preserve"> </w:t>
      </w:r>
      <w:r w:rsidRPr="005232DB">
        <w:t>geological fault</w:t>
      </w:r>
      <w:r w:rsidR="00B46654">
        <w:t>s</w:t>
      </w:r>
      <w:r w:rsidRPr="005232DB">
        <w:t xml:space="preserve"> and/or </w:t>
      </w:r>
      <w:r w:rsidR="00FA1ADB">
        <w:t xml:space="preserve">via </w:t>
      </w:r>
      <w:r w:rsidRPr="005232DB">
        <w:t>fracture networks. Similarly, in locations where a confining aquitard is spatially discontinuous due to inc</w:t>
      </w:r>
      <w:r w:rsidR="000B0C4F">
        <w:t>onsistent deposition or erosion,</w:t>
      </w:r>
      <w:r w:rsidRPr="005232DB">
        <w:t xml:space="preserve"> vertical fluxes through a confining aquitard may increase. In a coal seam gas development context, </w:t>
      </w:r>
      <w:r w:rsidR="00A10AFA" w:rsidRPr="005232DB">
        <w:t xml:space="preserve">Environmental Impact Statement </w:t>
      </w:r>
      <w:r w:rsidR="00A10AFA">
        <w:t>obligations</w:t>
      </w:r>
      <w:r w:rsidR="00A10AFA" w:rsidRPr="005232DB">
        <w:t xml:space="preserve"> </w:t>
      </w:r>
      <w:r w:rsidR="00A10AFA">
        <w:t>require risk-based assessments of potential deleterious impacts on groundwater resources.</w:t>
      </w:r>
      <w:r w:rsidR="00A10AFA" w:rsidRPr="005232DB">
        <w:t xml:space="preserve"> </w:t>
      </w:r>
      <w:r w:rsidR="00A10AFA">
        <w:t>Regional scale n</w:t>
      </w:r>
      <w:r w:rsidRPr="005232DB">
        <w:t xml:space="preserve">umerical groundwater flow models are typically used to provide </w:t>
      </w:r>
      <w:r w:rsidR="00A10AFA">
        <w:t xml:space="preserve">such </w:t>
      </w:r>
      <w:r w:rsidRPr="005232DB">
        <w:t xml:space="preserve">predictions. </w:t>
      </w:r>
    </w:p>
    <w:p w14:paraId="67916582" w14:textId="0F9EDE51" w:rsidR="00B27177" w:rsidRDefault="00B27177" w:rsidP="00B27177">
      <w:pPr>
        <w:pStyle w:val="Body"/>
      </w:pPr>
      <w:r>
        <w:t xml:space="preserve">This report </w:t>
      </w:r>
      <w:r w:rsidR="009E76A6">
        <w:t>summarises</w:t>
      </w:r>
      <w:r>
        <w:t xml:space="preserve"> approaches to the simulation of the impacts of CSG extraction in regional scale groundwater flow models. </w:t>
      </w:r>
      <w:r w:rsidR="00E845CF">
        <w:t xml:space="preserve">The need for regional scale groundwater models is due to the vast areas covered by the CSG well fields and the extent and complexity of geological formations that potentially become affected. </w:t>
      </w:r>
      <w:r>
        <w:t>Specifically, two aspects of the modelling process are examined in detail. First, appropriate strategies for model parameter upscaling and spatial interpolation are examined. Here, upscaling refers to a change in observation scale</w:t>
      </w:r>
      <w:r w:rsidR="008D213F">
        <w:t xml:space="preserve"> resulting in a commensurate change in the scale of hydraulic property representation</w:t>
      </w:r>
      <w:r>
        <w:t xml:space="preserve">. Spatial interpolation refers to the </w:t>
      </w:r>
      <w:r w:rsidR="0011542D">
        <w:t xml:space="preserve">estimation </w:t>
      </w:r>
      <w:r>
        <w:t xml:space="preserve">of parameter values in space; in the present study the interpolation is undertaken over regional scales (e.g., </w:t>
      </w:r>
      <w:r w:rsidR="00A10AFA">
        <w:t xml:space="preserve">tens to hundreds of </w:t>
      </w:r>
      <w:r>
        <w:t xml:space="preserve">kilometres). Upscaling and spatial interpolation methods vary in complexity and in the level of data support required. These range from simple approaches based on statistical metrics or Darcy Law-based methods to complex approaches based on geostatistical characterisation and facies reconstruction methods. </w:t>
      </w:r>
    </w:p>
    <w:p w14:paraId="4FF01BDE" w14:textId="77777777" w:rsidR="00B27177" w:rsidRDefault="00B27177" w:rsidP="00B27177">
      <w:pPr>
        <w:pStyle w:val="Body"/>
      </w:pPr>
      <w:r>
        <w:t xml:space="preserve">Second, numerical representations of geological faults and fracture </w:t>
      </w:r>
      <w:r w:rsidR="00A10AFA">
        <w:t>systems</w:t>
      </w:r>
      <w:r>
        <w:t xml:space="preserve"> in groundwater flow models are identified. The effects of faults on hydraulic properties </w:t>
      </w:r>
      <w:r w:rsidR="00A10AFA">
        <w:t xml:space="preserve">in the context of upscaling </w:t>
      </w:r>
      <w:r>
        <w:t xml:space="preserve">are discussed, which typically result in changes to </w:t>
      </w:r>
      <w:r w:rsidR="00DE5C1E">
        <w:t>the conceptualisation of faults and their flow properties</w:t>
      </w:r>
      <w:r>
        <w:t>. The common use of transmissibility multipliers to represent faults in reservoir models is discussed, in addition to more detailed approaches involving explicit representations of fault zone heterogeneity. For the simulation of groundwater flow in fractured porous media, three categories of methods are summarised, ranging in complexity from equivalent porous media approaches to discrete fracture network models.</w:t>
      </w:r>
    </w:p>
    <w:p w14:paraId="496A0637" w14:textId="77777777" w:rsidR="00F400AD" w:rsidRDefault="005232DB" w:rsidP="00B27177">
      <w:pPr>
        <w:pStyle w:val="Body"/>
      </w:pPr>
      <w:r>
        <w:t xml:space="preserve">A selective </w:t>
      </w:r>
      <w:r w:rsidR="009E76A6">
        <w:t>summary</w:t>
      </w:r>
      <w:r>
        <w:t xml:space="preserve"> of various l</w:t>
      </w:r>
      <w:r w:rsidR="00B27177">
        <w:t xml:space="preserve">ocal scale processes (e.g., multi-phase flow, gas desorption) that affect the prediction of CSG impacts </w:t>
      </w:r>
      <w:r>
        <w:t xml:space="preserve">is also presented </w:t>
      </w:r>
      <w:r w:rsidR="00B27177">
        <w:t xml:space="preserve">and methods </w:t>
      </w:r>
      <w:r>
        <w:t xml:space="preserve">by which </w:t>
      </w:r>
      <w:r w:rsidR="00B27177">
        <w:t xml:space="preserve">to represent these processes are discussed. </w:t>
      </w:r>
      <w:r w:rsidR="00E845CF">
        <w:t xml:space="preserve">A large number of simulation codes have been </w:t>
      </w:r>
      <w:r w:rsidR="009E76A6">
        <w:t>assessed</w:t>
      </w:r>
      <w:r w:rsidR="00E845CF">
        <w:t xml:space="preserve"> regarding their capability for handling such key processes. </w:t>
      </w:r>
      <w:r w:rsidR="00B27177">
        <w:t xml:space="preserve">The report concludes with a summary of studies which have used numerical groundwater flow models to simulate the impacts of coal seam gas extraction in Australia. Throughout the report available methods for the quantification of model and prediction uncertainty are highlighted. It should be noted that the focus of the report is on groundwater flow and hydraulic responses; therefore the simulation of solute transport is not </w:t>
      </w:r>
      <w:r w:rsidR="00C63A4F">
        <w:t>discussed</w:t>
      </w:r>
      <w:r w:rsidR="00B27177">
        <w:t xml:space="preserve">. </w:t>
      </w:r>
    </w:p>
    <w:p w14:paraId="037D3B69" w14:textId="64DDFD9F" w:rsidR="00BB3EBE" w:rsidRDefault="00BB3EBE" w:rsidP="00BB3EBE">
      <w:pPr>
        <w:pStyle w:val="Body"/>
      </w:pPr>
      <w:r>
        <w:t xml:space="preserve">The key finding </w:t>
      </w:r>
      <w:r w:rsidR="008E0E42">
        <w:t>presented in</w:t>
      </w:r>
      <w:r>
        <w:t xml:space="preserve"> this report is that representations of aquitards and geological faults in groundwater flow models used to estimate potential impacts of coal seam gas production are often highly simplified. For aquitards, simplification typically involves neglecting the spatial heterogeneity of hydraulic conductivity and storativity by adopting spatially uniform values. The use of uniform values may be justified when equivalent properties are derived from robust upscaling methods, or when the support volume used to derive flow properties is large enough to produce scale-independent values. Often, however, there are insufficient data to derive meaningful equivalent properties in the first place. Clearly, there is a need for better data integration across multiple scales to maximise subsurface data coverage; this will require better linkages between geological, geophysical, hydrological and hydrochemical information, thereby encompassing several spatial scales of heterogeneity. </w:t>
      </w:r>
    </w:p>
    <w:p w14:paraId="765CCCEF" w14:textId="77777777" w:rsidR="003B3905" w:rsidRDefault="00BB3EBE" w:rsidP="00BB3EBE">
      <w:pPr>
        <w:pStyle w:val="Body"/>
      </w:pPr>
      <w:r>
        <w:t>As far as the representation of geological faults and fault networks is concerned, there exists a paucity of data with regards to both fault architecture (e.g. orientation, location, size and frequency) and to the flow properties of faults. In addition, due to a lack of numerical capability in standard groundwater flow models, the implementation of faults is often not trivial. As for aquitards, the improved integration of different sources of information on the geometry and flow properties of fault zones is required to better conceptualise and represent faults in groundwater flow models. This conceptualisation, and the testing of the role of faults on local and regional groundwater flow systems, will benefit from improved numerical schemes that seamlessly merge fine-scale fault meshes with coa</w:t>
      </w:r>
      <w:r w:rsidR="002268C3">
        <w:t>rse-scale numerical grid blocks</w:t>
      </w:r>
      <w:r>
        <w:t xml:space="preserve"> while </w:t>
      </w:r>
      <w:r w:rsidR="002268C3">
        <w:t xml:space="preserve">avoiding </w:t>
      </w:r>
      <w:r>
        <w:t>computationally prohibitive</w:t>
      </w:r>
      <w:r w:rsidR="00AF2C0D">
        <w:t xml:space="preserve"> model run times.</w:t>
      </w:r>
    </w:p>
    <w:p w14:paraId="612EE9F4" w14:textId="77777777" w:rsidR="00F400AD" w:rsidRDefault="00F400AD">
      <w:pPr>
        <w:rPr>
          <w:rFonts w:ascii="Calibri" w:hAnsi="Calibri" w:cs="Calibri"/>
          <w:color w:val="000000"/>
          <w:sz w:val="18"/>
          <w:szCs w:val="18"/>
          <w:lang w:val="en-GB"/>
        </w:rPr>
      </w:pPr>
      <w:r>
        <w:br w:type="page"/>
      </w:r>
    </w:p>
    <w:p w14:paraId="5FD21CAA" w14:textId="77777777" w:rsidR="00E8296A" w:rsidRDefault="00E8296A" w:rsidP="00563D0F">
      <w:pPr>
        <w:pStyle w:val="Heading1"/>
      </w:pPr>
      <w:bookmarkStart w:id="7" w:name="_Toc449696575"/>
      <w:r>
        <w:t>Introduction</w:t>
      </w:r>
      <w:bookmarkEnd w:id="7"/>
    </w:p>
    <w:p w14:paraId="14A353A9" w14:textId="5CC38DFC" w:rsidR="005622C7" w:rsidRDefault="00B27177">
      <w:pPr>
        <w:pStyle w:val="Body"/>
      </w:pPr>
      <w:r w:rsidRPr="00B27177">
        <w:t>The imposition of large hydraulic stresses</w:t>
      </w:r>
      <w:r w:rsidR="00543D4C" w:rsidRPr="00543D4C">
        <w:t xml:space="preserve"> </w:t>
      </w:r>
      <w:r w:rsidR="00543D4C" w:rsidRPr="00B27177">
        <w:t>on a groundwater flow system</w:t>
      </w:r>
      <w:r w:rsidRPr="00B27177">
        <w:t>, such as those associated with coal seam gas production</w:t>
      </w:r>
      <w:r w:rsidR="00543D4C">
        <w:t xml:space="preserve"> or groundwater abstraction for agriculture or domestic use</w:t>
      </w:r>
      <w:r w:rsidRPr="00B27177">
        <w:t xml:space="preserve">, </w:t>
      </w:r>
      <w:r w:rsidR="005C7452">
        <w:t xml:space="preserve">has the potential to </w:t>
      </w:r>
      <w:r w:rsidRPr="00B27177">
        <w:t xml:space="preserve">result in significant changes to hydraulic gradients and thus </w:t>
      </w:r>
      <w:r w:rsidR="00B376D4">
        <w:t xml:space="preserve">to </w:t>
      </w:r>
      <w:r w:rsidRPr="00B27177">
        <w:t>groundwater flow directions</w:t>
      </w:r>
      <w:r w:rsidR="00543D4C">
        <w:t xml:space="preserve"> and</w:t>
      </w:r>
      <w:r w:rsidR="003B3905">
        <w:t>,</w:t>
      </w:r>
      <w:r w:rsidR="00543D4C">
        <w:t xml:space="preserve"> ultimately</w:t>
      </w:r>
      <w:r w:rsidR="003B3905">
        <w:t>,</w:t>
      </w:r>
      <w:r w:rsidR="00543D4C">
        <w:t xml:space="preserve"> </w:t>
      </w:r>
      <w:r w:rsidR="00B376D4">
        <w:t xml:space="preserve">to </w:t>
      </w:r>
      <w:r w:rsidR="00543D4C">
        <w:t xml:space="preserve">the groundwater </w:t>
      </w:r>
      <w:r w:rsidR="008A724E">
        <w:t xml:space="preserve">mass </w:t>
      </w:r>
      <w:r w:rsidR="00543D4C">
        <w:t>balance</w:t>
      </w:r>
      <w:r w:rsidRPr="00B27177">
        <w:t xml:space="preserve">. </w:t>
      </w:r>
      <w:r w:rsidR="00AD6847">
        <w:t>In particular,</w:t>
      </w:r>
      <w:r w:rsidR="002268C3">
        <w:t xml:space="preserve"> </w:t>
      </w:r>
      <w:r w:rsidR="00AD6847">
        <w:t xml:space="preserve">the cumulative impacts of </w:t>
      </w:r>
      <w:r w:rsidR="002268C3">
        <w:t xml:space="preserve">multiple extractions </w:t>
      </w:r>
      <w:r w:rsidR="00AD6847">
        <w:t>i</w:t>
      </w:r>
      <w:r w:rsidR="005C7452">
        <w:t>n developed groundwater basins may present risks to the security of</w:t>
      </w:r>
      <w:r w:rsidR="005D28B3">
        <w:t xml:space="preserve"> </w:t>
      </w:r>
      <w:r w:rsidR="005C7452">
        <w:t xml:space="preserve">existing groundwater users. </w:t>
      </w:r>
      <w:r w:rsidR="005622C7" w:rsidRPr="00A45100">
        <w:t xml:space="preserve">For example, the operation of </w:t>
      </w:r>
      <w:r w:rsidR="005622C7">
        <w:t xml:space="preserve">coal seam gas extraction, </w:t>
      </w:r>
      <w:r w:rsidR="005622C7" w:rsidRPr="00A45100">
        <w:t>mining and irrigated agriculture within the same region may generate cumulative impacts on groundwater and surface water resources that are in addition to the separate impacts of either agriculture or mining separately</w:t>
      </w:r>
      <w:r w:rsidR="001372A7">
        <w:t>.</w:t>
      </w:r>
      <w:r w:rsidR="005622C7">
        <w:t xml:space="preserve"> </w:t>
      </w:r>
      <w:r w:rsidR="005622C7" w:rsidRPr="00A45100">
        <w:t>Regional assessments require developing an estimate of the cumulative impacts of cross</w:t>
      </w:r>
      <w:r w:rsidR="003A385B">
        <w:t>-</w:t>
      </w:r>
      <w:r w:rsidR="005622C7" w:rsidRPr="00A45100">
        <w:t>sector interactions on water availability and use and their probabilities.</w:t>
      </w:r>
      <w:r w:rsidR="005622C7">
        <w:t xml:space="preserve"> </w:t>
      </w:r>
      <w:r w:rsidR="005622C7" w:rsidRPr="00A45100">
        <w:t>The risk analysis is to consider both the likelihood and consequence of these impacts</w:t>
      </w:r>
      <w:r w:rsidR="00982307">
        <w:t xml:space="preserve"> (Barret et al. 201</w:t>
      </w:r>
      <w:r w:rsidR="00034294">
        <w:t>3</w:t>
      </w:r>
      <w:r w:rsidR="00982307">
        <w:t>)</w:t>
      </w:r>
      <w:r w:rsidR="00982307" w:rsidRPr="00C64533">
        <w:t>.</w:t>
      </w:r>
    </w:p>
    <w:p w14:paraId="1AA29C99" w14:textId="47E7904F" w:rsidR="0078307B" w:rsidRDefault="00B27177" w:rsidP="005232DB">
      <w:pPr>
        <w:pStyle w:val="Body"/>
      </w:pPr>
      <w:r w:rsidRPr="00B27177">
        <w:t>Due to the anisotropy of</w:t>
      </w:r>
      <w:r w:rsidR="005D28B3">
        <w:t xml:space="preserve"> </w:t>
      </w:r>
      <w:r w:rsidRPr="00B27177">
        <w:t xml:space="preserve">coal formations (which typically consist of </w:t>
      </w:r>
      <w:r w:rsidR="00CF7797">
        <w:t>alternating permeable fractured</w:t>
      </w:r>
      <w:r w:rsidRPr="00B27177">
        <w:t xml:space="preserve"> coal and </w:t>
      </w:r>
      <w:r w:rsidR="00CF7797">
        <w:t xml:space="preserve">less permeable </w:t>
      </w:r>
      <w:r w:rsidRPr="00B27177">
        <w:t>interburden facies), groundwater extraction from</w:t>
      </w:r>
      <w:r w:rsidR="00CF7797">
        <w:t xml:space="preserve"> </w:t>
      </w:r>
      <w:r w:rsidRPr="00B27177">
        <w:t xml:space="preserve">coal seams will primarily induce horizontal flow within the seams. Vertical </w:t>
      </w:r>
      <w:r w:rsidR="000C19AA">
        <w:t xml:space="preserve">leakage </w:t>
      </w:r>
      <w:r w:rsidRPr="00B27177">
        <w:t xml:space="preserve">into coal seam formations during depressurisation for CSG extraction </w:t>
      </w:r>
      <w:r w:rsidR="000C19AA">
        <w:t>is</w:t>
      </w:r>
      <w:r w:rsidR="000C19AA" w:rsidRPr="00B27177">
        <w:t xml:space="preserve"> </w:t>
      </w:r>
      <w:r w:rsidR="001372A7">
        <w:t xml:space="preserve">typically </w:t>
      </w:r>
      <w:r w:rsidRPr="00B27177">
        <w:t xml:space="preserve">limited by </w:t>
      </w:r>
      <w:r w:rsidR="002268C3">
        <w:t xml:space="preserve">the presence of </w:t>
      </w:r>
      <w:r w:rsidRPr="00B27177">
        <w:t xml:space="preserve">overlying and/or underlying aquitard units </w:t>
      </w:r>
      <w:r w:rsidR="001372A7">
        <w:t>with</w:t>
      </w:r>
      <w:r w:rsidRPr="00B27177">
        <w:t xml:space="preserve"> relatively low hydraulic conductivity </w:t>
      </w:r>
      <w:r w:rsidR="001372A7">
        <w:t>that</w:t>
      </w:r>
      <w:r w:rsidRPr="00B27177">
        <w:t xml:space="preserve"> restricts </w:t>
      </w:r>
      <w:r w:rsidR="000C19AA">
        <w:t>the rate of vertical flow</w:t>
      </w:r>
      <w:r w:rsidR="002268C3">
        <w:t>. T</w:t>
      </w:r>
      <w:r w:rsidRPr="00B27177">
        <w:t>he vertical propagation of</w:t>
      </w:r>
      <w:r w:rsidR="00CF7797">
        <w:t xml:space="preserve"> </w:t>
      </w:r>
      <w:r w:rsidR="002268C3">
        <w:t xml:space="preserve">large </w:t>
      </w:r>
      <w:r w:rsidRPr="00B27177">
        <w:t>hydraulic gradients induced by CSG production</w:t>
      </w:r>
      <w:r w:rsidR="000C19AA">
        <w:t xml:space="preserve"> is therefore </w:t>
      </w:r>
      <w:r w:rsidRPr="00B27177">
        <w:t xml:space="preserve">limited. </w:t>
      </w:r>
      <w:r w:rsidR="00CF7797">
        <w:t xml:space="preserve">The desaturation of coal seams </w:t>
      </w:r>
      <w:r w:rsidR="002268C3">
        <w:t xml:space="preserve">which </w:t>
      </w:r>
      <w:r w:rsidR="00CF7797">
        <w:t xml:space="preserve">occurs </w:t>
      </w:r>
      <w:r w:rsidR="002268C3">
        <w:t xml:space="preserve">when </w:t>
      </w:r>
      <w:r w:rsidR="00CF7797">
        <w:t>gas flow</w:t>
      </w:r>
      <w:r w:rsidR="002268C3">
        <w:t>s</w:t>
      </w:r>
      <w:r w:rsidR="00CF7797">
        <w:t xml:space="preserve"> replace water flow</w:t>
      </w:r>
      <w:r w:rsidR="002268C3">
        <w:t xml:space="preserve">s in the vicinity of </w:t>
      </w:r>
      <w:r w:rsidR="00CF7797">
        <w:t xml:space="preserve">CSG </w:t>
      </w:r>
      <w:r w:rsidR="002268C3">
        <w:t xml:space="preserve">extraction </w:t>
      </w:r>
      <w:r w:rsidR="00CF7797">
        <w:t xml:space="preserve">wells can further restrict the propagation of hydraulic gradient impacts.  </w:t>
      </w:r>
      <w:r w:rsidRPr="00B27177">
        <w:t xml:space="preserve">However, the </w:t>
      </w:r>
      <w:r w:rsidR="000C19AA">
        <w:t>confining</w:t>
      </w:r>
      <w:r w:rsidR="000C19AA" w:rsidRPr="00B27177">
        <w:t xml:space="preserve"> </w:t>
      </w:r>
      <w:r w:rsidR="000C19AA">
        <w:t xml:space="preserve">capability </w:t>
      </w:r>
      <w:r w:rsidRPr="00B27177">
        <w:t xml:space="preserve">of aquitard units can be compromised by the presence of preferential flow paths due to geological faulting and/or fracture networks. Similarly, in locations where a confining aquitard is spatially discontinuous (due to inconsistent deposition or erosion) </w:t>
      </w:r>
      <w:r w:rsidR="000C19AA">
        <w:t>the connectivity between two aquifers</w:t>
      </w:r>
      <w:r w:rsidR="003F1882" w:rsidRPr="003F1882">
        <w:t>, or between a coal seam and an aquifer,</w:t>
      </w:r>
      <w:r w:rsidR="000C19AA">
        <w:t xml:space="preserve"> </w:t>
      </w:r>
      <w:r w:rsidRPr="00B27177">
        <w:t xml:space="preserve">may be increased. A third mechanism which may compromise the integrity of a confining aquitard is </w:t>
      </w:r>
      <w:r w:rsidR="00BB3C43">
        <w:t>inter-aquifer connectivity induced by (uncased) water bores, mineral exploration boreholes, leaky conventional oil and gas wells, and leaky abandoned CSG wells</w:t>
      </w:r>
      <w:r w:rsidRPr="00B27177">
        <w:t xml:space="preserve"> [e.g., </w:t>
      </w:r>
      <w:r w:rsidR="00084CDD">
        <w:fldChar w:fldCharType="begin"/>
      </w:r>
      <w:r>
        <w:instrText xml:space="preserve"> ADDIN EN.CITE &lt;EndNote&gt;&lt;Cite&gt;&lt;Author&gt;Hart&lt;/Author&gt;&lt;Year&gt;2006&lt;/Year&gt;&lt;IDText&gt;The vertical hydraulic conductivity of an aquitard at two spatial scales&lt;/IDText&gt;&lt;DisplayText&gt;(Hart et al., 2006)&lt;/DisplayText&gt;&lt;record&gt;&lt;dates&gt;&lt;pub-dates&gt;&lt;date&gt;MAR 2006&lt;/date&gt;&lt;/pub-dates&gt;&lt;year&gt;2006&lt;/year&gt;&lt;/dates&gt;&lt;keywords&gt;&lt;keyword&gt;TRANSIENT LABORATORY METHOD&lt;/keyword&gt;&lt;keyword&gt;TIGHT ROCKS&lt;/keyword&gt;&lt;keyword&gt;PERMEABILITY&lt;/keyword&gt;&lt;keyword&gt;PRESSURE&lt;/keyword&gt;&lt;keyword&gt;AQUIFER&lt;/keyword&gt;&lt;keyword&gt;SHALE&lt;/keyword&gt;&lt;keyword&gt;FLOW&lt;/keyword&gt;&lt;/keywords&gt;&lt;isbn&gt;0017-467X&lt;/isbn&gt;&lt;work-type&gt;Article&lt;/work-type&gt;&lt;titles&gt;&lt;title&gt;The vertical hydraulic conductivity of an aquitard at two spatial scales&lt;/title&gt;&lt;secondary-title&gt;Ground Water&lt;/secondary-title&gt;&lt;/titles&gt;&lt;pages&gt;201-211&lt;/pages&gt;&lt;number&gt;2&lt;/number&gt;&lt;contributors&gt;&lt;authors&gt;&lt;author&gt;Hart, DJ&lt;/author&gt;&lt;author&gt;Bradbury, KR&lt;/author&gt;&lt;author&gt;Feinstein, DT&lt;/author&gt;&lt;/authors&gt;&lt;/contributors&gt;&lt;language&gt;English&lt;/language&gt;&lt;added-date format="utc"&gt;1433827271&lt;/added-date&gt;&lt;ref-type name="Journal Article"&gt;17&lt;/ref-type&gt;&lt;auth-address&gt;Hart, DJ (reprint author), Wisconsin Geol &amp;amp; Nat Hist Survey, 3817 Mineral Point Rd, Madison, WI 53705 USA&amp;#xD;Wisconsin Geol &amp;amp; Nat Hist Survey, Madison, WI 53705 USA&amp;#xD;US Geol Survey, Milwaukee Off, Milwaukee, WI 53211 USA&lt;/auth-address&gt;&lt;rec-number&gt;166&lt;/rec-number&gt;&lt;last-updated-date format="utc"&gt;1433827271&lt;/last-updated-date&gt;&lt;accession-num&gt;WOS:000235730800015&lt;/accession-num&gt;&lt;electronic-resource-num&gt;10.1111/j.1745-6584.2005.00125.x&lt;/electronic-resource-num&gt;&lt;volume&gt;44&lt;/volume&gt;&lt;/record&gt;&lt;/Cite&gt;&lt;/EndNote&gt;</w:instrText>
      </w:r>
      <w:r w:rsidR="00084CDD">
        <w:fldChar w:fldCharType="separate"/>
      </w:r>
      <w:r>
        <w:rPr>
          <w:noProof/>
        </w:rPr>
        <w:t>(Hart et al., 2006</w:t>
      </w:r>
      <w:r w:rsidR="006860AC">
        <w:rPr>
          <w:noProof/>
        </w:rPr>
        <w:t xml:space="preserve">; </w:t>
      </w:r>
      <w:r w:rsidR="00C02F8B">
        <w:rPr>
          <w:noProof/>
        </w:rPr>
        <w:t xml:space="preserve">SKM, 2013; </w:t>
      </w:r>
      <w:r w:rsidR="006860AC" w:rsidRPr="00F03FEF">
        <w:rPr>
          <w:color w:val="auto"/>
        </w:rPr>
        <w:t>NSW chief scientist &amp; engineer report, 2014</w:t>
      </w:r>
      <w:r>
        <w:rPr>
          <w:noProof/>
        </w:rPr>
        <w:t>)</w:t>
      </w:r>
      <w:r w:rsidR="00084CDD">
        <w:fldChar w:fldCharType="end"/>
      </w:r>
      <w:r w:rsidRPr="00B27177">
        <w:t xml:space="preserve">]. </w:t>
      </w:r>
    </w:p>
    <w:p w14:paraId="2BBB4732" w14:textId="2F223A85" w:rsidR="005072A0" w:rsidRPr="005232DB" w:rsidRDefault="005072A0" w:rsidP="005232DB">
      <w:pPr>
        <w:pStyle w:val="Body"/>
        <w:rPr>
          <w:szCs w:val="30"/>
        </w:rPr>
      </w:pPr>
      <w:r>
        <w:t xml:space="preserve">In this Chapter general principles of multiple aquifer-aquitard flow systems (Section </w:t>
      </w:r>
      <w:r>
        <w:fldChar w:fldCharType="begin"/>
      </w:r>
      <w:r>
        <w:instrText xml:space="preserve"> REF _Ref445986526 \r \h </w:instrText>
      </w:r>
      <w:r>
        <w:fldChar w:fldCharType="separate"/>
      </w:r>
      <w:r w:rsidR="00C52E30">
        <w:t>1.1</w:t>
      </w:r>
      <w:r>
        <w:fldChar w:fldCharType="end"/>
      </w:r>
      <w:r>
        <w:t xml:space="preserve">) and groundwater flow models in risk-based CSG impact assessments (Section </w:t>
      </w:r>
      <w:r>
        <w:fldChar w:fldCharType="begin"/>
      </w:r>
      <w:r>
        <w:instrText xml:space="preserve"> REF _Ref445986586 \r \h </w:instrText>
      </w:r>
      <w:r>
        <w:fldChar w:fldCharType="separate"/>
      </w:r>
      <w:r w:rsidR="00C52E30">
        <w:t>1.2</w:t>
      </w:r>
      <w:r>
        <w:fldChar w:fldCharType="end"/>
      </w:r>
      <w:r>
        <w:t>) are discussed.</w:t>
      </w:r>
    </w:p>
    <w:p w14:paraId="6B5E5034" w14:textId="77777777" w:rsidR="00E8296A" w:rsidRDefault="00E8296A" w:rsidP="003E3108">
      <w:pPr>
        <w:pStyle w:val="Heading2"/>
      </w:pPr>
      <w:bookmarkStart w:id="8" w:name="_Ref445986526"/>
      <w:bookmarkStart w:id="9" w:name="_Toc449696576"/>
      <w:r>
        <w:t>Multiple aquifer–aquitard flow systems</w:t>
      </w:r>
      <w:bookmarkEnd w:id="8"/>
      <w:bookmarkEnd w:id="9"/>
      <w:r>
        <w:t xml:space="preserve"> </w:t>
      </w:r>
    </w:p>
    <w:p w14:paraId="1C37C4B1" w14:textId="77777777" w:rsidR="001634F1" w:rsidRDefault="00CE19FA" w:rsidP="00E8296A">
      <w:pPr>
        <w:pStyle w:val="Body"/>
      </w:pPr>
      <w:r>
        <w:t>For</w:t>
      </w:r>
      <w:r w:rsidR="00E8296A">
        <w:t xml:space="preserve"> simple </w:t>
      </w:r>
      <w:r>
        <w:t>hydrogeological systems</w:t>
      </w:r>
      <w:r w:rsidR="00E8296A">
        <w:t>, the propagation of hydraulic stresses can be relatively straightforward to estimate. For example, consider the potential drawdown in an unconfined aquifer caused by extraction from an underlying confined aquifer separated by an aquitard</w:t>
      </w:r>
      <w:r w:rsidR="006F0661">
        <w:t xml:space="preserve"> (</w:t>
      </w:r>
      <w:r w:rsidR="00084CDD">
        <w:rPr>
          <w:highlight w:val="yellow"/>
        </w:rPr>
        <w:fldChar w:fldCharType="begin"/>
      </w:r>
      <w:r w:rsidR="002F41A2">
        <w:instrText xml:space="preserve"> REF _Ref422323157 \h </w:instrText>
      </w:r>
      <w:r w:rsidR="00084CDD">
        <w:rPr>
          <w:highlight w:val="yellow"/>
        </w:rPr>
      </w:r>
      <w:r w:rsidR="00084CDD">
        <w:rPr>
          <w:highlight w:val="yellow"/>
        </w:rPr>
        <w:fldChar w:fldCharType="separate"/>
      </w:r>
      <w:r w:rsidR="00C52E30">
        <w:t xml:space="preserve">Figure </w:t>
      </w:r>
      <w:r w:rsidR="00C52E30">
        <w:rPr>
          <w:noProof/>
        </w:rPr>
        <w:t>1</w:t>
      </w:r>
      <w:r w:rsidR="00084CDD">
        <w:rPr>
          <w:highlight w:val="yellow"/>
        </w:rPr>
        <w:fldChar w:fldCharType="end"/>
      </w:r>
      <w:r w:rsidR="002F41A2">
        <w:t>a</w:t>
      </w:r>
      <w:r w:rsidR="006F0661">
        <w:t>)</w:t>
      </w:r>
      <w:r w:rsidR="00E8296A">
        <w:t xml:space="preserve">. </w:t>
      </w:r>
    </w:p>
    <w:p w14:paraId="22818010" w14:textId="05A1BD57" w:rsidR="001634F1" w:rsidRDefault="00016A72" w:rsidP="006A022F">
      <w:pPr>
        <w:pStyle w:val="Body"/>
      </w:pPr>
      <w:r>
        <w:t xml:space="preserve">This problem requires the characterisation of two aquifers and one aquitard, all of which are near to land surface. In this case, analytical solutions may be employed [e.g., Hantush </w:t>
      </w:r>
      <w:r>
        <w:fldChar w:fldCharType="begin"/>
      </w:r>
      <w:r>
        <w:instrText xml:space="preserve"> ADDIN EN.CITE &lt;EndNote&gt;&lt;Cite ExcludeAuth="1"&gt;&lt;Author&gt;HANTUSH&lt;/Author&gt;&lt;Year&gt;1960&lt;/Year&gt;&lt;IDText&gt;MODIFICATION OF THE THEORY OF LEAKY AQUIFERS&lt;/IDText&gt;&lt;DisplayText&gt;(1960)&lt;/DisplayText&gt;&lt;record&gt;&lt;dates&gt;&lt;pub-dates&gt;&lt;date&gt;1960&lt;/date&gt;&lt;/pub-dates&gt;&lt;year&gt;1960&lt;/year&gt;&lt;/dates&gt;&lt;keywords&gt;&lt;keyword&gt;Geochemistry &amp;amp; Geophysics&lt;/keyword&gt;&lt;keyword&gt;Geosciences, Multidisciplinary&lt;/keyword&gt;&lt;keyword&gt;GEOSCIENCES, MULTIDISCIPLINARY&lt;/keyword&gt;&lt;keyword&gt;Geochemistry &amp;amp; Geophysics&lt;/keyword&gt;&lt;keyword&gt;Geology&lt;/keyword&gt;&lt;/keywords&gt;&lt;isbn&gt;0148-0227&lt;/isbn&gt;&lt;work-type&gt;Article&lt;/work-type&gt;&lt;titles&gt;&lt;title&gt;MODIFICATION OF THE THEORY OF LEAKY AQUIFERS&lt;/title&gt;&lt;secondary-title&gt;Journal of Geophysical Research&lt;/secondary-title&gt;&lt;/titles&gt;&lt;pages&gt;3713-3725&lt;/pages&gt;&lt;number&gt;11&lt;/number&gt;&lt;contributors&gt;&lt;authors&gt;&lt;author&gt;HANTUSH, MS&lt;/author&gt;&lt;/authors&gt;&lt;/contributors&gt;&lt;language&gt;English&lt;/language&gt;&lt;added-date format="utc"&gt;1433905448&lt;/added-date&gt;&lt;ref-type name="Journal Article"&gt;17&lt;/ref-type&gt;&lt;rec-number&gt;235&lt;/rec-number&gt;&lt;last-updated-date format="utc"&gt;1433905448&lt;/last-updated-date&gt;&lt;accession-num&gt;WOS:A1960WB32200025&lt;/accession-num&gt;&lt;electronic-resource-num&gt;10.1029/JZ065i011p03713&lt;/electronic-resource-num&gt;&lt;volume&gt;65&lt;/volume&gt;&lt;/record&gt;&lt;/Cite&gt;&lt;/EndNote&gt;</w:instrText>
      </w:r>
      <w:r>
        <w:fldChar w:fldCharType="separate"/>
      </w:r>
      <w:r>
        <w:rPr>
          <w:noProof/>
        </w:rPr>
        <w:t>(1960)</w:t>
      </w:r>
      <w:r>
        <w:fldChar w:fldCharType="end"/>
      </w:r>
      <w:r>
        <w:t xml:space="preserve">; Neuman and Witherspoon </w:t>
      </w:r>
      <w:r>
        <w:fldChar w:fldCharType="begin"/>
      </w:r>
      <w:r>
        <w:instrText xml:space="preserve"> ADDIN EN.CITE &lt;EndNote&gt;&lt;Cite ExcludeAuth="1"&gt;&lt;Author&gt;NEUMAN&lt;/Author&gt;&lt;Year&gt;1969&lt;/Year&gt;&lt;IDText&gt;APPLICABILITY OF CURRENT THEORIES OF FLOW IN LEAKY AQUIFERS&lt;/IDText&gt;&lt;DisplayText&gt;(1969)&lt;/DisplayText&gt;&lt;record&gt;&lt;dates&gt;&lt;pub-dates&gt;&lt;date&gt;1969&lt;/date&gt;&lt;/pub-dates&gt;&lt;year&gt;1969&lt;/year&gt;&lt;/dates&gt;&lt;keywords&gt;&lt;keyword&gt;Environmental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Resources&lt;/keyword&gt;&lt;/keywords&gt;&lt;isbn&gt;0043-1397&lt;/isbn&gt;&lt;work-type&gt;Article&lt;/work-type&gt;&lt;titles&gt;&lt;title&gt;APPLICABILITY OF CURRENT THEORIES OF FLOW IN LEAKY AQUIFERS&lt;/title&gt;&lt;secondary-title&gt;Water Resources Research&lt;/secondary-title&gt;&lt;/titles&gt;&lt;pages&gt;817-&amp;amp;&lt;/pages&gt;&lt;number&gt;4&lt;/number&gt;&lt;contributors&gt;&lt;authors&gt;&lt;author&gt;NEUMAN, SP&lt;/author&gt;&lt;author&gt;WITHERSP.PA&lt;/author&gt;&lt;/authors&gt;&lt;/contributors&gt;&lt;language&gt;English&lt;/language&gt;&lt;added-date format="utc"&gt;1433905500&lt;/added-date&gt;&lt;ref-type name="Journal Article"&gt;17&lt;/ref-type&gt;&lt;rec-number&gt;236&lt;/rec-number&gt;&lt;last-updated-date format="utc"&gt;1433905500&lt;/last-updated-date&gt;&lt;accession-num&gt;WOS:A1969D945600008&lt;/accession-num&gt;&lt;electronic-resource-num&gt;10.1029/WR005i004p00817&lt;/electronic-resource-num&gt;&lt;volume&gt;5&lt;/volume&gt;&lt;/record&gt;&lt;/Cite&gt;&lt;/EndNote&gt;</w:instrText>
      </w:r>
      <w:r>
        <w:fldChar w:fldCharType="separate"/>
      </w:r>
      <w:r>
        <w:rPr>
          <w:noProof/>
        </w:rPr>
        <w:t>(1969)</w:t>
      </w:r>
      <w:r>
        <w:fldChar w:fldCharType="end"/>
      </w:r>
      <w:r>
        <w:t>] to provide a first order estimate of drawdown. In contrast, the simulation of flow in deep groundwater basins featuring multiple aquifers and aquitards (i.e., ‘layer cake’ stratigraphy) is not trivial, and becomes even more complex when considering heterogeneity. In such environments, the vertical propagation of hydraulic responses requires the characterisation of multiple aquifers and aquitards. Analytical approaches are thus unsuitable for the characterisation of relatively complex hydrostratigraphic systems. Instead, numerical or semi–analytical approaches are often used. For example, consider a groundwater flow system featuring an unconfined aquifer, a confined aquifer and a coal formation, each of which are separated by aquitards (</w:t>
      </w:r>
      <w:r>
        <w:rPr>
          <w:highlight w:val="yellow"/>
        </w:rPr>
        <w:fldChar w:fldCharType="begin"/>
      </w:r>
      <w:r>
        <w:instrText xml:space="preserve"> REF _Ref422323157 \h </w:instrText>
      </w:r>
      <w:r>
        <w:rPr>
          <w:highlight w:val="yellow"/>
        </w:rPr>
      </w:r>
      <w:r>
        <w:rPr>
          <w:highlight w:val="yellow"/>
        </w:rPr>
        <w:fldChar w:fldCharType="separate"/>
      </w:r>
      <w:r w:rsidR="00C52E30">
        <w:t xml:space="preserve">Figure </w:t>
      </w:r>
      <w:r w:rsidR="00C52E30">
        <w:rPr>
          <w:noProof/>
        </w:rPr>
        <w:t>1</w:t>
      </w:r>
      <w:r>
        <w:rPr>
          <w:highlight w:val="yellow"/>
        </w:rPr>
        <w:fldChar w:fldCharType="end"/>
      </w:r>
      <w:r>
        <w:t xml:space="preserve">b). Depressurisation to an elevation equal to the top of the coal formation is proposed to enable the release of gas from the coal formation by desorption (see Section </w:t>
      </w:r>
      <w:r>
        <w:fldChar w:fldCharType="begin"/>
      </w:r>
      <w:r>
        <w:instrText xml:space="preserve"> REF _Ref433479917 \r \h </w:instrText>
      </w:r>
      <w:r>
        <w:fldChar w:fldCharType="separate"/>
      </w:r>
      <w:r w:rsidR="00C52E30">
        <w:t>2.2</w:t>
      </w:r>
      <w:r>
        <w:fldChar w:fldCharType="end"/>
      </w:r>
      <w:r>
        <w:t>). If prior information regarding the hydraulic conductivity of the aquitards is poorly constrained, predictions of drawdown in the overlying unconfined aquifer resulting from extraction will also be poorly constrained. In other words</w:t>
      </w:r>
      <w:r w:rsidRPr="0011542D">
        <w:t xml:space="preserve">, the model </w:t>
      </w:r>
      <w:r>
        <w:t xml:space="preserve">used </w:t>
      </w:r>
      <w:r w:rsidRPr="0011542D">
        <w:t>will predict a wide range of equally probable solutions</w:t>
      </w:r>
      <w:r>
        <w:t xml:space="preserve"> (a.k.a equifinality or non-uniqueness)</w:t>
      </w:r>
      <w:r w:rsidRPr="0011542D">
        <w:t xml:space="preserve">. </w:t>
      </w:r>
      <w:r>
        <w:t xml:space="preserve">In order to test the sensitivity of aquifer drawdown to aquitard hydraulic conductivity, a semi-analytical groundwater flow code such as TTim </w:t>
      </w:r>
      <w:r>
        <w:fldChar w:fldCharType="begin"/>
      </w:r>
      <w:r>
        <w:instrText xml:space="preserve"> ADDIN EN.CITE &lt;EndNote&gt;&lt;Cite&gt;&lt;Author&gt;Bakker&lt;/Author&gt;&lt;Year&gt;2013&lt;/Year&gt;&lt;IDText&gt;Semi-analytic modeling of transient multi-layer flow with TTim&lt;/IDText&gt;&lt;DisplayText&gt;(Bakker, 2013)&lt;/DisplayText&gt;&lt;record&gt;&lt;dates&gt;&lt;pub-dates&gt;&lt;date&gt;JUN 2013&lt;/date&gt;&lt;/pub-dates&gt;&lt;year&gt;2013&lt;/year&gt;&lt;/dates&gt;&lt;keywords&gt;&lt;keyword&gt;Groundwater modeling&lt;/keyword&gt;&lt;keyword&gt;Analytic element method&lt;/keyword&gt;&lt;keyword&gt;Transient flow&lt;/keyword&gt;&lt;keyword&gt;Multi-layer&lt;/keyword&gt;&lt;keyword&gt;ANALYTIC-ELEMENT METHOD&lt;/keyword&gt;&lt;keyword&gt;GROUNDWATER-FLOW&lt;/keyword&gt;&lt;keyword&gt;NUMERICAL INVERSION&lt;/keyword&gt;&lt;keyword&gt;LAPLACE TRANSFORMS&lt;/keyword&gt;&lt;keyword&gt;POROUS-MEDIA&lt;/keyword&gt;&lt;keyword&gt;AQUIFER&lt;/keyword&gt;&lt;keyword&gt;SYSTEMS&lt;/keyword&gt;&lt;keyword&gt;PYTHON&lt;/keyword&gt;&lt;keyword&gt;WELLS&lt;/keyword&gt;&lt;keyword&gt;Geosciences, Multidisciplinary&lt;/keyword&gt;&lt;keyword&gt;Water Resources&lt;/keyword&gt;&lt;keyword&gt;GEOSCIENCES, MULTIDISCIPLINARY&lt;/keyword&gt;&lt;keyword&gt;WATER RESOURCES&lt;/keyword&gt;&lt;keyword&gt;Geology&lt;/keyword&gt;&lt;keyword&gt;Water Resources&lt;/keyword&gt;&lt;/keywords&gt;&lt;isbn&gt;1431-2174&lt;/isbn&gt;&lt;work-type&gt;Article&lt;/work-type&gt;&lt;titles&gt;&lt;title&gt;Semi-analytic modeling of transient multi-layer flow with TTim&lt;/title&gt;&lt;secondary-title&gt;Hydrogeology Journal&lt;/secondary-title&gt;&lt;/titles&gt;&lt;pages&gt;935-943&lt;/pages&gt;&lt;number&gt;4&lt;/number&gt;&lt;contributors&gt;&lt;authors&gt;&lt;author&gt;Bakker, M&lt;/author&gt;&lt;/authors&gt;&lt;/contributors&gt;&lt;language&gt;English&lt;/language&gt;&lt;added-date format="utc"&gt;1434436603&lt;/added-date&gt;&lt;ref-type name="Journal Article"&gt;17&lt;/ref-type&gt;&lt;auth-address&gt;Bakker, M (reprint author), Delft Univ Technol, Fac Civil Engn &amp;amp; Geosci, Water Resources Sect, Delft, Netherlands&amp;#xD;Delft Univ Technol, Fac Civil Engn &amp;amp; Geosci, Water Resources Sect, Delft, Netherlands&amp;#xD;mark.bakker@tudelft.nl&lt;/auth-address&gt;&lt;rec-number&gt;329&lt;/rec-number&gt;&lt;last-updated-date format="utc"&gt;1434436603&lt;/last-updated-date&gt;&lt;accession-num&gt;WOS:000319350700015&lt;/accession-num&gt;&lt;electronic-resource-num&gt;10.1007/s10040-013-0975-2&lt;/electronic-resource-num&gt;&lt;volume&gt;21&lt;/volume&gt;&lt;/record&gt;&lt;/Cite&gt;&lt;/EndNote&gt;</w:instrText>
      </w:r>
      <w:r>
        <w:fldChar w:fldCharType="separate"/>
      </w:r>
      <w:r>
        <w:rPr>
          <w:noProof/>
        </w:rPr>
        <w:t>(Bakker, 2013)</w:t>
      </w:r>
      <w:r>
        <w:fldChar w:fldCharType="end"/>
      </w:r>
      <w:r>
        <w:t xml:space="preserve"> may be employed, in which homogeneous hydraulic properties are assumed (</w:t>
      </w:r>
      <w:r>
        <w:rPr>
          <w:highlight w:val="yellow"/>
        </w:rPr>
        <w:fldChar w:fldCharType="begin"/>
      </w:r>
      <w:r>
        <w:instrText xml:space="preserve"> REF _Ref422323214 \h </w:instrText>
      </w:r>
      <w:r>
        <w:rPr>
          <w:highlight w:val="yellow"/>
        </w:rPr>
      </w:r>
      <w:r>
        <w:rPr>
          <w:highlight w:val="yellow"/>
        </w:rPr>
        <w:fldChar w:fldCharType="separate"/>
      </w:r>
      <w:r w:rsidR="00C52E30">
        <w:t xml:space="preserve">Figure </w:t>
      </w:r>
      <w:r w:rsidR="00C52E30">
        <w:rPr>
          <w:noProof/>
        </w:rPr>
        <w:t>2</w:t>
      </w:r>
      <w:r>
        <w:rPr>
          <w:highlight w:val="yellow"/>
        </w:rPr>
        <w:fldChar w:fldCharType="end"/>
      </w:r>
      <w:r>
        <w:t>). Note that such simplifying assumptions may only be justified under certain conditions; e.g. when the hydrostratigraphic units simulated feature minimal spatial variability. Such limiting assumptions are often not appropriate for real world coal seam gas production contexts.</w:t>
      </w:r>
    </w:p>
    <w:p w14:paraId="5D87B802" w14:textId="77777777" w:rsidR="00016A72" w:rsidRDefault="00016A72" w:rsidP="006A022F">
      <w:pPr>
        <w:pStyle w:val="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395"/>
      </w:tblGrid>
      <w:tr w:rsidR="006A022F" w14:paraId="143949F7" w14:textId="77777777" w:rsidTr="006A022F">
        <w:tc>
          <w:tcPr>
            <w:tcW w:w="4640" w:type="dxa"/>
          </w:tcPr>
          <w:p w14:paraId="5D1A9D68" w14:textId="77777777" w:rsidR="006A022F" w:rsidRDefault="008B19C2" w:rsidP="006A022F">
            <w:pPr>
              <w:pStyle w:val="Body"/>
            </w:pPr>
            <w:r>
              <w:rPr>
                <w:noProof/>
                <w:lang w:val="en-AU" w:eastAsia="en-AU"/>
              </w:rPr>
              <w:drawing>
                <wp:inline distT="0" distB="0" distL="0" distR="0" wp14:anchorId="2F739AED" wp14:editId="5B5E4ADC">
                  <wp:extent cx="2848245" cy="1625600"/>
                  <wp:effectExtent l="0" t="0" r="9525" b="0"/>
                  <wp:docPr id="50" name="Picture 49" descr="Diagram of simple conceptual model of a shallow groundwater system" title="Figur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_leaky_aquifer_conceptualisation_v2_160615.png"/>
                          <pic:cNvPicPr/>
                        </pic:nvPicPr>
                        <pic:blipFill>
                          <a:blip r:embed="rId37"/>
                          <a:stretch>
                            <a:fillRect/>
                          </a:stretch>
                        </pic:blipFill>
                        <pic:spPr>
                          <a:xfrm>
                            <a:off x="0" y="0"/>
                            <a:ext cx="2859686" cy="1632130"/>
                          </a:xfrm>
                          <a:prstGeom prst="rect">
                            <a:avLst/>
                          </a:prstGeom>
                        </pic:spPr>
                      </pic:pic>
                    </a:graphicData>
                  </a:graphic>
                </wp:inline>
              </w:drawing>
            </w:r>
          </w:p>
        </w:tc>
        <w:tc>
          <w:tcPr>
            <w:tcW w:w="4640" w:type="dxa"/>
          </w:tcPr>
          <w:p w14:paraId="61159671" w14:textId="77777777" w:rsidR="006A022F" w:rsidRDefault="008B19C2" w:rsidP="006A022F">
            <w:pPr>
              <w:pStyle w:val="Body"/>
            </w:pPr>
            <w:r>
              <w:rPr>
                <w:noProof/>
                <w:lang w:val="en-AU" w:eastAsia="en-AU"/>
              </w:rPr>
              <w:drawing>
                <wp:inline distT="0" distB="0" distL="0" distR="0" wp14:anchorId="26ADE266" wp14:editId="13E77ECA">
                  <wp:extent cx="2709333" cy="2709333"/>
                  <wp:effectExtent l="0" t="0" r="0" b="0"/>
                  <wp:docPr id="51" name="Picture 50" descr="Diagram of a simple conceptual model of a deep groundwater system" title="Figure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ex_leaky_aquifer_conceptualisation_v2_160615.png"/>
                          <pic:cNvPicPr/>
                        </pic:nvPicPr>
                        <pic:blipFill>
                          <a:blip r:embed="rId38"/>
                          <a:stretch>
                            <a:fillRect/>
                          </a:stretch>
                        </pic:blipFill>
                        <pic:spPr>
                          <a:xfrm>
                            <a:off x="0" y="0"/>
                            <a:ext cx="2711909" cy="2711909"/>
                          </a:xfrm>
                          <a:prstGeom prst="rect">
                            <a:avLst/>
                          </a:prstGeom>
                        </pic:spPr>
                      </pic:pic>
                    </a:graphicData>
                  </a:graphic>
                </wp:inline>
              </w:drawing>
            </w:r>
          </w:p>
        </w:tc>
      </w:tr>
    </w:tbl>
    <w:p w14:paraId="74D74532" w14:textId="77777777" w:rsidR="001634F1" w:rsidRDefault="003F68D2" w:rsidP="003F68D2">
      <w:pPr>
        <w:pStyle w:val="Imagecaption"/>
      </w:pPr>
      <w:bookmarkStart w:id="10" w:name="_Ref422323157"/>
      <w:bookmarkStart w:id="11" w:name="_Toc422323027"/>
      <w:bookmarkStart w:id="12" w:name="_Toc449696291"/>
      <w:r>
        <w:t xml:space="preserve">Figure </w:t>
      </w:r>
      <w:r w:rsidR="00084CDD">
        <w:fldChar w:fldCharType="begin"/>
      </w:r>
      <w:r>
        <w:instrText xml:space="preserve"> SEQ Figure \* ARABIC </w:instrText>
      </w:r>
      <w:r w:rsidR="00084CDD">
        <w:fldChar w:fldCharType="separate"/>
      </w:r>
      <w:r w:rsidR="00C52E30">
        <w:rPr>
          <w:noProof/>
        </w:rPr>
        <w:t>1</w:t>
      </w:r>
      <w:r w:rsidR="00084CDD">
        <w:fldChar w:fldCharType="end"/>
      </w:r>
      <w:bookmarkEnd w:id="10"/>
      <w:r>
        <w:t xml:space="preserve">. </w:t>
      </w:r>
      <w:bookmarkEnd w:id="11"/>
      <w:r w:rsidR="00E24D8D">
        <w:t>(a) Simple conceptual model of a shallow groundwater flow system featuring groundwater extraction from a confined aquifer overlain by an aquitard and an unconfined aquifer. (b) Simple conceptual model of a deep groundwater flow system featuring groundwater extraction from a confined aquifer (</w:t>
      </w:r>
      <w:r w:rsidR="00C85DC3">
        <w:t xml:space="preserve">i.e., </w:t>
      </w:r>
      <w:r w:rsidR="00E24D8D">
        <w:t>coal measure) overlain and underlain by multiple aquifer and aquitard types.</w:t>
      </w:r>
      <w:r w:rsidR="00543D4C">
        <w:t xml:space="preserve"> For illustration purposes a fully penetrating well was used in both cases.</w:t>
      </w:r>
      <w:bookmarkEnd w:id="12"/>
    </w:p>
    <w:p w14:paraId="01867F69" w14:textId="77777777" w:rsidR="00405DB4" w:rsidRDefault="00405DB4" w:rsidP="006F0661">
      <w:pPr>
        <w:pStyle w:val="Body"/>
      </w:pPr>
    </w:p>
    <w:p w14:paraId="7ADE05DC" w14:textId="74686AD4" w:rsidR="00016A72" w:rsidRDefault="00016A72" w:rsidP="00016A72">
      <w:pPr>
        <w:pStyle w:val="Body"/>
      </w:pPr>
      <w:r>
        <w:t>Using semi-analytical solutions enables the exploration of drawdown impacts of increasing differences between aquifer and aquitard hydraulic conductivities</w:t>
      </w:r>
      <w:r w:rsidR="00DB0836">
        <w:t xml:space="preserve"> (</w:t>
      </w:r>
      <w:r w:rsidR="00DB0836">
        <w:fldChar w:fldCharType="begin"/>
      </w:r>
      <w:r w:rsidR="00DB0836">
        <w:instrText xml:space="preserve"> REF _Ref422323214 \h </w:instrText>
      </w:r>
      <w:r w:rsidR="00DB0836">
        <w:fldChar w:fldCharType="separate"/>
      </w:r>
      <w:r w:rsidR="00C52E30">
        <w:t xml:space="preserve">Figure </w:t>
      </w:r>
      <w:r w:rsidR="00C52E30">
        <w:rPr>
          <w:noProof/>
        </w:rPr>
        <w:t>2</w:t>
      </w:r>
      <w:r w:rsidR="00DB0836">
        <w:fldChar w:fldCharType="end"/>
      </w:r>
      <w:r w:rsidR="00DB0836">
        <w:t>)</w:t>
      </w:r>
      <w:r>
        <w:t xml:space="preserve">.  For example, after 30 years of extraction, a maximum drawdown of nearly </w:t>
      </w:r>
      <w:r w:rsidR="00EC0CA7" w:rsidRPr="004F57E9">
        <w:t>2</w:t>
      </w:r>
      <w:r w:rsidR="004F57E9" w:rsidRPr="004F57E9">
        <w:t>4</w:t>
      </w:r>
      <w:r>
        <w:t xml:space="preserve"> metres in the unconfined aquifer occurs at 100 metres distance from the bore when the aquitard </w:t>
      </w:r>
      <w:r>
        <w:rPr>
          <w:i/>
        </w:rPr>
        <w:t>K</w:t>
      </w:r>
      <w:r w:rsidRPr="00FC04C1">
        <w:rPr>
          <w:i/>
          <w:vertAlign w:val="subscript"/>
        </w:rPr>
        <w:t>v</w:t>
      </w:r>
      <w:r>
        <w:t xml:space="preserve"> value is specified as one tenth of the aquifer </w:t>
      </w:r>
      <w:r>
        <w:rPr>
          <w:i/>
        </w:rPr>
        <w:t>K</w:t>
      </w:r>
      <w:r w:rsidRPr="00FC04C1">
        <w:rPr>
          <w:i/>
          <w:vertAlign w:val="subscript"/>
        </w:rPr>
        <w:t>v</w:t>
      </w:r>
      <w:r>
        <w:t xml:space="preserve"> value (i.e. 0.1 m.d</w:t>
      </w:r>
      <w:r>
        <w:rPr>
          <w:vertAlign w:val="superscript"/>
        </w:rPr>
        <w:t>-1</w:t>
      </w:r>
      <w:r>
        <w:t xml:space="preserve">; red line). Conversely, an aquitard </w:t>
      </w:r>
      <w:r>
        <w:rPr>
          <w:i/>
        </w:rPr>
        <w:t>K</w:t>
      </w:r>
      <w:r w:rsidRPr="00FC04C1">
        <w:rPr>
          <w:i/>
          <w:vertAlign w:val="subscript"/>
        </w:rPr>
        <w:t>v</w:t>
      </w:r>
      <w:r>
        <w:t xml:space="preserve"> value that is one thousandth of the aquifer </w:t>
      </w:r>
      <w:r>
        <w:rPr>
          <w:i/>
        </w:rPr>
        <w:t>K</w:t>
      </w:r>
      <w:r w:rsidRPr="00FC04C1">
        <w:rPr>
          <w:i/>
          <w:vertAlign w:val="subscript"/>
        </w:rPr>
        <w:t>v</w:t>
      </w:r>
      <w:r>
        <w:t xml:space="preserve"> value (i.e. 0.001 m.d</w:t>
      </w:r>
      <w:r>
        <w:rPr>
          <w:vertAlign w:val="superscript"/>
        </w:rPr>
        <w:t>-1</w:t>
      </w:r>
      <w:r>
        <w:t xml:space="preserve">; green line) results in a drawdown of </w:t>
      </w:r>
      <w:r w:rsidR="004F57E9">
        <w:t>2</w:t>
      </w:r>
      <w:r>
        <w:t xml:space="preserve"> metres at 100 m distance from the bore. This is explained as follows: in the lowest aquitard </w:t>
      </w:r>
      <w:r>
        <w:rPr>
          <w:i/>
        </w:rPr>
        <w:t>K</w:t>
      </w:r>
      <w:r w:rsidRPr="00FC04C1">
        <w:rPr>
          <w:i/>
          <w:vertAlign w:val="subscript"/>
        </w:rPr>
        <w:t>v</w:t>
      </w:r>
      <w:r>
        <w:rPr>
          <w:i/>
          <w:vertAlign w:val="subscript"/>
        </w:rPr>
        <w:t xml:space="preserve"> </w:t>
      </w:r>
      <w:r>
        <w:t>case (green)</w:t>
      </w:r>
      <w:r w:rsidRPr="001C33C3">
        <w:t xml:space="preserve">, </w:t>
      </w:r>
      <w:r>
        <w:t xml:space="preserve">the upward vertical </w:t>
      </w:r>
      <w:r w:rsidR="00621734">
        <w:t xml:space="preserve">propagation of depressurisation </w:t>
      </w:r>
      <w:r w:rsidRPr="001C33C3">
        <w:t>to</w:t>
      </w:r>
      <w:r>
        <w:t xml:space="preserve">ward the unconfined aquifer from underlying hydrostratigraphic units is severely restricted by the hydraulic conductivity of the two aquitards. Water is instead sourced from the confined </w:t>
      </w:r>
      <w:r w:rsidR="00621734">
        <w:t xml:space="preserve">production </w:t>
      </w:r>
      <w:r>
        <w:t>aquifer itself, resulting in increased drawdown of water levels</w:t>
      </w:r>
      <w:r w:rsidR="00621734">
        <w:t xml:space="preserve"> in that aquifer</w:t>
      </w:r>
      <w:r>
        <w:t xml:space="preserve">. In comparison, in the highest aquitard </w:t>
      </w:r>
      <w:r>
        <w:rPr>
          <w:i/>
        </w:rPr>
        <w:t>K</w:t>
      </w:r>
      <w:r w:rsidRPr="00FC04C1">
        <w:rPr>
          <w:i/>
          <w:vertAlign w:val="subscript"/>
        </w:rPr>
        <w:t>v</w:t>
      </w:r>
      <w:r>
        <w:rPr>
          <w:i/>
          <w:vertAlign w:val="subscript"/>
        </w:rPr>
        <w:t xml:space="preserve"> </w:t>
      </w:r>
      <w:r>
        <w:t>case (red)</w:t>
      </w:r>
      <w:r w:rsidRPr="001C33C3">
        <w:t xml:space="preserve">, </w:t>
      </w:r>
      <w:r>
        <w:t xml:space="preserve">vertical flows through the two aquitards are greater and therefore the drawdown in the confined </w:t>
      </w:r>
      <w:r w:rsidR="00621734">
        <w:t xml:space="preserve">production </w:t>
      </w:r>
      <w:r>
        <w:t>aquifer is relatively smaller.</w:t>
      </w:r>
    </w:p>
    <w:p w14:paraId="20B4175C" w14:textId="77777777" w:rsidR="00016A72" w:rsidRDefault="00016A72" w:rsidP="00016A72">
      <w:pPr>
        <w:pStyle w:val="Body"/>
      </w:pPr>
      <w:r>
        <w:t>In practice, the prediction of hydraulic impacts from CSG operations involves the representation of much more complex geology than depicted in Figure 2, involving dipping strata, discontinuous units and/or structural features such as faults. In addition, the simulation of regional scale groundwater flow systems often requires the use of multiple boundary conditions of various types. For these reasons, numerical groundwater flow models are typically employed.</w:t>
      </w:r>
    </w:p>
    <w:p w14:paraId="1FD29685" w14:textId="552ADE1A" w:rsidR="006F0661" w:rsidRDefault="006F0661" w:rsidP="006F0661">
      <w:pPr>
        <w:pStyle w:val="Body"/>
      </w:pPr>
    </w:p>
    <w:p w14:paraId="6CE528B5" w14:textId="77777777" w:rsidR="009A78B7" w:rsidRDefault="009A78B7" w:rsidP="006F0661">
      <w:pPr>
        <w:pStyle w:val="Body"/>
      </w:pPr>
    </w:p>
    <w:p w14:paraId="2E579C88" w14:textId="77777777" w:rsidR="006F0661" w:rsidRDefault="009A78B7" w:rsidP="006F0661">
      <w:pPr>
        <w:pStyle w:val="Body"/>
        <w:jc w:val="center"/>
      </w:pPr>
      <w:r>
        <w:rPr>
          <w:noProof/>
          <w:lang w:val="en-AU" w:eastAsia="en-AU"/>
        </w:rPr>
        <w:drawing>
          <wp:inline distT="0" distB="0" distL="0" distR="0" wp14:anchorId="7DD3FA5C" wp14:editId="7FC01DDF">
            <wp:extent cx="5749925" cy="3588385"/>
            <wp:effectExtent l="0" t="0" r="3175" b="0"/>
            <wp:docPr id="21" name="Picture 3" descr="Diagram of sensitivity to drawdown in coal formation and unconfined aquifer in a deeper groundwater system"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SA2-ADL\PI-Home1\tho622\tur25d\OWS_FAM\References\Models_review\Luk_TTim_code\drawdownCSG_v2_unconfined_CT.png"/>
                    <pic:cNvPicPr>
                      <a:picLocks noChangeAspect="1" noChangeArrowheads="1"/>
                    </pic:cNvPicPr>
                  </pic:nvPicPr>
                  <pic:blipFill>
                    <a:blip r:embed="rId39"/>
                    <a:srcRect/>
                    <a:stretch>
                      <a:fillRect/>
                    </a:stretch>
                  </pic:blipFill>
                  <pic:spPr bwMode="auto">
                    <a:xfrm>
                      <a:off x="0" y="0"/>
                      <a:ext cx="5749925" cy="3588385"/>
                    </a:xfrm>
                    <a:prstGeom prst="rect">
                      <a:avLst/>
                    </a:prstGeom>
                    <a:noFill/>
                    <a:ln w="9525">
                      <a:noFill/>
                      <a:miter lim="800000"/>
                      <a:headEnd/>
                      <a:tailEnd/>
                    </a:ln>
                  </pic:spPr>
                </pic:pic>
              </a:graphicData>
            </a:graphic>
          </wp:inline>
        </w:drawing>
      </w:r>
    </w:p>
    <w:p w14:paraId="721CD782" w14:textId="77777777" w:rsidR="006F0661" w:rsidRDefault="003F68D2" w:rsidP="003F68D2">
      <w:pPr>
        <w:pStyle w:val="Imagecaption"/>
      </w:pPr>
      <w:bookmarkStart w:id="13" w:name="_Ref422323214"/>
      <w:bookmarkStart w:id="14" w:name="_Toc422323028"/>
      <w:bookmarkStart w:id="15" w:name="_Toc449696292"/>
      <w:r>
        <w:t xml:space="preserve">Figure </w:t>
      </w:r>
      <w:r w:rsidR="00084CDD">
        <w:fldChar w:fldCharType="begin"/>
      </w:r>
      <w:r>
        <w:instrText xml:space="preserve"> SEQ Figure \* ARABIC </w:instrText>
      </w:r>
      <w:r w:rsidR="00084CDD">
        <w:fldChar w:fldCharType="separate"/>
      </w:r>
      <w:r w:rsidR="00C52E30">
        <w:rPr>
          <w:noProof/>
        </w:rPr>
        <w:t>2</w:t>
      </w:r>
      <w:r w:rsidR="00084CDD">
        <w:fldChar w:fldCharType="end"/>
      </w:r>
      <w:bookmarkEnd w:id="13"/>
      <w:r>
        <w:t xml:space="preserve">. </w:t>
      </w:r>
      <w:bookmarkEnd w:id="14"/>
      <w:r w:rsidR="006928E7">
        <w:t xml:space="preserve">Sensitivity of drawdown in </w:t>
      </w:r>
      <w:r w:rsidR="00BF5EBD">
        <w:t xml:space="preserve">(a) coal formation and (b) unconfined </w:t>
      </w:r>
      <w:r w:rsidR="006928E7">
        <w:t xml:space="preserve">aquifer </w:t>
      </w:r>
      <w:r w:rsidR="00BF5EBD">
        <w:t xml:space="preserve">due to </w:t>
      </w:r>
      <w:r w:rsidR="006928E7">
        <w:t xml:space="preserve">groundwater extraction to </w:t>
      </w:r>
      <w:r w:rsidR="00827686">
        <w:t xml:space="preserve">simultaneous changes in </w:t>
      </w:r>
      <w:r w:rsidR="006928E7">
        <w:t xml:space="preserve">the vertical hydraulic conductivity of </w:t>
      </w:r>
      <w:r w:rsidR="00BF5EBD">
        <w:t xml:space="preserve">both </w:t>
      </w:r>
      <w:r w:rsidR="006928E7">
        <w:t>aquitards present</w:t>
      </w:r>
      <w:r w:rsidR="00BF5EBD">
        <w:t>.</w:t>
      </w:r>
      <w:bookmarkEnd w:id="15"/>
    </w:p>
    <w:p w14:paraId="578488B7" w14:textId="77777777" w:rsidR="00405DB4" w:rsidRDefault="00405DB4" w:rsidP="00453A1E">
      <w:pPr>
        <w:pStyle w:val="Body"/>
      </w:pPr>
    </w:p>
    <w:p w14:paraId="6A66C6A4" w14:textId="77777777" w:rsidR="00E8296A" w:rsidRDefault="00CD396E" w:rsidP="0082708C">
      <w:pPr>
        <w:pStyle w:val="Heading2"/>
      </w:pPr>
      <w:bookmarkStart w:id="16" w:name="_Ref445986586"/>
      <w:bookmarkStart w:id="17" w:name="_Toc449696579"/>
      <w:r>
        <w:t xml:space="preserve">Groundwater flow </w:t>
      </w:r>
      <w:r w:rsidRPr="0082708C">
        <w:t>models</w:t>
      </w:r>
      <w:r>
        <w:t xml:space="preserve"> in r</w:t>
      </w:r>
      <w:r w:rsidR="00E8296A">
        <w:t xml:space="preserve">isk-based </w:t>
      </w:r>
      <w:r>
        <w:t xml:space="preserve">CSG </w:t>
      </w:r>
      <w:r w:rsidR="0082708C">
        <w:t xml:space="preserve">impact </w:t>
      </w:r>
      <w:r w:rsidR="00E8296A">
        <w:t>assessments</w:t>
      </w:r>
      <w:bookmarkEnd w:id="16"/>
      <w:bookmarkEnd w:id="17"/>
    </w:p>
    <w:p w14:paraId="3E9E4630" w14:textId="58F77AEC" w:rsidR="00F60EB7" w:rsidRDefault="00F60EB7" w:rsidP="00A45100">
      <w:pPr>
        <w:pStyle w:val="Heading3"/>
      </w:pPr>
      <w:bookmarkStart w:id="18" w:name="_Toc449696580"/>
      <w:r>
        <w:t>Risk-based approach</w:t>
      </w:r>
      <w:bookmarkEnd w:id="18"/>
    </w:p>
    <w:p w14:paraId="03DF6C0E" w14:textId="284D16DE" w:rsidR="00016744" w:rsidRDefault="00CE19FA" w:rsidP="005C7452">
      <w:pPr>
        <w:pStyle w:val="Body"/>
      </w:pPr>
      <w:r>
        <w:t xml:space="preserve">In a coal seam gas </w:t>
      </w:r>
      <w:r w:rsidR="0063112F">
        <w:t xml:space="preserve">development </w:t>
      </w:r>
      <w:r>
        <w:t xml:space="preserve">context, numerical groundwater flow models are typically used to provide predictions </w:t>
      </w:r>
      <w:r w:rsidR="00E117C1">
        <w:t xml:space="preserve">of </w:t>
      </w:r>
      <w:r w:rsidR="00820D40">
        <w:t xml:space="preserve">groundwater-related </w:t>
      </w:r>
      <w:r w:rsidR="00E117C1">
        <w:t xml:space="preserve">consequences </w:t>
      </w:r>
      <w:r w:rsidR="00F86022">
        <w:t>of proposed development</w:t>
      </w:r>
      <w:r w:rsidR="00366E23">
        <w:t>s</w:t>
      </w:r>
      <w:r w:rsidR="00F86022">
        <w:t xml:space="preserve"> </w:t>
      </w:r>
      <w:r w:rsidR="0063112F">
        <w:t xml:space="preserve">as part of Environmental Impact </w:t>
      </w:r>
      <w:r w:rsidR="00CD396E">
        <w:t>Statement (EIS)</w:t>
      </w:r>
      <w:r w:rsidR="0063112F">
        <w:t xml:space="preserve"> obligations</w:t>
      </w:r>
      <w:r w:rsidR="002741F8">
        <w:t xml:space="preserve"> [</w:t>
      </w:r>
      <w:r w:rsidR="00AA5ABA">
        <w:t xml:space="preserve">e.g., </w:t>
      </w:r>
      <w:r w:rsidR="002741F8">
        <w:t xml:space="preserve">State of New South Wales </w:t>
      </w:r>
      <w:r w:rsidR="00084CDD">
        <w:fldChar w:fldCharType="begin"/>
      </w:r>
      <w:r w:rsidR="002741F8">
        <w:instrText xml:space="preserve"> ADDIN EN.CITE &lt;EndNote&gt;&lt;Cite ExcludeAuth="1"&gt;&lt;Author&gt;State of New South Wales&lt;/Author&gt;&lt;Year&gt;2015&lt;/Year&gt;&lt;IDText&gt;Environmental Planning and Assessment Act 1979&lt;/IDText&gt;&lt;DisplayText&gt;(2015)&lt;/DisplayText&gt;&lt;record&gt;&lt;urls&gt;&lt;related-urls&gt;&lt;url&gt;http://www.legislation.nsw.gov.au/viewtop/inforce/act+203+1979+FIRST+0+N/&lt;/url&gt;&lt;/related-urls&gt;&lt;/urls&gt;&lt;titles&gt;&lt;title&gt;Environmental Planning and Assessment Act 1979&lt;/title&gt;&lt;secondary-title&gt;203&lt;/secondary-title&gt;&lt;/titles&gt;&lt;contributors&gt;&lt;authors&gt;&lt;author&gt;State of New South Wales,&lt;/author&gt;&lt;/authors&gt;&lt;/contributors&gt;&lt;added-date format="utc"&gt;1434434251&lt;/added-date&gt;&lt;ref-type name="Legal Rule or Regulation"&gt;50&lt;/ref-type&gt;&lt;dates&gt;&lt;year&gt;2015&lt;/year&gt;&lt;/dates&gt;&lt;rec-number&gt;1198&lt;/rec-number&gt;&lt;last-updated-date format="utc"&gt;1434434352&lt;/last-updated-date&gt;&lt;contributors&gt;&lt;secondary-authors&gt;&lt;author&gt;State of New South Wales&lt;/author&gt;&lt;/secondary-authors&gt;&lt;/contributors&gt;&lt;/record&gt;&lt;/Cite&gt;&lt;/EndNote&gt;</w:instrText>
      </w:r>
      <w:r w:rsidR="00084CDD">
        <w:fldChar w:fldCharType="separate"/>
      </w:r>
      <w:r w:rsidR="002741F8">
        <w:rPr>
          <w:noProof/>
        </w:rPr>
        <w:t>(2015)</w:t>
      </w:r>
      <w:r w:rsidR="00084CDD">
        <w:fldChar w:fldCharType="end"/>
      </w:r>
      <w:r w:rsidR="002741F8">
        <w:t xml:space="preserve">, State of Queensland </w:t>
      </w:r>
      <w:r w:rsidR="00084CDD">
        <w:fldChar w:fldCharType="begin"/>
      </w:r>
      <w:r w:rsidR="002741F8">
        <w:instrText xml:space="preserve"> ADDIN EN.CITE &lt;EndNote&gt;&lt;Cite ExcludeAuth="1"&gt;&lt;Author&gt;State of Queensland&lt;/Author&gt;&lt;Year&gt;2014&lt;/Year&gt;&lt;IDText&gt;State Development and Public Works Organisation Act 1971&lt;/IDText&gt;&lt;DisplayText&gt;(2014)&lt;/DisplayText&gt;&lt;record&gt;&lt;urls&gt;&lt;related-urls&gt;&lt;url&gt;https://www.legislation.qld.gov.au/LEGISLTN/CURRENT/S/StateDevA71.pdf&lt;/url&gt;&lt;/related-urls&gt;&lt;/urls&gt;&lt;titles&gt;&lt;title&gt;State Development and Public Works Organisation Act 1971&lt;/title&gt;&lt;/titles&gt;&lt;pages&gt;292&lt;/pages&gt;&lt;contributors&gt;&lt;authors&gt;&lt;author&gt;State of Queensland,&lt;/author&gt;&lt;/authors&gt;&lt;/contributors&gt;&lt;added-date format="utc"&gt;1434433890&lt;/added-date&gt;&lt;ref-type name="Legal Rule or Regulation"&gt;50&lt;/ref-type&gt;&lt;dates&gt;&lt;year&gt;2014&lt;/year&gt;&lt;/dates&gt;&lt;rec-number&gt;1197&lt;/rec-number&gt;&lt;last-updated-date format="utc"&gt;1434434029&lt;/last-updated-date&gt;&lt;/record&gt;&lt;/Cite&gt;&lt;/EndNote&gt;</w:instrText>
      </w:r>
      <w:r w:rsidR="00084CDD">
        <w:fldChar w:fldCharType="separate"/>
      </w:r>
      <w:r w:rsidR="002741F8">
        <w:rPr>
          <w:noProof/>
        </w:rPr>
        <w:t>(2014)</w:t>
      </w:r>
      <w:r w:rsidR="00084CDD">
        <w:fldChar w:fldCharType="end"/>
      </w:r>
      <w:r w:rsidR="002741F8">
        <w:t>]</w:t>
      </w:r>
      <w:r w:rsidR="0063112F">
        <w:t>. Such predictions include the magnitude and spatial extent of changes in hydraulic head or groundwater level and changes in groundwater flow rates</w:t>
      </w:r>
      <w:r w:rsidR="00806A15">
        <w:t xml:space="preserve"> (</w:t>
      </w:r>
      <w:r w:rsidR="00AA5ABA">
        <w:t xml:space="preserve">e.g., </w:t>
      </w:r>
      <w:r w:rsidR="0063112F">
        <w:t>discharge to surface water bodies</w:t>
      </w:r>
      <w:r w:rsidR="00806A15">
        <w:t>)</w:t>
      </w:r>
      <w:r w:rsidR="00E117C1">
        <w:t xml:space="preserve"> associated with a given impact (in some cases exposure) scenario</w:t>
      </w:r>
      <w:r w:rsidR="00C07654">
        <w:t xml:space="preserve"> (</w:t>
      </w:r>
      <w:r w:rsidR="00B204C3">
        <w:t xml:space="preserve">e.g. </w:t>
      </w:r>
      <w:r w:rsidR="00C07654">
        <w:t xml:space="preserve">see </w:t>
      </w:r>
      <w:r w:rsidR="00B204C3">
        <w:t xml:space="preserve">Table 1 and associated text for </w:t>
      </w:r>
      <w:r w:rsidR="00C07654">
        <w:t>discussion)</w:t>
      </w:r>
      <w:r w:rsidR="0063112F">
        <w:t xml:space="preserve">. </w:t>
      </w:r>
      <w:r w:rsidR="00016744">
        <w:t xml:space="preserve">The risk associated with </w:t>
      </w:r>
      <w:r w:rsidR="00CD396E">
        <w:t xml:space="preserve">a given </w:t>
      </w:r>
      <w:r w:rsidR="00E117C1">
        <w:t>scenario</w:t>
      </w:r>
      <w:r w:rsidR="00016744">
        <w:t xml:space="preserve"> is calculated as</w:t>
      </w:r>
      <w:r w:rsidR="00CD396E">
        <w:t xml:space="preserve"> the product of its probability of occurrence </w:t>
      </w:r>
      <w:r w:rsidR="00016744">
        <w:t xml:space="preserve">and </w:t>
      </w:r>
      <w:r w:rsidR="00CD396E">
        <w:t xml:space="preserve">the associated </w:t>
      </w:r>
      <w:r w:rsidR="00016744">
        <w:t xml:space="preserve">consequences. </w:t>
      </w:r>
      <w:r w:rsidR="005C7452">
        <w:t>In practice, t</w:t>
      </w:r>
      <w:r w:rsidR="00CD396E">
        <w:t xml:space="preserve">he probability of occurrence </w:t>
      </w:r>
      <w:r w:rsidR="002611C1">
        <w:t>(</w:t>
      </w:r>
      <w:r w:rsidR="00D72922">
        <w:t>or likelihood</w:t>
      </w:r>
      <w:r w:rsidR="002611C1">
        <w:t>)</w:t>
      </w:r>
      <w:r w:rsidR="00D72922">
        <w:t xml:space="preserve"> </w:t>
      </w:r>
      <w:r w:rsidR="00E117C1">
        <w:t>may</w:t>
      </w:r>
      <w:r w:rsidR="00CD396E">
        <w:t xml:space="preserve"> </w:t>
      </w:r>
      <w:r w:rsidR="00E117C1">
        <w:t xml:space="preserve">be </w:t>
      </w:r>
      <w:r w:rsidR="005C7452">
        <w:t>difficult to quantify</w:t>
      </w:r>
      <w:r w:rsidR="00E117C1">
        <w:t>, although in some instances this quantification may be straightforward</w:t>
      </w:r>
      <w:r w:rsidR="005C7452">
        <w:t xml:space="preserve">. </w:t>
      </w:r>
      <w:r w:rsidR="00E117C1">
        <w:t xml:space="preserve">An example of </w:t>
      </w:r>
      <w:r w:rsidR="004037AF">
        <w:t>a difficult to quantify</w:t>
      </w:r>
      <w:r w:rsidR="00E117C1">
        <w:t xml:space="preserve"> likelihood</w:t>
      </w:r>
      <w:r w:rsidR="00F646E3">
        <w:t xml:space="preserve"> would be where the magnitude of an impact relies significantly on</w:t>
      </w:r>
      <w:r w:rsidR="00431FD1">
        <w:t xml:space="preserve"> the possible presence of</w:t>
      </w:r>
      <w:r w:rsidR="00F646E3">
        <w:t xml:space="preserve"> a difficult to detect </w:t>
      </w:r>
      <w:r w:rsidR="00E117C1">
        <w:t xml:space="preserve"> a preferential </w:t>
      </w:r>
      <w:r w:rsidR="00F646E3">
        <w:t xml:space="preserve">flow </w:t>
      </w:r>
      <w:r w:rsidR="00E117C1">
        <w:t xml:space="preserve">pathway </w:t>
      </w:r>
      <w:r w:rsidR="00E80F4A">
        <w:t xml:space="preserve">(e.g. conductive fault) </w:t>
      </w:r>
      <w:r w:rsidR="00E117C1">
        <w:t>between a coal seam target formation</w:t>
      </w:r>
      <w:r w:rsidR="00E80F4A">
        <w:t xml:space="preserve"> and a receptor in a beneficial aquifer (e.g. groundwater bore). </w:t>
      </w:r>
      <w:r w:rsidR="00F646E3">
        <w:t xml:space="preserve">In contrast, likelihoods would be straightforward to quantify where an established impact relationship already exists between </w:t>
      </w:r>
      <w:r w:rsidR="00E80F4A">
        <w:t xml:space="preserve">a </w:t>
      </w:r>
      <w:r w:rsidR="0014021C">
        <w:t xml:space="preserve">receptor of the impact (e.g. </w:t>
      </w:r>
      <w:r w:rsidR="00E80F4A">
        <w:t xml:space="preserve">groundwater dependent </w:t>
      </w:r>
      <w:r w:rsidR="0014021C">
        <w:t>ecosystem)</w:t>
      </w:r>
      <w:r w:rsidR="00E80F4A">
        <w:t xml:space="preserve"> </w:t>
      </w:r>
      <w:r w:rsidR="00F646E3">
        <w:t xml:space="preserve">and </w:t>
      </w:r>
      <w:r w:rsidR="00431FD1">
        <w:t xml:space="preserve">known stresses in </w:t>
      </w:r>
      <w:r w:rsidR="00F646E3">
        <w:t xml:space="preserve">a stressed </w:t>
      </w:r>
      <w:r w:rsidR="00E80F4A">
        <w:t xml:space="preserve"> groundwater system. </w:t>
      </w:r>
      <w:r w:rsidR="00431FD1">
        <w:t xml:space="preserve">Usually </w:t>
      </w:r>
      <w:r w:rsidR="003A385B">
        <w:t>likelihoods</w:t>
      </w:r>
      <w:r w:rsidR="00431FD1">
        <w:t xml:space="preserve"> are difficult to quantify, </w:t>
      </w:r>
      <w:r w:rsidR="005C7452">
        <w:t xml:space="preserve"> </w:t>
      </w:r>
      <w:r w:rsidR="0014021C">
        <w:t>due to lack of knowledge</w:t>
      </w:r>
      <w:r w:rsidR="00EB1EB4">
        <w:t xml:space="preserve"> and hence </w:t>
      </w:r>
      <w:r w:rsidR="0014021C">
        <w:t xml:space="preserve"> the </w:t>
      </w:r>
      <w:r w:rsidR="005C7452">
        <w:t xml:space="preserve">uncertainty associated with </w:t>
      </w:r>
      <w:r w:rsidR="000C19AA">
        <w:t xml:space="preserve">a </w:t>
      </w:r>
      <w:r w:rsidR="005C7452">
        <w:t>predict</w:t>
      </w:r>
      <w:r w:rsidR="0014021C">
        <w:t>ed consequence</w:t>
      </w:r>
      <w:r w:rsidR="005C7452">
        <w:t xml:space="preserve"> of interest </w:t>
      </w:r>
      <w:r w:rsidR="0082708C">
        <w:t xml:space="preserve">must be </w:t>
      </w:r>
      <w:r w:rsidR="005C7452">
        <w:t>estimated</w:t>
      </w:r>
      <w:r w:rsidR="00EB1EB4">
        <w:t xml:space="preserve"> rather than quantified</w:t>
      </w:r>
      <w:r w:rsidR="005C7452">
        <w:t xml:space="preserve">. </w:t>
      </w:r>
      <w:r w:rsidR="0014021C">
        <w:t>Indeed, m</w:t>
      </w:r>
      <w:r w:rsidR="0063112F">
        <w:t xml:space="preserve">any of the values assigned to the parameters, initial conditions and boundary conditions </w:t>
      </w:r>
      <w:r w:rsidR="009C18BF">
        <w:t xml:space="preserve">(hereafter referred to collectively as parameters for brevity) </w:t>
      </w:r>
      <w:r w:rsidR="0063112F">
        <w:t xml:space="preserve">used in numerical groundwater flow models are uncertain. Consequently, the predictions generated </w:t>
      </w:r>
      <w:r w:rsidR="00806A15">
        <w:t xml:space="preserve">by such models </w:t>
      </w:r>
      <w:r w:rsidR="0063112F">
        <w:t xml:space="preserve">are inherently uncertain. </w:t>
      </w:r>
      <w:r w:rsidR="0099775F">
        <w:t xml:space="preserve">Predictions salient to the present report are the magnitude and spatial extent of drawdown in </w:t>
      </w:r>
      <w:r w:rsidR="00754E5B">
        <w:t xml:space="preserve">productive, </w:t>
      </w:r>
      <w:r w:rsidR="0064771A" w:rsidRPr="0064771A">
        <w:t>adjacent</w:t>
      </w:r>
      <w:r w:rsidR="00754E5B">
        <w:t xml:space="preserve"> </w:t>
      </w:r>
      <w:r w:rsidR="0099775F">
        <w:t>aquifer</w:t>
      </w:r>
      <w:r w:rsidR="00D72922">
        <w:t>s</w:t>
      </w:r>
      <w:r w:rsidR="0014021C">
        <w:t xml:space="preserve"> (confined and unconfined)</w:t>
      </w:r>
      <w:r w:rsidR="00754E5B">
        <w:t xml:space="preserve">, as well as </w:t>
      </w:r>
      <w:r w:rsidR="0099775F">
        <w:t>subsurface flux</w:t>
      </w:r>
      <w:r w:rsidR="00754E5B">
        <w:t>es</w:t>
      </w:r>
      <w:r w:rsidR="0099775F">
        <w:t xml:space="preserve"> </w:t>
      </w:r>
      <w:r w:rsidR="00754E5B">
        <w:t xml:space="preserve">between </w:t>
      </w:r>
      <w:r w:rsidR="002D259A">
        <w:t xml:space="preserve">a near-surface aquifer and </w:t>
      </w:r>
      <w:r w:rsidR="0099775F">
        <w:t xml:space="preserve">underlying units. </w:t>
      </w:r>
    </w:p>
    <w:p w14:paraId="3396269D" w14:textId="0B8ADE94" w:rsidR="009A78B7" w:rsidRDefault="00D65469" w:rsidP="002611C1">
      <w:pPr>
        <w:pStyle w:val="Body"/>
      </w:pPr>
      <w:bookmarkStart w:id="19" w:name="_Ref382738050"/>
      <w:bookmarkStart w:id="20" w:name="_Toc384143249"/>
      <w:bookmarkStart w:id="21" w:name="_Toc404628672"/>
      <w:r w:rsidRPr="00B23E5A">
        <w:t xml:space="preserve">A risk analysis combines </w:t>
      </w:r>
      <w:r>
        <w:t xml:space="preserve">the </w:t>
      </w:r>
      <w:r w:rsidRPr="00B23E5A">
        <w:t>likelihood of occurrence</w:t>
      </w:r>
      <w:r>
        <w:t xml:space="preserve"> of events with the severity of </w:t>
      </w:r>
      <w:r w:rsidR="00041242">
        <w:t xml:space="preserve">the </w:t>
      </w:r>
      <w:r>
        <w:t>consequence</w:t>
      </w:r>
      <w:r w:rsidR="00041242">
        <w:t>s</w:t>
      </w:r>
      <w:r>
        <w:t xml:space="preserve"> of those events to characterise the level of risk, often using</w:t>
      </w:r>
      <w:r w:rsidRPr="00B23E5A">
        <w:t xml:space="preserve"> a risk rating matrix</w:t>
      </w:r>
      <w:r w:rsidRPr="00B23E5A">
        <w:rPr>
          <w:b/>
          <w:bCs/>
        </w:rPr>
        <w:t xml:space="preserve"> </w:t>
      </w:r>
      <w:r w:rsidRPr="00B23E5A">
        <w:t>(</w:t>
      </w:r>
      <w:r w:rsidR="00084CDD">
        <w:rPr>
          <w:highlight w:val="yellow"/>
        </w:rPr>
        <w:fldChar w:fldCharType="begin"/>
      </w:r>
      <w:r w:rsidR="002F41A2">
        <w:instrText xml:space="preserve"> REF _Ref410834088 \h </w:instrText>
      </w:r>
      <w:r w:rsidR="00084CDD">
        <w:rPr>
          <w:highlight w:val="yellow"/>
        </w:rPr>
      </w:r>
      <w:r w:rsidR="00084CDD">
        <w:rPr>
          <w:highlight w:val="yellow"/>
        </w:rPr>
        <w:fldChar w:fldCharType="separate"/>
      </w:r>
      <w:r w:rsidR="00C52E30">
        <w:t xml:space="preserve">Figure </w:t>
      </w:r>
      <w:r w:rsidR="00C52E30">
        <w:rPr>
          <w:noProof/>
        </w:rPr>
        <w:t>3</w:t>
      </w:r>
      <w:r w:rsidR="00084CDD">
        <w:rPr>
          <w:highlight w:val="yellow"/>
        </w:rPr>
        <w:fldChar w:fldCharType="end"/>
      </w:r>
      <w:r w:rsidRPr="00B23E5A">
        <w:t>). The risk rating matrix may be qualitative, semi-quantitative or quantitative depending on the degree of confidence in specifying events and their likelihood</w:t>
      </w:r>
      <w:r w:rsidRPr="0043088B">
        <w:t xml:space="preserve">. </w:t>
      </w:r>
    </w:p>
    <w:p w14:paraId="225429B5" w14:textId="77777777" w:rsidR="00405DB4" w:rsidRDefault="00405DB4" w:rsidP="002611C1">
      <w:pPr>
        <w:pStyle w:val="Body"/>
      </w:pPr>
    </w:p>
    <w:p w14:paraId="11D0C1F9" w14:textId="77777777" w:rsidR="00D65469" w:rsidRDefault="00ED693F" w:rsidP="002611C1">
      <w:pPr>
        <w:pStyle w:val="Body"/>
      </w:pPr>
      <w:r>
        <w:rPr>
          <w:noProof/>
          <w:lang w:val="en-AU" w:eastAsia="en-AU"/>
        </w:rPr>
        <w:drawing>
          <wp:inline distT="0" distB="0" distL="0" distR="0" wp14:anchorId="40D9424D" wp14:editId="16EEAD3D">
            <wp:extent cx="5755640" cy="2434764"/>
            <wp:effectExtent l="0" t="0" r="0" b="0"/>
            <wp:docPr id="22" name="Picture 8" descr="Qualitative Rrisk rating matrix"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srcRect/>
                    <a:stretch>
                      <a:fillRect/>
                    </a:stretch>
                  </pic:blipFill>
                  <pic:spPr bwMode="auto">
                    <a:xfrm>
                      <a:off x="0" y="0"/>
                      <a:ext cx="5755640" cy="2434764"/>
                    </a:xfrm>
                    <a:prstGeom prst="rect">
                      <a:avLst/>
                    </a:prstGeom>
                    <a:noFill/>
                    <a:ln w="9525">
                      <a:noFill/>
                      <a:miter lim="800000"/>
                      <a:headEnd/>
                      <a:tailEnd/>
                    </a:ln>
                  </pic:spPr>
                </pic:pic>
              </a:graphicData>
            </a:graphic>
          </wp:inline>
        </w:drawing>
      </w:r>
    </w:p>
    <w:p w14:paraId="0890A71E" w14:textId="4BA49962" w:rsidR="002D337D" w:rsidRDefault="003F68D2" w:rsidP="00A45100">
      <w:pPr>
        <w:pStyle w:val="Imagecaption"/>
        <w:rPr>
          <w:sz w:val="18"/>
          <w:szCs w:val="18"/>
        </w:rPr>
      </w:pPr>
      <w:bookmarkStart w:id="22" w:name="_Ref410834088"/>
      <w:bookmarkStart w:id="23" w:name="_Toc422323029"/>
      <w:bookmarkStart w:id="24" w:name="_Toc449696293"/>
      <w:bookmarkEnd w:id="19"/>
      <w:bookmarkEnd w:id="20"/>
      <w:bookmarkEnd w:id="21"/>
      <w:r>
        <w:t xml:space="preserve">Figure </w:t>
      </w:r>
      <w:r w:rsidR="00084CDD">
        <w:rPr>
          <w:i w:val="0"/>
        </w:rPr>
        <w:fldChar w:fldCharType="begin"/>
      </w:r>
      <w:r>
        <w:instrText xml:space="preserve"> SEQ Figure \* ARABIC </w:instrText>
      </w:r>
      <w:r w:rsidR="00084CDD">
        <w:rPr>
          <w:i w:val="0"/>
        </w:rPr>
        <w:fldChar w:fldCharType="separate"/>
      </w:r>
      <w:r w:rsidR="00C52E30">
        <w:rPr>
          <w:noProof/>
        </w:rPr>
        <w:t>3</w:t>
      </w:r>
      <w:r w:rsidR="00084CDD">
        <w:rPr>
          <w:i w:val="0"/>
        </w:rPr>
        <w:fldChar w:fldCharType="end"/>
      </w:r>
      <w:bookmarkEnd w:id="22"/>
      <w:r w:rsidR="002A337A">
        <w:t>.</w:t>
      </w:r>
      <w:r w:rsidR="00D65469" w:rsidRPr="002611C1">
        <w:t xml:space="preserve"> An example of a qualitative risk rating matrix where consequence ratings range from ‘insignificant’ (1) to ‘catastrophic’ (5) and likelihoods range from ‘rare’ (E) to ‘almost certain’ (A)</w:t>
      </w:r>
      <w:r w:rsidR="004F6594">
        <w:t xml:space="preserve"> </w:t>
      </w:r>
      <w:r w:rsidR="00084CDD">
        <w:rPr>
          <w:i w:val="0"/>
        </w:rPr>
        <w:fldChar w:fldCharType="begin"/>
      </w:r>
      <w:r w:rsidR="004F6594">
        <w:instrText xml:space="preserve"> ADDIN EN.CITE &lt;EndNote&gt;&lt;Cite&gt;&lt;Author&gt;CoA&lt;/Author&gt;&lt;Year&gt;2008&lt;/Year&gt;&lt;IDText&gt;Risk assessment and management&lt;/IDText&gt;&lt;DisplayText&gt;(CoA, 2008)&lt;/DisplayText&gt;&lt;record&gt;&lt;titles&gt;&lt;title&gt;Risk assessment and management&lt;/title&gt;&lt;/titles&gt;&lt;pages&gt;95&lt;/pages&gt;&lt;contributors&gt;&lt;authors&gt;&lt;author&gt;CoA&lt;/author&gt;&lt;/authors&gt;&lt;/contributors&gt;&lt;added-date format="utc"&gt;1434350725&lt;/added-date&gt;&lt;ref-type name="Generic"&gt;13&lt;/ref-type&gt;&lt;dates&gt;&lt;year&gt;2008&lt;/year&gt;&lt;/dates&gt;&lt;rec-number&gt;1196&lt;/rec-number&gt;&lt;publisher&gt;Department of Resources, Energy and Tourism&lt;/publisher&gt;&lt;last-updated-date format="utc"&gt;1434350881&lt;/last-updated-date&gt;&lt;contributors&gt;&lt;secondary-authors&gt;&lt;author&gt;Commonwealth of Australia&lt;/author&gt;&lt;/secondary-authors&gt;&lt;/contributors&gt;&lt;volume&gt;Leading practice sustainable development program for the mining industry&lt;/volume&gt;&lt;/record&gt;&lt;/Cite&gt;&lt;/EndNote&gt;</w:instrText>
      </w:r>
      <w:r w:rsidR="00084CDD">
        <w:rPr>
          <w:i w:val="0"/>
        </w:rPr>
        <w:fldChar w:fldCharType="separate"/>
      </w:r>
      <w:r w:rsidR="004F6594">
        <w:rPr>
          <w:noProof/>
        </w:rPr>
        <w:t>(CoA, 2008)</w:t>
      </w:r>
      <w:r w:rsidR="00084CDD">
        <w:rPr>
          <w:i w:val="0"/>
        </w:rPr>
        <w:fldChar w:fldCharType="end"/>
      </w:r>
      <w:r w:rsidR="004F6594">
        <w:t>.</w:t>
      </w:r>
      <w:bookmarkEnd w:id="23"/>
      <w:bookmarkEnd w:id="24"/>
      <w:r w:rsidR="00D65469" w:rsidRPr="002611C1">
        <w:t xml:space="preserve"> </w:t>
      </w:r>
    </w:p>
    <w:p w14:paraId="3067D1D6" w14:textId="77777777" w:rsidR="00D65469" w:rsidRDefault="00D65469" w:rsidP="002611C1">
      <w:pPr>
        <w:pStyle w:val="Body"/>
      </w:pPr>
      <w:r>
        <w:t>Benefits of a</w:t>
      </w:r>
      <w:r w:rsidRPr="001621F4">
        <w:t xml:space="preserve"> risk analysis </w:t>
      </w:r>
      <w:r>
        <w:t>include:</w:t>
      </w:r>
    </w:p>
    <w:p w14:paraId="19E9D177" w14:textId="647E9899" w:rsidR="00D65469" w:rsidRDefault="001877BE" w:rsidP="002611C1">
      <w:pPr>
        <w:pStyle w:val="Body"/>
        <w:numPr>
          <w:ilvl w:val="0"/>
          <w:numId w:val="39"/>
        </w:numPr>
      </w:pPr>
      <w:r>
        <w:t xml:space="preserve">providing quantitative estimates of </w:t>
      </w:r>
      <w:r w:rsidR="00D65469" w:rsidRPr="001621F4">
        <w:t xml:space="preserve">impact, likelihood and risk within a </w:t>
      </w:r>
      <w:r w:rsidR="00AB7579">
        <w:t xml:space="preserve">logical </w:t>
      </w:r>
      <w:r w:rsidR="00D65469" w:rsidRPr="001621F4">
        <w:t>scientific framework</w:t>
      </w:r>
      <w:r w:rsidR="002611C1">
        <w:t>;</w:t>
      </w:r>
    </w:p>
    <w:p w14:paraId="3A158A16" w14:textId="77777777" w:rsidR="00D65469" w:rsidRDefault="00D65469" w:rsidP="002611C1">
      <w:pPr>
        <w:pStyle w:val="Body"/>
        <w:numPr>
          <w:ilvl w:val="0"/>
          <w:numId w:val="39"/>
        </w:numPr>
      </w:pPr>
      <w:r w:rsidRPr="001621F4">
        <w:t>provid</w:t>
      </w:r>
      <w:r>
        <w:t>ing</w:t>
      </w:r>
      <w:r w:rsidRPr="001621F4">
        <w:t xml:space="preserve"> insights into where hig</w:t>
      </w:r>
      <w:r w:rsidR="002611C1">
        <w:t xml:space="preserve">h </w:t>
      </w:r>
      <w:r w:rsidRPr="001621F4">
        <w:t xml:space="preserve">value water assets (for example water dependent listed threatened species and </w:t>
      </w:r>
      <w:r>
        <w:t>S</w:t>
      </w:r>
      <w:r w:rsidRPr="001621F4">
        <w:t>tate</w:t>
      </w:r>
      <w:r w:rsidR="002611C1">
        <w:t xml:space="preserve"> </w:t>
      </w:r>
      <w:r w:rsidRPr="001621F4">
        <w:t>listed important water features) may face high risks</w:t>
      </w:r>
      <w:r w:rsidR="002611C1">
        <w:t>; and,</w:t>
      </w:r>
    </w:p>
    <w:p w14:paraId="675F4F3F" w14:textId="77777777" w:rsidR="00D65469" w:rsidRDefault="00D65469" w:rsidP="002611C1">
      <w:pPr>
        <w:pStyle w:val="Body"/>
        <w:numPr>
          <w:ilvl w:val="0"/>
          <w:numId w:val="39"/>
        </w:numPr>
      </w:pPr>
      <w:r w:rsidRPr="001621F4">
        <w:t>identify</w:t>
      </w:r>
      <w:r>
        <w:t>ing</w:t>
      </w:r>
      <w:r w:rsidRPr="001621F4">
        <w:t xml:space="preserve"> where risks may occur that have previously not been identified or have been underestimated. </w:t>
      </w:r>
    </w:p>
    <w:p w14:paraId="4E701B3F" w14:textId="77777777" w:rsidR="00D65469" w:rsidRDefault="00D65469" w:rsidP="00CE19FA">
      <w:pPr>
        <w:pStyle w:val="Body"/>
      </w:pPr>
    </w:p>
    <w:p w14:paraId="3DD2274A" w14:textId="77777777" w:rsidR="00764924" w:rsidRDefault="00764924" w:rsidP="00A45100">
      <w:pPr>
        <w:pStyle w:val="Heading3"/>
      </w:pPr>
      <w:bookmarkStart w:id="25" w:name="_Toc449696581"/>
      <w:r>
        <w:t>Predictive uncertainty and likelihood</w:t>
      </w:r>
      <w:bookmarkEnd w:id="25"/>
    </w:p>
    <w:p w14:paraId="423A0ED6" w14:textId="19376B43" w:rsidR="002C1C01" w:rsidRDefault="00764924" w:rsidP="002C1C01">
      <w:pPr>
        <w:pStyle w:val="Body"/>
      </w:pPr>
      <w:r>
        <w:t>Where a model is used to simulate the potential impacts of a development, t</w:t>
      </w:r>
      <w:r w:rsidRPr="0043088B">
        <w:t xml:space="preserve">he likelihood associated with a certain consequence </w:t>
      </w:r>
      <w:r>
        <w:t>may be quantified</w:t>
      </w:r>
      <w:r w:rsidR="002C1C01">
        <w:t xml:space="preserve">. </w:t>
      </w:r>
      <w:r w:rsidR="00621734">
        <w:t xml:space="preserve">A consequence can be, e.g., </w:t>
      </w:r>
      <w:r w:rsidR="004129D8">
        <w:t xml:space="preserve">a </w:t>
      </w:r>
      <w:r w:rsidR="00621734">
        <w:t xml:space="preserve">receptor response </w:t>
      </w:r>
      <w:r w:rsidR="004129D8">
        <w:t>following exposure to</w:t>
      </w:r>
      <w:r w:rsidR="00621734" w:rsidRPr="0043088B">
        <w:t xml:space="preserve"> </w:t>
      </w:r>
      <w:r w:rsidR="00621734">
        <w:t xml:space="preserve">chemical </w:t>
      </w:r>
      <w:r w:rsidR="00621734" w:rsidRPr="0043088B">
        <w:t>concentrations in receiving environments</w:t>
      </w:r>
      <w:r w:rsidR="004129D8">
        <w:t>.</w:t>
      </w:r>
      <w:r w:rsidR="00621734">
        <w:t xml:space="preserve"> </w:t>
      </w:r>
      <w:r w:rsidR="002C1C01">
        <w:t>Therefore in a risk-based context, where a model is used to assess impacts, model prediction uncertainty is analogous to likelihood.</w:t>
      </w:r>
    </w:p>
    <w:p w14:paraId="4857F01F" w14:textId="004E6FA1" w:rsidR="00764924" w:rsidRDefault="002C1C01" w:rsidP="00764924">
      <w:pPr>
        <w:pStyle w:val="Body"/>
      </w:pPr>
      <w:r>
        <w:t>Model prediction uncertainty can be quantified,</w:t>
      </w:r>
      <w:r w:rsidR="00854A1C">
        <w:t xml:space="preserve"> </w:t>
      </w:r>
      <w:r w:rsidR="005776E6">
        <w:t>for example</w:t>
      </w:r>
      <w:r>
        <w:t>,</w:t>
      </w:r>
      <w:r w:rsidR="005776E6">
        <w:t xml:space="preserve"> </w:t>
      </w:r>
      <w:r w:rsidR="00764924">
        <w:t>by considering multiple realisations of model evaluations yielding probabilities of exceeding certain consequences</w:t>
      </w:r>
      <w:r w:rsidR="005776E6">
        <w:t xml:space="preserve"> (i.e. Monte Carlo methods)</w:t>
      </w:r>
      <w:r w:rsidR="00764924">
        <w:t>. Such realisations account for uncertainty in models and data.</w:t>
      </w:r>
      <w:r w:rsidR="005776E6">
        <w:t xml:space="preserve"> Linear approximations of predictive uncertainty may also be employed for computationally rapid assessments and are based on propagation of error formulae, and can be useful where model run times are long, as can occur in regional modelling contexts. </w:t>
      </w:r>
      <w:r w:rsidR="000F17E9">
        <w:t>Examples of s</w:t>
      </w:r>
      <w:r w:rsidR="0027336F">
        <w:t xml:space="preserve">uch </w:t>
      </w:r>
      <w:r w:rsidR="000F17E9">
        <w:t xml:space="preserve">approximations include efficient sampling schemes (such as factorial, Latin Hypercube or bootstrapping approaches), as well as methods </w:t>
      </w:r>
      <w:r w:rsidR="0027336F">
        <w:t xml:space="preserve">based on the Kalman Filter </w:t>
      </w:r>
      <w:r w:rsidR="000F17E9">
        <w:t xml:space="preserve">approach to </w:t>
      </w:r>
      <w:r w:rsidR="0027336F">
        <w:t>data assimilation (</w:t>
      </w:r>
      <w:r w:rsidR="00854A1C">
        <w:t>Kalman 1960</w:t>
      </w:r>
      <w:r w:rsidR="0027336F">
        <w:t>; for example, the PREDUNC tools that are part of the PEST suite of software</w:t>
      </w:r>
      <w:r w:rsidR="000F17E9">
        <w:t>;</w:t>
      </w:r>
      <w:r w:rsidR="0027336F">
        <w:t xml:space="preserve"> Doherty 201</w:t>
      </w:r>
      <w:r w:rsidR="005870DA">
        <w:t>0</w:t>
      </w:r>
      <w:r w:rsidR="0027336F">
        <w:t xml:space="preserve">). </w:t>
      </w:r>
      <w:r w:rsidR="005776E6">
        <w:t xml:space="preserve">Hybrid methods </w:t>
      </w:r>
      <w:r w:rsidR="00525B9F">
        <w:t xml:space="preserve">such as Null Space Monte Carlo </w:t>
      </w:r>
      <w:r w:rsidR="005776E6">
        <w:t xml:space="preserve">which combine some of the </w:t>
      </w:r>
      <w:r>
        <w:t xml:space="preserve">computationally </w:t>
      </w:r>
      <w:r w:rsidR="005776E6">
        <w:t>thorough aspects of Monte Carlo methods with some of the computational expediency</w:t>
      </w:r>
      <w:r>
        <w:t xml:space="preserve"> aspects</w:t>
      </w:r>
      <w:r w:rsidR="005776E6">
        <w:t xml:space="preserve"> of error propagation methods can also be used</w:t>
      </w:r>
      <w:r w:rsidR="009B7911">
        <w:t xml:space="preserve"> (Tonkin and Doherty, 2009)</w:t>
      </w:r>
      <w:r w:rsidR="005776E6">
        <w:t xml:space="preserve">. </w:t>
      </w:r>
    </w:p>
    <w:p w14:paraId="552D6B56" w14:textId="0BF590A1" w:rsidR="002741F8" w:rsidRDefault="0063112F" w:rsidP="00534490">
      <w:pPr>
        <w:pStyle w:val="Body"/>
      </w:pPr>
      <w:r>
        <w:t xml:space="preserve">Predictions </w:t>
      </w:r>
      <w:r w:rsidR="00CD396E">
        <w:t xml:space="preserve">generated by numerical groundwater models used in EIS studies </w:t>
      </w:r>
      <w:r>
        <w:t>are typically compared to regulatory (</w:t>
      </w:r>
      <w:r w:rsidR="00C85DC3">
        <w:t xml:space="preserve">i.e., </w:t>
      </w:r>
      <w:r>
        <w:t>threshold) or baseline levels.</w:t>
      </w:r>
      <w:r w:rsidR="00CD396E">
        <w:t xml:space="preserve"> In this sense, groundwater models are used to test hypotheses; </w:t>
      </w:r>
      <w:r w:rsidR="00C85DC3">
        <w:t xml:space="preserve">i.e., </w:t>
      </w:r>
      <w:r w:rsidR="00CD396E">
        <w:t xml:space="preserve">to test whether a given model output will exceed a specified threshold value. </w:t>
      </w:r>
      <w:r w:rsidR="00C850F9">
        <w:t>The model output is typically some form of expected value (</w:t>
      </w:r>
      <w:r w:rsidR="00AA5ABA">
        <w:t xml:space="preserve">e.g., </w:t>
      </w:r>
      <w:r w:rsidR="00C850F9">
        <w:t>50</w:t>
      </w:r>
      <w:r w:rsidR="00C850F9" w:rsidRPr="00C850F9">
        <w:rPr>
          <w:vertAlign w:val="superscript"/>
        </w:rPr>
        <w:t>th</w:t>
      </w:r>
      <w:r w:rsidR="00C850F9">
        <w:t>, 90</w:t>
      </w:r>
      <w:r w:rsidR="00C850F9" w:rsidRPr="00C850F9">
        <w:rPr>
          <w:vertAlign w:val="superscript"/>
        </w:rPr>
        <w:t>th</w:t>
      </w:r>
      <w:r w:rsidR="00C850F9">
        <w:t xml:space="preserve"> or 95</w:t>
      </w:r>
      <w:r w:rsidR="00C850F9" w:rsidRPr="00C850F9">
        <w:rPr>
          <w:vertAlign w:val="superscript"/>
        </w:rPr>
        <w:t>th</w:t>
      </w:r>
      <w:r w:rsidR="00C850F9">
        <w:t xml:space="preserve"> percentile) which reflects the degree of prediction confidence desired</w:t>
      </w:r>
      <w:r w:rsidR="002741F8">
        <w:t xml:space="preserve"> (</w:t>
      </w:r>
      <w:r w:rsidR="00AA5ABA">
        <w:t xml:space="preserve">e.g., </w:t>
      </w:r>
      <w:r w:rsidR="00084CDD">
        <w:rPr>
          <w:highlight w:val="yellow"/>
        </w:rPr>
        <w:fldChar w:fldCharType="begin"/>
      </w:r>
      <w:r w:rsidR="002F41A2">
        <w:instrText xml:space="preserve"> REF _Ref422323238 \h </w:instrText>
      </w:r>
      <w:r w:rsidR="00084CDD">
        <w:rPr>
          <w:highlight w:val="yellow"/>
        </w:rPr>
      </w:r>
      <w:r w:rsidR="00084CDD">
        <w:rPr>
          <w:highlight w:val="yellow"/>
        </w:rPr>
        <w:fldChar w:fldCharType="separate"/>
      </w:r>
      <w:r w:rsidR="00C52E30">
        <w:t xml:space="preserve">Figure </w:t>
      </w:r>
      <w:r w:rsidR="00C52E30">
        <w:rPr>
          <w:noProof/>
        </w:rPr>
        <w:t>4</w:t>
      </w:r>
      <w:r w:rsidR="00084CDD">
        <w:rPr>
          <w:highlight w:val="yellow"/>
        </w:rPr>
        <w:fldChar w:fldCharType="end"/>
      </w:r>
      <w:r w:rsidR="002F41A2">
        <w:t>a</w:t>
      </w:r>
      <w:r w:rsidR="002741F8">
        <w:t>)</w:t>
      </w:r>
      <w:r w:rsidR="00C850F9">
        <w:t xml:space="preserve">. </w:t>
      </w:r>
      <w:r w:rsidR="00425347">
        <w:t xml:space="preserve">Hypothesis testing then </w:t>
      </w:r>
      <w:r w:rsidR="00436998">
        <w:t xml:space="preserve">focuses on </w:t>
      </w:r>
      <w:r w:rsidR="00425347">
        <w:t xml:space="preserve">whether the error bounds </w:t>
      </w:r>
      <w:r w:rsidR="00436998">
        <w:t xml:space="preserve">associated with </w:t>
      </w:r>
      <w:r w:rsidR="00425347">
        <w:t xml:space="preserve">a given prediction </w:t>
      </w:r>
      <w:r w:rsidR="002741F8">
        <w:t xml:space="preserve">metric </w:t>
      </w:r>
      <w:r w:rsidR="00425347">
        <w:t xml:space="preserve">(in addition to the value of </w:t>
      </w:r>
      <w:r w:rsidR="00425347" w:rsidRPr="00C56256">
        <w:t xml:space="preserve">the </w:t>
      </w:r>
      <w:r w:rsidR="002741F8">
        <w:t>metric</w:t>
      </w:r>
      <w:r w:rsidR="00425347" w:rsidRPr="00C56256">
        <w:t xml:space="preserve"> itself) exceed the threshold metric specified</w:t>
      </w:r>
      <w:r w:rsidR="002741F8">
        <w:t xml:space="preserve"> (</w:t>
      </w:r>
      <w:r w:rsidR="00AA5ABA">
        <w:t xml:space="preserve">e.g., </w:t>
      </w:r>
      <w:r w:rsidR="00084CDD">
        <w:rPr>
          <w:highlight w:val="yellow"/>
        </w:rPr>
        <w:fldChar w:fldCharType="begin"/>
      </w:r>
      <w:r w:rsidR="002F41A2">
        <w:instrText xml:space="preserve"> REF _Ref422323238 \h </w:instrText>
      </w:r>
      <w:r w:rsidR="00084CDD">
        <w:rPr>
          <w:highlight w:val="yellow"/>
        </w:rPr>
      </w:r>
      <w:r w:rsidR="00084CDD">
        <w:rPr>
          <w:highlight w:val="yellow"/>
        </w:rPr>
        <w:fldChar w:fldCharType="separate"/>
      </w:r>
      <w:r w:rsidR="00C52E30">
        <w:t xml:space="preserve">Figure </w:t>
      </w:r>
      <w:r w:rsidR="00C52E30">
        <w:rPr>
          <w:noProof/>
        </w:rPr>
        <w:t>4</w:t>
      </w:r>
      <w:r w:rsidR="00084CDD">
        <w:rPr>
          <w:highlight w:val="yellow"/>
        </w:rPr>
        <w:fldChar w:fldCharType="end"/>
      </w:r>
      <w:r w:rsidR="002F41A2">
        <w:t>b</w:t>
      </w:r>
      <w:r w:rsidR="002741F8">
        <w:t>)</w:t>
      </w:r>
      <w:r w:rsidR="00425347" w:rsidRPr="00C56256">
        <w:t xml:space="preserve">. </w:t>
      </w:r>
    </w:p>
    <w:p w14:paraId="4A7BAC44" w14:textId="77777777" w:rsidR="002741F8" w:rsidRDefault="002741F8" w:rsidP="00534490">
      <w:pPr>
        <w:pStyle w:val="Body"/>
      </w:pPr>
    </w:p>
    <w:p w14:paraId="058C875F" w14:textId="77777777" w:rsidR="002741F8" w:rsidRDefault="002741F8" w:rsidP="002741F8">
      <w:pPr>
        <w:pStyle w:val="Body"/>
        <w:jc w:val="center"/>
      </w:pPr>
      <w:r>
        <w:rPr>
          <w:noProof/>
          <w:lang w:val="en-AU" w:eastAsia="en-AU"/>
        </w:rPr>
        <w:drawing>
          <wp:inline distT="0" distB="0" distL="0" distR="0" wp14:anchorId="1EA73625" wp14:editId="6292DA23">
            <wp:extent cx="5760000" cy="1641303"/>
            <wp:effectExtent l="0" t="0" r="0" b="0"/>
            <wp:docPr id="47" name="Picture 46" descr="Conceptual model of deterministic and probabilistic approaches to hypothesis testing"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erministic_vs_probabilistic_risk_analysis_v1_160615.png"/>
                    <pic:cNvPicPr/>
                  </pic:nvPicPr>
                  <pic:blipFill>
                    <a:blip r:embed="rId41"/>
                    <a:stretch>
                      <a:fillRect/>
                    </a:stretch>
                  </pic:blipFill>
                  <pic:spPr>
                    <a:xfrm>
                      <a:off x="0" y="0"/>
                      <a:ext cx="5760000" cy="1641303"/>
                    </a:xfrm>
                    <a:prstGeom prst="rect">
                      <a:avLst/>
                    </a:prstGeom>
                  </pic:spPr>
                </pic:pic>
              </a:graphicData>
            </a:graphic>
          </wp:inline>
        </w:drawing>
      </w:r>
    </w:p>
    <w:p w14:paraId="7B31F2BE" w14:textId="77777777" w:rsidR="002741F8" w:rsidRDefault="003F68D2" w:rsidP="003F68D2">
      <w:pPr>
        <w:pStyle w:val="Imagecaption"/>
      </w:pPr>
      <w:bookmarkStart w:id="26" w:name="_Ref422323238"/>
      <w:bookmarkStart w:id="27" w:name="_Toc422323030"/>
      <w:bookmarkStart w:id="28" w:name="_Toc449696294"/>
      <w:r>
        <w:t xml:space="preserve">Figure </w:t>
      </w:r>
      <w:r w:rsidR="00084CDD">
        <w:fldChar w:fldCharType="begin"/>
      </w:r>
      <w:r>
        <w:instrText xml:space="preserve"> SEQ Figure \* ARABIC </w:instrText>
      </w:r>
      <w:r w:rsidR="00084CDD">
        <w:fldChar w:fldCharType="separate"/>
      </w:r>
      <w:r w:rsidR="00C52E30">
        <w:rPr>
          <w:noProof/>
        </w:rPr>
        <w:t>4</w:t>
      </w:r>
      <w:r w:rsidR="00084CDD">
        <w:fldChar w:fldCharType="end"/>
      </w:r>
      <w:bookmarkEnd w:id="26"/>
      <w:r>
        <w:t xml:space="preserve">. </w:t>
      </w:r>
      <w:bookmarkEnd w:id="27"/>
      <w:r w:rsidR="006928E7">
        <w:t>(a) Conceptual example of a deterministic approach to hypothesis testing of a threshold exceedance problem: a single value is predicted, which does not exceed the permitted threshold level. (b) Conceptual example of a probabilistic approach to hypothesis testing of a threshold exceedance problem: a statistical distribution of many predicted values is produced, from which a small (low probability) subset exceed the permitted threshold level.</w:t>
      </w:r>
      <w:bookmarkEnd w:id="28"/>
    </w:p>
    <w:p w14:paraId="463A5BCF" w14:textId="77777777" w:rsidR="002741F8" w:rsidRDefault="002741F8" w:rsidP="00534490">
      <w:pPr>
        <w:pStyle w:val="Body"/>
      </w:pPr>
    </w:p>
    <w:p w14:paraId="47E0E68C" w14:textId="59C0790B" w:rsidR="00425347" w:rsidRDefault="00766364" w:rsidP="00534490">
      <w:pPr>
        <w:pStyle w:val="Body"/>
      </w:pPr>
      <w:r>
        <w:t xml:space="preserve">In the Surat Cumulative Management Area, Queensland, maximum </w:t>
      </w:r>
      <w:r w:rsidR="0027336F">
        <w:t xml:space="preserve">cumulative declines </w:t>
      </w:r>
      <w:r>
        <w:t xml:space="preserve">of two and five metres </w:t>
      </w:r>
      <w:r w:rsidR="0027336F">
        <w:t xml:space="preserve">of hydraulic head </w:t>
      </w:r>
      <w:r>
        <w:t xml:space="preserve">have been prescribed for unconsolidated and consolidated aquifers respectively </w:t>
      </w:r>
      <w:r w:rsidR="00084CDD">
        <w:fldChar w:fldCharType="begin"/>
      </w:r>
      <w:r>
        <w:instrText xml:space="preserve"> ADDIN EN.CITE &lt;EndNote&gt;&lt;Cite&gt;&lt;Author&gt;QWC&lt;/Author&gt;&lt;Year&gt;2012&lt;/Year&gt;&lt;IDText&gt;Underground water impact report for the Surat cumulative management area&lt;/IDText&gt;&lt;DisplayText&gt;(QWC, 2012)&lt;/DisplayText&gt;&lt;record&gt;&lt;contributors&gt;&lt;tertiary-authors&gt;&lt;author&gt;Queensland Water Commission&lt;/author&gt;&lt;/tertiary-authors&gt;&lt;/contributors&gt;&lt;urls&gt;&lt;related-urls&gt;&lt;url&gt;https://www.dnrm.qld.gov.au/ogia/surat-underground-water-impact-report&lt;/url&gt;&lt;/related-urls&gt;&lt;/urls&gt;&lt;titles&gt;&lt;title&gt;Underground water impact report for the Surat cumulative management area&lt;/title&gt;&lt;/titles&gt;&lt;pages&gt;xvi, 99, 107 pages&lt;/pages&gt;&lt;contributors&gt;&lt;authors&gt;&lt;author&gt;QWC&lt;/author&gt;&lt;/authors&gt;&lt;/contributors&gt;&lt;added-date format="utc"&gt;1433389003&lt;/added-date&gt;&lt;pub-location&gt;Brisbane&lt;/pub-location&gt;&lt;ref-type name="Report"&gt;27&lt;/ref-type&gt;&lt;dates&gt;&lt;year&gt;2012&lt;/year&gt;&lt;/dates&gt;&lt;rec-number&gt;75&lt;/rec-number&gt;&lt;last-updated-date format="utc"&gt;1433898098&lt;/last-updated-date&gt;&lt;/record&gt;&lt;/Cite&gt;&lt;/EndNote&gt;</w:instrText>
      </w:r>
      <w:r w:rsidR="00084CDD">
        <w:fldChar w:fldCharType="separate"/>
      </w:r>
      <w:r>
        <w:rPr>
          <w:noProof/>
        </w:rPr>
        <w:t>(QWC, 2012)</w:t>
      </w:r>
      <w:r w:rsidR="00084CDD">
        <w:fldChar w:fldCharType="end"/>
      </w:r>
      <w:r>
        <w:t>. In New South Wales</w:t>
      </w:r>
      <w:r w:rsidR="0099775F" w:rsidRPr="00C56256">
        <w:t xml:space="preserve">, </w:t>
      </w:r>
      <w:r w:rsidR="00534490" w:rsidRPr="00C56256">
        <w:t>groundwater licenses for new developments such as CSG projects are granted on the basis that drawdowns at</w:t>
      </w:r>
      <w:r w:rsidR="00534490">
        <w:t xml:space="preserve"> existing bores do not exceed </w:t>
      </w:r>
      <w:r w:rsidR="002F4A42">
        <w:t xml:space="preserve">cumulative or absolute threshold </w:t>
      </w:r>
      <w:r w:rsidR="003069CD">
        <w:t>levels</w:t>
      </w:r>
      <w:r w:rsidR="00534490">
        <w:t>, depending upon</w:t>
      </w:r>
      <w:r w:rsidR="002F4A42">
        <w:t xml:space="preserve"> aquifer type</w:t>
      </w:r>
      <w:r w:rsidR="00CE6A03">
        <w:t>,</w:t>
      </w:r>
      <w:r w:rsidR="002F4A42">
        <w:t xml:space="preserve"> productivity</w:t>
      </w:r>
      <w:r w:rsidR="00CE6A03">
        <w:t xml:space="preserve"> and location </w:t>
      </w:r>
      <w:r w:rsidR="002F4A42">
        <w:t xml:space="preserve"> </w:t>
      </w:r>
      <w:r w:rsidR="00084CDD">
        <w:fldChar w:fldCharType="begin"/>
      </w:r>
      <w:r>
        <w:instrText xml:space="preserve"> ADDIN EN.CITE &lt;EndNote&gt;&lt;Cite&gt;&lt;Author&gt;NSW Office of Water&lt;/Author&gt;&lt;Year&gt;2012&lt;/Year&gt;&lt;IDText&gt;NSW Aquifer Interference Policy&lt;/IDText&gt;&lt;DisplayText&gt;(NSW Office of Water, 2012)&lt;/DisplayText&gt;&lt;record&gt;&lt;urls&gt;&lt;related-urls&gt;&lt;url&gt;https://www.nsw.gov.au/sites/default/files/nsw-aquifer-interference-policy_sd_v01.pdf&lt;/url&gt;&lt;/related-urls&gt;&lt;/urls&gt;&lt;titles&gt;&lt;title&gt;NSW Aquifer Interference Policy&lt;/title&gt;&lt;/titles&gt;&lt;contributors&gt;&lt;authors&gt;&lt;author&gt;NSW Office of Water,&lt;/author&gt;&lt;/authors&gt;&lt;/contributors&gt;&lt;added-date format="utc"&gt;1434098141&lt;/added-date&gt;&lt;ref-type name="Electronic Article"&gt;43&lt;/ref-type&gt;&lt;dates&gt;&lt;year&gt;2012&lt;/year&gt;&lt;/dates&gt;&lt;rec-number&gt;1187&lt;/rec-number&gt;&lt;last-updated-date format="utc"&gt;1434098221&lt;/last-updated-date&gt;&lt;/record&gt;&lt;/Cite&gt;&lt;/EndNote&gt;</w:instrText>
      </w:r>
      <w:r w:rsidR="00084CDD">
        <w:fldChar w:fldCharType="separate"/>
      </w:r>
      <w:r>
        <w:rPr>
          <w:noProof/>
        </w:rPr>
        <w:t>(NSW Office of Water, 2012)</w:t>
      </w:r>
      <w:r w:rsidR="00084CDD">
        <w:fldChar w:fldCharType="end"/>
      </w:r>
      <w:r>
        <w:t xml:space="preserve"> (</w:t>
      </w:r>
      <w:r w:rsidR="00084CDD">
        <w:rPr>
          <w:highlight w:val="yellow"/>
        </w:rPr>
        <w:fldChar w:fldCharType="begin"/>
      </w:r>
      <w:r w:rsidR="002F41A2">
        <w:instrText xml:space="preserve"> REF _Ref422323264 \h </w:instrText>
      </w:r>
      <w:r w:rsidR="00084CDD">
        <w:rPr>
          <w:highlight w:val="yellow"/>
        </w:rPr>
      </w:r>
      <w:r w:rsidR="00084CDD">
        <w:rPr>
          <w:highlight w:val="yellow"/>
        </w:rPr>
        <w:fldChar w:fldCharType="separate"/>
      </w:r>
      <w:r w:rsidR="00C52E30">
        <w:t xml:space="preserve">Table </w:t>
      </w:r>
      <w:r w:rsidR="00C52E30">
        <w:rPr>
          <w:noProof/>
        </w:rPr>
        <w:t>1</w:t>
      </w:r>
      <w:r w:rsidR="00084CDD">
        <w:rPr>
          <w:highlight w:val="yellow"/>
        </w:rPr>
        <w:fldChar w:fldCharType="end"/>
      </w:r>
      <w:r>
        <w:t>).</w:t>
      </w:r>
      <w:r w:rsidR="00CE6A03">
        <w:t xml:space="preserve"> For confined aquifers, thresholds are generally assessed at the locations of existing water bores. For unconfined aquifers, thresholds are assessed at 40 metres distance from existing water bores. </w:t>
      </w:r>
      <w:r w:rsidR="006928E7">
        <w:t xml:space="preserve">Maximum cumulative declines are calculated based on the </w:t>
      </w:r>
      <w:r w:rsidR="006928E7" w:rsidRPr="006928E7">
        <w:t xml:space="preserve">period </w:t>
      </w:r>
      <w:r w:rsidR="00E4090E">
        <w:t xml:space="preserve">immediately following </w:t>
      </w:r>
      <w:r w:rsidR="006928E7" w:rsidRPr="006928E7">
        <w:t xml:space="preserve">the commencement </w:t>
      </w:r>
      <w:r w:rsidR="00E4090E">
        <w:t>of the first water sharing plan for a given resource.</w:t>
      </w:r>
    </w:p>
    <w:p w14:paraId="19F9543D" w14:textId="77777777" w:rsidR="002115B1" w:rsidRDefault="002115B1" w:rsidP="00534490">
      <w:pPr>
        <w:pStyle w:val="Body"/>
      </w:pPr>
    </w:p>
    <w:p w14:paraId="0D2177AA" w14:textId="77777777" w:rsidR="002115B1" w:rsidRDefault="003F68D2" w:rsidP="00E4090E">
      <w:pPr>
        <w:pStyle w:val="Imagecaption"/>
        <w:keepNext/>
        <w:pBdr>
          <w:top w:val="none" w:sz="0" w:space="0" w:color="auto"/>
        </w:pBdr>
      </w:pPr>
      <w:bookmarkStart w:id="29" w:name="_Ref422323264"/>
      <w:bookmarkStart w:id="30" w:name="_Toc422322985"/>
      <w:bookmarkStart w:id="31" w:name="_Toc449696221"/>
      <w:r>
        <w:t xml:space="preserve">Table </w:t>
      </w:r>
      <w:r w:rsidR="00084CDD">
        <w:fldChar w:fldCharType="begin"/>
      </w:r>
      <w:r>
        <w:instrText xml:space="preserve"> SEQ Table \* ARABIC </w:instrText>
      </w:r>
      <w:r w:rsidR="00084CDD">
        <w:fldChar w:fldCharType="separate"/>
      </w:r>
      <w:r w:rsidR="00C52E30">
        <w:rPr>
          <w:noProof/>
        </w:rPr>
        <w:t>1</w:t>
      </w:r>
      <w:r w:rsidR="00084CDD">
        <w:fldChar w:fldCharType="end"/>
      </w:r>
      <w:bookmarkEnd w:id="29"/>
      <w:r>
        <w:t xml:space="preserve">. </w:t>
      </w:r>
      <w:bookmarkEnd w:id="30"/>
      <w:r w:rsidR="006928E7">
        <w:t xml:space="preserve">Summary of various aquifer interference threshold metrics applied in New South Wales </w:t>
      </w:r>
      <w:r w:rsidR="00084CDD">
        <w:fldChar w:fldCharType="begin"/>
      </w:r>
      <w:r w:rsidR="006928E7">
        <w:instrText xml:space="preserve"> ADDIN EN.CITE &lt;EndNote&gt;&lt;Cite&gt;&lt;Author&gt;NSW Office of Water&lt;/Author&gt;&lt;Year&gt;2012&lt;/Year&gt;&lt;IDText&gt;NSW Aquifer Interference Policy&lt;/IDText&gt;&lt;DisplayText&gt;(NSW Office of Water, 2012)&lt;/DisplayText&gt;&lt;record&gt;&lt;urls&gt;&lt;related-urls&gt;&lt;url&gt;https://www.nsw.gov.au/sites/default/files/nsw-aquifer-interference-policy_sd_v01.pdf&lt;/url&gt;&lt;/related-urls&gt;&lt;/urls&gt;&lt;titles&gt;&lt;title&gt;NSW Aquifer Interference Policy&lt;/title&gt;&lt;/titles&gt;&lt;contributors&gt;&lt;authors&gt;&lt;author&gt;NSW Office of Water,&lt;/author&gt;&lt;/authors&gt;&lt;/contributors&gt;&lt;added-date format="utc"&gt;1434098141&lt;/added-date&gt;&lt;ref-type name="Electronic Article"&gt;43&lt;/ref-type&gt;&lt;dates&gt;&lt;year&gt;2012&lt;/year&gt;&lt;/dates&gt;&lt;rec-number&gt;1187&lt;/rec-number&gt;&lt;last-updated-date format="utc"&gt;1434098221&lt;/last-updated-date&gt;&lt;/record&gt;&lt;/Cite&gt;&lt;/EndNote&gt;</w:instrText>
      </w:r>
      <w:r w:rsidR="00084CDD">
        <w:fldChar w:fldCharType="separate"/>
      </w:r>
      <w:r w:rsidR="006928E7">
        <w:rPr>
          <w:noProof/>
        </w:rPr>
        <w:t>(NSW Office of Water, 2012)</w:t>
      </w:r>
      <w:r w:rsidR="00084CDD">
        <w:fldChar w:fldCharType="end"/>
      </w:r>
      <w:r w:rsidR="006928E7">
        <w:t>.</w:t>
      </w:r>
      <w:bookmarkEnd w:id="31"/>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1"/>
        <w:tblDescription w:val="Table of various aquifer interference thresholds"/>
      </w:tblPr>
      <w:tblGrid>
        <w:gridCol w:w="1343"/>
        <w:gridCol w:w="1100"/>
        <w:gridCol w:w="2091"/>
        <w:gridCol w:w="1120"/>
        <w:gridCol w:w="1122"/>
        <w:gridCol w:w="1120"/>
        <w:gridCol w:w="1124"/>
      </w:tblGrid>
      <w:tr w:rsidR="002F4A42" w:rsidRPr="00523374" w14:paraId="3B15F8B7" w14:textId="77777777" w:rsidTr="00523374">
        <w:tc>
          <w:tcPr>
            <w:tcW w:w="744" w:type="pct"/>
            <w:vMerge w:val="restart"/>
            <w:tcBorders>
              <w:top w:val="single" w:sz="4" w:space="0" w:color="auto"/>
            </w:tcBorders>
            <w:shd w:val="clear" w:color="auto" w:fill="F2F2F2" w:themeFill="background1" w:themeFillShade="F2"/>
            <w:vAlign w:val="bottom"/>
          </w:tcPr>
          <w:p w14:paraId="57F85D85" w14:textId="77777777" w:rsidR="002F4A42" w:rsidRPr="00523374" w:rsidRDefault="002F4A42" w:rsidP="00E4090E">
            <w:pPr>
              <w:pStyle w:val="Body"/>
              <w:keepNext/>
              <w:spacing w:before="20" w:after="20" w:line="240" w:lineRule="auto"/>
            </w:pPr>
            <w:r w:rsidRPr="00523374">
              <w:t>Aquifer type</w:t>
            </w:r>
          </w:p>
        </w:tc>
        <w:tc>
          <w:tcPr>
            <w:tcW w:w="610" w:type="pct"/>
            <w:vMerge w:val="restart"/>
            <w:tcBorders>
              <w:top w:val="single" w:sz="4" w:space="0" w:color="auto"/>
            </w:tcBorders>
            <w:shd w:val="clear" w:color="auto" w:fill="F2F2F2" w:themeFill="background1" w:themeFillShade="F2"/>
            <w:vAlign w:val="bottom"/>
          </w:tcPr>
          <w:p w14:paraId="6E2889F6" w14:textId="77777777" w:rsidR="002F4A42" w:rsidRPr="00523374" w:rsidRDefault="002F4A42" w:rsidP="00E4090E">
            <w:pPr>
              <w:pStyle w:val="Body"/>
              <w:keepNext/>
              <w:spacing w:before="20" w:after="20" w:line="240" w:lineRule="auto"/>
            </w:pPr>
            <w:r w:rsidRPr="00523374">
              <w:t>Productivity</w:t>
            </w:r>
          </w:p>
        </w:tc>
        <w:tc>
          <w:tcPr>
            <w:tcW w:w="1159" w:type="pct"/>
            <w:vMerge w:val="restart"/>
            <w:tcBorders>
              <w:top w:val="single" w:sz="4" w:space="0" w:color="auto"/>
            </w:tcBorders>
            <w:shd w:val="clear" w:color="auto" w:fill="F2F2F2" w:themeFill="background1" w:themeFillShade="F2"/>
            <w:vAlign w:val="bottom"/>
          </w:tcPr>
          <w:p w14:paraId="2441899F" w14:textId="77777777" w:rsidR="002F4A42" w:rsidRPr="00523374" w:rsidRDefault="002F4A42" w:rsidP="00E4090E">
            <w:pPr>
              <w:pStyle w:val="Body"/>
              <w:keepNext/>
              <w:spacing w:before="20" w:after="20" w:line="240" w:lineRule="auto"/>
            </w:pPr>
            <w:r w:rsidRPr="00523374">
              <w:t>Location</w:t>
            </w:r>
          </w:p>
        </w:tc>
        <w:tc>
          <w:tcPr>
            <w:tcW w:w="1243" w:type="pct"/>
            <w:gridSpan w:val="2"/>
            <w:tcBorders>
              <w:top w:val="single" w:sz="4" w:space="0" w:color="auto"/>
              <w:bottom w:val="nil"/>
            </w:tcBorders>
            <w:shd w:val="clear" w:color="auto" w:fill="F2F2F2" w:themeFill="background1" w:themeFillShade="F2"/>
          </w:tcPr>
          <w:p w14:paraId="014957EE" w14:textId="77777777" w:rsidR="002F4A42" w:rsidRPr="00523374" w:rsidRDefault="002F4A42" w:rsidP="00E4090E">
            <w:pPr>
              <w:pStyle w:val="Body"/>
              <w:keepNext/>
              <w:spacing w:before="20" w:after="20" w:line="240" w:lineRule="auto"/>
              <w:jc w:val="center"/>
            </w:pPr>
            <w:r w:rsidRPr="00523374">
              <w:t>Unconfined</w:t>
            </w:r>
          </w:p>
        </w:tc>
        <w:tc>
          <w:tcPr>
            <w:tcW w:w="1244" w:type="pct"/>
            <w:gridSpan w:val="2"/>
            <w:tcBorders>
              <w:top w:val="single" w:sz="4" w:space="0" w:color="auto"/>
              <w:bottom w:val="nil"/>
            </w:tcBorders>
            <w:shd w:val="clear" w:color="auto" w:fill="F2F2F2" w:themeFill="background1" w:themeFillShade="F2"/>
          </w:tcPr>
          <w:p w14:paraId="75BEFDA7" w14:textId="77777777" w:rsidR="002F4A42" w:rsidRPr="00523374" w:rsidRDefault="002F4A42" w:rsidP="00E4090E">
            <w:pPr>
              <w:pStyle w:val="Body"/>
              <w:keepNext/>
              <w:spacing w:before="20" w:after="20" w:line="240" w:lineRule="auto"/>
              <w:jc w:val="center"/>
            </w:pPr>
            <w:r w:rsidRPr="00523374">
              <w:t>Confined</w:t>
            </w:r>
          </w:p>
        </w:tc>
      </w:tr>
      <w:tr w:rsidR="002F4A42" w:rsidRPr="0069766D" w14:paraId="5E97E9CA" w14:textId="77777777" w:rsidTr="00523374">
        <w:tc>
          <w:tcPr>
            <w:tcW w:w="744" w:type="pct"/>
            <w:vMerge/>
            <w:tcBorders>
              <w:bottom w:val="single" w:sz="4" w:space="0" w:color="auto"/>
            </w:tcBorders>
          </w:tcPr>
          <w:p w14:paraId="54F34C09" w14:textId="77777777" w:rsidR="002F4A42" w:rsidRDefault="002F4A42" w:rsidP="00E4090E">
            <w:pPr>
              <w:pStyle w:val="Body"/>
              <w:keepNext/>
              <w:spacing w:before="60" w:after="60" w:line="240" w:lineRule="auto"/>
              <w:rPr>
                <w:b/>
              </w:rPr>
            </w:pPr>
          </w:p>
        </w:tc>
        <w:tc>
          <w:tcPr>
            <w:tcW w:w="610" w:type="pct"/>
            <w:vMerge/>
            <w:tcBorders>
              <w:bottom w:val="single" w:sz="4" w:space="0" w:color="auto"/>
            </w:tcBorders>
          </w:tcPr>
          <w:p w14:paraId="14B8E105" w14:textId="77777777" w:rsidR="002F4A42" w:rsidRDefault="002F4A42" w:rsidP="00E4090E">
            <w:pPr>
              <w:pStyle w:val="Body"/>
              <w:keepNext/>
              <w:spacing w:before="60" w:after="60" w:line="240" w:lineRule="auto"/>
              <w:rPr>
                <w:b/>
              </w:rPr>
            </w:pPr>
          </w:p>
        </w:tc>
        <w:tc>
          <w:tcPr>
            <w:tcW w:w="1159" w:type="pct"/>
            <w:vMerge/>
            <w:tcBorders>
              <w:bottom w:val="single" w:sz="4" w:space="0" w:color="auto"/>
            </w:tcBorders>
          </w:tcPr>
          <w:p w14:paraId="139D37F0" w14:textId="77777777" w:rsidR="002F4A42" w:rsidRDefault="002F4A42" w:rsidP="00E4090E">
            <w:pPr>
              <w:pStyle w:val="Body"/>
              <w:keepNext/>
              <w:spacing w:before="60" w:after="60" w:line="240" w:lineRule="auto"/>
              <w:rPr>
                <w:b/>
              </w:rPr>
            </w:pPr>
          </w:p>
        </w:tc>
        <w:tc>
          <w:tcPr>
            <w:tcW w:w="621" w:type="pct"/>
            <w:tcBorders>
              <w:top w:val="nil"/>
              <w:bottom w:val="single" w:sz="4" w:space="0" w:color="auto"/>
            </w:tcBorders>
            <w:shd w:val="clear" w:color="auto" w:fill="F2F2F2" w:themeFill="background1" w:themeFillShade="F2"/>
          </w:tcPr>
          <w:p w14:paraId="1177B1BB" w14:textId="77777777" w:rsidR="002F4A42" w:rsidRPr="00523374" w:rsidRDefault="002F4A42" w:rsidP="00E4090E">
            <w:pPr>
              <w:pStyle w:val="Body"/>
              <w:keepNext/>
              <w:spacing w:before="60" w:after="60" w:line="240" w:lineRule="auto"/>
            </w:pPr>
            <w:r w:rsidRPr="00523374">
              <w:t xml:space="preserve">maximum cumulative decline </w:t>
            </w:r>
          </w:p>
          <w:p w14:paraId="37EA079C" w14:textId="77777777" w:rsidR="002F4A42" w:rsidRPr="00523374" w:rsidRDefault="002F4A42" w:rsidP="00E4090E">
            <w:pPr>
              <w:pStyle w:val="Body"/>
              <w:keepNext/>
              <w:spacing w:before="60" w:after="60" w:line="240" w:lineRule="auto"/>
            </w:pPr>
            <w:r w:rsidRPr="00523374">
              <w:t>(%)</w:t>
            </w:r>
          </w:p>
        </w:tc>
        <w:tc>
          <w:tcPr>
            <w:tcW w:w="621" w:type="pct"/>
            <w:tcBorders>
              <w:top w:val="nil"/>
              <w:bottom w:val="single" w:sz="4" w:space="0" w:color="auto"/>
            </w:tcBorders>
            <w:shd w:val="clear" w:color="auto" w:fill="F2F2F2" w:themeFill="background1" w:themeFillShade="F2"/>
          </w:tcPr>
          <w:p w14:paraId="2832B9C0" w14:textId="77777777" w:rsidR="002F4A42" w:rsidRPr="00523374" w:rsidRDefault="002F4A42" w:rsidP="00E4090E">
            <w:pPr>
              <w:pStyle w:val="Body"/>
              <w:keepNext/>
              <w:spacing w:before="60" w:after="60" w:line="240" w:lineRule="auto"/>
            </w:pPr>
            <w:r w:rsidRPr="00523374">
              <w:t>maximum absolute decline</w:t>
            </w:r>
          </w:p>
          <w:p w14:paraId="3D0CB891" w14:textId="77777777" w:rsidR="002F4A42" w:rsidRPr="00523374" w:rsidRDefault="002F4A42" w:rsidP="00E4090E">
            <w:pPr>
              <w:pStyle w:val="Body"/>
              <w:keepNext/>
              <w:spacing w:before="60" w:after="60" w:line="240" w:lineRule="auto"/>
            </w:pPr>
            <w:r w:rsidRPr="00523374">
              <w:t>(m)</w:t>
            </w:r>
          </w:p>
        </w:tc>
        <w:tc>
          <w:tcPr>
            <w:tcW w:w="621" w:type="pct"/>
            <w:tcBorders>
              <w:top w:val="nil"/>
              <w:bottom w:val="single" w:sz="4" w:space="0" w:color="auto"/>
            </w:tcBorders>
            <w:shd w:val="clear" w:color="auto" w:fill="F2F2F2" w:themeFill="background1" w:themeFillShade="F2"/>
          </w:tcPr>
          <w:p w14:paraId="2C1166E6" w14:textId="77777777" w:rsidR="002F4A42" w:rsidRPr="00523374" w:rsidRDefault="002F4A42" w:rsidP="00E4090E">
            <w:pPr>
              <w:pStyle w:val="Body"/>
              <w:keepNext/>
              <w:spacing w:before="60" w:after="60" w:line="240" w:lineRule="auto"/>
            </w:pPr>
            <w:r w:rsidRPr="00523374">
              <w:t>maximum cumulative decline</w:t>
            </w:r>
          </w:p>
          <w:p w14:paraId="32A53F53" w14:textId="77777777" w:rsidR="002F4A42" w:rsidRPr="00523374" w:rsidRDefault="002F4A42" w:rsidP="00E4090E">
            <w:pPr>
              <w:pStyle w:val="Body"/>
              <w:keepNext/>
              <w:spacing w:before="60" w:after="60" w:line="240" w:lineRule="auto"/>
            </w:pPr>
            <w:r w:rsidRPr="00523374">
              <w:t>(% or m)</w:t>
            </w:r>
          </w:p>
        </w:tc>
        <w:tc>
          <w:tcPr>
            <w:tcW w:w="622" w:type="pct"/>
            <w:tcBorders>
              <w:top w:val="nil"/>
              <w:bottom w:val="single" w:sz="4" w:space="0" w:color="auto"/>
            </w:tcBorders>
            <w:shd w:val="clear" w:color="auto" w:fill="F2F2F2" w:themeFill="background1" w:themeFillShade="F2"/>
          </w:tcPr>
          <w:p w14:paraId="087B2EB8" w14:textId="77777777" w:rsidR="002F4A42" w:rsidRPr="00523374" w:rsidRDefault="002F4A42" w:rsidP="00E4090E">
            <w:pPr>
              <w:pStyle w:val="Body"/>
              <w:keepNext/>
              <w:spacing w:before="60" w:after="60" w:line="240" w:lineRule="auto"/>
            </w:pPr>
            <w:r w:rsidRPr="00523374">
              <w:t>maximum absolute decline</w:t>
            </w:r>
          </w:p>
          <w:p w14:paraId="78BBFAF8" w14:textId="77777777" w:rsidR="002F4A42" w:rsidRPr="00523374" w:rsidRDefault="002F4A42" w:rsidP="00E4090E">
            <w:pPr>
              <w:pStyle w:val="Body"/>
              <w:keepNext/>
              <w:spacing w:before="60" w:after="60" w:line="240" w:lineRule="auto"/>
            </w:pPr>
            <w:r w:rsidRPr="00523374">
              <w:t>(m)</w:t>
            </w:r>
          </w:p>
        </w:tc>
      </w:tr>
      <w:tr w:rsidR="002F4A42" w:rsidRPr="0069766D" w14:paraId="7F9421EA" w14:textId="77777777" w:rsidTr="00523374">
        <w:tc>
          <w:tcPr>
            <w:tcW w:w="744" w:type="pct"/>
            <w:tcBorders>
              <w:top w:val="single" w:sz="4" w:space="0" w:color="auto"/>
              <w:bottom w:val="nil"/>
            </w:tcBorders>
            <w:shd w:val="clear" w:color="auto" w:fill="auto"/>
          </w:tcPr>
          <w:p w14:paraId="04F0C13B" w14:textId="77777777" w:rsidR="002F4A42" w:rsidRPr="0069766D" w:rsidRDefault="002F4A42" w:rsidP="00E4090E">
            <w:pPr>
              <w:pStyle w:val="Body"/>
              <w:keepNext/>
              <w:spacing w:before="20" w:after="20" w:line="240" w:lineRule="auto"/>
            </w:pPr>
            <w:r>
              <w:t>Alluvial</w:t>
            </w:r>
          </w:p>
        </w:tc>
        <w:tc>
          <w:tcPr>
            <w:tcW w:w="610" w:type="pct"/>
            <w:tcBorders>
              <w:top w:val="single" w:sz="4" w:space="0" w:color="auto"/>
              <w:bottom w:val="nil"/>
            </w:tcBorders>
            <w:shd w:val="clear" w:color="auto" w:fill="auto"/>
          </w:tcPr>
          <w:p w14:paraId="2331958E" w14:textId="77777777" w:rsidR="002F4A42" w:rsidRPr="0069766D" w:rsidRDefault="002F4A42" w:rsidP="00E4090E">
            <w:pPr>
              <w:pStyle w:val="Body"/>
              <w:keepNext/>
              <w:spacing w:before="20" w:after="20" w:line="240" w:lineRule="auto"/>
            </w:pPr>
            <w:r>
              <w:t>high</w:t>
            </w:r>
          </w:p>
        </w:tc>
        <w:tc>
          <w:tcPr>
            <w:tcW w:w="1159" w:type="pct"/>
            <w:tcBorders>
              <w:top w:val="single" w:sz="4" w:space="0" w:color="auto"/>
              <w:bottom w:val="nil"/>
            </w:tcBorders>
            <w:shd w:val="clear" w:color="auto" w:fill="auto"/>
          </w:tcPr>
          <w:p w14:paraId="40432700" w14:textId="77777777" w:rsidR="002F4A42" w:rsidRPr="0069766D" w:rsidRDefault="002F4A42" w:rsidP="00E4090E">
            <w:pPr>
              <w:pStyle w:val="Body"/>
              <w:keepNext/>
              <w:spacing w:before="20" w:after="20" w:line="240" w:lineRule="auto"/>
            </w:pPr>
            <w:r>
              <w:t>Lower Murrumbidgee</w:t>
            </w:r>
          </w:p>
        </w:tc>
        <w:tc>
          <w:tcPr>
            <w:tcW w:w="621" w:type="pct"/>
            <w:tcBorders>
              <w:top w:val="single" w:sz="4" w:space="0" w:color="auto"/>
              <w:bottom w:val="nil"/>
            </w:tcBorders>
            <w:shd w:val="clear" w:color="auto" w:fill="auto"/>
          </w:tcPr>
          <w:p w14:paraId="6B3C109A" w14:textId="77777777" w:rsidR="002F4A42" w:rsidRPr="0069766D" w:rsidRDefault="002F4A42" w:rsidP="00E4090E">
            <w:pPr>
              <w:pStyle w:val="Body"/>
              <w:keepNext/>
              <w:spacing w:before="20" w:after="20" w:line="240" w:lineRule="auto"/>
            </w:pPr>
            <w:r>
              <w:t>10</w:t>
            </w:r>
          </w:p>
        </w:tc>
        <w:tc>
          <w:tcPr>
            <w:tcW w:w="621" w:type="pct"/>
            <w:tcBorders>
              <w:top w:val="single" w:sz="4" w:space="0" w:color="auto"/>
              <w:bottom w:val="nil"/>
            </w:tcBorders>
            <w:shd w:val="clear" w:color="auto" w:fill="auto"/>
          </w:tcPr>
          <w:p w14:paraId="7A55C978" w14:textId="77777777" w:rsidR="002F4A42" w:rsidRPr="0069766D" w:rsidRDefault="002F4A42" w:rsidP="00E4090E">
            <w:pPr>
              <w:pStyle w:val="Body"/>
              <w:keepNext/>
              <w:spacing w:before="20" w:after="20" w:line="240" w:lineRule="auto"/>
            </w:pPr>
            <w:r>
              <w:t xml:space="preserve">2 </w:t>
            </w:r>
          </w:p>
        </w:tc>
        <w:tc>
          <w:tcPr>
            <w:tcW w:w="621" w:type="pct"/>
            <w:tcBorders>
              <w:top w:val="single" w:sz="4" w:space="0" w:color="auto"/>
              <w:bottom w:val="nil"/>
            </w:tcBorders>
            <w:shd w:val="clear" w:color="auto" w:fill="auto"/>
          </w:tcPr>
          <w:p w14:paraId="481F0597" w14:textId="77777777" w:rsidR="002F4A42" w:rsidRPr="0069766D" w:rsidRDefault="002F4A42" w:rsidP="00E4090E">
            <w:pPr>
              <w:pStyle w:val="Body"/>
              <w:keepNext/>
              <w:spacing w:before="20" w:after="20" w:line="240" w:lineRule="auto"/>
            </w:pPr>
            <w:r>
              <w:t>40 %</w:t>
            </w:r>
          </w:p>
        </w:tc>
        <w:tc>
          <w:tcPr>
            <w:tcW w:w="622" w:type="pct"/>
            <w:tcBorders>
              <w:top w:val="single" w:sz="4" w:space="0" w:color="auto"/>
              <w:bottom w:val="nil"/>
            </w:tcBorders>
            <w:shd w:val="clear" w:color="auto" w:fill="auto"/>
          </w:tcPr>
          <w:p w14:paraId="69265B94" w14:textId="55F534D7" w:rsidR="002F4A42" w:rsidRPr="0069766D" w:rsidRDefault="004129D8" w:rsidP="00E4090E">
            <w:pPr>
              <w:pStyle w:val="Body"/>
              <w:keepNext/>
              <w:spacing w:before="20" w:after="20" w:line="240" w:lineRule="auto"/>
            </w:pPr>
            <w:r>
              <w:t>3</w:t>
            </w:r>
            <w:r w:rsidR="002F4A42">
              <w:t xml:space="preserve"> </w:t>
            </w:r>
          </w:p>
        </w:tc>
      </w:tr>
      <w:tr w:rsidR="002F4A42" w:rsidRPr="0069766D" w14:paraId="60695270" w14:textId="77777777" w:rsidTr="00523374">
        <w:tc>
          <w:tcPr>
            <w:tcW w:w="744" w:type="pct"/>
            <w:tcBorders>
              <w:top w:val="nil"/>
              <w:bottom w:val="nil"/>
            </w:tcBorders>
            <w:shd w:val="clear" w:color="auto" w:fill="auto"/>
          </w:tcPr>
          <w:p w14:paraId="70E61673" w14:textId="77777777" w:rsidR="002F4A42" w:rsidRDefault="002F4A42" w:rsidP="00E4090E">
            <w:pPr>
              <w:pStyle w:val="Body"/>
              <w:keepNext/>
              <w:spacing w:before="20" w:after="20" w:line="240" w:lineRule="auto"/>
            </w:pPr>
          </w:p>
        </w:tc>
        <w:tc>
          <w:tcPr>
            <w:tcW w:w="610" w:type="pct"/>
            <w:tcBorders>
              <w:top w:val="nil"/>
              <w:bottom w:val="nil"/>
            </w:tcBorders>
            <w:shd w:val="clear" w:color="auto" w:fill="auto"/>
          </w:tcPr>
          <w:p w14:paraId="45F83123" w14:textId="77777777" w:rsidR="002F4A42" w:rsidRDefault="002F4A42" w:rsidP="00E4090E">
            <w:pPr>
              <w:pStyle w:val="Body"/>
              <w:keepNext/>
              <w:spacing w:before="20" w:after="20" w:line="240" w:lineRule="auto"/>
            </w:pPr>
            <w:r>
              <w:t>high</w:t>
            </w:r>
          </w:p>
        </w:tc>
        <w:tc>
          <w:tcPr>
            <w:tcW w:w="1159" w:type="pct"/>
            <w:tcBorders>
              <w:top w:val="nil"/>
              <w:bottom w:val="nil"/>
            </w:tcBorders>
            <w:shd w:val="clear" w:color="auto" w:fill="auto"/>
          </w:tcPr>
          <w:p w14:paraId="5D81F330" w14:textId="77777777" w:rsidR="002F4A42" w:rsidRDefault="002F4A42" w:rsidP="00E4090E">
            <w:pPr>
              <w:pStyle w:val="Body"/>
              <w:keepNext/>
              <w:spacing w:before="20" w:after="20" w:line="240" w:lineRule="auto"/>
            </w:pPr>
            <w:r>
              <w:t>other</w:t>
            </w:r>
          </w:p>
        </w:tc>
        <w:tc>
          <w:tcPr>
            <w:tcW w:w="621" w:type="pct"/>
            <w:tcBorders>
              <w:top w:val="nil"/>
              <w:bottom w:val="nil"/>
            </w:tcBorders>
            <w:shd w:val="clear" w:color="auto" w:fill="auto"/>
          </w:tcPr>
          <w:p w14:paraId="5D5B72B8" w14:textId="77777777" w:rsidR="002F4A42" w:rsidRPr="0069766D" w:rsidRDefault="002F4A42" w:rsidP="00E4090E">
            <w:pPr>
              <w:pStyle w:val="Body"/>
              <w:keepNext/>
              <w:spacing w:before="20" w:after="20" w:line="240" w:lineRule="auto"/>
            </w:pPr>
            <w:r>
              <w:t>10</w:t>
            </w:r>
          </w:p>
        </w:tc>
        <w:tc>
          <w:tcPr>
            <w:tcW w:w="621" w:type="pct"/>
            <w:tcBorders>
              <w:top w:val="nil"/>
              <w:bottom w:val="nil"/>
            </w:tcBorders>
            <w:shd w:val="clear" w:color="auto" w:fill="auto"/>
          </w:tcPr>
          <w:p w14:paraId="184CE778" w14:textId="77777777" w:rsidR="002F4A42" w:rsidRPr="0069766D" w:rsidRDefault="002F4A42" w:rsidP="00E4090E">
            <w:pPr>
              <w:pStyle w:val="Body"/>
              <w:keepNext/>
              <w:spacing w:before="20" w:after="20" w:line="240" w:lineRule="auto"/>
            </w:pPr>
            <w:r>
              <w:t xml:space="preserve">2 </w:t>
            </w:r>
          </w:p>
        </w:tc>
        <w:tc>
          <w:tcPr>
            <w:tcW w:w="621" w:type="pct"/>
            <w:tcBorders>
              <w:top w:val="nil"/>
              <w:bottom w:val="nil"/>
            </w:tcBorders>
            <w:shd w:val="clear" w:color="auto" w:fill="auto"/>
          </w:tcPr>
          <w:p w14:paraId="5958AC47" w14:textId="77777777" w:rsidR="002F4A42" w:rsidRPr="0069766D" w:rsidRDefault="002F4A42" w:rsidP="00E4090E">
            <w:pPr>
              <w:pStyle w:val="Body"/>
              <w:keepNext/>
              <w:spacing w:before="20" w:after="20" w:line="240" w:lineRule="auto"/>
            </w:pPr>
            <w:r>
              <w:t>40 %</w:t>
            </w:r>
          </w:p>
        </w:tc>
        <w:tc>
          <w:tcPr>
            <w:tcW w:w="622" w:type="pct"/>
            <w:tcBorders>
              <w:top w:val="nil"/>
              <w:bottom w:val="nil"/>
            </w:tcBorders>
            <w:shd w:val="clear" w:color="auto" w:fill="auto"/>
          </w:tcPr>
          <w:p w14:paraId="39D5F6C9" w14:textId="7EAC37CE" w:rsidR="002F4A42" w:rsidRPr="0069766D" w:rsidRDefault="004129D8" w:rsidP="00E4090E">
            <w:pPr>
              <w:pStyle w:val="Body"/>
              <w:keepNext/>
              <w:spacing w:before="20" w:after="20" w:line="240" w:lineRule="auto"/>
            </w:pPr>
            <w:r>
              <w:t>2</w:t>
            </w:r>
            <w:r w:rsidR="002F4A42">
              <w:t xml:space="preserve"> </w:t>
            </w:r>
          </w:p>
        </w:tc>
      </w:tr>
      <w:tr w:rsidR="002F4A42" w:rsidRPr="0069766D" w14:paraId="3147E615" w14:textId="77777777" w:rsidTr="00523374">
        <w:tc>
          <w:tcPr>
            <w:tcW w:w="744" w:type="pct"/>
            <w:tcBorders>
              <w:top w:val="nil"/>
              <w:bottom w:val="single" w:sz="4" w:space="0" w:color="auto"/>
            </w:tcBorders>
            <w:shd w:val="clear" w:color="auto" w:fill="auto"/>
          </w:tcPr>
          <w:p w14:paraId="438C6F39" w14:textId="77777777" w:rsidR="002F4A42" w:rsidRDefault="002F4A42" w:rsidP="00E4090E">
            <w:pPr>
              <w:pStyle w:val="Body"/>
              <w:keepNext/>
              <w:spacing w:before="20" w:after="20" w:line="240" w:lineRule="auto"/>
            </w:pPr>
          </w:p>
        </w:tc>
        <w:tc>
          <w:tcPr>
            <w:tcW w:w="610" w:type="pct"/>
            <w:tcBorders>
              <w:top w:val="nil"/>
              <w:bottom w:val="single" w:sz="4" w:space="0" w:color="auto"/>
            </w:tcBorders>
            <w:shd w:val="clear" w:color="auto" w:fill="auto"/>
          </w:tcPr>
          <w:p w14:paraId="7D93C40E" w14:textId="77777777" w:rsidR="002F4A42" w:rsidRDefault="002F4A42" w:rsidP="00E4090E">
            <w:pPr>
              <w:pStyle w:val="Body"/>
              <w:keepNext/>
              <w:spacing w:before="20" w:after="20" w:line="240" w:lineRule="auto"/>
            </w:pPr>
            <w:r>
              <w:t>low</w:t>
            </w:r>
          </w:p>
        </w:tc>
        <w:tc>
          <w:tcPr>
            <w:tcW w:w="1159" w:type="pct"/>
            <w:tcBorders>
              <w:top w:val="nil"/>
              <w:bottom w:val="single" w:sz="4" w:space="0" w:color="auto"/>
            </w:tcBorders>
            <w:shd w:val="clear" w:color="auto" w:fill="auto"/>
          </w:tcPr>
          <w:p w14:paraId="28D551EF" w14:textId="77777777" w:rsidR="002F4A42" w:rsidRDefault="002F4A42" w:rsidP="00E4090E">
            <w:pPr>
              <w:pStyle w:val="Body"/>
              <w:keepNext/>
              <w:spacing w:before="20" w:after="20" w:line="240" w:lineRule="auto"/>
            </w:pPr>
            <w:r>
              <w:t>any</w:t>
            </w:r>
          </w:p>
        </w:tc>
        <w:tc>
          <w:tcPr>
            <w:tcW w:w="621" w:type="pct"/>
            <w:tcBorders>
              <w:top w:val="nil"/>
              <w:bottom w:val="single" w:sz="4" w:space="0" w:color="auto"/>
            </w:tcBorders>
            <w:shd w:val="clear" w:color="auto" w:fill="auto"/>
          </w:tcPr>
          <w:p w14:paraId="1AB5199D" w14:textId="77777777" w:rsidR="002F4A42" w:rsidRPr="0069766D" w:rsidRDefault="002F4A42" w:rsidP="00E4090E">
            <w:pPr>
              <w:pStyle w:val="Body"/>
              <w:keepNext/>
              <w:spacing w:before="20" w:after="20" w:line="240" w:lineRule="auto"/>
            </w:pPr>
            <w:r>
              <w:t>10</w:t>
            </w:r>
          </w:p>
        </w:tc>
        <w:tc>
          <w:tcPr>
            <w:tcW w:w="621" w:type="pct"/>
            <w:tcBorders>
              <w:top w:val="nil"/>
              <w:bottom w:val="single" w:sz="4" w:space="0" w:color="auto"/>
            </w:tcBorders>
            <w:shd w:val="clear" w:color="auto" w:fill="auto"/>
          </w:tcPr>
          <w:p w14:paraId="30A46312" w14:textId="77777777" w:rsidR="002F4A42" w:rsidRPr="0069766D" w:rsidRDefault="002F4A42" w:rsidP="00E4090E">
            <w:pPr>
              <w:pStyle w:val="Body"/>
              <w:keepNext/>
              <w:spacing w:before="20" w:after="20" w:line="240" w:lineRule="auto"/>
            </w:pPr>
            <w:r>
              <w:t xml:space="preserve">2 </w:t>
            </w:r>
          </w:p>
        </w:tc>
        <w:tc>
          <w:tcPr>
            <w:tcW w:w="621" w:type="pct"/>
            <w:tcBorders>
              <w:top w:val="nil"/>
              <w:bottom w:val="single" w:sz="4" w:space="0" w:color="auto"/>
            </w:tcBorders>
            <w:shd w:val="clear" w:color="auto" w:fill="auto"/>
          </w:tcPr>
          <w:p w14:paraId="2D796482" w14:textId="77777777" w:rsidR="002F4A42" w:rsidRPr="0069766D" w:rsidRDefault="002F4A42" w:rsidP="00E4090E">
            <w:pPr>
              <w:pStyle w:val="Body"/>
              <w:keepNext/>
              <w:spacing w:before="20" w:after="20" w:line="240" w:lineRule="auto"/>
            </w:pPr>
            <w:r>
              <w:t xml:space="preserve">40 % </w:t>
            </w:r>
          </w:p>
        </w:tc>
        <w:tc>
          <w:tcPr>
            <w:tcW w:w="622" w:type="pct"/>
            <w:tcBorders>
              <w:top w:val="nil"/>
              <w:bottom w:val="single" w:sz="4" w:space="0" w:color="auto"/>
            </w:tcBorders>
            <w:shd w:val="clear" w:color="auto" w:fill="auto"/>
          </w:tcPr>
          <w:p w14:paraId="2511A732" w14:textId="77777777" w:rsidR="002F4A42" w:rsidRPr="0069766D" w:rsidRDefault="002F4A42" w:rsidP="00E4090E">
            <w:pPr>
              <w:pStyle w:val="Body"/>
              <w:keepNext/>
              <w:spacing w:before="20" w:after="20" w:line="240" w:lineRule="auto"/>
            </w:pPr>
            <w:r>
              <w:t xml:space="preserve">2 </w:t>
            </w:r>
          </w:p>
        </w:tc>
      </w:tr>
      <w:tr w:rsidR="002F4A42" w:rsidRPr="0069766D" w14:paraId="1D240D8F" w14:textId="77777777" w:rsidTr="00523374">
        <w:tc>
          <w:tcPr>
            <w:tcW w:w="744" w:type="pct"/>
            <w:tcBorders>
              <w:top w:val="single" w:sz="4" w:space="0" w:color="auto"/>
              <w:bottom w:val="single" w:sz="4" w:space="0" w:color="auto"/>
            </w:tcBorders>
            <w:shd w:val="clear" w:color="auto" w:fill="auto"/>
          </w:tcPr>
          <w:p w14:paraId="2E5280F5" w14:textId="77777777" w:rsidR="002F4A42" w:rsidRDefault="002F4A42" w:rsidP="00E4090E">
            <w:pPr>
              <w:pStyle w:val="Body"/>
              <w:keepNext/>
              <w:spacing w:before="20" w:after="20" w:line="240" w:lineRule="auto"/>
            </w:pPr>
            <w:r>
              <w:t>Coastal sands</w:t>
            </w:r>
          </w:p>
        </w:tc>
        <w:tc>
          <w:tcPr>
            <w:tcW w:w="610" w:type="pct"/>
            <w:tcBorders>
              <w:top w:val="single" w:sz="4" w:space="0" w:color="auto"/>
              <w:bottom w:val="single" w:sz="4" w:space="0" w:color="auto"/>
            </w:tcBorders>
            <w:shd w:val="clear" w:color="auto" w:fill="auto"/>
          </w:tcPr>
          <w:p w14:paraId="2E29FBDD" w14:textId="77777777" w:rsidR="002F4A42" w:rsidRDefault="002F4A42" w:rsidP="00E4090E">
            <w:pPr>
              <w:pStyle w:val="Body"/>
              <w:keepNext/>
              <w:spacing w:before="20" w:after="20" w:line="240" w:lineRule="auto"/>
            </w:pPr>
            <w:r>
              <w:t>high</w:t>
            </w:r>
          </w:p>
        </w:tc>
        <w:tc>
          <w:tcPr>
            <w:tcW w:w="1159" w:type="pct"/>
            <w:tcBorders>
              <w:top w:val="single" w:sz="4" w:space="0" w:color="auto"/>
              <w:bottom w:val="single" w:sz="4" w:space="0" w:color="auto"/>
            </w:tcBorders>
            <w:shd w:val="clear" w:color="auto" w:fill="auto"/>
          </w:tcPr>
          <w:p w14:paraId="1BB0245B" w14:textId="77777777" w:rsidR="002F4A42" w:rsidRDefault="002F4A42" w:rsidP="00E4090E">
            <w:pPr>
              <w:pStyle w:val="Body"/>
              <w:keepNext/>
              <w:spacing w:before="20" w:after="20" w:line="240" w:lineRule="auto"/>
            </w:pPr>
            <w:r>
              <w:t>any</w:t>
            </w:r>
          </w:p>
        </w:tc>
        <w:tc>
          <w:tcPr>
            <w:tcW w:w="621" w:type="pct"/>
            <w:tcBorders>
              <w:top w:val="single" w:sz="4" w:space="0" w:color="auto"/>
              <w:bottom w:val="single" w:sz="4" w:space="0" w:color="auto"/>
            </w:tcBorders>
            <w:shd w:val="clear" w:color="auto" w:fill="auto"/>
          </w:tcPr>
          <w:p w14:paraId="4F6F6D15" w14:textId="77777777" w:rsidR="002F4A42" w:rsidRPr="0069766D" w:rsidRDefault="002F4A42" w:rsidP="00E4090E">
            <w:pPr>
              <w:pStyle w:val="Body"/>
              <w:keepNext/>
              <w:spacing w:before="20" w:after="20" w:line="240" w:lineRule="auto"/>
            </w:pPr>
            <w:r>
              <w:t>10</w:t>
            </w:r>
          </w:p>
        </w:tc>
        <w:tc>
          <w:tcPr>
            <w:tcW w:w="621" w:type="pct"/>
            <w:tcBorders>
              <w:top w:val="single" w:sz="4" w:space="0" w:color="auto"/>
              <w:bottom w:val="single" w:sz="4" w:space="0" w:color="auto"/>
            </w:tcBorders>
            <w:shd w:val="clear" w:color="auto" w:fill="auto"/>
          </w:tcPr>
          <w:p w14:paraId="00B8970C" w14:textId="77777777" w:rsidR="002F4A42" w:rsidRPr="0069766D" w:rsidRDefault="002F4A42" w:rsidP="00E4090E">
            <w:pPr>
              <w:pStyle w:val="Body"/>
              <w:keepNext/>
              <w:spacing w:before="20" w:after="20" w:line="240" w:lineRule="auto"/>
            </w:pPr>
            <w:r>
              <w:t xml:space="preserve">2 </w:t>
            </w:r>
          </w:p>
        </w:tc>
        <w:tc>
          <w:tcPr>
            <w:tcW w:w="621" w:type="pct"/>
            <w:tcBorders>
              <w:top w:val="single" w:sz="4" w:space="0" w:color="auto"/>
              <w:bottom w:val="single" w:sz="4" w:space="0" w:color="auto"/>
            </w:tcBorders>
            <w:shd w:val="clear" w:color="auto" w:fill="auto"/>
          </w:tcPr>
          <w:p w14:paraId="448767B9" w14:textId="1C97A9AA" w:rsidR="002F4A42" w:rsidRPr="0069766D" w:rsidRDefault="004129D8" w:rsidP="00E4090E">
            <w:pPr>
              <w:pStyle w:val="Body"/>
              <w:keepNext/>
              <w:spacing w:before="20" w:after="20" w:line="240" w:lineRule="auto"/>
            </w:pPr>
            <w:r>
              <w:t>2 m</w:t>
            </w:r>
          </w:p>
        </w:tc>
        <w:tc>
          <w:tcPr>
            <w:tcW w:w="622" w:type="pct"/>
            <w:tcBorders>
              <w:top w:val="single" w:sz="4" w:space="0" w:color="auto"/>
              <w:bottom w:val="single" w:sz="4" w:space="0" w:color="auto"/>
            </w:tcBorders>
            <w:shd w:val="clear" w:color="auto" w:fill="auto"/>
          </w:tcPr>
          <w:p w14:paraId="19A2FF2C" w14:textId="77777777" w:rsidR="002F4A42" w:rsidRPr="0069766D" w:rsidRDefault="002F4A42" w:rsidP="00E4090E">
            <w:pPr>
              <w:pStyle w:val="Body"/>
              <w:keepNext/>
              <w:spacing w:before="20" w:after="20" w:line="240" w:lineRule="auto"/>
            </w:pPr>
            <w:r>
              <w:t xml:space="preserve">2 </w:t>
            </w:r>
          </w:p>
        </w:tc>
      </w:tr>
      <w:tr w:rsidR="002F4A42" w:rsidRPr="0069766D" w14:paraId="4275D2BC" w14:textId="77777777" w:rsidTr="00523374">
        <w:tc>
          <w:tcPr>
            <w:tcW w:w="744" w:type="pct"/>
            <w:tcBorders>
              <w:top w:val="single" w:sz="4" w:space="0" w:color="auto"/>
              <w:bottom w:val="nil"/>
            </w:tcBorders>
            <w:shd w:val="clear" w:color="auto" w:fill="auto"/>
          </w:tcPr>
          <w:p w14:paraId="0B28E0DF" w14:textId="77777777" w:rsidR="002F4A42" w:rsidRDefault="002F4A42" w:rsidP="00E4090E">
            <w:pPr>
              <w:pStyle w:val="Body"/>
              <w:keepNext/>
              <w:spacing w:before="20" w:after="20" w:line="240" w:lineRule="auto"/>
            </w:pPr>
            <w:r>
              <w:t>Porous rock</w:t>
            </w:r>
          </w:p>
        </w:tc>
        <w:tc>
          <w:tcPr>
            <w:tcW w:w="610" w:type="pct"/>
            <w:tcBorders>
              <w:top w:val="single" w:sz="4" w:space="0" w:color="auto"/>
              <w:bottom w:val="nil"/>
            </w:tcBorders>
            <w:shd w:val="clear" w:color="auto" w:fill="auto"/>
          </w:tcPr>
          <w:p w14:paraId="3A478E26" w14:textId="77777777" w:rsidR="002F4A42" w:rsidRDefault="002F4A42" w:rsidP="00E4090E">
            <w:pPr>
              <w:pStyle w:val="Body"/>
              <w:keepNext/>
              <w:spacing w:before="20" w:after="20" w:line="240" w:lineRule="auto"/>
            </w:pPr>
            <w:r>
              <w:t>high</w:t>
            </w:r>
          </w:p>
        </w:tc>
        <w:tc>
          <w:tcPr>
            <w:tcW w:w="1159" w:type="pct"/>
            <w:tcBorders>
              <w:top w:val="single" w:sz="4" w:space="0" w:color="auto"/>
              <w:bottom w:val="nil"/>
            </w:tcBorders>
            <w:shd w:val="clear" w:color="auto" w:fill="auto"/>
          </w:tcPr>
          <w:p w14:paraId="6625180D" w14:textId="77777777" w:rsidR="002F4A42" w:rsidRDefault="002F4A42" w:rsidP="00E4090E">
            <w:pPr>
              <w:pStyle w:val="Body"/>
              <w:keepNext/>
              <w:spacing w:before="20" w:after="20" w:line="240" w:lineRule="auto"/>
            </w:pPr>
            <w:r>
              <w:t>GAB – recharge areas</w:t>
            </w:r>
          </w:p>
        </w:tc>
        <w:tc>
          <w:tcPr>
            <w:tcW w:w="621" w:type="pct"/>
            <w:tcBorders>
              <w:top w:val="single" w:sz="4" w:space="0" w:color="auto"/>
              <w:bottom w:val="nil"/>
            </w:tcBorders>
            <w:shd w:val="clear" w:color="auto" w:fill="auto"/>
          </w:tcPr>
          <w:p w14:paraId="3818992B" w14:textId="77777777" w:rsidR="002F4A42" w:rsidRPr="0069766D" w:rsidRDefault="002F4A42" w:rsidP="00E4090E">
            <w:pPr>
              <w:pStyle w:val="Body"/>
              <w:keepNext/>
              <w:spacing w:before="20" w:after="20" w:line="240" w:lineRule="auto"/>
            </w:pPr>
            <w:r>
              <w:t>10</w:t>
            </w:r>
          </w:p>
        </w:tc>
        <w:tc>
          <w:tcPr>
            <w:tcW w:w="621" w:type="pct"/>
            <w:tcBorders>
              <w:top w:val="single" w:sz="4" w:space="0" w:color="auto"/>
              <w:bottom w:val="nil"/>
            </w:tcBorders>
            <w:shd w:val="clear" w:color="auto" w:fill="auto"/>
          </w:tcPr>
          <w:p w14:paraId="22B8D66C" w14:textId="77777777" w:rsidR="002F4A42" w:rsidRPr="0069766D" w:rsidRDefault="002F4A42" w:rsidP="00E4090E">
            <w:pPr>
              <w:pStyle w:val="Body"/>
              <w:keepNext/>
              <w:spacing w:before="20" w:after="20" w:line="240" w:lineRule="auto"/>
            </w:pPr>
            <w:r>
              <w:t xml:space="preserve">2 </w:t>
            </w:r>
          </w:p>
        </w:tc>
        <w:tc>
          <w:tcPr>
            <w:tcW w:w="621" w:type="pct"/>
            <w:tcBorders>
              <w:top w:val="single" w:sz="4" w:space="0" w:color="auto"/>
              <w:bottom w:val="nil"/>
            </w:tcBorders>
            <w:shd w:val="clear" w:color="auto" w:fill="auto"/>
          </w:tcPr>
          <w:p w14:paraId="2806B1DF" w14:textId="77777777" w:rsidR="002F4A42" w:rsidRPr="0069766D" w:rsidRDefault="002F4A42" w:rsidP="00E4090E">
            <w:pPr>
              <w:pStyle w:val="Body"/>
              <w:keepNext/>
              <w:spacing w:before="20" w:after="20" w:line="240" w:lineRule="auto"/>
            </w:pPr>
            <w:r>
              <w:t>0.2 m</w:t>
            </w:r>
          </w:p>
        </w:tc>
        <w:tc>
          <w:tcPr>
            <w:tcW w:w="622" w:type="pct"/>
            <w:tcBorders>
              <w:top w:val="single" w:sz="4" w:space="0" w:color="auto"/>
              <w:bottom w:val="nil"/>
            </w:tcBorders>
            <w:shd w:val="clear" w:color="auto" w:fill="auto"/>
          </w:tcPr>
          <w:p w14:paraId="23E27A2D" w14:textId="77777777" w:rsidR="002F4A42" w:rsidRPr="0069766D" w:rsidRDefault="002F4A42" w:rsidP="00E4090E">
            <w:pPr>
              <w:pStyle w:val="Body"/>
              <w:keepNext/>
              <w:spacing w:before="20" w:after="20" w:line="240" w:lineRule="auto"/>
            </w:pPr>
            <w:r>
              <w:t xml:space="preserve">15 </w:t>
            </w:r>
          </w:p>
        </w:tc>
      </w:tr>
      <w:tr w:rsidR="002F4A42" w:rsidRPr="0069766D" w14:paraId="2F7F364C" w14:textId="77777777" w:rsidTr="00523374">
        <w:tc>
          <w:tcPr>
            <w:tcW w:w="744" w:type="pct"/>
            <w:tcBorders>
              <w:top w:val="nil"/>
              <w:bottom w:val="nil"/>
            </w:tcBorders>
            <w:shd w:val="clear" w:color="auto" w:fill="auto"/>
          </w:tcPr>
          <w:p w14:paraId="3D224D97" w14:textId="77777777" w:rsidR="002F4A42" w:rsidRDefault="002F4A42" w:rsidP="00E4090E">
            <w:pPr>
              <w:pStyle w:val="Body"/>
              <w:keepNext/>
              <w:spacing w:before="20" w:after="20" w:line="240" w:lineRule="auto"/>
            </w:pPr>
          </w:p>
        </w:tc>
        <w:tc>
          <w:tcPr>
            <w:tcW w:w="610" w:type="pct"/>
            <w:tcBorders>
              <w:top w:val="nil"/>
              <w:bottom w:val="nil"/>
            </w:tcBorders>
            <w:shd w:val="clear" w:color="auto" w:fill="auto"/>
          </w:tcPr>
          <w:p w14:paraId="680764C8" w14:textId="77777777" w:rsidR="002F4A42" w:rsidRDefault="002F4A42" w:rsidP="00E4090E">
            <w:pPr>
              <w:pStyle w:val="Body"/>
              <w:keepNext/>
              <w:spacing w:before="20" w:after="20" w:line="240" w:lineRule="auto"/>
            </w:pPr>
            <w:r>
              <w:t>high</w:t>
            </w:r>
          </w:p>
        </w:tc>
        <w:tc>
          <w:tcPr>
            <w:tcW w:w="1159" w:type="pct"/>
            <w:tcBorders>
              <w:top w:val="nil"/>
              <w:bottom w:val="nil"/>
            </w:tcBorders>
            <w:shd w:val="clear" w:color="auto" w:fill="auto"/>
          </w:tcPr>
          <w:p w14:paraId="7EB23F11" w14:textId="77777777" w:rsidR="002F4A42" w:rsidRDefault="002F4A42" w:rsidP="00E4090E">
            <w:pPr>
              <w:pStyle w:val="Body"/>
              <w:keepNext/>
              <w:spacing w:before="20" w:after="20" w:line="240" w:lineRule="auto"/>
            </w:pPr>
            <w:r>
              <w:t>GAB – other</w:t>
            </w:r>
          </w:p>
        </w:tc>
        <w:tc>
          <w:tcPr>
            <w:tcW w:w="621" w:type="pct"/>
            <w:tcBorders>
              <w:top w:val="nil"/>
              <w:bottom w:val="nil"/>
            </w:tcBorders>
            <w:shd w:val="clear" w:color="auto" w:fill="auto"/>
          </w:tcPr>
          <w:p w14:paraId="172A7D64" w14:textId="77777777" w:rsidR="002F4A42" w:rsidRPr="0069766D" w:rsidRDefault="002F4A42" w:rsidP="00E4090E">
            <w:pPr>
              <w:pStyle w:val="Body"/>
              <w:keepNext/>
              <w:spacing w:before="20" w:after="20" w:line="240" w:lineRule="auto"/>
            </w:pPr>
            <w:r>
              <w:t>N/A</w:t>
            </w:r>
          </w:p>
        </w:tc>
        <w:tc>
          <w:tcPr>
            <w:tcW w:w="621" w:type="pct"/>
            <w:tcBorders>
              <w:top w:val="nil"/>
              <w:bottom w:val="nil"/>
            </w:tcBorders>
            <w:shd w:val="clear" w:color="auto" w:fill="auto"/>
          </w:tcPr>
          <w:p w14:paraId="541935E0" w14:textId="77777777" w:rsidR="002F4A42" w:rsidRPr="0069766D" w:rsidRDefault="002F4A42" w:rsidP="00E4090E">
            <w:pPr>
              <w:pStyle w:val="Body"/>
              <w:keepNext/>
              <w:spacing w:before="20" w:after="20" w:line="240" w:lineRule="auto"/>
            </w:pPr>
            <w:r>
              <w:t xml:space="preserve">2 </w:t>
            </w:r>
          </w:p>
        </w:tc>
        <w:tc>
          <w:tcPr>
            <w:tcW w:w="621" w:type="pct"/>
            <w:tcBorders>
              <w:top w:val="nil"/>
              <w:bottom w:val="nil"/>
            </w:tcBorders>
            <w:shd w:val="clear" w:color="auto" w:fill="auto"/>
          </w:tcPr>
          <w:p w14:paraId="6634B654" w14:textId="77777777" w:rsidR="002F4A42" w:rsidRPr="0069766D" w:rsidRDefault="002F4A42" w:rsidP="00E4090E">
            <w:pPr>
              <w:pStyle w:val="Body"/>
              <w:keepNext/>
              <w:spacing w:before="20" w:after="20" w:line="240" w:lineRule="auto"/>
            </w:pPr>
            <w:r>
              <w:t>0.2 m</w:t>
            </w:r>
          </w:p>
        </w:tc>
        <w:tc>
          <w:tcPr>
            <w:tcW w:w="622" w:type="pct"/>
            <w:tcBorders>
              <w:top w:val="nil"/>
              <w:bottom w:val="nil"/>
            </w:tcBorders>
            <w:shd w:val="clear" w:color="auto" w:fill="auto"/>
          </w:tcPr>
          <w:p w14:paraId="0F439A32" w14:textId="77777777" w:rsidR="002F4A42" w:rsidRPr="0069766D" w:rsidRDefault="002F4A42" w:rsidP="00E4090E">
            <w:pPr>
              <w:pStyle w:val="Body"/>
              <w:keepNext/>
              <w:spacing w:before="20" w:after="20" w:line="240" w:lineRule="auto"/>
            </w:pPr>
            <w:r>
              <w:t xml:space="preserve">30 </w:t>
            </w:r>
          </w:p>
        </w:tc>
      </w:tr>
      <w:tr w:rsidR="002F4A42" w:rsidRPr="0069766D" w14:paraId="0577D1F8" w14:textId="77777777" w:rsidTr="00523374">
        <w:tc>
          <w:tcPr>
            <w:tcW w:w="744" w:type="pct"/>
            <w:tcBorders>
              <w:top w:val="nil"/>
              <w:bottom w:val="nil"/>
            </w:tcBorders>
            <w:shd w:val="clear" w:color="auto" w:fill="auto"/>
          </w:tcPr>
          <w:p w14:paraId="3E52DC0C" w14:textId="77777777" w:rsidR="002F4A42" w:rsidRDefault="002F4A42" w:rsidP="00E4090E">
            <w:pPr>
              <w:pStyle w:val="Body"/>
              <w:keepNext/>
              <w:spacing w:before="20" w:after="20" w:line="240" w:lineRule="auto"/>
            </w:pPr>
          </w:p>
        </w:tc>
        <w:tc>
          <w:tcPr>
            <w:tcW w:w="610" w:type="pct"/>
            <w:tcBorders>
              <w:top w:val="nil"/>
              <w:bottom w:val="nil"/>
            </w:tcBorders>
            <w:shd w:val="clear" w:color="auto" w:fill="auto"/>
          </w:tcPr>
          <w:p w14:paraId="0BD09B6B" w14:textId="77777777" w:rsidR="002F4A42" w:rsidRDefault="002F4A42" w:rsidP="00E4090E">
            <w:pPr>
              <w:pStyle w:val="Body"/>
              <w:keepNext/>
              <w:spacing w:before="20" w:after="20" w:line="240" w:lineRule="auto"/>
            </w:pPr>
            <w:r>
              <w:t>high</w:t>
            </w:r>
          </w:p>
        </w:tc>
        <w:tc>
          <w:tcPr>
            <w:tcW w:w="1159" w:type="pct"/>
            <w:tcBorders>
              <w:top w:val="nil"/>
              <w:bottom w:val="nil"/>
            </w:tcBorders>
            <w:shd w:val="clear" w:color="auto" w:fill="auto"/>
          </w:tcPr>
          <w:p w14:paraId="5CE7104A" w14:textId="77777777" w:rsidR="002F4A42" w:rsidRDefault="002F4A42" w:rsidP="00E4090E">
            <w:pPr>
              <w:pStyle w:val="Body"/>
              <w:keepNext/>
              <w:spacing w:before="20" w:after="20" w:line="240" w:lineRule="auto"/>
            </w:pPr>
            <w:r>
              <w:t>non–GAB</w:t>
            </w:r>
          </w:p>
        </w:tc>
        <w:tc>
          <w:tcPr>
            <w:tcW w:w="621" w:type="pct"/>
            <w:tcBorders>
              <w:top w:val="nil"/>
              <w:bottom w:val="nil"/>
            </w:tcBorders>
            <w:shd w:val="clear" w:color="auto" w:fill="auto"/>
          </w:tcPr>
          <w:p w14:paraId="2768DE78" w14:textId="77777777" w:rsidR="002F4A42" w:rsidRPr="0069766D" w:rsidRDefault="002F4A42" w:rsidP="00E4090E">
            <w:pPr>
              <w:pStyle w:val="Body"/>
              <w:keepNext/>
              <w:spacing w:before="20" w:after="20" w:line="240" w:lineRule="auto"/>
            </w:pPr>
            <w:r>
              <w:t>10</w:t>
            </w:r>
          </w:p>
        </w:tc>
        <w:tc>
          <w:tcPr>
            <w:tcW w:w="621" w:type="pct"/>
            <w:tcBorders>
              <w:top w:val="nil"/>
              <w:bottom w:val="nil"/>
            </w:tcBorders>
            <w:shd w:val="clear" w:color="auto" w:fill="auto"/>
          </w:tcPr>
          <w:p w14:paraId="7D2B7788" w14:textId="77777777" w:rsidR="002F4A42" w:rsidRPr="0069766D" w:rsidRDefault="002F4A42" w:rsidP="00E4090E">
            <w:pPr>
              <w:pStyle w:val="Body"/>
              <w:keepNext/>
              <w:spacing w:before="20" w:after="20" w:line="240" w:lineRule="auto"/>
            </w:pPr>
            <w:r>
              <w:t xml:space="preserve">2 </w:t>
            </w:r>
          </w:p>
        </w:tc>
        <w:tc>
          <w:tcPr>
            <w:tcW w:w="621" w:type="pct"/>
            <w:tcBorders>
              <w:top w:val="nil"/>
              <w:bottom w:val="nil"/>
            </w:tcBorders>
            <w:shd w:val="clear" w:color="auto" w:fill="auto"/>
          </w:tcPr>
          <w:p w14:paraId="0795A9BA" w14:textId="77777777" w:rsidR="002F4A42" w:rsidRPr="0069766D" w:rsidRDefault="002F4A42" w:rsidP="00E4090E">
            <w:pPr>
              <w:pStyle w:val="Body"/>
              <w:keepNext/>
              <w:spacing w:before="20" w:after="20" w:line="240" w:lineRule="auto"/>
            </w:pPr>
            <w:r>
              <w:t>–</w:t>
            </w:r>
          </w:p>
        </w:tc>
        <w:tc>
          <w:tcPr>
            <w:tcW w:w="622" w:type="pct"/>
            <w:tcBorders>
              <w:top w:val="nil"/>
              <w:bottom w:val="nil"/>
            </w:tcBorders>
            <w:shd w:val="clear" w:color="auto" w:fill="auto"/>
          </w:tcPr>
          <w:p w14:paraId="139CE7DD" w14:textId="77777777" w:rsidR="002F4A42" w:rsidRPr="0069766D" w:rsidRDefault="002F4A42" w:rsidP="00E4090E">
            <w:pPr>
              <w:pStyle w:val="Body"/>
              <w:keepNext/>
              <w:spacing w:before="20" w:after="20" w:line="240" w:lineRule="auto"/>
            </w:pPr>
            <w:r>
              <w:t xml:space="preserve">2 </w:t>
            </w:r>
          </w:p>
        </w:tc>
      </w:tr>
      <w:tr w:rsidR="002F4A42" w:rsidRPr="0069766D" w14:paraId="111A0BDA" w14:textId="77777777" w:rsidTr="00523374">
        <w:tc>
          <w:tcPr>
            <w:tcW w:w="744" w:type="pct"/>
            <w:tcBorders>
              <w:top w:val="nil"/>
              <w:bottom w:val="single" w:sz="4" w:space="0" w:color="auto"/>
            </w:tcBorders>
            <w:shd w:val="clear" w:color="auto" w:fill="auto"/>
          </w:tcPr>
          <w:p w14:paraId="60BED1E9" w14:textId="77777777" w:rsidR="002F4A42" w:rsidRDefault="002F4A42" w:rsidP="00E4090E">
            <w:pPr>
              <w:pStyle w:val="Body"/>
              <w:keepNext/>
              <w:spacing w:before="20" w:after="20" w:line="240" w:lineRule="auto"/>
            </w:pPr>
          </w:p>
        </w:tc>
        <w:tc>
          <w:tcPr>
            <w:tcW w:w="610" w:type="pct"/>
            <w:tcBorders>
              <w:top w:val="nil"/>
              <w:bottom w:val="single" w:sz="4" w:space="0" w:color="auto"/>
            </w:tcBorders>
            <w:shd w:val="clear" w:color="auto" w:fill="auto"/>
          </w:tcPr>
          <w:p w14:paraId="1387C80A" w14:textId="77777777" w:rsidR="002F4A42" w:rsidRDefault="002F4A42" w:rsidP="00E4090E">
            <w:pPr>
              <w:pStyle w:val="Body"/>
              <w:keepNext/>
              <w:spacing w:before="20" w:after="20" w:line="240" w:lineRule="auto"/>
            </w:pPr>
            <w:r>
              <w:t>low</w:t>
            </w:r>
          </w:p>
        </w:tc>
        <w:tc>
          <w:tcPr>
            <w:tcW w:w="1159" w:type="pct"/>
            <w:tcBorders>
              <w:top w:val="nil"/>
              <w:bottom w:val="single" w:sz="4" w:space="0" w:color="auto"/>
            </w:tcBorders>
            <w:shd w:val="clear" w:color="auto" w:fill="auto"/>
          </w:tcPr>
          <w:p w14:paraId="5B11ECCA" w14:textId="77777777" w:rsidR="002F4A42" w:rsidRDefault="002F4A42" w:rsidP="00E4090E">
            <w:pPr>
              <w:pStyle w:val="Body"/>
              <w:keepNext/>
              <w:spacing w:before="20" w:after="20" w:line="240" w:lineRule="auto"/>
            </w:pPr>
            <w:r>
              <w:t>any</w:t>
            </w:r>
          </w:p>
        </w:tc>
        <w:tc>
          <w:tcPr>
            <w:tcW w:w="621" w:type="pct"/>
            <w:tcBorders>
              <w:top w:val="nil"/>
              <w:bottom w:val="single" w:sz="4" w:space="0" w:color="auto"/>
            </w:tcBorders>
            <w:shd w:val="clear" w:color="auto" w:fill="auto"/>
          </w:tcPr>
          <w:p w14:paraId="59B5F452" w14:textId="77777777" w:rsidR="002F4A42" w:rsidRPr="0069766D" w:rsidRDefault="002F4A42" w:rsidP="00E4090E">
            <w:pPr>
              <w:pStyle w:val="Body"/>
              <w:keepNext/>
              <w:spacing w:before="20" w:after="20" w:line="240" w:lineRule="auto"/>
            </w:pPr>
            <w:r>
              <w:t>10</w:t>
            </w:r>
          </w:p>
        </w:tc>
        <w:tc>
          <w:tcPr>
            <w:tcW w:w="621" w:type="pct"/>
            <w:tcBorders>
              <w:top w:val="nil"/>
              <w:bottom w:val="single" w:sz="4" w:space="0" w:color="auto"/>
            </w:tcBorders>
            <w:shd w:val="clear" w:color="auto" w:fill="auto"/>
          </w:tcPr>
          <w:p w14:paraId="346AE00E" w14:textId="77777777" w:rsidR="002F4A42" w:rsidRPr="0069766D" w:rsidRDefault="002F4A42" w:rsidP="00E4090E">
            <w:pPr>
              <w:pStyle w:val="Body"/>
              <w:keepNext/>
              <w:spacing w:before="20" w:after="20" w:line="240" w:lineRule="auto"/>
            </w:pPr>
            <w:r>
              <w:t xml:space="preserve">2 </w:t>
            </w:r>
          </w:p>
        </w:tc>
        <w:tc>
          <w:tcPr>
            <w:tcW w:w="621" w:type="pct"/>
            <w:tcBorders>
              <w:top w:val="nil"/>
              <w:bottom w:val="single" w:sz="4" w:space="0" w:color="auto"/>
            </w:tcBorders>
            <w:shd w:val="clear" w:color="auto" w:fill="auto"/>
          </w:tcPr>
          <w:p w14:paraId="03225301" w14:textId="77777777" w:rsidR="002F4A42" w:rsidRPr="0069766D" w:rsidRDefault="002F4A42" w:rsidP="00E4090E">
            <w:pPr>
              <w:pStyle w:val="Body"/>
              <w:keepNext/>
              <w:spacing w:before="20" w:after="20" w:line="240" w:lineRule="auto"/>
            </w:pPr>
            <w:r>
              <w:t>–</w:t>
            </w:r>
          </w:p>
        </w:tc>
        <w:tc>
          <w:tcPr>
            <w:tcW w:w="622" w:type="pct"/>
            <w:tcBorders>
              <w:top w:val="nil"/>
              <w:bottom w:val="single" w:sz="4" w:space="0" w:color="auto"/>
            </w:tcBorders>
            <w:shd w:val="clear" w:color="auto" w:fill="auto"/>
          </w:tcPr>
          <w:p w14:paraId="56D6FFA4" w14:textId="77777777" w:rsidR="002F4A42" w:rsidRPr="0069766D" w:rsidRDefault="002F4A42" w:rsidP="00E4090E">
            <w:pPr>
              <w:pStyle w:val="Body"/>
              <w:keepNext/>
              <w:spacing w:before="20" w:after="20" w:line="240" w:lineRule="auto"/>
            </w:pPr>
            <w:r>
              <w:t xml:space="preserve">2 </w:t>
            </w:r>
          </w:p>
        </w:tc>
      </w:tr>
      <w:tr w:rsidR="002F4A42" w:rsidRPr="0069766D" w14:paraId="0D25FD72" w14:textId="77777777" w:rsidTr="00523374">
        <w:tc>
          <w:tcPr>
            <w:tcW w:w="744" w:type="pct"/>
            <w:tcBorders>
              <w:top w:val="single" w:sz="4" w:space="0" w:color="auto"/>
              <w:bottom w:val="nil"/>
            </w:tcBorders>
            <w:shd w:val="clear" w:color="auto" w:fill="auto"/>
          </w:tcPr>
          <w:p w14:paraId="2F456970" w14:textId="77777777" w:rsidR="002F4A42" w:rsidRDefault="002F4A42" w:rsidP="00E4090E">
            <w:pPr>
              <w:pStyle w:val="Body"/>
              <w:keepNext/>
              <w:spacing w:before="20" w:after="20" w:line="240" w:lineRule="auto"/>
            </w:pPr>
            <w:r>
              <w:t>Fractured rock</w:t>
            </w:r>
          </w:p>
        </w:tc>
        <w:tc>
          <w:tcPr>
            <w:tcW w:w="610" w:type="pct"/>
            <w:tcBorders>
              <w:top w:val="single" w:sz="4" w:space="0" w:color="auto"/>
              <w:bottom w:val="nil"/>
            </w:tcBorders>
            <w:shd w:val="clear" w:color="auto" w:fill="auto"/>
          </w:tcPr>
          <w:p w14:paraId="14EAACDB" w14:textId="77777777" w:rsidR="002F4A42" w:rsidRDefault="002F4A42" w:rsidP="00E4090E">
            <w:pPr>
              <w:pStyle w:val="Body"/>
              <w:keepNext/>
              <w:spacing w:before="20" w:after="20" w:line="240" w:lineRule="auto"/>
            </w:pPr>
            <w:r>
              <w:t>high</w:t>
            </w:r>
          </w:p>
        </w:tc>
        <w:tc>
          <w:tcPr>
            <w:tcW w:w="1159" w:type="pct"/>
            <w:tcBorders>
              <w:top w:val="single" w:sz="4" w:space="0" w:color="auto"/>
              <w:bottom w:val="nil"/>
            </w:tcBorders>
            <w:shd w:val="clear" w:color="auto" w:fill="auto"/>
          </w:tcPr>
          <w:p w14:paraId="09F605C2" w14:textId="77777777" w:rsidR="002F4A42" w:rsidRDefault="002F4A42" w:rsidP="00E4090E">
            <w:pPr>
              <w:pStyle w:val="Body"/>
              <w:keepNext/>
              <w:spacing w:before="20" w:after="20" w:line="240" w:lineRule="auto"/>
            </w:pPr>
            <w:r>
              <w:t>any</w:t>
            </w:r>
          </w:p>
        </w:tc>
        <w:tc>
          <w:tcPr>
            <w:tcW w:w="621" w:type="pct"/>
            <w:tcBorders>
              <w:top w:val="single" w:sz="4" w:space="0" w:color="auto"/>
              <w:bottom w:val="nil"/>
            </w:tcBorders>
            <w:shd w:val="clear" w:color="auto" w:fill="auto"/>
          </w:tcPr>
          <w:p w14:paraId="3E479FCB" w14:textId="77777777" w:rsidR="002F4A42" w:rsidRPr="0069766D" w:rsidRDefault="002F4A42" w:rsidP="00E4090E">
            <w:pPr>
              <w:pStyle w:val="Body"/>
              <w:keepNext/>
              <w:spacing w:before="20" w:after="20" w:line="240" w:lineRule="auto"/>
            </w:pPr>
            <w:r>
              <w:t>10</w:t>
            </w:r>
          </w:p>
        </w:tc>
        <w:tc>
          <w:tcPr>
            <w:tcW w:w="621" w:type="pct"/>
            <w:tcBorders>
              <w:top w:val="single" w:sz="4" w:space="0" w:color="auto"/>
              <w:bottom w:val="nil"/>
            </w:tcBorders>
            <w:shd w:val="clear" w:color="auto" w:fill="auto"/>
          </w:tcPr>
          <w:p w14:paraId="5CCA110D" w14:textId="77777777" w:rsidR="002F4A42" w:rsidRPr="0069766D" w:rsidRDefault="002F4A42" w:rsidP="00E4090E">
            <w:pPr>
              <w:pStyle w:val="Body"/>
              <w:keepNext/>
              <w:spacing w:before="20" w:after="20" w:line="240" w:lineRule="auto"/>
            </w:pPr>
            <w:r>
              <w:t xml:space="preserve">2 </w:t>
            </w:r>
          </w:p>
        </w:tc>
        <w:tc>
          <w:tcPr>
            <w:tcW w:w="621" w:type="pct"/>
            <w:tcBorders>
              <w:top w:val="single" w:sz="4" w:space="0" w:color="auto"/>
              <w:bottom w:val="nil"/>
            </w:tcBorders>
            <w:shd w:val="clear" w:color="auto" w:fill="auto"/>
          </w:tcPr>
          <w:p w14:paraId="4EFD058D" w14:textId="77777777" w:rsidR="002F4A42" w:rsidRPr="0069766D" w:rsidRDefault="002F4A42" w:rsidP="00E4090E">
            <w:pPr>
              <w:pStyle w:val="Body"/>
              <w:keepNext/>
              <w:spacing w:before="20" w:after="20" w:line="240" w:lineRule="auto"/>
            </w:pPr>
            <w:r>
              <w:t>–</w:t>
            </w:r>
          </w:p>
        </w:tc>
        <w:tc>
          <w:tcPr>
            <w:tcW w:w="622" w:type="pct"/>
            <w:tcBorders>
              <w:top w:val="single" w:sz="4" w:space="0" w:color="auto"/>
              <w:bottom w:val="nil"/>
            </w:tcBorders>
            <w:shd w:val="clear" w:color="auto" w:fill="auto"/>
          </w:tcPr>
          <w:p w14:paraId="5BCAC64A" w14:textId="77777777" w:rsidR="002F4A42" w:rsidRPr="0069766D" w:rsidRDefault="002F4A42" w:rsidP="00E4090E">
            <w:pPr>
              <w:pStyle w:val="Body"/>
              <w:keepNext/>
              <w:spacing w:before="20" w:after="20" w:line="240" w:lineRule="auto"/>
            </w:pPr>
            <w:r>
              <w:t xml:space="preserve">2 </w:t>
            </w:r>
          </w:p>
        </w:tc>
      </w:tr>
      <w:tr w:rsidR="002F4A42" w:rsidRPr="0069766D" w14:paraId="00E0F809" w14:textId="77777777" w:rsidTr="00523374">
        <w:tc>
          <w:tcPr>
            <w:tcW w:w="744" w:type="pct"/>
            <w:tcBorders>
              <w:top w:val="nil"/>
            </w:tcBorders>
            <w:shd w:val="clear" w:color="auto" w:fill="auto"/>
          </w:tcPr>
          <w:p w14:paraId="0578BBDC" w14:textId="77777777" w:rsidR="002F4A42" w:rsidRPr="0069766D" w:rsidRDefault="002F4A42" w:rsidP="00E4090E">
            <w:pPr>
              <w:pStyle w:val="Body"/>
              <w:spacing w:before="20" w:after="20" w:line="240" w:lineRule="auto"/>
            </w:pPr>
          </w:p>
        </w:tc>
        <w:tc>
          <w:tcPr>
            <w:tcW w:w="610" w:type="pct"/>
            <w:tcBorders>
              <w:top w:val="nil"/>
            </w:tcBorders>
            <w:shd w:val="clear" w:color="auto" w:fill="auto"/>
          </w:tcPr>
          <w:p w14:paraId="03CB984E" w14:textId="77777777" w:rsidR="002F4A42" w:rsidRPr="0069766D" w:rsidRDefault="002F4A42" w:rsidP="00E4090E">
            <w:pPr>
              <w:pStyle w:val="Body"/>
              <w:spacing w:before="20" w:after="20" w:line="240" w:lineRule="auto"/>
            </w:pPr>
            <w:r>
              <w:t>low</w:t>
            </w:r>
          </w:p>
        </w:tc>
        <w:tc>
          <w:tcPr>
            <w:tcW w:w="1159" w:type="pct"/>
            <w:tcBorders>
              <w:top w:val="nil"/>
            </w:tcBorders>
            <w:shd w:val="clear" w:color="auto" w:fill="auto"/>
          </w:tcPr>
          <w:p w14:paraId="349E9059" w14:textId="77777777" w:rsidR="002F4A42" w:rsidRPr="0069766D" w:rsidRDefault="002F4A42" w:rsidP="00E4090E">
            <w:pPr>
              <w:pStyle w:val="Body"/>
              <w:spacing w:before="20" w:after="20" w:line="240" w:lineRule="auto"/>
            </w:pPr>
            <w:r>
              <w:t>any</w:t>
            </w:r>
          </w:p>
        </w:tc>
        <w:tc>
          <w:tcPr>
            <w:tcW w:w="621" w:type="pct"/>
            <w:tcBorders>
              <w:top w:val="nil"/>
            </w:tcBorders>
            <w:shd w:val="clear" w:color="auto" w:fill="auto"/>
          </w:tcPr>
          <w:p w14:paraId="42148005" w14:textId="77777777" w:rsidR="002F4A42" w:rsidRPr="0069766D" w:rsidRDefault="002F4A42" w:rsidP="00E4090E">
            <w:pPr>
              <w:pStyle w:val="Body"/>
              <w:spacing w:before="20" w:after="20" w:line="240" w:lineRule="auto"/>
            </w:pPr>
            <w:r>
              <w:t>10</w:t>
            </w:r>
          </w:p>
        </w:tc>
        <w:tc>
          <w:tcPr>
            <w:tcW w:w="621" w:type="pct"/>
            <w:tcBorders>
              <w:top w:val="nil"/>
            </w:tcBorders>
            <w:shd w:val="clear" w:color="auto" w:fill="auto"/>
          </w:tcPr>
          <w:p w14:paraId="278029EB" w14:textId="77777777" w:rsidR="002F4A42" w:rsidRPr="0069766D" w:rsidRDefault="002F4A42" w:rsidP="00E4090E">
            <w:pPr>
              <w:pStyle w:val="Body"/>
              <w:spacing w:before="20" w:after="20" w:line="240" w:lineRule="auto"/>
            </w:pPr>
            <w:r>
              <w:t xml:space="preserve">2 </w:t>
            </w:r>
          </w:p>
        </w:tc>
        <w:tc>
          <w:tcPr>
            <w:tcW w:w="621" w:type="pct"/>
            <w:tcBorders>
              <w:top w:val="nil"/>
            </w:tcBorders>
            <w:shd w:val="clear" w:color="auto" w:fill="auto"/>
          </w:tcPr>
          <w:p w14:paraId="7AD4D7A3" w14:textId="77777777" w:rsidR="002F4A42" w:rsidRPr="0069766D" w:rsidRDefault="002F4A42" w:rsidP="00E4090E">
            <w:pPr>
              <w:pStyle w:val="Body"/>
              <w:spacing w:before="20" w:after="20" w:line="240" w:lineRule="auto"/>
            </w:pPr>
            <w:r>
              <w:t>–</w:t>
            </w:r>
          </w:p>
        </w:tc>
        <w:tc>
          <w:tcPr>
            <w:tcW w:w="622" w:type="pct"/>
            <w:tcBorders>
              <w:top w:val="nil"/>
            </w:tcBorders>
            <w:shd w:val="clear" w:color="auto" w:fill="auto"/>
          </w:tcPr>
          <w:p w14:paraId="52617C0E" w14:textId="77777777" w:rsidR="002F4A42" w:rsidRPr="0069766D" w:rsidRDefault="002F4A42" w:rsidP="00E4090E">
            <w:pPr>
              <w:pStyle w:val="Body"/>
              <w:spacing w:before="20" w:after="20" w:line="240" w:lineRule="auto"/>
            </w:pPr>
            <w:r>
              <w:t xml:space="preserve">2 </w:t>
            </w:r>
          </w:p>
        </w:tc>
      </w:tr>
    </w:tbl>
    <w:p w14:paraId="519827AB" w14:textId="77777777" w:rsidR="002115B1" w:rsidRDefault="002115B1" w:rsidP="00534490">
      <w:pPr>
        <w:pStyle w:val="Body"/>
      </w:pPr>
    </w:p>
    <w:p w14:paraId="5536A004" w14:textId="47F06DDE" w:rsidR="00094691" w:rsidRDefault="0021052C" w:rsidP="00A45100">
      <w:pPr>
        <w:pStyle w:val="Heading3"/>
      </w:pPr>
      <w:bookmarkStart w:id="32" w:name="_Toc449696582"/>
      <w:bookmarkStart w:id="33" w:name="_Ref445734959"/>
      <w:r>
        <w:t>Sources of u</w:t>
      </w:r>
      <w:r w:rsidR="00094691">
        <w:t>ncertainty</w:t>
      </w:r>
      <w:bookmarkEnd w:id="32"/>
      <w:r w:rsidR="00094691">
        <w:t xml:space="preserve"> </w:t>
      </w:r>
      <w:bookmarkEnd w:id="33"/>
    </w:p>
    <w:p w14:paraId="0DD4D897" w14:textId="6105FB1C" w:rsidR="00235FE2" w:rsidRPr="00A45100" w:rsidRDefault="00235FE2" w:rsidP="00A45100">
      <w:pPr>
        <w:pStyle w:val="Body"/>
      </w:pPr>
      <w:r w:rsidRPr="00A45100">
        <w:t>Two types of uncertainties exist in groundwater flow and transport modelling: aleatory and epistemic uncertainty</w:t>
      </w:r>
      <w:r w:rsidR="00CA1433">
        <w:t xml:space="preserve"> </w:t>
      </w:r>
      <w:r w:rsidR="00CA1433" w:rsidRPr="0066529B">
        <w:t>(</w:t>
      </w:r>
      <w:r w:rsidR="00CA1433" w:rsidRPr="00B5586C">
        <w:t>Helton et al. 2008; Ross et al. 2009</w:t>
      </w:r>
      <w:r w:rsidR="00BC05E9" w:rsidRPr="00B5586C">
        <w:t>; Swiler et al. 2009</w:t>
      </w:r>
      <w:r w:rsidR="00CA1433" w:rsidRPr="0066529B">
        <w:t>)</w:t>
      </w:r>
      <w:r w:rsidRPr="00A45100">
        <w:t xml:space="preserve">. Epistemic uncertainty represents a lack of knowledge about the appropriate value to use for a quantity; this uncertainty can be reduced through increased understanding (research) or collecting more relevant data. </w:t>
      </w:r>
      <w:r w:rsidR="000055D3" w:rsidRPr="00C96A00">
        <w:t xml:space="preserve">The word epistemic derives from the Greek </w:t>
      </w:r>
      <w:r w:rsidR="000055D3" w:rsidRPr="00C96A00">
        <w:rPr>
          <w:i/>
        </w:rPr>
        <w:t>episteme</w:t>
      </w:r>
      <w:r w:rsidR="000055D3" w:rsidRPr="00C96A00">
        <w:t xml:space="preserve">, which means knowledge. </w:t>
      </w:r>
      <w:r w:rsidRPr="00A45100">
        <w:t>Aleatory uncertainty is characterised by inherent randomness or stochasticity of a system that cannot be reduced by further data collection.</w:t>
      </w:r>
      <w:r w:rsidR="000055D3">
        <w:t xml:space="preserve"> </w:t>
      </w:r>
      <w:r w:rsidR="000055D3" w:rsidRPr="00A45100">
        <w:t xml:space="preserve">The word aleatory derives from the Latin </w:t>
      </w:r>
      <w:r w:rsidR="000055D3" w:rsidRPr="00A45100">
        <w:rPr>
          <w:i/>
        </w:rPr>
        <w:t>alea</w:t>
      </w:r>
      <w:r w:rsidR="000055D3" w:rsidRPr="00A45100">
        <w:t>, which means the rolling of dice.</w:t>
      </w:r>
    </w:p>
    <w:p w14:paraId="07BA05F1" w14:textId="5D158ED7" w:rsidR="00235FE2" w:rsidRPr="00A45100" w:rsidRDefault="00235FE2" w:rsidP="00A45100">
      <w:pPr>
        <w:pStyle w:val="Body"/>
      </w:pPr>
      <w:r w:rsidRPr="00A45100">
        <w:t>The advantage of separating the uncertainties into aleatory and epistemic is that</w:t>
      </w:r>
      <w:r w:rsidR="00D1426C">
        <w:t xml:space="preserve"> </w:t>
      </w:r>
      <w:r w:rsidRPr="00A45100">
        <w:t>we thereby make clear which uncertainties can be reduced and which uncertainties are less prone to reduction</w:t>
      </w:r>
      <w:r w:rsidR="00D1426C">
        <w:t>.</w:t>
      </w:r>
      <w:r w:rsidRPr="00A45100">
        <w:t xml:space="preserve"> This categorization helps us in allocation of resources and in developing assessment models. Furthermore, better understanding of the categori</w:t>
      </w:r>
      <w:r w:rsidR="003A6133">
        <w:t>s</w:t>
      </w:r>
      <w:r w:rsidRPr="00A45100">
        <w:t>ation of uncertainties is essential in order to properly formulate risk problems (Der Kiureghian and Ditlevsen 2007).</w:t>
      </w:r>
    </w:p>
    <w:p w14:paraId="2B392A44" w14:textId="3D9B6E68" w:rsidR="00D1426C" w:rsidRDefault="00235FE2" w:rsidP="00A45100">
      <w:pPr>
        <w:pStyle w:val="Body"/>
      </w:pPr>
      <w:r w:rsidRPr="00A45100">
        <w:t xml:space="preserve">Epistemic uncertainty can be subdivided into parametric and structural (model) uncertainty (Srinivasan et al. 2007). Parametric uncertainty, for instance, reflects our partial knowledge about the appropriate value to use for the spatially averaged hydraulic conductivity </w:t>
      </w:r>
      <w:r w:rsidRPr="00A45100">
        <w:rPr>
          <w:i/>
        </w:rPr>
        <w:t>K</w:t>
      </w:r>
      <w:r w:rsidRPr="00A45100">
        <w:t xml:space="preserve"> in groundwater flow analysis; </w:t>
      </w:r>
      <w:r w:rsidRPr="00A45100">
        <w:rPr>
          <w:i/>
        </w:rPr>
        <w:t>K</w:t>
      </w:r>
      <w:r w:rsidRPr="00A45100">
        <w:t xml:space="preserve"> has, by definition, a single value but this single “effective” value can never be known with certainty. Parameter uncertainties are strictly epistemic because the uncertainty in the estimation decreases and may asymptotically vanish with increasing quantity and quality of the available observational data. Model (structural, conceptual) uncertainty in groundwater modelling manifests itself on a multiplicity of scales, ranging from regional scale, to field scale, to laboratory scale, to pore scale.</w:t>
      </w:r>
      <w:r w:rsidR="00D1426C">
        <w:t xml:space="preserve"> </w:t>
      </w:r>
      <w:r w:rsidR="00D1426C" w:rsidRPr="00A45100">
        <w:t>In groundwater modelling different conceptual models are typically based on different geological interpretations</w:t>
      </w:r>
      <w:r w:rsidR="00D1426C">
        <w:t xml:space="preserve"> </w:t>
      </w:r>
      <w:r w:rsidR="00D1426C" w:rsidRPr="00B5586C">
        <w:t>(Højberg and Refsgaard 2005</w:t>
      </w:r>
      <w:r w:rsidR="004C058F" w:rsidRPr="00B5586C">
        <w:t>; Rojas et al. 2010</w:t>
      </w:r>
      <w:r w:rsidR="00D1426C" w:rsidRPr="00B5586C">
        <w:t>)</w:t>
      </w:r>
      <w:r w:rsidR="004C058F" w:rsidRPr="00B5586C">
        <w:t>.</w:t>
      </w:r>
      <w:r w:rsidR="001F1841">
        <w:t xml:space="preserve"> </w:t>
      </w:r>
    </w:p>
    <w:p w14:paraId="31A434C4" w14:textId="1D0F5E22" w:rsidR="00A3206D" w:rsidRPr="00B5586C" w:rsidRDefault="001F1841" w:rsidP="00A45100">
      <w:pPr>
        <w:pStyle w:val="Body"/>
      </w:pPr>
      <w:r w:rsidRPr="001F1841">
        <w:t>Indeed, t</w:t>
      </w:r>
      <w:r w:rsidRPr="00A45100">
        <w:t xml:space="preserve">he backbone of the conceptual </w:t>
      </w:r>
      <w:r>
        <w:t xml:space="preserve">groundwater </w:t>
      </w:r>
      <w:r w:rsidRPr="00A45100">
        <w:t xml:space="preserve">model is a geological model consisting of a number of structural elements, typically derived from stratigraphical </w:t>
      </w:r>
      <w:r>
        <w:t>interpretation</w:t>
      </w:r>
      <w:r w:rsidRPr="00A45100">
        <w:t xml:space="preserve">, and a strategy for how to handle the geological heterogeneity </w:t>
      </w:r>
      <w:r w:rsidRPr="001F1841">
        <w:t>within such</w:t>
      </w:r>
      <w:r w:rsidRPr="00A45100">
        <w:t xml:space="preserve"> structural elements.</w:t>
      </w:r>
      <w:r>
        <w:t xml:space="preserve"> Gr</w:t>
      </w:r>
      <w:r w:rsidRPr="00A45100">
        <w:t xml:space="preserve">oundwater models </w:t>
      </w:r>
      <w:r>
        <w:t xml:space="preserve">typically </w:t>
      </w:r>
      <w:r w:rsidRPr="00A45100">
        <w:t>have been constructed on the basis of a single geological model structure with the assumed</w:t>
      </w:r>
      <w:r>
        <w:t xml:space="preserve"> </w:t>
      </w:r>
      <w:r w:rsidRPr="00A45100">
        <w:t>best possible geological representation of the unknown reality. A commonly used approach is then to assume the existence</w:t>
      </w:r>
      <w:r>
        <w:t xml:space="preserve"> </w:t>
      </w:r>
      <w:r w:rsidRPr="00A45100">
        <w:t>of so-called effective parameter values characterizing the large</w:t>
      </w:r>
      <w:r>
        <w:t>-</w:t>
      </w:r>
      <w:r w:rsidRPr="00A45100">
        <w:t xml:space="preserve">scale variation of the hydraulic properties, e.g., piece-wise constant values within the structural elements. These parameters are defined </w:t>
      </w:r>
      <w:r w:rsidR="00364563">
        <w:t>in such a way</w:t>
      </w:r>
      <w:r w:rsidRPr="00A45100">
        <w:t xml:space="preserve"> that</w:t>
      </w:r>
      <w:r w:rsidR="00364563">
        <w:t>,</w:t>
      </w:r>
      <w:r w:rsidRPr="00A45100">
        <w:t xml:space="preserve"> when optimized, </w:t>
      </w:r>
      <w:r w:rsidR="00364563">
        <w:t xml:space="preserve">they </w:t>
      </w:r>
      <w:r w:rsidRPr="00A45100">
        <w:t>are expected to reproduce the average behavio</w:t>
      </w:r>
      <w:r>
        <w:t>u</w:t>
      </w:r>
      <w:r w:rsidRPr="00A45100">
        <w:t>r of the heterogeneous properties within the structural elements.</w:t>
      </w:r>
      <w:r w:rsidR="00364563">
        <w:t xml:space="preserve"> </w:t>
      </w:r>
      <w:r w:rsidR="00BD096F">
        <w:t xml:space="preserve">Several studies have </w:t>
      </w:r>
      <w:r w:rsidR="00364563" w:rsidRPr="00A45100">
        <w:t>recognized that geological structural uncertainty often is the most important source of uncertainty</w:t>
      </w:r>
      <w:r w:rsidR="00364563">
        <w:t xml:space="preserve"> </w:t>
      </w:r>
      <w:r w:rsidR="00BD096F">
        <w:t>(</w:t>
      </w:r>
      <w:r w:rsidR="00A06DF9" w:rsidRPr="00B5586C">
        <w:t xml:space="preserve">Bredehoeft 2005; </w:t>
      </w:r>
      <w:r w:rsidR="00BD096F" w:rsidRPr="00B5586C">
        <w:t>Højberg and Refsgaard 2005; Refsgaard</w:t>
      </w:r>
      <w:r w:rsidR="00BD096F">
        <w:t xml:space="preserve"> et al. 2012)</w:t>
      </w:r>
      <w:r w:rsidR="00364563" w:rsidRPr="00A45100">
        <w:t xml:space="preserve">. The most </w:t>
      </w:r>
      <w:r w:rsidR="00A06DF9">
        <w:t>commonly</w:t>
      </w:r>
      <w:r w:rsidR="00A06DF9" w:rsidRPr="00A06DF9">
        <w:t xml:space="preserve"> used approach</w:t>
      </w:r>
      <w:r w:rsidR="00364563" w:rsidRPr="00A45100">
        <w:t xml:space="preserve"> to assess uncertainty of model predictions due to conceptual geological uncertainty is to </w:t>
      </w:r>
      <w:r w:rsidR="00A06DF9">
        <w:t>run</w:t>
      </w:r>
      <w:r w:rsidR="00364563" w:rsidRPr="00A45100">
        <w:t xml:space="preserve"> multiple geological models in a scenario</w:t>
      </w:r>
      <w:r w:rsidR="00A06DF9">
        <w:t xml:space="preserve"> modelling or multimodel</w:t>
      </w:r>
      <w:r w:rsidR="00364563" w:rsidRPr="00A45100">
        <w:t xml:space="preserve"> approach </w:t>
      </w:r>
      <w:r w:rsidR="004B41E2" w:rsidRPr="00B5586C">
        <w:t>(</w:t>
      </w:r>
      <w:r w:rsidR="00A06DF9" w:rsidRPr="00B5586C">
        <w:t>Neuman and Wierenga 2003; Rojas et al. 2010</w:t>
      </w:r>
      <w:r w:rsidR="004B41E2" w:rsidRPr="00B5586C">
        <w:t>; Troldborg et al. 2007)</w:t>
      </w:r>
      <w:r w:rsidR="00364563" w:rsidRPr="00A45100">
        <w:t>.</w:t>
      </w:r>
      <w:r w:rsidR="00A3206D">
        <w:t xml:space="preserve"> </w:t>
      </w:r>
      <w:r w:rsidR="00A3206D" w:rsidRPr="00A45100">
        <w:t xml:space="preserve">By running </w:t>
      </w:r>
      <w:r w:rsidR="00A3206D">
        <w:t xml:space="preserve">an </w:t>
      </w:r>
      <w:r w:rsidR="00A3206D" w:rsidRPr="00A45100">
        <w:t>ensemble of relatively simple computer models, each of which represents an alternative conceptualization of the same system</w:t>
      </w:r>
      <w:r w:rsidR="00A3206D">
        <w:t>, the conceptual uncertainty (or model structural error) is quantified</w:t>
      </w:r>
      <w:r w:rsidR="00A3206D" w:rsidRPr="00A45100">
        <w:t>.</w:t>
      </w:r>
    </w:p>
    <w:p w14:paraId="3506A543" w14:textId="719AEFCD" w:rsidR="009211F3" w:rsidRDefault="0034714F" w:rsidP="00A45100">
      <w:pPr>
        <w:pStyle w:val="Body"/>
      </w:pPr>
      <w:r w:rsidRPr="00A45100">
        <w:t>Højberg and Refsgaard (2005) analysed t</w:t>
      </w:r>
      <w:r w:rsidR="009211F3" w:rsidRPr="00A45100">
        <w:t xml:space="preserve">he importance of parameter uncertainty </w:t>
      </w:r>
      <w:r w:rsidRPr="00A45100">
        <w:t xml:space="preserve">relative to </w:t>
      </w:r>
      <w:r w:rsidR="009211F3" w:rsidRPr="00A45100">
        <w:t>conceptual geological uncertainty by construct</w:t>
      </w:r>
      <w:r w:rsidRPr="00A45100">
        <w:t>ing</w:t>
      </w:r>
      <w:r w:rsidR="009211F3" w:rsidRPr="00A45100">
        <w:t xml:space="preserve"> three alternative groundwater models on the basis of three different geological interpretations for </w:t>
      </w:r>
      <w:r w:rsidRPr="00A45100">
        <w:t>their</w:t>
      </w:r>
      <w:r w:rsidR="009211F3" w:rsidRPr="00A45100">
        <w:t xml:space="preserve"> study</w:t>
      </w:r>
      <w:r w:rsidRPr="00A45100">
        <w:t xml:space="preserve"> area in Denmark</w:t>
      </w:r>
      <w:r w:rsidR="009211F3" w:rsidRPr="00A45100">
        <w:t xml:space="preserve">. </w:t>
      </w:r>
      <w:r w:rsidRPr="00A45100">
        <w:t>I</w:t>
      </w:r>
      <w:r w:rsidR="009211F3" w:rsidRPr="00A45100">
        <w:t xml:space="preserve">nverse model calibrations against groundwater heads and streamflows </w:t>
      </w:r>
      <w:r w:rsidRPr="00A45100">
        <w:t xml:space="preserve">revealed a </w:t>
      </w:r>
      <w:r w:rsidR="009211F3" w:rsidRPr="00A45100">
        <w:t xml:space="preserve">similar performance by the three models. A </w:t>
      </w:r>
      <w:r w:rsidRPr="00A45100">
        <w:t xml:space="preserve">Monte Carlo based </w:t>
      </w:r>
      <w:r w:rsidR="009211F3" w:rsidRPr="00A45100">
        <w:t xml:space="preserve">parameter uncertainty analysis showed that the model parameter uncertainty was the dominating source of uncertainty for prediction of groundwater heads throughout the model area. </w:t>
      </w:r>
      <w:r w:rsidR="00D96A0C" w:rsidRPr="00A45100">
        <w:t>However,</w:t>
      </w:r>
      <w:r w:rsidR="009211F3" w:rsidRPr="00A45100">
        <w:t xml:space="preserve"> the results </w:t>
      </w:r>
      <w:r w:rsidR="003A385B" w:rsidRPr="00B70F2E">
        <w:t>illustrated</w:t>
      </w:r>
      <w:r w:rsidR="009211F3" w:rsidRPr="00A45100">
        <w:t xml:space="preserve"> that the conceptual model uncertainty became relatively more important for prediction of groundwater recharge and even more important for prediction of </w:t>
      </w:r>
      <w:r w:rsidR="00D96A0C" w:rsidRPr="00A45100">
        <w:t xml:space="preserve">chemical </w:t>
      </w:r>
      <w:r w:rsidR="009211F3" w:rsidRPr="00A45100">
        <w:t xml:space="preserve">concentrations in abstraction wells </w:t>
      </w:r>
      <w:r w:rsidRPr="00A45100">
        <w:t>(</w:t>
      </w:r>
      <w:r w:rsidRPr="00A45100">
        <w:fldChar w:fldCharType="begin"/>
      </w:r>
      <w:r w:rsidRPr="00A45100">
        <w:instrText xml:space="preserve"> REF _Ref445725545 \h  \* MERGEFORMAT </w:instrText>
      </w:r>
      <w:r w:rsidRPr="00A45100">
        <w:fldChar w:fldCharType="separate"/>
      </w:r>
      <w:r w:rsidR="00C52E30">
        <w:t>Figure 5</w:t>
      </w:r>
      <w:r w:rsidRPr="00A45100">
        <w:fldChar w:fldCharType="end"/>
      </w:r>
      <w:r w:rsidR="009211F3" w:rsidRPr="00A45100">
        <w:t xml:space="preserve">). Højberg and Refsgaard </w:t>
      </w:r>
      <w:r w:rsidRPr="00A45100">
        <w:t>(2005)</w:t>
      </w:r>
      <w:r w:rsidR="009211F3" w:rsidRPr="00A45100">
        <w:t xml:space="preserve"> concluded that conceptual geological uncertainty will be more dominating </w:t>
      </w:r>
      <w:r w:rsidR="00D96A0C" w:rsidRPr="00A45100">
        <w:t>than</w:t>
      </w:r>
      <w:r w:rsidR="009211F3" w:rsidRPr="00A45100">
        <w:t xml:space="preserve"> parameter uncertainty, the more the model predictions are extrapolations from the basis of model calibration</w:t>
      </w:r>
      <w:r w:rsidR="00D96A0C" w:rsidRPr="00A45100">
        <w:t xml:space="preserve"> (e.g. uncalibrated chemical velocities and concentrations)</w:t>
      </w:r>
      <w:r w:rsidR="009211F3" w:rsidRPr="00A45100">
        <w:t xml:space="preserve">. </w:t>
      </w:r>
    </w:p>
    <w:p w14:paraId="5B3512DA" w14:textId="77777777" w:rsidR="000055D3" w:rsidRPr="00C96A00" w:rsidRDefault="000055D3" w:rsidP="000055D3">
      <w:pPr>
        <w:pStyle w:val="Body"/>
      </w:pPr>
      <w:r w:rsidRPr="00C96A00">
        <w:t>Epistemic uncertainty may or may not be modelled probabilistically. Note that uncertainty about parameters in statistical models is almost invariably epistemic. Furthermore, the uncertainty in the data themselves is both aleatory, because they are subject to random sampling or observation errors, and epistemic, because there are always unknown parameters to learn about.</w:t>
      </w:r>
    </w:p>
    <w:p w14:paraId="1E2118DA" w14:textId="77777777" w:rsidR="000055D3" w:rsidRPr="00C96A00" w:rsidRDefault="000055D3" w:rsidP="000055D3">
      <w:pPr>
        <w:pStyle w:val="Body"/>
      </w:pPr>
      <w:r w:rsidRPr="00C96A00">
        <w:t>In addition to probability theory, several alternatives exist that permit a less detailed representation of epistemic uncertainty than is possible with probability theory. As a result, these alternatives may more appropriately characterize epistemic uncertainty in the presence of limited information than probability theory. In particular, the use of probability to characterize epistemic uncertainty in the presence of limited information can imply the presence of more knowledge than is actually present.</w:t>
      </w:r>
    </w:p>
    <w:p w14:paraId="2BAB06EA" w14:textId="77777777" w:rsidR="000055D3" w:rsidRPr="00D96A0C" w:rsidRDefault="000055D3" w:rsidP="00A45100">
      <w:pPr>
        <w:pStyle w:val="Body"/>
      </w:pPr>
    </w:p>
    <w:p w14:paraId="644B08F6" w14:textId="5CC4C55A" w:rsidR="00235FE2" w:rsidRPr="00A45100" w:rsidRDefault="00BD096F" w:rsidP="00A45100">
      <w:pPr>
        <w:pStyle w:val="Body"/>
      </w:pPr>
      <w:r w:rsidRPr="00BD096F">
        <w:rPr>
          <w:noProof/>
          <w:lang w:val="en-AU" w:eastAsia="en-AU"/>
        </w:rPr>
        <w:drawing>
          <wp:inline distT="0" distB="0" distL="0" distR="0" wp14:anchorId="79F87BE5" wp14:editId="4A830D15">
            <wp:extent cx="5727700" cy="4049395"/>
            <wp:effectExtent l="0" t="0" r="6350" b="8255"/>
            <wp:docPr id="132" name="Picture 132" descr="Charts of simulated model responses to geological interpretation"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7700" cy="4049395"/>
                    </a:xfrm>
                    <a:prstGeom prst="rect">
                      <a:avLst/>
                    </a:prstGeom>
                  </pic:spPr>
                </pic:pic>
              </a:graphicData>
            </a:graphic>
          </wp:inline>
        </w:drawing>
      </w:r>
    </w:p>
    <w:p w14:paraId="23D77C7C" w14:textId="03D3FF24" w:rsidR="00D96A0C" w:rsidRDefault="009211F3" w:rsidP="00D96A0C">
      <w:pPr>
        <w:pStyle w:val="Imagecaption"/>
      </w:pPr>
      <w:bookmarkStart w:id="34" w:name="_Ref445725545"/>
      <w:bookmarkStart w:id="35" w:name="_Toc449696295"/>
      <w:r>
        <w:t xml:space="preserve">Figure </w:t>
      </w:r>
      <w:r>
        <w:fldChar w:fldCharType="begin"/>
      </w:r>
      <w:r>
        <w:instrText xml:space="preserve"> SEQ Figure \* ARABIC </w:instrText>
      </w:r>
      <w:r>
        <w:fldChar w:fldCharType="separate"/>
      </w:r>
      <w:r w:rsidR="00C52E30">
        <w:rPr>
          <w:noProof/>
        </w:rPr>
        <w:t>5</w:t>
      </w:r>
      <w:r>
        <w:fldChar w:fldCharType="end"/>
      </w:r>
      <w:bookmarkEnd w:id="34"/>
      <w:r>
        <w:t xml:space="preserve"> </w:t>
      </w:r>
      <w:r w:rsidR="00D96A0C" w:rsidRPr="00EF7C60">
        <w:t>Simulated breakthrough in three selected abstraction wells for three models with different geological interpretations illustrated by the W–E cross-sections in the upper right corner. For each abstraction well the prediction uncertainty due to parameter uncertainty is shown with dashed lines for each of the three models</w:t>
      </w:r>
      <w:r w:rsidR="00D96A0C">
        <w:t xml:space="preserve"> (</w:t>
      </w:r>
      <w:r w:rsidR="00D96A0C" w:rsidRPr="00A45100">
        <w:t>Højberg and Refsgaard 2005</w:t>
      </w:r>
      <w:r w:rsidR="00D96A0C" w:rsidRPr="00BB3B37">
        <w:t>)</w:t>
      </w:r>
      <w:bookmarkEnd w:id="35"/>
    </w:p>
    <w:p w14:paraId="216E0109" w14:textId="5BEC434E" w:rsidR="009211F3" w:rsidRDefault="009211F3" w:rsidP="00A45100">
      <w:pPr>
        <w:pStyle w:val="Imagecaption"/>
      </w:pPr>
    </w:p>
    <w:p w14:paraId="79D29671" w14:textId="47057926" w:rsidR="00235FE2" w:rsidRPr="00A45100" w:rsidRDefault="00235FE2" w:rsidP="00A45100">
      <w:pPr>
        <w:pStyle w:val="Body"/>
      </w:pPr>
    </w:p>
    <w:p w14:paraId="1EE25B0C" w14:textId="18275454" w:rsidR="00235FE2" w:rsidRPr="00A45100" w:rsidRDefault="008E0DBF" w:rsidP="00A45100">
      <w:pPr>
        <w:pStyle w:val="Body"/>
      </w:pPr>
      <w:r w:rsidRPr="00C96A00">
        <w:t>The simplest way to propagate epistemic uncertainty is through interval analysis.</w:t>
      </w:r>
      <w:r>
        <w:t xml:space="preserve"> In interval analysis, it is assumed that nothing is known about the uncertain input variables except that they lie within certain intervals. That is, there is no particular structure on the possible values for the epistemic uncertain variables except that they lie within bounds. The problem of uncertainty propagation then becomes an interval analysis problem: given inputs that are defined within intervals, what is the corresponding interval on the outputs? A common approach to interval analysis is to sample from the uncertain interval inputs, and then take the maximum and minimum output values based on the sampling process as the estimate for the upper and lower output bounds. Usually a uniform distribution is assumed over the input intervals, although this is not necessary</w:t>
      </w:r>
      <w:r w:rsidR="00985BC9">
        <w:t>.</w:t>
      </w:r>
      <w:r>
        <w:t xml:space="preserve"> </w:t>
      </w:r>
      <w:r>
        <w:fldChar w:fldCharType="begin"/>
      </w:r>
      <w:r>
        <w:instrText xml:space="preserve"> REF _Ref445726535 \h </w:instrText>
      </w:r>
      <w:r>
        <w:fldChar w:fldCharType="separate"/>
      </w:r>
      <w:r w:rsidR="00C52E30">
        <w:t xml:space="preserve">Figure </w:t>
      </w:r>
      <w:r w:rsidR="00C52E30">
        <w:rPr>
          <w:noProof/>
        </w:rPr>
        <w:t>6</w:t>
      </w:r>
      <w:r>
        <w:fldChar w:fldCharType="end"/>
      </w:r>
      <w:r w:rsidR="00985BC9">
        <w:t xml:space="preserve"> shows how Monte Carlo sampling may be used to propagate epistemic uncertainty. The input distributions for the three model parameters </w:t>
      </w:r>
      <w:r w:rsidR="00263A75">
        <w:t xml:space="preserve">x </w:t>
      </w:r>
      <w:r w:rsidR="00985BC9">
        <w:t xml:space="preserve">are all represented by intervals, and so is the output. Five samples are taken from each parameter, and the simulation model is run five times with these sets of input, resulting in 5 realizations of the output y shown on the right. </w:t>
      </w:r>
      <w:r w:rsidR="00263A75">
        <w:t>Note, however, that</w:t>
      </w:r>
      <w:r w:rsidR="00985BC9">
        <w:t xml:space="preserve"> one must be careful not to interpret the result with any type of structure other than an interval on the output. </w:t>
      </w:r>
      <w:r w:rsidR="00263A75">
        <w:t>Furthermore</w:t>
      </w:r>
      <w:r w:rsidR="00985BC9">
        <w:t>, while sampling is easy to implement, it may underestimate the true output interval</w:t>
      </w:r>
      <w:r w:rsidR="00263A75">
        <w:t xml:space="preserve"> </w:t>
      </w:r>
      <w:r w:rsidR="00263A75" w:rsidRPr="00A45100">
        <w:t>(Swiler et al. 2009</w:t>
      </w:r>
      <w:r w:rsidR="00263A75">
        <w:t>)</w:t>
      </w:r>
      <w:r w:rsidR="00985BC9">
        <w:t>.</w:t>
      </w:r>
    </w:p>
    <w:p w14:paraId="6CCBA7B5" w14:textId="1ABCF327" w:rsidR="00235FE2" w:rsidRPr="00235FE2" w:rsidRDefault="00235FE2" w:rsidP="00235FE2">
      <w:pPr>
        <w:spacing w:after="0"/>
        <w:rPr>
          <w:rFonts w:ascii="Calibri" w:eastAsia="Times New Roman" w:hAnsi="Calibri" w:cs="Times New Roman"/>
          <w:color w:val="000000"/>
          <w:sz w:val="22"/>
          <w:szCs w:val="22"/>
          <w:lang w:val="en-AU" w:eastAsia="en-AU"/>
        </w:rPr>
      </w:pPr>
      <w:r w:rsidRPr="00235FE2">
        <w:rPr>
          <w:rFonts w:ascii="Calibri" w:eastAsia="Times New Roman" w:hAnsi="Calibri" w:cs="Times New Roman"/>
          <w:noProof/>
          <w:color w:val="000000"/>
          <w:sz w:val="22"/>
          <w:szCs w:val="22"/>
          <w:lang w:val="en-AU" w:eastAsia="en-AU"/>
        </w:rPr>
        <w:drawing>
          <wp:inline distT="0" distB="0" distL="0" distR="0" wp14:anchorId="56F330CE" wp14:editId="6E38276F">
            <wp:extent cx="5679887" cy="3456214"/>
            <wp:effectExtent l="0" t="0" r="0" b="0"/>
            <wp:docPr id="131" name="Picture 131" descr="Diagram of Monte Carlo sampling input and output"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ine generated alternative text:&#10;Input &#10;Intervals &#10;N samples of x &#10;Output &#10;Interval &#10;N realizations of y &#10;Simulation &#10;Model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99918" cy="3468403"/>
                    </a:xfrm>
                    <a:prstGeom prst="rect">
                      <a:avLst/>
                    </a:prstGeom>
                    <a:noFill/>
                    <a:ln>
                      <a:noFill/>
                    </a:ln>
                  </pic:spPr>
                </pic:pic>
              </a:graphicData>
            </a:graphic>
          </wp:inline>
        </w:drawing>
      </w:r>
    </w:p>
    <w:p w14:paraId="191ABD2A" w14:textId="40030B32" w:rsidR="00235FE2" w:rsidRPr="00A45100" w:rsidRDefault="000055D3" w:rsidP="00A45100">
      <w:pPr>
        <w:pStyle w:val="Imagecaption"/>
      </w:pPr>
      <w:bookmarkStart w:id="36" w:name="_Ref445726535"/>
      <w:bookmarkStart w:id="37" w:name="_Toc449696296"/>
      <w:r>
        <w:t xml:space="preserve">Figure </w:t>
      </w:r>
      <w:r>
        <w:fldChar w:fldCharType="begin"/>
      </w:r>
      <w:r>
        <w:instrText xml:space="preserve"> SEQ Figure \* ARABIC </w:instrText>
      </w:r>
      <w:r>
        <w:fldChar w:fldCharType="separate"/>
      </w:r>
      <w:r w:rsidR="00C52E30">
        <w:rPr>
          <w:noProof/>
        </w:rPr>
        <w:t>6</w:t>
      </w:r>
      <w:r>
        <w:fldChar w:fldCharType="end"/>
      </w:r>
      <w:bookmarkEnd w:id="36"/>
      <w:r>
        <w:t xml:space="preserve"> </w:t>
      </w:r>
      <w:r w:rsidR="00235FE2" w:rsidRPr="00A45100">
        <w:t>Monte Carlo sampling used for epistemic interval propagation (Swiler et al. 2009)</w:t>
      </w:r>
      <w:bookmarkEnd w:id="37"/>
    </w:p>
    <w:p w14:paraId="3B9DAE33" w14:textId="2BB3422B" w:rsidR="00235FE2" w:rsidRPr="00A45100" w:rsidRDefault="00235FE2" w:rsidP="00A45100">
      <w:pPr>
        <w:pStyle w:val="Body"/>
      </w:pPr>
    </w:p>
    <w:p w14:paraId="2B30AADA" w14:textId="029D4A6F" w:rsidR="00235FE2" w:rsidRPr="00B5586C" w:rsidRDefault="00235FE2" w:rsidP="00A45100">
      <w:pPr>
        <w:pStyle w:val="Body"/>
      </w:pPr>
      <w:r w:rsidRPr="00A45100">
        <w:t>A second way to propagate epistemic uncertainty is by using Dempster-Shafer or evidence theory</w:t>
      </w:r>
      <w:r w:rsidR="00C507D3">
        <w:t xml:space="preserve"> (</w:t>
      </w:r>
      <w:r w:rsidR="00AA3D7E" w:rsidRPr="00B5586C">
        <w:t xml:space="preserve">Helton et al. 2004; </w:t>
      </w:r>
      <w:r w:rsidR="00C507D3" w:rsidRPr="00B5586C">
        <w:t>Helton et al. 2008; Swiler et al. 2009</w:t>
      </w:r>
      <w:r w:rsidR="00C507D3">
        <w:t>)</w:t>
      </w:r>
      <w:r w:rsidRPr="00A45100">
        <w:t xml:space="preserve">. </w:t>
      </w:r>
      <w:r w:rsidR="00AA3D7E" w:rsidRPr="00A45100">
        <w:t>Evidence theory involves two specifications of likelihood, a belief and a plausibility.</w:t>
      </w:r>
      <w:r w:rsidR="00AA3D7E">
        <w:t xml:space="preserve"> </w:t>
      </w:r>
      <w:r w:rsidRPr="00A45100">
        <w:t xml:space="preserve">In Dempster-Shafer or evidence theory, the epistemic uncertain input variables are </w:t>
      </w:r>
      <w:r w:rsidR="003A385B" w:rsidRPr="00B70F2E">
        <w:t>modelled</w:t>
      </w:r>
      <w:r w:rsidRPr="00A45100">
        <w:t xml:space="preserve"> as sets of intervals</w:t>
      </w:r>
      <w:r w:rsidR="00D02017">
        <w:t>, and</w:t>
      </w:r>
      <w:r w:rsidR="00D02017" w:rsidRPr="00D604B9">
        <w:t xml:space="preserve"> each variable may be defined by one or more intervals. The user assigns a basic probability assignment (BPA) to each interval, indicating how likely it is that the uncertain input falls within the interval. The BPAs for a particular uncertain input variable must sum to one. The intervals may be overlapping, contiguous, or have gaps. Dempster-Shafer has two measures of uncertainty</w:t>
      </w:r>
      <w:r w:rsidR="004129D8">
        <w:t xml:space="preserve"> -</w:t>
      </w:r>
      <w:r w:rsidR="00D02017" w:rsidRPr="00D604B9">
        <w:t xml:space="preserve"> belief and plausibility. The intervals are propagated to calculate belief (a lower bound on a probability value that is consistent with the evidence) and plausibility (an upper bound on a probability value that is consistent with the evidence). Together, belief and plausibility define an interval-valued probability distribution, not a single probability distribution.</w:t>
      </w:r>
      <w:r w:rsidR="00D02017" w:rsidRPr="00B5586C">
        <w:t xml:space="preserve"> </w:t>
      </w:r>
      <w:r w:rsidRPr="00A45100">
        <w:t xml:space="preserve">The outcomes of an uncertainty analysis based on evidence theory can </w:t>
      </w:r>
      <w:r w:rsidR="00D02017" w:rsidRPr="00B5586C">
        <w:t xml:space="preserve">thus </w:t>
      </w:r>
      <w:r w:rsidRPr="00A45100">
        <w:t xml:space="preserve">be represented with </w:t>
      </w:r>
      <w:r w:rsidR="00C507D3" w:rsidRPr="00B5586C">
        <w:t>cumulative believe functions (CBFs),</w:t>
      </w:r>
      <w:r w:rsidRPr="00A45100">
        <w:t xml:space="preserve"> </w:t>
      </w:r>
      <w:r w:rsidR="00C507D3" w:rsidRPr="00B5586C">
        <w:t>cumulative complementary believe functions (CCBFs)</w:t>
      </w:r>
      <w:r w:rsidRPr="00A45100">
        <w:t xml:space="preserve">, </w:t>
      </w:r>
      <w:r w:rsidR="00C507D3" w:rsidRPr="00B5586C">
        <w:t xml:space="preserve">cumulative plausibility functions (CPFs), </w:t>
      </w:r>
      <w:r w:rsidRPr="00A45100">
        <w:t xml:space="preserve">and </w:t>
      </w:r>
      <w:r w:rsidR="00C507D3" w:rsidRPr="00B5586C">
        <w:t>cumulative complementary plausibility functions (CCPFs) (</w:t>
      </w:r>
      <w:r w:rsidR="002C17A0">
        <w:fldChar w:fldCharType="begin"/>
      </w:r>
      <w:r w:rsidR="002C17A0">
        <w:instrText xml:space="preserve"> REF _Ref488146346 \h </w:instrText>
      </w:r>
      <w:r w:rsidR="002C17A0">
        <w:fldChar w:fldCharType="separate"/>
      </w:r>
      <w:r w:rsidR="00C52E30">
        <w:t xml:space="preserve">Figure </w:t>
      </w:r>
      <w:r w:rsidR="00C52E30">
        <w:rPr>
          <w:noProof/>
        </w:rPr>
        <w:t>8</w:t>
      </w:r>
      <w:r w:rsidR="002C17A0">
        <w:fldChar w:fldCharType="end"/>
      </w:r>
      <w:r w:rsidR="00C507D3" w:rsidRPr="00B5586C">
        <w:t xml:space="preserve">). </w:t>
      </w:r>
      <w:r w:rsidR="00AF1B14" w:rsidRPr="00B5586C">
        <w:t xml:space="preserve">CBFs and CPFs </w:t>
      </w:r>
      <w:r w:rsidR="00D02E55" w:rsidRPr="00B5586C">
        <w:t>are analogues to cumulative d</w:t>
      </w:r>
      <w:r w:rsidR="004B327F" w:rsidRPr="00B5586C">
        <w:t>istribution</w:t>
      </w:r>
      <w:r w:rsidR="00D02E55" w:rsidRPr="00B5586C">
        <w:t xml:space="preserve"> functions (CDFs)</w:t>
      </w:r>
      <w:r w:rsidR="00F47576" w:rsidRPr="00B5586C">
        <w:t>;</w:t>
      </w:r>
      <w:r w:rsidR="00D02E55" w:rsidRPr="00B5586C">
        <w:t xml:space="preserve"> </w:t>
      </w:r>
      <w:r w:rsidR="00F47576" w:rsidRPr="00B5586C">
        <w:t>the latter</w:t>
      </w:r>
      <w:r w:rsidR="00095835" w:rsidRPr="00B5586C">
        <w:t xml:space="preserve"> </w:t>
      </w:r>
      <w:r w:rsidR="00AF1B14" w:rsidRPr="00B5586C">
        <w:t>represent probability of non-exceedance, i.e. Prob (</w:t>
      </w:r>
      <w:r w:rsidR="00D567F2" w:rsidRPr="00B5586C">
        <w:t>X</w:t>
      </w:r>
      <w:r w:rsidR="00AF1B14" w:rsidRPr="00B5586C">
        <w:t xml:space="preserve"> </w:t>
      </w:r>
      <w:r w:rsidR="00AF1B14" w:rsidRPr="00A45100">
        <w:t>≤</w:t>
      </w:r>
      <w:r w:rsidR="00AF1B14" w:rsidRPr="00B5586C">
        <w:t xml:space="preserve"> </w:t>
      </w:r>
      <w:r w:rsidR="00D567F2" w:rsidRPr="00B5586C">
        <w:t>x</w:t>
      </w:r>
      <w:r w:rsidR="00AF1B14" w:rsidRPr="00B5586C">
        <w:t>)</w:t>
      </w:r>
      <w:r w:rsidR="00D567F2" w:rsidRPr="00B5586C">
        <w:t xml:space="preserve">: it defines the fraction of density or probability for </w:t>
      </w:r>
      <w:r w:rsidR="00BD1D75" w:rsidRPr="00B5586C">
        <w:t xml:space="preserve">a </w:t>
      </w:r>
      <w:r w:rsidR="00D567F2" w:rsidRPr="00B5586C">
        <w:t>random variable X that falls below some particular value x</w:t>
      </w:r>
      <w:r w:rsidR="00192BF4" w:rsidRPr="00A45100">
        <w:t xml:space="preserve"> (</w:t>
      </w:r>
      <w:r w:rsidR="00192BF4" w:rsidRPr="00B5586C">
        <w:fldChar w:fldCharType="begin"/>
      </w:r>
      <w:r w:rsidR="00192BF4" w:rsidRPr="00B5586C">
        <w:instrText xml:space="preserve"> REF _Ref445732251 \h </w:instrText>
      </w:r>
      <w:r w:rsidR="00967E86">
        <w:instrText xml:space="preserve"> \* MERGEFORMAT </w:instrText>
      </w:r>
      <w:r w:rsidR="00192BF4" w:rsidRPr="00B5586C">
        <w:fldChar w:fldCharType="separate"/>
      </w:r>
      <w:r w:rsidR="00C52E30">
        <w:t>Figure 7</w:t>
      </w:r>
      <w:r w:rsidR="00192BF4" w:rsidRPr="00B5586C">
        <w:fldChar w:fldCharType="end"/>
      </w:r>
      <w:r w:rsidR="00192BF4" w:rsidRPr="00A45100">
        <w:t>)</w:t>
      </w:r>
      <w:r w:rsidR="00D567F2" w:rsidRPr="00B5586C">
        <w:t xml:space="preserve">. </w:t>
      </w:r>
      <w:r w:rsidR="00967E86" w:rsidRPr="00B5586C">
        <w:t xml:space="preserve">The CBF </w:t>
      </w:r>
      <w:r w:rsidR="00967E86" w:rsidRPr="00A45100">
        <w:t>can be viewed as the minimum</w:t>
      </w:r>
      <w:r w:rsidR="00967E86">
        <w:t xml:space="preserve"> </w:t>
      </w:r>
      <w:r w:rsidR="00967E86" w:rsidRPr="00A45100">
        <w:t>amount of likelihood that must be associated with</w:t>
      </w:r>
      <w:r w:rsidR="00967E86">
        <w:t xml:space="preserve"> an event; the CPF </w:t>
      </w:r>
      <w:r w:rsidR="00967E86" w:rsidRPr="00A45100">
        <w:t xml:space="preserve">can be viewed as the maximum amount of likelihood that could be associated with </w:t>
      </w:r>
      <w:r w:rsidR="00967E86">
        <w:t xml:space="preserve">an event. </w:t>
      </w:r>
      <w:r w:rsidR="00B42474" w:rsidRPr="00B5586C">
        <w:t xml:space="preserve">It can be shown that CBF (X) </w:t>
      </w:r>
      <w:r w:rsidR="00B42474" w:rsidRPr="00A45100">
        <w:t>≤</w:t>
      </w:r>
      <w:r w:rsidR="00B42474" w:rsidRPr="00B5586C">
        <w:t xml:space="preserve"> CDF (X) </w:t>
      </w:r>
      <w:r w:rsidR="00B42474" w:rsidRPr="00A45100">
        <w:t>≤</w:t>
      </w:r>
      <w:r w:rsidR="00B42474" w:rsidRPr="00B5586C">
        <w:t xml:space="preserve"> CPF (X) (Helton et al. </w:t>
      </w:r>
      <w:r w:rsidR="004D7747" w:rsidRPr="00B5586C">
        <w:t>2004</w:t>
      </w:r>
      <w:r w:rsidR="00B42474" w:rsidRPr="00B5586C">
        <w:t xml:space="preserve">). </w:t>
      </w:r>
      <w:r w:rsidR="00BD1D75" w:rsidRPr="00B5586C">
        <w:t>Conversely</w:t>
      </w:r>
      <w:r w:rsidR="00AF1B14" w:rsidRPr="00B5586C">
        <w:t xml:space="preserve">, CCBFs and CCPFs </w:t>
      </w:r>
      <w:r w:rsidR="00D02E55" w:rsidRPr="00B5586C">
        <w:t>are analogues to complementary cumulative d</w:t>
      </w:r>
      <w:r w:rsidR="004B327F" w:rsidRPr="00B5586C">
        <w:t>istribution</w:t>
      </w:r>
      <w:r w:rsidR="00D02E55" w:rsidRPr="00B5586C">
        <w:t xml:space="preserve"> functions (CCDFs), </w:t>
      </w:r>
      <w:r w:rsidR="00B42474" w:rsidRPr="00B5586C">
        <w:t xml:space="preserve">where the latter </w:t>
      </w:r>
      <w:r w:rsidR="00AF1B14" w:rsidRPr="00B5586C">
        <w:t>represent probability of exceedance, i.e. Prob (</w:t>
      </w:r>
      <w:r w:rsidR="00D567F2" w:rsidRPr="00B5586C">
        <w:t>X</w:t>
      </w:r>
      <w:r w:rsidR="00AF1B14" w:rsidRPr="00B5586C">
        <w:t xml:space="preserve"> </w:t>
      </w:r>
      <w:r w:rsidR="00F47576" w:rsidRPr="00B5586C">
        <w:t>&gt;</w:t>
      </w:r>
      <w:r w:rsidR="00AF1B14" w:rsidRPr="00B5586C">
        <w:t xml:space="preserve"> </w:t>
      </w:r>
      <w:r w:rsidR="00D567F2" w:rsidRPr="00B5586C">
        <w:t>x</w:t>
      </w:r>
      <w:r w:rsidR="00AF1B14" w:rsidRPr="00B5586C">
        <w:t>)</w:t>
      </w:r>
      <w:r w:rsidR="00BD1D75" w:rsidRPr="00B5586C">
        <w:t xml:space="preserve"> = 1 - Prob (</w:t>
      </w:r>
      <w:r w:rsidR="00BD1D75" w:rsidRPr="00A45100">
        <w:t>X</w:t>
      </w:r>
      <w:r w:rsidR="00BD1D75" w:rsidRPr="00B5586C">
        <w:t xml:space="preserve"> </w:t>
      </w:r>
      <w:r w:rsidR="00BD1D75" w:rsidRPr="00A45100">
        <w:t>≤</w:t>
      </w:r>
      <w:r w:rsidR="00BD1D75" w:rsidRPr="00B5586C">
        <w:t xml:space="preserve"> </w:t>
      </w:r>
      <w:r w:rsidR="00BD1D75" w:rsidRPr="00A45100">
        <w:t>x</w:t>
      </w:r>
      <w:r w:rsidR="00BD1D75" w:rsidRPr="00B5586C">
        <w:t>) (</w:t>
      </w:r>
      <w:r w:rsidR="00192BF4" w:rsidRPr="00B5586C">
        <w:fldChar w:fldCharType="begin"/>
      </w:r>
      <w:r w:rsidR="00192BF4" w:rsidRPr="00B5586C">
        <w:instrText xml:space="preserve"> REF _Ref445732251 \h </w:instrText>
      </w:r>
      <w:r w:rsidR="00967E86">
        <w:instrText xml:space="preserve"> \* MERGEFORMAT </w:instrText>
      </w:r>
      <w:r w:rsidR="00192BF4" w:rsidRPr="00B5586C">
        <w:fldChar w:fldCharType="separate"/>
      </w:r>
      <w:r w:rsidR="00C52E30">
        <w:t>Figure 7</w:t>
      </w:r>
      <w:r w:rsidR="00192BF4" w:rsidRPr="00B5586C">
        <w:fldChar w:fldCharType="end"/>
      </w:r>
      <w:r w:rsidR="00BD1D75" w:rsidRPr="00B5586C">
        <w:t>)</w:t>
      </w:r>
      <w:r w:rsidR="00AF1B14" w:rsidRPr="00B5586C">
        <w:t>.</w:t>
      </w:r>
      <w:r w:rsidR="00B42474" w:rsidRPr="00B5586C">
        <w:t xml:space="preserve"> It can be further shown that CCBF (X) </w:t>
      </w:r>
      <w:r w:rsidR="00B42474" w:rsidRPr="00A45100">
        <w:t>≤</w:t>
      </w:r>
      <w:r w:rsidR="00B42474" w:rsidRPr="00B5586C">
        <w:t xml:space="preserve"> CCDF (X) </w:t>
      </w:r>
      <w:r w:rsidR="00B42474" w:rsidRPr="00A45100">
        <w:t>≤</w:t>
      </w:r>
      <w:r w:rsidR="00B42474" w:rsidRPr="00B5586C">
        <w:t xml:space="preserve"> CCPF (X) (Helton et al. </w:t>
      </w:r>
      <w:r w:rsidR="004D7747" w:rsidRPr="00B5586C">
        <w:t>2004</w:t>
      </w:r>
      <w:r w:rsidR="00B42474" w:rsidRPr="00B5586C">
        <w:t>).</w:t>
      </w:r>
      <w:r w:rsidR="004B327F" w:rsidRPr="00B5586C">
        <w:t xml:space="preserve"> </w:t>
      </w:r>
    </w:p>
    <w:p w14:paraId="5CF34208" w14:textId="214A519E" w:rsidR="004B327F" w:rsidRPr="00A45100" w:rsidRDefault="004B327F" w:rsidP="00A45100">
      <w:pPr>
        <w:pStyle w:val="Body"/>
      </w:pPr>
      <w:r>
        <w:t>CCDFs</w:t>
      </w:r>
      <w:r w:rsidRPr="00A45100">
        <w:t xml:space="preserve"> are </w:t>
      </w:r>
      <w:r w:rsidR="00F75A3E">
        <w:t>commonly</w:t>
      </w:r>
      <w:r w:rsidRPr="00A45100">
        <w:t xml:space="preserve"> used to display the results of risk assessments for two</w:t>
      </w:r>
      <w:r>
        <w:t xml:space="preserve"> </w:t>
      </w:r>
      <w:r w:rsidRPr="00A45100">
        <w:t>reasons. First, CCDFs answer the question how likely is an outcome to be this large or larger, which is typically the question of interest in risk assessment. Second, CCDFs facilitate displaying small probabilities associated with large consequences.</w:t>
      </w:r>
    </w:p>
    <w:p w14:paraId="676F0890" w14:textId="2451B682" w:rsidR="00235FE2" w:rsidRDefault="00235FE2" w:rsidP="00A45100">
      <w:pPr>
        <w:pStyle w:val="Body"/>
      </w:pPr>
      <w:r w:rsidRPr="00A45100">
        <w:t xml:space="preserve">The main method for calculating Dempster-Shafer intervals is computationally very expensive. Indeed, the propagation of uncertainty representations with less internal structure than probability theory through a model to obtain the resultant uncertainty representations for model results can require more computation (i.e., model evaluations) than is the case when probability is used to represent uncertainty. Many hundreds of thousands of samples have to be taken over the space. </w:t>
      </w:r>
    </w:p>
    <w:p w14:paraId="66965D55" w14:textId="4432AC5C" w:rsidR="00192BF4" w:rsidRDefault="00192BF4" w:rsidP="00A45100">
      <w:pPr>
        <w:pStyle w:val="Body"/>
        <w:jc w:val="center"/>
      </w:pPr>
      <w:r w:rsidRPr="00192BF4">
        <w:rPr>
          <w:noProof/>
          <w:lang w:val="en-AU" w:eastAsia="en-AU"/>
        </w:rPr>
        <w:drawing>
          <wp:inline distT="0" distB="0" distL="0" distR="0" wp14:anchorId="670B0EB3" wp14:editId="48060E47">
            <wp:extent cx="3284250" cy="2826327"/>
            <wp:effectExtent l="0" t="0" r="0" b="0"/>
            <wp:docPr id="133" name="Picture 133" descr="Diagram of distribution functions"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97317" cy="2837572"/>
                    </a:xfrm>
                    <a:prstGeom prst="rect">
                      <a:avLst/>
                    </a:prstGeom>
                  </pic:spPr>
                </pic:pic>
              </a:graphicData>
            </a:graphic>
          </wp:inline>
        </w:drawing>
      </w:r>
    </w:p>
    <w:p w14:paraId="40A8C640" w14:textId="66415C8C" w:rsidR="00192BF4" w:rsidRPr="00A45100" w:rsidRDefault="00192BF4" w:rsidP="00A45100">
      <w:pPr>
        <w:pStyle w:val="Imagecaption"/>
        <w:rPr>
          <w:sz w:val="18"/>
          <w:szCs w:val="18"/>
        </w:rPr>
      </w:pPr>
      <w:bookmarkStart w:id="38" w:name="_Ref445732251"/>
      <w:bookmarkStart w:id="39" w:name="_Toc449696297"/>
      <w:r>
        <w:t xml:space="preserve">Figure </w:t>
      </w:r>
      <w:r>
        <w:fldChar w:fldCharType="begin"/>
      </w:r>
      <w:r>
        <w:instrText xml:space="preserve"> SEQ Figure \* ARABIC </w:instrText>
      </w:r>
      <w:r>
        <w:fldChar w:fldCharType="separate"/>
      </w:r>
      <w:r w:rsidR="00C52E30">
        <w:rPr>
          <w:noProof/>
        </w:rPr>
        <w:t>7</w:t>
      </w:r>
      <w:r>
        <w:fldChar w:fldCharType="end"/>
      </w:r>
      <w:bookmarkEnd w:id="38"/>
      <w:r>
        <w:t xml:space="preserve"> Cumulative distribution function (CDF) and complementary cumulative distribution function (CCDF) for variable </w:t>
      </w:r>
      <w:r>
        <w:rPr>
          <w:rFonts w:ascii="AdvPS6F0B" w:hAnsi="AdvPS6F0B" w:cs="AdvPS6F0B"/>
        </w:rPr>
        <w:t xml:space="preserve">v </w:t>
      </w:r>
      <w:r>
        <w:t>with a triangular distribution on [1, 10] and a mode at 7 (</w:t>
      </w:r>
      <w:r w:rsidRPr="00B5586C">
        <w:t>Helton et al. 2004).</w:t>
      </w:r>
      <w:bookmarkEnd w:id="39"/>
    </w:p>
    <w:p w14:paraId="29A867B0" w14:textId="6DD370D1" w:rsidR="00235FE2" w:rsidRPr="00A45100" w:rsidRDefault="00235FE2" w:rsidP="00A45100">
      <w:pPr>
        <w:pStyle w:val="Body"/>
      </w:pPr>
    </w:p>
    <w:p w14:paraId="175CCDF8" w14:textId="77777777" w:rsidR="00E53848" w:rsidRDefault="00235FE2" w:rsidP="00A45100">
      <w:pPr>
        <w:pStyle w:val="Body"/>
        <w:rPr>
          <w:sz w:val="14"/>
          <w:szCs w:val="14"/>
        </w:rPr>
      </w:pPr>
      <w:r w:rsidRPr="00A45100">
        <w:rPr>
          <w:noProof/>
          <w:lang w:val="en-AU" w:eastAsia="en-AU"/>
        </w:rPr>
        <w:drawing>
          <wp:inline distT="0" distB="0" distL="0" distR="0" wp14:anchorId="4AA431AB" wp14:editId="6C9FDD20">
            <wp:extent cx="5720443" cy="2429048"/>
            <wp:effectExtent l="0" t="0" r="0" b="9525"/>
            <wp:docPr id="130" name="Picture 130" descr="Chart of cumulative plausibility and belief functions"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hine generated alternative text:&#10;VI &#10;X &#10;VI &#10;o. &#10;o. &#10;o. &#10;o. &#10;o. &#10;o. &#10;9 &#10;8 &#10;7 &#10;6 &#10;4 &#10;3 &#10;2 &#10;O &#10;Frame 2a &#10;5 &#10;CSF &#10;7 &#10;8 &#10;9 &#10;10 &#10;X &#10;o. &#10;o. &#10;o. &#10;o. &#10;o. &#10;o. &#10;o. &#10;9 &#10;8 &#10;7 &#10;6 &#10;4 &#10;3 &#10;2 &#10;o &#10;1 &#10;2 &#10;CCBF &#10;CCPF &#10;Frame 2b &#10;1 &#10;2 &#10;CPF &#10;4 &#10;8 &#10;9 &#10;10 &#10;3 &#10;6 &#10;5 &#10;6 &#10;7 &#10;3 &#10;4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7563" cy="2440564"/>
                    </a:xfrm>
                    <a:prstGeom prst="rect">
                      <a:avLst/>
                    </a:prstGeom>
                    <a:noFill/>
                    <a:ln>
                      <a:noFill/>
                    </a:ln>
                  </pic:spPr>
                </pic:pic>
              </a:graphicData>
            </a:graphic>
          </wp:inline>
        </w:drawing>
      </w:r>
    </w:p>
    <w:p w14:paraId="1432D793" w14:textId="639BE8BA" w:rsidR="004162F2" w:rsidRPr="00A45100" w:rsidRDefault="00E53848" w:rsidP="00A45100">
      <w:pPr>
        <w:pStyle w:val="Imagecaption"/>
        <w:rPr>
          <w:sz w:val="18"/>
          <w:szCs w:val="18"/>
        </w:rPr>
      </w:pPr>
      <w:bookmarkStart w:id="40" w:name="_Ref488146346"/>
      <w:bookmarkStart w:id="41" w:name="_Toc449696298"/>
      <w:r>
        <w:t xml:space="preserve">Figure </w:t>
      </w:r>
      <w:r>
        <w:fldChar w:fldCharType="begin"/>
      </w:r>
      <w:r>
        <w:instrText xml:space="preserve"> SEQ Figure \* ARABIC </w:instrText>
      </w:r>
      <w:r>
        <w:fldChar w:fldCharType="separate"/>
      </w:r>
      <w:r w:rsidR="00C52E30">
        <w:rPr>
          <w:noProof/>
        </w:rPr>
        <w:t>8</w:t>
      </w:r>
      <w:r>
        <w:fldChar w:fldCharType="end"/>
      </w:r>
      <w:bookmarkEnd w:id="40"/>
      <w:r>
        <w:t xml:space="preserve"> </w:t>
      </w:r>
      <w:r w:rsidR="004162F2" w:rsidRPr="00A45100">
        <w:t>Plot of cumulative plausibility function (CPF), cumulative believe function (CBF), cumulative complementary plausibility function (CCPF) and cumulative complementary believe function (CCBF) (Helton et al. 2008)</w:t>
      </w:r>
      <w:r w:rsidR="004162F2">
        <w:t>.</w:t>
      </w:r>
      <w:bookmarkEnd w:id="41"/>
    </w:p>
    <w:p w14:paraId="1B12E7A5" w14:textId="5D35E05D" w:rsidR="00235FE2" w:rsidRPr="00A45100" w:rsidRDefault="00235FE2" w:rsidP="00A45100">
      <w:pPr>
        <w:pStyle w:val="Imagecaption"/>
        <w:rPr>
          <w:sz w:val="18"/>
          <w:szCs w:val="18"/>
        </w:rPr>
      </w:pPr>
    </w:p>
    <w:p w14:paraId="1D4251D3" w14:textId="0E6B2C35" w:rsidR="00D10C26" w:rsidRPr="00A45100" w:rsidRDefault="00235FE2" w:rsidP="00A45100">
      <w:pPr>
        <w:pStyle w:val="Body"/>
      </w:pPr>
      <w:r w:rsidRPr="00A45100">
        <w:t xml:space="preserve">Aleatory uncertainties are usually </w:t>
      </w:r>
      <w:r w:rsidR="003D0503" w:rsidRPr="00B70F2E">
        <w:t>modelled</w:t>
      </w:r>
      <w:r w:rsidRPr="00A45100">
        <w:t xml:space="preserve"> with probability distributions (CDFs or CCDFs). Epistemic uncertainty leads to distributions of these functions. In other words, the outcome is a probabilistic characterization of the epistemic uncertainty associated with families of CDFs and CCDFs, which in turn are probabilistic characterizations of aleatory uncertainty.</w:t>
      </w:r>
      <w:r w:rsidR="00D10C26">
        <w:t xml:space="preserve"> </w:t>
      </w:r>
      <w:r w:rsidR="00D10C26">
        <w:fldChar w:fldCharType="begin"/>
      </w:r>
      <w:r w:rsidR="00D10C26">
        <w:instrText xml:space="preserve"> REF _Ref445734452 \h </w:instrText>
      </w:r>
      <w:r w:rsidR="00D10C26">
        <w:fldChar w:fldCharType="separate"/>
      </w:r>
      <w:r w:rsidR="00C52E30">
        <w:t xml:space="preserve">Figure </w:t>
      </w:r>
      <w:r w:rsidR="00C52E30">
        <w:rPr>
          <w:noProof/>
        </w:rPr>
        <w:t>9</w:t>
      </w:r>
      <w:r w:rsidR="00D10C26">
        <w:fldChar w:fldCharType="end"/>
      </w:r>
      <w:r w:rsidR="00D10C26">
        <w:t xml:space="preserve"> shows a Monte Carlo sampling approach that is often used to propagate aleatory uncertainty. In this case, </w:t>
      </w:r>
      <w:r w:rsidR="00D10C26" w:rsidRPr="00D10C26">
        <w:t>one can interpret the resulting output samples probabilistically and fit an appropriate distribution.</w:t>
      </w:r>
    </w:p>
    <w:p w14:paraId="154D12A5" w14:textId="20BF4297" w:rsidR="00235FE2" w:rsidRPr="00A45100" w:rsidRDefault="00235FE2" w:rsidP="00A45100">
      <w:pPr>
        <w:pStyle w:val="Body"/>
      </w:pPr>
      <w:r w:rsidRPr="00A45100">
        <w:t xml:space="preserve">Aleatory uncertainty is present in almost all data that we collect, due to random variability between the members of a population that is being sampled from, or to random measurement errors. The results of performance and risk analyses for complex systems are usually presented as CDFs and CCDFs that summarize the effects of aleatory uncertainty. In turn, the presence of epistemic uncertainty results in many possible values for these CDFs and CCDFs. </w:t>
      </w:r>
    </w:p>
    <w:p w14:paraId="515A5A0D" w14:textId="5D2C6974" w:rsidR="00235FE2" w:rsidRPr="00A45100" w:rsidRDefault="00235FE2" w:rsidP="00A45100">
      <w:pPr>
        <w:pStyle w:val="Body"/>
      </w:pPr>
      <w:r w:rsidRPr="00A45100">
        <w:t>  </w:t>
      </w:r>
      <w:r w:rsidRPr="00A45100">
        <w:rPr>
          <w:noProof/>
          <w:lang w:val="en-AU" w:eastAsia="en-AU"/>
        </w:rPr>
        <w:drawing>
          <wp:inline distT="0" distB="0" distL="0" distR="0" wp14:anchorId="18123701" wp14:editId="7C11DEA9">
            <wp:extent cx="4716158" cy="2676525"/>
            <wp:effectExtent l="0" t="0" r="8255" b="0"/>
            <wp:docPr id="129" name="Picture 129" descr="Machine generated alternative text:&#10;Input &#10;Distributions &#10;N samples of x &#10;Simulation &#10;Model &#10;Output &#10;Distribution &#10;N realizations of 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hine generated alternative text:&#10;Input &#10;Distributions &#10;N samples of x &#10;Simulation &#10;Model &#10;Output &#10;Distribution &#10;N realizations of y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41511" cy="2690913"/>
                    </a:xfrm>
                    <a:prstGeom prst="rect">
                      <a:avLst/>
                    </a:prstGeom>
                    <a:noFill/>
                    <a:ln>
                      <a:noFill/>
                    </a:ln>
                  </pic:spPr>
                </pic:pic>
              </a:graphicData>
            </a:graphic>
          </wp:inline>
        </w:drawing>
      </w:r>
    </w:p>
    <w:p w14:paraId="5A88834A" w14:textId="33A8488F" w:rsidR="00235FE2" w:rsidRPr="00A45100" w:rsidRDefault="00235FE2" w:rsidP="00A45100">
      <w:pPr>
        <w:pStyle w:val="Imagecaption"/>
      </w:pPr>
      <w:r w:rsidRPr="00A45100">
        <w:t> </w:t>
      </w:r>
      <w:bookmarkStart w:id="42" w:name="_Ref445734452"/>
      <w:bookmarkStart w:id="43" w:name="_Toc449696299"/>
      <w:r w:rsidR="00C421BC">
        <w:t xml:space="preserve">Figure </w:t>
      </w:r>
      <w:r w:rsidR="00C421BC">
        <w:fldChar w:fldCharType="begin"/>
      </w:r>
      <w:r w:rsidR="00C421BC">
        <w:instrText xml:space="preserve"> SEQ Figure \* ARABIC </w:instrText>
      </w:r>
      <w:r w:rsidR="00C421BC">
        <w:fldChar w:fldCharType="separate"/>
      </w:r>
      <w:r w:rsidR="00C52E30">
        <w:rPr>
          <w:noProof/>
        </w:rPr>
        <w:t>9</w:t>
      </w:r>
      <w:r w:rsidR="00C421BC">
        <w:fldChar w:fldCharType="end"/>
      </w:r>
      <w:bookmarkEnd w:id="42"/>
      <w:r w:rsidR="00C421BC">
        <w:t xml:space="preserve"> </w:t>
      </w:r>
      <w:r w:rsidRPr="00A45100">
        <w:t>Monte Carlo sampling used for aleatory uncertainty propagation (Swiler et al. 2009)</w:t>
      </w:r>
      <w:bookmarkEnd w:id="43"/>
    </w:p>
    <w:p w14:paraId="384C86DB" w14:textId="1A4B14BF" w:rsidR="00235FE2" w:rsidRPr="00A45100" w:rsidRDefault="00235FE2" w:rsidP="00A45100">
      <w:pPr>
        <w:pStyle w:val="Body"/>
      </w:pPr>
    </w:p>
    <w:p w14:paraId="28353C18" w14:textId="2552911F" w:rsidR="00235FE2" w:rsidRDefault="00DC3D8B" w:rsidP="00A45100">
      <w:pPr>
        <w:pStyle w:val="Heading3"/>
      </w:pPr>
      <w:bookmarkStart w:id="44" w:name="_Toc449696583"/>
      <w:r>
        <w:t>Addressing uncertainty in groundwater models</w:t>
      </w:r>
      <w:bookmarkEnd w:id="44"/>
    </w:p>
    <w:p w14:paraId="430ECC61" w14:textId="482D6AA1" w:rsidR="009A2E95" w:rsidRDefault="00423B31" w:rsidP="002611C1">
      <w:pPr>
        <w:pStyle w:val="Body"/>
      </w:pPr>
      <w:r w:rsidRPr="002611C1">
        <w:t xml:space="preserve">In discussing uncertainty in the current report, the focus will be on </w:t>
      </w:r>
      <w:r w:rsidR="00ED693F">
        <w:t xml:space="preserve">structural </w:t>
      </w:r>
      <w:r w:rsidRPr="002611C1">
        <w:t>and parameter uncertainty.</w:t>
      </w:r>
      <w:r w:rsidR="00F4742C" w:rsidRPr="002611C1">
        <w:t xml:space="preserve"> </w:t>
      </w:r>
      <w:r w:rsidR="0006032B" w:rsidRPr="002611C1">
        <w:t xml:space="preserve">Uncertainties </w:t>
      </w:r>
      <w:r w:rsidR="00454C42">
        <w:t>i</w:t>
      </w:r>
      <w:r w:rsidR="0006032B" w:rsidRPr="002611C1">
        <w:t>n conceptual and numerical models are managed with specific procedures when selecting the models, datasets and computer codes in the impact assessments</w:t>
      </w:r>
      <w:r w:rsidR="00DC3D8B">
        <w:t xml:space="preserve"> (</w:t>
      </w:r>
      <w:r w:rsidR="00BD0748">
        <w:t>S</w:t>
      </w:r>
      <w:r w:rsidR="00DC3D8B">
        <w:t xml:space="preserve">ection </w:t>
      </w:r>
      <w:r w:rsidR="00DC3D8B">
        <w:fldChar w:fldCharType="begin"/>
      </w:r>
      <w:r w:rsidR="00DC3D8B">
        <w:instrText xml:space="preserve"> REF _Ref445734959 \r \h </w:instrText>
      </w:r>
      <w:r w:rsidR="00DC3D8B">
        <w:fldChar w:fldCharType="separate"/>
      </w:r>
      <w:r w:rsidR="00C52E30">
        <w:t>1.2.3</w:t>
      </w:r>
      <w:r w:rsidR="00DC3D8B">
        <w:fldChar w:fldCharType="end"/>
      </w:r>
      <w:r w:rsidR="00DC3D8B">
        <w:t>)</w:t>
      </w:r>
      <w:r w:rsidR="0006032B" w:rsidRPr="002611C1">
        <w:t xml:space="preserve">. </w:t>
      </w:r>
      <w:r w:rsidR="00DC3D8B">
        <w:t>Furthermore, m</w:t>
      </w:r>
      <w:r w:rsidR="0006032B" w:rsidRPr="002611C1">
        <w:t xml:space="preserve">odels should be fit for purpose. </w:t>
      </w:r>
      <w:r w:rsidR="00D72C22">
        <w:t>The s</w:t>
      </w:r>
      <w:r w:rsidR="0006032B" w:rsidRPr="002611C1">
        <w:t>election of datasets (including input parameter values) is dependent on the mode of analysis, and whether deterministic or stochastic approaches are required. The most common approach has been deterministic assessments, whereby a so</w:t>
      </w:r>
      <w:r w:rsidR="0006032B" w:rsidRPr="002611C1">
        <w:noBreakHyphen/>
        <w:t>called ‘best estimate value’, which represents the analyst’s or expert’s best judgement of what the (realistic) value of a given parameter should be under the conditions and assumptions of the scenario or assessment case, is selected</w:t>
      </w:r>
      <w:r w:rsidR="00DC3D8B">
        <w:t xml:space="preserve"> (Mallants et al. 2009)</w:t>
      </w:r>
      <w:r w:rsidR="0006032B" w:rsidRPr="002611C1">
        <w:t xml:space="preserve">. Then, in addition, a ‘high-end estimate’ might be defined that represents a possible value, either higher or lower, but tending towards a value of the parameter that will have the effect of causing an overestimate of the impact, </w:t>
      </w:r>
      <w:r w:rsidR="00AA5ABA">
        <w:t xml:space="preserve">e.g., </w:t>
      </w:r>
      <w:r w:rsidR="0006032B" w:rsidRPr="002611C1">
        <w:t xml:space="preserve">a </w:t>
      </w:r>
      <w:r w:rsidR="00440EA6" w:rsidRPr="002611C1">
        <w:t>higher hydraulic conductivity of an aquitard or a higher depressurisation boundary conditions</w:t>
      </w:r>
      <w:r w:rsidR="00F4742C" w:rsidRPr="002611C1">
        <w:t>.</w:t>
      </w:r>
    </w:p>
    <w:p w14:paraId="29C376C3" w14:textId="77777777" w:rsidR="009A2E95" w:rsidRPr="002611C1" w:rsidRDefault="00F4742C" w:rsidP="002611C1">
      <w:pPr>
        <w:pStyle w:val="Body"/>
      </w:pPr>
      <w:r w:rsidRPr="002611C1">
        <w:t>In a</w:t>
      </w:r>
      <w:r w:rsidR="002B671B" w:rsidRPr="002611C1">
        <w:t xml:space="preserve"> stochastic</w:t>
      </w:r>
      <w:r w:rsidRPr="002611C1">
        <w:t xml:space="preserve"> analysis, frequency distributions or probability density functions (PDFs), or ranges of input parameters, need to be defined. If the aim is to investigate sensitivity, then often uniform or log</w:t>
      </w:r>
      <w:r w:rsidRPr="002611C1">
        <w:noBreakHyphen/>
        <w:t>uniform PDFs can be defined that span the possible range of a parameter value. If, however, an estimate of risk and uncertainty analys</w:t>
      </w:r>
      <w:r w:rsidR="0006032B" w:rsidRPr="002611C1">
        <w:t>is is required, then greater attention needs to be given to defining the limits and form of the PDF to represent the best available knowledge of the key input parameters (those parameters that have been identified through judgement and the results of sensitivity analysis).</w:t>
      </w:r>
    </w:p>
    <w:p w14:paraId="4AAFE24B" w14:textId="528856BF" w:rsidR="008C0765" w:rsidRDefault="00C9614E" w:rsidP="00BB3766">
      <w:pPr>
        <w:pStyle w:val="Body"/>
      </w:pPr>
      <w:r>
        <w:t>Data or p</w:t>
      </w:r>
      <w:r w:rsidR="00534490" w:rsidRPr="002611C1">
        <w:t xml:space="preserve">arameter uncertainty can be ascribed to a number of sources. Firstly, field and laboratory methods used to measure hydraulic properties directly are generally subject to uncertainty. </w:t>
      </w:r>
      <w:r w:rsidR="00367DD7" w:rsidRPr="002611C1">
        <w:t>While f</w:t>
      </w:r>
      <w:r w:rsidR="00534490" w:rsidRPr="002611C1">
        <w:t xml:space="preserve">ield-based observations </w:t>
      </w:r>
      <w:r w:rsidR="00367DD7" w:rsidRPr="002611C1">
        <w:t xml:space="preserve">may be conducted at a proper spatial scale to capture a reasonable amount of spatial heterogeneity of the subsurface, they </w:t>
      </w:r>
      <w:r w:rsidR="00534490" w:rsidRPr="002611C1">
        <w:t xml:space="preserve">are subject to the inability to control experimental conditions perfectly. </w:t>
      </w:r>
      <w:r w:rsidR="00367DD7" w:rsidRPr="002611C1">
        <w:t>Both initial and boundary conditions can be better controlled for l</w:t>
      </w:r>
      <w:r w:rsidR="00534490" w:rsidRPr="002611C1">
        <w:t>aboratory-based observations</w:t>
      </w:r>
      <w:r w:rsidR="00367DD7" w:rsidRPr="002611C1">
        <w:t>,</w:t>
      </w:r>
      <w:r w:rsidR="00534490" w:rsidRPr="002611C1">
        <w:t xml:space="preserve"> </w:t>
      </w:r>
      <w:r w:rsidR="00367DD7" w:rsidRPr="002611C1">
        <w:t xml:space="preserve">but such measurements </w:t>
      </w:r>
      <w:r w:rsidR="00534490" w:rsidRPr="002611C1">
        <w:t>are subject to the inability to replicate in-s</w:t>
      </w:r>
      <w:r w:rsidR="00891B08" w:rsidRPr="002611C1">
        <w:t>i</w:t>
      </w:r>
      <w:r w:rsidR="00534490" w:rsidRPr="002611C1">
        <w:t>tu conditions perfectly</w:t>
      </w:r>
      <w:r w:rsidR="00367DD7" w:rsidRPr="002611C1">
        <w:t xml:space="preserve"> and generally are conducted on small core samples that capture only part of the spatial heterogeneity</w:t>
      </w:r>
      <w:r w:rsidR="0057477F">
        <w:t xml:space="preserve"> (see further in Section </w:t>
      </w:r>
      <w:r w:rsidR="00084CDD">
        <w:fldChar w:fldCharType="begin"/>
      </w:r>
      <w:r w:rsidR="0057477F">
        <w:instrText xml:space="preserve"> REF _Ref433483242 \r \h </w:instrText>
      </w:r>
      <w:r w:rsidR="00084CDD">
        <w:fldChar w:fldCharType="separate"/>
      </w:r>
      <w:r w:rsidR="00C52E30">
        <w:t>3.2</w:t>
      </w:r>
      <w:r w:rsidR="00084CDD">
        <w:fldChar w:fldCharType="end"/>
      </w:r>
      <w:r w:rsidR="0057477F">
        <w:t>)</w:t>
      </w:r>
      <w:r w:rsidR="00534490" w:rsidRPr="002611C1">
        <w:t xml:space="preserve">. Secondly, </w:t>
      </w:r>
      <w:r w:rsidR="00891B08" w:rsidRPr="002611C1">
        <w:t xml:space="preserve">when field or laboratory methods are used to </w:t>
      </w:r>
      <w:r w:rsidR="0057477F">
        <w:t>estimate</w:t>
      </w:r>
      <w:r w:rsidR="00891B08" w:rsidRPr="002611C1">
        <w:t xml:space="preserve"> hydraulic properties indirectly</w:t>
      </w:r>
      <w:r w:rsidR="00504DA7" w:rsidRPr="002611C1">
        <w:t xml:space="preserve"> by relating the prime variable of interest (</w:t>
      </w:r>
      <w:r w:rsidR="00AA5ABA">
        <w:t xml:space="preserve">e.g., </w:t>
      </w:r>
      <w:r w:rsidR="00504DA7" w:rsidRPr="002611C1">
        <w:t>hydraulic conductivity) to more easy to measure formation properties (</w:t>
      </w:r>
      <w:r w:rsidR="00AA5ABA">
        <w:t xml:space="preserve">e.g., </w:t>
      </w:r>
      <w:r w:rsidR="00504DA7" w:rsidRPr="002611C1">
        <w:t>porosity, grain size distribution, electrical or magnetic properties)</w:t>
      </w:r>
      <w:r w:rsidR="00891B08" w:rsidRPr="002611C1">
        <w:t>, the empirical relationships used to derive hydraulic properties are subject to uncertainty</w:t>
      </w:r>
      <w:r w:rsidR="00504DA7" w:rsidRPr="002611C1">
        <w:t xml:space="preserve"> </w:t>
      </w:r>
      <w:r w:rsidR="00084CDD">
        <w:fldChar w:fldCharType="begin">
          <w:fldData xml:space="preserve">PEVuZE5vdGU+PENpdGU+PEF1dGhvcj5Dcm9uaWNhbjwvQXV0aG9yPjxZZWFyPjIwMDQ8L1llYXI+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</w:fldData>
        </w:fldChar>
      </w:r>
      <w:r w:rsidR="002D259A">
        <w:instrText xml:space="preserve"> ADDIN EN.CITE </w:instrText>
      </w:r>
      <w:r w:rsidR="00084CDD">
        <w:fldChar w:fldCharType="begin">
          <w:fldData xml:space="preserve">PEVuZE5vdGU+PENpdGU+PEF1dGhvcj5Dcm9uaWNhbjwvQXV0aG9yPjxZZWFyPjIwMDQ8L1llYXI+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</w:fldData>
        </w:fldChar>
      </w:r>
      <w:r w:rsidR="002D259A">
        <w:instrText xml:space="preserve"> ADDIN EN.CITE.DATA </w:instrText>
      </w:r>
      <w:r w:rsidR="00084CDD">
        <w:fldChar w:fldCharType="end"/>
      </w:r>
      <w:r w:rsidR="00084CDD">
        <w:fldChar w:fldCharType="separate"/>
      </w:r>
      <w:r w:rsidR="002D259A">
        <w:rPr>
          <w:noProof/>
        </w:rPr>
        <w:t>(Cronican and Gribb, 2004; Rogiers et al., 2012; Slater, 2007; Vienken and Dietrich, 2011)</w:t>
      </w:r>
      <w:r w:rsidR="00084CDD">
        <w:fldChar w:fldCharType="end"/>
      </w:r>
      <w:r w:rsidR="00891B08" w:rsidRPr="002611C1">
        <w:t xml:space="preserve">. A third source of </w:t>
      </w:r>
      <w:r w:rsidR="00DB5A5F">
        <w:t xml:space="preserve">parameter </w:t>
      </w:r>
      <w:r w:rsidR="00891B08" w:rsidRPr="002611C1">
        <w:t>uncertainty is associated with the upscaling of hydraulic properties. This is due to the scale dependency</w:t>
      </w:r>
      <w:r w:rsidR="00454C42">
        <w:t xml:space="preserve"> and heterogeneity</w:t>
      </w:r>
      <w:r w:rsidR="00891B08" w:rsidRPr="002611C1">
        <w:t xml:space="preserve"> of many hydraulic properties; </w:t>
      </w:r>
      <w:r w:rsidR="00DB5A5F">
        <w:t>e.g.</w:t>
      </w:r>
      <w:r w:rsidR="00C85DC3">
        <w:t xml:space="preserve">, </w:t>
      </w:r>
      <w:r w:rsidR="00891B08" w:rsidRPr="002611C1">
        <w:t xml:space="preserve">the values of such properties </w:t>
      </w:r>
      <w:r w:rsidR="00454C42">
        <w:t>can</w:t>
      </w:r>
      <w:r w:rsidR="00DB5A5F">
        <w:t xml:space="preserve"> </w:t>
      </w:r>
      <w:r w:rsidR="00891B08" w:rsidRPr="002611C1">
        <w:t>increase with increasing scale</w:t>
      </w:r>
      <w:r w:rsidR="0057477F">
        <w:t xml:space="preserve"> (see Section </w:t>
      </w:r>
      <w:r w:rsidR="00084CDD">
        <w:fldChar w:fldCharType="begin"/>
      </w:r>
      <w:r w:rsidR="0057477F">
        <w:instrText xml:space="preserve"> REF _Ref433483266 \r \h </w:instrText>
      </w:r>
      <w:r w:rsidR="00084CDD">
        <w:fldChar w:fldCharType="separate"/>
      </w:r>
      <w:r w:rsidR="00C52E30">
        <w:t>3.2</w:t>
      </w:r>
      <w:r w:rsidR="00084CDD">
        <w:fldChar w:fldCharType="end"/>
      </w:r>
      <w:r w:rsidR="0057477F">
        <w:t>)</w:t>
      </w:r>
      <w:r w:rsidR="00454C42">
        <w:t xml:space="preserve"> and are often heterogeneous</w:t>
      </w:r>
      <w:r w:rsidR="00891B08" w:rsidRPr="002611C1">
        <w:t xml:space="preserve">. </w:t>
      </w:r>
      <w:r w:rsidR="00A72ED0">
        <w:t xml:space="preserve">Note that </w:t>
      </w:r>
      <w:r w:rsidR="00BB3766">
        <w:t xml:space="preserve">upscaling techniques that </w:t>
      </w:r>
      <w:r w:rsidR="00A72ED0">
        <w:t xml:space="preserve">fail to account for macro features </w:t>
      </w:r>
      <w:r w:rsidR="00BB3766">
        <w:t xml:space="preserve">that promote </w:t>
      </w:r>
      <w:r w:rsidR="00A72ED0">
        <w:t xml:space="preserve">preferential flow paths may yield lower upscaled hydraulic properties. </w:t>
      </w:r>
      <w:r w:rsidR="00E713C3" w:rsidRPr="00EC2788">
        <w:t>The magnitude of th</w:t>
      </w:r>
      <w:r w:rsidR="00454C42">
        <w:t>e</w:t>
      </w:r>
      <w:r w:rsidR="00E713C3" w:rsidRPr="00EC2788">
        <w:t xml:space="preserve"> increase</w:t>
      </w:r>
      <w:r w:rsidR="00454C42">
        <w:t xml:space="preserve"> due to scale dependency</w:t>
      </w:r>
      <w:r w:rsidR="00E713C3" w:rsidRPr="00EC2788">
        <w:t xml:space="preserve"> cannot be predicted </w:t>
      </w:r>
      <w:r w:rsidR="00E713C3" w:rsidRPr="00EC2788">
        <w:rPr>
          <w:i/>
        </w:rPr>
        <w:t>a priori</w:t>
      </w:r>
      <w:r w:rsidR="00891B08" w:rsidRPr="002611C1">
        <w:t xml:space="preserve">. </w:t>
      </w:r>
      <w:r w:rsidR="00404E23">
        <w:t xml:space="preserve">White et al. (2014) discuss that </w:t>
      </w:r>
      <w:r w:rsidR="00404E23" w:rsidRPr="00A45100">
        <w:t>failure to represent hydraulic conductivity heterogeneity</w:t>
      </w:r>
      <w:r w:rsidR="00404E23" w:rsidRPr="002611C1">
        <w:t xml:space="preserve"> </w:t>
      </w:r>
      <w:r w:rsidR="00404E23">
        <w:t>during model calibration will lead to a misfit as the (single) incorrectly estimated hydraulic conductivity compensates for model structural error</w:t>
      </w:r>
      <w:r w:rsidR="00EA6641">
        <w:t xml:space="preserve"> or conceptual uncertainty</w:t>
      </w:r>
      <w:r w:rsidR="00404E23">
        <w:t xml:space="preserve">. </w:t>
      </w:r>
      <w:r w:rsidR="00891B08" w:rsidRPr="002611C1">
        <w:t xml:space="preserve">A fourth source of </w:t>
      </w:r>
      <w:r w:rsidR="00DB5A5F">
        <w:t xml:space="preserve">parameter </w:t>
      </w:r>
      <w:r w:rsidR="00891B08" w:rsidRPr="002611C1">
        <w:t>uncertainty is associated with the spatial interpolation of parameter values</w:t>
      </w:r>
      <w:r w:rsidR="003806AC" w:rsidRPr="002611C1">
        <w:t xml:space="preserve"> between </w:t>
      </w:r>
      <w:r w:rsidR="004129D8">
        <w:t xml:space="preserve">an </w:t>
      </w:r>
      <w:r w:rsidR="003806AC" w:rsidRPr="002611C1">
        <w:t>often limited number of measurement locations</w:t>
      </w:r>
      <w:r w:rsidR="00891B08" w:rsidRPr="002611C1">
        <w:t xml:space="preserve">. </w:t>
      </w:r>
      <w:r w:rsidR="005641DC" w:rsidRPr="002611C1">
        <w:t>Geostatistical</w:t>
      </w:r>
      <w:r w:rsidR="007740AF" w:rsidRPr="002611C1">
        <w:t xml:space="preserve"> approaches to spatial interpolation, such as</w:t>
      </w:r>
      <w:r w:rsidR="008C0765" w:rsidRPr="002611C1">
        <w:t xml:space="preserve"> ordinary</w:t>
      </w:r>
      <w:r w:rsidR="007740AF" w:rsidRPr="002611C1">
        <w:t xml:space="preserve"> kriging, include the quantification of interpolation uncertainty</w:t>
      </w:r>
      <w:r w:rsidR="005257D8" w:rsidRPr="002611C1">
        <w:t xml:space="preserve"> </w:t>
      </w:r>
      <w:r w:rsidR="00084CDD">
        <w:fldChar w:fldCharType="begin">
          <w:fldData xml:space="preserve">PEVuZE5vdGU+PENpdGU+PEF1dGhvcj5QdWNjaTwvQXV0aG9yPjxZZWFyPjE5ODc8L1llYXI+PElE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</w:fldData>
        </w:fldChar>
      </w:r>
      <w:r w:rsidR="00AD6BA1">
        <w:instrText xml:space="preserve"> ADDIN EN.CITE </w:instrText>
      </w:r>
      <w:r w:rsidR="00084CDD">
        <w:fldChar w:fldCharType="begin">
          <w:fldData xml:space="preserve">PEVuZE5vdGU+PENpdGU+PEF1dGhvcj5QdWNjaTwvQXV0aG9yPjxZZWFyPjE5ODc8L1llYXI+PElE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</w:fldData>
        </w:fldChar>
      </w:r>
      <w:r w:rsidR="00AD6BA1">
        <w:instrText xml:space="preserve"> ADDIN EN.CITE.DATA </w:instrText>
      </w:r>
      <w:r w:rsidR="00084CDD">
        <w:fldChar w:fldCharType="end"/>
      </w:r>
      <w:r w:rsidR="00084CDD">
        <w:fldChar w:fldCharType="separate"/>
      </w:r>
      <w:r w:rsidR="00AD6BA1">
        <w:rPr>
          <w:noProof/>
        </w:rPr>
        <w:t>(Bissell and Aichele, 2004; Pucci and Murashige, 1987; Weber and Englund, 1992; Weber and Englund, 1994)</w:t>
      </w:r>
      <w:r w:rsidR="00084CDD">
        <w:fldChar w:fldCharType="end"/>
      </w:r>
      <w:r>
        <w:t xml:space="preserve">. </w:t>
      </w:r>
      <w:r w:rsidR="0089677D">
        <w:fldChar w:fldCharType="begin"/>
      </w:r>
      <w:r w:rsidR="0089677D">
        <w:instrText xml:space="preserve"> REF _Ref488145967 \h </w:instrText>
      </w:r>
      <w:r w:rsidR="0089677D">
        <w:fldChar w:fldCharType="separate"/>
      </w:r>
      <w:r w:rsidR="00C52E30">
        <w:t xml:space="preserve">Figure </w:t>
      </w:r>
      <w:r w:rsidR="00C52E30">
        <w:rPr>
          <w:noProof/>
        </w:rPr>
        <w:t>10</w:t>
      </w:r>
      <w:r w:rsidR="0089677D">
        <w:fldChar w:fldCharType="end"/>
      </w:r>
      <w:r w:rsidR="0089677D">
        <w:t xml:space="preserve"> </w:t>
      </w:r>
      <w:r>
        <w:t xml:space="preserve">displays </w:t>
      </w:r>
      <w:r w:rsidR="002E0CC1">
        <w:t>three types of uncertainties</w:t>
      </w:r>
      <w:r>
        <w:t xml:space="preserve"> often encountered</w:t>
      </w:r>
      <w:r w:rsidR="002E0CC1">
        <w:t xml:space="preserve"> in complex </w:t>
      </w:r>
      <w:r w:rsidR="002E0CC1" w:rsidRPr="00A45100">
        <w:t>models of subsurface structures (geological models)</w:t>
      </w:r>
      <w:r w:rsidR="002E0CC1">
        <w:t>:</w:t>
      </w:r>
      <w:r w:rsidRPr="00230A40">
        <w:t xml:space="preserve"> </w:t>
      </w:r>
      <w:r w:rsidR="002E0CC1">
        <w:t xml:space="preserve">type 1 - </w:t>
      </w:r>
      <w:r w:rsidR="002E0CC1" w:rsidRPr="00A45100">
        <w:t>data imprecision and quality</w:t>
      </w:r>
      <w:r w:rsidR="002E0CC1">
        <w:t xml:space="preserve"> (e.g. imprecise </w:t>
      </w:r>
      <w:r w:rsidR="002E0CC1" w:rsidRPr="00A45100">
        <w:t>interpretation of a geological formation boundary based on ill-defined input data</w:t>
      </w:r>
      <w:r w:rsidR="002E0CC1">
        <w:t>);</w:t>
      </w:r>
      <w:r w:rsidR="002E0CC1" w:rsidRPr="00A45100">
        <w:t xml:space="preserve"> </w:t>
      </w:r>
      <w:r w:rsidR="002E0CC1">
        <w:t xml:space="preserve">type 2 - </w:t>
      </w:r>
      <w:r w:rsidR="002E0CC1" w:rsidRPr="00A45100">
        <w:t xml:space="preserve">inherent randomness </w:t>
      </w:r>
      <w:r w:rsidR="002E0CC1">
        <w:t xml:space="preserve">(affecting extrapolation away from known points); </w:t>
      </w:r>
      <w:r w:rsidR="002E0CC1" w:rsidRPr="00A45100">
        <w:t xml:space="preserve">and </w:t>
      </w:r>
      <w:r w:rsidR="002E0CC1">
        <w:t xml:space="preserve">type 3 - </w:t>
      </w:r>
      <w:r w:rsidR="002E0CC1" w:rsidRPr="00A45100">
        <w:t>incomplete knowledge</w:t>
      </w:r>
      <w:r w:rsidR="002E0CC1">
        <w:t xml:space="preserve"> (of structures such as geological faults)</w:t>
      </w:r>
      <w:r w:rsidR="00C06F3B">
        <w:t xml:space="preserve"> (Hall 2012; </w:t>
      </w:r>
      <w:r w:rsidR="00512D41">
        <w:t>Wellman et al. 2010</w:t>
      </w:r>
      <w:r w:rsidR="00C06F3B">
        <w:t>)</w:t>
      </w:r>
      <w:r w:rsidR="007740AF" w:rsidRPr="00230A40">
        <w:t>.</w:t>
      </w:r>
    </w:p>
    <w:p w14:paraId="5497FDCB" w14:textId="77777777" w:rsidR="00B24AB8" w:rsidRPr="00230A40" w:rsidRDefault="00B24AB8" w:rsidP="00BB3766">
      <w:pPr>
        <w:pStyle w:val="Body"/>
      </w:pPr>
    </w:p>
    <w:p w14:paraId="58892DB6" w14:textId="082439CF" w:rsidR="006A022F" w:rsidRPr="002611C1" w:rsidRDefault="00C06F3B" w:rsidP="002611C1">
      <w:pPr>
        <w:pStyle w:val="Body"/>
      </w:pPr>
      <w:r w:rsidRPr="00C06F3B">
        <w:rPr>
          <w:noProof/>
          <w:lang w:val="en-AU" w:eastAsia="en-AU"/>
        </w:rPr>
        <w:t xml:space="preserve"> </w:t>
      </w:r>
      <w:r w:rsidRPr="00C06F3B">
        <w:rPr>
          <w:noProof/>
          <w:lang w:val="en-AU" w:eastAsia="en-AU"/>
        </w:rPr>
        <w:drawing>
          <wp:inline distT="0" distB="0" distL="0" distR="0" wp14:anchorId="4524C359" wp14:editId="2E04711A">
            <wp:extent cx="4876800" cy="5632798"/>
            <wp:effectExtent l="0" t="0" r="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90008" cy="5648053"/>
                    </a:xfrm>
                    <a:prstGeom prst="rect">
                      <a:avLst/>
                    </a:prstGeom>
                    <a:noFill/>
                    <a:ln>
                      <a:noFill/>
                    </a:ln>
                  </pic:spPr>
                </pic:pic>
              </a:graphicData>
            </a:graphic>
          </wp:inline>
        </w:drawing>
      </w:r>
    </w:p>
    <w:p w14:paraId="6928FE65" w14:textId="6BAE2661" w:rsidR="007841A8" w:rsidRDefault="007841A8" w:rsidP="00A45100">
      <w:pPr>
        <w:pStyle w:val="Imagecaption"/>
      </w:pPr>
      <w:bookmarkStart w:id="45" w:name="_Ref488145967"/>
      <w:bookmarkStart w:id="46" w:name="_Toc449696300"/>
      <w:r>
        <w:t xml:space="preserve">Figure </w:t>
      </w:r>
      <w:r>
        <w:fldChar w:fldCharType="begin"/>
      </w:r>
      <w:r>
        <w:instrText xml:space="preserve"> SEQ Figure \* ARABIC </w:instrText>
      </w:r>
      <w:r>
        <w:fldChar w:fldCharType="separate"/>
      </w:r>
      <w:r w:rsidR="00C52E30">
        <w:rPr>
          <w:noProof/>
        </w:rPr>
        <w:t>10</w:t>
      </w:r>
      <w:r>
        <w:fldChar w:fldCharType="end"/>
      </w:r>
      <w:bookmarkEnd w:id="45"/>
      <w:r>
        <w:t xml:space="preserve"> C</w:t>
      </w:r>
      <w:r w:rsidRPr="00A45100">
        <w:t>lassifications of the uncertain</w:t>
      </w:r>
      <w:r w:rsidRPr="00B5586C">
        <w:t>ties in structural modelling; (top</w:t>
      </w:r>
      <w:r w:rsidRPr="00A45100">
        <w:t>) interpretation of a geological formation boundary based on ill-defined input data</w:t>
      </w:r>
      <w:r>
        <w:t xml:space="preserve"> </w:t>
      </w:r>
      <w:r w:rsidRPr="00A45100">
        <w:t>points (i.e. where the contact position itself is uncertain) and resulting uncertainty</w:t>
      </w:r>
      <w:r w:rsidRPr="00B5586C">
        <w:t xml:space="preserve"> in the interpreted boundary, (middle</w:t>
      </w:r>
      <w:r w:rsidRPr="00A45100">
        <w:t>) uncertainty of interpolation between and extrapolation away</w:t>
      </w:r>
      <w:r>
        <w:t xml:space="preserve"> </w:t>
      </w:r>
      <w:r w:rsidRPr="00B5586C">
        <w:t>from known data points, (</w:t>
      </w:r>
      <w:r>
        <w:t>b</w:t>
      </w:r>
      <w:r w:rsidRPr="00B5586C">
        <w:t>ottom</w:t>
      </w:r>
      <w:r w:rsidRPr="00A45100">
        <w:t>) incomplete knowledge of structures in the subsurface, e.g. does a fault exist or not</w:t>
      </w:r>
      <w:r>
        <w:t xml:space="preserve"> (Modified by Hall 2012, after Wellman et al. 2010)</w:t>
      </w:r>
      <w:r w:rsidRPr="00A45100">
        <w:t>.</w:t>
      </w:r>
      <w:bookmarkEnd w:id="46"/>
    </w:p>
    <w:p w14:paraId="2E8F600E" w14:textId="77777777" w:rsidR="00E713C3" w:rsidRDefault="0057477F" w:rsidP="007841A8">
      <w:pPr>
        <w:pStyle w:val="Body"/>
      </w:pPr>
      <w:r>
        <w:t>Reducing</w:t>
      </w:r>
      <w:r w:rsidR="0082371D">
        <w:t xml:space="preserve"> parameter </w:t>
      </w:r>
      <w:r>
        <w:t xml:space="preserve">uncertainty associated with spatial interpolation may be achieved by using co-kriging. </w:t>
      </w:r>
      <w:r w:rsidR="00EB2BF5">
        <w:t>Co</w:t>
      </w:r>
      <w:r w:rsidR="00ED693F">
        <w:t>-</w:t>
      </w:r>
      <w:r w:rsidR="00EB2BF5">
        <w:t>kriging methods are used to take advantage of the covariance between two or more regionalized variables that are related, and are appropriate when the main attribute of interest (</w:t>
      </w:r>
      <w:r w:rsidR="00AA5ABA">
        <w:t xml:space="preserve">e.g., </w:t>
      </w:r>
      <w:r w:rsidR="00EB2BF5">
        <w:t>well data) is sparse, but related secondary information (</w:t>
      </w:r>
      <w:r w:rsidR="00AA5ABA">
        <w:t xml:space="preserve">e.g., </w:t>
      </w:r>
      <w:r w:rsidR="00EB2BF5">
        <w:t xml:space="preserve">seismic data) is abundant. </w:t>
      </w:r>
      <w:r w:rsidR="00B2581E" w:rsidRPr="00B2581E">
        <w:t>Rogiers et al.</w:t>
      </w:r>
      <w:r w:rsidR="00B2581E">
        <w:t xml:space="preserve"> (2012)</w:t>
      </w:r>
      <w:r w:rsidR="00B2581E" w:rsidRPr="00B2581E">
        <w:t>, for example, used air permeameter data as secondary variable to improve prediction</w:t>
      </w:r>
      <w:r w:rsidR="00B2581E">
        <w:t>s</w:t>
      </w:r>
      <w:r w:rsidR="00B2581E" w:rsidRPr="00B2581E">
        <w:t xml:space="preserve"> of laboratory based </w:t>
      </w:r>
      <w:r w:rsidR="00B2581E" w:rsidRPr="007841A8">
        <w:rPr>
          <w:i/>
        </w:rPr>
        <w:t>K</w:t>
      </w:r>
      <w:r w:rsidR="00B2581E" w:rsidRPr="007841A8">
        <w:rPr>
          <w:vertAlign w:val="subscript"/>
        </w:rPr>
        <w:t>s</w:t>
      </w:r>
      <w:r w:rsidR="00B2581E" w:rsidRPr="00B2581E">
        <w:t xml:space="preserve"> measurements </w:t>
      </w:r>
      <w:r w:rsidR="00B2581E">
        <w:t>(</w:t>
      </w:r>
      <w:r w:rsidR="00B2581E" w:rsidRPr="00B2581E">
        <w:t>primary variable</w:t>
      </w:r>
      <w:r w:rsidR="00B2581E">
        <w:t>)</w:t>
      </w:r>
      <w:r w:rsidR="00B2581E" w:rsidRPr="00B2581E">
        <w:t>. The performance increased from R</w:t>
      </w:r>
      <w:r w:rsidR="00B2581E" w:rsidRPr="007841A8">
        <w:rPr>
          <w:vertAlign w:val="superscript"/>
        </w:rPr>
        <w:t>2</w:t>
      </w:r>
      <w:r w:rsidR="00B2581E" w:rsidRPr="00B2581E">
        <w:t xml:space="preserve">=0.35 for ordinary kriging (laboratory </w:t>
      </w:r>
      <w:r w:rsidR="00B2581E" w:rsidRPr="007841A8">
        <w:t>Ks</w:t>
      </w:r>
      <w:r w:rsidR="00B2581E" w:rsidRPr="00B2581E">
        <w:t xml:space="preserve"> only) to R</w:t>
      </w:r>
      <w:r w:rsidR="00B2581E" w:rsidRPr="007841A8">
        <w:rPr>
          <w:vertAlign w:val="superscript"/>
        </w:rPr>
        <w:t>2</w:t>
      </w:r>
      <w:r w:rsidR="00B2581E" w:rsidRPr="00B2581E">
        <w:t>=0.61 for co-kriging.</w:t>
      </w:r>
      <w:r w:rsidR="00B2581E">
        <w:t xml:space="preserve"> </w:t>
      </w:r>
      <w:r w:rsidR="00EB2BF5">
        <w:t>Geostatistical-data-integration methods yield more-reliable reservoir models because they capitalize on the strengths of both data types. The mutual spatial behavio</w:t>
      </w:r>
      <w:r w:rsidR="00AD6BA1">
        <w:t>u</w:t>
      </w:r>
      <w:r w:rsidR="00EB2BF5">
        <w:t>r of regionalized variables is known as co-regionalization</w:t>
      </w:r>
      <w:r w:rsidR="00AD6BA1">
        <w:t xml:space="preserve"> </w:t>
      </w:r>
      <w:r w:rsidR="00084CDD">
        <w:fldChar w:fldCharType="begin">
          <w:fldData xml:space="preserve">PEVuZE5vdGU+PENpdGU+PEF1dGhvcj5BaG1lZDwvQXV0aG9yPjxZZWFyPjE5OTE8L1llYXI+PElE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</w:fldData>
        </w:fldChar>
      </w:r>
      <w:r w:rsidR="00AD6BA1">
        <w:instrText xml:space="preserve"> ADDIN EN.CITE </w:instrText>
      </w:r>
      <w:r w:rsidR="00084CDD">
        <w:fldChar w:fldCharType="begin">
          <w:fldData xml:space="preserve">PEVuZE5vdGU+PENpdGU+PEF1dGhvcj5BaG1lZDwvQXV0aG9yPjxZZWFyPjE5OTE8L1llYXI+PElE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</w:fldData>
        </w:fldChar>
      </w:r>
      <w:r w:rsidR="00AD6BA1">
        <w:instrText xml:space="preserve"> ADDIN EN.CITE.DATA </w:instrText>
      </w:r>
      <w:r w:rsidR="00084CDD">
        <w:fldChar w:fldCharType="end"/>
      </w:r>
      <w:r w:rsidR="00084CDD">
        <w:fldChar w:fldCharType="separate"/>
      </w:r>
      <w:r w:rsidR="00AD6BA1">
        <w:t>(Ahmed et al., 1991; Almeida and Frykman, 1994; Fegh et al., 2013; Xu et al., 1992)</w:t>
      </w:r>
      <w:r w:rsidR="00084CDD">
        <w:fldChar w:fldCharType="end"/>
      </w:r>
      <w:r w:rsidR="00AD6BA1">
        <w:t>.</w:t>
      </w:r>
      <w:r w:rsidR="00BB714D">
        <w:t xml:space="preserve"> These approaches assume multi-Gaussian</w:t>
      </w:r>
      <w:r w:rsidR="008E28DE">
        <w:t xml:space="preserve"> distributions;</w:t>
      </w:r>
      <w:r w:rsidR="00BB714D">
        <w:t xml:space="preserve"> hence</w:t>
      </w:r>
      <w:r w:rsidR="008E28DE">
        <w:t>,</w:t>
      </w:r>
      <w:r w:rsidR="00BB714D">
        <w:t xml:space="preserve"> only the first two moments </w:t>
      </w:r>
      <w:r>
        <w:t xml:space="preserve">(mean and standard deviation) </w:t>
      </w:r>
      <w:r w:rsidR="00BB714D">
        <w:t xml:space="preserve">are reported from the interpolation. </w:t>
      </w:r>
      <w:r w:rsidR="00BB714D" w:rsidRPr="00F05A84">
        <w:t xml:space="preserve">Other techniques such as </w:t>
      </w:r>
      <w:r w:rsidR="008E28DE" w:rsidRPr="00F05A84">
        <w:t xml:space="preserve">Bayesian Maximum Entropy </w:t>
      </w:r>
      <w:r w:rsidR="00E4024B">
        <w:t xml:space="preserve">– BME </w:t>
      </w:r>
      <w:r w:rsidR="008E28DE" w:rsidRPr="00F05A84">
        <w:t>(Christakos 2000; Christakos et al.</w:t>
      </w:r>
      <w:r w:rsidR="000B21CF" w:rsidRPr="00F05A84">
        <w:t>,</w:t>
      </w:r>
      <w:r w:rsidR="008E28DE" w:rsidRPr="00F05A84">
        <w:t xml:space="preserve"> 200</w:t>
      </w:r>
      <w:r w:rsidR="000B21CF" w:rsidRPr="00F05A84">
        <w:t>2</w:t>
      </w:r>
      <w:r w:rsidR="008E28DE" w:rsidRPr="00F05A84">
        <w:t xml:space="preserve">) </w:t>
      </w:r>
      <w:r w:rsidR="00BB714D" w:rsidRPr="00F05A84">
        <w:t>are able to report the full</w:t>
      </w:r>
      <w:r w:rsidR="00BB714D" w:rsidRPr="00EF201E">
        <w:t xml:space="preserve"> p</w:t>
      </w:r>
      <w:r w:rsidR="00BB714D">
        <w:t>robability density function</w:t>
      </w:r>
      <w:r w:rsidR="00BB714D" w:rsidRPr="00EF201E">
        <w:t xml:space="preserve"> </w:t>
      </w:r>
      <w:r w:rsidR="00BB714D">
        <w:t>(</w:t>
      </w:r>
      <w:r w:rsidR="00F12EDC">
        <w:t>PDF</w:t>
      </w:r>
      <w:r w:rsidR="00BB714D">
        <w:t xml:space="preserve">) </w:t>
      </w:r>
      <w:r w:rsidR="00BB714D" w:rsidRPr="00EF201E">
        <w:t xml:space="preserve">at interpolation nodes, which is </w:t>
      </w:r>
      <w:r w:rsidR="00BB714D">
        <w:t>advantageous for</w:t>
      </w:r>
      <w:r w:rsidR="00BB714D" w:rsidRPr="00EF201E">
        <w:t xml:space="preserve"> </w:t>
      </w:r>
      <w:r w:rsidR="00BB714D">
        <w:t>obtaining</w:t>
      </w:r>
      <w:r w:rsidR="00BB714D" w:rsidRPr="00EF201E">
        <w:t xml:space="preserve"> </w:t>
      </w:r>
      <w:r w:rsidR="00BB714D">
        <w:t xml:space="preserve">confidence intervals </w:t>
      </w:r>
      <w:r w:rsidR="00BB714D" w:rsidRPr="00EF201E">
        <w:t>for no</w:t>
      </w:r>
      <w:r w:rsidR="00BB714D">
        <w:t>n</w:t>
      </w:r>
      <w:r w:rsidR="00BB714D" w:rsidRPr="00EF201E">
        <w:t>-</w:t>
      </w:r>
      <w:r w:rsidR="00DE5C1E">
        <w:t>G</w:t>
      </w:r>
      <w:r w:rsidR="00DE5C1E" w:rsidRPr="00EF201E">
        <w:t xml:space="preserve">aussian </w:t>
      </w:r>
      <w:r w:rsidR="00F12EDC">
        <w:t>PDF</w:t>
      </w:r>
      <w:r w:rsidR="00BB714D" w:rsidRPr="00EF201E">
        <w:t>s.</w:t>
      </w:r>
    </w:p>
    <w:p w14:paraId="4D64CB95" w14:textId="77777777" w:rsidR="00436998" w:rsidRDefault="00F4627B" w:rsidP="00C54922">
      <w:pPr>
        <w:pStyle w:val="Body"/>
      </w:pPr>
      <w:r>
        <w:t xml:space="preserve">In the absence of sufficient </w:t>
      </w:r>
      <w:r w:rsidR="00073708">
        <w:t xml:space="preserve">prior information </w:t>
      </w:r>
      <w:r>
        <w:t xml:space="preserve">to characterise </w:t>
      </w:r>
      <w:r w:rsidR="00073708">
        <w:t xml:space="preserve">a parameter’s probability density function, </w:t>
      </w:r>
      <w:r w:rsidR="00436998">
        <w:t>the uncertainty associated with a given parameter can be described using a uniform sta</w:t>
      </w:r>
      <w:r w:rsidR="001634F1">
        <w:t>tistical distribution (</w:t>
      </w:r>
      <w:r w:rsidR="00C85DC3">
        <w:t xml:space="preserve">i.e., </w:t>
      </w:r>
      <w:r w:rsidR="001634F1">
        <w:t>all</w:t>
      </w:r>
      <w:r w:rsidR="001A2BE5">
        <w:t xml:space="preserve"> </w:t>
      </w:r>
      <w:r w:rsidR="00436998">
        <w:t xml:space="preserve">values between </w:t>
      </w:r>
      <w:r w:rsidR="00E713C3" w:rsidRPr="00E713C3">
        <w:t>A</w:t>
      </w:r>
      <w:r w:rsidR="00436998">
        <w:t xml:space="preserve"> and </w:t>
      </w:r>
      <w:r w:rsidR="00E713C3" w:rsidRPr="00E713C3">
        <w:t>B</w:t>
      </w:r>
      <w:r w:rsidR="00436998">
        <w:t xml:space="preserve"> are equally likely)</w:t>
      </w:r>
      <w:r w:rsidR="00073708">
        <w:t>, a triangular distribution (highest probability for the mean value)</w:t>
      </w:r>
      <w:r w:rsidR="00436998">
        <w:t xml:space="preserve"> or using a normal statistical distribution (</w:t>
      </w:r>
      <w:r w:rsidR="00C85DC3">
        <w:t xml:space="preserve">i.e., </w:t>
      </w:r>
      <w:r w:rsidR="00436998">
        <w:t xml:space="preserve">a mean value is most likely and other values between </w:t>
      </w:r>
      <w:r w:rsidR="00E713C3" w:rsidRPr="00E713C3">
        <w:t>A</w:t>
      </w:r>
      <w:r w:rsidR="00436998">
        <w:t xml:space="preserve"> and </w:t>
      </w:r>
      <w:r w:rsidR="00E713C3" w:rsidRPr="00E713C3">
        <w:t xml:space="preserve">B </w:t>
      </w:r>
      <w:r w:rsidR="00436998">
        <w:t xml:space="preserve">are variably less likely, depending upon their proximity to the mean). </w:t>
      </w:r>
      <w:r w:rsidR="0057477F">
        <w:t xml:space="preserve">Lognormal transformations are recommended when the measurement range spans several orders of magnitude. </w:t>
      </w:r>
      <w:r w:rsidR="00436998">
        <w:t>The bounds of these statistical distributions are typically informed by expert opinion (</w:t>
      </w:r>
      <w:r w:rsidR="00C85DC3">
        <w:t xml:space="preserve">i.e., </w:t>
      </w:r>
      <w:r w:rsidR="00436998">
        <w:t xml:space="preserve">local hydrogeologists, database ranges, or textbook ranges). The </w:t>
      </w:r>
      <w:r w:rsidR="00825641">
        <w:t>type</w:t>
      </w:r>
      <w:r w:rsidR="00436998">
        <w:t xml:space="preserve"> </w:t>
      </w:r>
      <w:r w:rsidR="00073708">
        <w:t xml:space="preserve">of </w:t>
      </w:r>
      <w:r w:rsidR="00436998">
        <w:t xml:space="preserve">statistical </w:t>
      </w:r>
      <w:r w:rsidR="0072762D">
        <w:t xml:space="preserve">parameter </w:t>
      </w:r>
      <w:r w:rsidR="00436998">
        <w:t xml:space="preserve">distributions can be </w:t>
      </w:r>
      <w:r w:rsidR="0072762D">
        <w:t xml:space="preserve">estimated directly </w:t>
      </w:r>
      <w:r w:rsidR="00436998">
        <w:t xml:space="preserve">through the collection of </w:t>
      </w:r>
      <w:r w:rsidR="0072762D">
        <w:t xml:space="preserve">such </w:t>
      </w:r>
      <w:r w:rsidR="00436998">
        <w:t>data, which may result in a unimodal</w:t>
      </w:r>
      <w:r w:rsidR="00073708">
        <w:t>,</w:t>
      </w:r>
      <w:r w:rsidR="00436998">
        <w:t xml:space="preserve"> bimodal</w:t>
      </w:r>
      <w:r w:rsidR="00073708">
        <w:t>, or even multi</w:t>
      </w:r>
      <w:r w:rsidR="00C850F9">
        <w:t>moda</w:t>
      </w:r>
      <w:r w:rsidR="00073708">
        <w:t>l</w:t>
      </w:r>
      <w:r w:rsidR="00436998">
        <w:t xml:space="preserve"> distribution</w:t>
      </w:r>
      <w:r w:rsidR="0057477F">
        <w:t xml:space="preserve"> (Beerten et al., 2009)</w:t>
      </w:r>
      <w:r w:rsidR="00073708">
        <w:t xml:space="preserve">. </w:t>
      </w:r>
      <w:r w:rsidR="00077694">
        <w:t xml:space="preserve"> </w:t>
      </w:r>
      <w:r w:rsidR="00F5084C">
        <w:t xml:space="preserve">Alternatively, parameter distributions can be estimated indirectly through model inversion, in which parameter values are adjusted in order to match model outputs to state observations. </w:t>
      </w:r>
      <w:r w:rsidR="00077694">
        <w:t xml:space="preserve">This is essentially Bayesian theory in practice: updating prior distributions by </w:t>
      </w:r>
      <w:r w:rsidR="00F5084C">
        <w:t xml:space="preserve">matching calculated to </w:t>
      </w:r>
      <w:r w:rsidR="00077694">
        <w:t>observ</w:t>
      </w:r>
      <w:r w:rsidR="00F5084C">
        <w:t>ed</w:t>
      </w:r>
      <w:r w:rsidR="00077694">
        <w:t xml:space="preserve"> </w:t>
      </w:r>
      <w:r w:rsidR="00F5084C">
        <w:t xml:space="preserve">states </w:t>
      </w:r>
      <w:r w:rsidR="00077694">
        <w:t xml:space="preserve">to derive posterior distributions. </w:t>
      </w:r>
      <w:r w:rsidR="00825641">
        <w:t>Normal (Gaussian or bell-shape</w:t>
      </w:r>
      <w:r w:rsidR="00C54922">
        <w:t>d</w:t>
      </w:r>
      <w:r w:rsidR="00825641">
        <w:t xml:space="preserve">) distributions are </w:t>
      </w:r>
      <w:r w:rsidR="00E713C3" w:rsidRPr="00E713C3">
        <w:t>the single most important and frequently-used distribution in statistical analysis</w:t>
      </w:r>
      <w:r w:rsidR="00C54922">
        <w:t xml:space="preserve">; </w:t>
      </w:r>
      <w:r w:rsidR="00E713C3" w:rsidRPr="00E713C3">
        <w:t>m</w:t>
      </w:r>
      <w:r w:rsidR="00C54922">
        <w:t>any</w:t>
      </w:r>
      <w:r w:rsidR="00E713C3" w:rsidRPr="00E713C3">
        <w:t xml:space="preserve"> </w:t>
      </w:r>
      <w:r w:rsidR="00C54922">
        <w:t xml:space="preserve">statistical </w:t>
      </w:r>
      <w:r w:rsidR="00E713C3" w:rsidRPr="00E713C3">
        <w:t>tests are based on an assumption of normally-distributed or normal data</w:t>
      </w:r>
      <w:r w:rsidR="00825641">
        <w:t xml:space="preserve">. </w:t>
      </w:r>
      <w:r w:rsidR="00073708">
        <w:t xml:space="preserve">For </w:t>
      </w:r>
      <w:r w:rsidR="00C850F9">
        <w:t>PDF</w:t>
      </w:r>
      <w:r w:rsidR="00436998">
        <w:t xml:space="preserve">s </w:t>
      </w:r>
      <w:r w:rsidR="00FF5422">
        <w:t>whose shape deviates from a bell-shape distribution</w:t>
      </w:r>
      <w:r w:rsidR="006B76C7">
        <w:t xml:space="preserve"> (hydraulic conductivity is typically log-normally distributed)</w:t>
      </w:r>
      <w:r w:rsidR="00FF5422">
        <w:t xml:space="preserve">, the </w:t>
      </w:r>
      <w:r w:rsidR="00436998">
        <w:t>skewness</w:t>
      </w:r>
      <w:r w:rsidR="00FF5422">
        <w:t xml:space="preserve"> and kurtosis parameter are </w:t>
      </w:r>
      <w:r w:rsidR="006B76C7">
        <w:t xml:space="preserve">typically </w:t>
      </w:r>
      <w:r w:rsidR="00FF5422">
        <w:t>used to quantify the degree of non-normality</w:t>
      </w:r>
      <w:r w:rsidR="006B76C7">
        <w:t xml:space="preserve">, together with non-parametric tests such as </w:t>
      </w:r>
      <w:r w:rsidR="00825641">
        <w:t>the Shapiro-</w:t>
      </w:r>
      <w:r w:rsidR="006B76C7">
        <w:t>Wilk test</w:t>
      </w:r>
      <w:r w:rsidR="00825641">
        <w:t xml:space="preserve"> (</w:t>
      </w:r>
      <w:r w:rsidR="00F5084C">
        <w:t>Shapiro and Wilk, 1965</w:t>
      </w:r>
      <w:r w:rsidR="00825641">
        <w:t>)</w:t>
      </w:r>
      <w:r w:rsidR="00F5084C">
        <w:t>. If the original data are not normally distributed, several data transformations can be explored to convert the original non-normal data to a transformed normally distributed data set (see e.g. Mallants et al., 1996). The logarithmic transformation is often used for positively skewed data; the lognormal distribution is also commonly used as a model for groundwater data (US EPA, 2009).</w:t>
      </w:r>
    </w:p>
    <w:p w14:paraId="2EE2EC72" w14:textId="31556B8B" w:rsidR="007740AF" w:rsidRDefault="0082708C" w:rsidP="007740AF">
      <w:pPr>
        <w:pStyle w:val="Heading2"/>
      </w:pPr>
      <w:bookmarkStart w:id="47" w:name="_Toc449696584"/>
      <w:r>
        <w:t>Report Structure</w:t>
      </w:r>
      <w:bookmarkEnd w:id="47"/>
    </w:p>
    <w:p w14:paraId="68FC1862" w14:textId="701C794C" w:rsidR="00546012" w:rsidRDefault="005232DB" w:rsidP="005232DB">
      <w:pPr>
        <w:pStyle w:val="Body"/>
      </w:pPr>
      <w:r w:rsidRPr="00B27177">
        <w:t xml:space="preserve">This report </w:t>
      </w:r>
      <w:r w:rsidR="009E76A6">
        <w:t>provides an ove</w:t>
      </w:r>
      <w:r w:rsidRPr="00B27177">
        <w:t>rview</w:t>
      </w:r>
      <w:r w:rsidR="009E76A6">
        <w:t xml:space="preserve"> of</w:t>
      </w:r>
      <w:r w:rsidRPr="00B27177">
        <w:t xml:space="preserve"> approaches to the simulation of </w:t>
      </w:r>
      <w:r w:rsidR="001877BE">
        <w:t xml:space="preserve">aquitards and geological faults in </w:t>
      </w:r>
      <w:r w:rsidRPr="00B27177">
        <w:t>regional scale groundwater flow models</w:t>
      </w:r>
      <w:r w:rsidR="001877BE">
        <w:t xml:space="preserve"> used to estimate </w:t>
      </w:r>
      <w:r w:rsidR="001877BE" w:rsidRPr="00B27177">
        <w:t>the impacts of coal seam gas (CSG) extraction</w:t>
      </w:r>
      <w:r w:rsidRPr="00B27177">
        <w:t xml:space="preserve">. </w:t>
      </w:r>
      <w:r>
        <w:t>Here regional scale is defined as 10</w:t>
      </w:r>
      <w:r>
        <w:rPr>
          <w:vertAlign w:val="superscript"/>
        </w:rPr>
        <w:t>4</w:t>
      </w:r>
      <w:r>
        <w:t>–10</w:t>
      </w:r>
      <w:r>
        <w:rPr>
          <w:vertAlign w:val="superscript"/>
        </w:rPr>
        <w:t>5</w:t>
      </w:r>
      <w:r>
        <w:t xml:space="preserve"> metres in the horizontal plane </w:t>
      </w:r>
      <w:r w:rsidR="00084CDD">
        <w:fldChar w:fldCharType="begin"/>
      </w:r>
      <w:r>
        <w:instrText xml:space="preserve"> ADDIN EN.CITE &lt;EndNote&gt;&lt;Cite&gt;&lt;Author&gt;Dagan&lt;/Author&gt;&lt;Year&gt;1986&lt;/Year&gt;&lt;IDText&gt;Statistical theory of groundwater flow and transport: Pore to laboratory, laboratory to formation, and formation to regional scale&lt;/IDText&gt;&lt;DisplayText&gt;(Dagan, 1986)&lt;/DisplayText&gt;&lt;record&gt;&lt;isbn&gt;1944-7973&lt;/isbn&gt;&lt;titles&gt;&lt;title&gt;Statistical theory of groundwater flow and transport: Pore to laboratory, laboratory to formation, and formation to regional scale&lt;/title&gt;&lt;secondary-title&gt;Water Resources Research&lt;/secondary-title&gt;&lt;/titles&gt;&lt;pages&gt;120S-134S&lt;/pages&gt;&lt;number&gt;9S&lt;/number&gt;&lt;contributors&gt;&lt;authors&gt;&lt;author&gt;Dagan, Gedeon&lt;/author&gt;&lt;/authors&gt;&lt;/contributors&gt;&lt;added-date format="utc"&gt;1440732401&lt;/added-date&gt;&lt;ref-type name="Journal Article"&gt;17&lt;/ref-type&gt;&lt;dates&gt;&lt;year&gt;1986&lt;/year&gt;&lt;/dates&gt;&lt;rec-number&gt;1233&lt;/rec-number&gt;&lt;last-updated-date format="utc"&gt;1440732401&lt;/last-updated-date&gt;&lt;volume&gt;22&lt;/volume&gt;&lt;/record&gt;&lt;/Cite&gt;&lt;/EndNote&gt;</w:instrText>
      </w:r>
      <w:r w:rsidR="00084CDD">
        <w:fldChar w:fldCharType="separate"/>
      </w:r>
      <w:r>
        <w:rPr>
          <w:noProof/>
        </w:rPr>
        <w:t>(Dagan, 1986)</w:t>
      </w:r>
      <w:r w:rsidR="00084CDD">
        <w:fldChar w:fldCharType="end"/>
      </w:r>
      <w:r w:rsidR="00626A0B">
        <w:t xml:space="preserve">. For example, groundwater flow in the Surat Basin, Queensland has been modelled by the Office of Groundwater Impact Assessment (Section 4.1.1); this basin features a spatial extent of </w:t>
      </w:r>
      <w:r w:rsidR="00626A0B" w:rsidRPr="0032201E">
        <w:t>660</w:t>
      </w:r>
      <w:r w:rsidR="00626A0B">
        <w:t xml:space="preserve"> km × </w:t>
      </w:r>
      <w:r w:rsidR="00626A0B" w:rsidRPr="0032201E">
        <w:t>550 km</w:t>
      </w:r>
      <w:r>
        <w:t xml:space="preserve">. </w:t>
      </w:r>
    </w:p>
    <w:p w14:paraId="529598AC" w14:textId="7DA5073C" w:rsidR="005232DB" w:rsidRPr="00563D0F" w:rsidRDefault="00F4627B" w:rsidP="005232DB">
      <w:pPr>
        <w:pStyle w:val="Body"/>
        <w:rPr>
          <w:color w:val="C00000"/>
        </w:rPr>
      </w:pPr>
      <w:r>
        <w:t>T</w:t>
      </w:r>
      <w:r w:rsidR="005232DB" w:rsidRPr="00B27177">
        <w:t>wo aspects of the modelling process are examined in detail</w:t>
      </w:r>
      <w:r>
        <w:t>, particularly with regards to representations of aquitard units and geological faults</w:t>
      </w:r>
      <w:r w:rsidR="005232DB" w:rsidRPr="00B27177">
        <w:t>. First, appropriate strategies for model parameter upscaling and spatial interpolation are examined</w:t>
      </w:r>
      <w:r>
        <w:t>,</w:t>
      </w:r>
      <w:r w:rsidR="00DD6BC8">
        <w:t xml:space="preserve"> </w:t>
      </w:r>
      <w:r>
        <w:t xml:space="preserve">with respect to the representation of </w:t>
      </w:r>
      <w:r w:rsidR="00DD6BC8">
        <w:t>aquitard</w:t>
      </w:r>
      <w:r>
        <w:t xml:space="preserve"> units in particular</w:t>
      </w:r>
      <w:r w:rsidR="005232DB" w:rsidRPr="00B27177">
        <w:t xml:space="preserve">. Here, upscaling refers to a change in observation scale, which is often defined using the Representative Elementary Volume (REV) concept </w:t>
      </w:r>
      <w:r w:rsidR="00084CDD">
        <w:fldChar w:fldCharType="begin"/>
      </w:r>
      <w:r w:rsidR="005232DB">
        <w:instrText xml:space="preserve"> ADDIN EN.CITE &lt;EndNote&gt;&lt;Cite&gt;&lt;Author&gt;Bear&lt;/Author&gt;&lt;Year&gt;1972&lt;/Year&gt;&lt;IDText&gt;Dynamics of fluids in porous media&lt;/IDText&gt;&lt;DisplayText&gt;(Bear, 1972)&lt;/DisplayText&gt;&lt;record&gt;&lt;isbn&gt;044400114X&lt;/isbn&gt;&lt;titles&gt;&lt;title&gt;Dynamics of fluids in porous media&lt;/title&gt;&lt;/titles&gt;&lt;pages&gt;764&lt;/pages&gt;&lt;contributors&gt;&lt;authors&gt;&lt;author&gt;Bear, Jacob&lt;/author&gt;&lt;/authors&gt;&lt;/contributors&gt;&lt;added-date format="utc"&gt;1429231136&lt;/added-date&gt;&lt;pub-location&gt;New York, USA&lt;/pub-location&gt;&lt;ref-type name="Book"&gt;6&lt;/ref-type&gt;&lt;dates&gt;&lt;year&gt;1972&lt;/year&gt;&lt;/dates&gt;&lt;rec-number&gt;1159&lt;/rec-number&gt;&lt;publisher&gt;Elsevier&lt;/publisher&gt;&lt;last-updated-date format="utc"&gt;1429231206&lt;/last-updated-date&gt;&lt;/record&gt;&lt;/Cite&gt;&lt;/EndNote&gt;</w:instrText>
      </w:r>
      <w:r w:rsidR="00084CDD">
        <w:fldChar w:fldCharType="separate"/>
      </w:r>
      <w:r w:rsidR="005232DB">
        <w:rPr>
          <w:noProof/>
        </w:rPr>
        <w:t>(Bear, 1972)</w:t>
      </w:r>
      <w:r w:rsidR="00084CDD">
        <w:fldChar w:fldCharType="end"/>
      </w:r>
      <w:r w:rsidR="005232DB" w:rsidRPr="00B27177">
        <w:t xml:space="preserve">. Spatial interpolation refers to the </w:t>
      </w:r>
      <w:r w:rsidR="0011542D">
        <w:t>estimation</w:t>
      </w:r>
      <w:r w:rsidR="0011542D" w:rsidRPr="00B27177">
        <w:t xml:space="preserve"> </w:t>
      </w:r>
      <w:r w:rsidR="005232DB" w:rsidRPr="00B27177">
        <w:t>of parameter values in space; in the present study the interpolation is undertaken over regional scales</w:t>
      </w:r>
      <w:r w:rsidR="005232DB">
        <w:t xml:space="preserve">. </w:t>
      </w:r>
      <w:r w:rsidR="005232DB" w:rsidRPr="00B27177">
        <w:t>Second, numerical representations of geological faults and fractured zones in groundwater flow models are identified. In addition, local scale processes (e.g., multi-phase flow, dual porosity) that affect the prediction of CSG impacts are summarised and means of their representation are discussed. Throughout the report</w:t>
      </w:r>
      <w:r w:rsidR="00626A0B">
        <w:t>,</w:t>
      </w:r>
      <w:r w:rsidR="005232DB" w:rsidRPr="00B27177">
        <w:t xml:space="preserve"> available methods for the quantification of model and prediction uncertainty are discussed. It should be noted that the focus of the report is on groundwater flow</w:t>
      </w:r>
      <w:r w:rsidR="0027336F">
        <w:t xml:space="preserve">; in particular, </w:t>
      </w:r>
      <w:r w:rsidR="005232DB" w:rsidRPr="00B27177">
        <w:t>hydraulic responses</w:t>
      </w:r>
      <w:r w:rsidR="0027336F">
        <w:t xml:space="preserve"> to groundwater extraction for CSG production. T</w:t>
      </w:r>
      <w:r w:rsidR="005232DB" w:rsidRPr="00B27177">
        <w:t>herefore</w:t>
      </w:r>
      <w:r w:rsidR="0027336F">
        <w:t>,</w:t>
      </w:r>
      <w:r w:rsidR="005232DB" w:rsidRPr="00B27177">
        <w:t xml:space="preserve"> the simulation of solute transport is not d</w:t>
      </w:r>
      <w:r w:rsidR="0057477F">
        <w:t>iscussed</w:t>
      </w:r>
      <w:r w:rsidR="0027336F">
        <w:t>, nor are responses to the reinjection of co-produced water</w:t>
      </w:r>
      <w:r w:rsidR="005232DB" w:rsidRPr="00B27177">
        <w:t xml:space="preserve">. </w:t>
      </w:r>
    </w:p>
    <w:p w14:paraId="27388126" w14:textId="12950E49" w:rsidR="005F22A3" w:rsidRDefault="007740AF">
      <w:pPr>
        <w:pStyle w:val="Body"/>
      </w:pPr>
      <w:r>
        <w:t>The structure of the present report is as follows. First, four key local scale processes are briefly discussed</w:t>
      </w:r>
      <w:r w:rsidR="0057477F">
        <w:t>: dual domain permeability and porosity, gas desorption, dual phase flow, and geomechanical deformation</w:t>
      </w:r>
      <w:r w:rsidR="00016A72">
        <w:t xml:space="preserve"> (Chapter 2)</w:t>
      </w:r>
      <w:r w:rsidR="0057477F">
        <w:t>.</w:t>
      </w:r>
      <w:r>
        <w:t xml:space="preserve"> These are significant in terms of the accurate characterisation of groundwater extraction rates for CSG production</w:t>
      </w:r>
      <w:r w:rsidR="00E34F67">
        <w:t xml:space="preserve"> and also in terms of </w:t>
      </w:r>
      <w:r w:rsidR="001645F9">
        <w:t xml:space="preserve">the accurate simulation of </w:t>
      </w:r>
      <w:r w:rsidR="00E34F67">
        <w:t>drawdown impacts</w:t>
      </w:r>
      <w:r w:rsidR="001645F9">
        <w:t xml:space="preserve"> in the immediate vicinity of CSG extraction wells</w:t>
      </w:r>
      <w:r>
        <w:t>.</w:t>
      </w:r>
      <w:r w:rsidR="00E26801">
        <w:t xml:space="preserve"> Two key regional scale considerations are then discussed: (1) the upscaling and regionalisation of groundwater flow model parameters; and (2) the representation of structural features in such models</w:t>
      </w:r>
      <w:r w:rsidR="00016A72">
        <w:t xml:space="preserve"> (Chapter 3)</w:t>
      </w:r>
      <w:r w:rsidR="00E26801">
        <w:t xml:space="preserve">. The latter includes geological faults and fracture networks, both of which may compromise the capacity of aquitard units to limit the vertical propagation of hydraulic gradients resulting from CSG production. For both (1) and (2), various methods of representation developed in academic literature are described and compared. The final section of the report </w:t>
      </w:r>
      <w:r w:rsidR="009E76A6">
        <w:t>provides a synopsis</w:t>
      </w:r>
      <w:r w:rsidR="00E26801">
        <w:t xml:space="preserve"> </w:t>
      </w:r>
      <w:r w:rsidR="007D64CD">
        <w:t xml:space="preserve">of </w:t>
      </w:r>
      <w:r w:rsidR="00E26801">
        <w:t xml:space="preserve">all publicly </w:t>
      </w:r>
      <w:r w:rsidR="00546012">
        <w:t>documented</w:t>
      </w:r>
      <w:r w:rsidR="00E26801">
        <w:t xml:space="preserve"> numerical groundwater flow models used for CSG production </w:t>
      </w:r>
      <w:r w:rsidR="0057477F">
        <w:t xml:space="preserve">impact </w:t>
      </w:r>
      <w:r w:rsidR="00E26801">
        <w:t>simulation in Australia to date</w:t>
      </w:r>
      <w:r w:rsidR="00016A72">
        <w:t xml:space="preserve"> (Chapter 4)</w:t>
      </w:r>
      <w:r w:rsidR="00E26801">
        <w:t>. Approaches used to upscale and regionalise parameter values are summarised, as are methods of representing geological faults and fracture networks.</w:t>
      </w:r>
      <w:r w:rsidR="004B1BB4">
        <w:t xml:space="preserve"> A summary of findings is provided in Chapter 5.</w:t>
      </w:r>
      <w:r w:rsidR="005F22A3">
        <w:br w:type="page"/>
      </w:r>
    </w:p>
    <w:p w14:paraId="6189A995" w14:textId="7A8AA6B6" w:rsidR="00E8296A" w:rsidRDefault="003A0306">
      <w:pPr>
        <w:pStyle w:val="Heading1"/>
      </w:pPr>
      <w:bookmarkStart w:id="48" w:name="_Toc445832118"/>
      <w:bookmarkStart w:id="49" w:name="_Toc446256200"/>
      <w:bookmarkStart w:id="50" w:name="_Toc449695916"/>
      <w:bookmarkStart w:id="51" w:name="_Toc449696585"/>
      <w:bookmarkStart w:id="52" w:name="_Toc449696586"/>
      <w:bookmarkEnd w:id="48"/>
      <w:bookmarkEnd w:id="49"/>
      <w:bookmarkEnd w:id="50"/>
      <w:bookmarkEnd w:id="51"/>
      <w:r>
        <w:t>Local scale c</w:t>
      </w:r>
      <w:r w:rsidR="00E8296A">
        <w:t xml:space="preserve">onsiderations for </w:t>
      </w:r>
      <w:r>
        <w:t xml:space="preserve">CSG </w:t>
      </w:r>
      <w:r w:rsidR="00E8296A">
        <w:t>reservoir simulation</w:t>
      </w:r>
      <w:bookmarkEnd w:id="52"/>
      <w:r w:rsidR="00E8296A">
        <w:t xml:space="preserve"> </w:t>
      </w:r>
    </w:p>
    <w:p w14:paraId="793BA240" w14:textId="43544EE0" w:rsidR="00E8296A" w:rsidRDefault="0095211D" w:rsidP="00E8296A">
      <w:pPr>
        <w:pStyle w:val="Body"/>
      </w:pPr>
      <w:r>
        <w:t>T</w:t>
      </w:r>
      <w:r w:rsidR="00E8296A">
        <w:t xml:space="preserve">he focus of </w:t>
      </w:r>
      <w:r w:rsidR="006C4F88">
        <w:t xml:space="preserve">the present </w:t>
      </w:r>
      <w:r w:rsidR="009E76A6">
        <w:t>ove</w:t>
      </w:r>
      <w:r w:rsidR="00E8296A">
        <w:t>rview is on the implementation of parameter upscaling approaches and the representation of structural features in regional scale groundwater flow models</w:t>
      </w:r>
      <w:r>
        <w:t xml:space="preserve">. </w:t>
      </w:r>
      <w:r w:rsidR="007210F1">
        <w:t>Here regional scale is defined as 10</w:t>
      </w:r>
      <w:r w:rsidR="007210F1">
        <w:rPr>
          <w:vertAlign w:val="superscript"/>
        </w:rPr>
        <w:t>4</w:t>
      </w:r>
      <w:r w:rsidR="007210F1">
        <w:t>–10</w:t>
      </w:r>
      <w:r w:rsidR="007210F1">
        <w:rPr>
          <w:vertAlign w:val="superscript"/>
        </w:rPr>
        <w:t>5</w:t>
      </w:r>
      <w:r w:rsidR="007210F1">
        <w:t xml:space="preserve"> metres in the horizontal plane </w:t>
      </w:r>
      <w:r w:rsidR="00084CDD">
        <w:fldChar w:fldCharType="begin"/>
      </w:r>
      <w:r w:rsidR="007210F1">
        <w:instrText xml:space="preserve"> ADDIN EN.CITE &lt;EndNote&gt;&lt;Cite&gt;&lt;Author&gt;Dagan&lt;/Author&gt;&lt;Year&gt;1986&lt;/Year&gt;&lt;IDText&gt;Statistical theory of groundwater flow and transport: Pore to laboratory, laboratory to formation, and formation to regional scale&lt;/IDText&gt;&lt;DisplayText&gt;(Dagan, 1986)&lt;/DisplayText&gt;&lt;record&gt;&lt;isbn&gt;1944-7973&lt;/isbn&gt;&lt;titles&gt;&lt;title&gt;Statistical theory of groundwater flow and transport: Pore to laboratory, laboratory to formation, and formation to regional scale&lt;/title&gt;&lt;secondary-title&gt;Water Resources Research&lt;/secondary-title&gt;&lt;/titles&gt;&lt;pages&gt;120S-134S&lt;/pages&gt;&lt;number&gt;9S&lt;/number&gt;&lt;contributors&gt;&lt;authors&gt;&lt;author&gt;Dagan, Gedeon&lt;/author&gt;&lt;/authors&gt;&lt;/contributors&gt;&lt;added-date format="utc"&gt;1440732401&lt;/added-date&gt;&lt;ref-type name="Journal Article"&gt;17&lt;/ref-type&gt;&lt;dates&gt;&lt;year&gt;1986&lt;/year&gt;&lt;/dates&gt;&lt;rec-number&gt;1233&lt;/rec-number&gt;&lt;last-updated-date format="utc"&gt;1440732401&lt;/last-updated-date&gt;&lt;volume&gt;22&lt;/volume&gt;&lt;/record&gt;&lt;/Cite&gt;&lt;/EndNote&gt;</w:instrText>
      </w:r>
      <w:r w:rsidR="00084CDD">
        <w:fldChar w:fldCharType="separate"/>
      </w:r>
      <w:r w:rsidR="007210F1">
        <w:rPr>
          <w:noProof/>
        </w:rPr>
        <w:t>(Dagan, 1986)</w:t>
      </w:r>
      <w:r w:rsidR="00084CDD">
        <w:fldChar w:fldCharType="end"/>
      </w:r>
      <w:r w:rsidR="007210F1">
        <w:t xml:space="preserve">. </w:t>
      </w:r>
      <w:r>
        <w:t>However</w:t>
      </w:r>
      <w:r w:rsidR="00E8296A">
        <w:t xml:space="preserve">, local scale physical processes </w:t>
      </w:r>
      <w:r w:rsidR="00B24AB8">
        <w:t xml:space="preserve">relevant to </w:t>
      </w:r>
      <w:r w:rsidR="008D1F69" w:rsidRPr="00B27177">
        <w:t xml:space="preserve">simulation of </w:t>
      </w:r>
      <w:r w:rsidR="008D1F69">
        <w:t xml:space="preserve">aquitards and geological faults in </w:t>
      </w:r>
      <w:r w:rsidR="008D1F69" w:rsidRPr="00B27177">
        <w:t>regional scale groundwater flow models</w:t>
      </w:r>
      <w:r w:rsidR="008D1F69">
        <w:t xml:space="preserve"> used to estimate </w:t>
      </w:r>
      <w:r w:rsidR="008D1F69" w:rsidRPr="00B27177">
        <w:t>the impacts of coal seam ga</w:t>
      </w:r>
      <w:r w:rsidR="008D1F69">
        <w:t xml:space="preserve">s </w:t>
      </w:r>
      <w:r w:rsidR="00AC5852">
        <w:t xml:space="preserve">must also be </w:t>
      </w:r>
      <w:r w:rsidR="00E8296A">
        <w:t xml:space="preserve">represented </w:t>
      </w:r>
      <w:r w:rsidR="006B3F75">
        <w:t xml:space="preserve">to ensure the </w:t>
      </w:r>
      <w:r w:rsidR="00390C49">
        <w:t>robust</w:t>
      </w:r>
      <w:r w:rsidR="006B3F75">
        <w:t xml:space="preserve">ness of </w:t>
      </w:r>
      <w:r w:rsidR="00390C49">
        <w:t xml:space="preserve">impact </w:t>
      </w:r>
      <w:r w:rsidR="006B3F75">
        <w:t>predictions</w:t>
      </w:r>
      <w:r w:rsidR="00E8296A">
        <w:t>. The representation of these processes can significantly affect the hydraulic response calculated at a local scale, which is subsequently propagated at a regional scale</w:t>
      </w:r>
      <w:r w:rsidR="006C4F88">
        <w:t xml:space="preserve">, typically </w:t>
      </w:r>
      <w:r w:rsidR="00E8296A">
        <w:t xml:space="preserve">by a coupled </w:t>
      </w:r>
      <w:r w:rsidR="00F86BC3">
        <w:t xml:space="preserve">reservoir-regional groundwater </w:t>
      </w:r>
      <w:r w:rsidR="00E8296A">
        <w:t xml:space="preserve">model. These processes were summarised by </w:t>
      </w:r>
      <w:r w:rsidR="003D7DB2" w:rsidRPr="008C753A">
        <w:t xml:space="preserve">Moore </w:t>
      </w:r>
      <w:r w:rsidR="00084CDD" w:rsidRPr="008C753A">
        <w:fldChar w:fldCharType="begin"/>
      </w:r>
      <w:r w:rsidR="008C753A" w:rsidRPr="008C753A">
        <w:instrText xml:space="preserve"> ADDIN EN.CITE &lt;EndNote&gt;&lt;Cite ExcludeAuth="1"&gt;&lt;Author&gt;Moore&lt;/Author&gt;&lt;Year&gt;2012&lt;/Year&gt;&lt;IDText&gt;Coalbed methane: A review&lt;/IDText&gt;&lt;DisplayText&gt;(2012)&lt;/DisplayText&gt;&lt;record&gt;&lt;dates&gt;&lt;pub-dates&gt;&lt;date&gt;NOV 1 2012&lt;/date&gt;&lt;/pub-dates&gt;&lt;year&gt;2012&lt;/year&gt;&lt;/dates&gt;&lt;keywords&gt;&lt;keyword&gt;Coalbed methane&lt;/keyword&gt;&lt;keyword&gt;Coal seam gas&lt;/keyword&gt;&lt;keyword&gt;Reservoir&lt;/keyword&gt;&lt;keyword&gt;Biogenic&lt;/keyword&gt;&lt;keyword&gt;Thermogenic&lt;/keyword&gt;&lt;keyword&gt;Gas saturation&lt;/keyword&gt;&lt;keyword&gt;Production&lt;/keyword&gt;&lt;keyword&gt;Exploration&lt;/keyword&gt;&lt;keyword&gt;Diffusion&lt;/keyword&gt;&lt;keyword&gt;Permeability&lt;/keyword&gt;&lt;keyword&gt;Desorption&lt;/keyword&gt;&lt;keyword&gt;Adsorption&lt;/keyword&gt;&lt;keyword&gt;Microbiology&lt;/keyword&gt;&lt;keyword&gt;Methanogens&lt;/keyword&gt;&lt;keyword&gt;Pores&lt;/keyword&gt;&lt;keyword&gt;Organic composition&lt;/keyword&gt;&lt;keyword&gt;POWDER RIVER-BASIN&lt;/keyword&gt;&lt;keyword&gt;SAN-JUAN BASIN&lt;/keyword&gt;&lt;keyword&gt;BLACK-WARRIOR BASIN&lt;/keyword&gt;&lt;keyword&gt;CARBON-DIOXIDE&lt;/keyword&gt;&lt;keyword&gt;CO2 SEQUESTRATION&lt;/keyword&gt;&lt;keyword&gt;BED METHANE&lt;/keyword&gt;&lt;keyword&gt;NEW-ZEALAND&lt;/keyword&gt;&lt;keyword&gt;ILLINOIS BASIN&lt;/keyword&gt;&lt;keyword&gt;PORE STRUCTURE&lt;/keyword&gt;&lt;keyword&gt;UNITED-STATES&lt;/keyword&gt;&lt;/keywords&gt;&lt;isbn&gt;0166-5162&lt;/isbn&gt;&lt;work-type&gt;Review&lt;/work-type&gt;&lt;titles&gt;&lt;title&gt;Coalbed methane: A review&lt;/title&gt;&lt;secondary-title&gt;International Journal of Coal Geology&lt;/secondary-title&gt;&lt;/titles&gt;&lt;pages&gt;36-81&lt;/pages&gt;&lt;contributors&gt;&lt;authors&gt;&lt;author&gt;Moore, TA&lt;/author&gt;&lt;/authors&gt;&lt;/contributors&gt;&lt;language&gt;English&lt;/language&gt;&lt;added-date format="utc"&gt;1433492861&lt;/added-date&gt;&lt;ref-type name="Journal Article"&gt;17&lt;/ref-type&gt;&lt;auth-address&gt;Moore, TA (reprint author), Cipher Coal Consulting Ltd, 173 Clifton Terrace, Christchurch 8081, New Zealand&amp;#xD;Cipher Coal Consulting Ltd, Christchurch 8081, New Zealand&amp;#xD;Univ Canterbury, Dept Geol Sci, Christchurch 1, New Zealand&amp;#xD;tmoore@ciphercoal.com&lt;/auth-address&gt;&lt;rec-number&gt;147&lt;/rec-number&gt;&lt;last-updated-date format="utc"&gt;1433492861&lt;/last-updated-date&gt;&lt;accession-num&gt;WOS:000309083900004&lt;/accession-num&gt;&lt;electronic-resource-num&gt;10.1016/j.coal.2012.05.011&lt;/electronic-resource-num&gt;&lt;volume&gt;101&lt;/volume&gt;&lt;/record&gt;&lt;/Cite&gt;&lt;/EndNote&gt;</w:instrText>
      </w:r>
      <w:r w:rsidR="00084CDD" w:rsidRPr="008C753A">
        <w:fldChar w:fldCharType="separate"/>
      </w:r>
      <w:r w:rsidR="008C753A" w:rsidRPr="008C753A">
        <w:rPr>
          <w:noProof/>
        </w:rPr>
        <w:t>(2012)</w:t>
      </w:r>
      <w:r w:rsidR="00084CDD" w:rsidRPr="008C753A">
        <w:fldChar w:fldCharType="end"/>
      </w:r>
      <w:r w:rsidR="003D7DB2">
        <w:t xml:space="preserve"> and </w:t>
      </w:r>
      <w:r w:rsidR="00FD5FF6">
        <w:t xml:space="preserve">CoA </w:t>
      </w:r>
      <w:r w:rsidR="00084CDD">
        <w:fldChar w:fldCharType="begin"/>
      </w:r>
      <w:r w:rsidR="00C97A18">
        <w:instrText xml:space="preserve"> ADDIN EN.CITE &lt;EndNote&gt;&lt;Cite ExcludeAuth="1"&gt;&lt;Author&gt;CoA&lt;/Author&gt;&lt;Year&gt;2014&lt;/Year&gt;&lt;IDText&gt;Coal seam gas extraction modelling groundwater impacts&lt;/IDText&gt;&lt;DisplayText&gt;(2014a)&lt;/DisplayText&gt;&lt;record&gt;&lt;contributors&gt;&lt;tertiary-authors&gt;&lt;author&gt;Commonwealth of Australia&lt;/author&gt;&lt;/tertiary-authors&gt;&lt;/contributors&gt;&lt;urls&gt;&lt;related-urls&gt;&lt;url&gt;http://iesc.environment.gov.au/index.html&lt;/url&gt;&lt;/related-urls&gt;&lt;/urls&gt;&lt;titles&gt;&lt;title&gt;Coal seam gas extraction modelling groundwater impacts&lt;/title&gt;&lt;secondary-title&gt;prepared by Coffey Geotechnics for the Department of the Environment, Commonwealth of Australia&lt;/secondary-title&gt;&lt;/titles&gt;&lt;pages&gt;92&lt;/pages&gt;&lt;contributors&gt;&lt;authors&gt;&lt;author&gt;CoA&lt;/author&gt;&lt;/authors&gt;&lt;/contributors&gt;&lt;added-date format="utc"&gt;1433471649&lt;/added-date&gt;&lt;pub-location&gt;Canberra, Australian Capital Territory&lt;/pub-location&gt;&lt;ref-type name="Report"&gt;27&lt;/ref-type&gt;&lt;dates&gt;&lt;year&gt;2014&lt;/year&gt;&lt;/dates&gt;&lt;rec-number&gt;94&lt;/rec-number&gt;&lt;last-updated-date format="utc"&gt;1433898700&lt;/last-updated-date&gt;&lt;/record&gt;&lt;/Cite&gt;&lt;/EndNote&gt;</w:instrText>
      </w:r>
      <w:r w:rsidR="00084CDD">
        <w:fldChar w:fldCharType="separate"/>
      </w:r>
      <w:r w:rsidR="00C97A18">
        <w:rPr>
          <w:noProof/>
        </w:rPr>
        <w:t>(2014a)</w:t>
      </w:r>
      <w:r w:rsidR="00084CDD">
        <w:fldChar w:fldCharType="end"/>
      </w:r>
      <w:r w:rsidR="00E8296A">
        <w:t xml:space="preserve">. Four key physical processes involved in </w:t>
      </w:r>
      <w:r w:rsidR="00023A82">
        <w:t>coal seam</w:t>
      </w:r>
      <w:r w:rsidR="00E8296A">
        <w:t xml:space="preserve"> gas extraction at a local scale are: </w:t>
      </w:r>
    </w:p>
    <w:p w14:paraId="7FCC6B61" w14:textId="0C671A23" w:rsidR="00E8296A" w:rsidRDefault="006C4F88" w:rsidP="00F20E24">
      <w:pPr>
        <w:pStyle w:val="Body"/>
        <w:numPr>
          <w:ilvl w:val="0"/>
          <w:numId w:val="16"/>
        </w:numPr>
      </w:pPr>
      <w:r w:rsidRPr="006C4F88">
        <w:rPr>
          <w:b/>
        </w:rPr>
        <w:t>Dual domain flow:</w:t>
      </w:r>
      <w:r>
        <w:t xml:space="preserve"> the </w:t>
      </w:r>
      <w:r w:rsidR="00E8296A">
        <w:t xml:space="preserve">flow </w:t>
      </w:r>
      <w:r>
        <w:t xml:space="preserve">of fluids </w:t>
      </w:r>
      <w:r w:rsidR="00C850F9">
        <w:t xml:space="preserve">between domains of contrasting properties; </w:t>
      </w:r>
      <w:r w:rsidR="00AA5ABA">
        <w:t xml:space="preserve">e.g., </w:t>
      </w:r>
      <w:r w:rsidR="0083421C">
        <w:t>matrix–</w:t>
      </w:r>
      <w:r w:rsidR="00546012">
        <w:t>to-</w:t>
      </w:r>
      <w:r w:rsidR="0083421C">
        <w:t>cleats flow in coal seams</w:t>
      </w:r>
      <w:r w:rsidR="00C850F9">
        <w:t xml:space="preserve"> </w:t>
      </w:r>
      <w:r w:rsidR="0083421C">
        <w:t>or matrix–</w:t>
      </w:r>
      <w:r w:rsidR="00546012">
        <w:t>to-</w:t>
      </w:r>
      <w:r w:rsidR="0083421C">
        <w:t>fracture flow in fractured rock aquifers;</w:t>
      </w:r>
    </w:p>
    <w:p w14:paraId="60406B70" w14:textId="77777777" w:rsidR="00643C03" w:rsidRDefault="00643C03" w:rsidP="00643C03">
      <w:pPr>
        <w:pStyle w:val="Body"/>
        <w:numPr>
          <w:ilvl w:val="0"/>
          <w:numId w:val="16"/>
        </w:numPr>
      </w:pPr>
      <w:r w:rsidRPr="006C4F88">
        <w:rPr>
          <w:b/>
        </w:rPr>
        <w:t xml:space="preserve">Gas </w:t>
      </w:r>
      <w:r>
        <w:rPr>
          <w:b/>
        </w:rPr>
        <w:t>de</w:t>
      </w:r>
      <w:r w:rsidRPr="006C4F88">
        <w:rPr>
          <w:b/>
        </w:rPr>
        <w:t>sorption:</w:t>
      </w:r>
      <w:r>
        <w:t xml:space="preserve"> the removal of gas from the surface of coal cleats due to a reduction in hydrostatic pressure</w:t>
      </w:r>
      <w:r w:rsidR="0083421C">
        <w:t>;</w:t>
      </w:r>
    </w:p>
    <w:p w14:paraId="226683A0" w14:textId="77777777" w:rsidR="00E8296A" w:rsidRDefault="00580D78" w:rsidP="00F20E24">
      <w:pPr>
        <w:pStyle w:val="Body"/>
        <w:numPr>
          <w:ilvl w:val="0"/>
          <w:numId w:val="16"/>
        </w:numPr>
      </w:pPr>
      <w:r>
        <w:rPr>
          <w:b/>
        </w:rPr>
        <w:t xml:space="preserve">Dual </w:t>
      </w:r>
      <w:r w:rsidR="006C4F88" w:rsidRPr="006C4F88">
        <w:rPr>
          <w:b/>
        </w:rPr>
        <w:t>phase flow:</w:t>
      </w:r>
      <w:r w:rsidR="006C4F88">
        <w:t xml:space="preserve"> </w:t>
      </w:r>
      <w:r w:rsidR="00E8296A">
        <w:t>the simultaneous flow of constituents of vario</w:t>
      </w:r>
      <w:r w:rsidR="006C4F88">
        <w:t>us phases (</w:t>
      </w:r>
      <w:r w:rsidR="00C85DC3">
        <w:t xml:space="preserve">i.e., </w:t>
      </w:r>
      <w:r w:rsidR="006C4F88">
        <w:t>water and gas</w:t>
      </w:r>
      <w:r w:rsidR="00F86BC3">
        <w:t xml:space="preserve"> in the case of hydrocarbon extraction</w:t>
      </w:r>
      <w:r w:rsidR="006C4F88">
        <w:t>)</w:t>
      </w:r>
      <w:r w:rsidR="00232658">
        <w:t xml:space="preserve"> and the existence of unsaturated flow conditions</w:t>
      </w:r>
      <w:r w:rsidR="0083421C">
        <w:t>; and,</w:t>
      </w:r>
    </w:p>
    <w:p w14:paraId="51D46618" w14:textId="77777777" w:rsidR="00E8296A" w:rsidRDefault="006C4F88" w:rsidP="00F20E24">
      <w:pPr>
        <w:pStyle w:val="Body"/>
        <w:numPr>
          <w:ilvl w:val="0"/>
          <w:numId w:val="16"/>
        </w:numPr>
      </w:pPr>
      <w:r w:rsidRPr="006C4F88">
        <w:rPr>
          <w:b/>
        </w:rPr>
        <w:t>Geomechanical deformation:</w:t>
      </w:r>
      <w:r>
        <w:t xml:space="preserve"> </w:t>
      </w:r>
      <w:r w:rsidR="00E8296A">
        <w:t xml:space="preserve">changes in </w:t>
      </w:r>
      <w:r w:rsidR="004974CA">
        <w:t xml:space="preserve">(a) rock </w:t>
      </w:r>
      <w:r w:rsidR="00E8296A">
        <w:t xml:space="preserve">permeability and porosity </w:t>
      </w:r>
      <w:r w:rsidR="004974CA">
        <w:t xml:space="preserve">and (b) fluid permeability </w:t>
      </w:r>
      <w:r w:rsidR="00E8296A">
        <w:t>due to geomechanical deformation resu</w:t>
      </w:r>
      <w:r>
        <w:t xml:space="preserve">lting from </w:t>
      </w:r>
      <w:r w:rsidR="00232658">
        <w:t>decreases</w:t>
      </w:r>
      <w:r>
        <w:t xml:space="preserve"> in </w:t>
      </w:r>
      <w:r w:rsidR="00232658">
        <w:t xml:space="preserve">water </w:t>
      </w:r>
      <w:r>
        <w:t>pressure</w:t>
      </w:r>
      <w:r w:rsidR="00232658">
        <w:t xml:space="preserve"> and subsequent increases </w:t>
      </w:r>
      <w:r w:rsidR="006B0822">
        <w:t xml:space="preserve">in </w:t>
      </w:r>
      <w:r w:rsidR="00232658">
        <w:t>stress</w:t>
      </w:r>
      <w:r w:rsidR="004974CA">
        <w:t>es</w:t>
      </w:r>
      <w:r w:rsidR="00232658">
        <w:t xml:space="preserve"> carried by the coal matrix</w:t>
      </w:r>
      <w:r w:rsidR="004974CA">
        <w:t xml:space="preserve"> and the fluid contained therein</w:t>
      </w:r>
      <w:r w:rsidR="00232658">
        <w:t xml:space="preserve">. </w:t>
      </w:r>
    </w:p>
    <w:p w14:paraId="5C5D7FCF" w14:textId="3E62B45F" w:rsidR="00B13FEF" w:rsidRPr="004D63E1" w:rsidRDefault="00E8296A" w:rsidP="004D63E1">
      <w:pPr>
        <w:pStyle w:val="Body"/>
      </w:pPr>
      <w:r>
        <w:t>Each of these processes is described</w:t>
      </w:r>
      <w:r w:rsidR="00FE3208">
        <w:t xml:space="preserve"> in </w:t>
      </w:r>
      <w:r w:rsidR="006B3F75">
        <w:t>S</w:t>
      </w:r>
      <w:r w:rsidR="00FE3208">
        <w:t>ections</w:t>
      </w:r>
      <w:r w:rsidR="006B3F75">
        <w:t xml:space="preserve"> 2.1 to 2.4</w:t>
      </w:r>
      <w:r>
        <w:t>.</w:t>
      </w:r>
      <w:r w:rsidR="00626A0B">
        <w:t xml:space="preserve"> In addition to these four processes, it is noted that significant variations in the temperature and salinity of fluids mobilised during coal seam gas extraction may </w:t>
      </w:r>
      <w:r w:rsidR="00017E50">
        <w:t xml:space="preserve">possibly </w:t>
      </w:r>
      <w:r w:rsidR="00626A0B">
        <w:t xml:space="preserve">lead to density driven flow. </w:t>
      </w:r>
      <w:r w:rsidR="00017E50">
        <w:t xml:space="preserve">Density driven flow has been studied </w:t>
      </w:r>
      <w:r w:rsidR="00672EE4">
        <w:t xml:space="preserve">extensively </w:t>
      </w:r>
      <w:r w:rsidR="00017E50">
        <w:t>in the context of s</w:t>
      </w:r>
      <w:r w:rsidR="00672EE4">
        <w:t>ea</w:t>
      </w:r>
      <w:r w:rsidR="00017E50">
        <w:t>water intrusion</w:t>
      </w:r>
      <w:r w:rsidR="00672EE4">
        <w:t xml:space="preserve"> (</w:t>
      </w:r>
      <w:r w:rsidR="00691E7B">
        <w:t>Kolditz et al. 1998</w:t>
      </w:r>
      <w:r w:rsidR="00672EE4">
        <w:t>) or saltwater upconing (Motz 1992)</w:t>
      </w:r>
      <w:r w:rsidR="00017E50">
        <w:t xml:space="preserve">, but </w:t>
      </w:r>
      <w:r w:rsidR="00672EE4">
        <w:t xml:space="preserve">much </w:t>
      </w:r>
      <w:r w:rsidR="00017E50">
        <w:t xml:space="preserve">less so in the context of </w:t>
      </w:r>
      <w:r w:rsidR="00626A0B">
        <w:t xml:space="preserve">coal seam gas extraction. </w:t>
      </w:r>
      <w:r w:rsidR="001B5B18">
        <w:t xml:space="preserve">At minimum, head measurements should be carried out in conjunction with measurements of electrical conductivity from which one can determine if density corrections of measured head to fresh water heads are required. Practical guidelines have been developed by Post </w:t>
      </w:r>
      <w:r w:rsidR="000E52C9">
        <w:t>et al.</w:t>
      </w:r>
      <w:r w:rsidR="001B5B18">
        <w:t xml:space="preserve"> (2007) to determine quantitatively when variably-density effects on groundwater flow need to be taken into account or can be justifiably neglected.</w:t>
      </w:r>
    </w:p>
    <w:p w14:paraId="09FD00EB" w14:textId="77777777" w:rsidR="00E8296A" w:rsidRDefault="00E8296A" w:rsidP="003E3108">
      <w:pPr>
        <w:pStyle w:val="Heading2"/>
      </w:pPr>
      <w:bookmarkStart w:id="53" w:name="_Toc449696587"/>
      <w:r>
        <w:t>Dual domain permeability and porosity</w:t>
      </w:r>
      <w:bookmarkEnd w:id="53"/>
      <w:r>
        <w:t xml:space="preserve"> </w:t>
      </w:r>
    </w:p>
    <w:p w14:paraId="55765D22" w14:textId="2BEF03B8" w:rsidR="001F3D53" w:rsidRDefault="001F3D53" w:rsidP="001F3D53">
      <w:pPr>
        <w:pStyle w:val="Body"/>
      </w:pPr>
      <w:r>
        <w:t>The flow of methane from coal matrix to CSG well occurs sequentially via three separate processes (</w:t>
      </w:r>
      <w:r>
        <w:fldChar w:fldCharType="begin"/>
      </w:r>
      <w:r>
        <w:instrText xml:space="preserve"> REF _Ref436730660 \h </w:instrText>
      </w:r>
      <w:r>
        <w:fldChar w:fldCharType="separate"/>
      </w:r>
      <w:r w:rsidR="00C52E30">
        <w:t xml:space="preserve">Figure </w:t>
      </w:r>
      <w:r w:rsidR="00C52E30">
        <w:rPr>
          <w:noProof/>
        </w:rPr>
        <w:t>14</w:t>
      </w:r>
      <w:r>
        <w:fldChar w:fldCharType="end"/>
      </w:r>
      <w:r>
        <w:t xml:space="preserve">). First, methane is desorbed from surfaces within the coal matrix. Second, methane is transported through the connected pores of the coal matrix to cleats and fractures via diffusive processes. Third, once present in the cleats or fractures of a coal formation, methane is transported to a CSG well via Darcian flow processes. Therefore, describing fluid flow in coal seams requires a dual domain approaches to permeability and porosity to </w:t>
      </w:r>
      <w:r w:rsidRPr="0083421C">
        <w:t>represent</w:t>
      </w:r>
      <w:r>
        <w:t xml:space="preserve"> differences in hydraulic properties between cleats and the surrounding coal matrix. </w:t>
      </w:r>
    </w:p>
    <w:p w14:paraId="4A18ED3F" w14:textId="6A625B7F" w:rsidR="00DD06D9" w:rsidRPr="0026688C" w:rsidRDefault="00DD06D9" w:rsidP="00DD06D9">
      <w:pPr>
        <w:pStyle w:val="Body"/>
        <w:rPr>
          <w:rFonts w:eastAsia="Times New Roman"/>
          <w:lang w:eastAsia="en-AU"/>
        </w:rPr>
      </w:pPr>
      <w:r>
        <w:t xml:space="preserve">Permeability is defined as </w:t>
      </w:r>
      <w:r w:rsidRPr="00AA613E">
        <w:rPr>
          <w:rFonts w:eastAsia="Times New Roman"/>
          <w:lang w:eastAsia="en-AU"/>
        </w:rPr>
        <w:t xml:space="preserve">the ability of a rock, soil or sediment to yield or transmit a fluid. The magnitude of permeability depends largely on the porosity and the interconnectivity of pores and spaces in </w:t>
      </w:r>
      <w:r>
        <w:rPr>
          <w:rFonts w:eastAsia="Times New Roman"/>
          <w:lang w:eastAsia="en-AU"/>
        </w:rPr>
        <w:t xml:space="preserve">the medium of interest. </w:t>
      </w:r>
      <w:r w:rsidRPr="0026688C">
        <w:rPr>
          <w:rFonts w:eastAsia="Times New Roman"/>
          <w:lang w:eastAsia="en-AU"/>
        </w:rPr>
        <w:t xml:space="preserve">Permeability units are expressed hereafter in mD (milliDarcy). </w:t>
      </w:r>
      <w:r>
        <w:rPr>
          <w:rFonts w:eastAsia="Times New Roman"/>
          <w:lang w:eastAsia="en-AU"/>
        </w:rPr>
        <w:t>P</w:t>
      </w:r>
      <w:r w:rsidRPr="0026688C">
        <w:rPr>
          <w:rFonts w:eastAsia="Times New Roman"/>
          <w:lang w:eastAsia="en-AU"/>
        </w:rPr>
        <w:t xml:space="preserve">ermeability </w:t>
      </w:r>
      <w:r>
        <w:rPr>
          <w:rFonts w:eastAsia="Times New Roman"/>
          <w:lang w:eastAsia="en-AU"/>
        </w:rPr>
        <w:t xml:space="preserve">may also be expressed </w:t>
      </w:r>
      <w:r w:rsidR="00546012">
        <w:rPr>
          <w:rFonts w:eastAsia="Times New Roman"/>
          <w:lang w:eastAsia="en-AU"/>
        </w:rPr>
        <w:t xml:space="preserve">in </w:t>
      </w:r>
      <w:r w:rsidRPr="0026688C">
        <w:rPr>
          <w:rFonts w:eastAsia="Times New Roman"/>
          <w:lang w:eastAsia="en-AU"/>
        </w:rPr>
        <w:t xml:space="preserve">SI </w:t>
      </w:r>
      <w:r>
        <w:rPr>
          <w:rFonts w:eastAsia="Times New Roman"/>
          <w:lang w:eastAsia="en-AU"/>
        </w:rPr>
        <w:t xml:space="preserve">units </w:t>
      </w:r>
      <w:r w:rsidRPr="0026688C">
        <w:rPr>
          <w:rFonts w:eastAsia="Times New Roman"/>
          <w:lang w:eastAsia="en-AU"/>
        </w:rPr>
        <w:t>of m</w:t>
      </w:r>
      <w:r w:rsidRPr="00B37BD2">
        <w:rPr>
          <w:rFonts w:eastAsia="Times New Roman"/>
          <w:vertAlign w:val="superscript"/>
          <w:lang w:eastAsia="en-AU"/>
        </w:rPr>
        <w:t>2</w:t>
      </w:r>
      <w:r w:rsidRPr="0026688C">
        <w:rPr>
          <w:rFonts w:eastAsia="Times New Roman"/>
          <w:lang w:eastAsia="en-AU"/>
        </w:rPr>
        <w:t>. Conversion from mD to m</w:t>
      </w:r>
      <w:r w:rsidRPr="00B37BD2">
        <w:rPr>
          <w:rFonts w:eastAsia="Times New Roman"/>
          <w:vertAlign w:val="superscript"/>
          <w:lang w:eastAsia="en-AU"/>
        </w:rPr>
        <w:t>2</w:t>
      </w:r>
      <w:r w:rsidRPr="0026688C">
        <w:rPr>
          <w:rFonts w:eastAsia="Times New Roman"/>
          <w:lang w:eastAsia="en-AU"/>
        </w:rPr>
        <w:t xml:space="preserve"> </w:t>
      </w:r>
      <w:r>
        <w:rPr>
          <w:rFonts w:eastAsia="Times New Roman"/>
          <w:lang w:eastAsia="en-AU"/>
        </w:rPr>
        <w:t>is calculated according to the following relationship</w:t>
      </w:r>
      <w:r w:rsidRPr="0026688C">
        <w:rPr>
          <w:rFonts w:eastAsia="Times New Roman"/>
          <w:lang w:eastAsia="en-AU"/>
        </w:rPr>
        <w:t>: 1 mD is equal to 9.869233</w:t>
      </w:r>
      <w:r>
        <w:rPr>
          <w:rFonts w:eastAsia="Times New Roman"/>
          <w:lang w:eastAsia="en-AU"/>
        </w:rPr>
        <w:t xml:space="preserve"> </w:t>
      </w:r>
      <w:r w:rsidRPr="0026688C">
        <w:rPr>
          <w:rFonts w:eastAsia="Times New Roman"/>
          <w:lang w:eastAsia="en-AU"/>
        </w:rPr>
        <w:t>×</w:t>
      </w:r>
      <w:r>
        <w:rPr>
          <w:rFonts w:eastAsia="Times New Roman"/>
          <w:lang w:eastAsia="en-AU"/>
        </w:rPr>
        <w:t xml:space="preserve"> </w:t>
      </w:r>
      <w:r w:rsidRPr="0026688C">
        <w:rPr>
          <w:rFonts w:eastAsia="Times New Roman"/>
          <w:lang w:eastAsia="en-AU"/>
        </w:rPr>
        <w:t>10</w:t>
      </w:r>
      <w:r w:rsidRPr="00B37BD2">
        <w:rPr>
          <w:rFonts w:eastAsia="Times New Roman"/>
          <w:vertAlign w:val="superscript"/>
          <w:lang w:eastAsia="en-AU"/>
        </w:rPr>
        <w:t>−16</w:t>
      </w:r>
      <w:r w:rsidRPr="0026688C">
        <w:rPr>
          <w:rFonts w:eastAsia="Times New Roman"/>
          <w:lang w:eastAsia="en-AU"/>
        </w:rPr>
        <w:t xml:space="preserve"> m</w:t>
      </w:r>
      <w:r w:rsidRPr="00B37BD2">
        <w:rPr>
          <w:rFonts w:eastAsia="Times New Roman"/>
          <w:vertAlign w:val="superscript"/>
          <w:lang w:eastAsia="en-AU"/>
        </w:rPr>
        <w:t>2</w:t>
      </w:r>
      <w:r w:rsidRPr="0026688C">
        <w:rPr>
          <w:rFonts w:eastAsia="Times New Roman"/>
          <w:lang w:eastAsia="en-AU"/>
        </w:rPr>
        <w:t xml:space="preserve">. </w:t>
      </w:r>
      <w:r>
        <w:rPr>
          <w:rFonts w:eastAsia="Times New Roman"/>
          <w:lang w:eastAsia="en-AU"/>
        </w:rPr>
        <w:t>S</w:t>
      </w:r>
      <w:r w:rsidRPr="0026688C">
        <w:rPr>
          <w:rFonts w:eastAsia="Times New Roman"/>
          <w:lang w:eastAsia="en-AU"/>
        </w:rPr>
        <w:t>aturated hydraulic conductivity</w:t>
      </w:r>
      <w:r>
        <w:rPr>
          <w:rFonts w:eastAsia="Times New Roman"/>
          <w:lang w:eastAsia="en-AU"/>
        </w:rPr>
        <w:t xml:space="preserve"> (</w:t>
      </w:r>
      <w:r w:rsidRPr="00B37BD2">
        <w:rPr>
          <w:rFonts w:eastAsia="Times New Roman"/>
          <w:i/>
          <w:lang w:eastAsia="en-AU"/>
        </w:rPr>
        <w:t>K</w:t>
      </w:r>
      <w:r>
        <w:rPr>
          <w:rFonts w:eastAsia="Times New Roman"/>
          <w:lang w:eastAsia="en-AU"/>
        </w:rPr>
        <w:t xml:space="preserve">, </w:t>
      </w:r>
      <w:r w:rsidRPr="0026688C">
        <w:rPr>
          <w:rFonts w:eastAsia="Times New Roman"/>
          <w:lang w:eastAsia="en-AU"/>
        </w:rPr>
        <w:t>m</w:t>
      </w:r>
      <w:r>
        <w:rPr>
          <w:rFonts w:eastAsia="Times New Roman"/>
          <w:lang w:eastAsia="en-AU"/>
        </w:rPr>
        <w:t>.s</w:t>
      </w:r>
      <w:r w:rsidRPr="00B37BD2">
        <w:rPr>
          <w:rFonts w:eastAsia="Times New Roman"/>
          <w:vertAlign w:val="superscript"/>
          <w:lang w:eastAsia="en-AU"/>
        </w:rPr>
        <w:t>-1</w:t>
      </w:r>
      <w:r w:rsidRPr="0026688C">
        <w:rPr>
          <w:rFonts w:eastAsia="Times New Roman"/>
          <w:lang w:eastAsia="en-AU"/>
        </w:rPr>
        <w:t>) is related to permeability (</w:t>
      </w:r>
      <w:r>
        <w:rPr>
          <w:rFonts w:eastAsia="Times New Roman"/>
          <w:i/>
          <w:lang w:eastAsia="en-AU"/>
        </w:rPr>
        <w:t>κ</w:t>
      </w:r>
      <w:r>
        <w:rPr>
          <w:rFonts w:eastAsia="Times New Roman"/>
          <w:lang w:eastAsia="en-AU"/>
        </w:rPr>
        <w:t xml:space="preserve">, </w:t>
      </w:r>
      <w:r w:rsidRPr="0026688C">
        <w:rPr>
          <w:rFonts w:eastAsia="Times New Roman"/>
          <w:lang w:eastAsia="en-AU"/>
        </w:rPr>
        <w:t>m</w:t>
      </w:r>
      <w:r w:rsidRPr="00B37BD2">
        <w:rPr>
          <w:rFonts w:eastAsia="Times New Roman"/>
          <w:vertAlign w:val="superscript"/>
          <w:lang w:eastAsia="en-AU"/>
        </w:rPr>
        <w:t>2</w:t>
      </w:r>
      <w:r>
        <w:rPr>
          <w:rFonts w:eastAsia="Times New Roman"/>
          <w:lang w:eastAsia="en-AU"/>
        </w:rPr>
        <w:t>)</w:t>
      </w:r>
      <w:r w:rsidRPr="0026688C">
        <w:rPr>
          <w:rFonts w:eastAsia="Times New Roman"/>
          <w:lang w:eastAsia="en-AU"/>
        </w:rPr>
        <w:t xml:space="preserve"> as follows:</w:t>
      </w:r>
    </w:p>
    <w:p w14:paraId="3952545E" w14:textId="77777777" w:rsidR="00DD06D9" w:rsidRDefault="00DD06D9" w:rsidP="00DD06D9">
      <w:pPr>
        <w:pStyle w:val="Body"/>
        <w:tabs>
          <w:tab w:val="center" w:pos="4536"/>
          <w:tab w:val="right" w:pos="9072"/>
        </w:tabs>
        <w:rPr>
          <w:rFonts w:eastAsia="Times New Roman"/>
          <w:lang w:eastAsia="en-AU"/>
        </w:rPr>
      </w:pPr>
      <w:r>
        <w:rPr>
          <w:rFonts w:eastAsia="Times New Roman"/>
          <w:lang w:eastAsia="en-AU"/>
        </w:rPr>
        <w:tab/>
      </w:r>
      <w:r w:rsidR="005F59B8" w:rsidRPr="00DD71CB">
        <w:rPr>
          <w:rFonts w:eastAsia="Times New Roman"/>
          <w:lang w:eastAsia="en-AU"/>
        </w:rPr>
        <w:object w:dxaOrig="1579" w:dyaOrig="660" w14:anchorId="5F526913">
          <v:shape id="_x0000_i1025" type="#_x0000_t75" style="width:79.5pt;height:29.25pt" o:ole="">
            <v:imagedata r:id="rId48" o:title=""/>
          </v:shape>
          <o:OLEObject Type="Embed" ProgID="Equation.3" ShapeID="_x0000_i1025" DrawAspect="Content" ObjectID="_1582027858" r:id="rId49"/>
        </w:object>
      </w:r>
      <w:r>
        <w:rPr>
          <w:rFonts w:eastAsia="Times New Roman"/>
          <w:lang w:eastAsia="en-AU"/>
        </w:rPr>
        <w:tab/>
        <w:t>(</w:t>
      </w:r>
      <w:r w:rsidR="00084CDD">
        <w:fldChar w:fldCharType="begin"/>
      </w:r>
      <w:r>
        <w:instrText xml:space="preserve"> SEQ Equation \* ARABIC </w:instrText>
      </w:r>
      <w:r w:rsidR="00084CDD">
        <w:fldChar w:fldCharType="separate"/>
      </w:r>
      <w:r w:rsidR="00C52E30">
        <w:rPr>
          <w:noProof/>
        </w:rPr>
        <w:t>1</w:t>
      </w:r>
      <w:r w:rsidR="00084CDD">
        <w:fldChar w:fldCharType="end"/>
      </w:r>
      <w:r>
        <w:rPr>
          <w:rFonts w:eastAsia="Times New Roman"/>
          <w:lang w:eastAsia="en-AU"/>
        </w:rPr>
        <w:t>)</w:t>
      </w:r>
    </w:p>
    <w:p w14:paraId="267B62C1" w14:textId="1E84ACC9" w:rsidR="00DD06D9" w:rsidRDefault="00DD06D9" w:rsidP="00DD06D9">
      <w:pPr>
        <w:pStyle w:val="Body"/>
      </w:pPr>
      <w:r w:rsidRPr="0026688C">
        <w:rPr>
          <w:rFonts w:eastAsia="Times New Roman"/>
          <w:lang w:eastAsia="en-AU"/>
        </w:rPr>
        <w:t xml:space="preserve">where </w:t>
      </w:r>
      <w:r w:rsidRPr="00B37BD2">
        <w:rPr>
          <w:rFonts w:eastAsia="Times New Roman"/>
          <w:i/>
          <w:lang w:eastAsia="en-AU"/>
        </w:rPr>
        <w:t>f</w:t>
      </w:r>
      <w:r w:rsidRPr="0026688C">
        <w:rPr>
          <w:rFonts w:eastAsia="Times New Roman"/>
          <w:lang w:eastAsia="en-AU"/>
        </w:rPr>
        <w:t xml:space="preserve"> (m</w:t>
      </w:r>
      <w:r w:rsidRPr="00B37BD2">
        <w:rPr>
          <w:rFonts w:eastAsia="Times New Roman"/>
          <w:vertAlign w:val="superscript"/>
          <w:lang w:eastAsia="en-AU"/>
        </w:rPr>
        <w:t>-1</w:t>
      </w:r>
      <w:r>
        <w:rPr>
          <w:rFonts w:eastAsia="Times New Roman"/>
          <w:lang w:eastAsia="en-AU"/>
        </w:rPr>
        <w:t>.</w:t>
      </w:r>
      <w:r w:rsidRPr="0026688C">
        <w:rPr>
          <w:rFonts w:eastAsia="Times New Roman"/>
          <w:lang w:eastAsia="en-AU"/>
        </w:rPr>
        <w:t>s</w:t>
      </w:r>
      <w:r w:rsidRPr="00B37BD2">
        <w:rPr>
          <w:rFonts w:eastAsia="Times New Roman"/>
          <w:vertAlign w:val="superscript"/>
          <w:lang w:eastAsia="en-AU"/>
        </w:rPr>
        <w:t>-1</w:t>
      </w:r>
      <w:r w:rsidRPr="0026688C">
        <w:rPr>
          <w:rFonts w:eastAsia="Times New Roman"/>
          <w:lang w:eastAsia="en-AU"/>
        </w:rPr>
        <w:t xml:space="preserve">) is the fluidity of the permeating liquid, </w:t>
      </w:r>
      <w:r w:rsidRPr="00B37BD2">
        <w:rPr>
          <w:rFonts w:eastAsia="Times New Roman"/>
          <w:i/>
          <w:lang w:eastAsia="en-AU"/>
        </w:rPr>
        <w:t>ρ</w:t>
      </w:r>
      <w:r w:rsidRPr="0026688C">
        <w:rPr>
          <w:rFonts w:eastAsia="Times New Roman"/>
          <w:lang w:eastAsia="en-AU"/>
        </w:rPr>
        <w:t xml:space="preserve"> is fluid density (998.23 kg</w:t>
      </w:r>
      <w:r>
        <w:rPr>
          <w:rFonts w:eastAsia="Times New Roman"/>
          <w:lang w:eastAsia="en-AU"/>
        </w:rPr>
        <w:t>.</w:t>
      </w:r>
      <w:r w:rsidRPr="0026688C">
        <w:rPr>
          <w:rFonts w:eastAsia="Times New Roman"/>
          <w:lang w:eastAsia="en-AU"/>
        </w:rPr>
        <w:t>m</w:t>
      </w:r>
      <w:r w:rsidRPr="00B37BD2">
        <w:rPr>
          <w:rFonts w:eastAsia="Times New Roman"/>
          <w:vertAlign w:val="superscript"/>
          <w:lang w:eastAsia="en-AU"/>
        </w:rPr>
        <w:t>-3</w:t>
      </w:r>
      <w:r w:rsidRPr="0026688C">
        <w:rPr>
          <w:rFonts w:eastAsia="Times New Roman"/>
          <w:lang w:eastAsia="en-AU"/>
        </w:rPr>
        <w:t xml:space="preserve"> at 20°C), </w:t>
      </w:r>
      <w:r w:rsidRPr="00B37BD2">
        <w:rPr>
          <w:rFonts w:eastAsia="Times New Roman"/>
          <w:i/>
          <w:lang w:eastAsia="en-AU"/>
        </w:rPr>
        <w:t>η</w:t>
      </w:r>
      <w:r w:rsidRPr="0026688C">
        <w:rPr>
          <w:rFonts w:eastAsia="Times New Roman"/>
          <w:lang w:eastAsia="en-AU"/>
        </w:rPr>
        <w:t xml:space="preserve"> is dynamic viscosity (10-3 kg</w:t>
      </w:r>
      <w:r>
        <w:rPr>
          <w:rFonts w:eastAsia="Times New Roman"/>
          <w:lang w:eastAsia="en-AU"/>
        </w:rPr>
        <w:t>.</w:t>
      </w:r>
      <w:r w:rsidRPr="0026688C">
        <w:rPr>
          <w:rFonts w:eastAsia="Times New Roman"/>
          <w:lang w:eastAsia="en-AU"/>
        </w:rPr>
        <w:t>m</w:t>
      </w:r>
      <w:r w:rsidRPr="00B37BD2">
        <w:rPr>
          <w:rFonts w:eastAsia="Times New Roman"/>
          <w:vertAlign w:val="superscript"/>
          <w:lang w:eastAsia="en-AU"/>
        </w:rPr>
        <w:t>-1</w:t>
      </w:r>
      <w:r>
        <w:rPr>
          <w:rFonts w:eastAsia="Times New Roman"/>
          <w:lang w:eastAsia="en-AU"/>
        </w:rPr>
        <w:t>.</w:t>
      </w:r>
      <w:r w:rsidRPr="0026688C">
        <w:rPr>
          <w:rFonts w:eastAsia="Times New Roman"/>
          <w:lang w:eastAsia="en-AU"/>
        </w:rPr>
        <w:t>s</w:t>
      </w:r>
      <w:r w:rsidRPr="00B37BD2">
        <w:rPr>
          <w:rFonts w:eastAsia="Times New Roman"/>
          <w:vertAlign w:val="superscript"/>
          <w:lang w:eastAsia="en-AU"/>
        </w:rPr>
        <w:t>-1</w:t>
      </w:r>
      <w:r w:rsidRPr="0026688C">
        <w:rPr>
          <w:rFonts w:eastAsia="Times New Roman"/>
          <w:lang w:eastAsia="en-AU"/>
        </w:rPr>
        <w:t xml:space="preserve"> at 20°C), and </w:t>
      </w:r>
      <w:r w:rsidRPr="00B37BD2">
        <w:rPr>
          <w:rFonts w:eastAsia="Times New Roman"/>
          <w:i/>
          <w:lang w:eastAsia="en-AU"/>
        </w:rPr>
        <w:t>g</w:t>
      </w:r>
      <w:r w:rsidRPr="0026688C">
        <w:rPr>
          <w:rFonts w:eastAsia="Times New Roman"/>
          <w:lang w:eastAsia="en-AU"/>
        </w:rPr>
        <w:t xml:space="preserve"> is acceleration of gravity (9.81 m</w:t>
      </w:r>
      <w:r>
        <w:rPr>
          <w:rFonts w:eastAsia="Times New Roman"/>
          <w:lang w:eastAsia="en-AU"/>
        </w:rPr>
        <w:t>.</w:t>
      </w:r>
      <w:r w:rsidRPr="0026688C">
        <w:rPr>
          <w:rFonts w:eastAsia="Times New Roman"/>
          <w:lang w:eastAsia="en-AU"/>
        </w:rPr>
        <w:t>s</w:t>
      </w:r>
      <w:r w:rsidRPr="00B37BD2">
        <w:rPr>
          <w:rFonts w:eastAsia="Times New Roman"/>
          <w:vertAlign w:val="superscript"/>
          <w:lang w:eastAsia="en-AU"/>
        </w:rPr>
        <w:t>-2</w:t>
      </w:r>
      <w:r w:rsidRPr="0026688C">
        <w:rPr>
          <w:rFonts w:eastAsia="Times New Roman"/>
          <w:lang w:eastAsia="en-AU"/>
        </w:rPr>
        <w:t xml:space="preserve">). </w:t>
      </w:r>
      <w:r>
        <w:rPr>
          <w:rFonts w:eastAsia="Times New Roman"/>
          <w:lang w:eastAsia="en-AU"/>
        </w:rPr>
        <w:t xml:space="preserve">The </w:t>
      </w:r>
      <w:r w:rsidRPr="0026688C">
        <w:rPr>
          <w:rFonts w:eastAsia="Times New Roman"/>
          <w:lang w:eastAsia="en-AU"/>
        </w:rPr>
        <w:t xml:space="preserve">conversion between </w:t>
      </w:r>
      <w:r w:rsidRPr="00B37BD2">
        <w:rPr>
          <w:rFonts w:eastAsia="Times New Roman"/>
          <w:i/>
          <w:lang w:eastAsia="en-AU"/>
        </w:rPr>
        <w:t>K</w:t>
      </w:r>
      <w:r w:rsidRPr="0026688C">
        <w:rPr>
          <w:rFonts w:eastAsia="Times New Roman"/>
          <w:lang w:eastAsia="en-AU"/>
        </w:rPr>
        <w:t xml:space="preserve"> and </w:t>
      </w:r>
      <w:r>
        <w:rPr>
          <w:rFonts w:eastAsia="Times New Roman"/>
          <w:i/>
          <w:lang w:eastAsia="en-AU"/>
        </w:rPr>
        <w:t>κ</w:t>
      </w:r>
      <w:r w:rsidRPr="0026688C">
        <w:rPr>
          <w:rFonts w:eastAsia="Times New Roman"/>
          <w:lang w:eastAsia="en-AU"/>
        </w:rPr>
        <w:t xml:space="preserve"> depends on the viscosity and density of the fluid at a </w:t>
      </w:r>
      <w:r w:rsidR="003D0503" w:rsidRPr="0026688C">
        <w:rPr>
          <w:rFonts w:eastAsia="Times New Roman"/>
          <w:lang w:eastAsia="en-AU"/>
        </w:rPr>
        <w:t>given</w:t>
      </w:r>
      <w:r w:rsidRPr="0026688C">
        <w:rPr>
          <w:rFonts w:eastAsia="Times New Roman"/>
          <w:lang w:eastAsia="en-AU"/>
        </w:rPr>
        <w:t xml:space="preserve"> temperature. At 20°C, the fluidity </w:t>
      </w:r>
      <w:r w:rsidRPr="00B37BD2">
        <w:rPr>
          <w:rFonts w:eastAsia="Times New Roman"/>
          <w:i/>
          <w:lang w:eastAsia="en-AU"/>
        </w:rPr>
        <w:t>f</w:t>
      </w:r>
      <w:r w:rsidRPr="0026688C">
        <w:rPr>
          <w:rFonts w:eastAsia="Times New Roman"/>
          <w:lang w:eastAsia="en-AU"/>
        </w:rPr>
        <w:t xml:space="preserve"> for water becomes 9.79</w:t>
      </w:r>
      <w:r>
        <w:rPr>
          <w:rFonts w:eastAsia="Times New Roman"/>
          <w:lang w:eastAsia="en-AU"/>
        </w:rPr>
        <w:t xml:space="preserve"> </w:t>
      </w:r>
      <w:r w:rsidRPr="0026688C">
        <w:rPr>
          <w:rFonts w:eastAsia="Times New Roman"/>
          <w:lang w:eastAsia="en-AU"/>
        </w:rPr>
        <w:t>x</w:t>
      </w:r>
      <w:r>
        <w:rPr>
          <w:rFonts w:eastAsia="Times New Roman"/>
          <w:lang w:eastAsia="en-AU"/>
        </w:rPr>
        <w:t xml:space="preserve"> </w:t>
      </w:r>
      <w:r w:rsidRPr="0026688C">
        <w:rPr>
          <w:rFonts w:eastAsia="Times New Roman"/>
          <w:lang w:eastAsia="en-AU"/>
        </w:rPr>
        <w:t>10</w:t>
      </w:r>
      <w:r w:rsidRPr="00B37BD2">
        <w:rPr>
          <w:rFonts w:eastAsia="Times New Roman"/>
          <w:vertAlign w:val="superscript"/>
          <w:lang w:eastAsia="en-AU"/>
        </w:rPr>
        <w:t>6</w:t>
      </w:r>
      <w:r w:rsidRPr="0026688C">
        <w:rPr>
          <w:rFonts w:eastAsia="Times New Roman"/>
          <w:lang w:eastAsia="en-AU"/>
        </w:rPr>
        <w:t xml:space="preserve"> m</w:t>
      </w:r>
      <w:r w:rsidRPr="00B37BD2">
        <w:rPr>
          <w:rFonts w:eastAsia="Times New Roman"/>
          <w:vertAlign w:val="superscript"/>
          <w:lang w:eastAsia="en-AU"/>
        </w:rPr>
        <w:t>-1</w:t>
      </w:r>
      <w:r>
        <w:rPr>
          <w:rFonts w:eastAsia="Times New Roman"/>
          <w:lang w:eastAsia="en-AU"/>
        </w:rPr>
        <w:t>.</w:t>
      </w:r>
      <w:r w:rsidRPr="0026688C">
        <w:rPr>
          <w:rFonts w:eastAsia="Times New Roman"/>
          <w:lang w:eastAsia="en-AU"/>
        </w:rPr>
        <w:t>s</w:t>
      </w:r>
      <w:r w:rsidRPr="00B37BD2">
        <w:rPr>
          <w:rFonts w:eastAsia="Times New Roman"/>
          <w:vertAlign w:val="superscript"/>
          <w:lang w:eastAsia="en-AU"/>
        </w:rPr>
        <w:t>-1</w:t>
      </w:r>
      <w:r w:rsidRPr="0026688C">
        <w:rPr>
          <w:rFonts w:eastAsia="Times New Roman"/>
          <w:lang w:eastAsia="en-AU"/>
        </w:rPr>
        <w:t xml:space="preserve">. In hydrogeological studies, where the focus is on the flow of groundwater, density and viscosity of the underground water are supposed to be known. Hence, hydrogeologists use </w:t>
      </w:r>
      <w:r w:rsidRPr="00B37BD2">
        <w:rPr>
          <w:rFonts w:eastAsia="Times New Roman"/>
          <w:i/>
          <w:lang w:eastAsia="en-AU"/>
        </w:rPr>
        <w:t>K</w:t>
      </w:r>
      <w:r w:rsidRPr="0026688C">
        <w:rPr>
          <w:rFonts w:eastAsia="Times New Roman"/>
          <w:lang w:eastAsia="en-AU"/>
        </w:rPr>
        <w:t xml:space="preserve"> (m</w:t>
      </w:r>
      <w:r>
        <w:rPr>
          <w:rFonts w:eastAsia="Times New Roman"/>
          <w:lang w:eastAsia="en-AU"/>
        </w:rPr>
        <w:t>.s</w:t>
      </w:r>
      <w:r w:rsidRPr="00B37BD2">
        <w:rPr>
          <w:rFonts w:eastAsia="Times New Roman"/>
          <w:vertAlign w:val="superscript"/>
          <w:lang w:eastAsia="en-AU"/>
        </w:rPr>
        <w:t>-1</w:t>
      </w:r>
      <w:r w:rsidRPr="0026688C">
        <w:rPr>
          <w:rFonts w:eastAsia="Times New Roman"/>
          <w:lang w:eastAsia="en-AU"/>
        </w:rPr>
        <w:t xml:space="preserve">) rather than permeability (mD), which is determined by pore space microstructure only. </w:t>
      </w:r>
      <w:r>
        <w:rPr>
          <w:rFonts w:eastAsia="Times New Roman"/>
          <w:lang w:eastAsia="en-AU"/>
        </w:rPr>
        <w:t>One milliDarcy</w:t>
      </w:r>
      <w:r w:rsidRPr="0026688C">
        <w:rPr>
          <w:rFonts w:eastAsia="Times New Roman"/>
          <w:lang w:eastAsia="en-AU"/>
        </w:rPr>
        <w:t xml:space="preserve"> is approximately equal to 10</w:t>
      </w:r>
      <w:r w:rsidRPr="00B37BD2">
        <w:rPr>
          <w:rFonts w:eastAsia="Times New Roman"/>
          <w:vertAlign w:val="superscript"/>
          <w:lang w:eastAsia="en-AU"/>
        </w:rPr>
        <w:t>-8</w:t>
      </w:r>
      <w:r w:rsidRPr="0026688C">
        <w:rPr>
          <w:rFonts w:eastAsia="Times New Roman"/>
          <w:lang w:eastAsia="en-AU"/>
        </w:rPr>
        <w:t xml:space="preserve"> m</w:t>
      </w:r>
      <w:r>
        <w:rPr>
          <w:rFonts w:eastAsia="Times New Roman"/>
          <w:lang w:eastAsia="en-AU"/>
        </w:rPr>
        <w:t>.s</w:t>
      </w:r>
      <w:r w:rsidRPr="00B37BD2">
        <w:rPr>
          <w:rFonts w:eastAsia="Times New Roman"/>
          <w:vertAlign w:val="superscript"/>
          <w:lang w:eastAsia="en-AU"/>
        </w:rPr>
        <w:t>-1</w:t>
      </w:r>
      <w:r w:rsidRPr="0026688C">
        <w:rPr>
          <w:rFonts w:eastAsia="Times New Roman"/>
          <w:lang w:eastAsia="en-AU"/>
        </w:rPr>
        <w:t xml:space="preserve"> if water at 20°C is the saturating fluid.</w:t>
      </w:r>
      <w:r>
        <w:rPr>
          <w:rFonts w:eastAsia="Times New Roman"/>
          <w:lang w:eastAsia="en-AU"/>
        </w:rPr>
        <w:t xml:space="preserve"> </w:t>
      </w:r>
    </w:p>
    <w:p w14:paraId="66886053" w14:textId="148A0337" w:rsidR="00626A0B" w:rsidRDefault="00F93BE1" w:rsidP="00626A0B">
      <w:pPr>
        <w:pStyle w:val="Body"/>
      </w:pPr>
      <w:r>
        <w:t>O</w:t>
      </w:r>
      <w:r w:rsidRPr="00643C03">
        <w:t>ver the years</w:t>
      </w:r>
      <w:r>
        <w:t>,</w:t>
      </w:r>
      <w:r w:rsidRPr="00643C03">
        <w:t xml:space="preserve"> </w:t>
      </w:r>
      <w:r>
        <w:t xml:space="preserve">many </w:t>
      </w:r>
      <w:r w:rsidR="00F5074C" w:rsidRPr="00643C03">
        <w:t>models have been developed to describe preferential</w:t>
      </w:r>
      <w:r>
        <w:t xml:space="preserve"> </w:t>
      </w:r>
      <w:r w:rsidR="00F5074C" w:rsidRPr="00643C03">
        <w:t xml:space="preserve">flow processes. </w:t>
      </w:r>
      <w:r w:rsidR="00084CDD">
        <w:fldChar w:fldCharType="begin"/>
      </w:r>
      <w:r w:rsidR="00A12398">
        <w:instrText xml:space="preserve"> REF _Ref436836505 \h </w:instrText>
      </w:r>
      <w:r w:rsidR="00084CDD">
        <w:fldChar w:fldCharType="separate"/>
      </w:r>
      <w:r w:rsidR="00C52E30">
        <w:t xml:space="preserve">Figure </w:t>
      </w:r>
      <w:r w:rsidR="00C52E30">
        <w:rPr>
          <w:noProof/>
        </w:rPr>
        <w:t>11</w:t>
      </w:r>
      <w:r w:rsidR="00084CDD">
        <w:fldChar w:fldCharType="end"/>
      </w:r>
      <w:r w:rsidR="00F5074C" w:rsidRPr="00643C03">
        <w:t xml:space="preserve"> provides a useful schematic of increasingly complex models that have been used to simulate preferential-flow processes</w:t>
      </w:r>
      <w:r w:rsidR="00626A0B">
        <w:t xml:space="preserve"> through fractured rock</w:t>
      </w:r>
      <w:r w:rsidR="00F5074C" w:rsidRPr="00643C03">
        <w:t>.</w:t>
      </w:r>
      <w:r w:rsidR="006B0822" w:rsidRPr="006B0822">
        <w:t xml:space="preserve"> </w:t>
      </w:r>
      <w:r w:rsidR="00626A0B" w:rsidRPr="006B3F75">
        <w:t xml:space="preserve">The </w:t>
      </w:r>
      <w:r w:rsidR="00084CDD" w:rsidRPr="00A45100">
        <w:rPr>
          <w:b/>
        </w:rPr>
        <w:t>equivalent porous medium</w:t>
      </w:r>
      <w:r w:rsidR="00626A0B">
        <w:t xml:space="preserve"> </w:t>
      </w:r>
      <w:r w:rsidR="00084CDD" w:rsidRPr="00A45100">
        <w:rPr>
          <w:b/>
        </w:rPr>
        <w:t>model</w:t>
      </w:r>
      <w:r w:rsidR="00626A0B">
        <w:t xml:space="preserve"> represents the domain with either fractures or rock matrix, and its flow properties are characterised by a single equivalent porous medium relative permeability curve</w:t>
      </w:r>
      <w:r w:rsidR="002B1FB8">
        <w:t>.</w:t>
      </w:r>
      <w:r w:rsidR="00D125A4">
        <w:t xml:space="preserve"> </w:t>
      </w:r>
      <w:r w:rsidR="002B1FB8">
        <w:t xml:space="preserve">The relative permeability </w:t>
      </w:r>
      <w:r w:rsidR="00B24AE9">
        <w:t xml:space="preserve">is the ratio of the effective permeability (permeability of one fluid in the presence of another fluid) of a fluid at a given saturation to some base permeability, typically the absolute permeability </w:t>
      </w:r>
      <w:r w:rsidR="00D125A4">
        <w:t xml:space="preserve">(see </w:t>
      </w:r>
      <w:r w:rsidR="00B24AE9">
        <w:t xml:space="preserve">further </w:t>
      </w:r>
      <w:r w:rsidR="00D125A4">
        <w:t>Section 2.3.1)</w:t>
      </w:r>
      <w:r w:rsidR="00626A0B">
        <w:t xml:space="preserve">. The </w:t>
      </w:r>
      <w:r w:rsidR="001D7819">
        <w:t xml:space="preserve">total </w:t>
      </w:r>
      <w:r w:rsidR="00626A0B">
        <w:t xml:space="preserve">flow through this fracture-matrix system is </w:t>
      </w:r>
      <w:r w:rsidR="001D7819">
        <w:t xml:space="preserve">assumed to be </w:t>
      </w:r>
      <w:r w:rsidR="00626A0B">
        <w:t>equivalent to flow through a composite porous medium that has hydraulic properties compris</w:t>
      </w:r>
      <w:r w:rsidR="00BA3562">
        <w:t>ing</w:t>
      </w:r>
      <w:r w:rsidR="00626A0B">
        <w:t xml:space="preserve"> both fracture and matrix properties. </w:t>
      </w:r>
      <w:r w:rsidR="00D1714C">
        <w:t>In contrast, t</w:t>
      </w:r>
      <w:r w:rsidR="00626A0B">
        <w:t xml:space="preserve">he </w:t>
      </w:r>
      <w:r w:rsidR="00084CDD" w:rsidRPr="00A45100">
        <w:rPr>
          <w:b/>
        </w:rPr>
        <w:t>dual-porosity model</w:t>
      </w:r>
      <w:r w:rsidR="00626A0B">
        <w:t xml:space="preserve"> allows flow only through the fracture continuum; a relative permeability curve is defined for the fracture only. </w:t>
      </w:r>
      <w:r w:rsidR="00D1714C">
        <w:t>Another alternative, t</w:t>
      </w:r>
      <w:r w:rsidR="00626A0B">
        <w:t xml:space="preserve">he </w:t>
      </w:r>
      <w:r w:rsidR="00084CDD" w:rsidRPr="00A45100">
        <w:rPr>
          <w:b/>
        </w:rPr>
        <w:t>dual-permeability model</w:t>
      </w:r>
      <w:r w:rsidR="006B3F75">
        <w:t>,</w:t>
      </w:r>
      <w:r w:rsidR="00626A0B">
        <w:t xml:space="preserve"> represents the fractures and matrix domain as separate continua. Each continuum has its own relative permeability curve, i.e. flow exists in both continua. If a different pressure exists between fracture and matrix, flow occurs between the two continua. In addition to the above continuum models that do not explicitly model fractures, </w:t>
      </w:r>
      <w:r w:rsidR="00084CDD" w:rsidRPr="00A45100">
        <w:rPr>
          <w:b/>
        </w:rPr>
        <w:t>discrete fracture models</w:t>
      </w:r>
      <w:r w:rsidR="00626A0B">
        <w:t xml:space="preserve"> exist that include individual fractures and their hydraulic properties</w:t>
      </w:r>
      <w:r w:rsidR="006B3F75">
        <w:t>. I</w:t>
      </w:r>
      <w:r w:rsidR="00D1714C">
        <w:t>n discrete fracture models</w:t>
      </w:r>
      <w:r w:rsidR="006B3F75">
        <w:t>,</w:t>
      </w:r>
      <w:r w:rsidR="00D1714C">
        <w:t xml:space="preserve"> </w:t>
      </w:r>
      <w:r w:rsidR="00626A0B">
        <w:t xml:space="preserve">the rock matrix can be impermeable or alternatively has sufficient porosity to allow for flow. </w:t>
      </w:r>
    </w:p>
    <w:p w14:paraId="640FF195" w14:textId="2C591DE8" w:rsidR="003F0EC2" w:rsidRDefault="003F0EC2" w:rsidP="003F0EC2">
      <w:pPr>
        <w:pStyle w:val="Body"/>
      </w:pPr>
      <w:r>
        <w:t xml:space="preserve">In terms of how to model the representations of porous media depicted in </w:t>
      </w:r>
      <w:r w:rsidR="00BA3562">
        <w:fldChar w:fldCharType="begin"/>
      </w:r>
      <w:r w:rsidR="00BA3562">
        <w:instrText xml:space="preserve"> REF _Ref436836505 \h </w:instrText>
      </w:r>
      <w:r w:rsidR="00BA3562">
        <w:fldChar w:fldCharType="separate"/>
      </w:r>
      <w:r w:rsidR="00C52E30">
        <w:t xml:space="preserve">Figure </w:t>
      </w:r>
      <w:r w:rsidR="00C52E30">
        <w:rPr>
          <w:noProof/>
        </w:rPr>
        <w:t>11</w:t>
      </w:r>
      <w:r w:rsidR="00BA3562">
        <w:fldChar w:fldCharType="end"/>
      </w:r>
      <w:r>
        <w:t xml:space="preserve"> featuring distinct contrasts in hydraulic properties, such as fractured rock, coal seams, and limestone aquifers, subsurface fluid flow can be conceptualised in one of three </w:t>
      </w:r>
      <w:r w:rsidRPr="0058403D">
        <w:t>ways</w:t>
      </w:r>
      <w:r>
        <w:t xml:space="preserve">: </w:t>
      </w:r>
      <w:r w:rsidRPr="002368E0">
        <w:t xml:space="preserve">uniform flow, dual porosity </w:t>
      </w:r>
      <w:r>
        <w:t xml:space="preserve">or </w:t>
      </w:r>
      <w:r w:rsidRPr="002368E0">
        <w:t>dual permeability</w:t>
      </w:r>
      <w:r w:rsidRPr="0058403D">
        <w:t xml:space="preserve"> </w:t>
      </w:r>
      <w:r>
        <w:fldChar w:fldCharType="begin">
          <w:fldData xml:space="preserve">PEVuZE5vdGU+PENpdGU+PEF1dGhvcj5TaW11bmVrPC9BdXRob3I+PFllYXI+MjAwMzwvWWVhcj48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</w:fldData>
        </w:fldChar>
      </w:r>
      <w:r>
        <w:instrText xml:space="preserve"> ADDIN EN.CITE </w:instrText>
      </w:r>
      <w:r>
        <w:fldChar w:fldCharType="begin">
          <w:fldData xml:space="preserve">PEVuZE5vdGU+PENpdGU+PEF1dGhvcj5TaW11bmVrPC9BdXRob3I+PFllYXI+MjAwMzwvWWVhcj48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</w:fldData>
        </w:fldChar>
      </w:r>
      <w:r>
        <w:instrText xml:space="preserve"> ADDIN EN.CITE.DATA </w:instrText>
      </w:r>
      <w:r>
        <w:fldChar w:fldCharType="end"/>
      </w:r>
      <w:r>
        <w:fldChar w:fldCharType="separate"/>
      </w:r>
      <w:r>
        <w:rPr>
          <w:noProof/>
        </w:rPr>
        <w:t>(Šimůnek et al., 2003; Šimůnek and van Genuchten, 2006)</w:t>
      </w:r>
      <w:r>
        <w:fldChar w:fldCharType="end"/>
      </w:r>
      <w:r>
        <w:t xml:space="preserve"> </w:t>
      </w:r>
      <w:r w:rsidRPr="0058403D">
        <w:t>(</w:t>
      </w:r>
      <w:r>
        <w:rPr>
          <w:highlight w:val="yellow"/>
        </w:rPr>
        <w:fldChar w:fldCharType="begin"/>
      </w:r>
      <w:r>
        <w:instrText xml:space="preserve"> REF _Ref436836523 \h </w:instrText>
      </w:r>
      <w:r>
        <w:rPr>
          <w:highlight w:val="yellow"/>
        </w:rPr>
      </w:r>
      <w:r>
        <w:rPr>
          <w:highlight w:val="yellow"/>
        </w:rPr>
        <w:fldChar w:fldCharType="separate"/>
      </w:r>
      <w:r w:rsidR="00C52E30">
        <w:t xml:space="preserve">Figure </w:t>
      </w:r>
      <w:r w:rsidR="00C52E30">
        <w:rPr>
          <w:noProof/>
        </w:rPr>
        <w:t>12</w:t>
      </w:r>
      <w:r>
        <w:rPr>
          <w:highlight w:val="yellow"/>
        </w:rPr>
        <w:fldChar w:fldCharType="end"/>
      </w:r>
      <w:r w:rsidRPr="0058403D">
        <w:t>).</w:t>
      </w:r>
      <w:r>
        <w:t xml:space="preserve"> In a uniform flow approach (</w:t>
      </w:r>
      <w:r>
        <w:rPr>
          <w:highlight w:val="yellow"/>
        </w:rPr>
        <w:fldChar w:fldCharType="begin"/>
      </w:r>
      <w:r>
        <w:instrText xml:space="preserve"> REF _Ref436836523 \h </w:instrText>
      </w:r>
      <w:r>
        <w:rPr>
          <w:highlight w:val="yellow"/>
        </w:rPr>
      </w:r>
      <w:r>
        <w:rPr>
          <w:highlight w:val="yellow"/>
        </w:rPr>
        <w:fldChar w:fldCharType="separate"/>
      </w:r>
      <w:r w:rsidR="00C52E30">
        <w:t xml:space="preserve">Figure </w:t>
      </w:r>
      <w:r w:rsidR="00C52E30">
        <w:rPr>
          <w:noProof/>
        </w:rPr>
        <w:t>12</w:t>
      </w:r>
      <w:r>
        <w:rPr>
          <w:highlight w:val="yellow"/>
        </w:rPr>
        <w:fldChar w:fldCharType="end"/>
      </w:r>
      <w:r>
        <w:t xml:space="preserve">a), the combined flow through both matrix and fractured domains can be represented by equivalent hydraulic properties that are averaged over the representative elementary volume [REV; Bear </w:t>
      </w:r>
      <w:r>
        <w:fldChar w:fldCharType="begin"/>
      </w:r>
      <w:r>
        <w:instrText xml:space="preserve"> ADDIN EN.CITE &lt;EndNote&gt;&lt;Cite ExcludeAuth="1"&gt;&lt;Author&gt;Bear&lt;/Author&gt;&lt;Year&gt;1972&lt;/Year&gt;&lt;IDText&gt;Dynamics of fluids in porous media&lt;/IDText&gt;&lt;DisplayText&gt;(1972)&lt;/DisplayText&gt;&lt;record&gt;&lt;isbn&gt;044400114X&lt;/isbn&gt;&lt;titles&gt;&lt;title&gt;Dynamics of fluids in porous media&lt;/title&gt;&lt;/titles&gt;&lt;pages&gt;764&lt;/pages&gt;&lt;contributors&gt;&lt;authors&gt;&lt;author&gt;Bear, Jacob&lt;/author&gt;&lt;/authors&gt;&lt;/contributors&gt;&lt;added-date format="utc"&gt;1429231136&lt;/added-date&gt;&lt;pub-location&gt;New York, USA&lt;/pub-location&gt;&lt;ref-type name="Book"&gt;6&lt;/ref-type&gt;&lt;dates&gt;&lt;year&gt;1972&lt;/year&gt;&lt;/dates&gt;&lt;rec-number&gt;1159&lt;/rec-number&gt;&lt;publisher&gt;Elsevier&lt;/publisher&gt;&lt;last-updated-date format="utc"&gt;1429231206&lt;/last-updated-date&gt;&lt;/record&gt;&lt;/Cite&gt;&lt;/EndNote&gt;</w:instrText>
      </w:r>
      <w:r>
        <w:fldChar w:fldCharType="separate"/>
      </w:r>
      <w:r>
        <w:rPr>
          <w:noProof/>
        </w:rPr>
        <w:t>(1972)</w:t>
      </w:r>
      <w:r>
        <w:fldChar w:fldCharType="end"/>
      </w:r>
      <w:r>
        <w:t xml:space="preserve">] of interest (also see equivalent porous medium in </w:t>
      </w:r>
      <w:r>
        <w:fldChar w:fldCharType="begin"/>
      </w:r>
      <w:r>
        <w:instrText xml:space="preserve"> REF _Ref436836505 \h </w:instrText>
      </w:r>
      <w:r>
        <w:fldChar w:fldCharType="separate"/>
      </w:r>
      <w:r w:rsidR="00C52E30">
        <w:t xml:space="preserve">Figure </w:t>
      </w:r>
      <w:r w:rsidR="00C52E30">
        <w:rPr>
          <w:noProof/>
        </w:rPr>
        <w:t>11</w:t>
      </w:r>
      <w:r>
        <w:fldChar w:fldCharType="end"/>
      </w:r>
      <w:r>
        <w:t>). Dual porosity approaches (</w:t>
      </w:r>
      <w:r>
        <w:rPr>
          <w:highlight w:val="yellow"/>
        </w:rPr>
        <w:fldChar w:fldCharType="begin"/>
      </w:r>
      <w:r>
        <w:instrText xml:space="preserve"> REF _Ref436836523 \h </w:instrText>
      </w:r>
      <w:r>
        <w:rPr>
          <w:highlight w:val="yellow"/>
        </w:rPr>
      </w:r>
      <w:r>
        <w:rPr>
          <w:highlight w:val="yellow"/>
        </w:rPr>
        <w:fldChar w:fldCharType="separate"/>
      </w:r>
      <w:r w:rsidR="00C52E30">
        <w:t xml:space="preserve">Figure </w:t>
      </w:r>
      <w:r w:rsidR="00C52E30">
        <w:rPr>
          <w:noProof/>
        </w:rPr>
        <w:t>12</w:t>
      </w:r>
      <w:r>
        <w:rPr>
          <w:highlight w:val="yellow"/>
        </w:rPr>
        <w:fldChar w:fldCharType="end"/>
      </w:r>
      <w:r>
        <w:t xml:space="preserve">b and the dual porosity representation in </w:t>
      </w:r>
      <w:r>
        <w:fldChar w:fldCharType="begin"/>
      </w:r>
      <w:r>
        <w:instrText xml:space="preserve"> REF _Ref436836505 \h </w:instrText>
      </w:r>
      <w:r>
        <w:fldChar w:fldCharType="separate"/>
      </w:r>
      <w:r w:rsidR="00C52E30">
        <w:t xml:space="preserve">Figure </w:t>
      </w:r>
      <w:r w:rsidR="00C52E30">
        <w:rPr>
          <w:noProof/>
        </w:rPr>
        <w:t>11</w:t>
      </w:r>
      <w:r>
        <w:fldChar w:fldCharType="end"/>
      </w:r>
      <w:r>
        <w:t xml:space="preserve">) primarily represent fracture flow (white) with flow to or from the matrix (grey) typically represented by a specified transfer rate. For example, Gerke and van Genuchten </w:t>
      </w:r>
      <w:r>
        <w:fldChar w:fldCharType="begin">
          <w:fldData xml:space="preserve">PEVuZE5vdGU+PENpdGUgRXhjbHVkZUF1dGg9IjEiPjxBdXRob3I+R2Vya2U8L0F1dGhvcj48WWVh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</w:fldData>
        </w:fldChar>
      </w:r>
      <w:r>
        <w:instrText xml:space="preserve"> ADDIN EN.CITE </w:instrText>
      </w:r>
      <w:r>
        <w:fldChar w:fldCharType="begin">
          <w:fldData xml:space="preserve">PEVuZE5vdGU+PENpdGUgRXhjbHVkZUF1dGg9IjEiPjxBdXRob3I+R2Vya2U8L0F1dGhvcj48WWVh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</w:fldData>
        </w:fldChar>
      </w:r>
      <w:r>
        <w:instrText xml:space="preserve"> ADDIN EN.CITE.DATA </w:instrText>
      </w:r>
      <w:r>
        <w:fldChar w:fldCharType="end"/>
      </w:r>
      <w:r>
        <w:fldChar w:fldCharType="separate"/>
      </w:r>
      <w:r>
        <w:rPr>
          <w:noProof/>
        </w:rPr>
        <w:t>(1993a; 1993b)</w:t>
      </w:r>
      <w:r>
        <w:fldChar w:fldCharType="end"/>
      </w:r>
      <w:r>
        <w:t xml:space="preserve"> derived physically-based transfer rate coefficients for variably saturated dual porosity flow models. Dual permeability approaches </w:t>
      </w:r>
      <w:r>
        <w:fldChar w:fldCharType="begin"/>
      </w:r>
      <w:r>
        <w:instrText xml:space="preserve"> REF _Ref436836523 \h </w:instrText>
      </w:r>
      <w:r>
        <w:fldChar w:fldCharType="separate"/>
      </w:r>
      <w:r w:rsidR="00C52E30">
        <w:t xml:space="preserve">Figure </w:t>
      </w:r>
      <w:r w:rsidR="00C52E30">
        <w:rPr>
          <w:noProof/>
        </w:rPr>
        <w:t>12</w:t>
      </w:r>
      <w:r>
        <w:fldChar w:fldCharType="end"/>
      </w:r>
      <w:r>
        <w:t xml:space="preserve">c and the dual permeability representation in </w:t>
      </w:r>
      <w:r>
        <w:fldChar w:fldCharType="begin"/>
      </w:r>
      <w:r>
        <w:instrText xml:space="preserve"> REF _Ref436836505 \h </w:instrText>
      </w:r>
      <w:r>
        <w:fldChar w:fldCharType="separate"/>
      </w:r>
      <w:r w:rsidR="00C52E30">
        <w:t xml:space="preserve">Figure </w:t>
      </w:r>
      <w:r w:rsidR="00C52E30">
        <w:rPr>
          <w:noProof/>
        </w:rPr>
        <w:t>11</w:t>
      </w:r>
      <w:r>
        <w:fldChar w:fldCharType="end"/>
      </w:r>
      <w:r>
        <w:t xml:space="preserve">) represent both flow with fractures and within the matrix, with exchange of flow between the two domains driven by a pressure gradient or water saturation </w:t>
      </w:r>
      <w:r>
        <w:fldChar w:fldCharType="begin">
          <w:fldData xml:space="preserve">PEVuZE5vdGU+PENpdGU+PEF1dGhvcj5TaW11bmVrPC9BdXRob3I+PFllYXI+MjAwMzwvWWVhcj48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</w:fldData>
        </w:fldChar>
      </w:r>
      <w:r>
        <w:instrText xml:space="preserve"> ADDIN EN.CITE </w:instrText>
      </w:r>
      <w:r>
        <w:fldChar w:fldCharType="begin">
          <w:fldData xml:space="preserve">PEVuZE5vdGU+PENpdGU+PEF1dGhvcj5TaW11bmVrPC9BdXRob3I+PFllYXI+MjAwMzwvWWVhcj48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</w:fldData>
        </w:fldChar>
      </w:r>
      <w:r>
        <w:instrText xml:space="preserve"> ADDIN EN.CITE.DATA </w:instrText>
      </w:r>
      <w:r>
        <w:fldChar w:fldCharType="end"/>
      </w:r>
      <w:r>
        <w:fldChar w:fldCharType="separate"/>
      </w:r>
      <w:r>
        <w:rPr>
          <w:noProof/>
        </w:rPr>
        <w:t>(Šimůnek et al., 2003)</w:t>
      </w:r>
      <w:r>
        <w:fldChar w:fldCharType="end"/>
      </w:r>
      <w:r>
        <w:t xml:space="preserve">. </w:t>
      </w:r>
    </w:p>
    <w:p w14:paraId="7A6732AC" w14:textId="77777777" w:rsidR="003F0EC2" w:rsidRDefault="003F0EC2" w:rsidP="00626A0B">
      <w:pPr>
        <w:pStyle w:val="Body"/>
      </w:pPr>
    </w:p>
    <w:p w14:paraId="18E444AB" w14:textId="77777777" w:rsidR="005F6AAA" w:rsidRDefault="005F6AAA" w:rsidP="005F6AAA">
      <w:pPr>
        <w:pStyle w:val="Body"/>
        <w:jc w:val="center"/>
        <w:rPr>
          <w:rFonts w:ascii="TimesNewRomanPSMT" w:hAnsi="TimesNewRomanPSMT" w:cs="TimesNewRomanPSMT"/>
          <w:lang w:val="en-AU"/>
        </w:rPr>
      </w:pPr>
      <w:r>
        <w:rPr>
          <w:rFonts w:ascii="TimesNewRomanPSMT" w:hAnsi="TimesNewRomanPSMT" w:cs="TimesNewRomanPSMT"/>
          <w:noProof/>
          <w:lang w:val="en-AU" w:eastAsia="en-AU"/>
        </w:rPr>
        <w:drawing>
          <wp:inline distT="0" distB="0" distL="0" distR="0" wp14:anchorId="7795DE8F" wp14:editId="4B87F9ED">
            <wp:extent cx="5776946" cy="7508577"/>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l="33957" t="15748" r="33071" b="6824"/>
                    <a:stretch>
                      <a:fillRect/>
                    </a:stretch>
                  </pic:blipFill>
                  <pic:spPr bwMode="auto">
                    <a:xfrm>
                      <a:off x="0" y="0"/>
                      <a:ext cx="5780259" cy="7512884"/>
                    </a:xfrm>
                    <a:prstGeom prst="rect">
                      <a:avLst/>
                    </a:prstGeom>
                    <a:noFill/>
                    <a:ln w="9525">
                      <a:noFill/>
                      <a:miter lim="800000"/>
                      <a:headEnd/>
                      <a:tailEnd/>
                    </a:ln>
                  </pic:spPr>
                </pic:pic>
              </a:graphicData>
            </a:graphic>
          </wp:inline>
        </w:drawing>
      </w:r>
    </w:p>
    <w:p w14:paraId="082B18E9" w14:textId="77777777" w:rsidR="005F6AAA" w:rsidRPr="00DA4522" w:rsidRDefault="005F6AAA" w:rsidP="005F6AAA">
      <w:pPr>
        <w:pStyle w:val="Imagecaption"/>
      </w:pPr>
      <w:bookmarkStart w:id="54" w:name="_Ref436836505"/>
      <w:bookmarkStart w:id="55" w:name="_Toc449696301"/>
      <w:r>
        <w:t xml:space="preserve">Figure </w:t>
      </w:r>
      <w:r w:rsidR="00084CDD">
        <w:fldChar w:fldCharType="begin"/>
      </w:r>
      <w:r>
        <w:instrText xml:space="preserve"> SEQ Figure \* ARABIC </w:instrText>
      </w:r>
      <w:r w:rsidR="00084CDD">
        <w:fldChar w:fldCharType="separate"/>
      </w:r>
      <w:r w:rsidR="00C52E30">
        <w:rPr>
          <w:noProof/>
        </w:rPr>
        <w:t>11</w:t>
      </w:r>
      <w:r w:rsidR="00084CDD">
        <w:rPr>
          <w:noProof/>
        </w:rPr>
        <w:fldChar w:fldCharType="end"/>
      </w:r>
      <w:bookmarkEnd w:id="54"/>
      <w:r>
        <w:t>. C</w:t>
      </w:r>
      <w:r w:rsidRPr="009A2E95">
        <w:t xml:space="preserve">onceptual models </w:t>
      </w:r>
      <w:r>
        <w:t>of</w:t>
      </w:r>
      <w:r w:rsidRPr="009A2E95">
        <w:t xml:space="preserve"> flow through structured media</w:t>
      </w:r>
      <w:r>
        <w:t xml:space="preserve"> </w:t>
      </w:r>
      <w:r w:rsidR="00084CDD">
        <w:fldChar w:fldCharType="begin"/>
      </w:r>
      <w:r>
        <w:instrText xml:space="preserve"> ADDIN EN.CITE &lt;EndNote&gt;&lt;Cite&gt;&lt;Author&gt;Altman&lt;/Author&gt;&lt;Year&gt;1996&lt;/Year&gt;&lt;IDText&gt;Flow calculations for Yucca Mountain groundwater travel time (GWTT-95)&lt;/IDText&gt;&lt;DisplayText&gt;(Altman et al., 1996)&lt;/DisplayText&gt;&lt;record&gt;&lt;titles&gt;&lt;title&gt;Flow calculations for Yucca Mountain groundwater travel time (GWTT-95)&lt;/title&gt;&lt;/titles&gt;&lt;contributors&gt;&lt;authors&gt;&lt;author&gt;Altman, Susan J&lt;/author&gt;&lt;author&gt;Arnold, BW&lt;/author&gt;&lt;author&gt;Barnard, RW&lt;/author&gt;&lt;author&gt;Barr, GE&lt;/author&gt;&lt;author&gt;Ho, CK&lt;/author&gt;&lt;author&gt;McKenna, SA&lt;/author&gt;&lt;author&gt;Eaton, RR&lt;/author&gt;&lt;/authors&gt;&lt;/contributors&gt;&lt;added-date format="utc"&gt;1434344452&lt;/added-date&gt;&lt;ref-type name="Report"&gt;27&lt;/ref-type&gt;&lt;dates&gt;&lt;year&gt;1996&lt;/year&gt;&lt;/dates&gt;&lt;rec-number&gt;309&lt;/rec-number&gt;&lt;publisher&gt;Sandia National Labs., Albuquerque, NM (United States)&lt;/publisher&gt;&lt;last-updated-date format="utc"&gt;1434344452&lt;/last-updated-date&gt;&lt;/record&gt;&lt;/Cite&gt;&lt;/EndNote&gt;</w:instrText>
      </w:r>
      <w:r w:rsidR="00084CDD">
        <w:fldChar w:fldCharType="separate"/>
      </w:r>
      <w:r>
        <w:rPr>
          <w:noProof/>
        </w:rPr>
        <w:t>(Altman et al., 1996)</w:t>
      </w:r>
      <w:r w:rsidR="00084CDD">
        <w:fldChar w:fldCharType="end"/>
      </w:r>
      <w:r>
        <w:t>.</w:t>
      </w:r>
      <w:bookmarkEnd w:id="55"/>
    </w:p>
    <w:p w14:paraId="78674C60" w14:textId="77777777" w:rsidR="005F6AAA" w:rsidRDefault="005F6AAA" w:rsidP="00626A0B">
      <w:pPr>
        <w:pStyle w:val="Body"/>
      </w:pPr>
    </w:p>
    <w:p w14:paraId="05EB486E" w14:textId="77777777" w:rsidR="005F6AAA" w:rsidRDefault="005F6AAA" w:rsidP="00626A0B">
      <w:pPr>
        <w:pStyle w:val="Body"/>
      </w:pPr>
    </w:p>
    <w:p w14:paraId="2E4667D9" w14:textId="77777777" w:rsidR="005F6AAA" w:rsidRDefault="005F6AAA" w:rsidP="005F6AAA">
      <w:pPr>
        <w:pStyle w:val="Body"/>
        <w:jc w:val="center"/>
        <w:rPr>
          <w:color w:val="C00000"/>
        </w:rPr>
      </w:pPr>
      <w:r>
        <w:rPr>
          <w:noProof/>
          <w:color w:val="C00000"/>
          <w:lang w:val="en-AU" w:eastAsia="en-AU"/>
        </w:rPr>
        <w:drawing>
          <wp:inline distT="0" distB="0" distL="0" distR="0" wp14:anchorId="3A8BDB2E" wp14:editId="226444A3">
            <wp:extent cx="6031331" cy="1757548"/>
            <wp:effectExtent l="19050" t="0" r="7519" b="0"/>
            <wp:docPr id="25" name="Picture 11" descr="Dual_domain_approaches_v4_160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al_domain_approaches_v4_160615.png"/>
                    <pic:cNvPicPr/>
                  </pic:nvPicPr>
                  <pic:blipFill>
                    <a:blip r:embed="rId51"/>
                    <a:srcRect l="2143"/>
                    <a:stretch>
                      <a:fillRect/>
                    </a:stretch>
                  </pic:blipFill>
                  <pic:spPr>
                    <a:xfrm>
                      <a:off x="0" y="0"/>
                      <a:ext cx="6032057" cy="1757760"/>
                    </a:xfrm>
                    <a:prstGeom prst="rect">
                      <a:avLst/>
                    </a:prstGeom>
                  </pic:spPr>
                </pic:pic>
              </a:graphicData>
            </a:graphic>
          </wp:inline>
        </w:drawing>
      </w:r>
    </w:p>
    <w:p w14:paraId="5E0AB909" w14:textId="77777777" w:rsidR="005F6AAA" w:rsidRDefault="005F6AAA" w:rsidP="005F6AAA">
      <w:pPr>
        <w:pStyle w:val="Imagecaption"/>
      </w:pPr>
      <w:bookmarkStart w:id="56" w:name="_Ref436836523"/>
      <w:bookmarkStart w:id="57" w:name="_Toc449696302"/>
      <w:r>
        <w:t xml:space="preserve">Figure </w:t>
      </w:r>
      <w:r w:rsidR="00084CDD">
        <w:fldChar w:fldCharType="begin"/>
      </w:r>
      <w:r>
        <w:instrText xml:space="preserve"> SEQ Figure \* ARABIC </w:instrText>
      </w:r>
      <w:r w:rsidR="00084CDD">
        <w:fldChar w:fldCharType="separate"/>
      </w:r>
      <w:r w:rsidR="00C52E30">
        <w:rPr>
          <w:noProof/>
        </w:rPr>
        <w:t>12</w:t>
      </w:r>
      <w:r w:rsidR="00084CDD">
        <w:fldChar w:fldCharType="end"/>
      </w:r>
      <w:bookmarkEnd w:id="56"/>
      <w:r>
        <w:t>.</w:t>
      </w:r>
      <w:r w:rsidRPr="0058403D">
        <w:t xml:space="preserve"> Comparison of (a) single domain, (b) dual porosity and (c) dual permeability approaches to groundwater flow </w:t>
      </w:r>
      <w:r>
        <w:t>[</w:t>
      </w:r>
      <w:r w:rsidRPr="0058403D">
        <w:t xml:space="preserve">after </w:t>
      </w:r>
      <w:r>
        <w:t>Šimůnek</w:t>
      </w:r>
      <w:r w:rsidRPr="0058403D">
        <w:t xml:space="preserve"> and van Genuchten </w:t>
      </w:r>
      <w:r w:rsidR="00084CDD">
        <w:fldChar w:fldCharType="begin"/>
      </w:r>
      <w:r>
        <w:instrText xml:space="preserve"> ADDIN EN.CITE &lt;EndNote&gt;&lt;Cite ExcludeAuth="1"&gt;&lt;Author&gt;Šimůnek&lt;/Author&gt;&lt;Year&gt;2006&lt;/Year&gt;&lt;IDText&gt;Contaminant Transport in the Unsaturated Zone Theory and Modeling &lt;/IDText&gt;&lt;DisplayText&gt;(2006)&lt;/DisplayText&gt;&lt;record&gt;&lt;titles&gt;&lt;title&gt;Contaminant Transport in the Unsaturated Zone Theory and Modeling &lt;/title&gt;&lt;secondary-title&gt;The Handbook of Groundwater Engineering&lt;/secondary-title&gt;&lt;/titles&gt;&lt;pages&gt;22-1-22-46&lt;/pages&gt;&lt;contributors&gt;&lt;authors&gt;&lt;author&gt;Šimůnek, Jiri&lt;/author&gt;&lt;author&gt;van Genuchten, Martinus Th.&lt;/author&gt;&lt;/authors&gt;&lt;/contributors&gt;&lt;added-date format="utc"&gt;1433492992&lt;/added-date&gt;&lt;ref-type name="Book Section"&gt;5&lt;/ref-type&gt;&lt;dates&gt;&lt;year&gt;2006&lt;/year&gt;&lt;/dates&gt;&lt;rec-number&gt;149&lt;/rec-number&gt;&lt;publisher&gt;CRC Press&lt;/publisher&gt;&lt;last-updated-date format="utc"&gt;1433820766&lt;/last-updated-date&gt;&lt;contributors&gt;&lt;secondary-authors&gt;&lt;author&gt;Delleur, Jacques W.&lt;/author&gt;&lt;/secondary-authors&gt;&lt;/contributors&gt;&lt;electronic-resource-num&gt;10.1201/9781420006001.ch22&lt;/electronic-resource-num&gt;&lt;/record&gt;&lt;/Cite&gt;&lt;/EndNote&gt;</w:instrText>
      </w:r>
      <w:r w:rsidR="00084CDD">
        <w:fldChar w:fldCharType="separate"/>
      </w:r>
      <w:r>
        <w:rPr>
          <w:noProof/>
        </w:rPr>
        <w:t>(2006)</w:t>
      </w:r>
      <w:r w:rsidR="00084CDD">
        <w:fldChar w:fldCharType="end"/>
      </w:r>
      <w:r>
        <w:t>]</w:t>
      </w:r>
      <w:r w:rsidRPr="0058403D">
        <w:t>.</w:t>
      </w:r>
      <w:r>
        <w:t xml:space="preserve"> Symbols are defined as follows: K</w:t>
      </w:r>
      <w:r w:rsidRPr="008609C3">
        <w:rPr>
          <w:vertAlign w:val="subscript"/>
        </w:rPr>
        <w:t>e</w:t>
      </w:r>
      <w:r>
        <w:t xml:space="preserve"> = equivalent hydraulic conductivity; η</w:t>
      </w:r>
      <w:r w:rsidRPr="008609C3">
        <w:rPr>
          <w:vertAlign w:val="subscript"/>
        </w:rPr>
        <w:t>e</w:t>
      </w:r>
      <w:r>
        <w:t xml:space="preserve"> equivalent porosity; K</w:t>
      </w:r>
      <w:r w:rsidRPr="008609C3">
        <w:rPr>
          <w:vertAlign w:val="subscript"/>
        </w:rPr>
        <w:t xml:space="preserve">f </w:t>
      </w:r>
      <w:r>
        <w:t>= fracture conductivity; η</w:t>
      </w:r>
      <w:r w:rsidRPr="008609C3">
        <w:rPr>
          <w:vertAlign w:val="subscript"/>
        </w:rPr>
        <w:t>f</w:t>
      </w:r>
      <w:r>
        <w:t xml:space="preserve"> = fracture porosity; η</w:t>
      </w:r>
      <w:r w:rsidRPr="008609C3">
        <w:rPr>
          <w:vertAlign w:val="subscript"/>
        </w:rPr>
        <w:t>m</w:t>
      </w:r>
      <w:r>
        <w:t xml:space="preserve"> = matrix porosity; and K</w:t>
      </w:r>
      <w:r w:rsidRPr="008609C3">
        <w:rPr>
          <w:vertAlign w:val="subscript"/>
        </w:rPr>
        <w:t>m</w:t>
      </w:r>
      <w:r>
        <w:t xml:space="preserve"> = matrix conductivity.</w:t>
      </w:r>
      <w:bookmarkEnd w:id="57"/>
      <w:r>
        <w:t xml:space="preserve"> </w:t>
      </w:r>
    </w:p>
    <w:p w14:paraId="5C6979DD" w14:textId="77777777" w:rsidR="005F6AAA" w:rsidRDefault="005F6AAA" w:rsidP="00626A0B">
      <w:pPr>
        <w:pStyle w:val="Body"/>
      </w:pPr>
    </w:p>
    <w:p w14:paraId="55750D31" w14:textId="3F7D8B9B" w:rsidR="006B0822" w:rsidRPr="00643C03" w:rsidRDefault="009E7F6B" w:rsidP="006B0822">
      <w:pPr>
        <w:pStyle w:val="Body"/>
      </w:pPr>
      <w:r>
        <w:t xml:space="preserve">In order to simulate the simultaneous flow of water through </w:t>
      </w:r>
      <w:r w:rsidR="006B0822" w:rsidRPr="009A2E95">
        <w:t>both fracture</w:t>
      </w:r>
      <w:r>
        <w:t>d</w:t>
      </w:r>
      <w:r w:rsidR="006B0822" w:rsidRPr="009A2E95">
        <w:t xml:space="preserve"> and matrix domains</w:t>
      </w:r>
      <w:r>
        <w:t>, m</w:t>
      </w:r>
      <w:r w:rsidRPr="009A2E95">
        <w:t>ore c</w:t>
      </w:r>
      <w:r>
        <w:t>omplex dual-permeability models have been developed</w:t>
      </w:r>
      <w:r w:rsidR="006B0822" w:rsidRPr="009A2E95">
        <w:t>. Examples of dual-perme</w:t>
      </w:r>
      <w:r w:rsidR="006B0822">
        <w:t xml:space="preserve">ability models are given by </w:t>
      </w:r>
      <w:r w:rsidR="00084CDD">
        <w:fldChar w:fldCharType="begin">
          <w:fldData xml:space="preserve">PEVuZE5vdGU+PENpdGU+PEF1dGhvcj5HZXJrZTwvQXV0aG9yPjxZZWFyPjE5OTM8L1llYXI+PElE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</w:fldData>
        </w:fldChar>
      </w:r>
      <w:r w:rsidR="006B0822">
        <w:instrText xml:space="preserve"> ADDIN EN.CITE </w:instrText>
      </w:r>
      <w:r w:rsidR="00084CDD">
        <w:fldChar w:fldCharType="begin">
          <w:fldData xml:space="preserve">PEVuZE5vdGU+PENpdGU+PEF1dGhvcj5HZXJrZTwvQXV0aG9yPjxZZWFyPjE5OTM8L1llYXI+PElE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</w:fldData>
        </w:fldChar>
      </w:r>
      <w:r w:rsidR="006B0822">
        <w:instrText xml:space="preserve"> ADDIN EN.CITE.DATA </w:instrText>
      </w:r>
      <w:r w:rsidR="00084CDD">
        <w:fldChar w:fldCharType="end"/>
      </w:r>
      <w:r w:rsidR="00084CDD">
        <w:fldChar w:fldCharType="separate"/>
      </w:r>
      <w:r w:rsidR="006B0822">
        <w:rPr>
          <w:noProof/>
        </w:rPr>
        <w:t>(Gerke and van Genuchten, 1993a; 1993b; Jarvis, 1998; Liu et al., 1998; Liu et al., 2003; Pruess, 1991)</w:t>
      </w:r>
      <w:r w:rsidR="00084CDD">
        <w:fldChar w:fldCharType="end"/>
      </w:r>
      <w:r w:rsidR="006B0822">
        <w:t>.</w:t>
      </w:r>
      <w:r w:rsidR="006B0822" w:rsidRPr="009A2E95">
        <w:t xml:space="preserve"> These models all use different formulations for the water exchange between the fracture and matrix domains. A summary of various exchange (mass transfer) terms for dual-porosity and dual-permeability models is given by </w:t>
      </w:r>
      <w:r w:rsidR="00B34FAE">
        <w:t>Šimůnek</w:t>
      </w:r>
      <w:r w:rsidR="006B0822">
        <w:t xml:space="preserve"> et al. </w:t>
      </w:r>
      <w:r w:rsidR="00084CDD">
        <w:fldChar w:fldCharType="begin">
          <w:fldData xml:space="preserve">PEVuZE5vdGU+PENpdGUgRXhjbHVkZUF1dGg9IjEiPjxBdXRob3I+U2ltdW5lazwvQXV0aG9yPjxZ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</w:fldData>
        </w:fldChar>
      </w:r>
      <w:r w:rsidR="006B0822">
        <w:instrText xml:space="preserve"> ADDIN EN.CITE </w:instrText>
      </w:r>
      <w:r w:rsidR="00084CDD">
        <w:fldChar w:fldCharType="begin">
          <w:fldData xml:space="preserve">PEVuZE5vdGU+PENpdGUgRXhjbHVkZUF1dGg9IjEiPjxBdXRob3I+U2ltdW5lazwvQXV0aG9yPjxZ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</w:fldData>
        </w:fldChar>
      </w:r>
      <w:r w:rsidR="006B0822">
        <w:instrText xml:space="preserve"> ADDIN EN.CITE.DATA </w:instrText>
      </w:r>
      <w:r w:rsidR="00084CDD">
        <w:fldChar w:fldCharType="end"/>
      </w:r>
      <w:r w:rsidR="00084CDD">
        <w:fldChar w:fldCharType="separate"/>
      </w:r>
      <w:r w:rsidR="006B0822">
        <w:rPr>
          <w:noProof/>
        </w:rPr>
        <w:t>(2003)</w:t>
      </w:r>
      <w:r w:rsidR="00084CDD">
        <w:fldChar w:fldCharType="end"/>
      </w:r>
      <w:r w:rsidR="006B0822">
        <w:t>.</w:t>
      </w:r>
      <w:r w:rsidR="006B0822" w:rsidRPr="009A2E95">
        <w:t xml:space="preserve"> Some descriptions of mass transfer for water are physically based, though approximate, while others are entirely empirical. The mass exchange for water can be based on water saturation (</w:t>
      </w:r>
      <w:r w:rsidR="006B0822">
        <w:t xml:space="preserve">i.e., </w:t>
      </w:r>
      <w:r w:rsidR="006B0822" w:rsidRPr="009A2E95">
        <w:t>assumed to be proportional to the difference in effective water contents of the two regions) or pressure gradient (assumed to be proportional to the difference in pressure heads between the two pore regions).</w:t>
      </w:r>
      <w:r w:rsidR="006B0822">
        <w:t xml:space="preserve"> </w:t>
      </w:r>
      <w:r w:rsidR="006B0822" w:rsidRPr="009A2E95">
        <w:t xml:space="preserve">For </w:t>
      </w:r>
      <w:r w:rsidR="006B0822" w:rsidRPr="00643C03">
        <w:t xml:space="preserve">porous media with well-defined geometries, the mass transfer coefficient </w:t>
      </w:r>
      <w:r w:rsidR="00BB2A68">
        <w:t>can be</w:t>
      </w:r>
      <w:r w:rsidR="00BB2A68" w:rsidRPr="00643C03">
        <w:t xml:space="preserve"> </w:t>
      </w:r>
      <w:r w:rsidR="006B0822" w:rsidRPr="00643C03">
        <w:t xml:space="preserve">defined by </w:t>
      </w:r>
      <w:r w:rsidR="00FE3208">
        <w:t xml:space="preserve">simple mathematical expressions </w:t>
      </w:r>
      <w:r w:rsidR="00084CDD">
        <w:fldChar w:fldCharType="begin">
          <w:fldData xml:space="preserve">PEVuZE5vdGU+PENpdGU+PEF1dGhvcj5HZXJrZTwvQXV0aG9yPjxZZWFyPjE5OTM8L1llYXI+PElE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</w:fldData>
        </w:fldChar>
      </w:r>
      <w:r w:rsidR="006B0822">
        <w:instrText xml:space="preserve"> ADDIN EN.CITE </w:instrText>
      </w:r>
      <w:r w:rsidR="00084CDD">
        <w:fldChar w:fldCharType="begin">
          <w:fldData xml:space="preserve">PEVuZE5vdGU+PENpdGU+PEF1dGhvcj5HZXJrZTwvQXV0aG9yPjxZZWFyPjE5OTM8L1llYXI+PElE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</w:fldData>
        </w:fldChar>
      </w:r>
      <w:r w:rsidR="006B0822">
        <w:instrText xml:space="preserve"> ADDIN EN.CITE.DATA </w:instrText>
      </w:r>
      <w:r w:rsidR="00084CDD">
        <w:fldChar w:fldCharType="end"/>
      </w:r>
      <w:r w:rsidR="00084CDD">
        <w:fldChar w:fldCharType="separate"/>
      </w:r>
      <w:r w:rsidR="006B0822">
        <w:rPr>
          <w:noProof/>
        </w:rPr>
        <w:t>(Gerke and van Genuchten, 1993a; 1993b)</w:t>
      </w:r>
      <w:r w:rsidR="00084CDD">
        <w:fldChar w:fldCharType="end"/>
      </w:r>
      <w:r w:rsidR="006B0822" w:rsidRPr="00643C03">
        <w:t>.</w:t>
      </w:r>
      <w:r w:rsidR="006B0822">
        <w:t xml:space="preserve"> For rectangular domains</w:t>
      </w:r>
      <w:r w:rsidR="006B0822" w:rsidRPr="00643C03">
        <w:t>, the mass transfer coefficient can be calculated as 3</w:t>
      </w:r>
      <w:r w:rsidR="006B0822" w:rsidRPr="00643C03">
        <w:rPr>
          <w:i/>
        </w:rPr>
        <w:t>K</w:t>
      </w:r>
      <w:r w:rsidR="006B0822" w:rsidRPr="00643C03">
        <w:rPr>
          <w:i/>
          <w:vertAlign w:val="subscript"/>
        </w:rPr>
        <w:t>a</w:t>
      </w:r>
      <w:r w:rsidR="006B0822" w:rsidRPr="00643C03">
        <w:t>/</w:t>
      </w:r>
      <w:r w:rsidR="006B0822" w:rsidRPr="002A5D5B">
        <w:rPr>
          <w:i/>
        </w:rPr>
        <w:t>a</w:t>
      </w:r>
      <w:r w:rsidR="006B0822" w:rsidRPr="00643C03">
        <w:rPr>
          <w:vertAlign w:val="superscript"/>
        </w:rPr>
        <w:t>2</w:t>
      </w:r>
      <w:r w:rsidR="006B0822" w:rsidRPr="00643C03">
        <w:t xml:space="preserve">, where </w:t>
      </w:r>
      <w:r w:rsidR="006B0822" w:rsidRPr="002A5D5B">
        <w:rPr>
          <w:i/>
        </w:rPr>
        <w:t>K</w:t>
      </w:r>
      <w:r w:rsidR="006B0822" w:rsidRPr="002A5D5B">
        <w:rPr>
          <w:i/>
          <w:vertAlign w:val="subscript"/>
        </w:rPr>
        <w:t>a</w:t>
      </w:r>
      <w:r w:rsidR="006B0822" w:rsidRPr="00643C03">
        <w:t xml:space="preserve"> is the effective hydraulic conductivity at or near the surface of the matrix</w:t>
      </w:r>
      <w:r w:rsidR="006B0822">
        <w:t>–</w:t>
      </w:r>
      <w:r w:rsidR="006B0822" w:rsidRPr="00643C03">
        <w:t xml:space="preserve">fracture interface and </w:t>
      </w:r>
      <w:r w:rsidR="006B0822" w:rsidRPr="002A5D5B">
        <w:rPr>
          <w:i/>
        </w:rPr>
        <w:t>a</w:t>
      </w:r>
      <w:r w:rsidR="006B0822" w:rsidRPr="00643C03">
        <w:t xml:space="preserve"> is half the width of the matrix domain</w:t>
      </w:r>
      <w:r w:rsidR="00FE3208">
        <w:t xml:space="preserve"> (</w:t>
      </w:r>
      <w:r w:rsidR="00084CDD">
        <w:fldChar w:fldCharType="begin"/>
      </w:r>
      <w:r w:rsidR="00FE3208">
        <w:instrText xml:space="preserve"> REF _Ref433490626 \h </w:instrText>
      </w:r>
      <w:r w:rsidR="00084CDD">
        <w:fldChar w:fldCharType="separate"/>
      </w:r>
      <w:r w:rsidR="00C52E30">
        <w:t xml:space="preserve">Figure </w:t>
      </w:r>
      <w:r w:rsidR="00C52E30">
        <w:rPr>
          <w:noProof/>
        </w:rPr>
        <w:t>13</w:t>
      </w:r>
      <w:r w:rsidR="00084CDD">
        <w:fldChar w:fldCharType="end"/>
      </w:r>
      <w:r w:rsidR="00FE3208">
        <w:t>)</w:t>
      </w:r>
      <w:r w:rsidR="006B0822" w:rsidRPr="00643C03">
        <w:t>.</w:t>
      </w:r>
      <w:r w:rsidR="00147349">
        <w:t xml:space="preserve"> It remains to be </w:t>
      </w:r>
      <w:r w:rsidR="00E2704E">
        <w:t>determined</w:t>
      </w:r>
      <w:r w:rsidR="00147349">
        <w:t>, however, whether these relationships are also applicable to coal.</w:t>
      </w:r>
      <w:r w:rsidR="001F3D53">
        <w:t xml:space="preserve"> </w:t>
      </w:r>
    </w:p>
    <w:p w14:paraId="0687FEF3" w14:textId="77777777" w:rsidR="00F5074C" w:rsidRPr="00643C03" w:rsidRDefault="00F5074C" w:rsidP="00643C03">
      <w:pPr>
        <w:pStyle w:val="Body"/>
      </w:pPr>
    </w:p>
    <w:p w14:paraId="7D39727A" w14:textId="77777777" w:rsidR="002A081E" w:rsidRDefault="002A081E" w:rsidP="002A081E">
      <w:pPr>
        <w:pStyle w:val="Body"/>
        <w:keepNext/>
        <w:tabs>
          <w:tab w:val="left" w:pos="993"/>
          <w:tab w:val="left" w:pos="5103"/>
        </w:tabs>
        <w:spacing w:after="0" w:line="240" w:lineRule="auto"/>
      </w:pPr>
      <w:r>
        <w:tab/>
        <w:t>(a)</w:t>
      </w:r>
      <w:r>
        <w:tab/>
        <w:t>(b)</w:t>
      </w:r>
    </w:p>
    <w:p w14:paraId="1FE99C1F" w14:textId="77777777" w:rsidR="003D73AE" w:rsidRDefault="007C3F12" w:rsidP="002D58C1">
      <w:pPr>
        <w:pStyle w:val="Body"/>
        <w:jc w:val="center"/>
      </w:pPr>
      <w:r>
        <w:rPr>
          <w:noProof/>
          <w:lang w:val="en-AU" w:eastAsia="en-AU"/>
        </w:rPr>
        <w:drawing>
          <wp:inline distT="0" distB="0" distL="0" distR="0" wp14:anchorId="7BA9DB48" wp14:editId="224A6922">
            <wp:extent cx="2533442" cy="2288229"/>
            <wp:effectExtent l="38100" t="19050" r="19258" b="16821"/>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l="10261" t="19685" r="52196" b="58774"/>
                    <a:stretch>
                      <a:fillRect/>
                    </a:stretch>
                  </pic:blipFill>
                  <pic:spPr bwMode="auto">
                    <a:xfrm rot="60000">
                      <a:off x="0" y="0"/>
                      <a:ext cx="2533442" cy="2288229"/>
                    </a:xfrm>
                    <a:prstGeom prst="rect">
                      <a:avLst/>
                    </a:prstGeom>
                    <a:noFill/>
                    <a:ln w="9525">
                      <a:noFill/>
                      <a:miter lim="800000"/>
                      <a:headEnd/>
                      <a:tailEnd/>
                    </a:ln>
                  </pic:spPr>
                </pic:pic>
              </a:graphicData>
            </a:graphic>
          </wp:inline>
        </w:drawing>
      </w:r>
      <w:r w:rsidR="002D58C1">
        <w:t xml:space="preserve">   </w:t>
      </w:r>
      <w:r w:rsidR="002A081E">
        <w:t xml:space="preserve">        </w:t>
      </w:r>
      <w:r w:rsidR="002D58C1">
        <w:t xml:space="preserve">   </w:t>
      </w:r>
      <w:r w:rsidR="00BD1395">
        <w:rPr>
          <w:noProof/>
          <w:lang w:val="en-AU" w:eastAsia="en-AU"/>
        </w:rPr>
        <w:drawing>
          <wp:inline distT="0" distB="0" distL="0" distR="0" wp14:anchorId="5D769F60" wp14:editId="2ACCFCA5">
            <wp:extent cx="2746276" cy="2227926"/>
            <wp:effectExtent l="19050" t="0" r="0" b="0"/>
            <wp:docPr id="8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srcRect l="35422" t="24466" r="38277" b="62148"/>
                    <a:stretch>
                      <a:fillRect/>
                    </a:stretch>
                  </pic:blipFill>
                  <pic:spPr bwMode="auto">
                    <a:xfrm>
                      <a:off x="0" y="0"/>
                      <a:ext cx="2760270" cy="2239278"/>
                    </a:xfrm>
                    <a:prstGeom prst="rect">
                      <a:avLst/>
                    </a:prstGeom>
                    <a:noFill/>
                    <a:ln w="9525">
                      <a:noFill/>
                      <a:miter lim="800000"/>
                      <a:headEnd/>
                      <a:tailEnd/>
                    </a:ln>
                  </pic:spPr>
                </pic:pic>
              </a:graphicData>
            </a:graphic>
          </wp:inline>
        </w:drawing>
      </w:r>
    </w:p>
    <w:p w14:paraId="60171705" w14:textId="77777777" w:rsidR="009A2E95" w:rsidRDefault="003F68D2" w:rsidP="003F68D2">
      <w:pPr>
        <w:pStyle w:val="Imagecaption"/>
      </w:pPr>
      <w:bookmarkStart w:id="58" w:name="_Ref433490626"/>
      <w:bookmarkStart w:id="59" w:name="_Toc422323034"/>
      <w:bookmarkStart w:id="60" w:name="_Toc449696303"/>
      <w:r>
        <w:t xml:space="preserve">Figure </w:t>
      </w:r>
      <w:r w:rsidR="00084CDD">
        <w:fldChar w:fldCharType="begin"/>
      </w:r>
      <w:r>
        <w:instrText xml:space="preserve"> SEQ Figure \* ARABIC </w:instrText>
      </w:r>
      <w:r w:rsidR="00084CDD">
        <w:fldChar w:fldCharType="separate"/>
      </w:r>
      <w:r w:rsidR="00C52E30">
        <w:rPr>
          <w:noProof/>
        </w:rPr>
        <w:t>13</w:t>
      </w:r>
      <w:r w:rsidR="00084CDD">
        <w:fldChar w:fldCharType="end"/>
      </w:r>
      <w:bookmarkEnd w:id="58"/>
      <w:r>
        <w:t>.</w:t>
      </w:r>
      <w:r w:rsidR="003D73AE">
        <w:t xml:space="preserve"> </w:t>
      </w:r>
      <w:r w:rsidR="002A081E">
        <w:t xml:space="preserve">(a) </w:t>
      </w:r>
      <w:r w:rsidR="003D73AE">
        <w:t>Schematic illustration of rectangular parall</w:t>
      </w:r>
      <w:r w:rsidR="002A337A">
        <w:t>el</w:t>
      </w:r>
      <w:r w:rsidR="003D73AE">
        <w:t xml:space="preserve"> porous matrix blocks of width of 2a separated by fracture pore system of width 2b </w:t>
      </w:r>
      <w:r w:rsidR="00084CDD">
        <w:fldChar w:fldCharType="begin">
          <w:fldData xml:space="preserve">PEVuZE5vdGU+PENpdGU+PEF1dGhvcj5HZXJrZTwvQXV0aG9yPjxZZWFyPjE5OTM8L1llYXI+PElE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</w:fldData>
        </w:fldChar>
      </w:r>
      <w:r w:rsidR="002A337A">
        <w:instrText xml:space="preserve"> ADDIN EN.CITE </w:instrText>
      </w:r>
      <w:r w:rsidR="00084CDD">
        <w:fldChar w:fldCharType="begin">
          <w:fldData xml:space="preserve">PEVuZE5vdGU+PENpdGU+PEF1dGhvcj5HZXJrZTwvQXV0aG9yPjxZZWFyPjE5OTM8L1llYXI+PElE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</w:fldData>
        </w:fldChar>
      </w:r>
      <w:r w:rsidR="002A337A">
        <w:instrText xml:space="preserve"> ADDIN EN.CITE.DATA </w:instrText>
      </w:r>
      <w:r w:rsidR="00084CDD">
        <w:fldChar w:fldCharType="end"/>
      </w:r>
      <w:r w:rsidR="00084CDD">
        <w:fldChar w:fldCharType="separate"/>
      </w:r>
      <w:r w:rsidR="002A337A">
        <w:rPr>
          <w:noProof/>
        </w:rPr>
        <w:t>(Gerke and van Genuchten, 1993a; 1993b)</w:t>
      </w:r>
      <w:r w:rsidR="00084CDD">
        <w:fldChar w:fldCharType="end"/>
      </w:r>
      <w:r w:rsidR="001634F1">
        <w:t>.</w:t>
      </w:r>
      <w:bookmarkEnd w:id="59"/>
      <w:r w:rsidR="0013712E">
        <w:t xml:space="preserve"> </w:t>
      </w:r>
      <w:r w:rsidR="002A081E">
        <w:t xml:space="preserve">(b) Schematic model of coal cleat and fracture system </w:t>
      </w:r>
      <w:r w:rsidR="00084CDD">
        <w:fldChar w:fldCharType="begin"/>
      </w:r>
      <w:r w:rsidR="002A081E">
        <w:instrText xml:space="preserve"> ADDIN EN.CITE &lt;EndNote&gt;&lt;Cite&gt;&lt;Author&gt;Morad&lt;/Author&gt;&lt;Year&gt;2008&lt;/Year&gt;&lt;IDText&gt;Reservoir Engineering for Geologists: Coalbed Methane Fundamentals&lt;/IDText&gt;&lt;DisplayText&gt;(Morad et al., 2008)&lt;/DisplayText&gt;&lt;record&gt;&lt;titles&gt;&lt;title&gt;Reservoir Engineering for Geologists: Coalbed Methane Fundamentals&lt;/title&gt;&lt;/titles&gt;&lt;pages&gt;23-26&lt;/pages&gt;&lt;number&gt;9&lt;/number&gt;&lt;contributors&gt;&lt;authors&gt;&lt;author&gt;Morad, K&lt;/author&gt;&lt;author&gt;Mireault, R&lt;/author&gt;&lt;author&gt;Dean, L&lt;/author&gt;&lt;/authors&gt;&lt;/contributors&gt;&lt;added-date format="utc"&gt;1434345410&lt;/added-date&gt;&lt;ref-type name="Generic"&gt;13&lt;/ref-type&gt;&lt;dates&gt;&lt;year&gt;2008&lt;/year&gt;&lt;/dates&gt;&lt;rec-number&gt;1195&lt;/rec-number&gt;&lt;last-updated-date format="utc"&gt;1434345458&lt;/last-updated-date&gt;&lt;volume&gt;Reservoir Issues&lt;/volume&gt;&lt;/record&gt;&lt;/Cite&gt;&lt;/EndNote&gt;</w:instrText>
      </w:r>
      <w:r w:rsidR="00084CDD">
        <w:fldChar w:fldCharType="separate"/>
      </w:r>
      <w:r w:rsidR="002A081E">
        <w:rPr>
          <w:noProof/>
        </w:rPr>
        <w:t>(Morad et al., 2008)</w:t>
      </w:r>
      <w:r w:rsidR="00084CDD">
        <w:fldChar w:fldCharType="end"/>
      </w:r>
      <w:r w:rsidR="002A081E">
        <w:t>.</w:t>
      </w:r>
      <w:bookmarkEnd w:id="60"/>
    </w:p>
    <w:p w14:paraId="70DAF8C6" w14:textId="77777777" w:rsidR="00405DB4" w:rsidRDefault="00405DB4" w:rsidP="00E8296A">
      <w:pPr>
        <w:pStyle w:val="Body"/>
      </w:pPr>
    </w:p>
    <w:p w14:paraId="1AD76CD8" w14:textId="77777777" w:rsidR="007D5D7F" w:rsidRDefault="009A78B7" w:rsidP="007D5D7F">
      <w:pPr>
        <w:pStyle w:val="Body"/>
        <w:jc w:val="center"/>
      </w:pPr>
      <w:r>
        <w:rPr>
          <w:noProof/>
          <w:lang w:val="en-AU" w:eastAsia="en-AU"/>
        </w:rPr>
        <w:drawing>
          <wp:inline distT="0" distB="0" distL="0" distR="0" wp14:anchorId="15050675" wp14:editId="2A5C57AA">
            <wp:extent cx="4613299" cy="7229475"/>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4614799" cy="7231826"/>
                    </a:xfrm>
                    <a:prstGeom prst="rect">
                      <a:avLst/>
                    </a:prstGeom>
                    <a:noFill/>
                    <a:ln w="9525">
                      <a:noFill/>
                      <a:miter lim="800000"/>
                      <a:headEnd/>
                      <a:tailEnd/>
                    </a:ln>
                  </pic:spPr>
                </pic:pic>
              </a:graphicData>
            </a:graphic>
          </wp:inline>
        </w:drawing>
      </w:r>
      <w:r w:rsidR="007D5D7F">
        <w:t xml:space="preserve">              </w:t>
      </w:r>
    </w:p>
    <w:p w14:paraId="55775DE7" w14:textId="77777777" w:rsidR="007D5D7F" w:rsidRDefault="007D5D7F" w:rsidP="007D5D7F">
      <w:pPr>
        <w:pStyle w:val="Imagecaption"/>
      </w:pPr>
      <w:bookmarkStart w:id="61" w:name="_Ref436730660"/>
      <w:bookmarkStart w:id="62" w:name="_Toc449696304"/>
      <w:r>
        <w:t xml:space="preserve">Figure </w:t>
      </w:r>
      <w:r w:rsidR="00084CDD">
        <w:fldChar w:fldCharType="begin"/>
      </w:r>
      <w:r w:rsidR="0045082A">
        <w:instrText xml:space="preserve"> SEQ Figure \* ARABIC </w:instrText>
      </w:r>
      <w:r w:rsidR="00084CDD">
        <w:fldChar w:fldCharType="separate"/>
      </w:r>
      <w:r w:rsidR="00C52E30">
        <w:rPr>
          <w:noProof/>
        </w:rPr>
        <w:t>14</w:t>
      </w:r>
      <w:r w:rsidR="00084CDD">
        <w:rPr>
          <w:noProof/>
        </w:rPr>
        <w:fldChar w:fldCharType="end"/>
      </w:r>
      <w:bookmarkEnd w:id="61"/>
      <w:r>
        <w:t xml:space="preserve">. Multi-scale conceptualisation of methane gas liberation following depressurisation of the coal seam target formation. Methane desorbs from the surfaces </w:t>
      </w:r>
      <w:r w:rsidR="00C5216E">
        <w:t xml:space="preserve">and micropores </w:t>
      </w:r>
      <w:r>
        <w:t>of the</w:t>
      </w:r>
      <w:r w:rsidR="00C5216E">
        <w:t xml:space="preserve"> coal matrix</w:t>
      </w:r>
      <w:r>
        <w:t>, then diffuses through the matrix, migrates into the cleats and fractures, and finally reaches the CSG well (adapted from Al-Jubori et al. 2009</w:t>
      </w:r>
      <w:r w:rsidR="00C5216E">
        <w:t>).</w:t>
      </w:r>
      <w:bookmarkEnd w:id="62"/>
    </w:p>
    <w:p w14:paraId="5F5A530A" w14:textId="77777777" w:rsidR="00C5216E" w:rsidRDefault="00C5216E" w:rsidP="00E8296A">
      <w:pPr>
        <w:pStyle w:val="Body"/>
      </w:pPr>
    </w:p>
    <w:p w14:paraId="27308498" w14:textId="7D0222F9" w:rsidR="00800592" w:rsidRDefault="00921669" w:rsidP="00E8296A">
      <w:pPr>
        <w:pStyle w:val="Body"/>
      </w:pPr>
      <w:r>
        <w:t>C</w:t>
      </w:r>
      <w:r w:rsidR="000866B9">
        <w:t>oal seam gas reservoir</w:t>
      </w:r>
      <w:r>
        <w:t xml:space="preserve"> model</w:t>
      </w:r>
      <w:r w:rsidR="000866B9">
        <w:t xml:space="preserve">s typically feature dual domain representations of hydraulic properties. </w:t>
      </w:r>
      <w:r>
        <w:t>Conversely, groundwater flow models used to propagate the effects of CSG depressurisation typically represent only matrix flow</w:t>
      </w:r>
      <w:r w:rsidR="00684B6A">
        <w:t xml:space="preserve">, although it should be recognised that the permeability of a coal cleat system will be </w:t>
      </w:r>
      <w:r w:rsidR="00BA3562">
        <w:t>higher</w:t>
      </w:r>
      <w:r w:rsidR="00684B6A">
        <w:t xml:space="preserve"> than the matrix permeability of adjacent </w:t>
      </w:r>
      <w:r w:rsidR="00BA3562">
        <w:t>strata</w:t>
      </w:r>
      <w:r w:rsidR="000866B9">
        <w:t>.</w:t>
      </w:r>
      <w:r w:rsidR="0058403D">
        <w:t xml:space="preserve"> </w:t>
      </w:r>
      <w:r w:rsidR="00800592">
        <w:t xml:space="preserve">Moore </w:t>
      </w:r>
      <w:r w:rsidR="00810442">
        <w:t xml:space="preserve">et al. </w:t>
      </w:r>
      <w:r w:rsidR="00084CDD">
        <w:fldChar w:fldCharType="begin"/>
      </w:r>
      <w:r w:rsidR="00800592">
        <w:instrText xml:space="preserve"> ADDIN EN.CITE &lt;EndNote&gt;&lt;Cite ExcludeAuth="1"&gt;&lt;Author&gt;Moore&lt;/Author&gt;&lt;Year&gt;2014&lt;/Year&gt;&lt;IDText&gt;Some Challenges Posed by Coal Bed Methane Regional Assessment Modeling&lt;/IDText&gt;&lt;DisplayText&gt;(2014)&lt;/DisplayText&gt;&lt;record&gt;&lt;titles&gt;&lt;title&gt;Some Challenges Posed by Coal Bed Methane Regional Assessment Modeling&lt;/title&gt;&lt;secondary-title&gt;Groundwater&lt;/secondary-title&gt;&lt;/titles&gt;&lt;pages&gt;11&lt;/pages&gt;&lt;contributors&gt;&lt;authors&gt;&lt;author&gt;Moore, CR&lt;/author&gt;&lt;author&gt;Doherty, J&lt;/author&gt;&lt;author&gt;Howell, S&lt;/author&gt;&lt;author&gt;Erriah, L&lt;/author&gt;&lt;/authors&gt;&lt;/contributors&gt;&lt;edition&gt;3 November 2014&lt;/edition&gt;&lt;added-date format="utc"&gt;1434505831&lt;/added-date&gt;&lt;ref-type name="Journal Article"&gt;17&lt;/ref-type&gt;&lt;dates&gt;&lt;year&gt;2014&lt;/year&gt;&lt;/dates&gt;&lt;rec-number&gt;1199&lt;/rec-number&gt;&lt;last-updated-date format="utc"&gt;1434505946&lt;/last-updated-date&gt;&lt;electronic-resource-num&gt;10.1111/gwat.12276&lt;/electronic-resource-num&gt;&lt;/record&gt;&lt;/Cite&gt;&lt;/EndNote&gt;</w:instrText>
      </w:r>
      <w:r w:rsidR="00084CDD">
        <w:fldChar w:fldCharType="separate"/>
      </w:r>
      <w:r w:rsidR="00800592">
        <w:rPr>
          <w:noProof/>
        </w:rPr>
        <w:t>(2014)</w:t>
      </w:r>
      <w:r w:rsidR="00084CDD">
        <w:fldChar w:fldCharType="end"/>
      </w:r>
      <w:r w:rsidR="00800592">
        <w:t xml:space="preserve"> compared the efficacy of reservoir and groundwater flow models for the representation of CSG extraction. They concluded that the coal and interburden components of coal measures should be segregated, either explicitly (</w:t>
      </w:r>
      <w:r w:rsidR="00C85DC3">
        <w:t xml:space="preserve">i.e., </w:t>
      </w:r>
      <w:r w:rsidR="00800592">
        <w:t>using discrete model layers) or implicitly, using a dual domain approach.</w:t>
      </w:r>
      <w:r w:rsidR="00DD0EB1">
        <w:t xml:space="preserve">  </w:t>
      </w:r>
      <w:r w:rsidR="00684B6A">
        <w:t xml:space="preserve">Although relative permeability relationships were used, it should be noted that no </w:t>
      </w:r>
      <w:r w:rsidR="00286877">
        <w:t xml:space="preserve">distinction </w:t>
      </w:r>
      <w:r w:rsidR="00684B6A">
        <w:t xml:space="preserve">was made between the relative permeability of interburden and coal. </w:t>
      </w:r>
      <w:r w:rsidR="00286877">
        <w:t>This is important since, while coal is gas wetting, interburden material is water wetting</w:t>
      </w:r>
      <w:r w:rsidR="0001168A">
        <w:t xml:space="preserve"> (see Section 2.3</w:t>
      </w:r>
      <w:r w:rsidR="00D125A4">
        <w:t>.2</w:t>
      </w:r>
      <w:r w:rsidR="0001168A">
        <w:t xml:space="preserve"> for a description of wettability)</w:t>
      </w:r>
      <w:r w:rsidR="00286877">
        <w:t>.</w:t>
      </w:r>
    </w:p>
    <w:p w14:paraId="0B5B8C85" w14:textId="77777777" w:rsidR="00E8296A" w:rsidRDefault="0058403D" w:rsidP="00E8296A">
      <w:pPr>
        <w:pStyle w:val="Body"/>
        <w:rPr>
          <w:color w:val="auto"/>
        </w:rPr>
      </w:pPr>
      <w:r>
        <w:t xml:space="preserve">With regards to the Australian context, the Queensland Gas Corporation GEN3 model </w:t>
      </w:r>
      <w:r w:rsidR="00084CDD">
        <w:fldChar w:fldCharType="begin"/>
      </w:r>
      <w:r w:rsidR="00080F5C">
        <w:instrText xml:space="preserve"> ADDIN EN.CITE &lt;EndNote&gt;&lt;Cite&gt;&lt;Author&gt;QGC&lt;/Author&gt;&lt;Year&gt;2013&lt;/Year&gt;&lt;IDText&gt;Approval Conditions 49 to 64 Stage 3 CSG Water Monitoring and Management Plan&lt;/IDText&gt;&lt;DisplayText&gt;(QGC, 2013)&lt;/DisplayText&gt;&lt;record&gt;&lt;contributors&gt;&lt;tertiary-authors&gt;&lt;author&gt;QGC&lt;/author&gt;&lt;/tertiary-authors&gt;&lt;/contributors&gt;&lt;urls&gt;&lt;related-urls&gt;&lt;url&gt;http://www.qgc.com.au/ebooks/201409_QGC_Stage_3_WMMP/index.html#/1/&lt;/url&gt;&lt;/related-urls&gt;&lt;/urls&gt;&lt;titles&gt;&lt;title&gt;Approval Conditions 49 to 64 Stage 3 CSG Water Monitoring and Management Plan&lt;/title&gt;&lt;/titles&gt;&lt;pages&gt;334&lt;/pages&gt;&lt;contributors&gt;&lt;authors&gt;&lt;author&gt;QGC&lt;/author&gt;&lt;/authors&gt;&lt;/contributors&gt;&lt;added-date format="utc"&gt;1433393726&lt;/added-date&gt;&lt;pub-location&gt;Brisbane, Queensland&lt;/pub-location&gt;&lt;ref-type name="Report"&gt;27&lt;/ref-type&gt;&lt;dates&gt;&lt;year&gt;2013&lt;/year&gt;&lt;/dates&gt;&lt;rec-number&gt;77&lt;/rec-number&gt;&lt;last-updated-date format="utc"&gt;1433395780&lt;/last-updated-date&gt;&lt;/record&gt;&lt;/Cite&gt;&lt;/EndNote&gt;</w:instrText>
      </w:r>
      <w:r w:rsidR="00084CDD">
        <w:fldChar w:fldCharType="separate"/>
      </w:r>
      <w:r w:rsidR="00080F5C">
        <w:rPr>
          <w:noProof/>
        </w:rPr>
        <w:t>(QGC, 2013)</w:t>
      </w:r>
      <w:r w:rsidR="00084CDD">
        <w:fldChar w:fldCharType="end"/>
      </w:r>
      <w:r w:rsidR="004D63E1">
        <w:t xml:space="preserve"> is an example of a dual porosity approach to the simulation of CSG-related groundwater extraction (see Section </w:t>
      </w:r>
      <w:r w:rsidR="00084CDD">
        <w:fldChar w:fldCharType="begin"/>
      </w:r>
      <w:r w:rsidR="004D63E1">
        <w:instrText xml:space="preserve"> REF _Ref421799271 \r \h </w:instrText>
      </w:r>
      <w:r w:rsidR="00084CDD">
        <w:fldChar w:fldCharType="separate"/>
      </w:r>
      <w:r w:rsidR="00C52E30">
        <w:t>4.1.4</w:t>
      </w:r>
      <w:r w:rsidR="00084CDD">
        <w:fldChar w:fldCharType="end"/>
      </w:r>
      <w:r w:rsidR="004D63E1">
        <w:t xml:space="preserve"> for details). Uncertainty associated with dual domain approaches der</w:t>
      </w:r>
      <w:r w:rsidR="004D63E1" w:rsidRPr="004D63E1">
        <w:rPr>
          <w:color w:val="auto"/>
        </w:rPr>
        <w:t>ive</w:t>
      </w:r>
      <w:r w:rsidR="00E2704E">
        <w:rPr>
          <w:color w:val="auto"/>
        </w:rPr>
        <w:t>s</w:t>
      </w:r>
      <w:r w:rsidR="004D63E1" w:rsidRPr="004D63E1">
        <w:rPr>
          <w:color w:val="auto"/>
        </w:rPr>
        <w:t xml:space="preserve"> from </w:t>
      </w:r>
      <w:r w:rsidR="009E7F6B">
        <w:rPr>
          <w:color w:val="auto"/>
        </w:rPr>
        <w:t xml:space="preserve">a </w:t>
      </w:r>
      <w:r w:rsidR="004D63E1" w:rsidRPr="004D63E1">
        <w:rPr>
          <w:color w:val="auto"/>
        </w:rPr>
        <w:t xml:space="preserve">lack of knowledge of both the </w:t>
      </w:r>
      <w:r w:rsidR="007872FF" w:rsidRPr="004D63E1">
        <w:rPr>
          <w:color w:val="auto"/>
        </w:rPr>
        <w:t>fraction of each domain present</w:t>
      </w:r>
      <w:r w:rsidR="004D63E1" w:rsidRPr="004D63E1">
        <w:rPr>
          <w:color w:val="auto"/>
        </w:rPr>
        <w:t xml:space="preserve"> </w:t>
      </w:r>
      <w:r w:rsidR="008505B9">
        <w:rPr>
          <w:color w:val="auto"/>
        </w:rPr>
        <w:t xml:space="preserve">(relative distribution of </w:t>
      </w:r>
      <w:r w:rsidR="009A2E95" w:rsidRPr="009A2E95">
        <w:rPr>
          <w:i/>
          <w:color w:val="auto"/>
        </w:rPr>
        <w:t>n</w:t>
      </w:r>
      <w:r w:rsidR="009A2E95" w:rsidRPr="009A2E95">
        <w:rPr>
          <w:color w:val="auto"/>
          <w:vertAlign w:val="subscript"/>
        </w:rPr>
        <w:t>f</w:t>
      </w:r>
      <w:r w:rsidR="008505B9">
        <w:rPr>
          <w:color w:val="auto"/>
        </w:rPr>
        <w:t xml:space="preserve"> and </w:t>
      </w:r>
      <w:r w:rsidR="009A2E95" w:rsidRPr="009A2E95">
        <w:rPr>
          <w:i/>
          <w:color w:val="auto"/>
        </w:rPr>
        <w:t>n</w:t>
      </w:r>
      <w:r w:rsidR="009A2E95" w:rsidRPr="009A2E95">
        <w:rPr>
          <w:color w:val="auto"/>
          <w:vertAlign w:val="subscript"/>
        </w:rPr>
        <w:t>m</w:t>
      </w:r>
      <w:r w:rsidR="008505B9">
        <w:rPr>
          <w:color w:val="auto"/>
        </w:rPr>
        <w:t xml:space="preserve">) </w:t>
      </w:r>
      <w:r w:rsidR="004D63E1" w:rsidRPr="004D63E1">
        <w:rPr>
          <w:color w:val="auto"/>
        </w:rPr>
        <w:t xml:space="preserve">and the value specified for the flow </w:t>
      </w:r>
      <w:r w:rsidR="007872FF" w:rsidRPr="004D63E1">
        <w:rPr>
          <w:color w:val="auto"/>
        </w:rPr>
        <w:t xml:space="preserve">transfer </w:t>
      </w:r>
      <w:r w:rsidR="004D63E1" w:rsidRPr="004D63E1">
        <w:rPr>
          <w:color w:val="auto"/>
        </w:rPr>
        <w:t>rate.</w:t>
      </w:r>
      <w:r w:rsidR="00286877">
        <w:rPr>
          <w:color w:val="auto"/>
        </w:rPr>
        <w:t xml:space="preserve"> In addition, when the dual domain approach is applied to coal, an additional source of uncertainty is the </w:t>
      </w:r>
      <w:r w:rsidR="00820FE4">
        <w:rPr>
          <w:color w:val="auto"/>
        </w:rPr>
        <w:t xml:space="preserve">rate of gas </w:t>
      </w:r>
      <w:r w:rsidR="00286877">
        <w:rPr>
          <w:color w:val="auto"/>
        </w:rPr>
        <w:t>desorption from the coal matrix into the cleat.</w:t>
      </w:r>
    </w:p>
    <w:p w14:paraId="522A80DD" w14:textId="77777777" w:rsidR="00BF3323" w:rsidRPr="004D63E1" w:rsidRDefault="004D63E1" w:rsidP="00E8296A">
      <w:pPr>
        <w:pStyle w:val="Body"/>
        <w:rPr>
          <w:color w:val="auto"/>
        </w:rPr>
      </w:pPr>
      <w:r w:rsidRPr="004D63E1">
        <w:rPr>
          <w:color w:val="auto"/>
        </w:rPr>
        <w:t xml:space="preserve">In summary, </w:t>
      </w:r>
      <w:r>
        <w:rPr>
          <w:color w:val="auto"/>
        </w:rPr>
        <w:t xml:space="preserve">the selection of an approach to representing dual domain water flow is dependent upon the aims of modelling and upon the availability and type of observation data. For accurate estimation of CSG groundwater extraction volumes and fluxes using </w:t>
      </w:r>
      <w:r w:rsidR="009B7B6C">
        <w:rPr>
          <w:color w:val="auto"/>
        </w:rPr>
        <w:t xml:space="preserve">local scale </w:t>
      </w:r>
      <w:r>
        <w:rPr>
          <w:color w:val="auto"/>
        </w:rPr>
        <w:t>reservoir models, the use of a dual domain approach is crucial and commonplace. Conversely, when estimating the propagation of hydraulic responses incurred by CSG production over regional scales</w:t>
      </w:r>
      <w:r w:rsidR="006A20FB">
        <w:rPr>
          <w:color w:val="auto"/>
        </w:rPr>
        <w:t xml:space="preserve"> [i.e., 10</w:t>
      </w:r>
      <w:r w:rsidR="006A20FB">
        <w:rPr>
          <w:color w:val="auto"/>
          <w:vertAlign w:val="superscript"/>
        </w:rPr>
        <w:t>4</w:t>
      </w:r>
      <w:r w:rsidR="006A20FB">
        <w:rPr>
          <w:color w:val="auto"/>
        </w:rPr>
        <w:t>–10</w:t>
      </w:r>
      <w:r w:rsidR="006A20FB">
        <w:rPr>
          <w:color w:val="auto"/>
          <w:vertAlign w:val="superscript"/>
        </w:rPr>
        <w:t>5</w:t>
      </w:r>
      <w:r w:rsidR="006A20FB">
        <w:rPr>
          <w:color w:val="auto"/>
        </w:rPr>
        <w:t xml:space="preserve"> m; Dagan </w:t>
      </w:r>
      <w:r w:rsidR="00084CDD">
        <w:rPr>
          <w:color w:val="auto"/>
        </w:rPr>
        <w:fldChar w:fldCharType="begin"/>
      </w:r>
      <w:r w:rsidR="006A20FB">
        <w:rPr>
          <w:color w:val="auto"/>
        </w:rPr>
        <w:instrText xml:space="preserve"> ADDIN EN.CITE &lt;EndNote&gt;&lt;Cite ExcludeAuth="1"&gt;&lt;Author&gt;Dagan&lt;/Author&gt;&lt;Year&gt;1986&lt;/Year&gt;&lt;IDText&gt;Statistical theory of groundwater flow and transport: Pore to laboratory, laboratory to formation, and formation to regional scale&lt;/IDText&gt;&lt;DisplayText&gt;(1986)&lt;/DisplayText&gt;&lt;record&gt;&lt;isbn&gt;1944-7973&lt;/isbn&gt;&lt;titles&gt;&lt;title&gt;Statistical theory of groundwater flow and transport: Pore to laboratory, laboratory to formation, and formation to regional scale&lt;/title&gt;&lt;secondary-title&gt;Water Resources Research&lt;/secondary-title&gt;&lt;/titles&gt;&lt;pages&gt;120S-134S&lt;/pages&gt;&lt;number&gt;9S&lt;/number&gt;&lt;contributors&gt;&lt;authors&gt;&lt;author&gt;Dagan, Gedeon&lt;/author&gt;&lt;/authors&gt;&lt;/contributors&gt;&lt;added-date format="utc"&gt;1440732401&lt;/added-date&gt;&lt;ref-type name="Journal Article"&gt;17&lt;/ref-type&gt;&lt;dates&gt;&lt;year&gt;1986&lt;/year&gt;&lt;/dates&gt;&lt;rec-number&gt;1233&lt;/rec-number&gt;&lt;last-updated-date format="utc"&gt;1440732401&lt;/last-updated-date&gt;&lt;volume&gt;22&lt;/volume&gt;&lt;/record&gt;&lt;/Cite&gt;&lt;/EndNote&gt;</w:instrText>
      </w:r>
      <w:r w:rsidR="00084CDD">
        <w:rPr>
          <w:color w:val="auto"/>
        </w:rPr>
        <w:fldChar w:fldCharType="separate"/>
      </w:r>
      <w:r w:rsidR="006A20FB">
        <w:rPr>
          <w:noProof/>
          <w:color w:val="auto"/>
        </w:rPr>
        <w:t>(1986)</w:t>
      </w:r>
      <w:r w:rsidR="00084CDD">
        <w:rPr>
          <w:color w:val="auto"/>
        </w:rPr>
        <w:fldChar w:fldCharType="end"/>
      </w:r>
      <w:r w:rsidR="006A20FB">
        <w:rPr>
          <w:color w:val="auto"/>
        </w:rPr>
        <w:t>]</w:t>
      </w:r>
      <w:r>
        <w:rPr>
          <w:color w:val="auto"/>
        </w:rPr>
        <w:t>, a singl</w:t>
      </w:r>
      <w:r w:rsidR="00911FB3">
        <w:rPr>
          <w:color w:val="auto"/>
        </w:rPr>
        <w:t>e domain equivalent porous medium</w:t>
      </w:r>
      <w:r>
        <w:rPr>
          <w:color w:val="auto"/>
        </w:rPr>
        <w:t xml:space="preserve"> approach </w:t>
      </w:r>
      <w:r w:rsidR="006B5613">
        <w:rPr>
          <w:color w:val="auto"/>
        </w:rPr>
        <w:t xml:space="preserve">may be </w:t>
      </w:r>
      <w:r>
        <w:rPr>
          <w:color w:val="auto"/>
        </w:rPr>
        <w:t>appropriate</w:t>
      </w:r>
      <w:r w:rsidR="00CE34AC">
        <w:rPr>
          <w:color w:val="auto"/>
        </w:rPr>
        <w:t>.</w:t>
      </w:r>
      <w:r w:rsidR="006B5613">
        <w:rPr>
          <w:color w:val="auto"/>
        </w:rPr>
        <w:t xml:space="preserve"> </w:t>
      </w:r>
      <w:r>
        <w:rPr>
          <w:color w:val="auto"/>
        </w:rPr>
        <w:t xml:space="preserve"> </w:t>
      </w:r>
      <w:r w:rsidR="00286877">
        <w:rPr>
          <w:color w:val="auto"/>
        </w:rPr>
        <w:t>Examples exist, however, in which multiphase flow models have been applied at a regional scale (for example, the Queensland Gas Company’s GEN3 model; see Section 4.1.4).</w:t>
      </w:r>
    </w:p>
    <w:p w14:paraId="439E811E" w14:textId="77777777" w:rsidR="00643C03" w:rsidRDefault="00643C03" w:rsidP="00643C03">
      <w:pPr>
        <w:pStyle w:val="Heading2"/>
      </w:pPr>
      <w:bookmarkStart w:id="63" w:name="_Ref433479917"/>
      <w:bookmarkStart w:id="64" w:name="_Toc449696588"/>
      <w:r>
        <w:t>Gas desorption</w:t>
      </w:r>
      <w:bookmarkEnd w:id="63"/>
      <w:bookmarkEnd w:id="64"/>
    </w:p>
    <w:p w14:paraId="32CC25C7" w14:textId="496FE872" w:rsidR="00390CF6" w:rsidRDefault="00643C03" w:rsidP="00643C03">
      <w:pPr>
        <w:pStyle w:val="Body"/>
      </w:pPr>
      <w:r w:rsidRPr="003D7DB2">
        <w:rPr>
          <w:color w:val="auto"/>
        </w:rPr>
        <w:t xml:space="preserve">Methane </w:t>
      </w:r>
      <w:r>
        <w:rPr>
          <w:color w:val="auto"/>
        </w:rPr>
        <w:t xml:space="preserve">may be </w:t>
      </w:r>
      <w:r w:rsidRPr="003D7DB2">
        <w:rPr>
          <w:color w:val="auto"/>
        </w:rPr>
        <w:t xml:space="preserve">stored in coal seams </w:t>
      </w:r>
      <w:r>
        <w:rPr>
          <w:color w:val="auto"/>
        </w:rPr>
        <w:t xml:space="preserve">in one of three states: free, absorbed or adsorbed. Free methane is present in open voids </w:t>
      </w:r>
      <w:r w:rsidR="004974CA">
        <w:rPr>
          <w:color w:val="auto"/>
        </w:rPr>
        <w:t xml:space="preserve">such as fractures </w:t>
      </w:r>
      <w:r w:rsidR="00286877">
        <w:rPr>
          <w:color w:val="auto"/>
        </w:rPr>
        <w:t xml:space="preserve">(or as fluid located in the coal cleats) or </w:t>
      </w:r>
      <w:r w:rsidR="004376E3">
        <w:rPr>
          <w:color w:val="auto"/>
        </w:rPr>
        <w:t xml:space="preserve">in </w:t>
      </w:r>
      <w:r w:rsidR="004974CA">
        <w:rPr>
          <w:color w:val="auto"/>
        </w:rPr>
        <w:t xml:space="preserve">micropores </w:t>
      </w:r>
      <w:r>
        <w:rPr>
          <w:color w:val="auto"/>
        </w:rPr>
        <w:t xml:space="preserve">unattached to </w:t>
      </w:r>
      <w:r w:rsidR="00286877">
        <w:rPr>
          <w:color w:val="auto"/>
        </w:rPr>
        <w:t xml:space="preserve">the </w:t>
      </w:r>
      <w:r>
        <w:rPr>
          <w:color w:val="auto"/>
        </w:rPr>
        <w:t xml:space="preserve">coal </w:t>
      </w:r>
      <w:r w:rsidR="00286877">
        <w:rPr>
          <w:color w:val="auto"/>
        </w:rPr>
        <w:t>matrix</w:t>
      </w:r>
      <w:r>
        <w:rPr>
          <w:color w:val="auto"/>
        </w:rPr>
        <w:t xml:space="preserve">. Absorbed methane is chemically held within the structure of coal material. Adsorbed methane is present on the surface of </w:t>
      </w:r>
      <w:r w:rsidR="00D61A3C">
        <w:rPr>
          <w:color w:val="auto"/>
        </w:rPr>
        <w:t xml:space="preserve">mainly micropores (as single or possibly double layers of molecules) within </w:t>
      </w:r>
      <w:r>
        <w:rPr>
          <w:color w:val="auto"/>
        </w:rPr>
        <w:t xml:space="preserve">coal material </w:t>
      </w:r>
      <w:r w:rsidR="00084CDD">
        <w:rPr>
          <w:color w:val="auto"/>
        </w:rPr>
        <w:fldChar w:fldCharType="begin"/>
      </w:r>
      <w:r>
        <w:rPr>
          <w:color w:val="auto"/>
        </w:rPr>
        <w:instrText xml:space="preserve"> ADDIN EN.CITE &lt;EndNote&gt;&lt;Cite&gt;&lt;Author&gt;Moore&lt;/Author&gt;&lt;Year&gt;2012&lt;/Year&gt;&lt;IDText&gt;Coalbed methane: A review&lt;/IDText&gt;&lt;DisplayText&gt;(Moore, 2012)&lt;/DisplayText&gt;&lt;record&gt;&lt;dates&gt;&lt;pub-dates&gt;&lt;date&gt;NOV 1 2012&lt;/date&gt;&lt;/pub-dates&gt;&lt;year&gt;2012&lt;/year&gt;&lt;/dates&gt;&lt;keywords&gt;&lt;keyword&gt;Coalbed methane&lt;/keyword&gt;&lt;keyword&gt;Coal seam gas&lt;/keyword&gt;&lt;keyword&gt;Reservoir&lt;/keyword&gt;&lt;keyword&gt;Biogenic&lt;/keyword&gt;&lt;keyword&gt;Thermogenic&lt;/keyword&gt;&lt;keyword&gt;Gas saturation&lt;/keyword&gt;&lt;keyword&gt;Production&lt;/keyword&gt;&lt;keyword&gt;Exploration&lt;/keyword&gt;&lt;keyword&gt;Diffusion&lt;/keyword&gt;&lt;keyword&gt;Permeability&lt;/keyword&gt;&lt;keyword&gt;Desorption&lt;/keyword&gt;&lt;keyword&gt;Adsorption&lt;/keyword&gt;&lt;keyword&gt;Microbiology&lt;/keyword&gt;&lt;keyword&gt;Methanogens&lt;/keyword&gt;&lt;keyword&gt;Pores&lt;/keyword&gt;&lt;keyword&gt;Organic composition&lt;/keyword&gt;&lt;keyword&gt;POWDER RIVER-BASIN&lt;/keyword&gt;&lt;keyword&gt;SAN-JUAN BASIN&lt;/keyword&gt;&lt;keyword&gt;BLACK-WARRIOR BASIN&lt;/keyword&gt;&lt;keyword&gt;CARBON-DIOXIDE&lt;/keyword&gt;&lt;keyword&gt;CO2 SEQUESTRATION&lt;/keyword&gt;&lt;keyword&gt;BED METHANE&lt;/keyword&gt;&lt;keyword&gt;NEW-ZEALAND&lt;/keyword&gt;&lt;keyword&gt;ILLINOIS BASIN&lt;/keyword&gt;&lt;keyword&gt;PORE STRUCTURE&lt;/keyword&gt;&lt;keyword&gt;UNITED-STATES&lt;/keyword&gt;&lt;/keywords&gt;&lt;isbn&gt;0166-5162&lt;/isbn&gt;&lt;work-type&gt;Review&lt;/work-type&gt;&lt;titles&gt;&lt;title&gt;Coalbed methane: A review&lt;/title&gt;&lt;secondary-title&gt;International Journal of Coal Geology&lt;/secondary-title&gt;&lt;/titles&gt;&lt;pages&gt;36-81&lt;/pages&gt;&lt;contributors&gt;&lt;authors&gt;&lt;author&gt;Moore, TA&lt;/author&gt;&lt;/authors&gt;&lt;/contributors&gt;&lt;language&gt;English&lt;/language&gt;&lt;added-date format="utc"&gt;1433492861&lt;/added-date&gt;&lt;ref-type name="Journal Article"&gt;17&lt;/ref-type&gt;&lt;auth-address&gt;Moore, TA (reprint author), Cipher Coal Consulting Ltd, 173 Clifton Terrace, Christchurch 8081, New Zealand&amp;#xD;Cipher Coal Consulting Ltd, Christchurch 8081, New Zealand&amp;#xD;Univ Canterbury, Dept Geol Sci, Christchurch 1, New Zealand&amp;#xD;tmoore@ciphercoal.com&lt;/auth-address&gt;&lt;rec-number&gt;147&lt;/rec-number&gt;&lt;last-updated-date format="utc"&gt;1433492861&lt;/last-updated-date&gt;&lt;accession-num&gt;WOS:000309083900004&lt;/accession-num&gt;&lt;electronic-resource-num&gt;10.1016/j.coal.2012.05.011&lt;/electronic-resource-num&gt;&lt;volume&gt;101&lt;/volume&gt;&lt;/record&gt;&lt;/Cite&gt;&lt;/EndNote&gt;</w:instrText>
      </w:r>
      <w:r w:rsidR="00084CDD">
        <w:rPr>
          <w:color w:val="auto"/>
        </w:rPr>
        <w:fldChar w:fldCharType="separate"/>
      </w:r>
      <w:r>
        <w:rPr>
          <w:noProof/>
          <w:color w:val="auto"/>
        </w:rPr>
        <w:t>(Moore, 2012)</w:t>
      </w:r>
      <w:r w:rsidR="00084CDD">
        <w:rPr>
          <w:color w:val="auto"/>
        </w:rPr>
        <w:fldChar w:fldCharType="end"/>
      </w:r>
      <w:r>
        <w:rPr>
          <w:color w:val="auto"/>
        </w:rPr>
        <w:t xml:space="preserve">. </w:t>
      </w:r>
      <w:r>
        <w:t xml:space="preserve">Coal seam gas refers to gas (typically methane) </w:t>
      </w:r>
      <w:r w:rsidR="004974CA">
        <w:t xml:space="preserve">present in all of the above three states, but mainly </w:t>
      </w:r>
      <w:r>
        <w:t xml:space="preserve">adsorbed to the cleats of deep coal seams. Such gas reserves are retained in coal seams due to </w:t>
      </w:r>
      <w:r w:rsidR="004974CA">
        <w:t xml:space="preserve">hydraulic </w:t>
      </w:r>
      <w:r>
        <w:t>pressure</w:t>
      </w:r>
      <w:r w:rsidR="004974CA">
        <w:t xml:space="preserve"> </w:t>
      </w:r>
      <w:r w:rsidR="00CB2D75">
        <w:t>(Dallegge and Barker, 2000)</w:t>
      </w:r>
      <w:r>
        <w:t>. Groundwater extraction leads to a reduction in reservoir pressure, thereby desorbing gas from the coal cleats. The rate at which gas desorption occurs</w:t>
      </w:r>
      <w:r w:rsidR="00207EBF">
        <w:t xml:space="preserve"> with reducing pressure</w:t>
      </w:r>
      <w:r>
        <w:t xml:space="preserve"> can be represented by a function known as an isotherm (</w:t>
      </w:r>
      <w:r w:rsidR="00084CDD">
        <w:rPr>
          <w:highlight w:val="yellow"/>
        </w:rPr>
        <w:fldChar w:fldCharType="begin"/>
      </w:r>
      <w:r w:rsidR="0013712E">
        <w:instrText xml:space="preserve"> REF _Ref422323418 \h </w:instrText>
      </w:r>
      <w:r w:rsidR="00084CDD">
        <w:rPr>
          <w:highlight w:val="yellow"/>
        </w:rPr>
      </w:r>
      <w:r w:rsidR="00084CDD">
        <w:rPr>
          <w:highlight w:val="yellow"/>
        </w:rPr>
        <w:fldChar w:fldCharType="separate"/>
      </w:r>
      <w:r w:rsidR="00C52E30">
        <w:t xml:space="preserve">Figure </w:t>
      </w:r>
      <w:r w:rsidR="00C52E30">
        <w:rPr>
          <w:noProof/>
        </w:rPr>
        <w:t>15</w:t>
      </w:r>
      <w:r w:rsidR="00084CDD">
        <w:rPr>
          <w:highlight w:val="yellow"/>
        </w:rPr>
        <w:fldChar w:fldCharType="end"/>
      </w:r>
      <w:r>
        <w:t xml:space="preserve">). The Langmuir isotherm </w:t>
      </w:r>
      <w:r w:rsidR="00084CDD">
        <w:fldChar w:fldCharType="begin"/>
      </w:r>
      <w:r>
        <w:instrText xml:space="preserve"> ADDIN EN.CITE &lt;EndNote&gt;&lt;Cite&gt;&lt;Author&gt;Langmuir&lt;/Author&gt;&lt;Year&gt;1918&lt;/Year&gt;&lt;IDText&gt;THE ADSORPTION OF GASES ON PLANE SURFACES OF GLASS, MICA AND PLATINUM.&lt;/IDText&gt;&lt;DisplayText&gt;(Langmuir, 1918)&lt;/DisplayText&gt;&lt;record&gt;&lt;dates&gt;&lt;pub-dates&gt;&lt;date&gt;JUL-DEC 1918&lt;/date&gt;&lt;/pub-dates&gt;&lt;year&gt;1918&lt;/year&gt;&lt;/dates&gt;&lt;keywords&gt;&lt;keyword&gt;Chemistry, Multidisciplinary&lt;/keyword&gt;&lt;keyword&gt;CHEMISTRY, MULTIDISCIPLINARY&lt;/keyword&gt;&lt;keyword&gt;Chemistry&lt;/keyword&gt;&lt;/keywords&gt;&lt;isbn&gt;0002-7863&lt;/isbn&gt;&lt;work-type&gt;Article&lt;/work-type&gt;&lt;titles&gt;&lt;title&gt;THE ADSORPTION OF GASES ON PLANE SURFACES OF GLASS, MICA AND PLATINUM.&lt;/title&gt;&lt;secondary-title&gt;Journal of the American Chemical Society&lt;/secondary-title&gt;&lt;/titles&gt;&lt;pages&gt;1361-1403&lt;/pages&gt;&lt;contributors&gt;&lt;authors&gt;&lt;author&gt;Langmuir, I&lt;/author&gt;&lt;/authors&gt;&lt;/contributors&gt;&lt;language&gt;English&lt;/language&gt;&lt;added-date format="utc"&gt;1433905655&lt;/added-date&gt;&lt;ref-type name="Journal Article"&gt;17&lt;/ref-type&gt;&lt;auth-address&gt;Gen Elect Co, Res Lab, Schenectady, NY USA&lt;/auth-address&gt;&lt;rec-number&gt;237&lt;/rec-number&gt;&lt;last-updated-date format="utc"&gt;1433905655&lt;/last-updated-date&gt;&lt;accession-num&gt;WOS:000207641100036&lt;/accession-num&gt;&lt;electronic-resource-num&gt;10.1021/ja02242a004&lt;/electronic-resource-num&gt;&lt;volume&gt;40&lt;/volume&gt;&lt;/record&gt;&lt;/Cite&gt;&lt;/EndNote&gt;</w:instrText>
      </w:r>
      <w:r w:rsidR="00084CDD">
        <w:fldChar w:fldCharType="separate"/>
      </w:r>
      <w:r>
        <w:rPr>
          <w:noProof/>
        </w:rPr>
        <w:t>(Langmuir, 1918)</w:t>
      </w:r>
      <w:r w:rsidR="00084CDD">
        <w:fldChar w:fldCharType="end"/>
      </w:r>
      <w:r>
        <w:t xml:space="preserve"> is the most commonly used isotherm for the simulation of coal seam gas production. Other isotherms include the Dubinin-</w:t>
      </w:r>
      <w:r w:rsidRPr="003F4E33">
        <w:t xml:space="preserve">Radushkevich model </w:t>
      </w:r>
      <w:r w:rsidR="00084CDD" w:rsidRPr="003F4E33">
        <w:fldChar w:fldCharType="begin"/>
      </w:r>
      <w:r w:rsidRPr="003F4E33">
        <w:instrText xml:space="preserve"> ADDIN EN.CITE &lt;EndNote&gt;&lt;Cite&gt;&lt;Author&gt;Amankwah&lt;/Author&gt;&lt;Year&gt;1995&lt;/Year&gt;&lt;IDText&gt;A MODIFIED APPROACH FOR ESTIMATING PSEUDO-VAPOR PRESSURES IN THE APPLICATION OF THE DUBININ-ASTAKHOV EQUATION&lt;/IDText&gt;&lt;DisplayText&gt;(Amankwah and Schwarz, 1995)&lt;/DisplayText&gt;&lt;record&gt;&lt;dates&gt;&lt;pub-dates&gt;&lt;date&gt;1995&lt;/date&gt;&lt;/pub-dates&gt;&lt;year&gt;1995&lt;/year&gt;&lt;/dates&gt;&lt;keywords&gt;&lt;keyword&gt;MICROPOROUS CARBON&lt;/keyword&gt;&lt;keyword&gt;D-A EQUATION&lt;/keyword&gt;&lt;keyword&gt;PSEUDO-VAPOR PRESSURE&lt;/keyword&gt;&lt;keyword&gt;CHARACTERISTIC CURVE&lt;/keyword&gt;&lt;keyword&gt;ADSORBATE ADSORBENT INTERACTION&lt;/keyword&gt;&lt;keyword&gt;ACTIVATED CARBON&lt;/keyword&gt;&lt;keyword&gt;ADSORPTION&lt;/keyword&gt;&lt;keyword&gt;GASES&lt;/keyword&gt;&lt;keyword&gt;Chemistry, Physical&lt;/keyword&gt;&lt;keyword&gt;Materials Science, Multidisciplinary&lt;/keyword&gt;&lt;keyword&gt;CHEMISTRY, PHYSICAL&lt;/keyword&gt;&lt;keyword&gt;MATERIALS SCIENCE, MULTIDISCIPLINARY&lt;/keyword&gt;&lt;keyword&gt;Chemistry&lt;/keyword&gt;&lt;keyword&gt;Materials Science&lt;/keyword&gt;&lt;/keywords&gt;&lt;isbn&gt;0008-6223&lt;/isbn&gt;&lt;work-type&gt;Article&lt;/work-type&gt;&lt;titles&gt;&lt;title&gt;A MODIFIED APPROACH FOR ESTIMATING PSEUDO-VAPOR PRESSURES IN THE APPLICATION OF THE DUBININ-ASTAKHOV EQUATION&lt;/title&gt;&lt;secondary-title&gt;Carbon&lt;/secondary-title&gt;&lt;/titles&gt;&lt;pages&gt;1313-1319&lt;/pages&gt;&lt;number&gt;9&lt;/number&gt;&lt;contributors&gt;&lt;authors&gt;&lt;author&gt;Amankwah, KAG&lt;/author&gt;&lt;author&gt;Schwarz, JA&lt;/author&gt;&lt;/authors&gt;&lt;/contributors&gt;&lt;language&gt;English&lt;/language&gt;&lt;added-date format="utc"&gt;1433905724&lt;/added-date&gt;&lt;ref-type name="Journal Article"&gt;17&lt;/ref-type&gt;&lt;auth-address&gt;SYRACUSE UNIV,DEPT CHEM ENGN &amp;amp; MAT SCI,SYRACUSE,NY 13244&lt;/auth-address&gt;&lt;rec-number&gt;238&lt;/rec-number&gt;&lt;last-updated-date format="utc"&gt;1433905767&lt;/last-updated-date&gt;&lt;accession-num&gt;WOS:A1995RV81600015&lt;/accession-num&gt;&lt;electronic-resource-num&gt;10.1016/0008-6223(95)00079-S&lt;/electronic-resource-num&gt;&lt;volume&gt;33&lt;/volume&gt;&lt;/record&gt;&lt;/Cite&gt;&lt;/EndNote&gt;</w:instrText>
      </w:r>
      <w:r w:rsidR="00084CDD" w:rsidRPr="003F4E33">
        <w:fldChar w:fldCharType="separate"/>
      </w:r>
      <w:r w:rsidRPr="003F4E33">
        <w:rPr>
          <w:noProof/>
        </w:rPr>
        <w:t>(Amankwah and Schwarz, 1995)</w:t>
      </w:r>
      <w:r w:rsidR="00084CDD" w:rsidRPr="003F4E33">
        <w:fldChar w:fldCharType="end"/>
      </w:r>
      <w:r w:rsidRPr="003F4E33">
        <w:t xml:space="preserve"> and dual sorption model </w:t>
      </w:r>
      <w:r w:rsidR="00084CDD" w:rsidRPr="003F4E33">
        <w:fldChar w:fldCharType="begin"/>
      </w:r>
      <w:r w:rsidRPr="003F4E33">
        <w:instrText xml:space="preserve"> ADDIN EN.CITE &lt;EndNote&gt;&lt;Cite&gt;&lt;Author&gt;Green&lt;/Author&gt;&lt;Year&gt;1994&lt;/Year&gt;&lt;IDText&gt;PYRIDINE SORPTION ISOTHERMS OF ARGONNE PREMIUM COALS - DUAL-MODE SORPTION AND COAL MICROPOROSITY&lt;/IDText&gt;&lt;DisplayText&gt;(Green and Selby, 1994)&lt;/DisplayText&gt;&lt;record&gt;&lt;dates&gt;&lt;pub-dates&gt;&lt;date&gt;JAN-FEB 1994&lt;/date&gt;&lt;/pub-dates&gt;&lt;year&gt;1994&lt;/year&gt;&lt;/dates&gt;&lt;keywords&gt;&lt;keyword&gt;Energy &amp;amp; Fuels&lt;/keyword&gt;&lt;keyword&gt;Engineering, Chemical&lt;/keyword&gt;&lt;keyword&gt;ENERGY &amp;amp; FUELS&lt;/keyword&gt;&lt;keyword&gt;ENGINEERING, CHEMICAL&lt;/keyword&gt;&lt;keyword&gt;Energy &amp;amp; Fuels&lt;/keyword&gt;&lt;keyword&gt;Engineering&lt;/keyword&gt;&lt;/keywords&gt;&lt;isbn&gt;0887-0624&lt;/isbn&gt;&lt;work-type&gt;Article&lt;/work-type&gt;&lt;titles&gt;&lt;title&gt;PYRIDINE SORPTION ISOTHERMS OF ARGONNE PREMIUM COALS - DUAL-MODE SORPTION AND COAL MICROPOROSITY&lt;/title&gt;&lt;secondary-title&gt;Energy &amp;amp; Fuels&lt;/secondary-title&gt;&lt;/titles&gt;&lt;pages&gt;213-218&lt;/pages&gt;&lt;number&gt;1&lt;/number&gt;&lt;contributors&gt;&lt;authors&gt;&lt;author&gt;Green, TK&lt;/author&gt;&lt;author&gt;Selby, TD&lt;/author&gt;&lt;/authors&gt;&lt;/contributors&gt;&lt;language&gt;English&lt;/language&gt;&lt;added-date format="utc"&gt;1433905924&lt;/added-date&gt;&lt;ref-type name="Journal Article"&gt;17&lt;/ref-type&gt;&lt;auth-address&gt;GREEN, TK (reprint author), WESTERN KENTUCKY UNIV,DEPT CHEM,BOWLING GREEN,KY 42101, USA&lt;/auth-address&gt;&lt;rec-number&gt;239&lt;/rec-number&gt;&lt;last-updated-date format="utc"&gt;1433905954&lt;/last-updated-date&gt;&lt;accession-num&gt;WOS:A1994MU60600035&lt;/accession-num&gt;&lt;electronic-resource-num&gt;10.1021/ef00043a033&lt;/electronic-resource-num&gt;&lt;volume&gt;8&lt;/volume&gt;&lt;/record&gt;&lt;/Cite&gt;&lt;/EndNote&gt;</w:instrText>
      </w:r>
      <w:r w:rsidR="00084CDD" w:rsidRPr="003F4E33">
        <w:fldChar w:fldCharType="separate"/>
      </w:r>
      <w:r w:rsidRPr="003F4E33">
        <w:rPr>
          <w:noProof/>
        </w:rPr>
        <w:t>(Green and Selby, 1994)</w:t>
      </w:r>
      <w:r w:rsidR="00084CDD" w:rsidRPr="003F4E33">
        <w:fldChar w:fldCharType="end"/>
      </w:r>
      <w:r w:rsidRPr="003F4E33">
        <w:t>.</w:t>
      </w:r>
      <w:r>
        <w:t xml:space="preserve"> </w:t>
      </w:r>
      <w:r w:rsidR="009E7F6B">
        <w:t>D</w:t>
      </w:r>
      <w:r w:rsidR="00390CF6">
        <w:t xml:space="preserve">esorbed gas replaces water and creates changes to </w:t>
      </w:r>
      <w:r w:rsidR="009E7F6B">
        <w:t xml:space="preserve">coal seam </w:t>
      </w:r>
      <w:r w:rsidR="00390CF6">
        <w:t>permeability</w:t>
      </w:r>
      <w:r w:rsidR="009E7F6B">
        <w:t>,</w:t>
      </w:r>
      <w:r w:rsidR="00390CF6">
        <w:t xml:space="preserve"> as described by the relative permeability curves depicted in Figure 6.  The</w:t>
      </w:r>
      <w:r w:rsidR="001B75C9">
        <w:t xml:space="preserve"> simulation of </w:t>
      </w:r>
      <w:r w:rsidR="009E7F6B">
        <w:t xml:space="preserve">simultaneous </w:t>
      </w:r>
      <w:r w:rsidR="001B75C9">
        <w:t>gas and water flow requires dual phase modelling approaches</w:t>
      </w:r>
      <w:r w:rsidR="009E7F6B">
        <w:t>,</w:t>
      </w:r>
      <w:r w:rsidR="001B75C9">
        <w:t xml:space="preserve"> </w:t>
      </w:r>
      <w:r w:rsidR="009E7F6B">
        <w:t xml:space="preserve">as </w:t>
      </w:r>
      <w:r w:rsidR="001B75C9">
        <w:t xml:space="preserve">described in </w:t>
      </w:r>
      <w:r w:rsidR="009E7F6B">
        <w:t>S</w:t>
      </w:r>
      <w:r w:rsidR="001B75C9">
        <w:t>ection 2.3.</w:t>
      </w:r>
    </w:p>
    <w:p w14:paraId="5CD220E1" w14:textId="77777777" w:rsidR="00643C03" w:rsidRDefault="00643C03" w:rsidP="00643C03">
      <w:pPr>
        <w:pStyle w:val="Body"/>
      </w:pPr>
    </w:p>
    <w:p w14:paraId="04442C90" w14:textId="79E4EF40" w:rsidR="009A78B7" w:rsidRDefault="00643C03" w:rsidP="00A45100">
      <w:pPr>
        <w:pStyle w:val="Body"/>
        <w:keepNext/>
        <w:rPr>
          <w:color w:val="C00000"/>
        </w:rPr>
      </w:pPr>
      <w:r>
        <w:rPr>
          <w:noProof/>
          <w:color w:val="C00000"/>
          <w:lang w:val="en-AU" w:eastAsia="en-AU"/>
        </w:rPr>
        <w:drawing>
          <wp:inline distT="0" distB="0" distL="0" distR="0" wp14:anchorId="249159DD" wp14:editId="38840FC6">
            <wp:extent cx="2681268" cy="1603020"/>
            <wp:effectExtent l="0" t="0" r="5080" b="0"/>
            <wp:docPr id="17" name="Picture 17" descr="Gas_sorption_processes_v1_110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_sorption_processes_v1_110615.png"/>
                    <pic:cNvPicPr/>
                  </pic:nvPicPr>
                  <pic:blipFill>
                    <a:blip r:embed="rId55"/>
                    <a:srcRect l="6253" r="10004"/>
                    <a:stretch>
                      <a:fillRect/>
                    </a:stretch>
                  </pic:blipFill>
                  <pic:spPr>
                    <a:xfrm>
                      <a:off x="0" y="0"/>
                      <a:ext cx="2686036" cy="1605870"/>
                    </a:xfrm>
                    <a:prstGeom prst="rect">
                      <a:avLst/>
                    </a:prstGeom>
                  </pic:spPr>
                </pic:pic>
              </a:graphicData>
            </a:graphic>
          </wp:inline>
        </w:drawing>
      </w:r>
      <w:r w:rsidR="007840BF" w:rsidRPr="007840BF">
        <w:rPr>
          <w:noProof/>
          <w:lang w:val="en-AU" w:eastAsia="en-AU"/>
        </w:rPr>
        <w:t xml:space="preserve"> </w:t>
      </w:r>
      <w:r w:rsidR="007840BF">
        <w:rPr>
          <w:noProof/>
          <w:lang w:val="en-AU" w:eastAsia="en-AU"/>
        </w:rPr>
        <w:drawing>
          <wp:inline distT="0" distB="0" distL="0" distR="0" wp14:anchorId="671F1A66" wp14:editId="28CA3308">
            <wp:extent cx="2703268" cy="1625257"/>
            <wp:effectExtent l="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23642" cy="1637506"/>
                    </a:xfrm>
                    <a:prstGeom prst="rect">
                      <a:avLst/>
                    </a:prstGeom>
                  </pic:spPr>
                </pic:pic>
              </a:graphicData>
            </a:graphic>
          </wp:inline>
        </w:drawing>
      </w:r>
    </w:p>
    <w:p w14:paraId="466E351A" w14:textId="5D4B4B77" w:rsidR="00643C03" w:rsidRDefault="003F68D2" w:rsidP="003F68D2">
      <w:pPr>
        <w:pStyle w:val="Imagecaption"/>
      </w:pPr>
      <w:bookmarkStart w:id="65" w:name="_Ref422323418"/>
      <w:bookmarkStart w:id="66" w:name="_Toc422323036"/>
      <w:bookmarkStart w:id="67" w:name="_Toc449696305"/>
      <w:r>
        <w:t xml:space="preserve">Figure </w:t>
      </w:r>
      <w:r w:rsidR="00084CDD">
        <w:fldChar w:fldCharType="begin"/>
      </w:r>
      <w:r>
        <w:instrText xml:space="preserve"> SEQ Figure \* ARABIC </w:instrText>
      </w:r>
      <w:r w:rsidR="00084CDD">
        <w:fldChar w:fldCharType="separate"/>
      </w:r>
      <w:r w:rsidR="00C52E30">
        <w:rPr>
          <w:noProof/>
        </w:rPr>
        <w:t>15</w:t>
      </w:r>
      <w:r w:rsidR="00084CDD">
        <w:fldChar w:fldCharType="end"/>
      </w:r>
      <w:bookmarkEnd w:id="65"/>
      <w:r>
        <w:t>.</w:t>
      </w:r>
      <w:r w:rsidR="00643C03" w:rsidRPr="008C753A">
        <w:t xml:space="preserve"> </w:t>
      </w:r>
      <w:r w:rsidR="003F0EC2">
        <w:t xml:space="preserve">(left) </w:t>
      </w:r>
      <w:r w:rsidR="00643C03">
        <w:t xml:space="preserve">Sorption processes as a function of hydrostatic pressure: sorption processes are described by a nonlinear isotherm (dashed line); adsorption (right arrow) of a constituent due to increased hydrostatic pressure results in an increased sorbed volume; conversely, desorption (left arrow) of a constituent due to reduced hydrostatic pressure results in a reduced sorbed volume [after Wang </w:t>
      </w:r>
      <w:r w:rsidR="00810442">
        <w:t xml:space="preserve">et al., </w:t>
      </w:r>
      <w:r w:rsidR="00084CDD">
        <w:fldChar w:fldCharType="begin"/>
      </w:r>
      <w:r w:rsidR="00643C03">
        <w:instrText xml:space="preserve"> ADDIN EN.CITE &lt;EndNote&gt;&lt;Cite ExcludeAuth="1"&gt;&lt;Author&gt;Wang&lt;/Author&gt;&lt;Year&gt;2014&lt;/Year&gt;&lt;IDText&gt;Methane and CO2 sorption hysteresis on coal: A critical review&lt;/IDText&gt;&lt;DisplayText&gt;(2014)&lt;/DisplayText&gt;&lt;record&gt;&lt;dates&gt;&lt;pub-dates&gt;&lt;date&gt;OCT 1 2014&lt;/date&gt;&lt;/pub-dates&gt;&lt;year&gt;2014&lt;/year&gt;&lt;/dates&gt;&lt;keywords&gt;&lt;keyword&gt;Methane&lt;/keyword&gt;&lt;keyword&gt;CO2&lt;/keyword&gt;&lt;keyword&gt;Sorption hysteresis&lt;/keyword&gt;&lt;keyword&gt;IHI&lt;/keyword&gt;&lt;keyword&gt;Controlling factor&lt;/keyword&gt;&lt;keyword&gt;Possible explanation&lt;/keyword&gt;&lt;keyword&gt;ARGONNE PREMIUM COALS&lt;/keyword&gt;&lt;keyword&gt;BROWN-COAL/WATER SYSTEM&lt;/keyword&gt;&lt;keyword&gt;CARBON-DIOXIDE SORPTION&lt;/keyword&gt;&lt;keyword&gt;ADSORPTION CAPACITY&lt;/keyword&gt;&lt;keyword&gt;GAS-ADSORPTION&lt;/keyword&gt;&lt;keyword&gt;HIGH-PRESSURE&lt;/keyword&gt;&lt;keyword&gt;SUPERCRITICAL CONDITIONS&lt;/keyword&gt;&lt;keyword&gt;DESORPTION BEHAVIOR&lt;/keyword&gt;&lt;keyword&gt;BITUMINOUS COALS&lt;/keyword&gt;&lt;keyword&gt;POROUS MATERIALS&lt;/keyword&gt;&lt;/keywords&gt;&lt;isbn&gt;0166-5162&lt;/isbn&gt;&lt;work-type&gt;Review&lt;/work-type&gt;&lt;titles&gt;&lt;title&gt;Methane and CO2 sorption hysteresis on coal: A critical review&lt;/title&gt;&lt;secondary-title&gt;International Journal of Coal Geology&lt;/secondary-title&gt;&lt;/titles&gt;&lt;pages&gt;60-80&lt;/pages&gt;&lt;contributors&gt;&lt;authors&gt;&lt;author&gt;Wang, K&lt;/author&gt;&lt;author&gt;Wang, GD&lt;/author&gt;&lt;author&gt;Ren, T&lt;/author&gt;&lt;author&gt;Cheng, YP&lt;/author&gt;&lt;/authors&gt;&lt;/contributors&gt;&lt;language&gt;English&lt;/language&gt;&lt;added-date format="utc"&gt;1433493362&lt;/added-date&gt;&lt;ref-type name="Journal Article"&gt;17&lt;/ref-type&gt;&lt;auth-address&gt;Wang, GD (reprint author), Univ Wollongong, Room 309,Bldg 6, Wollongong, NSW 2500, Australia&amp;#xD;China Univ Min &amp;amp; Technol, Fac Resources &amp;amp; Safety Engn, Beijing 100083, Peoples R China&amp;#xD;Univ Wollongong, Sch Civil Min &amp;amp; Environm Engn, Wollongong, NSW 2500, Australia&amp;#xD;China Univ Min &amp;amp; Technol, Fac Safety Engn, Xuzhou 221008, Peoples R China&lt;/auth-address&gt;&lt;rec-number&gt;150&lt;/rec-number&gt;&lt;last-updated-date format="utc"&gt;1433493362&lt;/last-updated-date&gt;&lt;accession-num&gt;WOS:000348014500007&lt;/accession-num&gt;&lt;electronic-resource-num&gt;10.1016/j.coal.2014.08.004&lt;/electronic-resource-num&gt;&lt;volume&gt;132&lt;/volume&gt;&lt;/record&gt;&lt;/Cite&gt;&lt;/EndNote&gt;</w:instrText>
      </w:r>
      <w:r w:rsidR="00084CDD">
        <w:fldChar w:fldCharType="separate"/>
      </w:r>
      <w:r w:rsidR="00643C03">
        <w:rPr>
          <w:noProof/>
        </w:rPr>
        <w:t>(2014)</w:t>
      </w:r>
      <w:r w:rsidR="00084CDD">
        <w:fldChar w:fldCharType="end"/>
      </w:r>
      <w:r w:rsidR="00643C03">
        <w:t>]</w:t>
      </w:r>
      <w:r w:rsidR="00643C03" w:rsidRPr="008C753A">
        <w:t>.</w:t>
      </w:r>
      <w:bookmarkEnd w:id="66"/>
      <w:r w:rsidR="003F0EC2">
        <w:t xml:space="preserve"> (right) </w:t>
      </w:r>
      <w:r w:rsidR="0092743F" w:rsidRPr="0092743F">
        <w:t>Nine adsorption isotherm test results from a single 5 m coal seam</w:t>
      </w:r>
      <w:r w:rsidR="0092743F">
        <w:t>s [Moore, 2012]</w:t>
      </w:r>
      <w:r w:rsidR="0092743F" w:rsidRPr="0092743F">
        <w:t>.</w:t>
      </w:r>
      <w:bookmarkEnd w:id="67"/>
    </w:p>
    <w:p w14:paraId="0CF80768" w14:textId="77777777" w:rsidR="00643C03" w:rsidRDefault="00643C03" w:rsidP="00643C03">
      <w:pPr>
        <w:pStyle w:val="Imagecaption"/>
      </w:pPr>
    </w:p>
    <w:p w14:paraId="2240D5E8" w14:textId="6A785A25" w:rsidR="00643C03" w:rsidRDefault="00643C03" w:rsidP="00643C03">
      <w:pPr>
        <w:pStyle w:val="Body"/>
        <w:rPr>
          <w:color w:val="auto"/>
        </w:rPr>
      </w:pPr>
      <w:r>
        <w:rPr>
          <w:color w:val="auto"/>
        </w:rPr>
        <w:t xml:space="preserve">Uncertainties associated with the representation of gas </w:t>
      </w:r>
      <w:r w:rsidR="001E4751">
        <w:rPr>
          <w:color w:val="auto"/>
        </w:rPr>
        <w:t>ad</w:t>
      </w:r>
      <w:r>
        <w:rPr>
          <w:color w:val="auto"/>
        </w:rPr>
        <w:t>sorption processes primarily relate to s</w:t>
      </w:r>
      <w:r w:rsidR="001E4751">
        <w:rPr>
          <w:color w:val="auto"/>
        </w:rPr>
        <w:t>ources of measurement error: handling procedures, incorrect moisture levels, methods used to compute gas density, and poor temperature and pressure calibration (Moore, 201</w:t>
      </w:r>
      <w:r w:rsidR="0092743F">
        <w:rPr>
          <w:color w:val="auto"/>
        </w:rPr>
        <w:t>2</w:t>
      </w:r>
      <w:r w:rsidR="001E4751">
        <w:rPr>
          <w:color w:val="auto"/>
        </w:rPr>
        <w:t>)</w:t>
      </w:r>
      <w:r>
        <w:rPr>
          <w:color w:val="auto"/>
        </w:rPr>
        <w:t xml:space="preserve">. </w:t>
      </w:r>
      <w:r w:rsidR="0092743F">
        <w:rPr>
          <w:color w:val="auto"/>
        </w:rPr>
        <w:t>Additional sources of uncertainty can be attributed to the heterogeneity within coal seams (</w:t>
      </w:r>
      <w:r w:rsidR="0092743F">
        <w:rPr>
          <w:color w:val="auto"/>
        </w:rPr>
        <w:fldChar w:fldCharType="begin"/>
      </w:r>
      <w:r w:rsidR="0092743F">
        <w:rPr>
          <w:color w:val="auto"/>
        </w:rPr>
        <w:instrText xml:space="preserve"> REF _Ref422323418 \h </w:instrText>
      </w:r>
      <w:r w:rsidR="0092743F">
        <w:rPr>
          <w:color w:val="auto"/>
        </w:rPr>
      </w:r>
      <w:r w:rsidR="0092743F">
        <w:rPr>
          <w:color w:val="auto"/>
        </w:rPr>
        <w:fldChar w:fldCharType="separate"/>
      </w:r>
      <w:r w:rsidR="00C52E30">
        <w:t xml:space="preserve">Figure </w:t>
      </w:r>
      <w:r w:rsidR="00C52E30">
        <w:rPr>
          <w:noProof/>
        </w:rPr>
        <w:t>15</w:t>
      </w:r>
      <w:r w:rsidR="0092743F">
        <w:rPr>
          <w:color w:val="auto"/>
        </w:rPr>
        <w:fldChar w:fldCharType="end"/>
      </w:r>
      <w:r w:rsidR="0092743F">
        <w:rPr>
          <w:color w:val="auto"/>
        </w:rPr>
        <w:t xml:space="preserve">).  </w:t>
      </w:r>
      <w:r w:rsidR="001E4751">
        <w:rPr>
          <w:color w:val="auto"/>
        </w:rPr>
        <w:t>Moore (201</w:t>
      </w:r>
      <w:r w:rsidR="0092743F">
        <w:rPr>
          <w:color w:val="auto"/>
        </w:rPr>
        <w:t>2</w:t>
      </w:r>
      <w:r w:rsidR="001E4751">
        <w:rPr>
          <w:color w:val="auto"/>
        </w:rPr>
        <w:t xml:space="preserve">) estimated the uncertainty of adsorption isotherms to range from 7 to 20%. </w:t>
      </w:r>
      <w:r>
        <w:rPr>
          <w:color w:val="auto"/>
        </w:rPr>
        <w:t>However, it should also be noted that t</w:t>
      </w:r>
      <w:r w:rsidRPr="00BD7DB8">
        <w:rPr>
          <w:color w:val="auto"/>
        </w:rPr>
        <w:t>he</w:t>
      </w:r>
      <w:r>
        <w:rPr>
          <w:color w:val="auto"/>
        </w:rPr>
        <w:t>se</w:t>
      </w:r>
      <w:r w:rsidRPr="00BD7DB8">
        <w:rPr>
          <w:color w:val="auto"/>
        </w:rPr>
        <w:t xml:space="preserve"> isotherm</w:t>
      </w:r>
      <w:r>
        <w:rPr>
          <w:color w:val="auto"/>
        </w:rPr>
        <w:t>s</w:t>
      </w:r>
      <w:r w:rsidRPr="00BD7DB8">
        <w:rPr>
          <w:color w:val="auto"/>
        </w:rPr>
        <w:t xml:space="preserve"> </w:t>
      </w:r>
      <w:r>
        <w:rPr>
          <w:color w:val="auto"/>
        </w:rPr>
        <w:t>typically describe</w:t>
      </w:r>
      <w:r w:rsidRPr="00BD7DB8">
        <w:rPr>
          <w:color w:val="auto"/>
        </w:rPr>
        <w:t xml:space="preserve"> </w:t>
      </w:r>
      <w:r>
        <w:rPr>
          <w:color w:val="auto"/>
        </w:rPr>
        <w:t xml:space="preserve">the </w:t>
      </w:r>
      <w:r w:rsidRPr="00BD7DB8">
        <w:rPr>
          <w:color w:val="auto"/>
        </w:rPr>
        <w:t>adsorption</w:t>
      </w:r>
      <w:r>
        <w:rPr>
          <w:color w:val="auto"/>
        </w:rPr>
        <w:t xml:space="preserve"> (rather than </w:t>
      </w:r>
      <w:r w:rsidRPr="00BD7DB8">
        <w:rPr>
          <w:color w:val="auto"/>
        </w:rPr>
        <w:t>desorption</w:t>
      </w:r>
      <w:r>
        <w:rPr>
          <w:color w:val="auto"/>
        </w:rPr>
        <w:t>) of gas molecules</w:t>
      </w:r>
      <w:r w:rsidRPr="00BD7DB8">
        <w:rPr>
          <w:color w:val="auto"/>
        </w:rPr>
        <w:t xml:space="preserve">. </w:t>
      </w:r>
      <w:r>
        <w:rPr>
          <w:color w:val="auto"/>
        </w:rPr>
        <w:t xml:space="preserve">It has been shown that gas </w:t>
      </w:r>
      <w:r w:rsidRPr="00BD7DB8">
        <w:rPr>
          <w:color w:val="auto"/>
        </w:rPr>
        <w:t xml:space="preserve">sorption </w:t>
      </w:r>
      <w:r>
        <w:rPr>
          <w:color w:val="auto"/>
        </w:rPr>
        <w:t xml:space="preserve">is </w:t>
      </w:r>
      <w:r w:rsidRPr="00BD7DB8">
        <w:rPr>
          <w:color w:val="auto"/>
        </w:rPr>
        <w:t>a hysteretic process</w:t>
      </w:r>
      <w:r>
        <w:rPr>
          <w:color w:val="auto"/>
        </w:rPr>
        <w:t xml:space="preserve">, much like the </w:t>
      </w:r>
      <w:r w:rsidRPr="008C753A">
        <w:rPr>
          <w:color w:val="auto"/>
        </w:rPr>
        <w:t xml:space="preserve">saturation–desaturation of porous media </w:t>
      </w:r>
      <w:r w:rsidR="00084CDD" w:rsidRPr="008C753A">
        <w:rPr>
          <w:color w:val="auto"/>
        </w:rPr>
        <w:fldChar w:fldCharType="begin"/>
      </w:r>
      <w:r w:rsidRPr="008C753A">
        <w:rPr>
          <w:color w:val="auto"/>
        </w:rPr>
        <w:instrText xml:space="preserve"> ADDIN EN.CITE &lt;EndNote&gt;&lt;Cite&gt;&lt;Author&gt;Wang&lt;/Author&gt;&lt;Year&gt;2014&lt;/Year&gt;&lt;IDText&gt;Methane and CO2 sorption hysteresis on coal: A critical review&lt;/IDText&gt;&lt;DisplayText&gt;(Wang et al., 2014)&lt;/DisplayText&gt;&lt;record&gt;&lt;dates&gt;&lt;pub-dates&gt;&lt;date&gt;OCT 1 2014&lt;/date&gt;&lt;/pub-dates&gt;&lt;year&gt;2014&lt;/year&gt;&lt;/dates&gt;&lt;keywords&gt;&lt;keyword&gt;Methane&lt;/keyword&gt;&lt;keyword&gt;CO2&lt;/keyword&gt;&lt;keyword&gt;Sorption hysteresis&lt;/keyword&gt;&lt;keyword&gt;IHI&lt;/keyword&gt;&lt;keyword&gt;Controlling factor&lt;/keyword&gt;&lt;keyword&gt;Possible explanation&lt;/keyword&gt;&lt;keyword&gt;ARGONNE PREMIUM COALS&lt;/keyword&gt;&lt;keyword&gt;BROWN-COAL/WATER SYSTEM&lt;/keyword&gt;&lt;keyword&gt;CARBON-DIOXIDE SORPTION&lt;/keyword&gt;&lt;keyword&gt;ADSORPTION CAPACITY&lt;/keyword&gt;&lt;keyword&gt;GAS-ADSORPTION&lt;/keyword&gt;&lt;keyword&gt;HIGH-PRESSURE&lt;/keyword&gt;&lt;keyword&gt;SUPERCRITICAL CONDITIONS&lt;/keyword&gt;&lt;keyword&gt;DESORPTION BEHAVIOR&lt;/keyword&gt;&lt;keyword&gt;BITUMINOUS COALS&lt;/keyword&gt;&lt;keyword&gt;POROUS MATERIALS&lt;/keyword&gt;&lt;/keywords&gt;&lt;isbn&gt;0166-5162&lt;/isbn&gt;&lt;work-type&gt;Review&lt;/work-type&gt;&lt;titles&gt;&lt;title&gt;Methane and CO2 sorption hysteresis on coal: A critical review&lt;/title&gt;&lt;secondary-title&gt;International Journal of Coal Geology&lt;/secondary-title&gt;&lt;/titles&gt;&lt;pages&gt;60-80&lt;/pages&gt;&lt;contributors&gt;&lt;authors&gt;&lt;author&gt;Wang, K&lt;/author&gt;&lt;author&gt;Wang, GD&lt;/author&gt;&lt;author&gt;Ren, T&lt;/author&gt;&lt;author&gt;Cheng, YP&lt;/author&gt;&lt;/authors&gt;&lt;/contributors&gt;&lt;language&gt;English&lt;/language&gt;&lt;added-date format="utc"&gt;1433493362&lt;/added-date&gt;&lt;ref-type name="Journal Article"&gt;17&lt;/ref-type&gt;&lt;auth-address&gt;Wang, GD (reprint author), Univ Wollongong, Room 309,Bldg 6, Wollongong, NSW 2500, Australia&amp;#xD;China Univ Min &amp;amp; Technol, Fac Resources &amp;amp; Safety Engn, Beijing 100083, Peoples R China&amp;#xD;Univ Wollongong, Sch Civil Min &amp;amp; Environm Engn, Wollongong, NSW 2500, Australia&amp;#xD;China Univ Min &amp;amp; Technol, Fac Safety Engn, Xuzhou 221008, Peoples R China&lt;/auth-address&gt;&lt;rec-number&gt;150&lt;/rec-number&gt;&lt;last-updated-date format="utc"&gt;1433493362&lt;/last-updated-date&gt;&lt;accession-num&gt;WOS:000348014500007&lt;/accession-num&gt;&lt;electronic-resource-num&gt;10.1016/j.coal.2014.08.004&lt;/electronic-resource-num&gt;&lt;volume&gt;132&lt;/volume&gt;&lt;/record&gt;&lt;/Cite&gt;&lt;/EndNote&gt;</w:instrText>
      </w:r>
      <w:r w:rsidR="00084CDD" w:rsidRPr="008C753A">
        <w:rPr>
          <w:color w:val="auto"/>
        </w:rPr>
        <w:fldChar w:fldCharType="separate"/>
      </w:r>
      <w:r w:rsidRPr="008C753A">
        <w:rPr>
          <w:noProof/>
          <w:color w:val="auto"/>
        </w:rPr>
        <w:t>(Wang et al., 2014)</w:t>
      </w:r>
      <w:r w:rsidR="00084CDD" w:rsidRPr="008C753A">
        <w:rPr>
          <w:color w:val="auto"/>
        </w:rPr>
        <w:fldChar w:fldCharType="end"/>
      </w:r>
      <w:r w:rsidRPr="008C753A">
        <w:rPr>
          <w:color w:val="auto"/>
        </w:rPr>
        <w:t xml:space="preserve">. </w:t>
      </w:r>
      <w:r w:rsidR="00DD06D9" w:rsidRPr="00DD06D9">
        <w:rPr>
          <w:color w:val="auto"/>
        </w:rPr>
        <w:t xml:space="preserve">In general, when an adsorption step follows a desorption step, the sorbed volume will be smaller than </w:t>
      </w:r>
      <w:r w:rsidR="000B0859">
        <w:rPr>
          <w:color w:val="auto"/>
        </w:rPr>
        <w:t xml:space="preserve">that </w:t>
      </w:r>
      <w:r w:rsidR="00DD06D9" w:rsidRPr="00DD06D9">
        <w:rPr>
          <w:color w:val="auto"/>
        </w:rPr>
        <w:t xml:space="preserve">initially present. </w:t>
      </w:r>
      <w:r w:rsidRPr="008C753A">
        <w:rPr>
          <w:color w:val="auto"/>
        </w:rPr>
        <w:t>Fully reversible hysteresis refers to cases where the shapes of</w:t>
      </w:r>
      <w:r>
        <w:rPr>
          <w:color w:val="auto"/>
        </w:rPr>
        <w:t xml:space="preserve"> adsorption and desorption isotherms may differ but the minimum adsorbed volume at minimum pressure is zero. Conversely, irreversible hysteresis refers to cases where the minimum adsorbed volume after desorption is nonzero. In</w:t>
      </w:r>
      <w:r w:rsidRPr="008C753A">
        <w:rPr>
          <w:color w:val="auto"/>
        </w:rPr>
        <w:t xml:space="preserve"> an extensive review of methane data from 48 coal seams in 13 published studies, Wang </w:t>
      </w:r>
      <w:r w:rsidR="00810442">
        <w:rPr>
          <w:color w:val="auto"/>
        </w:rPr>
        <w:t xml:space="preserve">et al. </w:t>
      </w:r>
      <w:r w:rsidR="00084CDD">
        <w:rPr>
          <w:color w:val="auto"/>
        </w:rPr>
        <w:fldChar w:fldCharType="begin"/>
      </w:r>
      <w:r>
        <w:rPr>
          <w:color w:val="auto"/>
        </w:rPr>
        <w:instrText xml:space="preserve"> ADDIN EN.CITE &lt;EndNote&gt;&lt;Cite ExcludeAuth="1"&gt;&lt;Author&gt;Wang&lt;/Author&gt;&lt;Year&gt;2014&lt;/Year&gt;&lt;IDText&gt;Methane and CO2 sorption hysteresis on coal: A critical review&lt;/IDText&gt;&lt;DisplayText&gt;(2014)&lt;/DisplayText&gt;&lt;record&gt;&lt;dates&gt;&lt;pub-dates&gt;&lt;date&gt;OCT 1 2014&lt;/date&gt;&lt;/pub-dates&gt;&lt;year&gt;2014&lt;/year&gt;&lt;/dates&gt;&lt;keywords&gt;&lt;keyword&gt;Methane&lt;/keyword&gt;&lt;keyword&gt;CO2&lt;/keyword&gt;&lt;keyword&gt;Sorption hysteresis&lt;/keyword&gt;&lt;keyword&gt;IHI&lt;/keyword&gt;&lt;keyword&gt;Controlling factor&lt;/keyword&gt;&lt;keyword&gt;Possible explanation&lt;/keyword&gt;&lt;keyword&gt;ARGONNE PREMIUM COALS&lt;/keyword&gt;&lt;keyword&gt;BROWN-COAL/WATER SYSTEM&lt;/keyword&gt;&lt;keyword&gt;CARBON-DIOXIDE SORPTION&lt;/keyword&gt;&lt;keyword&gt;ADSORPTION CAPACITY&lt;/keyword&gt;&lt;keyword&gt;GAS-ADSORPTION&lt;/keyword&gt;&lt;keyword&gt;HIGH-PRESSURE&lt;/keyword&gt;&lt;keyword&gt;SUPERCRITICAL CONDITIONS&lt;/keyword&gt;&lt;keyword&gt;DESORPTION BEHAVIOR&lt;/keyword&gt;&lt;keyword&gt;BITUMINOUS COALS&lt;/keyword&gt;&lt;keyword&gt;POROUS MATERIALS&lt;/keyword&gt;&lt;/keywords&gt;&lt;isbn&gt;0166-5162&lt;/isbn&gt;&lt;work-type&gt;Review&lt;/work-type&gt;&lt;titles&gt;&lt;title&gt;Methane and CO2 sorption hysteresis on coal: A critical review&lt;/title&gt;&lt;secondary-title&gt;International Journal of Coal Geology&lt;/secondary-title&gt;&lt;/titles&gt;&lt;pages&gt;60-80&lt;/pages&gt;&lt;contributors&gt;&lt;authors&gt;&lt;author&gt;Wang, K&lt;/author&gt;&lt;author&gt;Wang, GD&lt;/author&gt;&lt;author&gt;Ren, T&lt;/author&gt;&lt;author&gt;Cheng, YP&lt;/author&gt;&lt;/authors&gt;&lt;/contributors&gt;&lt;language&gt;English&lt;/language&gt;&lt;added-date format="utc"&gt;1433493362&lt;/added-date&gt;&lt;ref-type name="Journal Article"&gt;17&lt;/ref-type&gt;&lt;auth-address&gt;Wang, GD (reprint author), Univ Wollongong, Room 309,Bldg 6, Wollongong, NSW 2500, Australia&amp;#xD;China Univ Min &amp;amp; Technol, Fac Resources &amp;amp; Safety Engn, Beijing 100083, Peoples R China&amp;#xD;Univ Wollongong, Sch Civil Min &amp;amp; Environm Engn, Wollongong, NSW 2500, Australia&amp;#xD;China Univ Min &amp;amp; Technol, Fac Safety Engn, Xuzhou 221008, Peoples R China&lt;/auth-address&gt;&lt;rec-number&gt;150&lt;/rec-number&gt;&lt;last-updated-date format="utc"&gt;1433493362&lt;/last-updated-date&gt;&lt;accession-num&gt;WOS:000348014500007&lt;/accession-num&gt;&lt;electronic-resource-num&gt;10.1016/j.coal.2014.08.004&lt;/electronic-resource-num&gt;&lt;volume&gt;132&lt;/volume&gt;&lt;/record&gt;&lt;/Cite&gt;&lt;/EndNote&gt;</w:instrText>
      </w:r>
      <w:r w:rsidR="00084CDD">
        <w:rPr>
          <w:color w:val="auto"/>
        </w:rPr>
        <w:fldChar w:fldCharType="separate"/>
      </w:r>
      <w:r>
        <w:rPr>
          <w:noProof/>
          <w:color w:val="auto"/>
        </w:rPr>
        <w:t>(2014)</w:t>
      </w:r>
      <w:r w:rsidR="00084CDD">
        <w:rPr>
          <w:color w:val="auto"/>
        </w:rPr>
        <w:fldChar w:fldCharType="end"/>
      </w:r>
      <w:r w:rsidRPr="008C753A">
        <w:rPr>
          <w:color w:val="auto"/>
        </w:rPr>
        <w:t xml:space="preserve"> found that</w:t>
      </w:r>
      <w:r>
        <w:rPr>
          <w:color w:val="auto"/>
        </w:rPr>
        <w:t xml:space="preserve"> differences between adsorption and desorption isotherms were prevalent, </w:t>
      </w:r>
      <w:r w:rsidR="002E0A07">
        <w:rPr>
          <w:color w:val="auto"/>
        </w:rPr>
        <w:t>illustrating the importance of</w:t>
      </w:r>
      <w:r>
        <w:rPr>
          <w:color w:val="auto"/>
        </w:rPr>
        <w:t xml:space="preserve"> hysteresis</w:t>
      </w:r>
      <w:r w:rsidR="002E0A07">
        <w:rPr>
          <w:color w:val="auto"/>
        </w:rPr>
        <w:t xml:space="preserve"> for coal seam gas recovery</w:t>
      </w:r>
      <w:r>
        <w:rPr>
          <w:color w:val="auto"/>
        </w:rPr>
        <w:t xml:space="preserve">. </w:t>
      </w:r>
    </w:p>
    <w:p w14:paraId="2C5AF6CE" w14:textId="77777777" w:rsidR="00E8296A" w:rsidRDefault="00E8296A" w:rsidP="003E3108">
      <w:pPr>
        <w:pStyle w:val="Heading2"/>
      </w:pPr>
      <w:bookmarkStart w:id="68" w:name="_Toc449696589"/>
      <w:r>
        <w:t>Dual phase flow</w:t>
      </w:r>
      <w:bookmarkEnd w:id="68"/>
    </w:p>
    <w:p w14:paraId="38BB084A" w14:textId="77777777" w:rsidR="002D337D" w:rsidRDefault="00DD06D9" w:rsidP="00A45100">
      <w:pPr>
        <w:pStyle w:val="Heading3"/>
      </w:pPr>
      <w:bookmarkStart w:id="69" w:name="_Toc449696590"/>
      <w:r>
        <w:t>Relative permeability</w:t>
      </w:r>
      <w:bookmarkEnd w:id="69"/>
    </w:p>
    <w:p w14:paraId="7A39D559" w14:textId="5E8C2539" w:rsidR="00D61A3C" w:rsidRDefault="00E8296A" w:rsidP="00D61A3C">
      <w:pPr>
        <w:pStyle w:val="Body"/>
      </w:pPr>
      <w:r>
        <w:t xml:space="preserve">Dual or two phase flow refers to the simultaneous flow of two fluid phases, typically water and either gas, oil or ice. In a coal seam gas context, dual phase flow refers specifically to the simultaneous flow of water and gas. </w:t>
      </w:r>
      <w:r w:rsidR="00D61A3C">
        <w:t xml:space="preserve">If more than one fluid is present in the porous medium, the ability of the medium to transport one fluid depends on the amount of the other fluid. </w:t>
      </w:r>
      <w:r w:rsidR="00DD06D9">
        <w:t>When two immiscible fluids (i.e., fluids that do no</w:t>
      </w:r>
      <w:r w:rsidR="00DD06D9" w:rsidRPr="00B37BD2">
        <w:t>t readily dissolve into one another</w:t>
      </w:r>
      <w:r w:rsidR="00DD06D9">
        <w:t xml:space="preserve">) such as water and gas co-exist in a porous medium, their degree of saturation is expressed as </w:t>
      </w:r>
      <w:r w:rsidR="00DD06D9" w:rsidRPr="00B37BD2">
        <w:rPr>
          <w:i/>
        </w:rPr>
        <w:t>S</w:t>
      </w:r>
      <w:r w:rsidR="00DD06D9" w:rsidRPr="00B37BD2">
        <w:rPr>
          <w:vertAlign w:val="subscript"/>
        </w:rPr>
        <w:t>l</w:t>
      </w:r>
      <w:r w:rsidR="00DD06D9">
        <w:t xml:space="preserve"> for liquid phase and </w:t>
      </w:r>
      <w:r w:rsidR="00DD06D9" w:rsidRPr="00B37BD2">
        <w:rPr>
          <w:i/>
        </w:rPr>
        <w:t>S</w:t>
      </w:r>
      <w:r w:rsidR="00DD06D9" w:rsidRPr="00B37BD2">
        <w:rPr>
          <w:vertAlign w:val="subscript"/>
        </w:rPr>
        <w:t>g</w:t>
      </w:r>
      <w:r w:rsidR="00DD06D9">
        <w:t xml:space="preserve"> for gas phase, and </w:t>
      </w:r>
      <w:r w:rsidR="00DD06D9" w:rsidRPr="00B37BD2">
        <w:rPr>
          <w:i/>
        </w:rPr>
        <w:t>S</w:t>
      </w:r>
      <w:r w:rsidR="00DD06D9" w:rsidRPr="00B37BD2">
        <w:rPr>
          <w:vertAlign w:val="subscript"/>
        </w:rPr>
        <w:t>g</w:t>
      </w:r>
      <w:r w:rsidR="00DD06D9">
        <w:t xml:space="preserve"> + </w:t>
      </w:r>
      <w:r w:rsidR="00DD06D9" w:rsidRPr="00B37BD2">
        <w:rPr>
          <w:i/>
        </w:rPr>
        <w:t>S</w:t>
      </w:r>
      <w:r w:rsidR="00DD06D9" w:rsidRPr="00B37BD2">
        <w:rPr>
          <w:vertAlign w:val="subscript"/>
        </w:rPr>
        <w:t>l</w:t>
      </w:r>
      <w:r w:rsidR="003A7D20">
        <w:t xml:space="preserve"> = 1 (or 100% if expressed as a </w:t>
      </w:r>
      <w:r w:rsidR="00DD06D9">
        <w:t>percentage). For each phase</w:t>
      </w:r>
      <w:r w:rsidR="003A7D20">
        <w:t xml:space="preserve"> (</w:t>
      </w:r>
      <w:r w:rsidR="00DD06D9">
        <w:t>liquid or gas</w:t>
      </w:r>
      <w:r w:rsidR="003A7D20">
        <w:t>)</w:t>
      </w:r>
      <w:r w:rsidR="00DD06D9">
        <w:t>, a capillary pressure–relative saturation relationship exists (see</w:t>
      </w:r>
      <w:r w:rsidR="000B0859">
        <w:t xml:space="preserve"> </w:t>
      </w:r>
      <w:r w:rsidR="000B0859">
        <w:fldChar w:fldCharType="begin"/>
      </w:r>
      <w:r w:rsidR="000B0859">
        <w:instrText xml:space="preserve"> REF _Ref445841203 \h </w:instrText>
      </w:r>
      <w:r w:rsidR="000B0859">
        <w:fldChar w:fldCharType="separate"/>
      </w:r>
      <w:r w:rsidR="00C52E30">
        <w:t xml:space="preserve">Figure </w:t>
      </w:r>
      <w:r w:rsidR="00C52E30">
        <w:rPr>
          <w:noProof/>
        </w:rPr>
        <w:t>16</w:t>
      </w:r>
      <w:r w:rsidR="000B0859">
        <w:fldChar w:fldCharType="end"/>
      </w:r>
      <w:r w:rsidR="00DD06D9">
        <w:t xml:space="preserve">). </w:t>
      </w:r>
      <w:r w:rsidR="00D61A3C">
        <w:t>To evaluate flow in such systems, both effective and relative permeability need to be considered</w:t>
      </w:r>
      <w:r w:rsidR="006D3F57">
        <w:t xml:space="preserve"> (as </w:t>
      </w:r>
      <w:r w:rsidR="009E7F6B">
        <w:t xml:space="preserve">described </w:t>
      </w:r>
      <w:r w:rsidR="006D3F57">
        <w:t xml:space="preserve">in </w:t>
      </w:r>
      <w:r w:rsidR="009E7F6B">
        <w:t>S</w:t>
      </w:r>
      <w:r w:rsidR="006D3F57">
        <w:t>ection 2.1)</w:t>
      </w:r>
      <w:r w:rsidR="00D61A3C">
        <w:t>. The effective permeability is a measure of the conductance of a porous medium for one fluid phase when the medium is saturated with more than one fluid. The relative permeability is the ratio of the effective permeability of a fluid at a given saturation to some base permeability, typically the absolute permeability</w:t>
      </w:r>
      <w:r w:rsidR="00C76BFF">
        <w:t xml:space="preserve"> (Amyx et al., 1960)</w:t>
      </w:r>
      <w:r w:rsidR="00D61A3C">
        <w:t xml:space="preserve">. The latter is the permeability of a porous medium saturated with a single fluid. </w:t>
      </w:r>
      <w:r w:rsidR="000B0859" w:rsidRPr="00A45100">
        <w:t>If a single fluid is present in a rock, its relative permeability is 1.</w:t>
      </w:r>
      <w:r w:rsidR="000B0859">
        <w:t xml:space="preserve"> </w:t>
      </w:r>
      <w:r w:rsidR="00D61A3C">
        <w:t>Absolute permeability is an intrinsic property of the rock</w:t>
      </w:r>
      <w:r w:rsidR="00C76BFF">
        <w:t>, reflecting its internal structure;</w:t>
      </w:r>
      <w:r w:rsidR="00D61A3C">
        <w:t xml:space="preserve"> </w:t>
      </w:r>
      <w:r w:rsidR="00C76BFF">
        <w:t>it</w:t>
      </w:r>
      <w:r w:rsidR="00D61A3C">
        <w:t xml:space="preserve"> does not depend on whether the fluid is oil</w:t>
      </w:r>
      <w:r w:rsidR="003614AC">
        <w:t xml:space="preserve"> or</w:t>
      </w:r>
      <w:r w:rsidR="00D61A3C">
        <w:t xml:space="preserve"> water</w:t>
      </w:r>
      <w:r w:rsidR="003614AC">
        <w:t xml:space="preserve"> (as long as the fluids are nonreactive with the rock). For gases the permeability is typically larger than the absolute permeability</w:t>
      </w:r>
      <w:r w:rsidR="00D61A3C">
        <w:t>.</w:t>
      </w:r>
      <w:r w:rsidR="00365C92">
        <w:t xml:space="preserve"> Gas flow in pores is faster than liquid flow because liquids experience greater flow resistance at pore walls than do gases (Tanikawa and Shimamoto, 2006).</w:t>
      </w:r>
    </w:p>
    <w:p w14:paraId="17BAA8B4" w14:textId="77777777" w:rsidR="00D61A3C" w:rsidRDefault="00D61A3C" w:rsidP="00D61A3C">
      <w:pPr>
        <w:pStyle w:val="Body"/>
      </w:pPr>
      <w:r>
        <w:t>The absolute permeability of the rock is generally written as</w:t>
      </w:r>
      <w:r w:rsidR="0070043F" w:rsidRPr="0070043F">
        <w:rPr>
          <w:i/>
        </w:rPr>
        <w:t xml:space="preserve"> k</w:t>
      </w:r>
      <w:r>
        <w:t xml:space="preserve">. The effective permeability to a particular phase has subscripts as follows: </w:t>
      </w:r>
      <w:r w:rsidR="0070043F" w:rsidRPr="0070043F">
        <w:rPr>
          <w:i/>
        </w:rPr>
        <w:t>k</w:t>
      </w:r>
      <w:r w:rsidR="0070043F" w:rsidRPr="0070043F">
        <w:rPr>
          <w:i/>
          <w:vertAlign w:val="subscript"/>
        </w:rPr>
        <w:t>w</w:t>
      </w:r>
      <w:r>
        <w:t xml:space="preserve"> is effective permeability to water (units of milli</w:t>
      </w:r>
      <w:r w:rsidR="004376E3">
        <w:t>D</w:t>
      </w:r>
      <w:r>
        <w:t>arcy, m</w:t>
      </w:r>
      <w:r w:rsidR="004376E3">
        <w:t>D</w:t>
      </w:r>
      <w:r>
        <w:t xml:space="preserve">), and </w:t>
      </w:r>
      <w:r w:rsidR="0070043F" w:rsidRPr="0070043F">
        <w:rPr>
          <w:i/>
        </w:rPr>
        <w:t>k</w:t>
      </w:r>
      <w:r w:rsidR="0070043F" w:rsidRPr="0070043F">
        <w:rPr>
          <w:i/>
          <w:vertAlign w:val="subscript"/>
        </w:rPr>
        <w:t>g</w:t>
      </w:r>
      <w:r>
        <w:t xml:space="preserve"> is the effective permeability to gas (m</w:t>
      </w:r>
      <w:r w:rsidR="004376E3">
        <w:t>D</w:t>
      </w:r>
      <w:r>
        <w:t xml:space="preserve">). Therefore, relative permeability to a particular phase is typically denoted with subscripts, where </w:t>
      </w:r>
      <w:r w:rsidR="0070043F" w:rsidRPr="0070043F">
        <w:rPr>
          <w:i/>
        </w:rPr>
        <w:t>k</w:t>
      </w:r>
      <w:r w:rsidR="0070043F" w:rsidRPr="0070043F">
        <w:rPr>
          <w:i/>
          <w:vertAlign w:val="subscript"/>
        </w:rPr>
        <w:t>rw</w:t>
      </w:r>
      <w:r>
        <w:t xml:space="preserve"> is relative permeability to water and </w:t>
      </w:r>
      <w:r w:rsidR="0070043F" w:rsidRPr="0070043F">
        <w:rPr>
          <w:i/>
        </w:rPr>
        <w:t>k</w:t>
      </w:r>
      <w:r w:rsidR="0070043F" w:rsidRPr="0070043F">
        <w:rPr>
          <w:i/>
          <w:vertAlign w:val="subscript"/>
        </w:rPr>
        <w:t>rg</w:t>
      </w:r>
      <w:r>
        <w:t xml:space="preserve"> relative permeability to gas. </w:t>
      </w:r>
    </w:p>
    <w:p w14:paraId="6EE6AE1F" w14:textId="0F7672F1" w:rsidR="00D61A3C" w:rsidRDefault="00D61A3C" w:rsidP="00D61A3C">
      <w:pPr>
        <w:pStyle w:val="Body"/>
      </w:pPr>
      <w:r>
        <w:t>In summary, the relative permeabilities to each of the two fluids water and gas can be written as</w:t>
      </w:r>
      <w:r w:rsidR="00C76BFF">
        <w:t xml:space="preserve"> (Amyx et al., 1960)</w:t>
      </w:r>
      <w:r>
        <w:t>:</w:t>
      </w:r>
    </w:p>
    <w:p w14:paraId="22B2C5F6" w14:textId="7B92121A" w:rsidR="009A78B7" w:rsidRDefault="00814090" w:rsidP="00A45100">
      <w:pPr>
        <w:pStyle w:val="Body"/>
        <w:tabs>
          <w:tab w:val="center" w:pos="4253"/>
          <w:tab w:val="right" w:pos="8789"/>
        </w:tabs>
        <w:rPr>
          <w:color w:val="auto"/>
        </w:rPr>
      </w:pPr>
      <w:r>
        <w:rPr>
          <w:color w:val="auto"/>
        </w:rPr>
        <w:tab/>
      </w:r>
      <m:oMath>
        <m:sSub>
          <m:sSubPr>
            <m:ctrlPr>
              <w:rPr>
                <w:rFonts w:ascii="Cambria Math" w:hAnsi="Cambria Math"/>
                <w:i/>
                <w:color w:val="auto"/>
              </w:rPr>
            </m:ctrlPr>
          </m:sSubPr>
          <m:e>
            <m:r>
              <w:rPr>
                <w:rFonts w:ascii="Cambria Math" w:hAnsi="Cambria Math"/>
                <w:color w:val="auto"/>
              </w:rPr>
              <m:t>k</m:t>
            </m:r>
          </m:e>
          <m:sub>
            <m:sSub>
              <m:sSubPr>
                <m:ctrlPr>
                  <w:rPr>
                    <w:rFonts w:ascii="Cambria Math" w:hAnsi="Cambria Math"/>
                    <w:i/>
                    <w:color w:val="auto"/>
                  </w:rPr>
                </m:ctrlPr>
              </m:sSubPr>
              <m:e>
                <m:r>
                  <w:rPr>
                    <w:rFonts w:ascii="Cambria Math" w:hAnsi="Cambria Math"/>
                    <w:color w:val="auto"/>
                  </w:rPr>
                  <m:t>r</m:t>
                </m:r>
              </m:e>
              <m:sub>
                <m:r>
                  <w:rPr>
                    <w:rFonts w:ascii="Cambria Math" w:hAnsi="Cambria Math"/>
                    <w:color w:val="auto"/>
                  </w:rPr>
                  <m:t>w</m:t>
                </m:r>
              </m:sub>
            </m:sSub>
          </m:sub>
        </m:sSub>
        <m:r>
          <w:rPr>
            <w:rFonts w:ascii="Cambria Math" w:hAnsi="Cambria Math"/>
            <w:color w:val="auto"/>
          </w:rPr>
          <m:t>=</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k</m:t>
                </m:r>
              </m:e>
              <m:sub>
                <m:r>
                  <w:rPr>
                    <w:rFonts w:ascii="Cambria Math" w:hAnsi="Cambria Math"/>
                    <w:color w:val="auto"/>
                  </w:rPr>
                  <m:t>w</m:t>
                </m:r>
              </m:sub>
            </m:sSub>
          </m:num>
          <m:den>
            <m:r>
              <w:rPr>
                <w:rFonts w:ascii="Cambria Math" w:hAnsi="Cambria Math"/>
                <w:color w:val="auto"/>
              </w:rPr>
              <m:t>k</m:t>
            </m:r>
          </m:den>
        </m:f>
      </m:oMath>
      <w:r w:rsidR="00D61A3C">
        <w:t xml:space="preserve"> </w:t>
      </w:r>
      <w:r w:rsidR="004376E3">
        <w:t xml:space="preserve">  </w:t>
      </w:r>
      <w:r w:rsidR="00D61A3C">
        <w:t>and</w:t>
      </w:r>
      <w:r w:rsidR="004376E3">
        <w:t xml:space="preserve">  </w:t>
      </w:r>
      <w:r w:rsidR="00D61A3C">
        <w:t xml:space="preserve"> </w:t>
      </w:r>
      <m:oMath>
        <m:sSub>
          <m:sSubPr>
            <m:ctrlPr>
              <w:rPr>
                <w:rFonts w:ascii="Cambria Math" w:hAnsi="Cambria Math"/>
                <w:i/>
                <w:color w:val="auto"/>
              </w:rPr>
            </m:ctrlPr>
          </m:sSubPr>
          <m:e>
            <m:r>
              <w:rPr>
                <w:rFonts w:ascii="Cambria Math" w:hAnsi="Cambria Math"/>
                <w:color w:val="auto"/>
              </w:rPr>
              <m:t>k</m:t>
            </m:r>
          </m:e>
          <m:sub>
            <m:sSub>
              <m:sSubPr>
                <m:ctrlPr>
                  <w:rPr>
                    <w:rFonts w:ascii="Cambria Math" w:hAnsi="Cambria Math"/>
                    <w:i/>
                    <w:color w:val="auto"/>
                  </w:rPr>
                </m:ctrlPr>
              </m:sSubPr>
              <m:e>
                <m:r>
                  <w:rPr>
                    <w:rFonts w:ascii="Cambria Math" w:hAnsi="Cambria Math"/>
                    <w:color w:val="auto"/>
                  </w:rPr>
                  <m:t>r</m:t>
                </m:r>
              </m:e>
              <m:sub>
                <m:r>
                  <w:rPr>
                    <w:rFonts w:ascii="Cambria Math" w:hAnsi="Cambria Math"/>
                    <w:color w:val="auto"/>
                  </w:rPr>
                  <m:t>g</m:t>
                </m:r>
              </m:sub>
            </m:sSub>
          </m:sub>
        </m:sSub>
        <m:r>
          <w:rPr>
            <w:rFonts w:ascii="Cambria Math" w:hAnsi="Cambria Math"/>
            <w:color w:val="auto"/>
          </w:rPr>
          <m:t>=</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k</m:t>
                </m:r>
              </m:e>
              <m:sub>
                <m:r>
                  <w:rPr>
                    <w:rFonts w:ascii="Cambria Math" w:hAnsi="Cambria Math"/>
                    <w:color w:val="auto"/>
                  </w:rPr>
                  <m:t>g</m:t>
                </m:r>
              </m:sub>
            </m:sSub>
          </m:num>
          <m:den>
            <m:r>
              <w:rPr>
                <w:rFonts w:ascii="Cambria Math" w:hAnsi="Cambria Math"/>
                <w:color w:val="auto"/>
              </w:rPr>
              <m:t>k</m:t>
            </m:r>
          </m:den>
        </m:f>
      </m:oMath>
      <w:r>
        <w:rPr>
          <w:color w:val="auto"/>
        </w:rPr>
        <w:tab/>
        <w:t>(</w:t>
      </w:r>
      <w:r>
        <w:fldChar w:fldCharType="begin"/>
      </w:r>
      <w:r>
        <w:instrText xml:space="preserve"> SEQ Equation \* ARABIC </w:instrText>
      </w:r>
      <w:r>
        <w:fldChar w:fldCharType="separate"/>
      </w:r>
      <w:r w:rsidR="00C52E30">
        <w:rPr>
          <w:noProof/>
        </w:rPr>
        <w:t>2</w:t>
      </w:r>
      <w:r>
        <w:rPr>
          <w:noProof/>
        </w:rPr>
        <w:fldChar w:fldCharType="end"/>
      </w:r>
      <w:r>
        <w:rPr>
          <w:color w:val="auto"/>
        </w:rPr>
        <w:t>)</w:t>
      </w:r>
    </w:p>
    <w:p w14:paraId="3F613B05" w14:textId="77777777" w:rsidR="009A78B7" w:rsidRDefault="00D61A3C">
      <w:pPr>
        <w:pStyle w:val="Body"/>
        <w:tabs>
          <w:tab w:val="center" w:pos="4536"/>
          <w:tab w:val="right" w:pos="9072"/>
        </w:tabs>
      </w:pPr>
      <w:r>
        <w:t>The sum of effective permeabilities is less than the absolute permeability because the fluids are immiscible, thus interfacial tension exists between the phases. The presence of more than one fluid in the same pores causes additional resistance to flow for both fluids.</w:t>
      </w:r>
    </w:p>
    <w:p w14:paraId="102201B1" w14:textId="390121C4" w:rsidR="003A7D20" w:rsidRDefault="003A7D20" w:rsidP="003A7D20">
      <w:pPr>
        <w:pStyle w:val="Body"/>
      </w:pPr>
      <w:r>
        <w:t>The capillary pressure–relative saturation relationship for both water and gas flow depends on the direction of saturation change, which leads to the phenomena of hysteresis (</w:t>
      </w:r>
      <w:r w:rsidR="000B0859">
        <w:fldChar w:fldCharType="begin"/>
      </w:r>
      <w:r w:rsidR="000B0859">
        <w:instrText xml:space="preserve"> REF _Ref445841203 \h </w:instrText>
      </w:r>
      <w:r w:rsidR="000B0859">
        <w:fldChar w:fldCharType="separate"/>
      </w:r>
      <w:r w:rsidR="00C52E30">
        <w:t xml:space="preserve">Figure </w:t>
      </w:r>
      <w:r w:rsidR="00C52E30">
        <w:rPr>
          <w:noProof/>
        </w:rPr>
        <w:t>16</w:t>
      </w:r>
      <w:r w:rsidR="000B0859">
        <w:fldChar w:fldCharType="end"/>
      </w:r>
      <w:r>
        <w:t>). Hysteresis will be explained here for water flow into and out of a conventional rock reservoir. The drainage curve is the relationship followed during dewatering of a conventional reservoir rock</w:t>
      </w:r>
      <w:r w:rsidR="004535BE">
        <w:t xml:space="preserve"> (the rock is considered water wet),</w:t>
      </w:r>
      <w:r w:rsidR="004535BE" w:rsidRPr="00A45100">
        <w:t xml:space="preserve"> </w:t>
      </w:r>
      <w:r w:rsidR="004535BE">
        <w:t xml:space="preserve">i.e. we consider </w:t>
      </w:r>
      <w:r w:rsidR="004535BE" w:rsidRPr="00A45100">
        <w:t xml:space="preserve">the displacement of water by a </w:t>
      </w:r>
      <w:r w:rsidR="003D0503" w:rsidRPr="00B70F2E">
        <w:t>non-wetting</w:t>
      </w:r>
      <w:r w:rsidR="004535BE" w:rsidRPr="00A45100">
        <w:t xml:space="preserve"> fluid (gas or oil or CO</w:t>
      </w:r>
      <w:r w:rsidR="004535BE" w:rsidRPr="00A45100">
        <w:rPr>
          <w:vertAlign w:val="subscript"/>
        </w:rPr>
        <w:t>2</w:t>
      </w:r>
      <w:r w:rsidR="004535BE" w:rsidRPr="00A45100">
        <w:t>).</w:t>
      </w:r>
      <w:r>
        <w:t xml:space="preserve"> Originally the rock was completely filled with water (water saturation of 100%). The non-wetting gas phase first enters the rock at entry pressure. As the capillary pressure increases, so does the gas saturation (and conversely, water saturation decreases). The arrows on the drainage curve show the direction of saturation change. By convention, because wetting-phase saturation is decreasing, it is called a drainage process. Water saturation continues to reduce until it reaches irreducible water saturation, </w:t>
      </w:r>
      <w:r w:rsidRPr="00B37BD2">
        <w:rPr>
          <w:i/>
        </w:rPr>
        <w:t>S</w:t>
      </w:r>
      <w:r w:rsidRPr="00B37BD2">
        <w:rPr>
          <w:i/>
          <w:vertAlign w:val="subscript"/>
        </w:rPr>
        <w:t>wi</w:t>
      </w:r>
      <w:r>
        <w:t>.</w:t>
      </w:r>
    </w:p>
    <w:p w14:paraId="03A792BC" w14:textId="77777777" w:rsidR="003A7D20" w:rsidRDefault="003A7D20" w:rsidP="003A7D20">
      <w:pPr>
        <w:pStyle w:val="Body"/>
      </w:pPr>
    </w:p>
    <w:p w14:paraId="4EB4E8F3" w14:textId="77777777" w:rsidR="003A7D20" w:rsidRDefault="002D337D" w:rsidP="003A7D20">
      <w:pPr>
        <w:pStyle w:val="Body"/>
        <w:jc w:val="center"/>
      </w:pPr>
      <w:r w:rsidRPr="00A45100">
        <w:rPr>
          <w:noProof/>
          <w:lang w:val="en-AU" w:eastAsia="en-AU"/>
        </w:rPr>
        <w:drawing>
          <wp:inline distT="0" distB="0" distL="0" distR="0" wp14:anchorId="35F33E21" wp14:editId="4FA354D3">
            <wp:extent cx="3475892" cy="3118474"/>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3479864" cy="3122037"/>
                    </a:xfrm>
                    <a:prstGeom prst="rect">
                      <a:avLst/>
                    </a:prstGeom>
                    <a:noFill/>
                    <a:ln w="9525">
                      <a:noFill/>
                      <a:miter lim="800000"/>
                      <a:headEnd/>
                      <a:tailEnd/>
                    </a:ln>
                  </pic:spPr>
                </pic:pic>
              </a:graphicData>
            </a:graphic>
          </wp:inline>
        </w:drawing>
      </w:r>
    </w:p>
    <w:p w14:paraId="0D598407" w14:textId="2A245651" w:rsidR="003A7D20" w:rsidRDefault="003A7D20" w:rsidP="003A7D20">
      <w:pPr>
        <w:pStyle w:val="Imagecaption"/>
      </w:pPr>
      <w:bookmarkStart w:id="70" w:name="_Ref445841203"/>
      <w:bookmarkStart w:id="71" w:name="_Toc449696306"/>
      <w:r>
        <w:t xml:space="preserve">Figure </w:t>
      </w:r>
      <w:r w:rsidR="00084CDD">
        <w:fldChar w:fldCharType="begin"/>
      </w:r>
      <w:r>
        <w:instrText xml:space="preserve"> SEQ Figure \* ARABIC </w:instrText>
      </w:r>
      <w:r w:rsidR="00084CDD">
        <w:fldChar w:fldCharType="separate"/>
      </w:r>
      <w:r w:rsidR="00C52E30">
        <w:rPr>
          <w:noProof/>
        </w:rPr>
        <w:t>16</w:t>
      </w:r>
      <w:r w:rsidR="00084CDD">
        <w:rPr>
          <w:noProof/>
        </w:rPr>
        <w:fldChar w:fldCharType="end"/>
      </w:r>
      <w:bookmarkEnd w:id="70"/>
      <w:r>
        <w:t xml:space="preserve">. Hysteresis in capillary pressure for the water wet system. The primary drainage and imbibition curves bound the capillary-pressure relationship </w:t>
      </w:r>
      <w:r w:rsidRPr="0070043F">
        <w:rPr>
          <w:i w:val="0"/>
        </w:rPr>
        <w:t>(</w:t>
      </w:r>
      <w:r w:rsidRPr="00E1495D">
        <w:t>S</w:t>
      </w:r>
      <w:r w:rsidRPr="00E1495D">
        <w:rPr>
          <w:vertAlign w:val="subscript"/>
        </w:rPr>
        <w:t>wi</w:t>
      </w:r>
      <w:r>
        <w:rPr>
          <w:vertAlign w:val="subscript"/>
        </w:rPr>
        <w:t xml:space="preserve"> </w:t>
      </w:r>
      <w:r w:rsidRPr="0070043F">
        <w:rPr>
          <w:i w:val="0"/>
        </w:rPr>
        <w:t>=</w:t>
      </w:r>
      <w:r>
        <w:t xml:space="preserve"> irreducible water saturation)</w:t>
      </w:r>
      <w:bookmarkEnd w:id="71"/>
    </w:p>
    <w:p w14:paraId="08430A3E" w14:textId="1630A126" w:rsidR="003A7D20" w:rsidRDefault="003A7D20" w:rsidP="003A7D20">
      <w:pPr>
        <w:pStyle w:val="Body"/>
      </w:pPr>
      <w:r>
        <w:t xml:space="preserve">Assume next that the rock was at irreducible water saturation at the end of the water </w:t>
      </w:r>
      <w:r w:rsidR="004535BE">
        <w:t>displacement</w:t>
      </w:r>
      <w:r>
        <w:t xml:space="preserve"> phase. The imbibition curve is the path followed </w:t>
      </w:r>
      <w:r w:rsidR="004535BE" w:rsidRPr="00A45100">
        <w:t xml:space="preserve">when water is now displacing the </w:t>
      </w:r>
      <w:r w:rsidR="003D0503" w:rsidRPr="00B70F2E">
        <w:t>non-wetting</w:t>
      </w:r>
      <w:r w:rsidR="004535BE" w:rsidRPr="00A45100">
        <w:t xml:space="preserve"> fluid</w:t>
      </w:r>
      <w:r w:rsidR="004535BE">
        <w:t xml:space="preserve">, </w:t>
      </w:r>
      <w:r>
        <w:t>starting at irreducible water saturation. In</w:t>
      </w:r>
      <w:r w:rsidR="000B0859">
        <w:t xml:space="preserve"> </w:t>
      </w:r>
      <w:r w:rsidR="000B0859">
        <w:fldChar w:fldCharType="begin"/>
      </w:r>
      <w:r w:rsidR="000B0859">
        <w:instrText xml:space="preserve"> REF _Ref445841203 \h </w:instrText>
      </w:r>
      <w:r w:rsidR="000B0859">
        <w:fldChar w:fldCharType="separate"/>
      </w:r>
      <w:r w:rsidR="00C52E30">
        <w:t xml:space="preserve">Figure </w:t>
      </w:r>
      <w:r w:rsidR="00C52E30">
        <w:rPr>
          <w:noProof/>
        </w:rPr>
        <w:t>16</w:t>
      </w:r>
      <w:r w:rsidR="000B0859">
        <w:fldChar w:fldCharType="end"/>
      </w:r>
      <w:r>
        <w:t xml:space="preserve">, the arrows show the direction of saturation change. By convention, because wetting-phase saturation is increasing (water is being imbibed into the rock), the process is called imbibition. The imbibition curve terminates at water saturation less than 100% as not all the gas is displaced from the rock. The amount of gas trapped in an immobile state at the end of the imbibition process is the residual gas saturation, </w:t>
      </w:r>
      <w:r w:rsidRPr="00B37BD2">
        <w:rPr>
          <w:i/>
        </w:rPr>
        <w:t>S</w:t>
      </w:r>
      <w:r w:rsidRPr="00B37BD2">
        <w:rPr>
          <w:i/>
          <w:vertAlign w:val="subscript"/>
        </w:rPr>
        <w:t>gr</w:t>
      </w:r>
      <w:r>
        <w:t>. The difference in paths between the drainage an</w:t>
      </w:r>
      <w:r w:rsidR="00BA3562">
        <w:t>d</w:t>
      </w:r>
      <w:r>
        <w:t xml:space="preserve"> imbibition curves is called hysteresis. </w:t>
      </w:r>
    </w:p>
    <w:p w14:paraId="188D6BF7" w14:textId="79AC359D" w:rsidR="0012438A" w:rsidRDefault="003A7D20" w:rsidP="0051308C">
      <w:pPr>
        <w:pStyle w:val="Body"/>
      </w:pPr>
      <w:r>
        <w:t>A somewhat similar hysteretic behaviour exists within the cleat system (where Darcy</w:t>
      </w:r>
      <w:r w:rsidR="00BA3562">
        <w:t>’s</w:t>
      </w:r>
      <w:r>
        <w:t xml:space="preserve"> law applies, see </w:t>
      </w:r>
      <w:r w:rsidR="00084CDD">
        <w:rPr>
          <w:highlight w:val="yellow"/>
        </w:rPr>
        <w:fldChar w:fldCharType="begin"/>
      </w:r>
      <w:r>
        <w:instrText xml:space="preserve"> REF _Ref436730660 \h </w:instrText>
      </w:r>
      <w:r w:rsidR="00084CDD">
        <w:rPr>
          <w:highlight w:val="yellow"/>
        </w:rPr>
      </w:r>
      <w:r w:rsidR="00084CDD">
        <w:rPr>
          <w:highlight w:val="yellow"/>
        </w:rPr>
        <w:fldChar w:fldCharType="separate"/>
      </w:r>
      <w:r w:rsidR="00C52E30">
        <w:t xml:space="preserve">Figure </w:t>
      </w:r>
      <w:r w:rsidR="00C52E30">
        <w:rPr>
          <w:noProof/>
        </w:rPr>
        <w:t>14</w:t>
      </w:r>
      <w:r w:rsidR="00084CDD">
        <w:rPr>
          <w:highlight w:val="yellow"/>
        </w:rPr>
        <w:fldChar w:fldCharType="end"/>
      </w:r>
      <w:r>
        <w:t>) of coal seams, with characteristic capillary pressure – relative saturation curves.  The hysteretic behaviour of capillary pressure – relative saturation curves and relative permeability curves (not shown) adds an additional level of complexity to the dual phase flow behaviour in coal formations. The determination of such relationships on coal and interburden and their incorporation in dual phase flow models remains a considerable challenge.</w:t>
      </w:r>
    </w:p>
    <w:p w14:paraId="1802F1F1" w14:textId="2AECCA2F" w:rsidR="0051308C" w:rsidRDefault="0051308C" w:rsidP="0051308C">
      <w:pPr>
        <w:pStyle w:val="Body"/>
      </w:pPr>
      <w:r>
        <w:t xml:space="preserve">In </w:t>
      </w:r>
      <w:r w:rsidR="009A2E95" w:rsidRPr="009A2E95">
        <w:t>coal seam</w:t>
      </w:r>
      <w:r>
        <w:t>s</w:t>
      </w:r>
      <w:r w:rsidR="009A2E95" w:rsidRPr="009A2E95">
        <w:t xml:space="preserve"> </w:t>
      </w:r>
      <w:r>
        <w:t>that become</w:t>
      </w:r>
      <w:r w:rsidR="009A2E95" w:rsidRPr="009A2E95">
        <w:t xml:space="preserve"> depressurised </w:t>
      </w:r>
      <w:r>
        <w:t xml:space="preserve">due to </w:t>
      </w:r>
      <w:r w:rsidR="009A2E95" w:rsidRPr="009A2E95">
        <w:t xml:space="preserve">removal of </w:t>
      </w:r>
      <w:r>
        <w:t>water</w:t>
      </w:r>
      <w:r w:rsidR="009A2E95" w:rsidRPr="009A2E95">
        <w:t>, the gas which is adsorbed in the coal matrix begins to diffuse and enter</w:t>
      </w:r>
      <w:r>
        <w:t>s</w:t>
      </w:r>
      <w:r w:rsidR="009A2E95" w:rsidRPr="009A2E95">
        <w:t xml:space="preserve"> the cleat/fracture system.</w:t>
      </w:r>
      <w:r>
        <w:t xml:space="preserve"> </w:t>
      </w:r>
      <w:r w:rsidR="009A2E95" w:rsidRPr="009A2E95">
        <w:t xml:space="preserve">Once the pressure drops </w:t>
      </w:r>
      <w:r w:rsidR="004535BE">
        <w:t xml:space="preserve">in the cleat </w:t>
      </w:r>
      <w:r w:rsidR="009A2E95" w:rsidRPr="009A2E95">
        <w:t xml:space="preserve">below the </w:t>
      </w:r>
      <w:r w:rsidR="004535BE">
        <w:t>de</w:t>
      </w:r>
      <w:r w:rsidR="009A2E95" w:rsidRPr="009A2E95">
        <w:t xml:space="preserve">sorption pressure, </w:t>
      </w:r>
      <w:r w:rsidR="004535BE">
        <w:t>gas begins to</w:t>
      </w:r>
      <w:r w:rsidR="009A2E95" w:rsidRPr="009A2E95">
        <w:t xml:space="preserve"> desor</w:t>
      </w:r>
      <w:r w:rsidR="004535BE">
        <w:t>b</w:t>
      </w:r>
      <w:r w:rsidR="009A2E95" w:rsidRPr="009A2E95">
        <w:t xml:space="preserve"> and free methane gas saturation builds up within the cleat/fracture system. </w:t>
      </w:r>
      <w:r>
        <w:t>T</w:t>
      </w:r>
      <w:r w:rsidR="009A2E95" w:rsidRPr="009A2E95">
        <w:t xml:space="preserve">wo-phase flow </w:t>
      </w:r>
      <w:r>
        <w:t xml:space="preserve">now exists </w:t>
      </w:r>
      <w:r w:rsidR="009A2E95" w:rsidRPr="009A2E95">
        <w:t xml:space="preserve">in the cleat system. As gas saturation </w:t>
      </w:r>
      <w:r>
        <w:t xml:space="preserve">continues to </w:t>
      </w:r>
      <w:r w:rsidR="009A2E95" w:rsidRPr="009A2E95">
        <w:t>increase</w:t>
      </w:r>
      <w:r>
        <w:t>,</w:t>
      </w:r>
      <w:r w:rsidR="009A2E95" w:rsidRPr="009A2E95">
        <w:t xml:space="preserve"> water is displaced from the cleat space and the relative permeability of the coal to water and gas changes with gas impeding the passage of water. This type of behavio</w:t>
      </w:r>
      <w:r>
        <w:t>u</w:t>
      </w:r>
      <w:r w:rsidR="009A2E95" w:rsidRPr="009A2E95">
        <w:t xml:space="preserve">r is described by relative permeability curves shown in </w:t>
      </w:r>
      <w:r w:rsidR="00084CDD">
        <w:fldChar w:fldCharType="begin"/>
      </w:r>
      <w:r w:rsidR="008A690F">
        <w:instrText xml:space="preserve"> REF _Ref422077315 \h </w:instrText>
      </w:r>
      <w:r w:rsidR="00084CDD">
        <w:fldChar w:fldCharType="separate"/>
      </w:r>
      <w:r w:rsidR="00C52E30">
        <w:t xml:space="preserve">Figure </w:t>
      </w:r>
      <w:r w:rsidR="00C52E30">
        <w:rPr>
          <w:noProof/>
        </w:rPr>
        <w:t>17</w:t>
      </w:r>
      <w:r w:rsidR="00084CDD">
        <w:fldChar w:fldCharType="end"/>
      </w:r>
      <w:r w:rsidR="009A2E95" w:rsidRPr="009A2E95">
        <w:t>.</w:t>
      </w:r>
      <w:r w:rsidR="00D61A3C">
        <w:t xml:space="preserve"> A typical example of a capillary pressure–liquid saturation curve and corresponding relative permeability curve </w:t>
      </w:r>
      <w:r w:rsidR="00BA3562">
        <w:t>is</w:t>
      </w:r>
      <w:r w:rsidR="00D61A3C">
        <w:t xml:space="preserve"> shown </w:t>
      </w:r>
      <w:r w:rsidR="003A7D20">
        <w:t xml:space="preserve">for a “water wet” </w:t>
      </w:r>
      <w:r w:rsidR="004535BE">
        <w:t xml:space="preserve">clastic </w:t>
      </w:r>
      <w:r w:rsidR="003A7D20">
        <w:t xml:space="preserve">system </w:t>
      </w:r>
      <w:r w:rsidR="00D61A3C">
        <w:t xml:space="preserve">in </w:t>
      </w:r>
      <w:r w:rsidR="00084CDD">
        <w:fldChar w:fldCharType="begin"/>
      </w:r>
      <w:r w:rsidR="006805C4">
        <w:instrText xml:space="preserve"> REF _Ref422077315 \h </w:instrText>
      </w:r>
      <w:r w:rsidR="00084CDD">
        <w:fldChar w:fldCharType="separate"/>
      </w:r>
      <w:r w:rsidR="00C52E30">
        <w:t xml:space="preserve">Figure </w:t>
      </w:r>
      <w:r w:rsidR="00C52E30">
        <w:rPr>
          <w:noProof/>
        </w:rPr>
        <w:t>17</w:t>
      </w:r>
      <w:r w:rsidR="00084CDD">
        <w:fldChar w:fldCharType="end"/>
      </w:r>
      <w:r w:rsidR="0064401E">
        <w:t>(b)</w:t>
      </w:r>
      <w:r w:rsidR="00D61A3C">
        <w:t>.</w:t>
      </w:r>
    </w:p>
    <w:p w14:paraId="65BA2E5B" w14:textId="77777777" w:rsidR="0012438A" w:rsidRDefault="0012438A" w:rsidP="0051308C">
      <w:pPr>
        <w:pStyle w:val="Body"/>
      </w:pPr>
    </w:p>
    <w:p w14:paraId="3CEA343F" w14:textId="77777777" w:rsidR="0012438A" w:rsidRDefault="0012438A" w:rsidP="0051308C">
      <w:pPr>
        <w:pStyle w:val="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24"/>
        <w:gridCol w:w="4496"/>
      </w:tblGrid>
      <w:tr w:rsidR="002115B1" w14:paraId="7AE4E176" w14:textId="77777777" w:rsidTr="004257E0">
        <w:tc>
          <w:tcPr>
            <w:tcW w:w="4524" w:type="dxa"/>
          </w:tcPr>
          <w:p w14:paraId="44086213" w14:textId="77777777" w:rsidR="002115B1" w:rsidRDefault="002115B1" w:rsidP="002115B1">
            <w:pPr>
              <w:pStyle w:val="Body"/>
              <w:spacing w:after="0"/>
            </w:pPr>
            <w:r>
              <w:t xml:space="preserve">                        (a)</w:t>
            </w:r>
          </w:p>
        </w:tc>
        <w:tc>
          <w:tcPr>
            <w:tcW w:w="4496" w:type="dxa"/>
          </w:tcPr>
          <w:p w14:paraId="10A73D3C" w14:textId="77777777" w:rsidR="002115B1" w:rsidRDefault="002115B1" w:rsidP="002115B1">
            <w:pPr>
              <w:pStyle w:val="Body"/>
              <w:spacing w:after="0"/>
            </w:pPr>
            <w:r>
              <w:t xml:space="preserve">                        (b)</w:t>
            </w:r>
          </w:p>
        </w:tc>
      </w:tr>
      <w:tr w:rsidR="002115B1" w14:paraId="7382022C" w14:textId="77777777" w:rsidTr="004257E0">
        <w:tc>
          <w:tcPr>
            <w:tcW w:w="4524" w:type="dxa"/>
          </w:tcPr>
          <w:p w14:paraId="39AA74B0" w14:textId="77777777" w:rsidR="002115B1" w:rsidRDefault="002115B1" w:rsidP="002115B1">
            <w:pPr>
              <w:pStyle w:val="Body"/>
              <w:spacing w:after="0"/>
              <w:jc w:val="center"/>
            </w:pPr>
            <w:r w:rsidRPr="00805714">
              <w:rPr>
                <w:noProof/>
                <w:lang w:val="en-AU" w:eastAsia="en-AU"/>
              </w:rPr>
              <w:drawing>
                <wp:inline distT="0" distB="0" distL="0" distR="0" wp14:anchorId="4C11D7AE" wp14:editId="638C1F20">
                  <wp:extent cx="2844000" cy="2278042"/>
                  <wp:effectExtent l="19050" t="0" r="0"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srcRect b="53547"/>
                          <a:stretch>
                            <a:fillRect/>
                          </a:stretch>
                        </pic:blipFill>
                        <pic:spPr bwMode="auto">
                          <a:xfrm>
                            <a:off x="0" y="0"/>
                            <a:ext cx="2844000" cy="2278042"/>
                          </a:xfrm>
                          <a:prstGeom prst="rect">
                            <a:avLst/>
                          </a:prstGeom>
                          <a:noFill/>
                          <a:ln w="9525">
                            <a:noFill/>
                            <a:miter lim="800000"/>
                            <a:headEnd/>
                            <a:tailEnd/>
                          </a:ln>
                        </pic:spPr>
                      </pic:pic>
                    </a:graphicData>
                  </a:graphic>
                </wp:inline>
              </w:drawing>
            </w:r>
          </w:p>
        </w:tc>
        <w:tc>
          <w:tcPr>
            <w:tcW w:w="4496" w:type="dxa"/>
          </w:tcPr>
          <w:p w14:paraId="5B4B517D" w14:textId="77777777" w:rsidR="002115B1" w:rsidRDefault="002115B1" w:rsidP="002115B1">
            <w:pPr>
              <w:pStyle w:val="Body"/>
              <w:spacing w:after="0"/>
              <w:jc w:val="center"/>
            </w:pPr>
            <w:r>
              <w:rPr>
                <w:noProof/>
                <w:lang w:val="en-AU" w:eastAsia="en-AU"/>
              </w:rPr>
              <w:drawing>
                <wp:inline distT="0" distB="0" distL="0" distR="0" wp14:anchorId="11930491" wp14:editId="5022DE68">
                  <wp:extent cx="2842846" cy="2250831"/>
                  <wp:effectExtent l="0" t="0" r="0" b="0"/>
                  <wp:docPr id="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srcRect t="54635"/>
                          <a:stretch>
                            <a:fillRect/>
                          </a:stretch>
                        </pic:blipFill>
                        <pic:spPr bwMode="auto">
                          <a:xfrm>
                            <a:off x="0" y="0"/>
                            <a:ext cx="2842846" cy="2250831"/>
                          </a:xfrm>
                          <a:prstGeom prst="rect">
                            <a:avLst/>
                          </a:prstGeom>
                          <a:noFill/>
                          <a:ln w="9525">
                            <a:noFill/>
                            <a:miter lim="800000"/>
                            <a:headEnd/>
                            <a:tailEnd/>
                          </a:ln>
                        </pic:spPr>
                      </pic:pic>
                    </a:graphicData>
                  </a:graphic>
                </wp:inline>
              </w:drawing>
            </w:r>
          </w:p>
        </w:tc>
      </w:tr>
    </w:tbl>
    <w:p w14:paraId="5D9A430D" w14:textId="59153F7E" w:rsidR="00214E55" w:rsidRPr="0064771A" w:rsidRDefault="003F68D2" w:rsidP="00DB3CB5">
      <w:pPr>
        <w:pStyle w:val="Imagecaption"/>
      </w:pPr>
      <w:bookmarkStart w:id="72" w:name="_Ref422077315"/>
      <w:bookmarkStart w:id="73" w:name="_Toc422323037"/>
      <w:bookmarkStart w:id="74" w:name="_Toc449696307"/>
      <w:r>
        <w:t xml:space="preserve">Figure </w:t>
      </w:r>
      <w:r w:rsidR="00084CDD">
        <w:fldChar w:fldCharType="begin"/>
      </w:r>
      <w:r>
        <w:instrText xml:space="preserve"> SEQ Figure \* ARABIC </w:instrText>
      </w:r>
      <w:r w:rsidR="00084CDD">
        <w:fldChar w:fldCharType="separate"/>
      </w:r>
      <w:r w:rsidR="00C52E30">
        <w:rPr>
          <w:noProof/>
        </w:rPr>
        <w:t>17</w:t>
      </w:r>
      <w:r w:rsidR="00084CDD">
        <w:fldChar w:fldCharType="end"/>
      </w:r>
      <w:bookmarkEnd w:id="72"/>
      <w:r>
        <w:t>.</w:t>
      </w:r>
      <w:r w:rsidR="00E627CC">
        <w:t xml:space="preserve"> </w:t>
      </w:r>
      <w:r w:rsidR="00FE3208">
        <w:t>(a) Capillary pressure as function of water saturation, and (b) r</w:t>
      </w:r>
      <w:r w:rsidR="00DC767E">
        <w:t xml:space="preserve">elative permeability </w:t>
      </w:r>
      <w:r w:rsidR="00D61A3C">
        <w:t xml:space="preserve">for liquid (i.e. water) and gas </w:t>
      </w:r>
      <w:r w:rsidR="002115B1">
        <w:t xml:space="preserve">of </w:t>
      </w:r>
      <w:r w:rsidR="00E4090E">
        <w:t xml:space="preserve">plastic </w:t>
      </w:r>
      <w:r w:rsidR="002115B1">
        <w:t xml:space="preserve">Boom clay, Belgium </w:t>
      </w:r>
      <w:r w:rsidR="00DC767E">
        <w:t xml:space="preserve">as function of water saturation </w:t>
      </w:r>
      <w:r w:rsidR="00084CDD">
        <w:fldChar w:fldCharType="begin"/>
      </w:r>
      <w:r w:rsidR="002A337A">
        <w:instrText xml:space="preserve"> ADDIN EN.CITE &lt;EndNote&gt;&lt;Cite&gt;&lt;Author&gt;Mallants&lt;/Author&gt;&lt;Year&gt;2007&lt;/Year&gt;&lt;IDText&gt;Modelling multi-phase flow phenomena in concrete barriers used for geological disposal of radioactive waste&lt;/IDText&gt;&lt;DisplayText&gt;(Mallants et al., 2007)&lt;/DisplayText&gt;&lt;record&gt;&lt;titles&gt;&lt;title&gt;Modelling multi-phase flow phenomena in concrete barriers used for geological disposal of radioactive waste&lt;/title&gt;&lt;secondary-title&gt;The 11th International Conference on Environmental Remediation and Radioactive Waste Management&lt;/secondary-title&gt;&lt;/titles&gt;&lt;pages&gt;741-749&lt;/pages&gt;&lt;contributors&gt;&lt;authors&gt;&lt;author&gt;Mallants, Dirk&lt;/author&gt;&lt;author&gt;Jacques, Diederik&lt;/author&gt;&lt;author&gt;Perko, Janez&lt;/author&gt;&lt;/authors&gt;&lt;/contributors&gt;&lt;added-date format="utc"&gt;1434345683&lt;/added-date&gt;&lt;ref-type name="Conference Proceedings"&gt;10&lt;/ref-type&gt;&lt;dates&gt;&lt;year&gt;2007&lt;/year&gt;&lt;/dates&gt;&lt;rec-number&gt;314&lt;/rec-number&gt;&lt;publisher&gt;American Society of Mechanical Engineers&lt;/publisher&gt;&lt;last-updated-date format="utc"&gt;1434345683&lt;/last-updated-date&gt;&lt;/record&gt;&lt;/Cite&gt;&lt;/EndNote&gt;</w:instrText>
      </w:r>
      <w:r w:rsidR="00084CDD">
        <w:fldChar w:fldCharType="separate"/>
      </w:r>
      <w:r w:rsidR="002A337A">
        <w:rPr>
          <w:noProof/>
        </w:rPr>
        <w:t>(Mallants et al., 2007)</w:t>
      </w:r>
      <w:r w:rsidR="00084CDD">
        <w:fldChar w:fldCharType="end"/>
      </w:r>
      <w:r w:rsidR="00DC767E">
        <w:t>.</w:t>
      </w:r>
      <w:bookmarkEnd w:id="73"/>
      <w:r w:rsidR="0064771A">
        <w:t xml:space="preserve"> </w:t>
      </w:r>
      <w:r w:rsidR="00D61A3C">
        <w:t xml:space="preserve">Clay is assumed to be water wetting. </w:t>
      </w:r>
      <w:r w:rsidR="000F2862">
        <w:t>Mathematical models and parameters</w:t>
      </w:r>
      <w:r w:rsidR="0064771A">
        <w:t xml:space="preserve"> are defined in</w:t>
      </w:r>
      <w:r w:rsidR="00214E55">
        <w:t xml:space="preserve"> </w:t>
      </w:r>
      <w:r w:rsidR="00084CDD">
        <w:fldChar w:fldCharType="begin"/>
      </w:r>
      <w:r w:rsidR="00214E55">
        <w:instrText xml:space="preserve"> REF _Ref433463559 \h </w:instrText>
      </w:r>
      <w:r w:rsidR="00084CDD">
        <w:fldChar w:fldCharType="separate"/>
      </w:r>
      <w:r w:rsidR="00C52E30">
        <w:t xml:space="preserve">Table </w:t>
      </w:r>
      <w:r w:rsidR="00C52E30">
        <w:rPr>
          <w:noProof/>
        </w:rPr>
        <w:t>2</w:t>
      </w:r>
      <w:r w:rsidR="00084CDD">
        <w:fldChar w:fldCharType="end"/>
      </w:r>
      <w:r w:rsidR="00214E55">
        <w:t>.</w:t>
      </w:r>
      <w:bookmarkEnd w:id="74"/>
    </w:p>
    <w:p w14:paraId="020B2750" w14:textId="77777777" w:rsidR="009A78B7" w:rsidRDefault="009A78B7">
      <w:pPr>
        <w:pStyle w:val="Imagecaption"/>
        <w:pBdr>
          <w:top w:val="none" w:sz="0" w:space="0" w:color="auto"/>
        </w:pBdr>
      </w:pPr>
    </w:p>
    <w:p w14:paraId="00EFD686" w14:textId="50C21348" w:rsidR="004257E0" w:rsidRDefault="004257E0" w:rsidP="004257E0">
      <w:pPr>
        <w:pStyle w:val="Body"/>
      </w:pPr>
      <w:r>
        <w:t xml:space="preserve">Reservoir models typically simulate dual phase flow while most groundwater flow models simulate single phase (i.e., water) flow only. A comprehensive summary of available multiphase flow models is presented in </w:t>
      </w:r>
      <w:r w:rsidR="00BA3562">
        <w:t>A</w:t>
      </w:r>
      <w:r>
        <w:t>ppendix</w:t>
      </w:r>
      <w:r w:rsidR="00BA3562">
        <w:t xml:space="preserve"> 1</w:t>
      </w:r>
      <w:r>
        <w:t xml:space="preserve">. </w:t>
      </w:r>
      <w:r w:rsidRPr="00D912BD">
        <w:t xml:space="preserve">Consideration of the gas phase </w:t>
      </w:r>
      <w:r w:rsidR="00FB0E47" w:rsidRPr="00A45100">
        <w:t>can be important</w:t>
      </w:r>
      <w:r w:rsidR="00E2704E" w:rsidRPr="00D912BD">
        <w:t xml:space="preserve"> </w:t>
      </w:r>
      <w:r w:rsidRPr="00D912BD">
        <w:t>when calculating target pressures</w:t>
      </w:r>
      <w:r>
        <w:t xml:space="preserve"> for coal seam depressurisation (OGIA pers. comm., 2015). </w:t>
      </w:r>
      <w:r w:rsidR="000138CD">
        <w:t xml:space="preserve">The omission of dual phase effects in numerical flow modelling can result in significantly different impact predictions. </w:t>
      </w:r>
      <w:r>
        <w:t xml:space="preserve">In order to model the flow of gas, it is common practice to simulate a target pressure head equal to a hydraulic head of water located </w:t>
      </w:r>
      <w:r w:rsidR="00FE3208">
        <w:t xml:space="preserve">several </w:t>
      </w:r>
      <w:r>
        <w:t xml:space="preserve">tens of metres above the top of a target coal seam. However, in practice this pressure head will include both water and gas phases; therefore the required pressure head of water will be lower. </w:t>
      </w:r>
      <w:r w:rsidR="007022DC" w:rsidRPr="00A45100">
        <w:t>The primary advantage of single phase models is their relatively lower computational requirements (and therefore short solution calculation times) in comparison to multiphase models. This is of particular benefit to models featuring large spatial extents and/or long hydraulic equilibration times. Low computational requirements are also of benefit to uncertainty quantification analyses, which often require the solution of 100s or 1000s of numerical models.</w:t>
      </w:r>
    </w:p>
    <w:p w14:paraId="0C05777A" w14:textId="77777777" w:rsidR="004257E0" w:rsidRDefault="004257E0" w:rsidP="003F68D2">
      <w:pPr>
        <w:pStyle w:val="Imagecaption"/>
        <w:pBdr>
          <w:top w:val="none" w:sz="0" w:space="0" w:color="auto"/>
        </w:pBdr>
      </w:pPr>
      <w:bookmarkStart w:id="75" w:name="_Ref427575621"/>
      <w:bookmarkStart w:id="76" w:name="_Toc422322986"/>
    </w:p>
    <w:p w14:paraId="48C52E8C" w14:textId="3A71E4B6" w:rsidR="009A2E95" w:rsidRDefault="003F68D2" w:rsidP="003F68D2">
      <w:pPr>
        <w:pStyle w:val="Imagecaption"/>
        <w:pBdr>
          <w:top w:val="none" w:sz="0" w:space="0" w:color="auto"/>
        </w:pBdr>
      </w:pPr>
      <w:bookmarkStart w:id="77" w:name="_Ref433463559"/>
      <w:bookmarkStart w:id="78" w:name="_Toc449696222"/>
      <w:r>
        <w:t xml:space="preserve">Table </w:t>
      </w:r>
      <w:r w:rsidR="00084CDD">
        <w:fldChar w:fldCharType="begin"/>
      </w:r>
      <w:r>
        <w:instrText xml:space="preserve"> SEQ Table \* ARABIC </w:instrText>
      </w:r>
      <w:r w:rsidR="00084CDD">
        <w:fldChar w:fldCharType="separate"/>
      </w:r>
      <w:r w:rsidR="00C52E30">
        <w:rPr>
          <w:noProof/>
        </w:rPr>
        <w:t>2</w:t>
      </w:r>
      <w:r w:rsidR="00084CDD">
        <w:fldChar w:fldCharType="end"/>
      </w:r>
      <w:bookmarkEnd w:id="75"/>
      <w:bookmarkEnd w:id="77"/>
      <w:r>
        <w:t>.</w:t>
      </w:r>
      <w:r w:rsidR="007161DE">
        <w:t xml:space="preserve"> Equations used to describe relative liquid and gas permeability </w:t>
      </w:r>
      <w:r w:rsidR="002115B1">
        <w:t xml:space="preserve">and saturation for </w:t>
      </w:r>
      <w:r w:rsidR="00084CDD">
        <w:rPr>
          <w:highlight w:val="yellow"/>
        </w:rPr>
        <w:fldChar w:fldCharType="begin"/>
      </w:r>
      <w:r w:rsidR="007512E8">
        <w:rPr>
          <w:highlight w:val="yellow"/>
        </w:rPr>
        <w:instrText xml:space="preserve"> REF _Ref422077315 \h </w:instrText>
      </w:r>
      <w:r w:rsidR="00084CDD">
        <w:rPr>
          <w:highlight w:val="yellow"/>
        </w:rPr>
      </w:r>
      <w:r w:rsidR="00084CDD">
        <w:rPr>
          <w:highlight w:val="yellow"/>
        </w:rPr>
        <w:fldChar w:fldCharType="separate"/>
      </w:r>
      <w:r w:rsidR="00C52E30">
        <w:t xml:space="preserve">Figure </w:t>
      </w:r>
      <w:r w:rsidR="00C52E30">
        <w:rPr>
          <w:noProof/>
        </w:rPr>
        <w:t>17</w:t>
      </w:r>
      <w:r w:rsidR="00084CDD">
        <w:rPr>
          <w:highlight w:val="yellow"/>
        </w:rPr>
        <w:fldChar w:fldCharType="end"/>
      </w:r>
      <w:r w:rsidR="007512E8">
        <w:t xml:space="preserve"> </w:t>
      </w:r>
      <w:r w:rsidR="00084CDD" w:rsidRPr="002115B1">
        <w:fldChar w:fldCharType="begin"/>
      </w:r>
      <w:r w:rsidR="002115B1" w:rsidRPr="002115B1">
        <w:instrText xml:space="preserve"> ADDIN EN.CITE &lt;EndNote&gt;&lt;Cite&gt;&lt;Author&gt;Mallants&lt;/Author&gt;&lt;Year&gt;2007&lt;/Year&gt;&lt;IDText&gt;Modelling multi-phase flow phenomena in concrete barriers used for geological disposal of radioactive waste&lt;/IDText&gt;&lt;DisplayText&gt;(Mallants et al., 2007)&lt;/DisplayText&gt;&lt;record&gt;&lt;titles&gt;&lt;title&gt;Modelling multi-phase flow phenomena in concrete barriers used for geological disposal of radioactive waste&lt;/title&gt;&lt;secondary-title&gt;The 11th International Conference on Environmental Remediation and Radioactive Waste Management&lt;/secondary-title&gt;&lt;/titles&gt;&lt;pages&gt;741-749&lt;/pages&gt;&lt;contributors&gt;&lt;authors&gt;&lt;author&gt;Mallants, Dirk&lt;/author&gt;&lt;author&gt;Jacques, Diederik&lt;/author&gt;&lt;author&gt;Perko, Janez&lt;/author&gt;&lt;/authors&gt;&lt;/contributors&gt;&lt;added-date format="utc"&gt;1434345683&lt;/added-date&gt;&lt;ref-type name="Conference Proceedings"&gt;10&lt;/ref-type&gt;&lt;dates&gt;&lt;year&gt;2007&lt;/year&gt;&lt;/dates&gt;&lt;rec-number&gt;314&lt;/rec-number&gt;&lt;publisher&gt;American Society of Mechanical Engineers&lt;/publisher&gt;&lt;last-updated-date format="utc"&gt;1434345683&lt;/last-updated-date&gt;&lt;/record&gt;&lt;/Cite&gt;&lt;/EndNote&gt;</w:instrText>
      </w:r>
      <w:r w:rsidR="00084CDD" w:rsidRPr="002115B1">
        <w:fldChar w:fldCharType="separate"/>
      </w:r>
      <w:r w:rsidR="002115B1" w:rsidRPr="002115B1">
        <w:rPr>
          <w:noProof/>
        </w:rPr>
        <w:t>(</w:t>
      </w:r>
      <w:r w:rsidR="00450AEC">
        <w:rPr>
          <w:noProof/>
        </w:rPr>
        <w:t>ith</w:t>
      </w:r>
      <w:r w:rsidR="002115B1" w:rsidRPr="002115B1">
        <w:rPr>
          <w:noProof/>
        </w:rPr>
        <w:t>., 2007)</w:t>
      </w:r>
      <w:r w:rsidR="00084CDD" w:rsidRPr="002115B1">
        <w:fldChar w:fldCharType="end"/>
      </w:r>
      <w:r w:rsidR="007161DE" w:rsidRPr="002115B1">
        <w:t>.</w:t>
      </w:r>
      <w:bookmarkEnd w:id="76"/>
      <w:r w:rsidR="007161DE">
        <w:t xml:space="preserve"> </w:t>
      </w:r>
      <w:r w:rsidR="000F2862">
        <w:t>Parameter m was fitted to liquid saturation – capillary pressure data.</w:t>
      </w:r>
      <w:bookmarkEnd w:id="78"/>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3"/>
        <w:gridCol w:w="2756"/>
        <w:gridCol w:w="4091"/>
      </w:tblGrid>
      <w:tr w:rsidR="00D56E82" w14:paraId="01DFCF8F" w14:textId="77777777" w:rsidTr="00523374">
        <w:trPr>
          <w:trHeight w:val="340"/>
        </w:trPr>
        <w:tc>
          <w:tcPr>
            <w:tcW w:w="1204" w:type="pct"/>
            <w:tcBorders>
              <w:top w:val="single" w:sz="4" w:space="0" w:color="auto"/>
              <w:bottom w:val="single" w:sz="4" w:space="0" w:color="auto"/>
            </w:tcBorders>
            <w:shd w:val="clear" w:color="auto" w:fill="F2F2F2" w:themeFill="background1" w:themeFillShade="F2"/>
            <w:vAlign w:val="center"/>
          </w:tcPr>
          <w:p w14:paraId="4F979685" w14:textId="77777777" w:rsidR="00D56E82" w:rsidRDefault="007161DE" w:rsidP="002115B1">
            <w:pPr>
              <w:pStyle w:val="Body"/>
              <w:spacing w:before="40" w:after="40" w:line="240" w:lineRule="auto"/>
            </w:pPr>
            <w:r>
              <w:t>Parameter</w:t>
            </w:r>
          </w:p>
        </w:tc>
        <w:tc>
          <w:tcPr>
            <w:tcW w:w="1527" w:type="pct"/>
            <w:tcBorders>
              <w:top w:val="single" w:sz="4" w:space="0" w:color="auto"/>
              <w:bottom w:val="single" w:sz="4" w:space="0" w:color="auto"/>
            </w:tcBorders>
            <w:shd w:val="clear" w:color="auto" w:fill="F2F2F2" w:themeFill="background1" w:themeFillShade="F2"/>
            <w:vAlign w:val="center"/>
          </w:tcPr>
          <w:p w14:paraId="05763A52" w14:textId="77777777" w:rsidR="00D56E82" w:rsidRDefault="007161DE" w:rsidP="002115B1">
            <w:pPr>
              <w:pStyle w:val="Body"/>
              <w:spacing w:before="40" w:after="40" w:line="240" w:lineRule="auto"/>
            </w:pPr>
            <w:r>
              <w:t>Equation</w:t>
            </w:r>
          </w:p>
        </w:tc>
        <w:tc>
          <w:tcPr>
            <w:tcW w:w="2268" w:type="pct"/>
            <w:tcBorders>
              <w:top w:val="single" w:sz="4" w:space="0" w:color="auto"/>
              <w:bottom w:val="single" w:sz="4" w:space="0" w:color="auto"/>
            </w:tcBorders>
            <w:shd w:val="clear" w:color="auto" w:fill="F2F2F2" w:themeFill="background1" w:themeFillShade="F2"/>
            <w:vAlign w:val="center"/>
          </w:tcPr>
          <w:p w14:paraId="23A812A3" w14:textId="77777777" w:rsidR="00D56E82" w:rsidRDefault="007161DE" w:rsidP="002115B1">
            <w:pPr>
              <w:pStyle w:val="Body"/>
              <w:spacing w:before="40" w:after="40" w:line="240" w:lineRule="auto"/>
            </w:pPr>
            <w:r>
              <w:t>Parameter values</w:t>
            </w:r>
            <w:r w:rsidR="002115B1">
              <w:t xml:space="preserve"> for </w:t>
            </w:r>
            <w:r w:rsidR="009B0364">
              <w:t xml:space="preserve">plastic </w:t>
            </w:r>
            <w:r w:rsidR="002115B1">
              <w:t>Boom clay, Belgium</w:t>
            </w:r>
          </w:p>
        </w:tc>
      </w:tr>
      <w:tr w:rsidR="00845470" w14:paraId="59AAC9FC" w14:textId="77777777" w:rsidTr="002115B1">
        <w:trPr>
          <w:trHeight w:val="340"/>
        </w:trPr>
        <w:tc>
          <w:tcPr>
            <w:tcW w:w="1204" w:type="pct"/>
            <w:tcBorders>
              <w:top w:val="single" w:sz="4" w:space="0" w:color="auto"/>
            </w:tcBorders>
            <w:vAlign w:val="center"/>
          </w:tcPr>
          <w:p w14:paraId="022A5A59" w14:textId="77777777" w:rsidR="00845470" w:rsidRDefault="00845470" w:rsidP="002115B1">
            <w:pPr>
              <w:pStyle w:val="Body"/>
              <w:spacing w:before="40" w:after="40" w:line="240" w:lineRule="auto"/>
            </w:pPr>
            <w:r>
              <w:t xml:space="preserve">Relative liquid </w:t>
            </w:r>
            <w:r w:rsidR="002115B1">
              <w:t>permeability</w:t>
            </w:r>
          </w:p>
        </w:tc>
        <w:tc>
          <w:tcPr>
            <w:tcW w:w="1527" w:type="pct"/>
            <w:tcBorders>
              <w:top w:val="single" w:sz="4" w:space="0" w:color="auto"/>
            </w:tcBorders>
            <w:vAlign w:val="center"/>
          </w:tcPr>
          <w:p w14:paraId="2DD8C10E" w14:textId="77777777" w:rsidR="00845470" w:rsidRDefault="00D322E8" w:rsidP="005E3E41">
            <w:pPr>
              <w:pStyle w:val="Body"/>
              <w:spacing w:before="40" w:after="40" w:line="240" w:lineRule="auto"/>
            </w:pPr>
            <m:oMathPara>
              <m:oMath>
                <m:sSub>
                  <m:sSubPr>
                    <m:ctrlPr>
                      <w:rPr>
                        <w:rFonts w:ascii="Cambria Math" w:hAnsi="Cambria Math"/>
                        <w:i/>
                      </w:rPr>
                    </m:ctrlPr>
                  </m:sSubPr>
                  <m:e>
                    <m:r>
                      <w:rPr>
                        <w:rFonts w:ascii="Cambria Math" w:hAnsi="Cambria Math"/>
                      </w:rPr>
                      <m:t>k</m:t>
                    </m:r>
                  </m:e>
                  <m:sub>
                    <m:r>
                      <w:rPr>
                        <w:rFonts w:ascii="Cambria Math" w:hAnsi="Cambria Math"/>
                      </w:rPr>
                      <m:t>rl</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m:t>
                        </m:r>
                      </m:sup>
                    </m:sSup>
                  </m:e>
                </m:rad>
                <m:sSup>
                  <m:sSupPr>
                    <m:ctrlPr>
                      <w:rPr>
                        <w:rFonts w:ascii="Cambria Math" w:hAnsi="Cambria Math"/>
                        <w:i/>
                      </w:rPr>
                    </m:ctrlPr>
                  </m:sSupPr>
                  <m:e>
                    <m:d>
                      <m:dPr>
                        <m:begChr m:val="{"/>
                        <m:endChr m:val="}"/>
                        <m:ctrlPr>
                          <w:rPr>
                            <w:rFonts w:ascii="Cambria Math" w:hAnsi="Cambria Math"/>
                            <w:i/>
                          </w:rPr>
                        </m:ctrlPr>
                      </m:dPr>
                      <m:e>
                        <m:r>
                          <w:rPr>
                            <w:rFonts w:ascii="Cambria Math" w:hAnsi="Cambria Math"/>
                          </w:rPr>
                          <m:t>1-</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1-</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S</m:t>
                                            </m:r>
                                          </m:e>
                                          <m:sup>
                                            <m:r>
                                              <w:rPr>
                                                <w:rFonts w:ascii="Cambria Math" w:hAnsi="Cambria Math"/>
                                              </w:rPr>
                                              <m:t>*</m:t>
                                            </m:r>
                                          </m:sup>
                                        </m:sSup>
                                      </m:e>
                                    </m:d>
                                  </m:e>
                                  <m:sup>
                                    <m:r>
                                      <w:rPr>
                                        <w:rFonts w:ascii="Cambria Math" w:hAnsi="Cambria Math"/>
                                      </w:rPr>
                                      <m:t>1/m</m:t>
                                    </m:r>
                                  </m:sup>
                                </m:sSup>
                              </m:e>
                            </m:d>
                          </m:e>
                          <m:sup>
                            <m:r>
                              <w:rPr>
                                <w:rFonts w:ascii="Cambria Math" w:hAnsi="Cambria Math"/>
                              </w:rPr>
                              <m:t>m</m:t>
                            </m:r>
                          </m:sup>
                        </m:sSup>
                      </m:e>
                    </m:d>
                  </m:e>
                  <m:sup>
                    <m:r>
                      <w:rPr>
                        <w:rFonts w:ascii="Cambria Math" w:hAnsi="Cambria Math"/>
                      </w:rPr>
                      <m:t>2</m:t>
                    </m:r>
                  </m:sup>
                </m:sSup>
              </m:oMath>
            </m:oMathPara>
          </w:p>
        </w:tc>
        <w:tc>
          <w:tcPr>
            <w:tcW w:w="2268" w:type="pct"/>
            <w:vMerge w:val="restart"/>
            <w:tcBorders>
              <w:top w:val="single" w:sz="4" w:space="0" w:color="auto"/>
            </w:tcBorders>
          </w:tcPr>
          <w:p w14:paraId="6F7313D0" w14:textId="77777777" w:rsidR="00845470" w:rsidRDefault="00845470" w:rsidP="002115B1">
            <w:pPr>
              <w:pStyle w:val="Body"/>
              <w:spacing w:before="60" w:after="60" w:line="240" w:lineRule="auto"/>
            </w:pPr>
            <w:r w:rsidRPr="009A2E95">
              <w:rPr>
                <w:i/>
              </w:rPr>
              <w:t>m</w:t>
            </w:r>
            <w:r>
              <w:t xml:space="preserve"> = van Genuchten shape parameter (=0.5)</w:t>
            </w:r>
          </w:p>
          <w:p w14:paraId="2CCC140A" w14:textId="77777777" w:rsidR="00845470" w:rsidRDefault="00845470" w:rsidP="002115B1">
            <w:pPr>
              <w:pStyle w:val="Body"/>
              <w:spacing w:before="60" w:after="60" w:line="240" w:lineRule="auto"/>
            </w:pPr>
            <w:r w:rsidRPr="009A2E95">
              <w:rPr>
                <w:i/>
              </w:rPr>
              <w:t>S</w:t>
            </w:r>
            <w:r w:rsidRPr="00845470">
              <w:rPr>
                <w:i/>
                <w:vertAlign w:val="subscript"/>
              </w:rPr>
              <w:t>l</w:t>
            </w:r>
            <w:r>
              <w:t xml:space="preserve"> = liquid saturation</w:t>
            </w:r>
          </w:p>
          <w:p w14:paraId="2C2998AE" w14:textId="77777777" w:rsidR="00845470" w:rsidRDefault="00845470" w:rsidP="002115B1">
            <w:pPr>
              <w:pStyle w:val="Body"/>
              <w:spacing w:before="60" w:after="60" w:line="240" w:lineRule="auto"/>
            </w:pPr>
            <w:r w:rsidRPr="009A2E95">
              <w:rPr>
                <w:i/>
              </w:rPr>
              <w:t>S</w:t>
            </w:r>
            <w:r w:rsidRPr="00845470">
              <w:rPr>
                <w:i/>
                <w:vertAlign w:val="subscript"/>
              </w:rPr>
              <w:t>lr</w:t>
            </w:r>
            <w:r>
              <w:t xml:space="preserve"> = residual liquid saturation (=0.2)</w:t>
            </w:r>
          </w:p>
          <w:p w14:paraId="52D304E8" w14:textId="77777777" w:rsidR="00845470" w:rsidRDefault="00845470" w:rsidP="002115B1">
            <w:pPr>
              <w:pStyle w:val="Body"/>
              <w:spacing w:before="60" w:after="60" w:line="240" w:lineRule="auto"/>
            </w:pPr>
            <w:r w:rsidRPr="009A2E95">
              <w:rPr>
                <w:i/>
              </w:rPr>
              <w:t>S</w:t>
            </w:r>
            <w:r w:rsidRPr="00845470">
              <w:rPr>
                <w:i/>
                <w:vertAlign w:val="subscript"/>
              </w:rPr>
              <w:t>ls</w:t>
            </w:r>
            <w:r>
              <w:t xml:space="preserve"> = saturated liquid saturation (=1.0)</w:t>
            </w:r>
          </w:p>
          <w:p w14:paraId="04700CE1" w14:textId="77777777" w:rsidR="00845470" w:rsidRDefault="00845470" w:rsidP="002115B1">
            <w:pPr>
              <w:pStyle w:val="Body"/>
              <w:spacing w:before="60" w:after="60" w:line="240" w:lineRule="auto"/>
            </w:pPr>
            <w:r w:rsidRPr="009A2E95">
              <w:rPr>
                <w:i/>
              </w:rPr>
              <w:t>S</w:t>
            </w:r>
            <w:r w:rsidRPr="00845470">
              <w:rPr>
                <w:i/>
                <w:vertAlign w:val="subscript"/>
              </w:rPr>
              <w:t>gr</w:t>
            </w:r>
            <w:r>
              <w:t xml:space="preserve"> = residual gas saturation (=0.15)</w:t>
            </w:r>
          </w:p>
        </w:tc>
      </w:tr>
      <w:tr w:rsidR="00845470" w14:paraId="2A873454" w14:textId="77777777" w:rsidTr="002115B1">
        <w:trPr>
          <w:trHeight w:val="340"/>
        </w:trPr>
        <w:tc>
          <w:tcPr>
            <w:tcW w:w="1204" w:type="pct"/>
            <w:vAlign w:val="center"/>
          </w:tcPr>
          <w:p w14:paraId="0813B5DF" w14:textId="77777777" w:rsidR="00845470" w:rsidRDefault="00845470" w:rsidP="005E3E41">
            <w:pPr>
              <w:pStyle w:val="Body"/>
              <w:spacing w:before="40" w:after="40" w:line="240" w:lineRule="auto"/>
            </w:pPr>
            <w:r>
              <w:t xml:space="preserve">Relative gas </w:t>
            </w:r>
            <w:r w:rsidR="002115B1">
              <w:t>permeability</w:t>
            </w:r>
          </w:p>
        </w:tc>
        <w:tc>
          <w:tcPr>
            <w:tcW w:w="1527" w:type="pct"/>
            <w:vAlign w:val="center"/>
          </w:tcPr>
          <w:p w14:paraId="7734E002" w14:textId="77777777" w:rsidR="00845470" w:rsidRDefault="00D322E8" w:rsidP="005E3E41">
            <w:pPr>
              <w:pStyle w:val="Body"/>
              <w:spacing w:before="40" w:after="40" w:line="240" w:lineRule="auto"/>
            </w:pPr>
            <m:oMathPara>
              <m:oMath>
                <m:sSub>
                  <m:sSubPr>
                    <m:ctrlPr>
                      <w:rPr>
                        <w:rFonts w:ascii="Cambria Math" w:hAnsi="Cambria Math"/>
                        <w:i/>
                      </w:rPr>
                    </m:ctrlPr>
                  </m:sSubPr>
                  <m:e>
                    <m:r>
                      <w:rPr>
                        <w:rFonts w:ascii="Cambria Math" w:hAnsi="Cambria Math"/>
                      </w:rPr>
                      <m:t>k</m:t>
                    </m:r>
                  </m:e>
                  <m:sub>
                    <m:r>
                      <w:rPr>
                        <w:rFonts w:ascii="Cambria Math" w:hAnsi="Cambria Math"/>
                      </w:rPr>
                      <m:t>rg</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acc>
                          <m:accPr>
                            <m:ctrlPr>
                              <w:rPr>
                                <w:rFonts w:ascii="Cambria Math" w:hAnsi="Cambria Math"/>
                                <w:i/>
                              </w:rPr>
                            </m:ctrlPr>
                          </m:accPr>
                          <m:e>
                            <m:r>
                              <w:rPr>
                                <w:rFonts w:ascii="Cambria Math" w:hAnsi="Cambria Math"/>
                              </w:rPr>
                              <m:t>S</m:t>
                            </m:r>
                          </m:e>
                        </m:acc>
                      </m:e>
                    </m:d>
                  </m:e>
                  <m:sup>
                    <m:r>
                      <w:rPr>
                        <w:rFonts w:ascii="Cambria Math" w:hAnsi="Cambria Math"/>
                      </w:rPr>
                      <m:t>2</m:t>
                    </m:r>
                  </m:sup>
                </m:sSup>
                <m:d>
                  <m:dPr>
                    <m:ctrlPr>
                      <w:rPr>
                        <w:rFonts w:ascii="Cambria Math" w:hAnsi="Cambria Math"/>
                        <w:i/>
                      </w:rPr>
                    </m:ctrlPr>
                  </m:dPr>
                  <m:e>
                    <m:r>
                      <w:rPr>
                        <w:rFonts w:ascii="Cambria Math" w:hAnsi="Cambria Math"/>
                      </w:rPr>
                      <m:t>1-</m:t>
                    </m:r>
                    <m:sSup>
                      <m:sSupPr>
                        <m:ctrlPr>
                          <w:rPr>
                            <w:rFonts w:ascii="Cambria Math" w:hAnsi="Cambria Math"/>
                            <w:i/>
                          </w:rPr>
                        </m:ctrlPr>
                      </m:sSupPr>
                      <m:e>
                        <m:acc>
                          <m:accPr>
                            <m:ctrlPr>
                              <w:rPr>
                                <w:rFonts w:ascii="Cambria Math" w:hAnsi="Cambria Math"/>
                                <w:i/>
                              </w:rPr>
                            </m:ctrlPr>
                          </m:accPr>
                          <m:e>
                            <m:r>
                              <w:rPr>
                                <w:rFonts w:ascii="Cambria Math" w:hAnsi="Cambria Math"/>
                              </w:rPr>
                              <m:t>S</m:t>
                            </m:r>
                          </m:e>
                        </m:acc>
                      </m:e>
                      <m:sup>
                        <m:r>
                          <w:rPr>
                            <w:rFonts w:ascii="Cambria Math" w:hAnsi="Cambria Math"/>
                          </w:rPr>
                          <m:t>2</m:t>
                        </m:r>
                      </m:sup>
                    </m:sSup>
                  </m:e>
                </m:d>
              </m:oMath>
            </m:oMathPara>
          </w:p>
        </w:tc>
        <w:tc>
          <w:tcPr>
            <w:tcW w:w="2268" w:type="pct"/>
            <w:vMerge/>
            <w:vAlign w:val="center"/>
          </w:tcPr>
          <w:p w14:paraId="4282AF2D" w14:textId="77777777" w:rsidR="00845470" w:rsidRDefault="00845470" w:rsidP="005E3E41">
            <w:pPr>
              <w:pStyle w:val="Body"/>
              <w:spacing w:before="40" w:after="40"/>
            </w:pPr>
          </w:p>
        </w:tc>
      </w:tr>
      <w:tr w:rsidR="00845470" w14:paraId="61B583E7" w14:textId="77777777" w:rsidTr="002115B1">
        <w:trPr>
          <w:trHeight w:val="340"/>
        </w:trPr>
        <w:tc>
          <w:tcPr>
            <w:tcW w:w="1204" w:type="pct"/>
            <w:vAlign w:val="center"/>
          </w:tcPr>
          <w:p w14:paraId="1FEF5255" w14:textId="77777777" w:rsidR="00845470" w:rsidRPr="002115B1" w:rsidRDefault="002115B1" w:rsidP="002115B1">
            <w:pPr>
              <w:pStyle w:val="Body"/>
              <w:spacing w:before="40" w:after="40" w:line="240" w:lineRule="auto"/>
            </w:pPr>
            <w:r w:rsidRPr="002115B1">
              <w:t xml:space="preserve">Relative </w:t>
            </w:r>
            <w:r>
              <w:t>liquid saturation</w:t>
            </w:r>
          </w:p>
        </w:tc>
        <w:tc>
          <w:tcPr>
            <w:tcW w:w="1527" w:type="pct"/>
            <w:vAlign w:val="center"/>
          </w:tcPr>
          <w:p w14:paraId="3B365C39" w14:textId="77777777" w:rsidR="00845470" w:rsidRDefault="00D322E8" w:rsidP="005E3E41">
            <w:pPr>
              <w:pStyle w:val="Body"/>
              <w:spacing w:before="40" w:after="40" w:line="240" w:lineRule="auto"/>
            </w:pPr>
            <m:oMathPara>
              <m:oMath>
                <m:sSup>
                  <m:sSupPr>
                    <m:ctrlPr>
                      <w:rPr>
                        <w:rFonts w:ascii="Cambria Math" w:hAnsi="Cambria Math"/>
                        <w:i/>
                      </w:rPr>
                    </m:ctrlPr>
                  </m:sSupPr>
                  <m:e>
                    <m:r>
                      <w:rPr>
                        <w:rFonts w:ascii="Cambria Math" w:hAnsi="Cambria Math"/>
                      </w:rPr>
                      <m:t>S</m:t>
                    </m:r>
                  </m:e>
                  <m:sup>
                    <m:r>
                      <w:rPr>
                        <w:rFonts w:ascii="Cambria Math" w:hAnsi="Cambria Math"/>
                      </w:rPr>
                      <m:t>*</m:t>
                    </m:r>
                  </m:sup>
                </m:sSup>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lr</m:t>
                        </m:r>
                      </m:sub>
                    </m:sSub>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ls</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lr</m:t>
                        </m:r>
                      </m:sub>
                    </m:sSub>
                  </m:e>
                </m:d>
              </m:oMath>
            </m:oMathPara>
          </w:p>
        </w:tc>
        <w:tc>
          <w:tcPr>
            <w:tcW w:w="2268" w:type="pct"/>
            <w:vMerge/>
            <w:vAlign w:val="center"/>
          </w:tcPr>
          <w:p w14:paraId="2F7CCC47" w14:textId="77777777" w:rsidR="00845470" w:rsidRDefault="00845470" w:rsidP="005E3E41">
            <w:pPr>
              <w:pStyle w:val="Body"/>
              <w:spacing w:before="40" w:after="40"/>
            </w:pPr>
          </w:p>
        </w:tc>
      </w:tr>
      <w:tr w:rsidR="00845470" w14:paraId="2972F119" w14:textId="77777777" w:rsidTr="002115B1">
        <w:trPr>
          <w:trHeight w:val="340"/>
        </w:trPr>
        <w:tc>
          <w:tcPr>
            <w:tcW w:w="1204" w:type="pct"/>
            <w:vAlign w:val="center"/>
          </w:tcPr>
          <w:p w14:paraId="0B921308" w14:textId="77777777" w:rsidR="00845470" w:rsidRPr="002115B1" w:rsidRDefault="002115B1" w:rsidP="005E3E41">
            <w:pPr>
              <w:pStyle w:val="Body"/>
              <w:spacing w:before="40" w:after="40" w:line="240" w:lineRule="auto"/>
            </w:pPr>
            <w:r>
              <w:t>Relative gas saturation</w:t>
            </w:r>
          </w:p>
        </w:tc>
        <w:tc>
          <w:tcPr>
            <w:tcW w:w="1527" w:type="pct"/>
            <w:vAlign w:val="center"/>
          </w:tcPr>
          <w:p w14:paraId="7DF0D2C6" w14:textId="77777777" w:rsidR="00845470" w:rsidRDefault="00D322E8" w:rsidP="00845470">
            <w:pPr>
              <w:pStyle w:val="Body"/>
              <w:spacing w:before="40" w:after="40" w:line="240" w:lineRule="auto"/>
            </w:pPr>
            <m:oMathPara>
              <m:oMath>
                <m:acc>
                  <m:accPr>
                    <m:ctrlPr>
                      <w:rPr>
                        <w:rFonts w:ascii="Cambria Math" w:hAnsi="Cambria Math"/>
                        <w:i/>
                      </w:rPr>
                    </m:ctrlPr>
                  </m:accPr>
                  <m:e>
                    <m:r>
                      <w:rPr>
                        <w:rFonts w:ascii="Cambria Math" w:hAnsi="Cambria Math"/>
                      </w:rPr>
                      <m:t>S</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lr</m:t>
                        </m:r>
                      </m:sub>
                    </m:sSub>
                  </m:e>
                </m:d>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S</m:t>
                        </m:r>
                      </m:e>
                      <m:sub>
                        <m:r>
                          <w:rPr>
                            <w:rFonts w:ascii="Cambria Math" w:hAnsi="Cambria Math"/>
                          </w:rPr>
                          <m:t>lr</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gr</m:t>
                        </m:r>
                      </m:sub>
                    </m:sSub>
                  </m:e>
                </m:d>
              </m:oMath>
            </m:oMathPara>
          </w:p>
        </w:tc>
        <w:tc>
          <w:tcPr>
            <w:tcW w:w="2268" w:type="pct"/>
            <w:vMerge/>
            <w:vAlign w:val="center"/>
          </w:tcPr>
          <w:p w14:paraId="1AD2F0F7" w14:textId="77777777" w:rsidR="00845470" w:rsidRDefault="00845470" w:rsidP="005E3E41">
            <w:pPr>
              <w:pStyle w:val="Body"/>
              <w:spacing w:before="40" w:after="40" w:line="240" w:lineRule="auto"/>
            </w:pPr>
          </w:p>
        </w:tc>
      </w:tr>
    </w:tbl>
    <w:p w14:paraId="39981CDB" w14:textId="77777777" w:rsidR="00D56E82" w:rsidRDefault="00D56E82" w:rsidP="007D2F87">
      <w:pPr>
        <w:pStyle w:val="Body"/>
      </w:pPr>
    </w:p>
    <w:p w14:paraId="1B97D00F" w14:textId="5FE92D1D" w:rsidR="00BF79AA" w:rsidRDefault="009A2E95" w:rsidP="007D2F87">
      <w:pPr>
        <w:pStyle w:val="Body"/>
      </w:pPr>
      <w:r w:rsidRPr="009A2E95">
        <w:t xml:space="preserve">The water production </w:t>
      </w:r>
      <w:r w:rsidR="007D2F87">
        <w:t>curves</w:t>
      </w:r>
      <w:r w:rsidRPr="009A2E95">
        <w:t xml:space="preserve"> </w:t>
      </w:r>
      <w:r w:rsidR="000F2862">
        <w:t xml:space="preserve">in a CSG reservoir </w:t>
      </w:r>
      <w:r w:rsidRPr="009A2E95">
        <w:t xml:space="preserve">look similar to </w:t>
      </w:r>
      <w:r w:rsidR="007D2F87">
        <w:t>the</w:t>
      </w:r>
      <w:r w:rsidRPr="009A2E95">
        <w:t xml:space="preserve"> production </w:t>
      </w:r>
      <w:r w:rsidR="007D2F87">
        <w:t>curves</w:t>
      </w:r>
      <w:r w:rsidRPr="009A2E95">
        <w:t xml:space="preserve"> for a conventional </w:t>
      </w:r>
      <w:r w:rsidR="003A7D20">
        <w:t>productive aquifer</w:t>
      </w:r>
      <w:r w:rsidRPr="009A2E95">
        <w:t xml:space="preserve">. Maximum water production rates are achieved initially but decline thereafter through a combination of reservoir pressure </w:t>
      </w:r>
      <w:r w:rsidR="00E2704E" w:rsidRPr="009A2E95">
        <w:t>de</w:t>
      </w:r>
      <w:r w:rsidR="00E2704E">
        <w:t xml:space="preserve">crease </w:t>
      </w:r>
      <w:r w:rsidRPr="009A2E95">
        <w:t>and decreasing relative permeability to water</w:t>
      </w:r>
      <w:r w:rsidR="007D2F87">
        <w:t xml:space="preserve"> as the degree of </w:t>
      </w:r>
      <w:r w:rsidR="000F2862">
        <w:t>gas desorption</w:t>
      </w:r>
      <w:r w:rsidR="007D2F87">
        <w:t xml:space="preserve"> increases (</w:t>
      </w:r>
      <w:r w:rsidR="00084CDD">
        <w:fldChar w:fldCharType="begin"/>
      </w:r>
      <w:r w:rsidR="0013712E">
        <w:instrText xml:space="preserve"> REF _Ref422079042 \h </w:instrText>
      </w:r>
      <w:r w:rsidR="00084CDD">
        <w:fldChar w:fldCharType="separate"/>
      </w:r>
      <w:r w:rsidR="00C52E30" w:rsidRPr="007A455F">
        <w:t xml:space="preserve">Figure </w:t>
      </w:r>
      <w:r w:rsidR="00C52E30">
        <w:rPr>
          <w:noProof/>
        </w:rPr>
        <w:t>18</w:t>
      </w:r>
      <w:r w:rsidR="00084CDD">
        <w:fldChar w:fldCharType="end"/>
      </w:r>
      <w:r w:rsidR="007D2F87">
        <w:t>)</w:t>
      </w:r>
      <w:r w:rsidRPr="009A2E95">
        <w:t>.</w:t>
      </w:r>
    </w:p>
    <w:p w14:paraId="2A158267" w14:textId="77777777" w:rsidR="00BF79AA" w:rsidRDefault="00BF79AA" w:rsidP="00643C03">
      <w:pPr>
        <w:pStyle w:val="Body"/>
        <w:jc w:val="center"/>
      </w:pPr>
    </w:p>
    <w:p w14:paraId="163870AD" w14:textId="77777777" w:rsidR="007C3F12" w:rsidRDefault="009A78B7" w:rsidP="00643C03">
      <w:pPr>
        <w:pStyle w:val="Body"/>
        <w:jc w:val="center"/>
      </w:pPr>
      <w:r>
        <w:rPr>
          <w:noProof/>
          <w:lang w:val="en-AU" w:eastAsia="en-AU"/>
        </w:rPr>
        <w:drawing>
          <wp:inline distT="0" distB="0" distL="0" distR="0" wp14:anchorId="64BB0A4E" wp14:editId="61AFFB09">
            <wp:extent cx="4818184" cy="2402972"/>
            <wp:effectExtent l="0" t="0" r="1905" b="0"/>
            <wp:docPr id="26" name="Picture 6" descr="\\FSSA2-ADL\PI-Home1\tho622\tur25d\OWS_FAM\References\Models_review\Water_vs_gas_production_figure\Water_vs_gas_production_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SA2-ADL\PI-Home1\tho622\tur25d\OWS_FAM\References\Models_review\Water_vs_gas_production_figure\Water_vs_gas_production_figure.png"/>
                    <pic:cNvPicPr>
                      <a:picLocks noChangeAspect="1" noChangeArrowheads="1"/>
                    </pic:cNvPicPr>
                  </pic:nvPicPr>
                  <pic:blipFill>
                    <a:blip r:embed="rId59"/>
                    <a:srcRect/>
                    <a:stretch>
                      <a:fillRect/>
                    </a:stretch>
                  </pic:blipFill>
                  <pic:spPr bwMode="auto">
                    <a:xfrm>
                      <a:off x="0" y="0"/>
                      <a:ext cx="4825194" cy="2406468"/>
                    </a:xfrm>
                    <a:prstGeom prst="rect">
                      <a:avLst/>
                    </a:prstGeom>
                    <a:noFill/>
                    <a:ln w="9525">
                      <a:noFill/>
                      <a:miter lim="800000"/>
                      <a:headEnd/>
                      <a:tailEnd/>
                    </a:ln>
                  </pic:spPr>
                </pic:pic>
              </a:graphicData>
            </a:graphic>
          </wp:inline>
        </w:drawing>
      </w:r>
    </w:p>
    <w:p w14:paraId="0E476CB9" w14:textId="77777777" w:rsidR="00BF79AA" w:rsidRDefault="007512E8" w:rsidP="007512E8">
      <w:pPr>
        <w:pStyle w:val="Imagecaption"/>
      </w:pPr>
      <w:bookmarkStart w:id="79" w:name="_Ref422079042"/>
      <w:bookmarkStart w:id="80" w:name="_Toc422323038"/>
      <w:bookmarkStart w:id="81" w:name="_Toc449696308"/>
      <w:r w:rsidRPr="007A455F">
        <w:t xml:space="preserve">Figure </w:t>
      </w:r>
      <w:r w:rsidR="00084CDD" w:rsidRPr="007A455F">
        <w:fldChar w:fldCharType="begin"/>
      </w:r>
      <w:r w:rsidRPr="007A455F">
        <w:instrText xml:space="preserve"> SEQ Figure \* ARABIC </w:instrText>
      </w:r>
      <w:r w:rsidR="00084CDD" w:rsidRPr="007A455F">
        <w:fldChar w:fldCharType="separate"/>
      </w:r>
      <w:r w:rsidR="00C52E30">
        <w:rPr>
          <w:noProof/>
        </w:rPr>
        <w:t>18</w:t>
      </w:r>
      <w:r w:rsidR="00084CDD" w:rsidRPr="007A455F">
        <w:fldChar w:fldCharType="end"/>
      </w:r>
      <w:bookmarkEnd w:id="79"/>
      <w:r w:rsidRPr="007A455F">
        <w:t xml:space="preserve">. </w:t>
      </w:r>
      <w:r w:rsidR="007A455F" w:rsidRPr="007A455F">
        <w:t xml:space="preserve">Example of a coal seam gas </w:t>
      </w:r>
      <w:r w:rsidR="00BF79AA" w:rsidRPr="007A455F">
        <w:t>production profile</w:t>
      </w:r>
      <w:r w:rsidR="007A455F">
        <w:t xml:space="preserve">, showing gas (red) and water </w:t>
      </w:r>
      <w:r w:rsidR="00EA4627">
        <w:t>(blue)</w:t>
      </w:r>
      <w:r w:rsidR="00EA4627" w:rsidRPr="007A455F">
        <w:t xml:space="preserve"> </w:t>
      </w:r>
      <w:r w:rsidR="007A455F">
        <w:t xml:space="preserve">production </w:t>
      </w:r>
      <w:r w:rsidR="00EA4627">
        <w:t xml:space="preserve">and highlighting four production phases: (1) constant water flow with negligible gas flow; (2) decreasing water flow with increasing gas flow, where water flow is dominant; (3) decreasing water flow with increasing gas flow, where gas flow is dominant; and (4) decreasing water flow with decreasing gas flow </w:t>
      </w:r>
      <w:r w:rsidR="00084CDD" w:rsidRPr="007A455F">
        <w:fldChar w:fldCharType="begin"/>
      </w:r>
      <w:r w:rsidR="00EA4627" w:rsidRPr="007A455F">
        <w:instrText xml:space="preserve"> ADDIN EN.CITE &lt;EndNote&gt;&lt;Cite&gt;&lt;Author&gt;Morad&lt;/Author&gt;&lt;Year&gt;2008&lt;/Year&gt;&lt;IDText&gt;Reservoir Engineering for Geologists: Coalbed Methane Fundamentals&lt;/IDText&gt;&lt;DisplayText&gt;(Morad et al., 2008)&lt;/DisplayText&gt;&lt;record&gt;&lt;titles&gt;&lt;title&gt;Reservoir Engineering for Geologists: Coalbed Methane Fundamentals&lt;/title&gt;&lt;/titles&gt;&lt;pages&gt;23-26&lt;/pages&gt;&lt;number&gt;9&lt;/number&gt;&lt;contributors&gt;&lt;authors&gt;&lt;author&gt;Morad, K&lt;/author&gt;&lt;author&gt;Mireault, R&lt;/author&gt;&lt;author&gt;Dean, L&lt;/author&gt;&lt;/authors&gt;&lt;/contributors&gt;&lt;added-date format="utc"&gt;1434345410&lt;/added-date&gt;&lt;ref-type name="Generic"&gt;13&lt;/ref-type&gt;&lt;dates&gt;&lt;year&gt;2008&lt;/year&gt;&lt;/dates&gt;&lt;rec-number&gt;1195&lt;/rec-number&gt;&lt;last-updated-date format="utc"&gt;1434345458&lt;/last-updated-date&gt;&lt;volume&gt;Reservoir Issues&lt;/volume&gt;&lt;/record&gt;&lt;/Cite&gt;&lt;/EndNote&gt;</w:instrText>
      </w:r>
      <w:r w:rsidR="00084CDD" w:rsidRPr="007A455F">
        <w:fldChar w:fldCharType="separate"/>
      </w:r>
      <w:r w:rsidR="00EA4627" w:rsidRPr="007A455F">
        <w:rPr>
          <w:noProof/>
        </w:rPr>
        <w:t>(</w:t>
      </w:r>
      <w:r w:rsidR="00EA4627">
        <w:rPr>
          <w:noProof/>
        </w:rPr>
        <w:t xml:space="preserve">after </w:t>
      </w:r>
      <w:r w:rsidR="00EA4627" w:rsidRPr="007A455F">
        <w:rPr>
          <w:noProof/>
        </w:rPr>
        <w:t>Morad et al., 2008)</w:t>
      </w:r>
      <w:r w:rsidR="00084CDD" w:rsidRPr="007A455F">
        <w:fldChar w:fldCharType="end"/>
      </w:r>
      <w:r w:rsidR="00EA4627">
        <w:t>.</w:t>
      </w:r>
      <w:bookmarkEnd w:id="80"/>
      <w:bookmarkEnd w:id="81"/>
      <w:r w:rsidR="004376E3">
        <w:t xml:space="preserve"> </w:t>
      </w:r>
    </w:p>
    <w:p w14:paraId="6522C0CF" w14:textId="77777777" w:rsidR="000138CD" w:rsidRDefault="000138CD" w:rsidP="00685426">
      <w:pPr>
        <w:pStyle w:val="Body"/>
      </w:pPr>
    </w:p>
    <w:p w14:paraId="2EBC9325" w14:textId="79C47986" w:rsidR="00D81329" w:rsidRDefault="00685426" w:rsidP="00D81329">
      <w:pPr>
        <w:pStyle w:val="Body"/>
      </w:pPr>
      <w:r>
        <w:t xml:space="preserve">From the discussion </w:t>
      </w:r>
      <w:r w:rsidR="000138CD">
        <w:t xml:space="preserve">above </w:t>
      </w:r>
      <w:r>
        <w:t>it is clear that</w:t>
      </w:r>
      <w:r w:rsidR="000138CD">
        <w:t xml:space="preserve"> many factors confound</w:t>
      </w:r>
      <w:r w:rsidRPr="00D332B5">
        <w:t xml:space="preserve"> the </w:t>
      </w:r>
      <w:r w:rsidR="000138CD">
        <w:t xml:space="preserve">characterisation of </w:t>
      </w:r>
      <w:r w:rsidRPr="00D332B5">
        <w:t>relative permeability curve</w:t>
      </w:r>
      <w:r w:rsidR="000138CD">
        <w:t>s</w:t>
      </w:r>
      <w:r w:rsidRPr="00D332B5">
        <w:t xml:space="preserve"> and </w:t>
      </w:r>
      <w:r w:rsidR="000138CD">
        <w:t xml:space="preserve">their </w:t>
      </w:r>
      <w:r w:rsidRPr="00D332B5">
        <w:t>use in simulation</w:t>
      </w:r>
      <w:r w:rsidR="000138CD">
        <w:t>s</w:t>
      </w:r>
      <w:r w:rsidRPr="00D332B5">
        <w:t xml:space="preserve"> of </w:t>
      </w:r>
      <w:r w:rsidR="000138CD" w:rsidRPr="00D332B5">
        <w:t xml:space="preserve">regional </w:t>
      </w:r>
      <w:r w:rsidR="000138CD">
        <w:t xml:space="preserve">scale </w:t>
      </w:r>
      <w:r w:rsidRPr="00D332B5">
        <w:t>CSG impacts.</w:t>
      </w:r>
      <w:r>
        <w:t xml:space="preserve"> </w:t>
      </w:r>
      <w:r w:rsidR="005C7932">
        <w:t xml:space="preserve">Relative permeability relationships are </w:t>
      </w:r>
      <w:r w:rsidR="00AB64BD">
        <w:t xml:space="preserve">not only </w:t>
      </w:r>
      <w:r w:rsidR="005C7932">
        <w:t xml:space="preserve">inherently strongly nonlinear, </w:t>
      </w:r>
      <w:r w:rsidR="00AB64BD">
        <w:t>they are also impacted by</w:t>
      </w:r>
      <w:r w:rsidR="005C7932">
        <w:t xml:space="preserve"> wetting considerations, hysteretic effects, and the heterogeneity of porous media. </w:t>
      </w:r>
      <w:r w:rsidR="000138CD">
        <w:t>R</w:t>
      </w:r>
      <w:r>
        <w:t>elative permeability curve</w:t>
      </w:r>
      <w:r w:rsidR="000138CD">
        <w:t>s</w:t>
      </w:r>
      <w:r>
        <w:t xml:space="preserve"> can be considered </w:t>
      </w:r>
      <w:r w:rsidR="000138CD">
        <w:t xml:space="preserve">as </w:t>
      </w:r>
      <w:r>
        <w:t>spatially and temporally distributed relationship</w:t>
      </w:r>
      <w:r w:rsidR="000138CD">
        <w:t>s</w:t>
      </w:r>
      <w:r>
        <w:t>.  This has important implications and challenges for deriving upscaled hydraulic properties that take account of dual phase processes</w:t>
      </w:r>
      <w:r w:rsidR="006A169C">
        <w:t xml:space="preserve"> for assessing CSG impacts</w:t>
      </w:r>
      <w:r w:rsidR="00F9406D">
        <w:t xml:space="preserve">.  Despite this importance, examples in the literature on upscaling dual phase processes and hydraulic properties in the CSG context are scarce </w:t>
      </w:r>
      <w:r w:rsidR="00860386">
        <w:t>but include</w:t>
      </w:r>
      <w:r w:rsidR="006A169C">
        <w:t xml:space="preserve"> Moore et al</w:t>
      </w:r>
      <w:r w:rsidR="000138CD">
        <w:t>.</w:t>
      </w:r>
      <w:r w:rsidR="006A169C">
        <w:t xml:space="preserve"> (201</w:t>
      </w:r>
      <w:r w:rsidR="004B1BB4">
        <w:t>3; 2014</w:t>
      </w:r>
      <w:r w:rsidR="0068287F">
        <w:t>a</w:t>
      </w:r>
      <w:r w:rsidR="000138CD">
        <w:t>)</w:t>
      </w:r>
      <w:r w:rsidR="006A169C">
        <w:t xml:space="preserve"> and Her</w:t>
      </w:r>
      <w:r w:rsidR="000138CD">
        <w:t>c</w:t>
      </w:r>
      <w:r w:rsidR="006A169C">
        <w:t>kenrath et al</w:t>
      </w:r>
      <w:r w:rsidR="000138CD">
        <w:t>. (</w:t>
      </w:r>
      <w:r w:rsidR="006A169C">
        <w:t>2015)</w:t>
      </w:r>
      <w:r w:rsidR="000138CD">
        <w:t>.</w:t>
      </w:r>
      <w:r w:rsidR="006A169C">
        <w:t xml:space="preserve"> </w:t>
      </w:r>
      <w:r w:rsidR="002E4FB7" w:rsidRPr="00A14835">
        <w:t xml:space="preserve">Moore </w:t>
      </w:r>
      <w:r w:rsidR="00810442" w:rsidRPr="00A14835">
        <w:t xml:space="preserve">et al. </w:t>
      </w:r>
      <w:r w:rsidR="00084CDD" w:rsidRPr="00A14835">
        <w:fldChar w:fldCharType="begin"/>
      </w:r>
      <w:r w:rsidR="002E4FB7" w:rsidRPr="00A14835">
        <w:instrText xml:space="preserve"> ADDIN EN.CITE &lt;EndNote&gt;&lt;Cite ExcludeAuth="1"&gt;&lt;Author&gt;Moore&lt;/Author&gt;&lt;Year&gt;2014&lt;/Year&gt;&lt;IDText&gt;Some Challenges Posed by Coal Bed Methane Regional Assessment Modeling&lt;/IDText&gt;&lt;DisplayText&gt;(2014)&lt;/DisplayText&gt;&lt;record&gt;&lt;titles&gt;&lt;title&gt;Some Challenges Posed by Coal Bed Methane Regional Assessment Modeling&lt;/title&gt;&lt;secondary-title&gt;Groundwater&lt;/secondary-title&gt;&lt;/titles&gt;&lt;pages&gt;11&lt;/pages&gt;&lt;contributors&gt;&lt;authors&gt;&lt;author&gt;Moore, CR&lt;/author&gt;&lt;author&gt;Doherty, J&lt;/author&gt;&lt;author&gt;Howell, S&lt;/author&gt;&lt;author&gt;Erriah, L&lt;/author&gt;&lt;/authors&gt;&lt;/contributors&gt;&lt;edition&gt;3 November 2014&lt;/edition&gt;&lt;added-date format="utc"&gt;1434505831&lt;/added-date&gt;&lt;ref-type name="Journal Article"&gt;17&lt;/ref-type&gt;&lt;dates&gt;&lt;year&gt;2014&lt;/year&gt;&lt;/dates&gt;&lt;rec-number&gt;1199&lt;/rec-number&gt;&lt;last-updated-date format="utc"&gt;1434505946&lt;/last-updated-date&gt;&lt;electronic-resource-num&gt;10.1111/gwat.12276&lt;/electronic-resource-num&gt;&lt;/record&gt;&lt;/Cite&gt;&lt;/EndNote&gt;</w:instrText>
      </w:r>
      <w:r w:rsidR="00084CDD" w:rsidRPr="00A14835">
        <w:fldChar w:fldCharType="separate"/>
      </w:r>
      <w:r w:rsidR="002E4FB7" w:rsidRPr="00A14835">
        <w:rPr>
          <w:noProof/>
        </w:rPr>
        <w:t>(2014</w:t>
      </w:r>
      <w:r w:rsidR="0068287F">
        <w:rPr>
          <w:noProof/>
        </w:rPr>
        <w:t>a</w:t>
      </w:r>
      <w:r w:rsidR="002E4FB7" w:rsidRPr="00A14835">
        <w:rPr>
          <w:noProof/>
        </w:rPr>
        <w:t>)</w:t>
      </w:r>
      <w:r w:rsidR="00084CDD" w:rsidRPr="00A14835">
        <w:fldChar w:fldCharType="end"/>
      </w:r>
      <w:r w:rsidR="002E4FB7" w:rsidRPr="00A14835">
        <w:t xml:space="preserve"> compared </w:t>
      </w:r>
      <w:r w:rsidR="00A14835">
        <w:t>two methods of representing dual porosity effects in a single domain groundwater flow model</w:t>
      </w:r>
      <w:r>
        <w:t xml:space="preserve"> used </w:t>
      </w:r>
      <w:r w:rsidR="000138CD">
        <w:t xml:space="preserve">to assess </w:t>
      </w:r>
      <w:r>
        <w:t>regional impact</w:t>
      </w:r>
      <w:r w:rsidR="000138CD">
        <w:t>s</w:t>
      </w:r>
      <w:r>
        <w:t xml:space="preserve"> </w:t>
      </w:r>
      <w:r w:rsidR="000138CD">
        <w:t>of</w:t>
      </w:r>
      <w:r>
        <w:t xml:space="preserve"> CSG developments</w:t>
      </w:r>
      <w:r w:rsidR="00A14835">
        <w:t xml:space="preserve">. A dual domain model was first </w:t>
      </w:r>
      <w:r w:rsidR="00A56297">
        <w:t xml:space="preserve">implemented in the ECLIPSE simulator </w:t>
      </w:r>
      <w:r w:rsidR="00A14835">
        <w:t>to explicitly represent coal and interburden facies of a coal measure</w:t>
      </w:r>
      <w:r w:rsidR="00D81329">
        <w:t>, which then served as a yardstick for comparison with an upscaled single domain approach</w:t>
      </w:r>
      <w:r w:rsidR="00A14835">
        <w:t xml:space="preserve">. </w:t>
      </w:r>
      <w:r w:rsidR="00A56297">
        <w:t xml:space="preserve">Next, </w:t>
      </w:r>
      <w:r w:rsidR="00D81329">
        <w:t xml:space="preserve">the effects of </w:t>
      </w:r>
      <w:r w:rsidR="00A56297">
        <w:t xml:space="preserve">two different coal measure upscaling methods </w:t>
      </w:r>
      <w:r w:rsidR="00D81329">
        <w:t>on relative permeability fun</w:t>
      </w:r>
      <w:r w:rsidR="00B73D23">
        <w:t>c</w:t>
      </w:r>
      <w:r w:rsidR="00D81329">
        <w:t xml:space="preserve">tions </w:t>
      </w:r>
      <w:r w:rsidR="00A56297">
        <w:t>were investigated</w:t>
      </w:r>
      <w:r w:rsidR="00D81329">
        <w:t>.</w:t>
      </w:r>
      <w:r w:rsidR="00A56297">
        <w:t xml:space="preserve"> </w:t>
      </w:r>
      <w:r w:rsidR="00A14835">
        <w:t xml:space="preserve">The first method of simplification involved </w:t>
      </w:r>
      <w:r w:rsidR="00176D31">
        <w:t>amalgamation of the coal and interburden facies</w:t>
      </w:r>
      <w:r w:rsidR="00D81329">
        <w:t>, followed by property upscaling involving vertical averaging over both coal and interburden cells</w:t>
      </w:r>
      <w:r w:rsidR="00176D31">
        <w:t xml:space="preserve">. </w:t>
      </w:r>
      <w:r w:rsidR="00A14835">
        <w:t xml:space="preserve">A second method involved </w:t>
      </w:r>
      <w:r w:rsidR="0097185E">
        <w:t xml:space="preserve">separating coal from interburden while preserving total coal and interburden thickness within any vertical grid column, yielding a small number of coal-only layers separated by correspondingly segregated interburden material. Upscaled properties were then calculated using a lithology specific vertically averaging process. </w:t>
      </w:r>
      <w:r w:rsidR="00176D31">
        <w:t xml:space="preserve">While the former method was found to be completely unsuitable, the latter method was able to adequately reproduce the </w:t>
      </w:r>
      <w:r w:rsidR="0097185E">
        <w:t xml:space="preserve">true </w:t>
      </w:r>
      <w:r w:rsidR="00176D31">
        <w:t xml:space="preserve">nonlinear relative permeability versus saturation relationship. </w:t>
      </w:r>
    </w:p>
    <w:p w14:paraId="014BA99B" w14:textId="406A7EA2" w:rsidR="007D2F87" w:rsidRDefault="007D2F87" w:rsidP="00D81329">
      <w:pPr>
        <w:pStyle w:val="Body"/>
      </w:pPr>
      <w:r w:rsidRPr="008C753A">
        <w:rPr>
          <w:color w:val="auto"/>
        </w:rPr>
        <w:t xml:space="preserve">Herckenrath </w:t>
      </w:r>
      <w:r w:rsidR="00810442">
        <w:rPr>
          <w:color w:val="auto"/>
        </w:rPr>
        <w:t xml:space="preserve">et al. </w:t>
      </w:r>
      <w:r w:rsidR="00084CDD">
        <w:rPr>
          <w:color w:val="auto"/>
        </w:rPr>
        <w:fldChar w:fldCharType="begin"/>
      </w:r>
      <w:r w:rsidR="00080F5C">
        <w:rPr>
          <w:color w:val="auto"/>
        </w:rPr>
        <w:instrText xml:space="preserve"> ADDIN EN.CITE &lt;EndNote&gt;&lt;Cite ExcludeAuth="1"&gt;&lt;Author&gt;Herckenrath&lt;/Author&gt;&lt;Year&gt;2015&lt;/Year&gt;&lt;IDText&gt;Incorporating the effect of gas in modelling the impact of CBM extraction on regional groundwater systems&lt;/IDText&gt;&lt;DisplayText&gt;(2015)&lt;/DisplayText&gt;&lt;record&gt;&lt;keywords&gt;&lt;keyword&gt;Coalbed Methane&lt;/keyword&gt;&lt;keyword&gt;Reservoir Model&lt;/keyword&gt;&lt;keyword&gt;Regional Groundwater Model&lt;/keyword&gt;&lt;keyword&gt;Multiphase Flow&lt;/keyword&gt;&lt;keyword&gt;Richards Equation&lt;/keyword&gt;&lt;/keywords&gt;&lt;isbn&gt;0022-1694&lt;/isbn&gt;&lt;titles&gt;&lt;title&gt;Incorporating the effect of gas in modelling the impact of CBM extraction on regional groundwater systems&lt;/title&gt;&lt;secondary-title&gt;Journal of Hydrology&lt;/secondary-title&gt;&lt;/titles&gt;&lt;pages&gt;587-601&lt;/pages&gt;&lt;contributors&gt;&lt;authors&gt;&lt;author&gt;Herckenrath, Daan&lt;/author&gt;&lt;author&gt;Doherty, John&lt;/author&gt;&lt;author&gt;Panday, Sorab&lt;/author&gt;&lt;/authors&gt;&lt;/contributors&gt;&lt;added-date format="utc"&gt;1433233195&lt;/added-date&gt;&lt;ref-type name="Journal Article"&gt;17&lt;/ref-type&gt;&lt;dates&gt;&lt;year&gt;2015&lt;/year&gt;&lt;/dates&gt;&lt;rec-number&gt;72&lt;/rec-number&gt;&lt;last-updated-date format="utc"&gt;1433233209&lt;/last-updated-date&gt;&lt;electronic-resource-num&gt;10.1016/j.jhydrol.2015.02.012&lt;/electronic-resource-num&gt;&lt;volume&gt;523&lt;/volume&gt;&lt;/record&gt;&lt;/Cite&gt;&lt;/EndNote&gt;</w:instrText>
      </w:r>
      <w:r w:rsidR="00084CDD">
        <w:rPr>
          <w:color w:val="auto"/>
        </w:rPr>
        <w:fldChar w:fldCharType="separate"/>
      </w:r>
      <w:r w:rsidR="00080F5C">
        <w:rPr>
          <w:noProof/>
          <w:color w:val="auto"/>
        </w:rPr>
        <w:t>(2015)</w:t>
      </w:r>
      <w:r w:rsidR="00084CDD">
        <w:rPr>
          <w:color w:val="auto"/>
        </w:rPr>
        <w:fldChar w:fldCharType="end"/>
      </w:r>
      <w:r w:rsidRPr="008C753A">
        <w:rPr>
          <w:color w:val="auto"/>
        </w:rPr>
        <w:t xml:space="preserve"> </w:t>
      </w:r>
      <w:r w:rsidRPr="008C753A">
        <w:t xml:space="preserve">demonstrated use of </w:t>
      </w:r>
      <w:r>
        <w:t xml:space="preserve">the </w:t>
      </w:r>
      <w:r w:rsidRPr="008C753A">
        <w:t>van</w:t>
      </w:r>
      <w:r>
        <w:t xml:space="preserve"> Genuchten </w:t>
      </w:r>
      <w:r w:rsidR="00084CDD">
        <w:fldChar w:fldCharType="begin"/>
      </w:r>
      <w:r w:rsidR="00C97A18">
        <w:instrText xml:space="preserve"> ADDIN EN.CITE &lt;EndNote&gt;&lt;Cite ExcludeAuth="1"&gt;&lt;Author&gt;van Genuchten&lt;/Author&gt;&lt;Year&gt;1980&lt;/Year&gt;&lt;IDText&gt;A closed-form equation for predicting the hydraulic conductivity of unsaturated soils&lt;/IDText&gt;&lt;DisplayText&gt;(1980)&lt;/DisplayText&gt;&lt;record&gt;&lt;isbn&gt;0361-5995&lt;/isbn&gt;&lt;titles&gt;&lt;title&gt;A closed-form equation for predicting the hydraulic conductivity of unsaturated soils&lt;/title&gt;&lt;secondary-title&gt;Soil science society of America journal&lt;/secondary-title&gt;&lt;/titles&gt;&lt;pages&gt;892-898&lt;/pages&gt;&lt;number&gt;5&lt;/number&gt;&lt;contributors&gt;&lt;authors&gt;&lt;author&gt;van Genuchten, M Th&lt;/author&gt;&lt;/authors&gt;&lt;/contributors&gt;&lt;added-date format="utc"&gt;1434100323&lt;/added-date&gt;&lt;ref-type name="Journal Article"&gt;17&lt;/ref-type&gt;&lt;dates&gt;&lt;year&gt;1980&lt;/year&gt;&lt;/dates&gt;&lt;rec-number&gt;291&lt;/rec-number&gt;&lt;last-updated-date format="utc"&gt;1434342453&lt;/last-updated-date&gt;&lt;volume&gt;44&lt;/volume&gt;&lt;/record&gt;&lt;/Cite&gt;&lt;/EndNote&gt;</w:instrText>
      </w:r>
      <w:r w:rsidR="00084CDD">
        <w:fldChar w:fldCharType="separate"/>
      </w:r>
      <w:r w:rsidR="00C97A18">
        <w:rPr>
          <w:noProof/>
        </w:rPr>
        <w:t>(1980)</w:t>
      </w:r>
      <w:r w:rsidR="00084CDD">
        <w:fldChar w:fldCharType="end"/>
      </w:r>
      <w:r>
        <w:t xml:space="preserve"> approximation of saturation-based permeability to simulate the hydraulic impacts of CSG extraction using a MODFLOW–USG model. Through comparisons to a multiphase reservoir simulation, the single phase model was found to simulate transient drawdown responses relatively accurately, despite errors in the approximation of saturation. </w:t>
      </w:r>
    </w:p>
    <w:p w14:paraId="4EB66212" w14:textId="77777777" w:rsidR="003A7D20" w:rsidRDefault="003A7D20" w:rsidP="003A7D20">
      <w:pPr>
        <w:pStyle w:val="Heading3"/>
      </w:pPr>
      <w:bookmarkStart w:id="82" w:name="_Toc449696591"/>
      <w:r>
        <w:t>Wettability</w:t>
      </w:r>
      <w:bookmarkEnd w:id="82"/>
    </w:p>
    <w:p w14:paraId="45DD204F" w14:textId="77777777" w:rsidR="003A7D20" w:rsidRDefault="003A7D20" w:rsidP="003A7D20">
      <w:pPr>
        <w:pStyle w:val="Body"/>
      </w:pPr>
      <w:r>
        <w:t xml:space="preserve">An important rock property to consider in multi-phase flow (here the gas/water system) is wettability. The principles of wettability will be summarised here for the relatively well known system where the rock is the water-wetting phase. Wettability properties of coal seams and multi-phase flow in coal seams are much less well known and are the subject of ongoing research within the oil and gas industry. The current summary is necessarily simplified and limited, but provides basic processes that are relevant to coal seam multi-phase flow phenomena. </w:t>
      </w:r>
    </w:p>
    <w:p w14:paraId="4F2D5ED9" w14:textId="48D4CB96" w:rsidR="003A7D20" w:rsidRDefault="003A7D20" w:rsidP="003A7D20">
      <w:pPr>
        <w:pStyle w:val="Body"/>
      </w:pPr>
      <w:r>
        <w:t>Wetting related f</w:t>
      </w:r>
      <w:r w:rsidRPr="00433053">
        <w:t>orces</w:t>
      </w:r>
      <w:r>
        <w:t xml:space="preserve"> can</w:t>
      </w:r>
      <w:r w:rsidRPr="00433053">
        <w:t xml:space="preserve"> influence </w:t>
      </w:r>
      <w:r>
        <w:t>multi-phase fluid behaviour within aquifers</w:t>
      </w:r>
      <w:r w:rsidRPr="00433053">
        <w:t xml:space="preserve"> in many ways, including </w:t>
      </w:r>
      <w:r>
        <w:t>desaturation-</w:t>
      </w:r>
      <w:r w:rsidRPr="00433053">
        <w:t>saturation</w:t>
      </w:r>
      <w:r>
        <w:t xml:space="preserve"> history and</w:t>
      </w:r>
      <w:r w:rsidRPr="00433053">
        <w:t xml:space="preserve"> </w:t>
      </w:r>
      <w:r>
        <w:t>relative permeability</w:t>
      </w:r>
      <w:r w:rsidRPr="00433053">
        <w:t>.</w:t>
      </w:r>
      <w:r>
        <w:t xml:space="preserve"> </w:t>
      </w:r>
      <w:r w:rsidRPr="00E77A70">
        <w:t>Wettability describes the preference of a solid to be in contact with one fluid rather than another.</w:t>
      </w:r>
      <w:r>
        <w:t xml:space="preserve"> </w:t>
      </w:r>
      <w:r w:rsidRPr="00E77A70">
        <w:t>A drop of a preferentially wetting fluid will displace another fluid</w:t>
      </w:r>
      <w:r>
        <w:t xml:space="preserve"> on a rock surface</w:t>
      </w:r>
      <w:r w:rsidRPr="00E77A70">
        <w:t>; at the extreme it will spread over the entire surface.</w:t>
      </w:r>
      <w:r>
        <w:t xml:space="preserve"> </w:t>
      </w:r>
      <w:r w:rsidRPr="00E77A70">
        <w:t>Conversely, if a non</w:t>
      </w:r>
      <w:r>
        <w:t>-</w:t>
      </w:r>
      <w:r w:rsidRPr="00E77A70">
        <w:t>wetting fluid is dropped onto a surface already covered by the wetting fluid it will bead up, minimizing its contact with the solid</w:t>
      </w:r>
      <w:r>
        <w:t xml:space="preserve"> (rock)</w:t>
      </w:r>
      <w:r w:rsidRPr="00E77A70">
        <w:t xml:space="preserve">. </w:t>
      </w:r>
      <w:r>
        <w:t>T</w:t>
      </w:r>
      <w:r w:rsidRPr="00E77A70">
        <w:t>he balance of</w:t>
      </w:r>
      <w:r>
        <w:t xml:space="preserve"> </w:t>
      </w:r>
      <w:r w:rsidRPr="00E77A70">
        <w:t xml:space="preserve">forces </w:t>
      </w:r>
      <w:r>
        <w:t xml:space="preserve">(surface tensions) </w:t>
      </w:r>
      <w:r w:rsidRPr="00E77A70">
        <w:t xml:space="preserve">in the </w:t>
      </w:r>
      <w:r>
        <w:t>hydrocarbon</w:t>
      </w:r>
      <w:r w:rsidRPr="00E77A70">
        <w:t>/water/</w:t>
      </w:r>
      <w:r>
        <w:t>rock</w:t>
      </w:r>
      <w:r w:rsidRPr="00E77A70">
        <w:t xml:space="preserve"> system will result in a contact angle, </w:t>
      </w:r>
      <w:r w:rsidRPr="0003720B">
        <w:rPr>
          <w:i/>
        </w:rPr>
        <w:t>ϴ</w:t>
      </w:r>
      <w:r w:rsidRPr="00E77A70">
        <w:t>, between the fluids at the solid surface</w:t>
      </w:r>
      <w:r>
        <w:t xml:space="preserve"> (</w:t>
      </w:r>
      <w:r w:rsidR="005F34EF">
        <w:fldChar w:fldCharType="begin"/>
      </w:r>
      <w:r w:rsidR="005F34EF">
        <w:instrText xml:space="preserve"> REF _Ref445890039 \h </w:instrText>
      </w:r>
      <w:r w:rsidR="005F34EF">
        <w:fldChar w:fldCharType="separate"/>
      </w:r>
      <w:r w:rsidR="00C52E30">
        <w:t xml:space="preserve">Figure </w:t>
      </w:r>
      <w:r w:rsidR="00C52E30">
        <w:rPr>
          <w:noProof/>
        </w:rPr>
        <w:t>19</w:t>
      </w:r>
      <w:r w:rsidR="005F34EF">
        <w:fldChar w:fldCharType="end"/>
      </w:r>
      <w:r>
        <w:t>)</w:t>
      </w:r>
      <w:r w:rsidRPr="00E77A70">
        <w:t>.</w:t>
      </w:r>
      <w:r>
        <w:t xml:space="preserve"> The contact angle </w:t>
      </w:r>
      <w:r w:rsidRPr="0003720B">
        <w:rPr>
          <w:i/>
        </w:rPr>
        <w:t>ϴ</w:t>
      </w:r>
      <w:r>
        <w:t xml:space="preserve"> is defined by the interfacial (boundary) tensions at the surface between different phases. When two or more fluids are present, there are at least three sets of forces acting on the fluids. The interfacial tensions used in </w:t>
      </w:r>
      <w:r w:rsidR="005F34EF">
        <w:fldChar w:fldCharType="begin"/>
      </w:r>
      <w:r w:rsidR="005F34EF">
        <w:instrText xml:space="preserve"> REF _Ref445890039 \h </w:instrText>
      </w:r>
      <w:r w:rsidR="005F34EF">
        <w:fldChar w:fldCharType="separate"/>
      </w:r>
      <w:r w:rsidR="00C52E30">
        <w:t xml:space="preserve">Figure </w:t>
      </w:r>
      <w:r w:rsidR="00C52E30">
        <w:rPr>
          <w:noProof/>
        </w:rPr>
        <w:t>19</w:t>
      </w:r>
      <w:r w:rsidR="005F34EF">
        <w:fldChar w:fldCharType="end"/>
      </w:r>
      <w:r w:rsidR="007A72F2">
        <w:t>a</w:t>
      </w:r>
      <w:r w:rsidR="005F34EF">
        <w:t xml:space="preserve"> </w:t>
      </w:r>
      <w:r>
        <w:t xml:space="preserve">are defined as: </w:t>
      </w:r>
      <w:r w:rsidRPr="007A016A">
        <w:rPr>
          <w:i/>
        </w:rPr>
        <w:t>γ</w:t>
      </w:r>
      <w:r w:rsidRPr="007A016A">
        <w:rPr>
          <w:vertAlign w:val="subscript"/>
        </w:rPr>
        <w:t>so</w:t>
      </w:r>
      <w:r w:rsidRPr="007A016A">
        <w:t xml:space="preserve"> is the interfacial </w:t>
      </w:r>
      <w:r>
        <w:t>tension</w:t>
      </w:r>
      <w:r w:rsidRPr="007A016A">
        <w:t xml:space="preserve"> between </w:t>
      </w:r>
      <w:r w:rsidR="005F34EF">
        <w:t>rock surface</w:t>
      </w:r>
      <w:r w:rsidRPr="007A016A">
        <w:t xml:space="preserve"> and oil, </w:t>
      </w:r>
      <w:r w:rsidRPr="007A016A">
        <w:rPr>
          <w:i/>
        </w:rPr>
        <w:t>γ</w:t>
      </w:r>
      <w:r w:rsidRPr="007A016A">
        <w:rPr>
          <w:vertAlign w:val="subscript"/>
        </w:rPr>
        <w:t>sw</w:t>
      </w:r>
      <w:r w:rsidRPr="00AF0834">
        <w:t xml:space="preserve"> </w:t>
      </w:r>
      <w:r>
        <w:t xml:space="preserve">is the interfacial tension between the rock </w:t>
      </w:r>
      <w:r w:rsidRPr="00AF0834">
        <w:t>surface</w:t>
      </w:r>
      <w:r>
        <w:t xml:space="preserve"> and </w:t>
      </w:r>
      <w:r w:rsidRPr="00AF0834">
        <w:t xml:space="preserve">water, and </w:t>
      </w:r>
      <w:r w:rsidRPr="00DE7BEC">
        <w:rPr>
          <w:i/>
        </w:rPr>
        <w:t>γ</w:t>
      </w:r>
      <w:r w:rsidRPr="00DE7BEC">
        <w:rPr>
          <w:vertAlign w:val="subscript"/>
        </w:rPr>
        <w:t>ow</w:t>
      </w:r>
      <w:r w:rsidRPr="00AF0834">
        <w:t xml:space="preserve"> </w:t>
      </w:r>
      <w:r>
        <w:t xml:space="preserve">is the interfacial tension between oil and </w:t>
      </w:r>
      <w:r w:rsidRPr="00AF0834">
        <w:t>water</w:t>
      </w:r>
      <w:r>
        <w:t>. The interfacial tensions are related through Young’s equation:</w:t>
      </w:r>
    </w:p>
    <w:p w14:paraId="1A9C971B" w14:textId="169822D7" w:rsidR="003A7D20" w:rsidRDefault="00814090" w:rsidP="00814090">
      <w:pPr>
        <w:pStyle w:val="Body"/>
        <w:tabs>
          <w:tab w:val="center" w:pos="4253"/>
          <w:tab w:val="right" w:pos="8789"/>
        </w:tabs>
      </w:pPr>
      <w:r>
        <w:tab/>
      </w:r>
      <m:oMath>
        <m:sSub>
          <m:sSubPr>
            <m:ctrlPr>
              <w:rPr>
                <w:rFonts w:ascii="Cambria Math" w:hAnsi="Cambria Math"/>
                <w:i/>
              </w:rPr>
            </m:ctrlPr>
          </m:sSubPr>
          <m:e>
            <m:r>
              <w:rPr>
                <w:rFonts w:ascii="Cambria Math" w:hAnsi="Cambria Math"/>
              </w:rPr>
              <m:t>γ</m:t>
            </m:r>
          </m:e>
          <m:sub>
            <m:r>
              <w:rPr>
                <w:rFonts w:ascii="Cambria Math" w:hAnsi="Cambria Math"/>
              </w:rPr>
              <m:t>SO</m:t>
            </m:r>
          </m:sub>
        </m:sSub>
        <m:r>
          <w:rPr>
            <w:rFonts w:ascii="Cambria Math" w:hAnsi="Cambria Math"/>
          </w:rPr>
          <m:t xml:space="preserve">- </m:t>
        </m:r>
        <m:sSub>
          <m:sSubPr>
            <m:ctrlPr>
              <w:rPr>
                <w:rFonts w:ascii="Cambria Math" w:hAnsi="Cambria Math"/>
                <w:i/>
              </w:rPr>
            </m:ctrlPr>
          </m:sSubPr>
          <m:e>
            <m:r>
              <w:rPr>
                <w:rFonts w:ascii="Cambria Math" w:hAnsi="Cambria Math"/>
              </w:rPr>
              <m:t>γ</m:t>
            </m:r>
          </m:e>
          <m:sub>
            <m:r>
              <w:rPr>
                <w:rFonts w:ascii="Cambria Math" w:hAnsi="Cambria Math"/>
              </w:rPr>
              <m:t>SW</m:t>
            </m:r>
          </m:sub>
        </m:sSub>
        <m:r>
          <w:rPr>
            <w:rFonts w:ascii="Cambria Math" w:hAnsi="Cambria Math"/>
          </w:rPr>
          <m:t>=</m:t>
        </m:r>
        <m:sSub>
          <m:sSubPr>
            <m:ctrlPr>
              <w:rPr>
                <w:rFonts w:ascii="Cambria Math" w:hAnsi="Cambria Math"/>
                <w:i/>
              </w:rPr>
            </m:ctrlPr>
          </m:sSubPr>
          <m:e>
            <m:r>
              <w:rPr>
                <w:rFonts w:ascii="Cambria Math" w:hAnsi="Cambria Math"/>
              </w:rPr>
              <m:t>γ</m:t>
            </m:r>
          </m:e>
          <m:sub>
            <m:r>
              <w:rPr>
                <w:rFonts w:ascii="Cambria Math" w:hAnsi="Cambria Math"/>
              </w:rPr>
              <m:t>WO</m:t>
            </m:r>
          </m:sub>
        </m:sSub>
        <m:r>
          <w:rPr>
            <w:rFonts w:ascii="Cambria Math" w:hAnsi="Cambria Math"/>
          </w:rPr>
          <m:t>cosθ</m:t>
        </m:r>
      </m:oMath>
      <w:r>
        <w:tab/>
      </w:r>
      <w:r>
        <w:rPr>
          <w:color w:val="auto"/>
        </w:rPr>
        <w:t>(</w:t>
      </w:r>
      <w:r w:rsidR="005A7C64">
        <w:rPr>
          <w:color w:val="auto"/>
        </w:rPr>
        <w:t>3</w:t>
      </w:r>
      <w:r>
        <w:rPr>
          <w:color w:val="auto"/>
        </w:rPr>
        <w:t>)</w:t>
      </w:r>
    </w:p>
    <w:p w14:paraId="045DAC59" w14:textId="260FDAF8" w:rsidR="003A7D20" w:rsidRDefault="003A7D20" w:rsidP="003A7D20">
      <w:pPr>
        <w:pStyle w:val="Body"/>
      </w:pPr>
      <w:r>
        <w:t xml:space="preserve">Note that (i) the contact angle </w:t>
      </w:r>
      <w:r w:rsidR="007A72F2" w:rsidRPr="0003720B">
        <w:rPr>
          <w:i/>
        </w:rPr>
        <w:t>ϴ</w:t>
      </w:r>
      <w:r w:rsidR="007A72F2">
        <w:t xml:space="preserve"> </w:t>
      </w:r>
      <w:r>
        <w:t xml:space="preserve">is always measured through the denser </w:t>
      </w:r>
      <w:r w:rsidR="00DE1C4B">
        <w:t xml:space="preserve">liquid </w:t>
      </w:r>
      <w:r>
        <w:t>phase (</w:t>
      </w:r>
      <w:r w:rsidR="00C97DDA">
        <w:t>i.e.</w:t>
      </w:r>
      <w:r>
        <w:t xml:space="preserve"> water</w:t>
      </w:r>
      <w:r w:rsidR="00C97DDA">
        <w:t xml:space="preserve"> in a water-oil </w:t>
      </w:r>
      <w:r w:rsidR="007A72F2">
        <w:t>o</w:t>
      </w:r>
      <w:r w:rsidR="00C97DDA">
        <w:t>r water-gas system</w:t>
      </w:r>
      <w:r>
        <w:t xml:space="preserve">), and (ii) oil is depicted in </w:t>
      </w:r>
      <w:r w:rsidR="005F34EF">
        <w:fldChar w:fldCharType="begin"/>
      </w:r>
      <w:r w:rsidR="005F34EF">
        <w:instrText xml:space="preserve"> REF _Ref445890039 \h </w:instrText>
      </w:r>
      <w:r w:rsidR="005F34EF">
        <w:fldChar w:fldCharType="separate"/>
      </w:r>
      <w:r w:rsidR="00C52E30">
        <w:t xml:space="preserve">Figure </w:t>
      </w:r>
      <w:r w:rsidR="00C52E30">
        <w:rPr>
          <w:noProof/>
        </w:rPr>
        <w:t>19</w:t>
      </w:r>
      <w:r w:rsidR="005F34EF">
        <w:fldChar w:fldCharType="end"/>
      </w:r>
      <w:r w:rsidR="007A72F2">
        <w:t>a</w:t>
      </w:r>
      <w:r w:rsidR="005F34EF">
        <w:t xml:space="preserve"> </w:t>
      </w:r>
      <w:r>
        <w:t xml:space="preserve">to represent the non-wetting phase. </w:t>
      </w:r>
    </w:p>
    <w:p w14:paraId="18A97507" w14:textId="77777777" w:rsidR="003A7D20" w:rsidRDefault="003A7D20" w:rsidP="003A7D20">
      <w:pPr>
        <w:pStyle w:val="Body"/>
      </w:pPr>
    </w:p>
    <w:p w14:paraId="37FB44D7" w14:textId="7164AC3B" w:rsidR="003A7D20" w:rsidRDefault="00E35F29" w:rsidP="003A7D20">
      <w:pPr>
        <w:autoSpaceDE w:val="0"/>
        <w:autoSpaceDN w:val="0"/>
        <w:adjustRightInd w:val="0"/>
        <w:spacing w:after="0"/>
        <w:jc w:val="center"/>
        <w:rPr>
          <w:rFonts w:ascii="Calibri" w:eastAsia="Calibri" w:hAnsi="Calibri" w:cs="Times New Roman"/>
          <w:sz w:val="22"/>
          <w:szCs w:val="22"/>
          <w:lang w:eastAsia="en-US"/>
        </w:rPr>
      </w:pPr>
      <w:r w:rsidRPr="00E35F29">
        <w:rPr>
          <w:noProof/>
          <w:lang w:val="en-AU" w:eastAsia="en-AU"/>
        </w:rPr>
        <w:drawing>
          <wp:inline distT="0" distB="0" distL="0" distR="0" wp14:anchorId="36898E0D" wp14:editId="59E55053">
            <wp:extent cx="5251938" cy="2571092"/>
            <wp:effectExtent l="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8516" cy="2579208"/>
                    </a:xfrm>
                    <a:prstGeom prst="rect">
                      <a:avLst/>
                    </a:prstGeom>
                    <a:noFill/>
                    <a:ln>
                      <a:noFill/>
                    </a:ln>
                  </pic:spPr>
                </pic:pic>
              </a:graphicData>
            </a:graphic>
          </wp:inline>
        </w:drawing>
      </w:r>
    </w:p>
    <w:p w14:paraId="29FFCDEF" w14:textId="77777777" w:rsidR="00F27F1C" w:rsidRDefault="00F27F1C" w:rsidP="003A7D20">
      <w:pPr>
        <w:autoSpaceDE w:val="0"/>
        <w:autoSpaceDN w:val="0"/>
        <w:adjustRightInd w:val="0"/>
        <w:spacing w:after="0"/>
        <w:jc w:val="center"/>
        <w:rPr>
          <w:rFonts w:ascii="Calibri" w:eastAsia="Calibri" w:hAnsi="Calibri" w:cs="Times New Roman"/>
          <w:sz w:val="22"/>
          <w:szCs w:val="22"/>
          <w:lang w:eastAsia="en-US"/>
        </w:rPr>
      </w:pPr>
    </w:p>
    <w:p w14:paraId="3D8CC7E5" w14:textId="48D6F4F0" w:rsidR="003A7D20" w:rsidRDefault="003A7D20" w:rsidP="003A7D20">
      <w:pPr>
        <w:pStyle w:val="Imagecaption"/>
      </w:pPr>
      <w:bookmarkStart w:id="83" w:name="_Ref445890039"/>
      <w:bookmarkStart w:id="84" w:name="_Toc449696309"/>
      <w:r>
        <w:t xml:space="preserve">Figure </w:t>
      </w:r>
      <w:r w:rsidR="00084CDD">
        <w:fldChar w:fldCharType="begin"/>
      </w:r>
      <w:r>
        <w:instrText xml:space="preserve"> SEQ Figure \* ARABIC </w:instrText>
      </w:r>
      <w:r w:rsidR="00084CDD">
        <w:fldChar w:fldCharType="separate"/>
      </w:r>
      <w:r w:rsidR="00C52E30">
        <w:rPr>
          <w:noProof/>
        </w:rPr>
        <w:t>19</w:t>
      </w:r>
      <w:r w:rsidR="00084CDD">
        <w:fldChar w:fldCharType="end"/>
      </w:r>
      <w:bookmarkEnd w:id="83"/>
      <w:r>
        <w:t xml:space="preserve">. </w:t>
      </w:r>
      <w:r w:rsidR="00E35F29">
        <w:t xml:space="preserve">A) </w:t>
      </w:r>
      <w:r>
        <w:t>Principle of contact angle using oil as non-water wetting phase, surrounded by a water phase. An oil drop (green) surrounded by water (blue) on a water-wet surface (left) forms a bead. The contact angle ϴ is approximately zero. On an oil-wet surface (right), the drop spreads, resulting in a contact angle of about 180°. An intermediate-wet surface (centre) also forms a bead, but the contact angle comes from a force balance among the interfacial tension terms, which are γ</w:t>
      </w:r>
      <w:r w:rsidRPr="0070043F">
        <w:rPr>
          <w:vertAlign w:val="subscript"/>
        </w:rPr>
        <w:t>so</w:t>
      </w:r>
      <w:r>
        <w:t xml:space="preserve"> and γ</w:t>
      </w:r>
      <w:r w:rsidRPr="0070043F">
        <w:rPr>
          <w:vertAlign w:val="subscript"/>
        </w:rPr>
        <w:t>sw</w:t>
      </w:r>
      <w:r>
        <w:t xml:space="preserve"> for the surface-oil and surface-water terms, respectively, and γ</w:t>
      </w:r>
      <w:r w:rsidRPr="0070043F">
        <w:rPr>
          <w:vertAlign w:val="subscript"/>
        </w:rPr>
        <w:t>ow</w:t>
      </w:r>
      <w:r>
        <w:t xml:space="preserve"> for the oil-water term (Abdallah et al., 2007).</w:t>
      </w:r>
      <w:r w:rsidR="00E35F29">
        <w:t xml:space="preserve"> B) Contact angle using water as the wetting phase, surrounded by an oil phase. C) Contact angle </w:t>
      </w:r>
      <w:r w:rsidR="00E35F29" w:rsidRPr="00D50C55">
        <w:t>less than 90°</w:t>
      </w:r>
      <w:r w:rsidR="00E35F29">
        <w:t xml:space="preserve"> for a water-gas system where w</w:t>
      </w:r>
      <w:r w:rsidR="00E35F29" w:rsidRPr="00A45100">
        <w:t xml:space="preserve">ater </w:t>
      </w:r>
      <w:r w:rsidR="00E35F29">
        <w:t>is the</w:t>
      </w:r>
      <w:r w:rsidR="00E35F29" w:rsidRPr="00A45100">
        <w:t xml:space="preserve"> wetting phase. </w:t>
      </w:r>
      <w:r w:rsidR="00E35F29">
        <w:t xml:space="preserve">D) Contact angle </w:t>
      </w:r>
      <w:r w:rsidR="00E35F29" w:rsidRPr="00F67466">
        <w:t>greater than 90°</w:t>
      </w:r>
      <w:r w:rsidR="00E35F29">
        <w:t xml:space="preserve"> for a water-gas system where w</w:t>
      </w:r>
      <w:r w:rsidR="00E35F29" w:rsidRPr="00A45100">
        <w:t xml:space="preserve">ater </w:t>
      </w:r>
      <w:r w:rsidR="00E35F29">
        <w:t>is the</w:t>
      </w:r>
      <w:r w:rsidR="00E35F29" w:rsidRPr="00A45100">
        <w:t xml:space="preserve"> non</w:t>
      </w:r>
      <w:r w:rsidR="003D0503">
        <w:t>-</w:t>
      </w:r>
      <w:r w:rsidR="00E35F29" w:rsidRPr="00A45100">
        <w:t>wetting phase.</w:t>
      </w:r>
      <w:bookmarkEnd w:id="84"/>
      <w:r w:rsidR="00E35F29" w:rsidRPr="00A45100">
        <w:t xml:space="preserve">  </w:t>
      </w:r>
    </w:p>
    <w:p w14:paraId="5CDD6339" w14:textId="77777777" w:rsidR="003A7D20" w:rsidRDefault="003A7D20" w:rsidP="003A7D20">
      <w:pPr>
        <w:pStyle w:val="Body"/>
      </w:pPr>
    </w:p>
    <w:p w14:paraId="3434630A" w14:textId="4AC4D097" w:rsidR="003A7D20" w:rsidRDefault="003A7D20" w:rsidP="003A7D20">
      <w:pPr>
        <w:pStyle w:val="Body"/>
      </w:pPr>
      <w:r w:rsidRPr="0003720B">
        <w:t>In a homogeneous, porous material saturated with gas</w:t>
      </w:r>
      <w:r w:rsidR="007A72F2">
        <w:t xml:space="preserve"> or oil</w:t>
      </w:r>
      <w:r w:rsidRPr="0003720B">
        <w:t xml:space="preserve"> and water, </w:t>
      </w:r>
      <w:r w:rsidR="00531380">
        <w:t>complete wetting</w:t>
      </w:r>
      <w:r w:rsidRPr="0003720B">
        <w:t xml:space="preserve"> </w:t>
      </w:r>
      <w:r w:rsidR="00531380">
        <w:t>(</w:t>
      </w:r>
      <w:r w:rsidR="00531380" w:rsidRPr="0003720B">
        <w:rPr>
          <w:i/>
        </w:rPr>
        <w:t>ϴ</w:t>
      </w:r>
      <w:r w:rsidR="00531380">
        <w:rPr>
          <w:i/>
        </w:rPr>
        <w:t xml:space="preserve"> </w:t>
      </w:r>
      <w:r w:rsidR="00531380" w:rsidRPr="00A45100">
        <w:t>= 0</w:t>
      </w:r>
      <w:r w:rsidR="00531380" w:rsidRPr="00B5586C">
        <w:rPr>
          <w:sz w:val="14"/>
          <w:szCs w:val="14"/>
        </w:rPr>
        <w:t>°</w:t>
      </w:r>
      <w:r w:rsidR="00531380" w:rsidRPr="00B5586C">
        <w:t>)</w:t>
      </w:r>
      <w:r w:rsidR="00531380">
        <w:t xml:space="preserve"> </w:t>
      </w:r>
      <w:r w:rsidRPr="0003720B">
        <w:t xml:space="preserve">describes one end member of a continuum in which the </w:t>
      </w:r>
      <w:r>
        <w:t xml:space="preserve">rock </w:t>
      </w:r>
      <w:r w:rsidRPr="0003720B">
        <w:t>surface strongly prefers contact with water</w:t>
      </w:r>
      <w:r w:rsidR="007A72F2">
        <w:t xml:space="preserve"> (</w:t>
      </w:r>
      <w:r w:rsidR="007A72F2">
        <w:fldChar w:fldCharType="begin"/>
      </w:r>
      <w:r w:rsidR="007A72F2">
        <w:instrText xml:space="preserve"> REF _Ref445890039 \h </w:instrText>
      </w:r>
      <w:r w:rsidR="007A72F2">
        <w:fldChar w:fldCharType="separate"/>
      </w:r>
      <w:r w:rsidR="00C52E30">
        <w:t xml:space="preserve">Figure </w:t>
      </w:r>
      <w:r w:rsidR="00C52E30">
        <w:rPr>
          <w:noProof/>
        </w:rPr>
        <w:t>19</w:t>
      </w:r>
      <w:r w:rsidR="007A72F2">
        <w:fldChar w:fldCharType="end"/>
      </w:r>
      <w:r w:rsidR="007A72F2">
        <w:t>b and c)</w:t>
      </w:r>
      <w:r>
        <w:t xml:space="preserve">, i.e. </w:t>
      </w:r>
      <w:r w:rsidRPr="00D25570">
        <w:t>water preferentially wets the rock surfaces</w:t>
      </w:r>
      <w:r>
        <w:t xml:space="preserve"> (contact angle between rock and water is much less than 90°)</w:t>
      </w:r>
      <w:r w:rsidRPr="0003720B">
        <w:t xml:space="preserve">. </w:t>
      </w:r>
      <w:r>
        <w:t xml:space="preserve">This would likely occur in the siliciclastic rocks in between the coal seams. </w:t>
      </w:r>
      <w:r w:rsidRPr="0003720B">
        <w:t xml:space="preserve">A strongly </w:t>
      </w:r>
      <w:r>
        <w:t xml:space="preserve">oil or </w:t>
      </w:r>
      <w:r w:rsidRPr="0003720B">
        <w:t xml:space="preserve">gas-wetting surface prefers contact with </w:t>
      </w:r>
      <w:r>
        <w:t xml:space="preserve">oil or </w:t>
      </w:r>
      <w:r w:rsidRPr="0003720B">
        <w:t>gas</w:t>
      </w:r>
      <w:r>
        <w:t xml:space="preserve"> (this occurs at a contact angle greater than 90°, and would typically exist within the coal seams</w:t>
      </w:r>
      <w:r w:rsidR="007A72F2">
        <w:t xml:space="preserve"> – see </w:t>
      </w:r>
      <w:r w:rsidR="007A72F2">
        <w:fldChar w:fldCharType="begin"/>
      </w:r>
      <w:r w:rsidR="007A72F2">
        <w:instrText xml:space="preserve"> REF _Ref445890039 \h </w:instrText>
      </w:r>
      <w:r w:rsidR="007A72F2">
        <w:fldChar w:fldCharType="separate"/>
      </w:r>
      <w:r w:rsidR="00C52E30">
        <w:t xml:space="preserve">Figure </w:t>
      </w:r>
      <w:r w:rsidR="00C52E30">
        <w:rPr>
          <w:noProof/>
        </w:rPr>
        <w:t>19</w:t>
      </w:r>
      <w:r w:rsidR="007A72F2">
        <w:fldChar w:fldCharType="end"/>
      </w:r>
      <w:r w:rsidR="007A72F2">
        <w:t>d</w:t>
      </w:r>
      <w:r>
        <w:t>)</w:t>
      </w:r>
      <w:r w:rsidRPr="0003720B">
        <w:t xml:space="preserve">. </w:t>
      </w:r>
      <w:r w:rsidR="00531380">
        <w:t>Complete non</w:t>
      </w:r>
      <w:r w:rsidR="003D0503">
        <w:t>-</w:t>
      </w:r>
      <w:r w:rsidR="00531380">
        <w:t xml:space="preserve">wetting occurs for </w:t>
      </w:r>
      <w:r w:rsidR="00531380" w:rsidRPr="0003720B">
        <w:rPr>
          <w:i/>
        </w:rPr>
        <w:t>ϴ</w:t>
      </w:r>
      <w:r w:rsidR="00531380">
        <w:rPr>
          <w:i/>
        </w:rPr>
        <w:t xml:space="preserve"> </w:t>
      </w:r>
      <w:r w:rsidR="00531380" w:rsidRPr="00B07B9C">
        <w:t xml:space="preserve">= </w:t>
      </w:r>
      <w:r w:rsidR="00531380">
        <w:t>18</w:t>
      </w:r>
      <w:r w:rsidR="00531380" w:rsidRPr="00B07B9C">
        <w:t>0</w:t>
      </w:r>
      <w:r w:rsidR="00531380" w:rsidRPr="00B07B9C">
        <w:rPr>
          <w:sz w:val="14"/>
          <w:szCs w:val="14"/>
        </w:rPr>
        <w:t>°</w:t>
      </w:r>
      <w:r w:rsidR="00531380">
        <w:t xml:space="preserve">. </w:t>
      </w:r>
      <w:r w:rsidRPr="0003720B">
        <w:t xml:space="preserve">Degrees of wetting apply along the continuum, and if the </w:t>
      </w:r>
      <w:r>
        <w:t>rock</w:t>
      </w:r>
      <w:r w:rsidRPr="0003720B">
        <w:t xml:space="preserve"> </w:t>
      </w:r>
      <w:r>
        <w:t xml:space="preserve">surface </w:t>
      </w:r>
      <w:r w:rsidRPr="0003720B">
        <w:t>does not have a marked preference for one fluid over</w:t>
      </w:r>
      <w:r>
        <w:t xml:space="preserve"> </w:t>
      </w:r>
      <w:r w:rsidRPr="0003720B">
        <w:t>the other, its condition is termed intermediate wetting or neutral-wetting</w:t>
      </w:r>
      <w:r>
        <w:t xml:space="preserve"> (a contact angle of approximately 90°)</w:t>
      </w:r>
      <w:r w:rsidR="00531380">
        <w:t xml:space="preserve"> (see Iglauer et al. (2014) for wettability states and corresponding contact angles)</w:t>
      </w:r>
      <w:r w:rsidRPr="0003720B">
        <w:t>.</w:t>
      </w:r>
    </w:p>
    <w:p w14:paraId="58C84E99" w14:textId="71847BB3" w:rsidR="003A7D20" w:rsidRDefault="003A7D20" w:rsidP="003A7D20">
      <w:pPr>
        <w:pStyle w:val="Body"/>
      </w:pPr>
      <w:r>
        <w:t>A n</w:t>
      </w:r>
      <w:r w:rsidRPr="00631130">
        <w:t>on</w:t>
      </w:r>
      <w:r>
        <w:t>-</w:t>
      </w:r>
      <w:r w:rsidRPr="00631130">
        <w:t xml:space="preserve">wetting phase </w:t>
      </w:r>
      <w:r>
        <w:t xml:space="preserve">like oil or gas </w:t>
      </w:r>
      <w:r w:rsidRPr="00631130">
        <w:t xml:space="preserve">does not preferentially wet the rock surface. Repulsive forces between rock and fluid cause </w:t>
      </w:r>
      <w:r>
        <w:t xml:space="preserve">the </w:t>
      </w:r>
      <w:r w:rsidR="00531380" w:rsidRPr="00A45100">
        <w:t>non</w:t>
      </w:r>
      <w:r w:rsidR="00531380">
        <w:t>-</w:t>
      </w:r>
      <w:r w:rsidR="00531380" w:rsidRPr="00A45100">
        <w:t xml:space="preserve">wetting phase </w:t>
      </w:r>
      <w:r w:rsidR="00531380">
        <w:t>to</w:t>
      </w:r>
      <w:r w:rsidR="00531380" w:rsidRPr="00A45100">
        <w:t xml:space="preserve"> preferentially occupy pores with larger pore throat radii (this could also end up being larger pores but not always).</w:t>
      </w:r>
      <w:r w:rsidRPr="00631130">
        <w:t xml:space="preserve"> </w:t>
      </w:r>
      <w:r>
        <w:t>Therefore, a n</w:t>
      </w:r>
      <w:r w:rsidRPr="00631130">
        <w:t>on</w:t>
      </w:r>
      <w:r>
        <w:t>-</w:t>
      </w:r>
      <w:r w:rsidRPr="00631130">
        <w:t>wetting phase fluid is often the most mobile fluid, especially at large non</w:t>
      </w:r>
      <w:r>
        <w:t>-</w:t>
      </w:r>
      <w:r w:rsidRPr="00631130">
        <w:t>wetting phase saturations. Natural gas is never the wetting phase in hydrocarbon reservoirs.</w:t>
      </w:r>
    </w:p>
    <w:p w14:paraId="177C26DD" w14:textId="1795F90B" w:rsidR="003A7D20" w:rsidRDefault="003A7D20" w:rsidP="003A7D20">
      <w:pPr>
        <w:pStyle w:val="Body"/>
      </w:pPr>
      <w:r w:rsidRPr="0003720B">
        <w:t xml:space="preserve">Pore surfaces </w:t>
      </w:r>
      <w:r>
        <w:t xml:space="preserve">in </w:t>
      </w:r>
      <w:r w:rsidR="00531380" w:rsidRPr="00A45100">
        <w:t xml:space="preserve">low permeability reservoirs with </w:t>
      </w:r>
      <w:r w:rsidR="00531380">
        <w:t xml:space="preserve">a </w:t>
      </w:r>
      <w:r w:rsidR="00531380" w:rsidRPr="00A45100">
        <w:t>high organic content</w:t>
      </w:r>
      <w:r w:rsidR="00531380">
        <w:t xml:space="preserve"> </w:t>
      </w:r>
      <w:r>
        <w:t xml:space="preserve">would most likely </w:t>
      </w:r>
      <w:r w:rsidRPr="0003720B">
        <w:t xml:space="preserve">be gas-wet, </w:t>
      </w:r>
      <w:r>
        <w:t xml:space="preserve">whereas in the interburden pore surfaces are more likely to be </w:t>
      </w:r>
      <w:r w:rsidRPr="0003720B">
        <w:t>water-wet</w:t>
      </w:r>
      <w:r>
        <w:t>, although</w:t>
      </w:r>
      <w:r w:rsidRPr="0003720B">
        <w:t xml:space="preserve"> </w:t>
      </w:r>
      <w:r w:rsidRPr="00BB557A">
        <w:t>transient changes in wettability</w:t>
      </w:r>
      <w:r>
        <w:t xml:space="preserve"> also occurs. L</w:t>
      </w:r>
      <w:r w:rsidRPr="00BB557A">
        <w:t xml:space="preserve">aboratory experimentation </w:t>
      </w:r>
      <w:r>
        <w:t>indicates</w:t>
      </w:r>
      <w:r w:rsidRPr="00BB557A">
        <w:t xml:space="preserve"> </w:t>
      </w:r>
      <w:r>
        <w:t xml:space="preserve">that </w:t>
      </w:r>
      <w:r w:rsidRPr="00BB557A">
        <w:t>as the saturation of the non</w:t>
      </w:r>
      <w:r>
        <w:t>-</w:t>
      </w:r>
      <w:r w:rsidRPr="00BB557A">
        <w:t xml:space="preserve">wetting phase increases with increasing capillary pressure then the wettability can shift where the </w:t>
      </w:r>
      <w:r>
        <w:t xml:space="preserve">initially </w:t>
      </w:r>
      <w:r w:rsidRPr="00BB557A">
        <w:t>non</w:t>
      </w:r>
      <w:r>
        <w:t>-</w:t>
      </w:r>
      <w:r w:rsidRPr="00BB557A">
        <w:t>wetting phase can become more wetting</w:t>
      </w:r>
      <w:r>
        <w:t xml:space="preserve"> (</w:t>
      </w:r>
      <w:r w:rsidR="00A6180F" w:rsidRPr="00A45100">
        <w:t>Venkataramanan</w:t>
      </w:r>
      <w:r w:rsidR="00A6180F">
        <w:t xml:space="preserve"> et al., 2014</w:t>
      </w:r>
      <w:r>
        <w:t>)</w:t>
      </w:r>
      <w:r w:rsidRPr="00BB557A">
        <w:t>.  This can then create a situation where the relative permeability is also transient.</w:t>
      </w:r>
    </w:p>
    <w:p w14:paraId="3E3C80E5" w14:textId="77777777" w:rsidR="00E8296A" w:rsidRDefault="00E8296A" w:rsidP="003E3108">
      <w:pPr>
        <w:pStyle w:val="Heading2"/>
      </w:pPr>
      <w:bookmarkStart w:id="85" w:name="_Toc445832125"/>
      <w:bookmarkStart w:id="86" w:name="_Toc446256207"/>
      <w:bookmarkStart w:id="87" w:name="_Toc449695923"/>
      <w:bookmarkStart w:id="88" w:name="_Toc449696592"/>
      <w:bookmarkStart w:id="89" w:name="_Toc449696593"/>
      <w:bookmarkEnd w:id="85"/>
      <w:bookmarkEnd w:id="86"/>
      <w:bookmarkEnd w:id="87"/>
      <w:bookmarkEnd w:id="88"/>
      <w:r>
        <w:t>Geomechanical deformation</w:t>
      </w:r>
      <w:bookmarkEnd w:id="89"/>
    </w:p>
    <w:p w14:paraId="3229A842" w14:textId="72E4E889" w:rsidR="009A2E95" w:rsidRPr="009A2E95" w:rsidRDefault="00E8296A" w:rsidP="009A2E95">
      <w:pPr>
        <w:pStyle w:val="Body"/>
      </w:pPr>
      <w:r>
        <w:t>The production of coal seam gas can impose geomechanical stresses upon a gas reservoir</w:t>
      </w:r>
      <w:r w:rsidR="000138CD">
        <w:t>. Depending upon the geomechanical properties of the host rock</w:t>
      </w:r>
      <w:r>
        <w:t xml:space="preserve">, </w:t>
      </w:r>
      <w:r w:rsidR="000138CD">
        <w:t xml:space="preserve">such stresses </w:t>
      </w:r>
      <w:r w:rsidR="000257F3">
        <w:t>can</w:t>
      </w:r>
      <w:r>
        <w:t xml:space="preserve"> </w:t>
      </w:r>
      <w:r w:rsidR="000138CD">
        <w:t xml:space="preserve">potentially </w:t>
      </w:r>
      <w:r>
        <w:t xml:space="preserve">result in changes to the </w:t>
      </w:r>
      <w:r w:rsidR="00A6180F" w:rsidRPr="00A45100">
        <w:t xml:space="preserve">rock properties and thus relative permeabilities that affect dual phase flow behaviour </w:t>
      </w:r>
      <w:r w:rsidR="00A6180F">
        <w:t>in</w:t>
      </w:r>
      <w:r>
        <w:t xml:space="preserve"> the reservoir. </w:t>
      </w:r>
      <w:r w:rsidR="000257F3">
        <w:t xml:space="preserve">When changes </w:t>
      </w:r>
      <w:r w:rsidR="000138CD">
        <w:t xml:space="preserve">in </w:t>
      </w:r>
      <w:r w:rsidR="00C16923">
        <w:t xml:space="preserve">reservoir </w:t>
      </w:r>
      <w:r w:rsidR="000257F3">
        <w:t>structure occur</w:t>
      </w:r>
      <w:r>
        <w:t xml:space="preserve">, this results in changes to the rate of dual phase flow to a CSG production bore. </w:t>
      </w:r>
      <w:r w:rsidR="009A2E95" w:rsidRPr="009A2E95">
        <w:t xml:space="preserve">As gas is produced from a CSG reservoir, two distinct and opposing phenomena occur that </w:t>
      </w:r>
      <w:r w:rsidR="000257F3">
        <w:t xml:space="preserve">can </w:t>
      </w:r>
      <w:r w:rsidR="009A2E95" w:rsidRPr="009A2E95">
        <w:t xml:space="preserve">affect the absolute permeability of the cleat system (Morad </w:t>
      </w:r>
      <w:r w:rsidR="00810442">
        <w:t xml:space="preserve">et al., </w:t>
      </w:r>
      <w:r w:rsidR="009A2E95" w:rsidRPr="009A2E95">
        <w:t xml:space="preserve">2008): </w:t>
      </w:r>
    </w:p>
    <w:p w14:paraId="0328C85E" w14:textId="52B9B479" w:rsidR="009A2E95" w:rsidRPr="009A2E95" w:rsidRDefault="008A1674" w:rsidP="00643C03">
      <w:pPr>
        <w:pStyle w:val="Body"/>
        <w:numPr>
          <w:ilvl w:val="0"/>
          <w:numId w:val="41"/>
        </w:numPr>
      </w:pPr>
      <w:r>
        <w:t>The decrease in</w:t>
      </w:r>
      <w:r w:rsidR="009A2E95" w:rsidRPr="009A2E95">
        <w:t xml:space="preserve"> reservoir pressure reduces the pressure in the cleats. Cleat net effective stress (which is the difference between overburden stress and pore pressure) </w:t>
      </w:r>
      <w:r w:rsidR="007540ED">
        <w:t xml:space="preserve">can cause changes in cleat permeability. Depending upon the orientation of cleats relative to the </w:t>
      </w:r>
      <w:r w:rsidR="00A6180F">
        <w:t>in-situ</w:t>
      </w:r>
      <w:r w:rsidR="007540ED">
        <w:t xml:space="preserve"> stress</w:t>
      </w:r>
      <w:r w:rsidR="00A6180F">
        <w:t xml:space="preserve"> orientation</w:t>
      </w:r>
      <w:r w:rsidR="007540ED">
        <w:t xml:space="preserve">, </w:t>
      </w:r>
      <w:r w:rsidR="009A2E95" w:rsidRPr="009A2E95">
        <w:t>cleat</w:t>
      </w:r>
      <w:r w:rsidR="007540ED">
        <w:t xml:space="preserve"> compression or dilation may result in either the reduction or enhancement of cleat permeability, respectively. </w:t>
      </w:r>
    </w:p>
    <w:p w14:paraId="4E9B7033" w14:textId="77777777" w:rsidR="009A2E95" w:rsidRPr="009A2E95" w:rsidRDefault="008A1674" w:rsidP="00643C03">
      <w:pPr>
        <w:pStyle w:val="Body"/>
        <w:numPr>
          <w:ilvl w:val="0"/>
          <w:numId w:val="41"/>
        </w:numPr>
      </w:pPr>
      <w:r>
        <w:t>D</w:t>
      </w:r>
      <w:r w:rsidR="009A2E95" w:rsidRPr="009A2E95">
        <w:t>esor</w:t>
      </w:r>
      <w:r>
        <w:t>ption of gas</w:t>
      </w:r>
      <w:r w:rsidR="009A2E95" w:rsidRPr="009A2E95">
        <w:t xml:space="preserve"> from the coal matrix</w:t>
      </w:r>
      <w:r>
        <w:t xml:space="preserve"> results in shrinkage of</w:t>
      </w:r>
      <w:r w:rsidR="009A2E95" w:rsidRPr="009A2E95">
        <w:t xml:space="preserve"> the matrix. Shrinkage causes the space within the cleats to widen and the permeability of the cleats increases. </w:t>
      </w:r>
    </w:p>
    <w:p w14:paraId="3C2C3B42" w14:textId="77777777" w:rsidR="00EF573B" w:rsidRDefault="00EF573B" w:rsidP="00E8296A">
      <w:pPr>
        <w:pStyle w:val="Body"/>
        <w:rPr>
          <w:color w:val="C00000"/>
        </w:rPr>
      </w:pPr>
    </w:p>
    <w:p w14:paraId="07EA1E95" w14:textId="77777777" w:rsidR="009A78B7" w:rsidRDefault="00AA46AA">
      <w:pPr>
        <w:pStyle w:val="Body"/>
        <w:keepNext/>
        <w:jc w:val="center"/>
        <w:rPr>
          <w:color w:val="C00000"/>
        </w:rPr>
      </w:pPr>
      <w:r>
        <w:rPr>
          <w:noProof/>
          <w:color w:val="C00000"/>
          <w:lang w:val="en-AU" w:eastAsia="en-AU"/>
        </w:rPr>
        <w:drawing>
          <wp:inline distT="0" distB="0" distL="0" distR="0" wp14:anchorId="254AA588" wp14:editId="7D5E5D39">
            <wp:extent cx="3604846" cy="2514454"/>
            <wp:effectExtent l="0" t="0" r="0" b="635"/>
            <wp:docPr id="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srcRect l="8049" t="66972" r="51641" b="15474"/>
                    <a:stretch>
                      <a:fillRect/>
                    </a:stretch>
                  </pic:blipFill>
                  <pic:spPr bwMode="auto">
                    <a:xfrm>
                      <a:off x="0" y="0"/>
                      <a:ext cx="3619694" cy="2524811"/>
                    </a:xfrm>
                    <a:prstGeom prst="rect">
                      <a:avLst/>
                    </a:prstGeom>
                    <a:noFill/>
                    <a:ln w="9525">
                      <a:noFill/>
                      <a:miter lim="800000"/>
                      <a:headEnd/>
                      <a:tailEnd/>
                    </a:ln>
                  </pic:spPr>
                </pic:pic>
              </a:graphicData>
            </a:graphic>
          </wp:inline>
        </w:drawing>
      </w:r>
    </w:p>
    <w:p w14:paraId="3BA3F82C" w14:textId="77777777" w:rsidR="00EF573B" w:rsidRDefault="007512E8" w:rsidP="007512E8">
      <w:pPr>
        <w:pStyle w:val="Imagecaption"/>
      </w:pPr>
      <w:bookmarkStart w:id="90" w:name="_Toc422323039"/>
      <w:bookmarkStart w:id="91" w:name="_Toc449696310"/>
      <w:r>
        <w:t xml:space="preserve">Figure </w:t>
      </w:r>
      <w:r w:rsidR="00084CDD">
        <w:fldChar w:fldCharType="begin"/>
      </w:r>
      <w:r>
        <w:instrText xml:space="preserve"> SEQ Figure \* ARABIC </w:instrText>
      </w:r>
      <w:r w:rsidR="00084CDD">
        <w:fldChar w:fldCharType="separate"/>
      </w:r>
      <w:r w:rsidR="00C52E30">
        <w:rPr>
          <w:noProof/>
        </w:rPr>
        <w:t>20</w:t>
      </w:r>
      <w:r w:rsidR="00084CDD">
        <w:fldChar w:fldCharType="end"/>
      </w:r>
      <w:r>
        <w:t>.</w:t>
      </w:r>
      <w:r w:rsidR="00EF573B">
        <w:t xml:space="preserve"> </w:t>
      </w:r>
      <w:r w:rsidR="00F20E24">
        <w:t xml:space="preserve">Coal seam permeability as a function of reservoir stress </w:t>
      </w:r>
      <w:r w:rsidR="00C97A18">
        <w:t>[Enever and Henning</w:t>
      </w:r>
      <w:r w:rsidR="00E57F50">
        <w:t xml:space="preserve"> </w:t>
      </w:r>
      <w:r w:rsidR="00084CDD">
        <w:fldChar w:fldCharType="begin"/>
      </w:r>
      <w:r w:rsidR="00C97A18">
        <w:instrText xml:space="preserve"> ADDIN EN.CITE &lt;EndNote&gt;&lt;Cite ExcludeAuth="1"&gt;&lt;Author&gt;Enever&lt;/Author&gt;&lt;Year&gt;1997&lt;/Year&gt;&lt;IDText&gt;The relationship between permeability and effective stress for Australian coal and its implications with respect to coalbed methane exploration and reservoir model&lt;/IDText&gt;&lt;DisplayText&gt;(1997)&lt;/DisplayText&gt;&lt;record&gt;&lt;titles&gt;&lt;title&gt;The relationship between permeability and effective stress for Australian coal and its implications with respect to coalbed methane exploration and reservoir model&lt;/title&gt;&lt;secondary-title&gt;Proceedings of the 1997 international coalbed methane symposium&lt;/secondary-title&gt;&lt;/titles&gt;&lt;contributors&gt;&lt;authors&gt;&lt;author&gt;Enever, JRE&lt;/author&gt;&lt;author&gt;Henning, A&lt;/author&gt;&lt;/authors&gt;&lt;/contributors&gt;&lt;added-date format="utc"&gt;1434610194&lt;/added-date&gt;&lt;ref-type name="Conference Proceedings"&gt;10&lt;/ref-type&gt;&lt;dates&gt;&lt;year&gt;1997&lt;/year&gt;&lt;/dates&gt;&lt;rec-number&gt;356&lt;/rec-number&gt;&lt;publisher&gt;Tuscaloosa, AL, USA: University of Alabama&lt;/publisher&gt;&lt;last-updated-date format="utc"&gt;1434610194&lt;/last-updated-date&gt;&lt;volume&gt;22&lt;/volume&gt;&lt;/record&gt;&lt;/Cite&gt;&lt;/EndNote&gt;</w:instrText>
      </w:r>
      <w:r w:rsidR="00084CDD">
        <w:fldChar w:fldCharType="separate"/>
      </w:r>
      <w:r w:rsidR="00C97A18">
        <w:rPr>
          <w:noProof/>
        </w:rPr>
        <w:t>(1997)</w:t>
      </w:r>
      <w:r w:rsidR="00084CDD">
        <w:fldChar w:fldCharType="end"/>
      </w:r>
      <w:r w:rsidR="00C97A18">
        <w:t xml:space="preserve"> </w:t>
      </w:r>
      <w:r w:rsidR="00F20E24">
        <w:t xml:space="preserve">in </w:t>
      </w:r>
      <w:r w:rsidR="00C97A18">
        <w:t xml:space="preserve">Pan and Connell </w:t>
      </w:r>
      <w:r w:rsidR="00084CDD">
        <w:fldChar w:fldCharType="begin"/>
      </w:r>
      <w:r w:rsidR="00C97A18">
        <w:instrText xml:space="preserve"> ADDIN EN.CITE &lt;EndNote&gt;&lt;Cite ExcludeAuth="1"&gt;&lt;Author&gt;Pan&lt;/Author&gt;&lt;Year&gt;2012&lt;/Year&gt;&lt;IDText&gt;Modelling permeability for coal reservoirs: A review of analytical models and testing data&lt;/IDText&gt;&lt;DisplayText&gt;(2012)&lt;/DisplayText&gt;&lt;record&gt;&lt;dates&gt;&lt;pub-dates&gt;&lt;date&gt;MAR 1 2012&lt;/date&gt;&lt;/pub-dates&gt;&lt;year&gt;2012&lt;/year&gt;&lt;/dates&gt;&lt;keywords&gt;&lt;keyword&gt;Coalbed methane&lt;/keyword&gt;&lt;keyword&gt;Enhanced coalbed methane recovery&lt;/keyword&gt;&lt;keyword&gt;CO2 sequestration&lt;/keyword&gt;&lt;keyword&gt;Coal swelling&lt;/keyword&gt;&lt;keyword&gt;Stress&lt;/keyword&gt;&lt;keyword&gt;SORPTION-INDUCED-STRAIN&lt;/keyword&gt;&lt;keyword&gt;CARBON-DIOXIDE SEQUESTRATION&lt;/keyword&gt;&lt;keyword&gt;EFFECTIVE STRESS LAW&lt;/keyword&gt;&lt;keyword&gt;CO2 SEQUESTRATION&lt;/keyword&gt;&lt;keyword&gt;METHANE RESERVOIRS&lt;/keyword&gt;&lt;keyword&gt;CAPILLARY-PRESSURE&lt;/keyword&gt;&lt;keyword&gt;GAS INJECTION&lt;/keyword&gt;&lt;keyword&gt;BED METHANE&lt;/keyword&gt;&lt;keyword&gt;FLUID-FLOW&lt;/keyword&gt;&lt;keyword&gt;RECOVERY&lt;/keyword&gt;&lt;/keywords&gt;&lt;isbn&gt;0166-5162&lt;/isbn&gt;&lt;work-type&gt;Review&lt;/work-type&gt;&lt;titles&gt;&lt;title&gt;Modelling permeability for coal reservoirs: A review of analytical models and testing data&lt;/title&gt;&lt;secondary-title&gt;International Journal of Coal Geology&lt;/secondary-title&gt;&lt;/titles&gt;&lt;pages&gt;1-44&lt;/pages&gt;&lt;contributors&gt;&lt;authors&gt;&lt;author&gt;Pan, ZJ&lt;/author&gt;&lt;author&gt;Connell, LD&lt;/author&gt;&lt;/authors&gt;&lt;/contributors&gt;&lt;language&gt;English&lt;/language&gt;&lt;added-date format="utc"&gt;1433492922&lt;/added-date&gt;&lt;ref-type name="Journal Article"&gt;17&lt;/ref-type&gt;&lt;auth-address&gt;Pan, ZJ (reprint author), CSIRO Earth Sci &amp;amp; Resource Engn, Private Bag 10, Clayton, Vic 3169, Australia&amp;#xD;CSIRO Earth Sci &amp;amp; Resource Engn, Clayton, Vic 3169, Australia&amp;#xD;Zhejun.Pan@csiro.au&lt;/auth-address&gt;&lt;rec-number&gt;148&lt;/rec-number&gt;&lt;last-updated-date format="utc"&gt;1433492922&lt;/last-updated-date&gt;&lt;accession-num&gt;WOS:000301750800001&lt;/accession-num&gt;&lt;electronic-resource-num&gt;10.1016/j.coal.2011.12.009&lt;/electronic-resource-num&gt;&lt;volume&gt;92&lt;/volume&gt;&lt;/record&gt;&lt;/Cite&gt;&lt;/EndNote&gt;</w:instrText>
      </w:r>
      <w:r w:rsidR="00084CDD">
        <w:fldChar w:fldCharType="separate"/>
      </w:r>
      <w:r w:rsidR="00C97A18">
        <w:rPr>
          <w:noProof/>
        </w:rPr>
        <w:t>(2012)</w:t>
      </w:r>
      <w:r w:rsidR="00084CDD">
        <w:fldChar w:fldCharType="end"/>
      </w:r>
      <w:r w:rsidR="00C97A18">
        <w:t>]</w:t>
      </w:r>
      <w:r w:rsidR="00F20E24">
        <w:t>.</w:t>
      </w:r>
      <w:bookmarkEnd w:id="90"/>
      <w:bookmarkEnd w:id="91"/>
    </w:p>
    <w:p w14:paraId="1C7472BF" w14:textId="77777777" w:rsidR="00EF573B" w:rsidRDefault="00EF573B" w:rsidP="00E8296A">
      <w:pPr>
        <w:pStyle w:val="Body"/>
        <w:rPr>
          <w:color w:val="C00000"/>
        </w:rPr>
      </w:pPr>
    </w:p>
    <w:p w14:paraId="7DCB2437" w14:textId="394D6498" w:rsidR="008E2FFD" w:rsidRDefault="00067F52" w:rsidP="00A45100">
      <w:pPr>
        <w:pStyle w:val="Body"/>
        <w:rPr>
          <w:rFonts w:ascii="Calibri-Bold" w:hAnsi="Calibri-Bold" w:cs="Calibri-Bold"/>
          <w:b/>
          <w:bCs/>
          <w:color w:val="00AEEF"/>
          <w:sz w:val="48"/>
          <w:szCs w:val="48"/>
        </w:rPr>
      </w:pPr>
      <w:r>
        <w:rPr>
          <w:color w:val="auto"/>
        </w:rPr>
        <w:t xml:space="preserve">CoA </w:t>
      </w:r>
      <w:r w:rsidR="00084CDD">
        <w:fldChar w:fldCharType="begin"/>
      </w:r>
      <w:r w:rsidR="00C97A18">
        <w:rPr>
          <w:color w:val="auto"/>
        </w:rPr>
        <w:instrText xml:space="preserve"> ADDIN EN.CITE &lt;EndNote&gt;&lt;Cite ExcludeAuth="1"&gt;&lt;Author&gt;CoA&lt;/Author&gt;&lt;Year&gt;2014&lt;/Year&gt;&lt;IDText&gt;Subsidence from coal seam gas extraction in Australia&lt;/IDText&gt;&lt;DisplayText&gt;(2014b)&lt;/DisplayText&gt;&lt;record&gt;&lt;titles&gt;&lt;title&gt;Subsidence from coal seam gas extraction in Australia&lt;/title&gt;&lt;/titles&gt;&lt;pages&gt;59&lt;/pages&gt;&lt;contributors&gt;&lt;authors&gt;&lt;author&gt;CoA&lt;/author&gt;&lt;/authors&gt;&lt;/contributors&gt;&lt;added-date format="utc"&gt;1434609917&lt;/added-date&gt;&lt;pub-location&gt;Canberra, ACT, Australia&lt;/pub-location&gt;&lt;ref-type name="Generic"&gt;13&lt;/ref-type&gt;&lt;dates&gt;&lt;year&gt;2014&lt;/year&gt;&lt;/dates&gt;&lt;rec-number&gt;1200&lt;/rec-number&gt;&lt;publisher&gt;Department of the Environment&lt;/publisher&gt;&lt;last-updated-date format="utc"&gt;1434610005&lt;/last-updated-date&gt;&lt;contributors&gt;&lt;secondary-authors&gt;&lt;author&gt;Commonwealth of Australia&lt;/author&gt;&lt;/secondary-authors&gt;&lt;/contributors&gt;&lt;/record&gt;&lt;/Cite&gt;&lt;/EndNote&gt;</w:instrText>
      </w:r>
      <w:r w:rsidR="00084CDD">
        <w:fldChar w:fldCharType="separate"/>
      </w:r>
      <w:r w:rsidR="00C97A18">
        <w:rPr>
          <w:noProof/>
          <w:color w:val="auto"/>
        </w:rPr>
        <w:t>(2014b)</w:t>
      </w:r>
      <w:r w:rsidR="00084CDD">
        <w:fldChar w:fldCharType="end"/>
      </w:r>
      <w:r>
        <w:rPr>
          <w:color w:val="auto"/>
        </w:rPr>
        <w:t xml:space="preserve"> reviewed </w:t>
      </w:r>
      <w:r w:rsidR="00C97A18">
        <w:rPr>
          <w:color w:val="auto"/>
        </w:rPr>
        <w:t xml:space="preserve">modelled </w:t>
      </w:r>
      <w:r>
        <w:rPr>
          <w:color w:val="auto"/>
        </w:rPr>
        <w:t xml:space="preserve">predictions of subsidence produced </w:t>
      </w:r>
      <w:r w:rsidR="00C97A18">
        <w:rPr>
          <w:color w:val="auto"/>
        </w:rPr>
        <w:t xml:space="preserve">for </w:t>
      </w:r>
      <w:r>
        <w:rPr>
          <w:color w:val="auto"/>
        </w:rPr>
        <w:t>Environmental Impact Statement studies</w:t>
      </w:r>
      <w:r w:rsidR="00C97A18">
        <w:rPr>
          <w:color w:val="auto"/>
        </w:rPr>
        <w:t xml:space="preserve"> for future CSG projects in Australia. Land surface subsidence of up to 300 mm was predicted for Santos developments in the Bowen and Surat basins. The submission for the APLNG project predicted that subsidence was unlikely to be expressed at land surface as </w:t>
      </w:r>
      <w:r w:rsidR="00C97A18" w:rsidRPr="00C97A18">
        <w:rPr>
          <w:color w:val="auto"/>
        </w:rPr>
        <w:t xml:space="preserve">shallower consolidated and competent rock </w:t>
      </w:r>
      <w:r w:rsidR="00C97A18">
        <w:rPr>
          <w:color w:val="auto"/>
        </w:rPr>
        <w:t xml:space="preserve">may </w:t>
      </w:r>
      <w:r w:rsidR="00C97A18" w:rsidRPr="00C97A18">
        <w:rPr>
          <w:color w:val="auto"/>
        </w:rPr>
        <w:t xml:space="preserve">operate as a </w:t>
      </w:r>
      <w:r w:rsidR="00C97A18">
        <w:rPr>
          <w:color w:val="auto"/>
        </w:rPr>
        <w:t>“</w:t>
      </w:r>
      <w:r w:rsidR="00C97A18" w:rsidRPr="00C97A18">
        <w:rPr>
          <w:color w:val="auto"/>
        </w:rPr>
        <w:t>bridge</w:t>
      </w:r>
      <w:r w:rsidR="00C97A18">
        <w:rPr>
          <w:color w:val="auto"/>
        </w:rPr>
        <w:t>”</w:t>
      </w:r>
      <w:r w:rsidR="00C97A18" w:rsidRPr="00C97A18">
        <w:rPr>
          <w:color w:val="auto"/>
        </w:rPr>
        <w:t xml:space="preserve"> to </w:t>
      </w:r>
      <w:r w:rsidR="00C97A18">
        <w:rPr>
          <w:color w:val="auto"/>
        </w:rPr>
        <w:t xml:space="preserve">restrict </w:t>
      </w:r>
      <w:r w:rsidR="00C97A18" w:rsidRPr="00C97A18">
        <w:rPr>
          <w:color w:val="auto"/>
        </w:rPr>
        <w:t>downward movement</w:t>
      </w:r>
      <w:r w:rsidR="00C97A18">
        <w:rPr>
          <w:color w:val="auto"/>
        </w:rPr>
        <w:t xml:space="preserve"> </w:t>
      </w:r>
      <w:r w:rsidR="00084CDD">
        <w:fldChar w:fldCharType="begin"/>
      </w:r>
      <w:r w:rsidR="00C97A18">
        <w:rPr>
          <w:color w:val="auto"/>
        </w:rPr>
        <w:instrText xml:space="preserve"> ADDIN EN.CITE &lt;EndNote&gt;&lt;Cite&gt;&lt;Author&gt;CoA&lt;/Author&gt;&lt;Year&gt;2014&lt;/Year&gt;&lt;IDText&gt;Subsidence from coal seam gas extraction in Australia&lt;/IDText&gt;&lt;DisplayText&gt;(CoA, 2014b)&lt;/DisplayText&gt;&lt;record&gt;&lt;titles&gt;&lt;title&gt;Subsidence from coal seam gas extraction in Australia&lt;/title&gt;&lt;/titles&gt;&lt;pages&gt;59&lt;/pages&gt;&lt;contributors&gt;&lt;authors&gt;&lt;author&gt;CoA&lt;/author&gt;&lt;/authors&gt;&lt;/contributors&gt;&lt;added-date format="utc"&gt;1434609917&lt;/added-date&gt;&lt;pub-location&gt;Canberra, ACT, Australia&lt;/pub-location&gt;&lt;ref-type name="Generic"&gt;13&lt;/ref-type&gt;&lt;dates&gt;&lt;year&gt;2014&lt;/year&gt;&lt;/dates&gt;&lt;rec-number&gt;1200&lt;/rec-number&gt;&lt;publisher&gt;Department of the Environment&lt;/publisher&gt;&lt;last-updated-date format="utc"&gt;1434610005&lt;/last-updated-date&gt;&lt;contributors&gt;&lt;secondary-authors&gt;&lt;author&gt;Commonwealth of Australia&lt;/author&gt;&lt;/secondary-authors&gt;&lt;/contributors&gt;&lt;/record&gt;&lt;/Cite&gt;&lt;/EndNote&gt;</w:instrText>
      </w:r>
      <w:r w:rsidR="00084CDD">
        <w:fldChar w:fldCharType="separate"/>
      </w:r>
      <w:r w:rsidR="00C97A18">
        <w:rPr>
          <w:noProof/>
          <w:color w:val="auto"/>
        </w:rPr>
        <w:t>(CoA, 2014b)</w:t>
      </w:r>
      <w:r w:rsidR="00084CDD">
        <w:fldChar w:fldCharType="end"/>
      </w:r>
      <w:r w:rsidR="00C97A18">
        <w:rPr>
          <w:color w:val="auto"/>
        </w:rPr>
        <w:t>.</w:t>
      </w:r>
      <w:r w:rsidR="00A24944">
        <w:rPr>
          <w:color w:val="auto"/>
        </w:rPr>
        <w:t xml:space="preserve"> </w:t>
      </w:r>
      <w:r w:rsidR="00405DDE">
        <w:rPr>
          <w:color w:val="auto"/>
        </w:rPr>
        <w:t>These predictions are currently limited by a</w:t>
      </w:r>
      <w:r w:rsidR="00A24944">
        <w:rPr>
          <w:color w:val="auto"/>
        </w:rPr>
        <w:t xml:space="preserve"> lack of characterisation of rock geomechanical properties</w:t>
      </w:r>
      <w:r w:rsidR="00C16923">
        <w:rPr>
          <w:color w:val="auto"/>
        </w:rPr>
        <w:t>. T</w:t>
      </w:r>
      <w:r w:rsidR="00A24944">
        <w:rPr>
          <w:color w:val="auto"/>
        </w:rPr>
        <w:t>he uncertainty of these types of predictions could, in future, be constrained significantly through the systematic investigation of such properties.</w:t>
      </w:r>
      <w:r w:rsidR="008E2FFD">
        <w:br w:type="page"/>
      </w:r>
    </w:p>
    <w:p w14:paraId="75394644" w14:textId="77777777" w:rsidR="00E8296A" w:rsidRDefault="00E8296A" w:rsidP="00563D0F">
      <w:pPr>
        <w:pStyle w:val="Heading1"/>
      </w:pPr>
      <w:bookmarkStart w:id="92" w:name="_Toc449696594"/>
      <w:r>
        <w:t>Considerations for regional scale groundwater flow modelling</w:t>
      </w:r>
      <w:bookmarkEnd w:id="92"/>
      <w:r>
        <w:t xml:space="preserve"> </w:t>
      </w:r>
    </w:p>
    <w:p w14:paraId="31499B4F" w14:textId="14A30362" w:rsidR="00FE4417" w:rsidRDefault="006A20FB" w:rsidP="00E8296A">
      <w:pPr>
        <w:pStyle w:val="Body"/>
      </w:pPr>
      <w:r>
        <w:t>C</w:t>
      </w:r>
      <w:r w:rsidR="00023A82">
        <w:t>oal seam</w:t>
      </w:r>
      <w:r w:rsidR="00E8296A">
        <w:t xml:space="preserve"> gas production </w:t>
      </w:r>
      <w:r w:rsidR="0089309A">
        <w:t>processes occur</w:t>
      </w:r>
      <w:r w:rsidR="00E8296A">
        <w:t xml:space="preserve"> at the local scale</w:t>
      </w:r>
      <w:r w:rsidR="000B0A75">
        <w:t xml:space="preserve"> a</w:t>
      </w:r>
      <w:r>
        <w:t xml:space="preserve">nd result in the alteration of pressures </w:t>
      </w:r>
      <w:r w:rsidR="00DB3D98">
        <w:t xml:space="preserve">within </w:t>
      </w:r>
      <w:r w:rsidR="0089309A">
        <w:t>a</w:t>
      </w:r>
      <w:r w:rsidR="00DB3D98">
        <w:t xml:space="preserve"> coal formation</w:t>
      </w:r>
      <w:r>
        <w:t>.</w:t>
      </w:r>
      <w:r w:rsidR="00E8296A">
        <w:t xml:space="preserve"> </w:t>
      </w:r>
      <w:r>
        <w:t xml:space="preserve">Coal measures are typically part of a larger groundwater basin comprising a </w:t>
      </w:r>
      <w:r w:rsidR="001F0D1A">
        <w:t>sedimentary</w:t>
      </w:r>
      <w:r>
        <w:t xml:space="preserve"> sequence of aquitards and aquifers. T</w:t>
      </w:r>
      <w:r w:rsidR="00E8296A">
        <w:t xml:space="preserve">he </w:t>
      </w:r>
      <w:r>
        <w:t xml:space="preserve">potential </w:t>
      </w:r>
      <w:r w:rsidR="00E8296A">
        <w:t xml:space="preserve">propagation of </w:t>
      </w:r>
      <w:r>
        <w:t xml:space="preserve">CSG depressurisation </w:t>
      </w:r>
      <w:r w:rsidR="00E8296A">
        <w:t xml:space="preserve">impacts </w:t>
      </w:r>
      <w:r>
        <w:t>through such a sequence may occur</w:t>
      </w:r>
      <w:r w:rsidR="00E8296A">
        <w:t xml:space="preserve"> at a broader (</w:t>
      </w:r>
      <w:r w:rsidR="00C85DC3">
        <w:t xml:space="preserve">i.e., </w:t>
      </w:r>
      <w:r w:rsidR="00E8296A">
        <w:t>regional) scale</w:t>
      </w:r>
      <w:r>
        <w:t>s</w:t>
      </w:r>
      <w:r w:rsidR="00A24944">
        <w:t xml:space="preserve">, depending upon the size of </w:t>
      </w:r>
      <w:r w:rsidR="008364E6">
        <w:t xml:space="preserve">one or a number of </w:t>
      </w:r>
      <w:r w:rsidR="00A24944">
        <w:t>CSG development</w:t>
      </w:r>
      <w:r w:rsidR="008364E6">
        <w:t>s.</w:t>
      </w:r>
      <w:r w:rsidR="009C1391">
        <w:t xml:space="preserve"> </w:t>
      </w:r>
      <w:r w:rsidR="007210F1">
        <w:t>Here regional scale is defined as 10</w:t>
      </w:r>
      <w:r w:rsidR="007210F1">
        <w:rPr>
          <w:vertAlign w:val="superscript"/>
        </w:rPr>
        <w:t>4</w:t>
      </w:r>
      <w:r w:rsidR="007210F1">
        <w:t>–10</w:t>
      </w:r>
      <w:r w:rsidR="007210F1">
        <w:rPr>
          <w:vertAlign w:val="superscript"/>
        </w:rPr>
        <w:t>5</w:t>
      </w:r>
      <w:r w:rsidR="007210F1">
        <w:t xml:space="preserve"> metres in the horizontal plane </w:t>
      </w:r>
      <w:r w:rsidR="00084CDD">
        <w:fldChar w:fldCharType="begin"/>
      </w:r>
      <w:r w:rsidR="007210F1">
        <w:instrText xml:space="preserve"> ADDIN EN.CITE &lt;EndNote&gt;&lt;Cite&gt;&lt;Author&gt;Dagan&lt;/Author&gt;&lt;Year&gt;1986&lt;/Year&gt;&lt;IDText&gt;Statistical theory of groundwater flow and transport: Pore to laboratory, laboratory to formation, and formation to regional scale&lt;/IDText&gt;&lt;DisplayText&gt;(Dagan, 1986)&lt;/DisplayText&gt;&lt;record&gt;&lt;isbn&gt;1944-7973&lt;/isbn&gt;&lt;titles&gt;&lt;title&gt;Statistical theory of groundwater flow and transport: Pore to laboratory, laboratory to formation, and formation to regional scale&lt;/title&gt;&lt;secondary-title&gt;Water Resources Research&lt;/secondary-title&gt;&lt;/titles&gt;&lt;pages&gt;120S-134S&lt;/pages&gt;&lt;number&gt;9S&lt;/number&gt;&lt;contributors&gt;&lt;authors&gt;&lt;author&gt;Dagan, Gedeon&lt;/author&gt;&lt;/authors&gt;&lt;/contributors&gt;&lt;added-date format="utc"&gt;1440732401&lt;/added-date&gt;&lt;ref-type name="Journal Article"&gt;17&lt;/ref-type&gt;&lt;dates&gt;&lt;year&gt;1986&lt;/year&gt;&lt;/dates&gt;&lt;rec-number&gt;1233&lt;/rec-number&gt;&lt;last-updated-date format="utc"&gt;1440732401&lt;/last-updated-date&gt;&lt;volume&gt;22&lt;/volume&gt;&lt;/record&gt;&lt;/Cite&gt;&lt;/EndNote&gt;</w:instrText>
      </w:r>
      <w:r w:rsidR="00084CDD">
        <w:fldChar w:fldCharType="separate"/>
      </w:r>
      <w:r w:rsidR="007210F1">
        <w:rPr>
          <w:noProof/>
        </w:rPr>
        <w:t>(Dagan, 1986)</w:t>
      </w:r>
      <w:r w:rsidR="00084CDD">
        <w:fldChar w:fldCharType="end"/>
      </w:r>
      <w:r w:rsidR="007210F1">
        <w:t xml:space="preserve">. </w:t>
      </w:r>
      <w:r w:rsidR="008364E6">
        <w:t>G</w:t>
      </w:r>
      <w:r w:rsidR="0018209A">
        <w:t>roundwater flow models used to simulate the potential for impacts from CSG extraction are developed at the regional scale</w:t>
      </w:r>
      <w:r w:rsidR="008364E6">
        <w:t>; h</w:t>
      </w:r>
      <w:r w:rsidR="0018209A">
        <w:t xml:space="preserve">owever, the parameterisation of such models is typically based (directly or indirectly) on data observed at much smaller scales. </w:t>
      </w:r>
      <w:r w:rsidR="00FE4417">
        <w:t xml:space="preserve">This is partly because regional scale observations are difficult or </w:t>
      </w:r>
      <w:r w:rsidR="00F07615">
        <w:t>are the subject of current research and such methods have not yet become standard practice in a CSG context. F</w:t>
      </w:r>
      <w:r w:rsidR="00FE4417">
        <w:t>or example, the</w:t>
      </w:r>
      <w:r w:rsidR="008B5CB4">
        <w:t xml:space="preserve"> use of environmental tracer data to assist the </w:t>
      </w:r>
      <w:r w:rsidR="003C7993">
        <w:t xml:space="preserve">robust </w:t>
      </w:r>
      <w:r w:rsidR="008B5CB4">
        <w:t xml:space="preserve">estimation of predictions has been demonstrated in a number of contexts. These include the estimation of </w:t>
      </w:r>
      <w:r w:rsidR="00FE4417">
        <w:t xml:space="preserve">regional </w:t>
      </w:r>
      <w:r w:rsidR="008B5CB4">
        <w:t xml:space="preserve">scale </w:t>
      </w:r>
      <w:r w:rsidR="00FE4417">
        <w:t xml:space="preserve">groundwater </w:t>
      </w:r>
      <w:r w:rsidR="00F07615">
        <w:t xml:space="preserve">connectivity, </w:t>
      </w:r>
      <w:r w:rsidR="008B5CB4">
        <w:t xml:space="preserve">the </w:t>
      </w:r>
      <w:r w:rsidR="00F07615">
        <w:t xml:space="preserve">derivation of </w:t>
      </w:r>
      <w:r w:rsidR="00FE4417">
        <w:t xml:space="preserve">flow velocities </w:t>
      </w:r>
      <w:r w:rsidR="00F07615">
        <w:t>(and groundwater residence time</w:t>
      </w:r>
      <w:r w:rsidR="008B5CB4">
        <w:t>s</w:t>
      </w:r>
      <w:r w:rsidR="00F07615">
        <w:t>)</w:t>
      </w:r>
      <w:r w:rsidR="008B5CB4">
        <w:t>,</w:t>
      </w:r>
      <w:r w:rsidR="00F07615">
        <w:t xml:space="preserve"> and </w:t>
      </w:r>
      <w:r w:rsidR="008B5CB4">
        <w:t xml:space="preserve">the </w:t>
      </w:r>
      <w:r w:rsidR="00F07615">
        <w:t>quantification of surface water-groundwater interaction</w:t>
      </w:r>
      <w:r w:rsidR="008364E6">
        <w:t>s</w:t>
      </w:r>
      <w:r w:rsidR="003C7993">
        <w:t xml:space="preserve">. </w:t>
      </w:r>
      <w:r w:rsidR="008B5CB4">
        <w:t>P</w:t>
      </w:r>
      <w:r w:rsidR="00F07615">
        <w:t xml:space="preserve">otential </w:t>
      </w:r>
      <w:r w:rsidR="008B5CB4">
        <w:t xml:space="preserve">exists </w:t>
      </w:r>
      <w:r w:rsidR="00F07615">
        <w:t>for broader uptake of these methods in CSG impact assessments.</w:t>
      </w:r>
      <w:r w:rsidR="00FE4417">
        <w:t xml:space="preserve"> </w:t>
      </w:r>
      <w:r w:rsidR="00CB2D75">
        <w:t>Of the</w:t>
      </w:r>
      <w:r w:rsidR="008B5CB4">
        <w:t xml:space="preserve"> applications listed</w:t>
      </w:r>
      <w:r w:rsidR="00CB2D75">
        <w:t xml:space="preserve">, the characterisation of surface water–groundwater connectivity is of particular relevance to CSG impact assessment, in order to estimate potential effects on </w:t>
      </w:r>
      <w:r w:rsidR="00E5477F">
        <w:t>surficial groundwater water</w:t>
      </w:r>
      <w:r w:rsidR="00CB2D75">
        <w:t xml:space="preserve"> ecosystems. </w:t>
      </w:r>
      <w:r w:rsidR="00F07615">
        <w:t xml:space="preserve">Despite advances in regional scale observations, the majority of groundwater flow related properties will likely remain of a local-scale nature. </w:t>
      </w:r>
      <w:r w:rsidR="0018209A">
        <w:t xml:space="preserve">For this reason, </w:t>
      </w:r>
      <w:r w:rsidR="00FE4417">
        <w:t xml:space="preserve">an upscaling process is required to translate parameter values between the </w:t>
      </w:r>
      <w:r w:rsidR="00665C35">
        <w:t>two scales</w:t>
      </w:r>
      <w:r w:rsidR="00FE4417">
        <w:t xml:space="preserve">. </w:t>
      </w:r>
    </w:p>
    <w:p w14:paraId="47F52F0E" w14:textId="77777777" w:rsidR="008A3AEE" w:rsidRDefault="008A3AEE" w:rsidP="008A3AEE">
      <w:pPr>
        <w:pStyle w:val="Body"/>
        <w:rPr>
          <w:color w:val="auto"/>
        </w:rPr>
      </w:pPr>
      <w:r>
        <w:rPr>
          <w:color w:val="auto"/>
        </w:rPr>
        <w:t>When upscaling hydraulic properties for inclusion in groundwater flow models, care should be taken to ensure that the scale of determination (by measurement or modelling) encompasses all heterogeneities relevant at the scale of the cellular numerical groundwater flow model. Methods to determine subsurface hydraulic properties, either directly or indirectly, range in scale from core scale (i.e., 10</w:t>
      </w:r>
      <w:r>
        <w:rPr>
          <w:color w:val="auto"/>
          <w:vertAlign w:val="superscript"/>
        </w:rPr>
        <w:t>-1</w:t>
      </w:r>
      <w:r>
        <w:rPr>
          <w:color w:val="auto"/>
        </w:rPr>
        <w:t>–10</w:t>
      </w:r>
      <w:r>
        <w:rPr>
          <w:color w:val="auto"/>
          <w:vertAlign w:val="superscript"/>
        </w:rPr>
        <w:t>0</w:t>
      </w:r>
      <w:r>
        <w:rPr>
          <w:color w:val="auto"/>
        </w:rPr>
        <w:t xml:space="preserve"> m) to regional scale (i.e., 10</w:t>
      </w:r>
      <w:r>
        <w:rPr>
          <w:color w:val="auto"/>
          <w:vertAlign w:val="superscript"/>
        </w:rPr>
        <w:t>4</w:t>
      </w:r>
      <w:r>
        <w:rPr>
          <w:color w:val="auto"/>
        </w:rPr>
        <w:t>–10</w:t>
      </w:r>
      <w:r>
        <w:rPr>
          <w:color w:val="auto"/>
          <w:vertAlign w:val="superscript"/>
        </w:rPr>
        <w:t>5</w:t>
      </w:r>
      <w:r>
        <w:rPr>
          <w:color w:val="auto"/>
        </w:rPr>
        <w:t xml:space="preserve"> m). Core scale observations may include permeametry testing of core scale permeability and porosity. Bore scale observations may include a range of hydraulic, geophysical and hydrochemical testing methods. Regional scale estimates of hydraulic properties may be obtained from environmental tracer observations or inverse numerical modelling.</w:t>
      </w:r>
    </w:p>
    <w:p w14:paraId="3A53E028" w14:textId="45E327CE" w:rsidR="00C71014" w:rsidRDefault="00431CE6" w:rsidP="00FE4417">
      <w:pPr>
        <w:pStyle w:val="Body"/>
      </w:pPr>
      <w:r>
        <w:t xml:space="preserve">As </w:t>
      </w:r>
      <w:r w:rsidR="008364E6">
        <w:t xml:space="preserve">stated </w:t>
      </w:r>
      <w:r w:rsidR="008B5CB4">
        <w:t>previously</w:t>
      </w:r>
      <w:r>
        <w:t>,</w:t>
      </w:r>
      <w:r w:rsidRPr="00431CE6">
        <w:t xml:space="preserve"> </w:t>
      </w:r>
      <w:r>
        <w:t xml:space="preserve">the representation of aquitards and </w:t>
      </w:r>
      <w:r w:rsidR="008364E6">
        <w:t xml:space="preserve">geological </w:t>
      </w:r>
      <w:r>
        <w:t xml:space="preserve">faults </w:t>
      </w:r>
      <w:r w:rsidR="008364E6">
        <w:t xml:space="preserve">in numerical </w:t>
      </w:r>
      <w:r>
        <w:t>simulation</w:t>
      </w:r>
      <w:r w:rsidR="008364E6">
        <w:t>s</w:t>
      </w:r>
      <w:r>
        <w:t xml:space="preserve"> of CSG impacts on groundwater </w:t>
      </w:r>
      <w:r w:rsidR="008364E6">
        <w:t xml:space="preserve">resources is </w:t>
      </w:r>
      <w:r>
        <w:t xml:space="preserve">the </w:t>
      </w:r>
      <w:r w:rsidR="008364E6">
        <w:t xml:space="preserve">primary </w:t>
      </w:r>
      <w:r>
        <w:t>focus of this report. In this context, t</w:t>
      </w:r>
      <w:r w:rsidR="00FE4417">
        <w:t>wo key points</w:t>
      </w:r>
      <w:r>
        <w:t xml:space="preserve"> </w:t>
      </w:r>
      <w:r w:rsidR="008B5CB4">
        <w:t xml:space="preserve">should be </w:t>
      </w:r>
      <w:r w:rsidR="00FE4417">
        <w:t>consider</w:t>
      </w:r>
      <w:r w:rsidR="008B5CB4">
        <w:t>ed</w:t>
      </w:r>
      <w:r w:rsidR="00FE4417">
        <w:t xml:space="preserve"> when </w:t>
      </w:r>
      <w:r w:rsidR="00686B97">
        <w:t>developing</w:t>
      </w:r>
      <w:r w:rsidR="00FE4417">
        <w:t xml:space="preserve"> a regional scale groundwater flow model to simulate the propagation of </w:t>
      </w:r>
      <w:r w:rsidR="00003709">
        <w:t xml:space="preserve">CSG </w:t>
      </w:r>
      <w:r w:rsidR="00FE4417">
        <w:t>impacts. The first</w:t>
      </w:r>
      <w:r>
        <w:t xml:space="preserve"> point</w:t>
      </w:r>
      <w:r w:rsidR="00FE4417">
        <w:t xml:space="preserve"> </w:t>
      </w:r>
      <w:r w:rsidR="00686B97">
        <w:t>relates to the parameterisation of the model and involves a two-step approach</w:t>
      </w:r>
      <w:r w:rsidR="00972670">
        <w:t xml:space="preserve"> (Tran, 1996)</w:t>
      </w:r>
      <w:r w:rsidR="00686B97">
        <w:t xml:space="preserve">. The first step </w:t>
      </w:r>
      <w:r w:rsidR="008B5CB4">
        <w:t xml:space="preserve">relates to </w:t>
      </w:r>
      <w:r w:rsidR="00FE4417">
        <w:t>the method(s) by which small scale estimates of hydraulic properties may be upscaled to the scale of numerical model cells</w:t>
      </w:r>
      <w:r w:rsidR="00972670">
        <w:t xml:space="preserve"> (typically 1 km</w:t>
      </w:r>
      <w:r w:rsidR="00056615">
        <w:t xml:space="preserve"> × </w:t>
      </w:r>
      <w:r w:rsidR="00972670">
        <w:t>1 km in horizontal extent) to obtain equivalent properties and their spatial statistics (</w:t>
      </w:r>
      <w:r w:rsidR="008B5CB4">
        <w:t xml:space="preserve">e.g. probability density function </w:t>
      </w:r>
      <w:r w:rsidR="00972670">
        <w:t>and variogram).</w:t>
      </w:r>
      <w:r w:rsidR="00FE4417">
        <w:t xml:space="preserve"> </w:t>
      </w:r>
      <w:r w:rsidR="00C71014">
        <w:t xml:space="preserve">Equivalent properties such as hydraulic conductivity </w:t>
      </w:r>
      <w:r w:rsidR="00C71014" w:rsidRPr="00A45100">
        <w:rPr>
          <w:i/>
        </w:rPr>
        <w:t>K</w:t>
      </w:r>
      <w:r w:rsidR="00C71014">
        <w:t xml:space="preserve"> are representative for larger model blocks and obtained by averaging a given property distribution over a finer grid. The spatial averaging method is typically based on numerical modelling; hence the equivalent properties are therefore valid only for a specific set of groundwater flow boundary conditions.</w:t>
      </w:r>
    </w:p>
    <w:p w14:paraId="6FD8023C" w14:textId="3ECB2796" w:rsidR="002471F2" w:rsidRDefault="00686B97" w:rsidP="00FE4417">
      <w:pPr>
        <w:pStyle w:val="Body"/>
      </w:pPr>
      <w:r>
        <w:t xml:space="preserve">The second step </w:t>
      </w:r>
      <w:r w:rsidRPr="00BD33F1">
        <w:t>involves</w:t>
      </w:r>
      <w:r w:rsidR="00E713C3" w:rsidRPr="00E713C3">
        <w:t xml:space="preserve"> the spatial interpolation of the upscaled hydraulic properties; the latter are typically available only at a limited number of locations. This involves the interpolation (i.e. estimation between observations) of hydraulic property values at a single scale, i.e. the regional modelling scale. Typically, for regional scale numerical groundwater flow models, this is undertaken in the areal plane on a layer-by-layer basis. Where a sufficient spatial distribution of hydraulic property </w:t>
      </w:r>
      <w:r w:rsidR="00EF29C5">
        <w:t>observations</w:t>
      </w:r>
      <w:r w:rsidR="00E713C3" w:rsidRPr="00E713C3">
        <w:t xml:space="preserve"> exists, spatial interpolation is typically informed by the spatial correlation structure between the </w:t>
      </w:r>
      <w:r w:rsidR="00EF29C5">
        <w:t>observation</w:t>
      </w:r>
      <w:r w:rsidR="00E713C3" w:rsidRPr="00E713C3">
        <w:t>s.</w:t>
      </w:r>
      <w:r>
        <w:t xml:space="preserve"> </w:t>
      </w:r>
      <w:r w:rsidR="002471F2" w:rsidRPr="00E975A6">
        <w:t xml:space="preserve"> </w:t>
      </w:r>
    </w:p>
    <w:p w14:paraId="4CDA9E26" w14:textId="13056FBF" w:rsidR="00FE4417" w:rsidRDefault="00FE4417" w:rsidP="00FE4417">
      <w:pPr>
        <w:pStyle w:val="Body"/>
      </w:pPr>
      <w:r>
        <w:t>The second key point</w:t>
      </w:r>
      <w:r w:rsidR="008B5CB4">
        <w:t xml:space="preserve"> relates to </w:t>
      </w:r>
      <w:r>
        <w:t xml:space="preserve">the method(s) </w:t>
      </w:r>
      <w:r w:rsidR="008B5CB4">
        <w:t xml:space="preserve">used to represent </w:t>
      </w:r>
      <w:r>
        <w:t>structural features (such as geological faults) in numerical groundwater flow models. In contexts featuring a high degree of past geological activity and deformation, such features can have significant effects on a groundwater flow system</w:t>
      </w:r>
      <w:r w:rsidR="004005B6">
        <w:t xml:space="preserve"> (a</w:t>
      </w:r>
      <w:r w:rsidR="009E76A6">
        <w:t>n</w:t>
      </w:r>
      <w:r w:rsidR="004005B6">
        <w:t xml:space="preserve"> </w:t>
      </w:r>
      <w:r w:rsidR="009E76A6">
        <w:t>ove</w:t>
      </w:r>
      <w:r w:rsidR="004005B6">
        <w:t xml:space="preserve">rview of impacts of faults on regional groundwater flow systems is provided in Underschultz et al. </w:t>
      </w:r>
      <w:r w:rsidR="00D0504A">
        <w:t>(</w:t>
      </w:r>
      <w:r w:rsidR="004005B6">
        <w:t>201</w:t>
      </w:r>
      <w:r w:rsidR="00BA3562">
        <w:t>6</w:t>
      </w:r>
      <w:r w:rsidR="00D0504A">
        <w:t>)</w:t>
      </w:r>
      <w:r>
        <w:t>.</w:t>
      </w:r>
    </w:p>
    <w:p w14:paraId="79F1F670" w14:textId="77777777" w:rsidR="00FE4417" w:rsidRDefault="00FE4417" w:rsidP="00E8296A">
      <w:pPr>
        <w:pStyle w:val="Body"/>
      </w:pPr>
      <w:r>
        <w:t>An ancillary point of consideration is that a</w:t>
      </w:r>
      <w:r w:rsidR="00E8296A">
        <w:t xml:space="preserve"> single </w:t>
      </w:r>
      <w:r>
        <w:t xml:space="preserve">groundwater flow </w:t>
      </w:r>
      <w:r w:rsidR="00E8296A">
        <w:t xml:space="preserve">model typically </w:t>
      </w:r>
      <w:r w:rsidR="00EF29C5">
        <w:t xml:space="preserve">is not the most effective way </w:t>
      </w:r>
      <w:r w:rsidR="00E8296A">
        <w:t xml:space="preserve">to simulate physical processes at both </w:t>
      </w:r>
      <w:r>
        <w:t xml:space="preserve">local and regional </w:t>
      </w:r>
      <w:r w:rsidR="00E8296A">
        <w:t>scales</w:t>
      </w:r>
      <w:r w:rsidR="00EF29C5">
        <w:t>; one of the reasons being, apart from the scale issue, that groundwater models generally lack the specific capabilities to simulate CSG-specific processes such as gas desorption, dual-phase flow and dual porosity/permeability</w:t>
      </w:r>
      <w:r w:rsidR="00E8296A">
        <w:t xml:space="preserve">. </w:t>
      </w:r>
      <w:r w:rsidR="00EF29C5">
        <w:t>For example</w:t>
      </w:r>
      <w:r w:rsidR="00E8296A">
        <w:t xml:space="preserve">, the volume of water extracted for CSG operations and the magnitude of the resulting depressurisation is typically estimated using a reservoir model such as ECLIPSE </w:t>
      </w:r>
      <w:r w:rsidR="00084CDD">
        <w:fldChar w:fldCharType="begin"/>
      </w:r>
      <w:r w:rsidR="00DD7015">
        <w:instrText xml:space="preserve"> ADDIN EN.CITE &lt;EndNote&gt;&lt;Cite&gt;&lt;Author&gt;Schlumberger&lt;/Author&gt;&lt;Year&gt;2011&lt;/Year&gt;&lt;IDText&gt;Manual for ECLIPSE Reservoir Simulation Software&lt;/IDText&gt;&lt;DisplayText&gt;(Schlumberger, 2011)&lt;/DisplayText&gt;&lt;record&gt;&lt;titles&gt;&lt;title&gt;Manual for ECLIPSE Reservoir Simulation Software&lt;/title&gt;&lt;/titles&gt;&lt;contributors&gt;&lt;authors&gt;&lt;author&gt;Schlumberger&lt;/author&gt;&lt;/authors&gt;&lt;/contributors&gt;&lt;added-date format="utc"&gt;1434095289&lt;/added-date&gt;&lt;pub-location&gt;Houston, Texas, USA&lt;/pub-location&gt;&lt;ref-type name="Generic"&gt;13&lt;/ref-type&gt;&lt;dates&gt;&lt;year&gt;2011&lt;/year&gt;&lt;/dates&gt;&lt;rec-number&gt;1186&lt;/rec-number&gt;&lt;last-updated-date format="utc"&gt;1434095352&lt;/last-updated-date&gt;&lt;/record&gt;&lt;/Cite&gt;&lt;/EndNote&gt;</w:instrText>
      </w:r>
      <w:r w:rsidR="00084CDD">
        <w:fldChar w:fldCharType="separate"/>
      </w:r>
      <w:r w:rsidR="00DD7015">
        <w:rPr>
          <w:noProof/>
        </w:rPr>
        <w:t>(Schlumberger, 2011)</w:t>
      </w:r>
      <w:r w:rsidR="00084CDD">
        <w:fldChar w:fldCharType="end"/>
      </w:r>
      <w:r w:rsidR="00E8296A">
        <w:t xml:space="preserve"> or GEM </w:t>
      </w:r>
      <w:r w:rsidR="00084CDD">
        <w:fldChar w:fldCharType="begin"/>
      </w:r>
      <w:r w:rsidR="00C56256">
        <w:instrText xml:space="preserve"> ADDIN EN.CITE &lt;EndNote&gt;&lt;Cite&gt;&lt;Author&gt;Computer Modeling Group&lt;/Author&gt;&lt;Year&gt;2003&lt;/Year&gt;&lt;IDText&gt;Generalized Equation of State Model (GEM)&lt;/IDText&gt;&lt;DisplayText&gt;(Computer Modeling Group, 2003)&lt;/DisplayText&gt;&lt;record&gt;&lt;titles&gt;&lt;title&gt;Generalized Equation of State Model (GEM)&lt;/title&gt;&lt;/titles&gt;&lt;contributors&gt;&lt;authors&gt;&lt;author&gt;Computer Modeling Group,&lt;/author&gt;&lt;/authors&gt;&lt;/contributors&gt;&lt;added-date format="utc"&gt;1434098553&lt;/added-date&gt;&lt;pub-location&gt;Calgary, Alberta, Canada&lt;/pub-location&gt;&lt;ref-type name="Generic"&gt;13&lt;/ref-type&gt;&lt;dates&gt;&lt;year&gt;2003&lt;/year&gt;&lt;/dates&gt;&lt;rec-number&gt;1189&lt;/rec-number&gt;&lt;last-updated-date format="utc"&gt;1434098612&lt;/last-updated-date&gt;&lt;/record&gt;&lt;/Cite&gt;&lt;/EndNote&gt;</w:instrText>
      </w:r>
      <w:r w:rsidR="00084CDD">
        <w:fldChar w:fldCharType="separate"/>
      </w:r>
      <w:r w:rsidR="00C56256">
        <w:rPr>
          <w:noProof/>
        </w:rPr>
        <w:t>(Computer Modeling Group, 2003)</w:t>
      </w:r>
      <w:r w:rsidR="00084CDD">
        <w:fldChar w:fldCharType="end"/>
      </w:r>
      <w:r w:rsidR="00E8296A">
        <w:t>. These results are then used as input (</w:t>
      </w:r>
      <w:r w:rsidR="00C85DC3">
        <w:t xml:space="preserve">i.e., </w:t>
      </w:r>
      <w:r w:rsidR="00E8296A">
        <w:t xml:space="preserve">boundary conditions) in a regional scale </w:t>
      </w:r>
      <w:r w:rsidR="00665C35">
        <w:t xml:space="preserve">numerical </w:t>
      </w:r>
      <w:r w:rsidR="00E8296A">
        <w:t>groundwater flow model [</w:t>
      </w:r>
      <w:r w:rsidR="00AA5ABA">
        <w:t xml:space="preserve">e.g., </w:t>
      </w:r>
      <w:r w:rsidR="00665C35">
        <w:t xml:space="preserve">using software such as </w:t>
      </w:r>
      <w:r w:rsidR="00E8296A">
        <w:t xml:space="preserve">MODFLOW </w:t>
      </w:r>
      <w:r w:rsidR="00084CDD">
        <w:fldChar w:fldCharType="begin"/>
      </w:r>
      <w:r w:rsidR="005D486E">
        <w:instrText xml:space="preserve"> ADDIN EN.CITE &lt;EndNote&gt;&lt;Cite&gt;&lt;Author&gt;Harbaugh&lt;/Author&gt;&lt;Year&gt;2005&lt;/Year&gt;&lt;IDText&gt;MODFLOW-2005, the US Geological Survey modular ground-water model: The ground-water flow process&lt;/IDText&gt;&lt;DisplayText&gt;(Harbaugh, 2005)&lt;/DisplayText&gt;&lt;record&gt;&lt;titles&gt;&lt;title&gt;MODFLOW-2005, the US Geological Survey modular ground-water model: The ground-water flow process&lt;/title&gt;&lt;/titles&gt;&lt;contributors&gt;&lt;authors&gt;&lt;author&gt;Harbaugh, Arlen W&lt;/author&gt;&lt;/authors&gt;&lt;/contributors&gt;&lt;added-date format="utc"&gt;1434095438&lt;/added-date&gt;&lt;ref-type name="Book"&gt;6&lt;/ref-type&gt;&lt;dates&gt;&lt;year&gt;2005&lt;/year&gt;&lt;/dates&gt;&lt;rec-number&gt;263&lt;/rec-number&gt;&lt;publisher&gt;US Department of the Interior, US Geological Survey Reston, VA, USA&lt;/publisher&gt;&lt;last-updated-date format="utc"&gt;1434095438&lt;/last-updated-date&gt;&lt;/record&gt;&lt;/Cite&gt;&lt;/EndNote&gt;</w:instrText>
      </w:r>
      <w:r w:rsidR="00084CDD">
        <w:fldChar w:fldCharType="separate"/>
      </w:r>
      <w:r w:rsidR="005D486E">
        <w:rPr>
          <w:noProof/>
        </w:rPr>
        <w:t>(Harbaugh, 2005)</w:t>
      </w:r>
      <w:r w:rsidR="00084CDD">
        <w:fldChar w:fldCharType="end"/>
      </w:r>
      <w:r w:rsidR="00E8296A">
        <w:t xml:space="preserve"> or FEFLOW </w:t>
      </w:r>
      <w:r w:rsidR="00084CDD">
        <w:fldChar w:fldCharType="begin"/>
      </w:r>
      <w:r w:rsidR="005D486E">
        <w:instrText xml:space="preserve"> ADDIN EN.CITE &lt;EndNote&gt;&lt;Cite&gt;&lt;Author&gt;Diersch&lt;/Author&gt;&lt;Year&gt;2005&lt;/Year&gt;&lt;IDText&gt;FEFLOW finite element subsurface flow and transport simulation system&lt;/IDText&gt;&lt;DisplayText&gt;(Diersch, 2005)&lt;/DisplayText&gt;&lt;record&gt;&lt;titles&gt;&lt;title&gt;FEFLOW finite element subsurface flow and transport simulation system&lt;/title&gt;&lt;secondary-title&gt;Reference manual. Berlin, Germany: WASY GmbH.(Cité aux pages 20 et 102.)&lt;/secondary-title&gt;&lt;/titles&gt;&lt;contributors&gt;&lt;authors&gt;&lt;author&gt;Diersch, HJG&lt;/author&gt;&lt;/authors&gt;&lt;/contributors&gt;&lt;added-date format="utc"&gt;1434095494&lt;/added-date&gt;&lt;ref-type name="Journal Article"&gt;17&lt;/ref-type&gt;&lt;dates&gt;&lt;year&gt;2005&lt;/year&gt;&lt;/dates&gt;&lt;rec-number&gt;264&lt;/rec-number&gt;&lt;last-updated-date format="utc"&gt;1434095494&lt;/last-updated-date&gt;&lt;/record&gt;&lt;/Cite&gt;&lt;/EndNote&gt;</w:instrText>
      </w:r>
      <w:r w:rsidR="00084CDD">
        <w:fldChar w:fldCharType="separate"/>
      </w:r>
      <w:r w:rsidR="005D486E">
        <w:rPr>
          <w:noProof/>
        </w:rPr>
        <w:t>(Diersch, 2005)</w:t>
      </w:r>
      <w:r w:rsidR="00084CDD">
        <w:fldChar w:fldCharType="end"/>
      </w:r>
      <w:r w:rsidR="00E8296A">
        <w:t xml:space="preserve">]. The means of coupling two such models is therefore a </w:t>
      </w:r>
      <w:r>
        <w:t xml:space="preserve">further </w:t>
      </w:r>
      <w:r w:rsidR="00E8296A">
        <w:t xml:space="preserve">key consideration when simulating the potential impacts of </w:t>
      </w:r>
      <w:r w:rsidR="003076F9">
        <w:t>CSG</w:t>
      </w:r>
      <w:r w:rsidR="00E8296A">
        <w:t xml:space="preserve"> production. </w:t>
      </w:r>
    </w:p>
    <w:p w14:paraId="38969BA4" w14:textId="281891F8" w:rsidR="0082200D" w:rsidRDefault="00124864" w:rsidP="00E8296A">
      <w:pPr>
        <w:pStyle w:val="Body"/>
      </w:pPr>
      <w:r>
        <w:t>T</w:t>
      </w:r>
      <w:r w:rsidR="0082200D">
        <w:t>his Chapter</w:t>
      </w:r>
      <w:r>
        <w:t xml:space="preserve"> includes a review of hydraulic conductivity measurement methods (Section </w:t>
      </w:r>
      <w:r>
        <w:fldChar w:fldCharType="begin"/>
      </w:r>
      <w:r>
        <w:instrText xml:space="preserve"> REF _Ref445986337 \r \h </w:instrText>
      </w:r>
      <w:r>
        <w:fldChar w:fldCharType="separate"/>
      </w:r>
      <w:r w:rsidR="00C52E30">
        <w:t>3.1</w:t>
      </w:r>
      <w:r>
        <w:fldChar w:fldCharType="end"/>
      </w:r>
      <w:r>
        <w:t xml:space="preserve">), a discussion on parameter upscaling (Section </w:t>
      </w:r>
      <w:r>
        <w:fldChar w:fldCharType="begin"/>
      </w:r>
      <w:r>
        <w:instrText xml:space="preserve"> REF _Ref445986343 \r \h </w:instrText>
      </w:r>
      <w:r>
        <w:fldChar w:fldCharType="separate"/>
      </w:r>
      <w:r w:rsidR="00C52E30">
        <w:t>3.2</w:t>
      </w:r>
      <w:r>
        <w:fldChar w:fldCharType="end"/>
      </w:r>
      <w:r>
        <w:t>) and structural features (faults and fractured zones) and their repre</w:t>
      </w:r>
      <w:r w:rsidR="003D0503">
        <w:t>se</w:t>
      </w:r>
      <w:r>
        <w:t xml:space="preserve">ntation in groundwater models (Section </w:t>
      </w:r>
      <w:r>
        <w:fldChar w:fldCharType="begin"/>
      </w:r>
      <w:r>
        <w:instrText xml:space="preserve"> REF _Ref445986348 \r \h </w:instrText>
      </w:r>
      <w:r>
        <w:fldChar w:fldCharType="separate"/>
      </w:r>
      <w:r w:rsidR="00C52E30">
        <w:t>3.3</w:t>
      </w:r>
      <w:r>
        <w:fldChar w:fldCharType="end"/>
      </w:r>
      <w:r>
        <w:t>).</w:t>
      </w:r>
      <w:r w:rsidR="0082200D">
        <w:t xml:space="preserve"> </w:t>
      </w:r>
    </w:p>
    <w:p w14:paraId="546ADBE5" w14:textId="77777777" w:rsidR="0002530F" w:rsidRDefault="0002530F" w:rsidP="00A45100">
      <w:pPr>
        <w:pStyle w:val="Heading2"/>
      </w:pPr>
      <w:bookmarkStart w:id="93" w:name="_Toc446256210"/>
      <w:bookmarkStart w:id="94" w:name="_Toc449695926"/>
      <w:bookmarkStart w:id="95" w:name="_Toc449696595"/>
      <w:bookmarkStart w:id="96" w:name="_Ref445986337"/>
      <w:bookmarkStart w:id="97" w:name="_Toc449696596"/>
      <w:bookmarkEnd w:id="93"/>
      <w:bookmarkEnd w:id="94"/>
      <w:bookmarkEnd w:id="95"/>
      <w:r>
        <w:t>Review of hydraulic conductivity measurement methods</w:t>
      </w:r>
      <w:bookmarkEnd w:id="96"/>
      <w:bookmarkEnd w:id="97"/>
    </w:p>
    <w:p w14:paraId="3AFBAF90" w14:textId="673D383F" w:rsidR="008A3AEE" w:rsidRDefault="005767B1" w:rsidP="005767B1">
      <w:pPr>
        <w:pStyle w:val="Body"/>
      </w:pPr>
      <w:r>
        <w:t>It is important to recognise t</w:t>
      </w:r>
      <w:r w:rsidRPr="00F1417D">
        <w:t xml:space="preserve">hat </w:t>
      </w:r>
      <w:r>
        <w:t xml:space="preserve">various methods of measuring </w:t>
      </w:r>
      <w:r w:rsidRPr="00F1417D">
        <w:t xml:space="preserve">hydraulic conductivity </w:t>
      </w:r>
      <w:r>
        <w:t>are available</w:t>
      </w:r>
      <w:r w:rsidRPr="00F1417D">
        <w:t xml:space="preserve">, </w:t>
      </w:r>
      <w:r>
        <w:t>each of which correspond to a unique spatial scale. When characterising a groundwater flow system using multiple multi-scale observations, these require simultaneous upscaling and integration</w:t>
      </w:r>
      <w:r w:rsidRPr="00F1417D">
        <w:t>.</w:t>
      </w:r>
      <w:r>
        <w:t xml:space="preserve"> For instance, hydraulic conductivity measurements may exist at each of the five spatial scales shown in </w:t>
      </w:r>
      <w:r w:rsidR="00C71014">
        <w:fldChar w:fldCharType="begin"/>
      </w:r>
      <w:r w:rsidR="00C71014">
        <w:instrText xml:space="preserve"> REF _Ref445911451 \h </w:instrText>
      </w:r>
      <w:r w:rsidR="00C71014">
        <w:fldChar w:fldCharType="separate"/>
      </w:r>
      <w:r w:rsidR="00C52E30">
        <w:t xml:space="preserve">Figure </w:t>
      </w:r>
      <w:r w:rsidR="00C52E30">
        <w:rPr>
          <w:noProof/>
        </w:rPr>
        <w:t>21</w:t>
      </w:r>
      <w:r w:rsidR="00C71014">
        <w:fldChar w:fldCharType="end"/>
      </w:r>
      <w:r>
        <w:t xml:space="preserve">. </w:t>
      </w:r>
    </w:p>
    <w:p w14:paraId="4232BE4F" w14:textId="77777777" w:rsidR="005767B1" w:rsidRDefault="005767B1" w:rsidP="005767B1">
      <w:pPr>
        <w:pStyle w:val="Body"/>
      </w:pPr>
    </w:p>
    <w:p w14:paraId="2FBBAD8C" w14:textId="77777777" w:rsidR="005767B1" w:rsidRDefault="005767B1" w:rsidP="005767B1">
      <w:pPr>
        <w:pStyle w:val="Body"/>
        <w:jc w:val="center"/>
      </w:pPr>
      <w:r>
        <w:rPr>
          <w:noProof/>
          <w:lang w:val="en-AU" w:eastAsia="en-AU"/>
        </w:rPr>
        <w:drawing>
          <wp:inline distT="0" distB="0" distL="0" distR="0" wp14:anchorId="17EF1E59" wp14:editId="00C4BFCB">
            <wp:extent cx="4514850" cy="3932936"/>
            <wp:effectExtent l="0" t="0" r="0" b="0"/>
            <wp:docPr id="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srcRect l="9379" t="15352" r="15779" b="43540"/>
                    <a:stretch>
                      <a:fillRect/>
                    </a:stretch>
                  </pic:blipFill>
                  <pic:spPr bwMode="auto">
                    <a:xfrm>
                      <a:off x="0" y="0"/>
                      <a:ext cx="4533384" cy="3949082"/>
                    </a:xfrm>
                    <a:prstGeom prst="rect">
                      <a:avLst/>
                    </a:prstGeom>
                    <a:noFill/>
                    <a:ln w="9525">
                      <a:noFill/>
                      <a:miter lim="800000"/>
                      <a:headEnd/>
                      <a:tailEnd/>
                    </a:ln>
                  </pic:spPr>
                </pic:pic>
              </a:graphicData>
            </a:graphic>
          </wp:inline>
        </w:drawing>
      </w:r>
    </w:p>
    <w:p w14:paraId="4DFDAD53" w14:textId="77777777" w:rsidR="005767B1" w:rsidRDefault="005767B1" w:rsidP="005767B1">
      <w:pPr>
        <w:pStyle w:val="Imagecaption"/>
      </w:pPr>
      <w:bookmarkStart w:id="98" w:name="_Ref445911451"/>
      <w:bookmarkStart w:id="99" w:name="_Toc449696311"/>
      <w:r>
        <w:t xml:space="preserve">Figure </w:t>
      </w:r>
      <w:r>
        <w:fldChar w:fldCharType="begin"/>
      </w:r>
      <w:r>
        <w:instrText xml:space="preserve"> SEQ Figure \* ARABIC </w:instrText>
      </w:r>
      <w:r>
        <w:fldChar w:fldCharType="separate"/>
      </w:r>
      <w:r w:rsidR="00C52E30">
        <w:rPr>
          <w:noProof/>
        </w:rPr>
        <w:t>21</w:t>
      </w:r>
      <w:r>
        <w:fldChar w:fldCharType="end"/>
      </w:r>
      <w:bookmarkEnd w:id="98"/>
      <w:r>
        <w:t xml:space="preserve">. Iterative reduction in representative elementary volume (i.e., scale) of observation, from regional scale to pore scale </w:t>
      </w:r>
      <w:r>
        <w:fldChar w:fldCharType="begin"/>
      </w:r>
      <w:r>
        <w:instrText xml:space="preserve"> ADDIN EN.CITE &lt;EndNote&gt;&lt;Cite&gt;&lt;Author&gt;Weber&lt;/Author&gt;&lt;Year&gt;1986&lt;/Year&gt;&lt;IDText&gt;How heterogeneity affects oil recovery&lt;/IDText&gt;&lt;DisplayText&gt;(Weber, 1986)&lt;/DisplayText&gt;&lt;record&gt;&lt;titles&gt;&lt;title&gt;How heterogeneity affects oil recovery&lt;/title&gt;&lt;secondary-title&gt;Reservoir characterization&lt;/secondary-title&gt;&lt;/titles&gt;&lt;pages&gt;544&lt;/pages&gt;&lt;contributors&gt;&lt;authors&gt;&lt;author&gt;Weber, KJ&lt;/author&gt;&lt;/authors&gt;&lt;/contributors&gt;&lt;added-date format="utc"&gt;1434610388&lt;/added-date&gt;&lt;ref-type name="Journal Article"&gt;17&lt;/ref-type&gt;&lt;dates&gt;&lt;year&gt;1986&lt;/year&gt;&lt;/dates&gt;&lt;rec-number&gt;358&lt;/rec-number&gt;&lt;last-updated-date format="utc"&gt;1434610388&lt;/last-updated-date&gt;&lt;volume&gt;487&lt;/volume&gt;&lt;/record&gt;&lt;/Cite&gt;&lt;/EndNote&gt;</w:instrText>
      </w:r>
      <w:r>
        <w:fldChar w:fldCharType="separate"/>
      </w:r>
      <w:r>
        <w:rPr>
          <w:noProof/>
        </w:rPr>
        <w:t>(Weber, 1986)</w:t>
      </w:r>
      <w:r>
        <w:fldChar w:fldCharType="end"/>
      </w:r>
      <w:r>
        <w:t>.</w:t>
      </w:r>
      <w:bookmarkEnd w:id="99"/>
      <w:r>
        <w:t xml:space="preserve"> </w:t>
      </w:r>
    </w:p>
    <w:p w14:paraId="4548DB72" w14:textId="77777777" w:rsidR="008A3AEE" w:rsidRDefault="008A3AEE" w:rsidP="008A3AEE">
      <w:pPr>
        <w:pStyle w:val="Body"/>
      </w:pPr>
      <w:r>
        <w:t xml:space="preserve">At the largest scale, hydraulic conductivities are typically derived through inverse modelling involving matching groundwater flow model outputs to observation data, such as hydraulic heads </w:t>
      </w:r>
      <w:r>
        <w:fldChar w:fldCharType="begin"/>
      </w:r>
      <w:r>
        <w:instrText xml:space="preserve"> ADDIN EN.CITE &lt;EndNote&gt;&lt;Cite&gt;&lt;Author&gt;Laloy&lt;/Author&gt;&lt;Year&gt;2013&lt;/Year&gt;&lt;IDText&gt;Efficient posterior exploration of a high‐dimensional groundwater model from two‐stage Markov chain Monte Carlo simulation and polynomial chaos expansion&lt;/IDText&gt;&lt;DisplayText&gt;(Laloy et al., 2013)&lt;/DisplayText&gt;&lt;record&gt;&lt;isbn&gt;1944-7973&lt;/isbn&gt;&lt;titles&gt;&lt;title&gt;Efficient posterior exploration of a high‐dimensional groundwater model from two‐stage Markov chain Monte Carlo simulation and polynomial chaos expansion&lt;/title&gt;&lt;secondary-title&gt;Water Resources Research&lt;/secondary-title&gt;&lt;/titles&gt;&lt;pages&gt;2664-2682&lt;/pages&gt;&lt;number&gt;5&lt;/number&gt;&lt;contributors&gt;&lt;authors&gt;&lt;author&gt;Laloy, Eric&lt;/author&gt;&lt;author&gt;Rogiers, Bart&lt;/author&gt;&lt;author&gt;Vrugt, Jasper A&lt;/author&gt;&lt;author&gt;Mallants, Dirk&lt;/author&gt;&lt;author&gt;Jacques, Diederik&lt;/author&gt;&lt;/authors&gt;&lt;/contributors&gt;&lt;added-date format="utc"&gt;1434519146&lt;/added-date&gt;&lt;ref-type name="Journal Article"&gt;17&lt;/ref-type&gt;&lt;dates&gt;&lt;year&gt;2013&lt;/year&gt;&lt;/dates&gt;&lt;rec-number&gt;332&lt;/rec-number&gt;&lt;last-updated-date format="utc"&gt;1434519146&lt;/last-updated-date&gt;&lt;volume&gt;49&lt;/volume&gt;&lt;/record&gt;&lt;/Cite&gt;&lt;/EndNote&gt;</w:instrText>
      </w:r>
      <w:r>
        <w:fldChar w:fldCharType="separate"/>
      </w:r>
      <w:r>
        <w:rPr>
          <w:noProof/>
        </w:rPr>
        <w:t>(Laloy et al., 2013)</w:t>
      </w:r>
      <w:r>
        <w:fldChar w:fldCharType="end"/>
      </w:r>
      <w:r>
        <w:t xml:space="preserve">. At the next largest scale, pump tests may be applied (Bredehoeft et al., 1983). At the next scale, </w:t>
      </w:r>
      <w:r w:rsidRPr="00921712">
        <w:t xml:space="preserve">hydraulic conductivity may be derived from slug tests, </w:t>
      </w:r>
      <w:r>
        <w:t>single well tests with packers or drill stem tests (QWC, 2012). Core-scale measurements are typically used at the centimetre to decimetre scale (QGC, 2013). For micro- or even nano-meter scale hydraulic conductivities pore-scale modelling can be applied based on reconstructed 3-D pore models derived from micro-</w:t>
      </w:r>
      <w:r w:rsidRPr="00973F97">
        <w:t>computed tomography</w:t>
      </w:r>
      <w:r>
        <w:t xml:space="preserve"> images </w:t>
      </w:r>
      <w:r>
        <w:fldChar w:fldCharType="begin"/>
      </w:r>
      <w:r>
        <w:instrText xml:space="preserve"> ADDIN EN.CITE &lt;EndNote&gt;&lt;Cite&gt;&lt;Author&gt;Korost&lt;/Author&gt;&lt;Year&gt;2013&lt;/Year&gt;&lt;IDText&gt;Determining Physical Properties of Unconventional Reservoir Rocks: from Laboratory Methods to Pore-Scale Modeling&lt;/IDText&gt;&lt;DisplayText&gt;(Korost et al., 2013)&lt;/DisplayText&gt;&lt;record&gt;&lt;isbn&gt;1613992556&lt;/isbn&gt;&lt;titles&gt;&lt;title&gt;Determining Physical Properties of Unconventional Reservoir Rocks: from Laboratory Methods to Pore-Scale Modeling&lt;/title&gt;&lt;secondary-title&gt;SPE Unconventional Resources Conference and Exhibition-Asia Pacific&lt;/secondary-title&gt;&lt;/titles&gt;&lt;contributors&gt;&lt;authors&gt;&lt;author&gt;Korost, Dmitry&lt;/author&gt;&lt;author&gt;Mallants, Dirk&lt;/author&gt;&lt;author&gt;Balushkina, Natalya&lt;/author&gt;&lt;author&gt;Vasilyev, Roman&lt;/author&gt;&lt;author&gt;Khamidullin, Ruslan&lt;/author&gt;&lt;author&gt;Karsanina, Marina&lt;/author&gt;&lt;author&gt;Gerke, Kirill&lt;/author&gt;&lt;author&gt;Kalmikov, Georgy&lt;/author&gt;&lt;/authors&gt;&lt;/contributors&gt;&lt;added-date format="utc"&gt;1434519226&lt;/added-date&gt;&lt;ref-type name="Conference Proceedings"&gt;10&lt;/ref-type&gt;&lt;dates&gt;&lt;year&gt;2013&lt;/year&gt;&lt;/dates&gt;&lt;rec-number&gt;333&lt;/rec-number&gt;&lt;publisher&gt;Society of Petroleum Engineers&lt;/publisher&gt;&lt;last-updated-date format="utc"&gt;1434519338&lt;/last-updated-date&gt;&lt;/record&gt;&lt;/Cite&gt;&lt;/EndNote&gt;</w:instrText>
      </w:r>
      <w:r>
        <w:fldChar w:fldCharType="separate"/>
      </w:r>
      <w:r>
        <w:rPr>
          <w:noProof/>
        </w:rPr>
        <w:t>(Gerke et al., 2013)</w:t>
      </w:r>
      <w:r>
        <w:fldChar w:fldCharType="end"/>
      </w:r>
      <w:r>
        <w:t>.</w:t>
      </w:r>
    </w:p>
    <w:p w14:paraId="1A2A9BE2" w14:textId="1AFC1CFE" w:rsidR="0002530F" w:rsidRDefault="000C3399" w:rsidP="0002530F">
      <w:pPr>
        <w:pStyle w:val="Body"/>
      </w:pPr>
      <w:r w:rsidRPr="000C3399">
        <w:t xml:space="preserve">Methods for obtaining hydraulic properties are summarised in </w:t>
      </w:r>
      <w:r w:rsidR="00C71014">
        <w:fldChar w:fldCharType="begin"/>
      </w:r>
      <w:r w:rsidR="00C71014">
        <w:instrText xml:space="preserve"> REF _Ref445911491 \h </w:instrText>
      </w:r>
      <w:r>
        <w:instrText xml:space="preserve"> \* MERGEFORMAT </w:instrText>
      </w:r>
      <w:r w:rsidR="00C71014">
        <w:fldChar w:fldCharType="separate"/>
      </w:r>
      <w:r w:rsidR="00C52E30" w:rsidRPr="007A455F">
        <w:t xml:space="preserve">Table </w:t>
      </w:r>
      <w:r w:rsidR="00C52E30">
        <w:t>3</w:t>
      </w:r>
      <w:r w:rsidR="00C71014">
        <w:fldChar w:fldCharType="end"/>
      </w:r>
      <w:r w:rsidR="0002530F" w:rsidRPr="0064771A">
        <w:t xml:space="preserve">. Hydraulic property observations are summarised </w:t>
      </w:r>
      <w:r w:rsidR="0002530F">
        <w:t>in terms of increasing mea</w:t>
      </w:r>
      <w:r w:rsidR="0002530F" w:rsidRPr="0064771A">
        <w:t xml:space="preserve">surement scale, </w:t>
      </w:r>
      <w:r w:rsidR="0002530F">
        <w:t xml:space="preserve">ranging </w:t>
      </w:r>
      <w:r w:rsidR="0002530F" w:rsidRPr="0064771A">
        <w:t>from core scale to regional scale.</w:t>
      </w:r>
      <w:r w:rsidR="0002530F">
        <w:t xml:space="preserve"> A detailed discussion of the main three observation/measurement scales is provided in Sections </w:t>
      </w:r>
      <w:r w:rsidR="00C71014">
        <w:fldChar w:fldCharType="begin"/>
      </w:r>
      <w:r w:rsidR="00C71014">
        <w:instrText xml:space="preserve"> REF _Ref445911529 \r \h </w:instrText>
      </w:r>
      <w:r w:rsidR="00C71014">
        <w:fldChar w:fldCharType="separate"/>
      </w:r>
      <w:r w:rsidR="00C52E30">
        <w:t>3.1.1</w:t>
      </w:r>
      <w:r w:rsidR="00C71014">
        <w:fldChar w:fldCharType="end"/>
      </w:r>
      <w:r w:rsidR="0002530F">
        <w:t xml:space="preserve"> to </w:t>
      </w:r>
      <w:r>
        <w:fldChar w:fldCharType="begin"/>
      </w:r>
      <w:r>
        <w:instrText xml:space="preserve"> REF _Ref449650958 \r \h </w:instrText>
      </w:r>
      <w:r>
        <w:fldChar w:fldCharType="separate"/>
      </w:r>
      <w:r w:rsidR="00C52E30">
        <w:t>3.1.3</w:t>
      </w:r>
      <w:r>
        <w:fldChar w:fldCharType="end"/>
      </w:r>
      <w:r w:rsidR="0002530F">
        <w:t xml:space="preserve"> .</w:t>
      </w:r>
    </w:p>
    <w:p w14:paraId="6FAAF435" w14:textId="77777777" w:rsidR="0002530F" w:rsidRDefault="0002530F" w:rsidP="0002530F">
      <w:pPr>
        <w:pStyle w:val="Body"/>
      </w:pPr>
    </w:p>
    <w:p w14:paraId="0C677D8F" w14:textId="77777777" w:rsidR="0002530F" w:rsidRPr="002007DF" w:rsidRDefault="0002530F" w:rsidP="0002530F">
      <w:pPr>
        <w:pStyle w:val="Imagecaption"/>
        <w:keepNext/>
        <w:pBdr>
          <w:top w:val="none" w:sz="0" w:space="0" w:color="auto"/>
        </w:pBdr>
      </w:pPr>
      <w:bookmarkStart w:id="100" w:name="_Ref445911491"/>
      <w:bookmarkStart w:id="101" w:name="_Toc449696223"/>
      <w:r w:rsidRPr="007A455F">
        <w:t xml:space="preserve">Table </w:t>
      </w:r>
      <w:r>
        <w:fldChar w:fldCharType="begin"/>
      </w:r>
      <w:r>
        <w:instrText xml:space="preserve"> SEQ Table \* ARABIC </w:instrText>
      </w:r>
      <w:r>
        <w:fldChar w:fldCharType="separate"/>
      </w:r>
      <w:r w:rsidR="00C52E30">
        <w:rPr>
          <w:noProof/>
        </w:rPr>
        <w:t>3</w:t>
      </w:r>
      <w:r>
        <w:fldChar w:fldCharType="end"/>
      </w:r>
      <w:bookmarkEnd w:id="100"/>
      <w:r w:rsidRPr="007A455F">
        <w:t>. Summary of methods available for the measurement of hydr</w:t>
      </w:r>
      <w:r>
        <w:t>aulic</w:t>
      </w:r>
      <w:r w:rsidRPr="007A455F">
        <w:t xml:space="preserve"> parameters.</w:t>
      </w:r>
      <w:bookmarkEnd w:id="101"/>
    </w:p>
    <w:tbl>
      <w:tblPr>
        <w:tblStyle w:val="TableGrid"/>
        <w:tblW w:w="0" w:type="auto"/>
        <w:tblLook w:val="04A0" w:firstRow="1" w:lastRow="0" w:firstColumn="1" w:lastColumn="0" w:noHBand="0" w:noVBand="1"/>
      </w:tblPr>
      <w:tblGrid>
        <w:gridCol w:w="1317"/>
        <w:gridCol w:w="1215"/>
        <w:gridCol w:w="41"/>
        <w:gridCol w:w="1321"/>
        <w:gridCol w:w="2024"/>
        <w:gridCol w:w="1287"/>
        <w:gridCol w:w="1805"/>
      </w:tblGrid>
      <w:tr w:rsidR="0002530F" w:rsidRPr="00523374" w14:paraId="032C49B3" w14:textId="77777777" w:rsidTr="00235FE2">
        <w:tc>
          <w:tcPr>
            <w:tcW w:w="1325" w:type="dxa"/>
            <w:shd w:val="clear" w:color="auto" w:fill="F2F2F2" w:themeFill="background1" w:themeFillShade="F2"/>
            <w:vAlign w:val="bottom"/>
          </w:tcPr>
          <w:p w14:paraId="7948846D" w14:textId="77777777" w:rsidR="0002530F" w:rsidRPr="00523374" w:rsidRDefault="0002530F" w:rsidP="00235FE2">
            <w:pPr>
              <w:pStyle w:val="Body"/>
              <w:keepNext/>
              <w:spacing w:before="20" w:after="20"/>
            </w:pPr>
            <w:r w:rsidRPr="00523374">
              <w:t>Method type</w:t>
            </w:r>
          </w:p>
        </w:tc>
        <w:tc>
          <w:tcPr>
            <w:tcW w:w="2621" w:type="dxa"/>
            <w:gridSpan w:val="3"/>
            <w:shd w:val="clear" w:color="auto" w:fill="F2F2F2" w:themeFill="background1" w:themeFillShade="F2"/>
            <w:vAlign w:val="bottom"/>
          </w:tcPr>
          <w:p w14:paraId="6E0D539D" w14:textId="77777777" w:rsidR="0002530F" w:rsidRPr="00523374" w:rsidRDefault="0002530F" w:rsidP="00235FE2">
            <w:pPr>
              <w:pStyle w:val="Body"/>
              <w:keepNext/>
              <w:spacing w:before="20" w:after="20"/>
            </w:pPr>
            <w:r w:rsidRPr="00523374">
              <w:t>Test method</w:t>
            </w:r>
          </w:p>
        </w:tc>
        <w:tc>
          <w:tcPr>
            <w:tcW w:w="2116" w:type="dxa"/>
            <w:shd w:val="clear" w:color="auto" w:fill="F2F2F2" w:themeFill="background1" w:themeFillShade="F2"/>
            <w:vAlign w:val="bottom"/>
          </w:tcPr>
          <w:p w14:paraId="104D9E5B" w14:textId="77777777" w:rsidR="0002530F" w:rsidRPr="00523374" w:rsidRDefault="0002530F" w:rsidP="00235FE2">
            <w:pPr>
              <w:pStyle w:val="Body"/>
              <w:keepNext/>
              <w:spacing w:before="20" w:after="20"/>
            </w:pPr>
            <w:r w:rsidRPr="00523374">
              <w:t xml:space="preserve">Measurement scale </w:t>
            </w:r>
          </w:p>
        </w:tc>
        <w:tc>
          <w:tcPr>
            <w:tcW w:w="1292" w:type="dxa"/>
            <w:shd w:val="clear" w:color="auto" w:fill="F2F2F2" w:themeFill="background1" w:themeFillShade="F2"/>
            <w:vAlign w:val="bottom"/>
          </w:tcPr>
          <w:p w14:paraId="0CC0C754" w14:textId="77777777" w:rsidR="0002530F" w:rsidRPr="00523374" w:rsidRDefault="0002530F" w:rsidP="00235FE2">
            <w:pPr>
              <w:pStyle w:val="Body"/>
              <w:keepNext/>
              <w:spacing w:before="20" w:after="20"/>
            </w:pPr>
            <w:r w:rsidRPr="00523374">
              <w:t>Observation</w:t>
            </w:r>
          </w:p>
        </w:tc>
        <w:tc>
          <w:tcPr>
            <w:tcW w:w="1882" w:type="dxa"/>
            <w:shd w:val="clear" w:color="auto" w:fill="F2F2F2" w:themeFill="background1" w:themeFillShade="F2"/>
            <w:vAlign w:val="bottom"/>
          </w:tcPr>
          <w:p w14:paraId="5AAB92D1" w14:textId="77777777" w:rsidR="0002530F" w:rsidRPr="00523374" w:rsidRDefault="0002530F" w:rsidP="00235FE2">
            <w:pPr>
              <w:pStyle w:val="Body"/>
              <w:keepNext/>
              <w:spacing w:before="20" w:after="20"/>
            </w:pPr>
            <w:r>
              <w:t>D</w:t>
            </w:r>
            <w:r w:rsidRPr="00523374">
              <w:t xml:space="preserve">erived property </w:t>
            </w:r>
          </w:p>
        </w:tc>
      </w:tr>
      <w:tr w:rsidR="0002530F" w14:paraId="7BA05683" w14:textId="77777777" w:rsidTr="00235FE2">
        <w:trPr>
          <w:trHeight w:val="272"/>
        </w:trPr>
        <w:tc>
          <w:tcPr>
            <w:tcW w:w="1325" w:type="dxa"/>
            <w:vMerge w:val="restart"/>
          </w:tcPr>
          <w:p w14:paraId="55140F79" w14:textId="77777777" w:rsidR="0002530F" w:rsidRPr="00E574B5" w:rsidRDefault="0002530F" w:rsidP="00235FE2">
            <w:pPr>
              <w:pStyle w:val="Body"/>
              <w:keepNext/>
              <w:spacing w:before="20" w:after="20"/>
            </w:pPr>
            <w:r>
              <w:t>Hydraulic, l</w:t>
            </w:r>
            <w:r w:rsidRPr="00E574B5">
              <w:t>aboratory</w:t>
            </w:r>
            <w:r>
              <w:t xml:space="preserve"> based</w:t>
            </w:r>
          </w:p>
        </w:tc>
        <w:tc>
          <w:tcPr>
            <w:tcW w:w="1260" w:type="dxa"/>
            <w:gridSpan w:val="2"/>
            <w:vMerge w:val="restart"/>
          </w:tcPr>
          <w:p w14:paraId="7DA27EAE" w14:textId="77777777" w:rsidR="0002530F" w:rsidRPr="00E574B5" w:rsidRDefault="0002530F" w:rsidP="00235FE2">
            <w:pPr>
              <w:pStyle w:val="Body"/>
              <w:keepNext/>
              <w:spacing w:before="20" w:after="20"/>
            </w:pPr>
            <w:r>
              <w:t>Permeameter tests</w:t>
            </w:r>
          </w:p>
        </w:tc>
        <w:tc>
          <w:tcPr>
            <w:tcW w:w="1361" w:type="dxa"/>
          </w:tcPr>
          <w:p w14:paraId="5DE2D55E" w14:textId="77777777" w:rsidR="0002530F" w:rsidRPr="00E574B5" w:rsidRDefault="0002530F" w:rsidP="00235FE2">
            <w:pPr>
              <w:pStyle w:val="Body"/>
              <w:keepNext/>
              <w:spacing w:before="20" w:after="20"/>
            </w:pPr>
            <w:r>
              <w:t>Constant head</w:t>
            </w:r>
          </w:p>
        </w:tc>
        <w:tc>
          <w:tcPr>
            <w:tcW w:w="2116" w:type="dxa"/>
            <w:vMerge w:val="restart"/>
          </w:tcPr>
          <w:p w14:paraId="6220503D" w14:textId="77777777" w:rsidR="0002530F" w:rsidRPr="00E574B5" w:rsidRDefault="0002530F" w:rsidP="00235FE2">
            <w:pPr>
              <w:pStyle w:val="Body"/>
              <w:keepNext/>
              <w:spacing w:before="20" w:after="20"/>
            </w:pPr>
            <w:r>
              <w:t xml:space="preserve">Core-scale. Point values conducted on small samples, often collected during drilling </w:t>
            </w:r>
          </w:p>
        </w:tc>
        <w:tc>
          <w:tcPr>
            <w:tcW w:w="1292" w:type="dxa"/>
          </w:tcPr>
          <w:p w14:paraId="0CB30CE1" w14:textId="77777777" w:rsidR="0002530F" w:rsidRPr="00E574B5" w:rsidRDefault="0002530F" w:rsidP="00235FE2">
            <w:pPr>
              <w:pStyle w:val="Body"/>
              <w:keepNext/>
              <w:spacing w:before="20" w:after="20"/>
            </w:pPr>
            <w:r>
              <w:t>Flux</w:t>
            </w:r>
          </w:p>
        </w:tc>
        <w:tc>
          <w:tcPr>
            <w:tcW w:w="1882" w:type="dxa"/>
            <w:vMerge w:val="restart"/>
          </w:tcPr>
          <w:p w14:paraId="4C01C99C" w14:textId="77777777" w:rsidR="0002530F" w:rsidRDefault="0002530F" w:rsidP="00235FE2">
            <w:pPr>
              <w:pStyle w:val="Body"/>
              <w:keepNext/>
              <w:spacing w:before="20" w:after="20"/>
            </w:pPr>
            <w:r>
              <w:t>Hydraulic conductivity</w:t>
            </w:r>
          </w:p>
        </w:tc>
      </w:tr>
      <w:tr w:rsidR="0002530F" w14:paraId="7A617273" w14:textId="77777777" w:rsidTr="00235FE2">
        <w:trPr>
          <w:trHeight w:val="270"/>
        </w:trPr>
        <w:tc>
          <w:tcPr>
            <w:tcW w:w="1325" w:type="dxa"/>
            <w:vMerge/>
          </w:tcPr>
          <w:p w14:paraId="5123CE8F" w14:textId="77777777" w:rsidR="0002530F" w:rsidRPr="00E574B5" w:rsidRDefault="0002530F" w:rsidP="00235FE2">
            <w:pPr>
              <w:pStyle w:val="Body"/>
              <w:keepNext/>
              <w:spacing w:before="20" w:after="20"/>
            </w:pPr>
          </w:p>
        </w:tc>
        <w:tc>
          <w:tcPr>
            <w:tcW w:w="1260" w:type="dxa"/>
            <w:gridSpan w:val="2"/>
            <w:vMerge/>
          </w:tcPr>
          <w:p w14:paraId="65B81E3C" w14:textId="77777777" w:rsidR="0002530F" w:rsidRDefault="0002530F" w:rsidP="00235FE2">
            <w:pPr>
              <w:pStyle w:val="Body"/>
              <w:keepNext/>
              <w:spacing w:before="20" w:after="20"/>
            </w:pPr>
          </w:p>
        </w:tc>
        <w:tc>
          <w:tcPr>
            <w:tcW w:w="1361" w:type="dxa"/>
          </w:tcPr>
          <w:p w14:paraId="636CDF47" w14:textId="77777777" w:rsidR="0002530F" w:rsidRPr="00E574B5" w:rsidRDefault="0002530F" w:rsidP="00235FE2">
            <w:pPr>
              <w:pStyle w:val="Body"/>
              <w:keepNext/>
              <w:spacing w:before="20" w:after="20"/>
            </w:pPr>
            <w:r>
              <w:t>Triaxial cell</w:t>
            </w:r>
          </w:p>
        </w:tc>
        <w:tc>
          <w:tcPr>
            <w:tcW w:w="2116" w:type="dxa"/>
            <w:vMerge/>
          </w:tcPr>
          <w:p w14:paraId="62BE8DD1" w14:textId="77777777" w:rsidR="0002530F" w:rsidRDefault="0002530F" w:rsidP="00235FE2">
            <w:pPr>
              <w:pStyle w:val="Body"/>
              <w:keepNext/>
              <w:spacing w:before="20" w:after="20"/>
            </w:pPr>
          </w:p>
        </w:tc>
        <w:tc>
          <w:tcPr>
            <w:tcW w:w="1292" w:type="dxa"/>
          </w:tcPr>
          <w:p w14:paraId="435381C3" w14:textId="77777777" w:rsidR="0002530F" w:rsidRDefault="0002530F" w:rsidP="00235FE2">
            <w:pPr>
              <w:pStyle w:val="Body"/>
              <w:keepNext/>
              <w:spacing w:before="20" w:after="20"/>
            </w:pPr>
            <w:r>
              <w:t>Flux</w:t>
            </w:r>
          </w:p>
        </w:tc>
        <w:tc>
          <w:tcPr>
            <w:tcW w:w="1882" w:type="dxa"/>
            <w:vMerge/>
          </w:tcPr>
          <w:p w14:paraId="75A5F2D3" w14:textId="77777777" w:rsidR="0002530F" w:rsidRDefault="0002530F" w:rsidP="00235FE2">
            <w:pPr>
              <w:pStyle w:val="Body"/>
              <w:keepNext/>
              <w:spacing w:before="20" w:after="20"/>
            </w:pPr>
          </w:p>
        </w:tc>
      </w:tr>
      <w:tr w:rsidR="0002530F" w14:paraId="1AC34746" w14:textId="77777777" w:rsidTr="00235FE2">
        <w:trPr>
          <w:trHeight w:val="270"/>
        </w:trPr>
        <w:tc>
          <w:tcPr>
            <w:tcW w:w="1325" w:type="dxa"/>
            <w:vMerge/>
          </w:tcPr>
          <w:p w14:paraId="077091E7" w14:textId="77777777" w:rsidR="0002530F" w:rsidRPr="00E574B5" w:rsidRDefault="0002530F" w:rsidP="00235FE2">
            <w:pPr>
              <w:pStyle w:val="Body"/>
              <w:keepNext/>
              <w:spacing w:before="20" w:after="20"/>
            </w:pPr>
          </w:p>
        </w:tc>
        <w:tc>
          <w:tcPr>
            <w:tcW w:w="1260" w:type="dxa"/>
            <w:gridSpan w:val="2"/>
            <w:vMerge/>
          </w:tcPr>
          <w:p w14:paraId="049A0298" w14:textId="77777777" w:rsidR="0002530F" w:rsidRDefault="0002530F" w:rsidP="00235FE2">
            <w:pPr>
              <w:pStyle w:val="Body"/>
              <w:keepNext/>
              <w:spacing w:before="20" w:after="20"/>
            </w:pPr>
          </w:p>
        </w:tc>
        <w:tc>
          <w:tcPr>
            <w:tcW w:w="1361" w:type="dxa"/>
          </w:tcPr>
          <w:p w14:paraId="23623320" w14:textId="77777777" w:rsidR="0002530F" w:rsidRPr="00E574B5" w:rsidRDefault="0002530F" w:rsidP="00235FE2">
            <w:pPr>
              <w:pStyle w:val="Body"/>
              <w:keepNext/>
              <w:spacing w:before="20" w:after="20"/>
            </w:pPr>
            <w:r>
              <w:t>Centrifuge</w:t>
            </w:r>
          </w:p>
        </w:tc>
        <w:tc>
          <w:tcPr>
            <w:tcW w:w="2116" w:type="dxa"/>
            <w:vMerge/>
          </w:tcPr>
          <w:p w14:paraId="0950050E" w14:textId="77777777" w:rsidR="0002530F" w:rsidRDefault="0002530F" w:rsidP="00235FE2">
            <w:pPr>
              <w:pStyle w:val="Body"/>
              <w:keepNext/>
              <w:spacing w:before="20" w:after="20"/>
            </w:pPr>
          </w:p>
        </w:tc>
        <w:tc>
          <w:tcPr>
            <w:tcW w:w="1292" w:type="dxa"/>
          </w:tcPr>
          <w:p w14:paraId="5DDEA6ED" w14:textId="77777777" w:rsidR="0002530F" w:rsidRDefault="0002530F" w:rsidP="00235FE2">
            <w:pPr>
              <w:pStyle w:val="Body"/>
              <w:keepNext/>
              <w:spacing w:before="20" w:after="20"/>
            </w:pPr>
            <w:r>
              <w:t>Flux</w:t>
            </w:r>
          </w:p>
        </w:tc>
        <w:tc>
          <w:tcPr>
            <w:tcW w:w="1882" w:type="dxa"/>
            <w:vMerge/>
          </w:tcPr>
          <w:p w14:paraId="41B6BED2" w14:textId="77777777" w:rsidR="0002530F" w:rsidRDefault="0002530F" w:rsidP="00235FE2">
            <w:pPr>
              <w:pStyle w:val="Body"/>
              <w:keepNext/>
              <w:spacing w:before="20" w:after="20"/>
            </w:pPr>
          </w:p>
        </w:tc>
      </w:tr>
      <w:tr w:rsidR="0002530F" w14:paraId="34E47B49" w14:textId="77777777" w:rsidTr="00235FE2">
        <w:trPr>
          <w:trHeight w:val="270"/>
        </w:trPr>
        <w:tc>
          <w:tcPr>
            <w:tcW w:w="1325" w:type="dxa"/>
            <w:vMerge/>
          </w:tcPr>
          <w:p w14:paraId="5091F8C2" w14:textId="77777777" w:rsidR="0002530F" w:rsidRPr="00E574B5" w:rsidRDefault="0002530F" w:rsidP="00235FE2">
            <w:pPr>
              <w:pStyle w:val="Body"/>
              <w:keepNext/>
              <w:spacing w:before="20" w:after="20"/>
            </w:pPr>
          </w:p>
        </w:tc>
        <w:tc>
          <w:tcPr>
            <w:tcW w:w="1260" w:type="dxa"/>
            <w:gridSpan w:val="2"/>
            <w:vMerge/>
          </w:tcPr>
          <w:p w14:paraId="0B010A63" w14:textId="77777777" w:rsidR="0002530F" w:rsidRDefault="0002530F" w:rsidP="00235FE2">
            <w:pPr>
              <w:pStyle w:val="Body"/>
              <w:keepNext/>
              <w:spacing w:before="20" w:after="20"/>
            </w:pPr>
          </w:p>
        </w:tc>
        <w:tc>
          <w:tcPr>
            <w:tcW w:w="1361" w:type="dxa"/>
          </w:tcPr>
          <w:p w14:paraId="41F83E9F" w14:textId="77777777" w:rsidR="0002530F" w:rsidRDefault="0002530F" w:rsidP="00235FE2">
            <w:pPr>
              <w:pStyle w:val="Body"/>
              <w:keepNext/>
              <w:spacing w:before="20" w:after="20"/>
            </w:pPr>
            <w:r>
              <w:t xml:space="preserve">Gas </w:t>
            </w:r>
          </w:p>
        </w:tc>
        <w:tc>
          <w:tcPr>
            <w:tcW w:w="2116" w:type="dxa"/>
            <w:vMerge/>
          </w:tcPr>
          <w:p w14:paraId="6B873E9D" w14:textId="77777777" w:rsidR="0002530F" w:rsidRDefault="0002530F" w:rsidP="00235FE2">
            <w:pPr>
              <w:pStyle w:val="Body"/>
              <w:keepNext/>
              <w:spacing w:before="20" w:after="20"/>
            </w:pPr>
          </w:p>
        </w:tc>
        <w:tc>
          <w:tcPr>
            <w:tcW w:w="1292" w:type="dxa"/>
          </w:tcPr>
          <w:p w14:paraId="3E79F99B" w14:textId="77777777" w:rsidR="0002530F" w:rsidRDefault="0002530F" w:rsidP="00235FE2">
            <w:pPr>
              <w:pStyle w:val="Body"/>
              <w:keepNext/>
              <w:spacing w:before="20" w:after="20"/>
            </w:pPr>
            <w:r>
              <w:t>Flux</w:t>
            </w:r>
          </w:p>
        </w:tc>
        <w:tc>
          <w:tcPr>
            <w:tcW w:w="1882" w:type="dxa"/>
            <w:vMerge/>
          </w:tcPr>
          <w:p w14:paraId="686990CA" w14:textId="77777777" w:rsidR="0002530F" w:rsidRDefault="0002530F" w:rsidP="00235FE2">
            <w:pPr>
              <w:pStyle w:val="Body"/>
              <w:keepNext/>
              <w:spacing w:before="20" w:after="20"/>
            </w:pPr>
          </w:p>
        </w:tc>
      </w:tr>
      <w:tr w:rsidR="0002530F" w14:paraId="7B707791" w14:textId="77777777" w:rsidTr="00235FE2">
        <w:trPr>
          <w:trHeight w:val="157"/>
        </w:trPr>
        <w:tc>
          <w:tcPr>
            <w:tcW w:w="1325" w:type="dxa"/>
            <w:vMerge/>
          </w:tcPr>
          <w:p w14:paraId="3C5A7A8F" w14:textId="77777777" w:rsidR="0002530F" w:rsidRPr="00E574B5" w:rsidRDefault="0002530F" w:rsidP="00235FE2">
            <w:pPr>
              <w:pStyle w:val="Body"/>
              <w:keepNext/>
              <w:spacing w:before="20" w:after="20"/>
            </w:pPr>
          </w:p>
        </w:tc>
        <w:tc>
          <w:tcPr>
            <w:tcW w:w="2621" w:type="dxa"/>
            <w:gridSpan w:val="3"/>
          </w:tcPr>
          <w:p w14:paraId="761C8E06" w14:textId="77777777" w:rsidR="0002530F" w:rsidRDefault="0002530F" w:rsidP="00235FE2">
            <w:pPr>
              <w:pStyle w:val="Body"/>
              <w:keepNext/>
              <w:spacing w:before="20" w:after="20"/>
            </w:pPr>
            <w:r>
              <w:t>Air permeameter</w:t>
            </w:r>
          </w:p>
        </w:tc>
        <w:tc>
          <w:tcPr>
            <w:tcW w:w="2116" w:type="dxa"/>
          </w:tcPr>
          <w:p w14:paraId="4081605C" w14:textId="77777777" w:rsidR="0002530F" w:rsidRDefault="0002530F" w:rsidP="00235FE2">
            <w:pPr>
              <w:pStyle w:val="Body"/>
              <w:keepNext/>
              <w:spacing w:before="20" w:after="20"/>
            </w:pPr>
            <w:r>
              <w:t>Core-scale</w:t>
            </w:r>
          </w:p>
        </w:tc>
        <w:tc>
          <w:tcPr>
            <w:tcW w:w="1292" w:type="dxa"/>
          </w:tcPr>
          <w:p w14:paraId="3E5A7DB7" w14:textId="77777777" w:rsidR="0002530F" w:rsidRDefault="0002530F" w:rsidP="00235FE2">
            <w:pPr>
              <w:pStyle w:val="Body"/>
              <w:keepNext/>
              <w:spacing w:before="20" w:after="20"/>
            </w:pPr>
            <w:r>
              <w:t>Pressure</w:t>
            </w:r>
          </w:p>
        </w:tc>
        <w:tc>
          <w:tcPr>
            <w:tcW w:w="1882" w:type="dxa"/>
            <w:vMerge/>
          </w:tcPr>
          <w:p w14:paraId="3095BC95" w14:textId="77777777" w:rsidR="0002530F" w:rsidRDefault="0002530F" w:rsidP="00235FE2">
            <w:pPr>
              <w:pStyle w:val="Body"/>
              <w:keepNext/>
              <w:spacing w:before="20" w:after="20"/>
            </w:pPr>
          </w:p>
        </w:tc>
      </w:tr>
      <w:tr w:rsidR="0002530F" w14:paraId="456A1B42" w14:textId="77777777" w:rsidTr="00235FE2">
        <w:trPr>
          <w:trHeight w:val="157"/>
        </w:trPr>
        <w:tc>
          <w:tcPr>
            <w:tcW w:w="1325" w:type="dxa"/>
            <w:vMerge/>
          </w:tcPr>
          <w:p w14:paraId="24A7F4E8" w14:textId="77777777" w:rsidR="0002530F" w:rsidRPr="00E574B5" w:rsidRDefault="0002530F" w:rsidP="00235FE2">
            <w:pPr>
              <w:pStyle w:val="Body"/>
              <w:keepNext/>
              <w:spacing w:before="20" w:after="20"/>
            </w:pPr>
          </w:p>
        </w:tc>
        <w:tc>
          <w:tcPr>
            <w:tcW w:w="2621" w:type="dxa"/>
            <w:gridSpan w:val="3"/>
          </w:tcPr>
          <w:p w14:paraId="5A6B2C3D" w14:textId="77777777" w:rsidR="0002530F" w:rsidRDefault="0002530F" w:rsidP="00235FE2">
            <w:pPr>
              <w:pStyle w:val="Body"/>
              <w:keepNext/>
              <w:spacing w:before="20" w:after="20"/>
            </w:pPr>
            <w:r>
              <w:t>Pore-scale modelling based on micro-CT images or mercury porosimetry</w:t>
            </w:r>
          </w:p>
        </w:tc>
        <w:tc>
          <w:tcPr>
            <w:tcW w:w="2116" w:type="dxa"/>
          </w:tcPr>
          <w:p w14:paraId="5C8D16B2" w14:textId="77777777" w:rsidR="0002530F" w:rsidRDefault="0002530F" w:rsidP="00235FE2">
            <w:pPr>
              <w:pStyle w:val="Body"/>
              <w:keepNext/>
              <w:spacing w:before="20" w:after="20"/>
            </w:pPr>
            <w:r>
              <w:t>Core-scale</w:t>
            </w:r>
          </w:p>
        </w:tc>
        <w:tc>
          <w:tcPr>
            <w:tcW w:w="1292" w:type="dxa"/>
          </w:tcPr>
          <w:p w14:paraId="2BAC9224" w14:textId="77777777" w:rsidR="0002530F" w:rsidRDefault="0002530F" w:rsidP="00235FE2">
            <w:pPr>
              <w:pStyle w:val="Body"/>
              <w:keepNext/>
              <w:spacing w:before="20" w:after="20"/>
            </w:pPr>
            <w:r>
              <w:t>Porosity</w:t>
            </w:r>
          </w:p>
        </w:tc>
        <w:tc>
          <w:tcPr>
            <w:tcW w:w="1882" w:type="dxa"/>
            <w:vMerge/>
          </w:tcPr>
          <w:p w14:paraId="166F4300" w14:textId="77777777" w:rsidR="0002530F" w:rsidRDefault="0002530F" w:rsidP="00235FE2">
            <w:pPr>
              <w:pStyle w:val="Body"/>
              <w:keepNext/>
              <w:spacing w:before="20" w:after="20"/>
            </w:pPr>
          </w:p>
        </w:tc>
      </w:tr>
      <w:tr w:rsidR="0002530F" w14:paraId="3995FE44" w14:textId="77777777" w:rsidTr="00235FE2">
        <w:trPr>
          <w:trHeight w:val="146"/>
        </w:trPr>
        <w:tc>
          <w:tcPr>
            <w:tcW w:w="1325" w:type="dxa"/>
            <w:vMerge w:val="restart"/>
          </w:tcPr>
          <w:p w14:paraId="12A49F07" w14:textId="77777777" w:rsidR="0002530F" w:rsidRPr="00E574B5" w:rsidRDefault="0002530F" w:rsidP="00235FE2">
            <w:pPr>
              <w:pStyle w:val="Body"/>
              <w:keepNext/>
              <w:spacing w:before="20" w:after="20"/>
            </w:pPr>
            <w:r w:rsidRPr="00E574B5">
              <w:t>Hydraulic</w:t>
            </w:r>
            <w:r>
              <w:t>, field based</w:t>
            </w:r>
          </w:p>
        </w:tc>
        <w:tc>
          <w:tcPr>
            <w:tcW w:w="1215" w:type="dxa"/>
            <w:vMerge w:val="restart"/>
          </w:tcPr>
          <w:p w14:paraId="5075802C" w14:textId="77777777" w:rsidR="0002530F" w:rsidRPr="00E574B5" w:rsidRDefault="0002530F" w:rsidP="00235FE2">
            <w:pPr>
              <w:pStyle w:val="Body"/>
              <w:keepNext/>
              <w:spacing w:before="20" w:after="20"/>
            </w:pPr>
            <w:r w:rsidRPr="00E574B5">
              <w:t>Single well</w:t>
            </w:r>
          </w:p>
        </w:tc>
        <w:tc>
          <w:tcPr>
            <w:tcW w:w="1406" w:type="dxa"/>
            <w:gridSpan w:val="2"/>
          </w:tcPr>
          <w:p w14:paraId="46C2ED67" w14:textId="77777777" w:rsidR="0002530F" w:rsidRPr="00E574B5" w:rsidRDefault="0002530F" w:rsidP="00235FE2">
            <w:pPr>
              <w:pStyle w:val="Body"/>
              <w:keepNext/>
              <w:spacing w:before="20" w:after="20"/>
            </w:pPr>
            <w:r w:rsidRPr="00E574B5">
              <w:t>Slug test</w:t>
            </w:r>
          </w:p>
        </w:tc>
        <w:tc>
          <w:tcPr>
            <w:tcW w:w="2116" w:type="dxa"/>
          </w:tcPr>
          <w:p w14:paraId="3F1A64F4" w14:textId="77777777" w:rsidR="0002530F" w:rsidRPr="00E574B5" w:rsidRDefault="0002530F" w:rsidP="00235FE2">
            <w:pPr>
              <w:pStyle w:val="Body"/>
              <w:keepNext/>
              <w:spacing w:before="20" w:after="20"/>
            </w:pPr>
            <w:r>
              <w:t>Bore-scale. Near the borehole; intervals when using packers</w:t>
            </w:r>
          </w:p>
        </w:tc>
        <w:tc>
          <w:tcPr>
            <w:tcW w:w="1292" w:type="dxa"/>
          </w:tcPr>
          <w:p w14:paraId="729FCAFD" w14:textId="77777777" w:rsidR="0002530F" w:rsidRPr="00E574B5" w:rsidRDefault="0002530F" w:rsidP="00235FE2">
            <w:pPr>
              <w:pStyle w:val="Body"/>
              <w:keepNext/>
              <w:spacing w:before="20" w:after="20"/>
            </w:pPr>
            <w:r>
              <w:t>Pressure</w:t>
            </w:r>
          </w:p>
        </w:tc>
        <w:tc>
          <w:tcPr>
            <w:tcW w:w="1882" w:type="dxa"/>
          </w:tcPr>
          <w:p w14:paraId="773B50C1" w14:textId="77777777" w:rsidR="0002530F" w:rsidRDefault="0002530F" w:rsidP="00235FE2">
            <w:pPr>
              <w:pStyle w:val="Body"/>
              <w:keepNext/>
              <w:spacing w:before="20" w:after="20"/>
            </w:pPr>
            <w:r>
              <w:t xml:space="preserve">Hydraulic conductivity </w:t>
            </w:r>
          </w:p>
        </w:tc>
      </w:tr>
      <w:tr w:rsidR="0002530F" w14:paraId="6C3138EC" w14:textId="77777777" w:rsidTr="00235FE2">
        <w:trPr>
          <w:trHeight w:val="144"/>
        </w:trPr>
        <w:tc>
          <w:tcPr>
            <w:tcW w:w="1325" w:type="dxa"/>
            <w:vMerge/>
          </w:tcPr>
          <w:p w14:paraId="4A483DCF" w14:textId="77777777" w:rsidR="0002530F" w:rsidRPr="00E574B5" w:rsidRDefault="0002530F" w:rsidP="00235FE2">
            <w:pPr>
              <w:pStyle w:val="Body"/>
              <w:keepNext/>
              <w:spacing w:before="20" w:after="20"/>
            </w:pPr>
          </w:p>
        </w:tc>
        <w:tc>
          <w:tcPr>
            <w:tcW w:w="1215" w:type="dxa"/>
            <w:vMerge/>
          </w:tcPr>
          <w:p w14:paraId="50781680" w14:textId="77777777" w:rsidR="0002530F" w:rsidRPr="00E574B5" w:rsidRDefault="0002530F" w:rsidP="00235FE2">
            <w:pPr>
              <w:pStyle w:val="Body"/>
              <w:keepNext/>
              <w:spacing w:before="20" w:after="20"/>
            </w:pPr>
          </w:p>
        </w:tc>
        <w:tc>
          <w:tcPr>
            <w:tcW w:w="1406" w:type="dxa"/>
            <w:gridSpan w:val="2"/>
          </w:tcPr>
          <w:p w14:paraId="2A040059" w14:textId="77777777" w:rsidR="0002530F" w:rsidRPr="00E574B5" w:rsidRDefault="0002530F" w:rsidP="00235FE2">
            <w:pPr>
              <w:pStyle w:val="Body"/>
              <w:keepNext/>
              <w:spacing w:before="20" w:after="20"/>
            </w:pPr>
            <w:r w:rsidRPr="00E574B5">
              <w:t>Drill stem</w:t>
            </w:r>
            <w:r>
              <w:t xml:space="preserve"> test</w:t>
            </w:r>
          </w:p>
        </w:tc>
        <w:tc>
          <w:tcPr>
            <w:tcW w:w="2116" w:type="dxa"/>
          </w:tcPr>
          <w:p w14:paraId="768E139F" w14:textId="77777777" w:rsidR="0002530F" w:rsidRPr="00E574B5" w:rsidRDefault="0002530F" w:rsidP="00235FE2">
            <w:pPr>
              <w:pStyle w:val="Body"/>
              <w:keepNext/>
              <w:spacing w:before="20" w:after="20"/>
            </w:pPr>
            <w:r>
              <w:t>Bore-scale. Near the borehole; intervals when using packers</w:t>
            </w:r>
          </w:p>
        </w:tc>
        <w:tc>
          <w:tcPr>
            <w:tcW w:w="1292" w:type="dxa"/>
          </w:tcPr>
          <w:p w14:paraId="4393AAEE" w14:textId="77777777" w:rsidR="0002530F" w:rsidRPr="00E574B5" w:rsidRDefault="0002530F" w:rsidP="00235FE2">
            <w:pPr>
              <w:pStyle w:val="Body"/>
              <w:keepNext/>
              <w:spacing w:before="20" w:after="20"/>
            </w:pPr>
            <w:r>
              <w:t>Pressure</w:t>
            </w:r>
          </w:p>
        </w:tc>
        <w:tc>
          <w:tcPr>
            <w:tcW w:w="1882" w:type="dxa"/>
          </w:tcPr>
          <w:p w14:paraId="13114328" w14:textId="77777777" w:rsidR="0002530F" w:rsidRDefault="0002530F" w:rsidP="00235FE2">
            <w:pPr>
              <w:pStyle w:val="Body"/>
              <w:keepNext/>
              <w:spacing w:before="20" w:after="20"/>
            </w:pPr>
            <w:r>
              <w:t>Hydraulic conductivity,</w:t>
            </w:r>
          </w:p>
          <w:p w14:paraId="184A0F14" w14:textId="77777777" w:rsidR="0002530F" w:rsidRDefault="0002530F" w:rsidP="00235FE2">
            <w:pPr>
              <w:pStyle w:val="Body"/>
              <w:keepNext/>
              <w:spacing w:before="20" w:after="20"/>
            </w:pPr>
            <w:r>
              <w:t xml:space="preserve"> storage</w:t>
            </w:r>
          </w:p>
        </w:tc>
      </w:tr>
      <w:tr w:rsidR="0002530F" w14:paraId="52175A31" w14:textId="77777777" w:rsidTr="00235FE2">
        <w:trPr>
          <w:trHeight w:val="144"/>
        </w:trPr>
        <w:tc>
          <w:tcPr>
            <w:tcW w:w="1325" w:type="dxa"/>
            <w:vMerge/>
          </w:tcPr>
          <w:p w14:paraId="37619A97" w14:textId="77777777" w:rsidR="0002530F" w:rsidRPr="00E574B5" w:rsidRDefault="0002530F" w:rsidP="00235FE2">
            <w:pPr>
              <w:pStyle w:val="Body"/>
              <w:keepNext/>
              <w:spacing w:before="20" w:after="20"/>
            </w:pPr>
          </w:p>
        </w:tc>
        <w:tc>
          <w:tcPr>
            <w:tcW w:w="1215" w:type="dxa"/>
            <w:vMerge/>
          </w:tcPr>
          <w:p w14:paraId="36745937" w14:textId="77777777" w:rsidR="0002530F" w:rsidRPr="00E574B5" w:rsidRDefault="0002530F" w:rsidP="00235FE2">
            <w:pPr>
              <w:pStyle w:val="Body"/>
              <w:keepNext/>
              <w:spacing w:before="20" w:after="20"/>
            </w:pPr>
          </w:p>
        </w:tc>
        <w:tc>
          <w:tcPr>
            <w:tcW w:w="1406" w:type="dxa"/>
            <w:gridSpan w:val="2"/>
          </w:tcPr>
          <w:p w14:paraId="288F5BF6" w14:textId="77777777" w:rsidR="0002530F" w:rsidRPr="00E574B5" w:rsidRDefault="0002530F" w:rsidP="00235FE2">
            <w:pPr>
              <w:pStyle w:val="Body"/>
              <w:keepNext/>
              <w:spacing w:before="20" w:after="20"/>
            </w:pPr>
            <w:r>
              <w:t>Flow meters</w:t>
            </w:r>
          </w:p>
        </w:tc>
        <w:tc>
          <w:tcPr>
            <w:tcW w:w="2116" w:type="dxa"/>
            <w:shd w:val="clear" w:color="auto" w:fill="auto"/>
          </w:tcPr>
          <w:p w14:paraId="1EC7C310" w14:textId="77777777" w:rsidR="0002530F" w:rsidRPr="00E574B5" w:rsidRDefault="0002530F" w:rsidP="00235FE2">
            <w:pPr>
              <w:pStyle w:val="Body"/>
              <w:keepNext/>
              <w:spacing w:before="20" w:after="20"/>
            </w:pPr>
            <w:r>
              <w:t>Bore-scale</w:t>
            </w:r>
          </w:p>
        </w:tc>
        <w:tc>
          <w:tcPr>
            <w:tcW w:w="1292" w:type="dxa"/>
          </w:tcPr>
          <w:p w14:paraId="7092F65B" w14:textId="77777777" w:rsidR="0002530F" w:rsidRPr="00E574B5" w:rsidRDefault="0002530F" w:rsidP="00235FE2">
            <w:pPr>
              <w:pStyle w:val="Body"/>
              <w:keepNext/>
              <w:spacing w:before="20" w:after="20"/>
            </w:pPr>
            <w:r>
              <w:t xml:space="preserve">Heat flux, EM current, acoustic  </w:t>
            </w:r>
          </w:p>
        </w:tc>
        <w:tc>
          <w:tcPr>
            <w:tcW w:w="1882" w:type="dxa"/>
          </w:tcPr>
          <w:p w14:paraId="5101EE14" w14:textId="77777777" w:rsidR="0002530F" w:rsidRDefault="0002530F" w:rsidP="00235FE2">
            <w:pPr>
              <w:pStyle w:val="Body"/>
              <w:keepNext/>
              <w:spacing w:before="20" w:after="20"/>
            </w:pPr>
            <w:r>
              <w:t>Hydraulic conductivity</w:t>
            </w:r>
          </w:p>
        </w:tc>
      </w:tr>
      <w:tr w:rsidR="0002530F" w14:paraId="0CD2F851" w14:textId="77777777" w:rsidTr="00235FE2">
        <w:trPr>
          <w:trHeight w:val="144"/>
        </w:trPr>
        <w:tc>
          <w:tcPr>
            <w:tcW w:w="1325" w:type="dxa"/>
            <w:vMerge/>
          </w:tcPr>
          <w:p w14:paraId="64EBFD57" w14:textId="77777777" w:rsidR="0002530F" w:rsidRPr="00E574B5" w:rsidRDefault="0002530F" w:rsidP="00235FE2">
            <w:pPr>
              <w:pStyle w:val="Body"/>
              <w:keepNext/>
              <w:spacing w:before="20" w:after="20"/>
            </w:pPr>
          </w:p>
        </w:tc>
        <w:tc>
          <w:tcPr>
            <w:tcW w:w="1215" w:type="dxa"/>
            <w:vMerge/>
          </w:tcPr>
          <w:p w14:paraId="4C62CFE4" w14:textId="77777777" w:rsidR="0002530F" w:rsidRPr="00E574B5" w:rsidRDefault="0002530F" w:rsidP="00235FE2">
            <w:pPr>
              <w:pStyle w:val="Body"/>
              <w:keepNext/>
              <w:spacing w:before="20" w:after="20"/>
            </w:pPr>
          </w:p>
        </w:tc>
        <w:tc>
          <w:tcPr>
            <w:tcW w:w="1406" w:type="dxa"/>
            <w:gridSpan w:val="2"/>
          </w:tcPr>
          <w:p w14:paraId="05CE3D24" w14:textId="77777777" w:rsidR="0002530F" w:rsidRPr="00E574B5" w:rsidRDefault="0002530F" w:rsidP="00235FE2">
            <w:pPr>
              <w:pStyle w:val="Body"/>
              <w:keepNext/>
              <w:spacing w:before="20" w:after="20"/>
            </w:pPr>
            <w:r w:rsidRPr="00E574B5">
              <w:t>Pump test</w:t>
            </w:r>
          </w:p>
        </w:tc>
        <w:tc>
          <w:tcPr>
            <w:tcW w:w="2116" w:type="dxa"/>
            <w:shd w:val="clear" w:color="auto" w:fill="auto"/>
          </w:tcPr>
          <w:p w14:paraId="540C435A" w14:textId="77777777" w:rsidR="0002530F" w:rsidRDefault="0002530F" w:rsidP="00235FE2">
            <w:pPr>
              <w:pStyle w:val="Body"/>
              <w:keepNext/>
              <w:spacing w:before="20" w:after="20"/>
            </w:pPr>
            <w:r>
              <w:t>Bore-scale. Larger than the borehole; intervals when using packers</w:t>
            </w:r>
          </w:p>
        </w:tc>
        <w:tc>
          <w:tcPr>
            <w:tcW w:w="1292" w:type="dxa"/>
          </w:tcPr>
          <w:p w14:paraId="7580B327" w14:textId="77777777" w:rsidR="0002530F" w:rsidRDefault="0002530F" w:rsidP="00235FE2">
            <w:pPr>
              <w:pStyle w:val="Body"/>
              <w:keepNext/>
              <w:spacing w:before="20" w:after="20"/>
            </w:pPr>
            <w:r>
              <w:t>Pressure</w:t>
            </w:r>
          </w:p>
        </w:tc>
        <w:tc>
          <w:tcPr>
            <w:tcW w:w="1882" w:type="dxa"/>
          </w:tcPr>
          <w:p w14:paraId="6565C8BD" w14:textId="77777777" w:rsidR="0002530F" w:rsidRDefault="0002530F" w:rsidP="00235FE2">
            <w:pPr>
              <w:pStyle w:val="Body"/>
              <w:keepNext/>
              <w:spacing w:before="20" w:after="20"/>
            </w:pPr>
            <w:r>
              <w:t>Hydraulic conductivity</w:t>
            </w:r>
          </w:p>
        </w:tc>
      </w:tr>
      <w:tr w:rsidR="0002530F" w14:paraId="7D4C7B5D" w14:textId="77777777" w:rsidTr="00235FE2">
        <w:trPr>
          <w:trHeight w:val="70"/>
        </w:trPr>
        <w:tc>
          <w:tcPr>
            <w:tcW w:w="1325" w:type="dxa"/>
            <w:vMerge/>
          </w:tcPr>
          <w:p w14:paraId="148D065B" w14:textId="77777777" w:rsidR="0002530F" w:rsidRPr="00E574B5" w:rsidRDefault="0002530F" w:rsidP="00235FE2">
            <w:pPr>
              <w:pStyle w:val="Body"/>
              <w:keepNext/>
              <w:spacing w:before="20" w:after="20"/>
            </w:pPr>
          </w:p>
        </w:tc>
        <w:tc>
          <w:tcPr>
            <w:tcW w:w="2621" w:type="dxa"/>
            <w:gridSpan w:val="3"/>
          </w:tcPr>
          <w:p w14:paraId="01399D1D" w14:textId="77777777" w:rsidR="0002530F" w:rsidRPr="00E574B5" w:rsidRDefault="0002530F" w:rsidP="00235FE2">
            <w:pPr>
              <w:pStyle w:val="Body"/>
              <w:keepNext/>
              <w:spacing w:before="20" w:after="20"/>
            </w:pPr>
            <w:r w:rsidRPr="00E574B5">
              <w:t>Multiple well</w:t>
            </w:r>
            <w:r>
              <w:t>s</w:t>
            </w:r>
          </w:p>
        </w:tc>
        <w:tc>
          <w:tcPr>
            <w:tcW w:w="2116" w:type="dxa"/>
          </w:tcPr>
          <w:p w14:paraId="1A4D2306" w14:textId="77777777" w:rsidR="0002530F" w:rsidRPr="00E574B5" w:rsidRDefault="0002530F" w:rsidP="00235FE2">
            <w:pPr>
              <w:pStyle w:val="Body"/>
              <w:keepNext/>
              <w:spacing w:before="20" w:after="20"/>
            </w:pPr>
            <w:r>
              <w:t>Bore-scale. Averaged over a large aquifer volume, identify anisotropy</w:t>
            </w:r>
          </w:p>
        </w:tc>
        <w:tc>
          <w:tcPr>
            <w:tcW w:w="1292" w:type="dxa"/>
          </w:tcPr>
          <w:p w14:paraId="1C456D95" w14:textId="77777777" w:rsidR="0002530F" w:rsidRPr="00E574B5" w:rsidRDefault="0002530F" w:rsidP="00235FE2">
            <w:pPr>
              <w:pStyle w:val="Body"/>
              <w:keepNext/>
              <w:spacing w:before="20" w:after="20"/>
            </w:pPr>
            <w:r>
              <w:t>Pressure</w:t>
            </w:r>
          </w:p>
        </w:tc>
        <w:tc>
          <w:tcPr>
            <w:tcW w:w="1882" w:type="dxa"/>
          </w:tcPr>
          <w:p w14:paraId="2E89A849" w14:textId="77777777" w:rsidR="0002530F" w:rsidRDefault="0002530F" w:rsidP="00235FE2">
            <w:pPr>
              <w:pStyle w:val="Body"/>
              <w:keepNext/>
              <w:spacing w:before="20" w:after="20"/>
            </w:pPr>
            <w:r>
              <w:t>Hydraulic conductivity,</w:t>
            </w:r>
          </w:p>
          <w:p w14:paraId="7209CEB9" w14:textId="77777777" w:rsidR="0002530F" w:rsidRDefault="0002530F" w:rsidP="00235FE2">
            <w:pPr>
              <w:pStyle w:val="Body"/>
              <w:keepNext/>
              <w:spacing w:before="20" w:after="20"/>
            </w:pPr>
            <w:r>
              <w:t>storage</w:t>
            </w:r>
          </w:p>
        </w:tc>
      </w:tr>
      <w:tr w:rsidR="0002530F" w14:paraId="5C50D948" w14:textId="77777777" w:rsidTr="00235FE2">
        <w:trPr>
          <w:trHeight w:val="70"/>
        </w:trPr>
        <w:tc>
          <w:tcPr>
            <w:tcW w:w="1325" w:type="dxa"/>
            <w:vMerge/>
          </w:tcPr>
          <w:p w14:paraId="7A259372" w14:textId="77777777" w:rsidR="0002530F" w:rsidRPr="00E574B5" w:rsidRDefault="0002530F" w:rsidP="00235FE2">
            <w:pPr>
              <w:pStyle w:val="Body"/>
              <w:keepNext/>
              <w:spacing w:before="20" w:after="20"/>
            </w:pPr>
          </w:p>
        </w:tc>
        <w:tc>
          <w:tcPr>
            <w:tcW w:w="2621" w:type="dxa"/>
            <w:gridSpan w:val="3"/>
          </w:tcPr>
          <w:p w14:paraId="0E967594" w14:textId="77777777" w:rsidR="0002530F" w:rsidRPr="00E574B5" w:rsidRDefault="0002530F" w:rsidP="00235FE2">
            <w:pPr>
              <w:pStyle w:val="Body"/>
              <w:keepNext/>
              <w:spacing w:before="20" w:after="20"/>
            </w:pPr>
            <w:r w:rsidRPr="00E574B5">
              <w:t>Passive test</w:t>
            </w:r>
          </w:p>
        </w:tc>
        <w:tc>
          <w:tcPr>
            <w:tcW w:w="2116" w:type="dxa"/>
          </w:tcPr>
          <w:p w14:paraId="3D29574D" w14:textId="77777777" w:rsidR="0002530F" w:rsidRPr="00E574B5" w:rsidRDefault="0002530F" w:rsidP="00235FE2">
            <w:pPr>
              <w:pStyle w:val="Body"/>
              <w:keepNext/>
              <w:spacing w:before="20" w:after="20"/>
            </w:pPr>
            <w:r>
              <w:t xml:space="preserve">Bore-scale. </w:t>
            </w:r>
            <w:r w:rsidRPr="009716D8">
              <w:t>Averaged over entire aquitard</w:t>
            </w:r>
          </w:p>
        </w:tc>
        <w:tc>
          <w:tcPr>
            <w:tcW w:w="1292" w:type="dxa"/>
          </w:tcPr>
          <w:p w14:paraId="76070913" w14:textId="77777777" w:rsidR="0002530F" w:rsidRPr="00E574B5" w:rsidRDefault="0002530F" w:rsidP="00235FE2">
            <w:pPr>
              <w:pStyle w:val="Body"/>
              <w:keepNext/>
              <w:spacing w:before="20" w:after="20"/>
            </w:pPr>
            <w:r>
              <w:t>Pressure</w:t>
            </w:r>
          </w:p>
        </w:tc>
        <w:tc>
          <w:tcPr>
            <w:tcW w:w="1882" w:type="dxa"/>
          </w:tcPr>
          <w:p w14:paraId="06F41185" w14:textId="77777777" w:rsidR="0002530F" w:rsidRDefault="0002530F" w:rsidP="00235FE2">
            <w:pPr>
              <w:pStyle w:val="Body"/>
              <w:keepNext/>
              <w:spacing w:before="20" w:after="20"/>
            </w:pPr>
            <w:r>
              <w:t xml:space="preserve">Hydraulic conductivity </w:t>
            </w:r>
          </w:p>
        </w:tc>
      </w:tr>
      <w:tr w:rsidR="0002530F" w14:paraId="5A8C3FB1" w14:textId="77777777" w:rsidTr="00235FE2">
        <w:trPr>
          <w:trHeight w:val="70"/>
        </w:trPr>
        <w:tc>
          <w:tcPr>
            <w:tcW w:w="1325" w:type="dxa"/>
            <w:vMerge/>
          </w:tcPr>
          <w:p w14:paraId="24AC8150" w14:textId="77777777" w:rsidR="0002530F" w:rsidRPr="00E574B5" w:rsidRDefault="0002530F" w:rsidP="00235FE2">
            <w:pPr>
              <w:pStyle w:val="Body"/>
              <w:keepNext/>
              <w:spacing w:before="20" w:after="20"/>
            </w:pPr>
          </w:p>
        </w:tc>
        <w:tc>
          <w:tcPr>
            <w:tcW w:w="2621" w:type="dxa"/>
            <w:gridSpan w:val="3"/>
          </w:tcPr>
          <w:p w14:paraId="08E9B1F5" w14:textId="77777777" w:rsidR="0002530F" w:rsidRPr="00E574B5" w:rsidRDefault="0002530F" w:rsidP="00235FE2">
            <w:pPr>
              <w:pStyle w:val="Body"/>
              <w:keepNext/>
              <w:spacing w:before="20" w:after="20"/>
            </w:pPr>
            <w:r>
              <w:t>Time series analysis</w:t>
            </w:r>
          </w:p>
        </w:tc>
        <w:tc>
          <w:tcPr>
            <w:tcW w:w="2116" w:type="dxa"/>
          </w:tcPr>
          <w:p w14:paraId="085CB9F5" w14:textId="77777777" w:rsidR="0002530F" w:rsidRPr="00E574B5" w:rsidRDefault="0002530F" w:rsidP="00235FE2">
            <w:pPr>
              <w:pStyle w:val="Body"/>
              <w:keepNext/>
              <w:spacing w:before="20" w:after="20"/>
            </w:pPr>
            <w:r>
              <w:t xml:space="preserve">Bore-scale. </w:t>
            </w:r>
            <w:r w:rsidRPr="009716D8">
              <w:t>Averaged over entire aquitard</w:t>
            </w:r>
          </w:p>
        </w:tc>
        <w:tc>
          <w:tcPr>
            <w:tcW w:w="1292" w:type="dxa"/>
          </w:tcPr>
          <w:p w14:paraId="68569716" w14:textId="77777777" w:rsidR="0002530F" w:rsidRDefault="0002530F" w:rsidP="00235FE2">
            <w:pPr>
              <w:pStyle w:val="Body"/>
              <w:keepNext/>
              <w:spacing w:before="20" w:after="20"/>
            </w:pPr>
            <w:r>
              <w:t>Pressure</w:t>
            </w:r>
          </w:p>
        </w:tc>
        <w:tc>
          <w:tcPr>
            <w:tcW w:w="1882" w:type="dxa"/>
          </w:tcPr>
          <w:p w14:paraId="5CEF11D7" w14:textId="77777777" w:rsidR="0002530F" w:rsidRDefault="0002530F" w:rsidP="00235FE2">
            <w:pPr>
              <w:pStyle w:val="Body"/>
              <w:keepNext/>
              <w:spacing w:before="20" w:after="20"/>
            </w:pPr>
            <w:r>
              <w:t>Hydraulic conductivity</w:t>
            </w:r>
          </w:p>
        </w:tc>
      </w:tr>
      <w:tr w:rsidR="0002530F" w14:paraId="2DC02335" w14:textId="77777777" w:rsidTr="00235FE2">
        <w:tc>
          <w:tcPr>
            <w:tcW w:w="1325" w:type="dxa"/>
          </w:tcPr>
          <w:p w14:paraId="51745A4B" w14:textId="77777777" w:rsidR="0002530F" w:rsidRPr="00E574B5" w:rsidRDefault="0002530F" w:rsidP="00235FE2">
            <w:pPr>
              <w:pStyle w:val="Body"/>
              <w:spacing w:before="20" w:after="20"/>
            </w:pPr>
            <w:r w:rsidRPr="00E574B5">
              <w:t>Geophysical</w:t>
            </w:r>
          </w:p>
        </w:tc>
        <w:tc>
          <w:tcPr>
            <w:tcW w:w="2621" w:type="dxa"/>
            <w:gridSpan w:val="3"/>
            <w:shd w:val="clear" w:color="auto" w:fill="auto"/>
          </w:tcPr>
          <w:p w14:paraId="77B8C5C9" w14:textId="77777777" w:rsidR="0002530F" w:rsidRPr="00E574B5" w:rsidRDefault="0002530F" w:rsidP="00235FE2">
            <w:pPr>
              <w:pStyle w:val="Body"/>
              <w:spacing w:before="20" w:after="20"/>
            </w:pPr>
            <w:r>
              <w:t>Gamma ray, neutron density, and/or sonic logs</w:t>
            </w:r>
          </w:p>
        </w:tc>
        <w:tc>
          <w:tcPr>
            <w:tcW w:w="2116" w:type="dxa"/>
          </w:tcPr>
          <w:p w14:paraId="0688A85C" w14:textId="77777777" w:rsidR="0002530F" w:rsidRPr="00E574B5" w:rsidRDefault="0002530F" w:rsidP="00235FE2">
            <w:pPr>
              <w:pStyle w:val="Body"/>
              <w:spacing w:before="20" w:after="20"/>
            </w:pPr>
            <w:r>
              <w:t>Bore-scale. Near the borehole</w:t>
            </w:r>
          </w:p>
        </w:tc>
        <w:tc>
          <w:tcPr>
            <w:tcW w:w="1292" w:type="dxa"/>
          </w:tcPr>
          <w:p w14:paraId="43AF7A1C" w14:textId="77777777" w:rsidR="0002530F" w:rsidRPr="00E574B5" w:rsidRDefault="0002530F" w:rsidP="00235FE2">
            <w:pPr>
              <w:pStyle w:val="Body"/>
              <w:spacing w:before="20" w:after="20"/>
            </w:pPr>
            <w:r>
              <w:t>Porosity</w:t>
            </w:r>
          </w:p>
        </w:tc>
        <w:tc>
          <w:tcPr>
            <w:tcW w:w="1882" w:type="dxa"/>
          </w:tcPr>
          <w:p w14:paraId="3DEC4FDA" w14:textId="77777777" w:rsidR="0002530F" w:rsidRPr="00E574B5" w:rsidRDefault="0002530F" w:rsidP="00235FE2">
            <w:pPr>
              <w:pStyle w:val="Body"/>
              <w:spacing w:before="20" w:after="20"/>
            </w:pPr>
            <w:r>
              <w:t>Hydraulic conductivity</w:t>
            </w:r>
          </w:p>
        </w:tc>
      </w:tr>
      <w:tr w:rsidR="0002530F" w14:paraId="71470621" w14:textId="77777777" w:rsidTr="00235FE2">
        <w:trPr>
          <w:trHeight w:val="188"/>
        </w:trPr>
        <w:tc>
          <w:tcPr>
            <w:tcW w:w="1325" w:type="dxa"/>
          </w:tcPr>
          <w:p w14:paraId="3F1366E5" w14:textId="77777777" w:rsidR="0002530F" w:rsidRPr="00E574B5" w:rsidRDefault="0002530F" w:rsidP="00235FE2">
            <w:pPr>
              <w:pStyle w:val="Body"/>
              <w:spacing w:before="20" w:after="20"/>
            </w:pPr>
            <w:r>
              <w:t xml:space="preserve">Tracer, field/regional- based </w:t>
            </w:r>
          </w:p>
        </w:tc>
        <w:tc>
          <w:tcPr>
            <w:tcW w:w="2621" w:type="dxa"/>
            <w:gridSpan w:val="3"/>
            <w:shd w:val="clear" w:color="auto" w:fill="auto"/>
          </w:tcPr>
          <w:p w14:paraId="665F3355" w14:textId="77777777" w:rsidR="0002530F" w:rsidRDefault="0002530F" w:rsidP="00235FE2">
            <w:pPr>
              <w:pStyle w:val="Body"/>
              <w:spacing w:before="20" w:after="20"/>
            </w:pPr>
            <w:r>
              <w:t>Artificial tracers</w:t>
            </w:r>
          </w:p>
        </w:tc>
        <w:tc>
          <w:tcPr>
            <w:tcW w:w="2116" w:type="dxa"/>
          </w:tcPr>
          <w:p w14:paraId="6D414368" w14:textId="77777777" w:rsidR="0002530F" w:rsidRDefault="0002530F" w:rsidP="00235FE2">
            <w:pPr>
              <w:pStyle w:val="Body"/>
              <w:spacing w:before="20" w:after="20"/>
            </w:pPr>
            <w:r>
              <w:t>Bore-scale</w:t>
            </w:r>
          </w:p>
        </w:tc>
        <w:tc>
          <w:tcPr>
            <w:tcW w:w="1292" w:type="dxa"/>
          </w:tcPr>
          <w:p w14:paraId="7BC3CC76" w14:textId="77777777" w:rsidR="0002530F" w:rsidRDefault="0002530F" w:rsidP="00235FE2">
            <w:pPr>
              <w:pStyle w:val="Body"/>
              <w:spacing w:before="20" w:after="20"/>
            </w:pPr>
            <w:r>
              <w:t>Tracer concentration</w:t>
            </w:r>
          </w:p>
        </w:tc>
        <w:tc>
          <w:tcPr>
            <w:tcW w:w="1882" w:type="dxa"/>
          </w:tcPr>
          <w:p w14:paraId="2187C96C" w14:textId="77777777" w:rsidR="0002530F" w:rsidRDefault="0002530F" w:rsidP="00235FE2">
            <w:pPr>
              <w:pStyle w:val="Body"/>
              <w:spacing w:before="20" w:after="20"/>
            </w:pPr>
            <w:r>
              <w:t>Hydraulic conductivity</w:t>
            </w:r>
          </w:p>
        </w:tc>
      </w:tr>
    </w:tbl>
    <w:p w14:paraId="4CC30E48" w14:textId="77777777" w:rsidR="0002530F" w:rsidRPr="00CB7B2D" w:rsidRDefault="0002530F" w:rsidP="0002530F">
      <w:pPr>
        <w:pStyle w:val="Heading3"/>
      </w:pPr>
      <w:bookmarkStart w:id="102" w:name="_Ref445911529"/>
      <w:bookmarkStart w:id="103" w:name="_Toc449696597"/>
      <w:r w:rsidRPr="00CB7B2D">
        <w:t>Core scale observations</w:t>
      </w:r>
      <w:bookmarkEnd w:id="102"/>
      <w:bookmarkEnd w:id="103"/>
    </w:p>
    <w:p w14:paraId="7207C861" w14:textId="77777777" w:rsidR="0002530F" w:rsidRPr="00111004" w:rsidRDefault="0002530F" w:rsidP="0002530F">
      <w:pPr>
        <w:pStyle w:val="Body"/>
        <w:rPr>
          <w:color w:val="auto"/>
        </w:rPr>
      </w:pPr>
      <w:r>
        <w:rPr>
          <w:color w:val="auto"/>
        </w:rPr>
        <w:t>Here we refer to observations of hydraulic properties that are integrated over a representative elementary volume that corresponds to a typical core volume of ~100 – 1000 cm</w:t>
      </w:r>
      <w:r>
        <w:rPr>
          <w:color w:val="auto"/>
          <w:vertAlign w:val="superscript"/>
        </w:rPr>
        <w:t>3</w:t>
      </w:r>
      <w:r>
        <w:rPr>
          <w:color w:val="auto"/>
        </w:rPr>
        <w:t xml:space="preserve"> or a characteristic length of 0.1 - 1</w:t>
      </w:r>
      <w:r>
        <w:rPr>
          <w:color w:val="auto"/>
          <w:vertAlign w:val="superscript"/>
        </w:rPr>
        <w:t xml:space="preserve"> </w:t>
      </w:r>
      <w:r w:rsidRPr="007210F1">
        <w:rPr>
          <w:color w:val="auto"/>
        </w:rPr>
        <w:t>metres</w:t>
      </w:r>
      <w:r>
        <w:rPr>
          <w:color w:val="auto"/>
        </w:rPr>
        <w:t xml:space="preserve"> </w:t>
      </w:r>
      <w:r>
        <w:rPr>
          <w:color w:val="auto"/>
        </w:rPr>
        <w:fldChar w:fldCharType="begin"/>
      </w:r>
      <w:r>
        <w:rPr>
          <w:color w:val="auto"/>
        </w:rPr>
        <w:instrText xml:space="preserve"> ADDIN EN.CITE &lt;EndNote&gt;&lt;Cite&gt;&lt;Author&gt;Dagan&lt;/Author&gt;&lt;Year&gt;1986&lt;/Year&gt;&lt;IDText&gt;Statistical theory of groundwater flow and transport: Pore to laboratory, laboratory to formation, and formation to regional scale&lt;/IDText&gt;&lt;DisplayText&gt;(Dagan, 1986)&lt;/DisplayText&gt;&lt;record&gt;&lt;isbn&gt;1944-7973&lt;/isbn&gt;&lt;titles&gt;&lt;title&gt;Statistical theory of groundwater flow and transport: Pore to laboratory, laboratory to formation, and formation to regional scale&lt;/title&gt;&lt;secondary-title&gt;Water Resources Research&lt;/secondary-title&gt;&lt;/titles&gt;&lt;pages&gt;120S-134S&lt;/pages&gt;&lt;number&gt;9S&lt;/number&gt;&lt;contributors&gt;&lt;authors&gt;&lt;author&gt;Dagan, Gedeon&lt;/author&gt;&lt;/authors&gt;&lt;/contributors&gt;&lt;added-date format="utc"&gt;1440732401&lt;/added-date&gt;&lt;ref-type name="Journal Article"&gt;17&lt;/ref-type&gt;&lt;dates&gt;&lt;year&gt;1986&lt;/year&gt;&lt;/dates&gt;&lt;rec-number&gt;1233&lt;/rec-number&gt;&lt;last-updated-date format="utc"&gt;1440732401&lt;/last-updated-date&gt;&lt;volume&gt;22&lt;/volume&gt;&lt;/record&gt;&lt;/Cite&gt;&lt;/EndNote&gt;</w:instrText>
      </w:r>
      <w:r>
        <w:rPr>
          <w:color w:val="auto"/>
        </w:rPr>
        <w:fldChar w:fldCharType="separate"/>
      </w:r>
      <w:r>
        <w:rPr>
          <w:noProof/>
          <w:color w:val="auto"/>
        </w:rPr>
        <w:t>(Dagan, 1986)</w:t>
      </w:r>
      <w:r>
        <w:rPr>
          <w:color w:val="auto"/>
        </w:rPr>
        <w:fldChar w:fldCharType="end"/>
      </w:r>
      <w:r w:rsidRPr="007210F1">
        <w:rPr>
          <w:color w:val="auto"/>
        </w:rPr>
        <w:t>.</w:t>
      </w:r>
      <w:r>
        <w:rPr>
          <w:color w:val="auto"/>
        </w:rPr>
        <w:t xml:space="preserve"> Multiple observations from a single </w:t>
      </w:r>
      <w:r w:rsidRPr="00E975A6">
        <w:rPr>
          <w:color w:val="auto"/>
        </w:rPr>
        <w:t xml:space="preserve">hydrostratigraphic unit </w:t>
      </w:r>
      <w:r>
        <w:rPr>
          <w:color w:val="auto"/>
        </w:rPr>
        <w:t>are required to estimate the statistical distribution of facies present.</w:t>
      </w:r>
    </w:p>
    <w:p w14:paraId="2F9F247B" w14:textId="77777777" w:rsidR="0002530F" w:rsidRDefault="0002530F" w:rsidP="0002530F">
      <w:pPr>
        <w:pStyle w:val="Body"/>
      </w:pPr>
      <w:r>
        <w:t xml:space="preserve">Undisturbed cores obtained from stratigraphic units can be tested to obtain an estimate of permeability. Permeability testing is typically undertaken using either a fluid or gas permeameter </w:t>
      </w:r>
      <w:r>
        <w:fldChar w:fldCharType="begin">
          <w:fldData xml:space="preserve">PEVuZE5vdGU+PENpdGU+PEF1dGhvcj5LbGlua2VuYmVyZzwvQXV0aG9yPjxZZWFyPjE5NDE8L1ll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</w:fldData>
        </w:fldChar>
      </w:r>
      <w:r>
        <w:instrText xml:space="preserve"> ADDIN EN.CITE </w:instrText>
      </w:r>
      <w:r>
        <w:fldChar w:fldCharType="begin">
          <w:fldData xml:space="preserve">PEVuZE5vdGU+PENpdGU+PEF1dGhvcj5LbGlua2VuYmVyZzwvQXV0aG9yPjxZZWFyPjE5NDE8L1ll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</w:fldData>
        </w:fldChar>
      </w:r>
      <w:r>
        <w:instrText xml:space="preserve"> ADDIN EN.CITE.DATA </w:instrText>
      </w:r>
      <w:r>
        <w:fldChar w:fldCharType="end"/>
      </w:r>
      <w:r>
        <w:fldChar w:fldCharType="separate"/>
      </w:r>
      <w:r>
        <w:rPr>
          <w:noProof/>
        </w:rPr>
        <w:t>(Corey, 1986; Klinkenberg, 1941; Springer et al., 1998)</w:t>
      </w:r>
      <w:r>
        <w:fldChar w:fldCharType="end"/>
      </w:r>
      <w:r>
        <w:t xml:space="preserve">. The latter approach includes hand-held air permeameters, typically used to sample outcrop permeability </w:t>
      </w:r>
      <w:r>
        <w:fldChar w:fldCharType="begin"/>
      </w:r>
      <w:r>
        <w:instrText xml:space="preserve"> ADDIN EN.CITE &lt;EndNote&gt;&lt;Cite&gt;&lt;Author&gt;Eijpe&lt;/Author&gt;&lt;Year&gt;1971&lt;/Year&gt;&lt;IDText&gt;Mini-Permeameters for Consolidated Rock and Unconsolidated Sand: GEOLOGICAL NOTE&lt;/IDText&gt;&lt;DisplayText&gt;(Eijpe and Weber, 1971)&lt;/DisplayText&gt;&lt;record&gt;&lt;isbn&gt;0149-1423&lt;/isbn&gt;&lt;titles&gt;&lt;title&gt;Mini-Permeameters for Consolidated Rock and Unconsolidated Sand: GEOLOGICAL NOTE&lt;/title&gt;&lt;secondary-title&gt;AAPG Bulletin&lt;/secondary-title&gt;&lt;/titles&gt;&lt;pages&gt;307-309&lt;/pages&gt;&lt;number&gt;2&lt;/number&gt;&lt;contributors&gt;&lt;authors&gt;&lt;author&gt;Eijpe, R&lt;/author&gt;&lt;author&gt;Weber, KJ&lt;/author&gt;&lt;/authors&gt;&lt;/contributors&gt;&lt;added-date format="utc"&gt;1434674135&lt;/added-date&gt;&lt;ref-type name="Journal Article"&gt;17&lt;/ref-type&gt;&lt;dates&gt;&lt;year&gt;1971&lt;/year&gt;&lt;/dates&gt;&lt;rec-number&gt;365&lt;/rec-number&gt;&lt;last-updated-date format="utc"&gt;1434674135&lt;/last-updated-date&gt;&lt;volume&gt;55&lt;/volume&gt;&lt;/record&gt;&lt;/Cite&gt;&lt;/EndNote&gt;</w:instrText>
      </w:r>
      <w:r>
        <w:fldChar w:fldCharType="separate"/>
      </w:r>
      <w:r>
        <w:rPr>
          <w:noProof/>
        </w:rPr>
        <w:t>(Eijpe and Weber, 1971; Rogiers et al., 2013)</w:t>
      </w:r>
      <w:r>
        <w:fldChar w:fldCharType="end"/>
      </w:r>
      <w:r>
        <w:t xml:space="preserve">, and laboratory methods using inert gases such as nitrogen.  More recently, centrifuge methods have been developed </w:t>
      </w:r>
      <w:r>
        <w:fldChar w:fldCharType="begin"/>
      </w:r>
      <w:r>
        <w:instrText xml:space="preserve"> ADDIN EN.CITE &lt;EndNote&gt;&lt;Cite&gt;&lt;Author&gt;Conca&lt;/Author&gt;&lt;Year&gt;1998&lt;/Year&gt;&lt;IDText&gt;The UFA method for rapid, direct measurements of unsaturated transport properties in soil, sediment, and rock&lt;/IDText&gt;&lt;DisplayText&gt;(Conca and Wright, 1998; Wright et al., 2002)&lt;/DisplayText&gt;&lt;record&gt;&lt;isbn&gt;0004-9573&lt;/isbn&gt;&lt;titles&gt;&lt;title&gt;The UFA method for rapid, direct measurements of unsaturated transport properties in soil, sediment, and rock&lt;/title&gt;&lt;secondary-title&gt;Australian journal of soil research&lt;/secondary-title&gt;&lt;/titles&gt;&lt;pages&gt;291-315&lt;/pages&gt;&lt;number&gt;2&lt;/number&gt;&lt;contributors&gt;&lt;authors&gt;&lt;author&gt;Conca, James L&lt;/author&gt;&lt;author&gt;Wright, Judith&lt;/author&gt;&lt;/authors&gt;&lt;/contributors&gt;&lt;added-date format="utc"&gt;1434673550&lt;/added-date&gt;&lt;ref-type name="Journal Article"&gt;17&lt;/ref-type&gt;&lt;dates&gt;&lt;year&gt;1998&lt;/year&gt;&lt;/dates&gt;&lt;rec-number&gt;363&lt;/rec-number&gt;&lt;last-updated-date format="utc"&gt;1434673550&lt;/last-updated-date&gt;&lt;volume&gt;36&lt;/volume&gt;&lt;/record&gt;&lt;/Cite&gt;&lt;Cite&gt;&lt;Author&gt;Wright&lt;/Author&gt;&lt;Year&gt;2002&lt;/Year&gt;&lt;IDText&gt;Measurement of 3‐D Hydraulic Conductivity in Aquifer Cores at In Situ Effective Stresses&lt;/IDText&gt;&lt;record&gt;&lt;isbn&gt;1745-6584&lt;/isbn&gt;&lt;titles&gt;&lt;title&gt;Measurement of 3‐D Hydraulic Conductivity in Aquifer Cores at In Situ Effective Stresses&lt;/title&gt;&lt;secondary-title&gt;Groundwater&lt;/secondary-title&gt;&lt;/titles&gt;&lt;pages&gt;509-517&lt;/pages&gt;&lt;number&gt;5&lt;/number&gt;&lt;contributors&gt;&lt;authors&gt;&lt;author&gt;Wright, Martin&lt;/author&gt;&lt;author&gt;Dillon, Peter&lt;/author&gt;&lt;author&gt;Pavelic, Paul&lt;/author&gt;&lt;author&gt;Peter, Paul&lt;/author&gt;&lt;author&gt;Nefiodovas, Andrew&lt;/author&gt;&lt;/authors&gt;&lt;/contributors&gt;&lt;added-date format="utc"&gt;1434673625&lt;/added-date&gt;&lt;ref-type name="Journal Article"&gt;17&lt;/ref-type&gt;&lt;dates&gt;&lt;year&gt;2002&lt;/year&gt;&lt;/dates&gt;&lt;rec-number&gt;364&lt;/rec-number&gt;&lt;last-updated-date format="utc"&gt;1434673625&lt;/last-updated-date&gt;&lt;volume&gt;40&lt;/volume&gt;&lt;/record&gt;&lt;/Cite&gt;&lt;/EndNote&gt;</w:instrText>
      </w:r>
      <w:r>
        <w:fldChar w:fldCharType="separate"/>
      </w:r>
      <w:r>
        <w:rPr>
          <w:noProof/>
        </w:rPr>
        <w:t>(Conca and Wright, 1998; Wright et al., 2002; Timms et al., 2015)</w:t>
      </w:r>
      <w:r>
        <w:fldChar w:fldCharType="end"/>
      </w:r>
      <w:r>
        <w:t xml:space="preserve">. For cores obtained at significant depth, pressure can be artificially applied during permeameter testing in order to represent the overburden pressure present under in-situ conditions. Failure to account for in-situ pressure can lead to overestimation of hydraulic conductivity </w:t>
      </w:r>
      <w:r>
        <w:fldChar w:fldCharType="begin"/>
      </w:r>
      <w:r>
        <w:instrText xml:space="preserve"> ADDIN EN.CITE &lt;EndNote&gt;&lt;Cite&gt;&lt;Author&gt;Enever&lt;/Author&gt;&lt;Year&gt;1994&lt;/Year&gt;&lt;IDText&gt;The application of in-situ stress measurement and numerical stress analysis to coalbed methane exploration in Australia&lt;/IDText&gt;&lt;DisplayText&gt;(Enever et al., 1994)&lt;/DisplayText&gt;&lt;record&gt;&lt;isbn&gt;1555634605&lt;/isbn&gt;&lt;titles&gt;&lt;title&gt;The application of in-situ stress measurement and numerical stress analysis to coalbed methane exploration in Australia&lt;/title&gt;&lt;secondary-title&gt;SPE Asia Pacific Oil and Gas Conference&lt;/secondary-title&gt;&lt;/titles&gt;&lt;contributors&gt;&lt;authors&gt;&lt;author&gt;Enever, JR&lt;/author&gt;&lt;author&gt;Bocking, MA&lt;/author&gt;&lt;author&gt;Clark, IH&lt;/author&gt;&lt;/authors&gt;&lt;/contributors&gt;&lt;added-date format="utc"&gt;1434519985&lt;/added-date&gt;&lt;ref-type name="Conference Proceedings"&gt;10&lt;/ref-type&gt;&lt;dates&gt;&lt;year&gt;1994&lt;/year&gt;&lt;/dates&gt;&lt;rec-number&gt;336&lt;/rec-number&gt;&lt;publisher&gt;Society of Petroleum Engineers&lt;/publisher&gt;&lt;last-updated-date format="utc"&gt;1434519985&lt;/last-updated-date&gt;&lt;/record&gt;&lt;/Cite&gt;&lt;/EndNote&gt;</w:instrText>
      </w:r>
      <w:r>
        <w:fldChar w:fldCharType="separate"/>
      </w:r>
      <w:r>
        <w:rPr>
          <w:noProof/>
        </w:rPr>
        <w:t>(Enever et al., 1994)</w:t>
      </w:r>
      <w:r>
        <w:fldChar w:fldCharType="end"/>
      </w:r>
      <w:r>
        <w:t xml:space="preserve">. </w:t>
      </w:r>
    </w:p>
    <w:p w14:paraId="07474440" w14:textId="01272559" w:rsidR="0002530F" w:rsidRDefault="0002530F" w:rsidP="0002530F">
      <w:pPr>
        <w:pStyle w:val="Body"/>
      </w:pPr>
      <w:r>
        <w:t xml:space="preserve">In addition to permeametry-based techniques, hydrochemical and isotopic analyses provide additional means of constraining estimates of hydraulic properties. For example, the helium-4 content of pore water can be measured from cores obtained along a vertical profile within a given stratigraphic unit (i.e. aquitard). The concentration profile observed along the vertical profile can then be used to derive a formation scale vertical hydraulic conductivity </w:t>
      </w:r>
      <w:r>
        <w:fldChar w:fldCharType="begin">
          <w:fldData xml:space="preserve">PEVuZE5vdGU+PENpdGU+PEF1dGhvcj5HYXJkbmVyPC9BdXRob3I+PFllYXI+MjAxMjwvWWVhcj48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</w:fldData>
        </w:fldChar>
      </w:r>
      <w:r>
        <w:instrText xml:space="preserve"> ADDIN EN.CITE </w:instrText>
      </w:r>
      <w:r>
        <w:fldChar w:fldCharType="begin">
          <w:fldData xml:space="preserve">PEVuZE5vdGU+PENpdGU+PEF1dGhvcj5HYXJkbmVyPC9BdXRob3I+PFllYXI+MjAxMjwvWWVhcj48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</w:fldData>
        </w:fldChar>
      </w:r>
      <w:r>
        <w:instrText xml:space="preserve"> ADDIN EN.CITE.DATA </w:instrText>
      </w:r>
      <w:r>
        <w:fldChar w:fldCharType="end"/>
      </w:r>
      <w:r>
        <w:fldChar w:fldCharType="separate"/>
      </w:r>
      <w:r>
        <w:rPr>
          <w:noProof/>
        </w:rPr>
        <w:t>(Gardner et al., 2012; Harrington et al., 2013)</w:t>
      </w:r>
      <w:r>
        <w:fldChar w:fldCharType="end"/>
      </w:r>
      <w:r>
        <w:t>, as further discussed in Section</w:t>
      </w:r>
      <w:r w:rsidR="00D93478">
        <w:t xml:space="preserve"> </w:t>
      </w:r>
      <w:r w:rsidR="00D93478">
        <w:fldChar w:fldCharType="begin"/>
      </w:r>
      <w:r w:rsidR="00D93478">
        <w:instrText xml:space="preserve"> REF _Ref449651068 \r \h </w:instrText>
      </w:r>
      <w:r w:rsidR="00D93478">
        <w:fldChar w:fldCharType="separate"/>
      </w:r>
      <w:r w:rsidR="00C52E30">
        <w:t>3.1.2</w:t>
      </w:r>
      <w:r w:rsidR="00D93478">
        <w:fldChar w:fldCharType="end"/>
      </w:r>
      <w:r>
        <w:t xml:space="preserve">. A similar method involves analysis of the helium-4 content of quartz grains contained in a given low-permeability stratigraphic unit </w:t>
      </w:r>
      <w:r>
        <w:fldChar w:fldCharType="begin"/>
      </w:r>
      <w:r>
        <w:instrText xml:space="preserve"> ADDIN EN.CITE &lt;EndNote&gt;&lt;Cite&gt;&lt;Author&gt;Smith&lt;/Author&gt;&lt;Year&gt;2013&lt;/Year&gt;&lt;IDText&gt;Testing helium equilibrium between quartz and pore water as a method to determine pore water helium concentrations&lt;/IDText&gt;&lt;DisplayText&gt;(Smith et al., 2013)&lt;/DisplayText&gt;&lt;record&gt;&lt;isbn&gt;0883-2927&lt;/isbn&gt;&lt;titles&gt;&lt;title&gt;Testing helium equilibrium between quartz and pore water as a method to determine pore water helium concentrations&lt;/title&gt;&lt;secondary-title&gt;Applied Geochemistry&lt;/secondary-title&gt;&lt;/titles&gt;&lt;pages&gt;187-195&lt;/pages&gt;&lt;contributors&gt;&lt;authors&gt;&lt;author&gt;Smith, Stanley D&lt;/author&gt;&lt;author&gt;Solomon, D Kip&lt;/author&gt;&lt;author&gt;Gardner, W Payton&lt;/author&gt;&lt;/authors&gt;&lt;/contributors&gt;&lt;added-date format="utc"&gt;1434520081&lt;/added-date&gt;&lt;ref-type name="Journal Article"&gt;17&lt;/ref-type&gt;&lt;dates&gt;&lt;year&gt;2013&lt;/year&gt;&lt;/dates&gt;&lt;rec-number&gt;337&lt;/rec-number&gt;&lt;last-updated-date format="utc"&gt;1434520081&lt;/last-updated-date&gt;&lt;volume&gt;35&lt;/volume&gt;&lt;/record&gt;&lt;/Cite&gt;&lt;/EndNote&gt;</w:instrText>
      </w:r>
      <w:r>
        <w:fldChar w:fldCharType="separate"/>
      </w:r>
      <w:r>
        <w:rPr>
          <w:noProof/>
        </w:rPr>
        <w:t>(Smith et al., 2013)</w:t>
      </w:r>
      <w:r>
        <w:fldChar w:fldCharType="end"/>
      </w:r>
      <w:r>
        <w:t xml:space="preserve">. Although the initial measurements of tracer concentrations are made on typical core volumes of </w:t>
      </w:r>
      <w:r w:rsidRPr="00DD7015">
        <w:rPr>
          <w:position w:val="-2"/>
        </w:rPr>
        <w:t>~</w:t>
      </w:r>
      <w:r>
        <w:t>100 cm</w:t>
      </w:r>
      <w:r w:rsidRPr="00F1417D">
        <w:rPr>
          <w:vertAlign w:val="superscript"/>
        </w:rPr>
        <w:t>3</w:t>
      </w:r>
      <w:r>
        <w:t xml:space="preserve">, the derived hydraulic conductivities represent an average value across an entire profile </w:t>
      </w:r>
      <w:r w:rsidR="00D93478">
        <w:t>potentially</w:t>
      </w:r>
      <w:r>
        <w:t xml:space="preserve"> spanning hundreds of meters. In this way the indirectly measured hydraulic conductivity itself is an upscaled value as it is an average or equivalent value that captures the integral effect of small-scale variability across a formation.</w:t>
      </w:r>
    </w:p>
    <w:p w14:paraId="5411FC41" w14:textId="77777777" w:rsidR="0002530F" w:rsidRDefault="0002530F" w:rsidP="0002530F">
      <w:pPr>
        <w:pStyle w:val="Body"/>
      </w:pPr>
      <w:r>
        <w:t xml:space="preserve">Core scale values of hydraulic properties have been used for upscaling to allow both groundwater flow and solute transport simulations. For example, </w:t>
      </w:r>
      <w:r w:rsidRPr="00764FA1">
        <w:t xml:space="preserve">Bianchi </w:t>
      </w:r>
      <w:r>
        <w:t xml:space="preserve">et al. </w:t>
      </w:r>
      <w:r w:rsidRPr="00764FA1">
        <w:fldChar w:fldCharType="begin"/>
      </w:r>
      <w:r w:rsidRPr="00764FA1">
        <w:instrText xml:space="preserve"> ADDIN EN.CITE &lt;EndNote&gt;&lt;Cite ExcludeAuth="1"&gt;&lt;Author&gt;Bianchi&lt;/Author&gt;&lt;Year&gt;2011&lt;/Year&gt;&lt;IDText&gt;Spatial connectivity in a highly heterogeneous aquifer: From cores to preferential flow paths&lt;/IDText&gt;&lt;DisplayText&gt;(2011)&lt;/DisplayText&gt;&lt;record&gt;&lt;dates&gt;&lt;pub-dates&gt;&lt;date&gt;MAY 19 2011&lt;/date&gt;&lt;/pub-dates&gt;&lt;year&gt;2011&lt;/year&gt;&lt;/dates&gt;&lt;keywords&gt;&lt;keyword&gt;HYDRAULIC CONDUCTIVITY&lt;/keyword&gt;&lt;keyword&gt;MACRODISPERSION EXPERIMENT&lt;/keyword&gt;&lt;keyword&gt;MASS-TRANSFER&lt;/keyword&gt;&lt;keyword&gt;NUMERICAL-SIMULATION&lt;/keyword&gt;&lt;keyword&gt;SOLUTE TRANSPORT&lt;/keyword&gt;&lt;keyword&gt;MODELS&lt;/keyword&gt;&lt;keyword&gt;DISPERSION&lt;/keyword&gt;&lt;keyword&gt;SCALE&lt;/keyword&gt;&lt;keyword&gt;SITE&lt;/keyword&gt;&lt;keyword&gt;FIELDS&lt;/keyword&gt;&lt;/keywords&gt;&lt;isbn&gt;0043-1397&lt;/isbn&gt;&lt;work-type&gt;Article&lt;/work-type&gt;&lt;titles&gt;&lt;title&gt;Spatial connectivity in a highly heterogeneous aquifer: From cores to preferential flow paths&lt;/title&gt;&lt;secondary-title&gt;Water Resources Research&lt;/secondary-title&gt;&lt;/titles&gt;&lt;contributors&gt;&lt;authors&gt;&lt;author&gt;Bianchi, M&lt;/author&gt;&lt;author&gt;Zheng, CM&lt;/author&gt;&lt;author&gt;Wilson, C&lt;/author&gt;&lt;author&gt;Tick, GR&lt;/author&gt;&lt;author&gt;Liu, GS&lt;/author&gt;&lt;author&gt;Gorelick, SM&lt;/author&gt;&lt;/authors&gt;&lt;/contributors&gt;&lt;custom7&gt;ARTN W05524&lt;/custom7&gt;&lt;language&gt;English&lt;/language&gt;&lt;added-date format="utc"&gt;1433818569&lt;/added-date&gt;&lt;ref-type name="Journal Article"&gt;17&lt;/ref-type&gt;&lt;auth-address&gt;Bianchi, M (reprint author), Univ Alabama, Dept Geol Sci, Tuscaloosa, AL 35487 USA&amp;#xD;Univ Alabama, Dept Geol Sci, Tuscaloosa, AL 35487 USA&amp;#xD;Stanford Univ, Dept Environm Earth Syst Sci, Stanford, CA 94305 USA&amp;#xD;Univ Kansas, Kansas Geol Survey, Lawrence, KS 66047 USA&amp;#xD;Peking Univ, Ctr Water Res, Beijing 100871, Peoples R China&amp;#xD;czheng@ua.edu&lt;/auth-address&gt;&lt;rec-number&gt;155&lt;/rec-number&gt;&lt;last-updated-date format="utc"&gt;1433818569&lt;/last-updated-date&gt;&lt;accession-num&gt;WOS:000290910200001&lt;/accession-num&gt;&lt;electronic-resource-num&gt;10.1029/2009WR008966&lt;/electronic-resource-num&gt;&lt;volume&gt;47&lt;/volume&gt;&lt;/record&gt;&lt;/Cite&gt;&lt;/EndNote&gt;</w:instrText>
      </w:r>
      <w:r w:rsidRPr="00764FA1">
        <w:fldChar w:fldCharType="separate"/>
      </w:r>
      <w:r w:rsidRPr="00764FA1">
        <w:rPr>
          <w:noProof/>
        </w:rPr>
        <w:t>(2011)</w:t>
      </w:r>
      <w:r w:rsidRPr="00764FA1">
        <w:fldChar w:fldCharType="end"/>
      </w:r>
      <w:r w:rsidRPr="00764FA1">
        <w:t xml:space="preserve"> upscaled core scale observations in order to investigate the degree of spatial connectivity in a small</w:t>
      </w:r>
      <w:r>
        <w:t xml:space="preserve"> portion of highly heterogeneous aquifer at the Macrodispersion Experiment site in Columbus, Mississippi, on the migration of a tracer. Rogiers et al. (2014a) obtained an improved groundwater model </w:t>
      </w:r>
      <w:r w:rsidRPr="00CD6609">
        <w:t xml:space="preserve">performance when a geostatistical approach </w:t>
      </w:r>
      <w:r>
        <w:t xml:space="preserve">to generate spatially variable </w:t>
      </w:r>
      <w:r w:rsidRPr="00CD6609">
        <w:rPr>
          <w:i/>
        </w:rPr>
        <w:t xml:space="preserve">K </w:t>
      </w:r>
      <w:r>
        <w:t xml:space="preserve">values </w:t>
      </w:r>
      <w:r w:rsidRPr="00CD6609">
        <w:t xml:space="preserve">was compared with a previously developed groundwater model with spatially uniform </w:t>
      </w:r>
      <w:r w:rsidRPr="0070043F">
        <w:rPr>
          <w:i/>
        </w:rPr>
        <w:t>K</w:t>
      </w:r>
      <w:r w:rsidRPr="00CD6609">
        <w:t xml:space="preserve"> values for the different hydrogeological units.</w:t>
      </w:r>
      <w:r>
        <w:t xml:space="preserve"> The geostatistical approach involved generating 3-D realisations of </w:t>
      </w:r>
      <w:r w:rsidRPr="00AD00C1">
        <w:rPr>
          <w:i/>
        </w:rPr>
        <w:t>K</w:t>
      </w:r>
      <w:r w:rsidRPr="00B14599">
        <w:rPr>
          <w:i/>
          <w:vertAlign w:val="subscript"/>
        </w:rPr>
        <w:t>H</w:t>
      </w:r>
      <w:r>
        <w:t xml:space="preserve"> and </w:t>
      </w:r>
      <w:r w:rsidRPr="00AD00C1">
        <w:rPr>
          <w:i/>
        </w:rPr>
        <w:t>K</w:t>
      </w:r>
      <w:r w:rsidRPr="00B14599">
        <w:rPr>
          <w:i/>
          <w:vertAlign w:val="subscript"/>
        </w:rPr>
        <w:t>V</w:t>
      </w:r>
      <w:r>
        <w:t xml:space="preserve"> values (using ordinary kriging and sequential Gaussian simulation) that were conditioned to core scale and cone penetration test-based </w:t>
      </w:r>
      <w:r w:rsidRPr="0070043F">
        <w:rPr>
          <w:i/>
        </w:rPr>
        <w:t>K</w:t>
      </w:r>
      <w:r>
        <w:t xml:space="preserve"> observations, which were then upscaled using arithmetic mean for </w:t>
      </w:r>
      <w:r w:rsidRPr="00AD00C1">
        <w:rPr>
          <w:i/>
        </w:rPr>
        <w:t>K</w:t>
      </w:r>
      <w:r w:rsidRPr="0070043F">
        <w:rPr>
          <w:i/>
          <w:vertAlign w:val="subscript"/>
        </w:rPr>
        <w:t>H</w:t>
      </w:r>
      <w:r>
        <w:t xml:space="preserve"> and harmonic mean for </w:t>
      </w:r>
      <w:r w:rsidRPr="00AD00C1">
        <w:rPr>
          <w:i/>
        </w:rPr>
        <w:t>K</w:t>
      </w:r>
      <w:r w:rsidRPr="0070043F">
        <w:rPr>
          <w:i/>
          <w:vertAlign w:val="subscript"/>
        </w:rPr>
        <w:t>V</w:t>
      </w:r>
      <w:r>
        <w:t xml:space="preserve">. </w:t>
      </w:r>
    </w:p>
    <w:p w14:paraId="51071B82" w14:textId="358D29A9" w:rsidR="0002530F" w:rsidRDefault="00967FA4" w:rsidP="0002530F">
      <w:pPr>
        <w:pStyle w:val="Body"/>
      </w:pPr>
      <w:r>
        <w:t>T</w:t>
      </w:r>
      <w:r w:rsidR="0002530F">
        <w:t xml:space="preserve">he upscaling of hydraulic properties from core scale observations is subject to a number of sources of uncertainty. Where properties vary with depth within a given stratigraphic unit, values obtained from core testing may vary accordingly, either </w:t>
      </w:r>
      <w:r w:rsidR="0002530F" w:rsidRPr="003F4E33">
        <w:t xml:space="preserve">randomly or according to an underlying structure. </w:t>
      </w:r>
      <w:r w:rsidR="0002530F">
        <w:t xml:space="preserve">A summary of various sources of uncertainty associated with geostatistically-based methods of parameter upscaling, including mean values and variogram parameters, is available from </w:t>
      </w:r>
      <w:r w:rsidR="0002530F" w:rsidRPr="003F4E33">
        <w:t xml:space="preserve">Khan and Deutsch </w:t>
      </w:r>
      <w:r w:rsidR="0002530F" w:rsidRPr="003F4E33">
        <w:fldChar w:fldCharType="begin"/>
      </w:r>
      <w:r w:rsidR="0002530F" w:rsidRPr="003F4E33">
        <w:instrText xml:space="preserve"> ADDIN EN.CITE &lt;EndNote&gt;&lt;Cite ExcludeAuth="1"&gt;&lt;Author&gt;Khan&lt;/Author&gt;&lt;Year&gt;2015&lt;/Year&gt;&lt;IDText&gt;Practical Incorporation of Multivariate Parameter Uncertainty in Geostatistical Resource Modeling&lt;/IDText&gt;&lt;DisplayText&gt;(2015)&lt;/DisplayText&gt;&lt;record&gt;&lt;keywords&gt;&lt;keyword&gt;Geostatistical parameter uncertainty&lt;/keyword&gt;&lt;keyword&gt;spatial resampling&lt;/keyword&gt;&lt;keyword&gt;spatial degrees of freedom&lt;/keyword&gt;&lt;keyword&gt;multivariate geostatistical modeling&lt;/keyword&gt;&lt;keyword&gt;unconventional resources&lt;/keyword&gt;&lt;/keywords&gt;&lt;urls&gt;&lt;related-urls&gt;&lt;url&gt;http://dx.doi.org/10.1007/s11053-015-9267-y&lt;/url&gt;&lt;/related-urls&gt;&lt;/urls&gt;&lt;titles&gt;&lt;title&gt;Practical Incorporation of Multivariate Parameter Uncertainty in Geostatistical Resource Modeling&lt;/title&gt;&lt;secondary-title&gt;Natural Resources Research&lt;/secondary-title&gt;&lt;/titles&gt;&lt;pages&gt;1-20&lt;/pages&gt;&lt;contributors&gt;&lt;authors&gt;&lt;author&gt;Khan, K. Daniel&lt;/author&gt;&lt;author&gt;Deutsch, Clayton&lt;/author&gt;&lt;/authors&gt;&lt;/contributors&gt;&lt;added-date format="utc"&gt;1433901221&lt;/added-date&gt;&lt;ref-type name="Journal Article"&gt;17&lt;/ref-type&gt;&lt;dates&gt;&lt;year&gt;2015&lt;/year&gt;&lt;/dates&gt;&lt;rec-number&gt;223&lt;/rec-number&gt;&lt;last-updated-date format="utc"&gt;1433903111&lt;/last-updated-date&gt;&lt;electronic-resource-num&gt;10.1007/s11053-015-9267-y&lt;/electronic-resource-num&gt;&lt;/record&gt;&lt;/Cite&gt;&lt;/EndNote&gt;</w:instrText>
      </w:r>
      <w:r w:rsidR="0002530F" w:rsidRPr="003F4E33">
        <w:fldChar w:fldCharType="separate"/>
      </w:r>
      <w:r w:rsidR="0002530F" w:rsidRPr="003F4E33">
        <w:rPr>
          <w:noProof/>
        </w:rPr>
        <w:t>(2015)</w:t>
      </w:r>
      <w:r w:rsidR="0002530F" w:rsidRPr="003F4E33">
        <w:fldChar w:fldCharType="end"/>
      </w:r>
      <w:r w:rsidR="0002530F">
        <w:t>.</w:t>
      </w:r>
    </w:p>
    <w:p w14:paraId="18B73886" w14:textId="77777777" w:rsidR="0002530F" w:rsidRPr="00164AB1" w:rsidRDefault="0002530F" w:rsidP="0002530F">
      <w:pPr>
        <w:pStyle w:val="Heading3"/>
        <w:widowControl/>
      </w:pPr>
      <w:bookmarkStart w:id="104" w:name="_Ref449651068"/>
      <w:bookmarkStart w:id="105" w:name="_Toc449696598"/>
      <w:r w:rsidRPr="00164AB1">
        <w:t>Bore scale observations</w:t>
      </w:r>
      <w:bookmarkEnd w:id="104"/>
      <w:bookmarkEnd w:id="105"/>
    </w:p>
    <w:p w14:paraId="48002E8B" w14:textId="77777777" w:rsidR="0002530F" w:rsidRPr="00111004" w:rsidRDefault="0002530F" w:rsidP="0002530F">
      <w:pPr>
        <w:pStyle w:val="Body"/>
        <w:rPr>
          <w:color w:val="auto"/>
        </w:rPr>
      </w:pPr>
      <w:r>
        <w:rPr>
          <w:color w:val="auto"/>
        </w:rPr>
        <w:t xml:space="preserve">Here we refer to observations of hydraulic properties that are integrated over a representative elementary volume that corresponds to the volume of subsurface sampled by bore-based observations. The bore (i.e., formation or local ) scale is defined as being </w:t>
      </w:r>
      <w:r w:rsidRPr="007210F1">
        <w:rPr>
          <w:color w:val="auto"/>
        </w:rPr>
        <w:t xml:space="preserve">of the order of </w:t>
      </w:r>
      <w:r>
        <w:rPr>
          <w:color w:val="auto"/>
        </w:rPr>
        <w:t xml:space="preserve">formation </w:t>
      </w:r>
      <w:r w:rsidRPr="007210F1">
        <w:rPr>
          <w:color w:val="auto"/>
        </w:rPr>
        <w:t>thickness (i.e.,</w:t>
      </w:r>
      <w:r>
        <w:rPr>
          <w:color w:val="auto"/>
        </w:rPr>
        <w:t xml:space="preserve"> ~</w:t>
      </w:r>
      <w:r w:rsidRPr="007210F1">
        <w:rPr>
          <w:color w:val="auto"/>
        </w:rPr>
        <w:t>10</w:t>
      </w:r>
      <w:r w:rsidRPr="007210F1">
        <w:rPr>
          <w:color w:val="auto"/>
          <w:vertAlign w:val="superscript"/>
        </w:rPr>
        <w:t>1</w:t>
      </w:r>
      <w:r w:rsidRPr="007210F1">
        <w:rPr>
          <w:color w:val="auto"/>
        </w:rPr>
        <w:t>-10</w:t>
      </w:r>
      <w:r w:rsidRPr="007210F1">
        <w:rPr>
          <w:color w:val="auto"/>
          <w:vertAlign w:val="superscript"/>
        </w:rPr>
        <w:t>2</w:t>
      </w:r>
      <w:r>
        <w:rPr>
          <w:color w:val="auto"/>
        </w:rPr>
        <w:t xml:space="preserve"> </w:t>
      </w:r>
      <w:r w:rsidRPr="007210F1">
        <w:rPr>
          <w:color w:val="auto"/>
        </w:rPr>
        <w:t>m) in the vertical</w:t>
      </w:r>
      <w:r>
        <w:rPr>
          <w:color w:val="auto"/>
        </w:rPr>
        <w:t xml:space="preserve"> </w:t>
      </w:r>
      <w:r w:rsidRPr="007210F1">
        <w:rPr>
          <w:color w:val="auto"/>
        </w:rPr>
        <w:t>direction</w:t>
      </w:r>
      <w:r>
        <w:rPr>
          <w:color w:val="auto"/>
        </w:rPr>
        <w:t xml:space="preserve"> </w:t>
      </w:r>
      <w:r w:rsidRPr="007210F1">
        <w:rPr>
          <w:color w:val="auto"/>
        </w:rPr>
        <w:t>and of the same</w:t>
      </w:r>
      <w:r>
        <w:rPr>
          <w:color w:val="auto"/>
        </w:rPr>
        <w:t xml:space="preserve"> </w:t>
      </w:r>
      <w:r w:rsidRPr="007210F1">
        <w:rPr>
          <w:color w:val="auto"/>
        </w:rPr>
        <w:t>order</w:t>
      </w:r>
      <w:r>
        <w:rPr>
          <w:color w:val="auto"/>
        </w:rPr>
        <w:t xml:space="preserve"> </w:t>
      </w:r>
      <w:r w:rsidRPr="007210F1">
        <w:rPr>
          <w:color w:val="auto"/>
        </w:rPr>
        <w:t>in</w:t>
      </w:r>
      <w:r>
        <w:rPr>
          <w:color w:val="auto"/>
        </w:rPr>
        <w:t xml:space="preserve"> </w:t>
      </w:r>
      <w:r w:rsidRPr="007210F1">
        <w:rPr>
          <w:color w:val="auto"/>
        </w:rPr>
        <w:t xml:space="preserve">the </w:t>
      </w:r>
      <w:r>
        <w:rPr>
          <w:color w:val="auto"/>
        </w:rPr>
        <w:t xml:space="preserve">horizontal </w:t>
      </w:r>
      <w:r w:rsidRPr="007210F1">
        <w:rPr>
          <w:color w:val="auto"/>
        </w:rPr>
        <w:t>plane</w:t>
      </w:r>
      <w:r>
        <w:rPr>
          <w:color w:val="auto"/>
        </w:rPr>
        <w:t xml:space="preserve"> </w:t>
      </w:r>
      <w:r>
        <w:rPr>
          <w:color w:val="auto"/>
        </w:rPr>
        <w:fldChar w:fldCharType="begin"/>
      </w:r>
      <w:r>
        <w:rPr>
          <w:color w:val="auto"/>
        </w:rPr>
        <w:instrText xml:space="preserve"> ADDIN EN.CITE &lt;EndNote&gt;&lt;Cite&gt;&lt;Author&gt;Dagan&lt;/Author&gt;&lt;Year&gt;1986&lt;/Year&gt;&lt;IDText&gt;Statistical theory of groundwater flow and transport: Pore to laboratory, laboratory to formation, and formation to regional scale&lt;/IDText&gt;&lt;DisplayText&gt;(Dagan, 1986)&lt;/DisplayText&gt;&lt;record&gt;&lt;isbn&gt;1944-7973&lt;/isbn&gt;&lt;titles&gt;&lt;title&gt;Statistical theory of groundwater flow and transport: Pore to laboratory, laboratory to formation, and formation to regional scale&lt;/title&gt;&lt;secondary-title&gt;Water Resources Research&lt;/secondary-title&gt;&lt;/titles&gt;&lt;pages&gt;120S-134S&lt;/pages&gt;&lt;number&gt;9S&lt;/number&gt;&lt;contributors&gt;&lt;authors&gt;&lt;author&gt;Dagan, Gedeon&lt;/author&gt;&lt;/authors&gt;&lt;/contributors&gt;&lt;added-date format="utc"&gt;1440732401&lt;/added-date&gt;&lt;ref-type name="Journal Article"&gt;17&lt;/ref-type&gt;&lt;dates&gt;&lt;year&gt;1986&lt;/year&gt;&lt;/dates&gt;&lt;rec-number&gt;1233&lt;/rec-number&gt;&lt;last-updated-date format="utc"&gt;1440732401&lt;/last-updated-date&gt;&lt;volume&gt;22&lt;/volume&gt;&lt;/record&gt;&lt;/Cite&gt;&lt;/EndNote&gt;</w:instrText>
      </w:r>
      <w:r>
        <w:rPr>
          <w:color w:val="auto"/>
        </w:rPr>
        <w:fldChar w:fldCharType="separate"/>
      </w:r>
      <w:r>
        <w:rPr>
          <w:noProof/>
          <w:color w:val="auto"/>
        </w:rPr>
        <w:t>(Dagan, 1986)</w:t>
      </w:r>
      <w:r>
        <w:rPr>
          <w:color w:val="auto"/>
        </w:rPr>
        <w:fldChar w:fldCharType="end"/>
      </w:r>
      <w:r>
        <w:rPr>
          <w:color w:val="auto"/>
        </w:rPr>
        <w:t xml:space="preserve">. A range of bore scale methods for determining the hydraulic properties of aquitards were reviewed by van der Kamp </w:t>
      </w:r>
      <w:r>
        <w:rPr>
          <w:color w:val="auto"/>
        </w:rPr>
        <w:fldChar w:fldCharType="begin"/>
      </w:r>
      <w:r>
        <w:rPr>
          <w:color w:val="auto"/>
        </w:rPr>
        <w:instrText xml:space="preserve"> ADDIN EN.CITE &lt;EndNote&gt;&lt;Cite ExcludeAuth="1"&gt;&lt;Author&gt;van der Kamp&lt;/Author&gt;&lt;Year&gt;2001&lt;/Year&gt;&lt;IDText&gt;Methods for determining the in situ hydraulic conductivity of shallow aquitards–an overview&lt;/IDText&gt;&lt;DisplayText&gt;(2001)&lt;/DisplayText&gt;&lt;record&gt;&lt;isbn&gt;1431-2174&lt;/isbn&gt;&lt;titles&gt;&lt;title&gt;Methods for determining the in situ hydraulic conductivity of shallow aquitards–an overview&lt;/title&gt;&lt;secondary-title&gt;Hydrogeology Journal&lt;/secondary-title&gt;&lt;/titles&gt;&lt;pages&gt;5-16&lt;/pages&gt;&lt;number&gt;1&lt;/number&gt;&lt;contributors&gt;&lt;authors&gt;&lt;author&gt;van der Kamp, Garth&lt;/author&gt;&lt;/authors&gt;&lt;/contributors&gt;&lt;added-date format="utc"&gt;1434672726&lt;/added-date&gt;&lt;ref-type name="Journal Article"&gt;17&lt;/ref-type&gt;&lt;dates&gt;&lt;year&gt;2001&lt;/year&gt;&lt;/dates&gt;&lt;rec-number&gt;362&lt;/rec-number&gt;&lt;last-updated-date format="utc"&gt;1434672726&lt;/last-updated-date&gt;&lt;volume&gt;9&lt;/volume&gt;&lt;/record&gt;&lt;/Cite&gt;&lt;/EndNote&gt;</w:instrText>
      </w:r>
      <w:r>
        <w:rPr>
          <w:color w:val="auto"/>
        </w:rPr>
        <w:fldChar w:fldCharType="separate"/>
      </w:r>
      <w:r>
        <w:rPr>
          <w:noProof/>
          <w:color w:val="auto"/>
        </w:rPr>
        <w:t>(2001)</w:t>
      </w:r>
      <w:r>
        <w:rPr>
          <w:color w:val="auto"/>
        </w:rPr>
        <w:fldChar w:fldCharType="end"/>
      </w:r>
      <w:r>
        <w:rPr>
          <w:color w:val="auto"/>
        </w:rPr>
        <w:t>. Such observations often sample the full vertical extent of a hydrostratigraphic unit, or portions thereof using hydraulic packers that isolate sections of a borehole. This allows for the identification of multiple facies within a given hydrostratigraphic unit (HSU). For hydraulic testing methods, the sample volume (while primarily a function of the hydraulic parameters themselves) will typically be proportional to the duration of the test. The measurement volume can be easily several tens to hundreds of m</w:t>
      </w:r>
      <w:r w:rsidRPr="00F1417D">
        <w:rPr>
          <w:color w:val="auto"/>
          <w:vertAlign w:val="superscript"/>
        </w:rPr>
        <w:t>3</w:t>
      </w:r>
      <w:r>
        <w:rPr>
          <w:color w:val="auto"/>
        </w:rPr>
        <w:t xml:space="preserve">. For petrophysical observations that may be used to indirectly estimate hydraulic conductivity </w:t>
      </w:r>
      <w:r>
        <w:rPr>
          <w:color w:val="auto"/>
        </w:rPr>
        <w:fldChar w:fldCharType="begin"/>
      </w:r>
      <w:r>
        <w:rPr>
          <w:color w:val="auto"/>
        </w:rPr>
        <w:instrText xml:space="preserve"> ADDIN EN.CITE &lt;EndNote&gt;&lt;Cite&gt;&lt;Author&gt;Rubin&lt;/Author&gt;&lt;Year&gt;2006&lt;/Year&gt;&lt;IDText&gt;Hydrogeophysics&lt;/IDText&gt;&lt;DisplayText&gt;(Rubin and Hubbard, 2006; Vereecken et al., 2006)&lt;/DisplayText&gt;&lt;record&gt;&lt;isbn&gt;1402031025&lt;/isbn&gt;&lt;titles&gt;&lt;title&gt;Hydrogeophysics&lt;/title&gt;&lt;/titles&gt;&lt;contributors&gt;&lt;authors&gt;&lt;author&gt;Rubin, Yoram&lt;/author&gt;&lt;author&gt;Hubbard, Susan Sharpless&lt;/author&gt;&lt;/authors&gt;&lt;/contributors&gt;&lt;added-date format="utc"&gt;1434674843&lt;/added-date&gt;&lt;ref-type name="Book"&gt;6&lt;/ref-type&gt;&lt;dates&gt;&lt;year&gt;2006&lt;/year&gt;&lt;/dates&gt;&lt;rec-number&gt;366&lt;/rec-number&gt;&lt;publisher&gt;Springer Science &amp;amp; Business Media&lt;/publisher&gt;&lt;last-updated-date format="utc"&gt;1434674843&lt;/last-updated-date&gt;&lt;volume&gt;50&lt;/volume&gt;&lt;/record&gt;&lt;/Cite&gt;&lt;Cite&gt;&lt;Author&gt;Vereecken&lt;/Author&gt;&lt;Year&gt;2006&lt;/Year&gt;&lt;IDText&gt;Applied hydrogeophysics&lt;/IDText&gt;&lt;record&gt;&lt;isbn&gt;1402049102&lt;/isbn&gt;&lt;titles&gt;&lt;title&gt;Applied hydrogeophysics&lt;/title&gt;&lt;/titles&gt;&lt;contributors&gt;&lt;authors&gt;&lt;author&gt;Vereecken, Harry&lt;/author&gt;&lt;author&gt;Binley, Andrew&lt;/author&gt;&lt;author&gt;Cassiani, Giorgio&lt;/author&gt;&lt;author&gt;Revil, Andre&lt;/author&gt;&lt;author&gt;Titov, Konstantin&lt;/author&gt;&lt;/authors&gt;&lt;/contributors&gt;&lt;added-date format="utc"&gt;1434674862&lt;/added-date&gt;&lt;ref-type name="Book"&gt;6&lt;/ref-type&gt;&lt;dates&gt;&lt;year&gt;2006&lt;/year&gt;&lt;/dates&gt;&lt;rec-number&gt;367&lt;/rec-number&gt;&lt;publisher&gt;Springer&lt;/publisher&gt;&lt;last-updated-date format="utc"&gt;1434674862&lt;/last-updated-date&gt;&lt;/record&gt;&lt;/Cite&gt;&lt;/EndNote&gt;</w:instrText>
      </w:r>
      <w:r>
        <w:rPr>
          <w:color w:val="auto"/>
        </w:rPr>
        <w:fldChar w:fldCharType="separate"/>
      </w:r>
      <w:r>
        <w:rPr>
          <w:noProof/>
          <w:color w:val="auto"/>
        </w:rPr>
        <w:t>(Rubin and Hubbard, 2006; Vereecken et al., 2006; Yand and Aplin, 2010)</w:t>
      </w:r>
      <w:r>
        <w:rPr>
          <w:color w:val="auto"/>
        </w:rPr>
        <w:fldChar w:fldCharType="end"/>
      </w:r>
      <w:r>
        <w:rPr>
          <w:color w:val="auto"/>
        </w:rPr>
        <w:t xml:space="preserve">, the sample volume will be only slightly greater than the circumference of the bore sampled, as geophysical wireline logging tools do not typically sample far beyond the bore casing. </w:t>
      </w:r>
    </w:p>
    <w:p w14:paraId="4A06575F" w14:textId="7A083D7F" w:rsidR="0002530F" w:rsidRDefault="0002530F" w:rsidP="0002530F">
      <w:pPr>
        <w:pStyle w:val="Body"/>
      </w:pPr>
      <w:r>
        <w:t xml:space="preserve">Estimates of hydraulic properties at the bore scale typically involve hydraulic testing. This may involve the removal (i.e., pump test) or addition (i.e., slug test) of a known volume of water from </w:t>
      </w:r>
      <w:r w:rsidR="00967FA4">
        <w:t xml:space="preserve">or to </w:t>
      </w:r>
      <w:r>
        <w:t>a bore. Pump testing may be performed once or many times (i.e., step testing</w:t>
      </w:r>
      <w:r w:rsidR="00967FA4">
        <w:t xml:space="preserve"> – using increasing pumping rates</w:t>
      </w:r>
      <w:r>
        <w:t xml:space="preserve">). Hydraulic properties are subsequently estimated from the transient hydraulic response observed. Alternatively, drill stem testing may be undertaken to estimate hydraulic properties during bore installation. This typically involves isolating a hydrostratigraphic unit of interest using inflatable packers and circulating fluids through the drill bit. Hydraulic properties are subsequently estimated from the rate of fluid circulation observed </w:t>
      </w:r>
      <w:r>
        <w:fldChar w:fldCharType="begin"/>
      </w:r>
      <w:r>
        <w:instrText xml:space="preserve"> ADDIN EN.CITE &lt;EndNote&gt;&lt;Cite&gt;&lt;Author&gt;Kruseman&lt;/Author&gt;&lt;Year&gt;1990&lt;/Year&gt;&lt;IDText&gt;Analysis and evaluation of pumping test data&lt;/IDText&gt;&lt;DisplayText&gt;(Kruseman and de Ridder, 1990)&lt;/DisplayText&gt;&lt;record&gt;&lt;keywords&gt;&lt;keyword&gt;Groundwater&lt;/keyword&gt;&lt;keyword&gt;Groundwater flow&lt;/keyword&gt;&lt;keyword&gt;Hydrogeology&lt;/keyword&gt;&lt;/keywords&gt;&lt;titles&gt;&lt;title&gt;Analysis and evaluation of pumping test data&lt;/title&gt;&lt;secondary-title&gt;ILRI Publication&lt;/secondary-title&gt;&lt;/titles&gt;&lt;pages&gt;377&lt;/pages&gt;&lt;number&gt;47&lt;/number&gt;&lt;contributors&gt;&lt;authors&gt;&lt;author&gt;Kruseman, GP&lt;/author&gt;&lt;author&gt;de Ridder, NA&lt;/author&gt;&lt;/authors&gt;&lt;/contributors&gt;&lt;edition&gt;2nd ed. (completely revised).&lt;/edition&gt;&lt;added-date format="utc"&gt;1433472818&lt;/added-date&gt;&lt;pub-location&gt;Wageningen&lt;/pub-location&gt;&lt;ref-type name="Book"&gt;6&lt;/ref-type&gt;&lt;dates&gt;&lt;year&gt;1990&lt;/year&gt;&lt;/dates&gt;&lt;rec-number&gt;97&lt;/rec-number&gt;&lt;publisher&gt;Wageningen : International Institute for Land Reclamation and Improvement&lt;/publisher&gt;&lt;last-updated-date format="utc"&gt;1434675054&lt;/last-updated-date&gt;&lt;/record&gt;&lt;/Cite&gt;&lt;/EndNote&gt;</w:instrText>
      </w:r>
      <w:r>
        <w:fldChar w:fldCharType="separate"/>
      </w:r>
      <w:r>
        <w:rPr>
          <w:noProof/>
        </w:rPr>
        <w:t>(Kruseman and de Ridder, 1990)</w:t>
      </w:r>
      <w:r>
        <w:fldChar w:fldCharType="end"/>
      </w:r>
      <w:r>
        <w:t>.</w:t>
      </w:r>
    </w:p>
    <w:p w14:paraId="7052BF49" w14:textId="631EC060" w:rsidR="0002530F" w:rsidRPr="00F4544E" w:rsidRDefault="0002530F" w:rsidP="0002530F">
      <w:pPr>
        <w:pStyle w:val="Body"/>
      </w:pPr>
      <w:r>
        <w:t>The hydraulic response of a bore (</w:t>
      </w:r>
      <w:r w:rsidR="00C46C70" w:rsidRPr="00C46C70">
        <w:t>that is, the time and amount of groundwater level recovery or decline</w:t>
      </w:r>
      <w:r w:rsidR="00C46C70">
        <w:t xml:space="preserve"> </w:t>
      </w:r>
      <w:r>
        <w:t>required to achieve equilibrium conditions) is interpreted using analytical solutions of the one-dimensional diffusion equation [</w:t>
      </w:r>
      <w:r w:rsidRPr="00A36B78">
        <w:t xml:space="preserve">Kruseman and de Ridder </w:t>
      </w:r>
      <w:r>
        <w:fldChar w:fldCharType="begin"/>
      </w:r>
      <w:r>
        <w:instrText xml:space="preserve"> ADDIN EN.CITE &lt;EndNote&gt;&lt;Cite ExcludeAuth="1"&gt;&lt;Author&gt;Kruseman&lt;/Author&gt;&lt;Year&gt;1990&lt;/Year&gt;&lt;IDText&gt;Analysis and evaluation of pumping test data&lt;/IDText&gt;&lt;DisplayText&gt;(1990)&lt;/DisplayText&gt;&lt;record&gt;&lt;keywords&gt;&lt;keyword&gt;Groundwater&lt;/keyword&gt;&lt;keyword&gt;Groundwater flow&lt;/keyword&gt;&lt;keyword&gt;Hydrogeology&lt;/keyword&gt;&lt;/keywords&gt;&lt;titles&gt;&lt;title&gt;Analysis and evaluation of pumping test data&lt;/title&gt;&lt;secondary-title&gt;ILRI Publication&lt;/secondary-title&gt;&lt;/titles&gt;&lt;pages&gt;377&lt;/pages&gt;&lt;number&gt;47&lt;/number&gt;&lt;contributors&gt;&lt;authors&gt;&lt;author&gt;Kruseman, GP&lt;/author&gt;&lt;author&gt;de Ridder, NA&lt;/author&gt;&lt;/authors&gt;&lt;/contributors&gt;&lt;edition&gt;2nd ed. (completely revised).&lt;/edition&gt;&lt;added-date format="utc"&gt;1433472818&lt;/added-date&gt;&lt;pub-location&gt;Wageningen&lt;/pub-location&gt;&lt;ref-type name="Book"&gt;6&lt;/ref-type&gt;&lt;dates&gt;&lt;year&gt;1990&lt;/year&gt;&lt;/dates&gt;&lt;rec-number&gt;97&lt;/rec-number&gt;&lt;publisher&gt;Wageningen : International Institute for Land Reclamation and Improvement&lt;/publisher&gt;&lt;last-updated-date format="utc"&gt;1434675054&lt;/last-updated-date&gt;&lt;/record&gt;&lt;/Cite&gt;&lt;/EndNote&gt;</w:instrText>
      </w:r>
      <w:r>
        <w:fldChar w:fldCharType="separate"/>
      </w:r>
      <w:r>
        <w:rPr>
          <w:noProof/>
        </w:rPr>
        <w:t>(1990)</w:t>
      </w:r>
      <w:r>
        <w:fldChar w:fldCharType="end"/>
      </w:r>
      <w:r>
        <w:t xml:space="preserve">: e.g., Theis </w:t>
      </w:r>
      <w:r>
        <w:fldChar w:fldCharType="begin"/>
      </w:r>
      <w:r>
        <w:instrText xml:space="preserve"> ADDIN EN.CITE &lt;EndNote&gt;&lt;Cite ExcludeAuth="1"&gt;&lt;Author&gt;Theis&lt;/Author&gt;&lt;Year&gt;1935&lt;/Year&gt;&lt;IDText&gt;The relation between the lowering of the piezometric surface and the rate and duration of discharge of a well using ground water storage&lt;/IDText&gt;&lt;DisplayText&gt;(1935)&lt;/DisplayText&gt;&lt;record&gt;&lt;dates&gt;&lt;pub-dates&gt;&lt;date&gt;AUG 1935&lt;/date&gt;&lt;/pub-dates&gt;&lt;year&gt;1935&lt;/year&gt;&lt;/dates&gt;&lt;keywords&gt;&lt;keyword&gt;Geochemistry &amp;amp; Geophysics&lt;/keyword&gt;&lt;keyword&gt;Geochemistry &amp;amp; Geophysics&lt;/keyword&gt;&lt;/keywords&gt;&lt;isbn&gt;0002-8606&lt;/isbn&gt;&lt;work-type&gt;Article&lt;/work-type&gt;&lt;titles&gt;&lt;title&gt;The relation between the lowering of the piezometric surface and the rate and duration of discharge of a well using ground water storage&lt;/title&gt;&lt;secondary-title&gt;Transactions-American Geophysical Union&lt;/secondary-title&gt;&lt;/titles&gt;&lt;pages&gt;519-524&lt;/pages&gt;&lt;contributors&gt;&lt;authors&gt;&lt;author&gt;Theis, CV&lt;/author&gt;&lt;/authors&gt;&lt;/contributors&gt;&lt;language&gt;English&lt;/language&gt;&lt;added-date format="utc"&gt;1434520637&lt;/added-date&gt;&lt;ref-type name="Journal Article"&gt;17&lt;/ref-type&gt;&lt;auth-address&gt;US Geol Survey, Washington, DC USA&lt;/auth-address&gt;&lt;rec-number&gt;339&lt;/rec-number&gt;&lt;last-updated-date format="utc"&gt;1434520637&lt;/last-updated-date&gt;&lt;accession-num&gt;WOS:000202045100017&lt;/accession-num&gt;&lt;volume&gt;16&lt;/volume&gt;&lt;/record&gt;&lt;/Cite&gt;&lt;/EndNote&gt;</w:instrText>
      </w:r>
      <w:r>
        <w:fldChar w:fldCharType="separate"/>
      </w:r>
      <w:r>
        <w:rPr>
          <w:noProof/>
        </w:rPr>
        <w:t>(1935)</w:t>
      </w:r>
      <w:r>
        <w:fldChar w:fldCharType="end"/>
      </w:r>
      <w:r>
        <w:t xml:space="preserve">, Cooper and Jacob </w:t>
      </w:r>
      <w:r>
        <w:fldChar w:fldCharType="begin"/>
      </w:r>
      <w:r>
        <w:instrText xml:space="preserve"> ADDIN EN.CITE &lt;EndNote&gt;&lt;Cite ExcludeAuth="1"&gt;&lt;Author&gt;Cooper&lt;/Author&gt;&lt;Year&gt;1946&lt;/Year&gt;&lt;IDText&gt;A generalized graphical method for evaluating formation constants and summarizing well‐field history&lt;/IDText&gt;&lt;DisplayText&gt;(1946)&lt;/DisplayText&gt;&lt;record&gt;&lt;isbn&gt;2324-9250&lt;/isbn&gt;&lt;titles&gt;&lt;title&gt;A generalized graphical method for evaluating formation constants and summarizing well‐field history&lt;/title&gt;&lt;secondary-title&gt;Eos, Transactions American Geophysical Union&lt;/secondary-title&gt;&lt;/titles&gt;&lt;pages&gt;526-534&lt;/pages&gt;&lt;number&gt;4&lt;/number&gt;&lt;contributors&gt;&lt;authors&gt;&lt;author&gt;Cooper, Hilton H&lt;/author&gt;&lt;author&gt;Jacob, CE&lt;/author&gt;&lt;/authors&gt;&lt;/contributors&gt;&lt;added-date format="utc"&gt;1434521040&lt;/added-date&gt;&lt;ref-type name="Journal Article"&gt;17&lt;/ref-type&gt;&lt;dates&gt;&lt;year&gt;1946&lt;/year&gt;&lt;/dates&gt;&lt;rec-number&gt;342&lt;/rec-number&gt;&lt;last-updated-date format="utc"&gt;1434521114&lt;/last-updated-date&gt;&lt;volume&gt;27&lt;/volume&gt;&lt;/record&gt;&lt;/Cite&gt;&lt;/EndNote&gt;</w:instrText>
      </w:r>
      <w:r>
        <w:fldChar w:fldCharType="separate"/>
      </w:r>
      <w:r>
        <w:rPr>
          <w:noProof/>
        </w:rPr>
        <w:t>(1946)</w:t>
      </w:r>
      <w:r>
        <w:fldChar w:fldCharType="end"/>
      </w:r>
      <w:r>
        <w:t xml:space="preserve">, Hantush </w:t>
      </w:r>
      <w:r>
        <w:fldChar w:fldCharType="begin"/>
      </w:r>
      <w:r>
        <w:instrText xml:space="preserve"> ADDIN EN.CITE &lt;EndNote&gt;&lt;Cite ExcludeAuth="1"&gt;&lt;Author&gt;Hantush&lt;/Author&gt;&lt;Year&gt;1966&lt;/Year&gt;&lt;IDText&gt;ANALYSIS OF DATA FROM PUMPING TESTS IN ANISOTROPIC AQUIFERS&lt;/IDText&gt;&lt;DisplayText&gt;(1966)&lt;/DisplayText&gt;&lt;record&gt;&lt;dates&gt;&lt;pub-dates&gt;&lt;date&gt;1966&lt;/date&gt;&lt;/pub-dates&gt;&lt;year&gt;1966&lt;/year&gt;&lt;/dates&gt;&lt;keywords&gt;&lt;keyword&gt;Geochemistry &amp;amp; Geophysics&lt;/keyword&gt;&lt;keyword&gt;Geosciences, Multidisciplinary&lt;/keyword&gt;&lt;keyword&gt;GEOSCIENCES, MULTIDISCIPLINARY&lt;/keyword&gt;&lt;keyword&gt;Geochemistry &amp;amp; Geophysics&lt;/keyword&gt;&lt;keyword&gt;Geology&lt;/keyword&gt;&lt;/keywords&gt;&lt;isbn&gt;0148-0227&lt;/isbn&gt;&lt;work-type&gt;Article&lt;/work-type&gt;&lt;titles&gt;&lt;title&gt;ANALYSIS OF DATA FROM PUMPING TESTS IN ANISOTROPIC AQUIFERS&lt;/title&gt;&lt;secondary-title&gt;Journal of Geophysical Research&lt;/secondary-title&gt;&lt;/titles&gt;&lt;pages&gt;421-&amp;amp;&lt;/pages&gt;&lt;number&gt;2&lt;/number&gt;&lt;contributors&gt;&lt;authors&gt;&lt;author&gt;Hantush, MS&lt;/author&gt;&lt;/authors&gt;&lt;/contributors&gt;&lt;language&gt;English&lt;/language&gt;&lt;added-date format="utc"&gt;1434520952&lt;/added-date&gt;&lt;ref-type name="Journal Article"&gt;17&lt;/ref-type&gt;&lt;rec-number&gt;340&lt;/rec-number&gt;&lt;last-updated-date format="utc"&gt;1434521158&lt;/last-updated-date&gt;&lt;accession-num&gt;WOS:A19667280000010&lt;/accession-num&gt;&lt;volume&gt;71&lt;/volume&gt;&lt;/record&gt;&lt;/Cite&gt;&lt;/EndNote&gt;</w:instrText>
      </w:r>
      <w:r>
        <w:fldChar w:fldCharType="separate"/>
      </w:r>
      <w:r>
        <w:rPr>
          <w:noProof/>
        </w:rPr>
        <w:t>(1966)</w:t>
      </w:r>
      <w:r>
        <w:fldChar w:fldCharType="end"/>
      </w:r>
      <w:r>
        <w:t xml:space="preserve">, Bouwer and Rice </w:t>
      </w:r>
      <w:r>
        <w:fldChar w:fldCharType="begin"/>
      </w:r>
      <w:r>
        <w:instrText xml:space="preserve"> ADDIN EN.CITE &lt;EndNote&gt;&lt;Cite ExcludeAuth="1"&gt;&lt;Author&gt;Bouwer&lt;/Author&gt;&lt;Year&gt;1976&lt;/Year&gt;&lt;IDText&gt;SLUG TEST FOR DETERMINING HYDRAULIC CONDUCTIVITY OF UNCONFINED AQUIFERS WITH COMPLETELY OR PARTIALLY PENETRATING WELLS&lt;/IDText&gt;&lt;DisplayText&gt;(1976)&lt;/DisplayText&gt;&lt;record&gt;&lt;dates&gt;&lt;pub-dates&gt;&lt;date&gt;1976&lt;/date&gt;&lt;/pub-dates&gt;&lt;year&gt;1976&lt;/year&gt;&lt;/dates&gt;&lt;keywords&gt;&lt;keyword&gt;Environmental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Resources&lt;/keyword&gt;&lt;/keywords&gt;&lt;isbn&gt;0043-1397&lt;/isbn&gt;&lt;work-type&gt;Article&lt;/work-type&gt;&lt;titles&gt;&lt;title&gt;SLUG TEST FOR DETERMINING HYDRAULIC CONDUCTIVITY OF UNCONFINED AQUIFERS WITH COMPLETELY OR PARTIALLY PENETRATING WELLS&lt;/title&gt;&lt;secondary-title&gt;Water Resources Research&lt;/secondary-title&gt;&lt;/titles&gt;&lt;pages&gt;423-428&lt;/pages&gt;&lt;number&gt;3&lt;/number&gt;&lt;contributors&gt;&lt;authors&gt;&lt;author&gt;Bouwer, H&lt;/author&gt;&lt;author&gt;Rice, RC&lt;/author&gt;&lt;/authors&gt;&lt;/contributors&gt;&lt;language&gt;English&lt;/language&gt;&lt;added-date format="utc"&gt;1434521003&lt;/added-date&gt;&lt;ref-type name="Journal Article"&gt;17&lt;/ref-type&gt;&lt;auth-address&gt;USDA,ARS,WATER CONSERVATION LAB,PHOENIX,AZ 85040&lt;/auth-address&gt;&lt;rec-number&gt;341&lt;/rec-number&gt;&lt;last-updated-date format="utc"&gt;1434521070&lt;/last-updated-date&gt;&lt;accession-num&gt;WOS:A1976BV89400011&lt;/accession-num&gt;&lt;electronic-resource-num&gt;10.1029/WR012i003p00423&lt;/electronic-resource-num&gt;&lt;volume&gt;12&lt;/volume&gt;&lt;/record&gt;&lt;/Cite&gt;&lt;/EndNote&gt;</w:instrText>
      </w:r>
      <w:r>
        <w:fldChar w:fldCharType="separate"/>
      </w:r>
      <w:r>
        <w:rPr>
          <w:noProof/>
        </w:rPr>
        <w:t>(1976)</w:t>
      </w:r>
      <w:r>
        <w:fldChar w:fldCharType="end"/>
      </w:r>
      <w:r>
        <w:t>]. These solutions provide estimates of hydraulic conductivity and storativity (</w:t>
      </w:r>
      <w:r w:rsidRPr="00CB72E7">
        <w:rPr>
          <w:i/>
        </w:rPr>
        <w:t>S</w:t>
      </w:r>
      <w:r>
        <w:t xml:space="preserve">). For pump tests, the length of time over which the test is undertaken is generally considered to correlate with the volume of aquifer sampled. Because hydraulic tests sample relatively large regions of an aquifer, zones of </w:t>
      </w:r>
      <w:r w:rsidR="00C46C70">
        <w:t xml:space="preserve">both </w:t>
      </w:r>
      <w:r>
        <w:t>high and low conductivity contribute to flow, although the contribution from the former generally exceeds that of the latter. For this reason, they produce hydraulic conductivity estimates that effectively average the response from high-conductivity and low-conductivity zones. As such, they can be considered as large-scale equivalent conductivities.</w:t>
      </w:r>
    </w:p>
    <w:p w14:paraId="31814350" w14:textId="5F2AD41E" w:rsidR="0002530F" w:rsidRDefault="0002530F" w:rsidP="0002530F">
      <w:pPr>
        <w:pStyle w:val="Body"/>
      </w:pPr>
      <w:r>
        <w:t xml:space="preserve">A second approach to obtaining bore scale observations of hydraulic properties is the use of downhole geophysical logging tools </w:t>
      </w:r>
      <w:r>
        <w:fldChar w:fldCharType="begin">
          <w:fldData xml:space="preserve">PEVuZE5vdGU+PENpdGU+PEF1dGhvcj5Kb3JnZW5zZW48L0F1dGhvcj48WWVhcj4xOTg5PC9ZZWFy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</w:fldData>
        </w:fldChar>
      </w:r>
      <w:r>
        <w:instrText xml:space="preserve"> ADDIN EN.CITE </w:instrText>
      </w:r>
      <w:r>
        <w:fldChar w:fldCharType="begin">
          <w:fldData xml:space="preserve">PEVuZE5vdGU+PENpdGU+PEF1dGhvcj5Kb3JnZW5zZW48L0F1dGhvcj48WWVhcj4xOTg5PC9ZZWFy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</w:fldData>
        </w:fldChar>
      </w:r>
      <w:r>
        <w:instrText xml:space="preserve"> ADDIN EN.CITE.DATA </w:instrText>
      </w:r>
      <w:r>
        <w:fldChar w:fldCharType="end"/>
      </w:r>
      <w:r>
        <w:fldChar w:fldCharType="separate"/>
      </w:r>
      <w:r>
        <w:rPr>
          <w:noProof/>
        </w:rPr>
        <w:t>(Balan et al., 1995; Jorgensen, 1989; Van der Baan and Jutten, 2000)</w:t>
      </w:r>
      <w:r>
        <w:fldChar w:fldCharType="end"/>
      </w:r>
      <w:r>
        <w:t>. For example, t</w:t>
      </w:r>
      <w:r w:rsidRPr="00F1417D">
        <w:t>he dual density and neutron porosity logs plus the gamma</w:t>
      </w:r>
      <w:r>
        <w:t xml:space="preserve"> </w:t>
      </w:r>
      <w:r w:rsidRPr="00F1417D">
        <w:t>ray log can be used to determine in-situ porosity and to qualitatively define lithology</w:t>
      </w:r>
      <w:r>
        <w:t>. Using empirical relationships, preferably calibrated at the site of interest, porosity values can then be used to estimate hydraulic conductivity (</w:t>
      </w:r>
      <w:r w:rsidR="006477D8">
        <w:fldChar w:fldCharType="begin"/>
      </w:r>
      <w:r w:rsidR="006477D8">
        <w:instrText xml:space="preserve"> REF _Ref445911821 \h </w:instrText>
      </w:r>
      <w:r w:rsidR="006477D8">
        <w:fldChar w:fldCharType="separate"/>
      </w:r>
      <w:r w:rsidR="00C52E30">
        <w:t xml:space="preserve">Table </w:t>
      </w:r>
      <w:r w:rsidR="00C52E30">
        <w:rPr>
          <w:noProof/>
        </w:rPr>
        <w:t>4</w:t>
      </w:r>
      <w:r w:rsidR="006477D8">
        <w:fldChar w:fldCharType="end"/>
      </w:r>
      <w:r w:rsidRPr="00C00DCC">
        <w:t>;</w:t>
      </w:r>
      <w:r>
        <w:t xml:space="preserve"> </w:t>
      </w:r>
      <w:r w:rsidR="006477D8">
        <w:fldChar w:fldCharType="begin"/>
      </w:r>
      <w:r w:rsidR="006477D8">
        <w:instrText xml:space="preserve"> REF _Ref445914944 \h </w:instrText>
      </w:r>
      <w:r w:rsidR="006477D8">
        <w:fldChar w:fldCharType="separate"/>
      </w:r>
      <w:r w:rsidR="00C52E30">
        <w:t xml:space="preserve">Figure </w:t>
      </w:r>
      <w:r w:rsidR="00C52E30">
        <w:rPr>
          <w:noProof/>
        </w:rPr>
        <w:t>22</w:t>
      </w:r>
      <w:r w:rsidR="006477D8">
        <w:fldChar w:fldCharType="end"/>
      </w:r>
      <w:r>
        <w:t>). Importantly, data obtained from downhole geophysics can be used to examine the variability of hydraulic properties in the vertical plane, within a given stratigraphic unit. For example, an upward fining trend is often observed in sedimentary units, owing to the decreasing level of energy involved in deposition. Where a stratigraphic unit is discretised into a number of model layers, such information could be used to inform parameter variability either directly or via an ensemble of stochastic realisations.</w:t>
      </w:r>
    </w:p>
    <w:p w14:paraId="47002E33" w14:textId="77777777" w:rsidR="0002530F" w:rsidRDefault="0002530F" w:rsidP="0002530F">
      <w:pPr>
        <w:pStyle w:val="Body"/>
        <w:sectPr w:rsidR="0002530F" w:rsidSect="00BA6CFE">
          <w:pgSz w:w="11900" w:h="16840"/>
          <w:pgMar w:top="1440" w:right="1440" w:bottom="1440" w:left="1440" w:header="0" w:footer="0" w:gutter="0"/>
          <w:pgNumType w:start="1"/>
          <w:cols w:space="284"/>
          <w:noEndnote/>
          <w:docGrid w:linePitch="326"/>
        </w:sectPr>
      </w:pPr>
    </w:p>
    <w:p w14:paraId="6CF94812" w14:textId="77777777" w:rsidR="0002530F" w:rsidRDefault="0002530F" w:rsidP="0002530F">
      <w:pPr>
        <w:pStyle w:val="Imagecaption"/>
        <w:keepNext/>
        <w:pBdr>
          <w:top w:val="none" w:sz="0" w:space="0" w:color="auto"/>
        </w:pBdr>
      </w:pPr>
      <w:bookmarkStart w:id="106" w:name="_Ref445911821"/>
      <w:bookmarkStart w:id="107" w:name="_Toc449696224"/>
      <w:r>
        <w:t xml:space="preserve">Table </w:t>
      </w:r>
      <w:r>
        <w:fldChar w:fldCharType="begin"/>
      </w:r>
      <w:r>
        <w:instrText xml:space="preserve"> SEQ Table \* ARABIC </w:instrText>
      </w:r>
      <w:r>
        <w:fldChar w:fldCharType="separate"/>
      </w:r>
      <w:r w:rsidR="00C52E30">
        <w:rPr>
          <w:noProof/>
        </w:rPr>
        <w:t>4</w:t>
      </w:r>
      <w:r>
        <w:fldChar w:fldCharType="end"/>
      </w:r>
      <w:bookmarkEnd w:id="106"/>
      <w:r>
        <w:t>. Summary of empirical models for estimating porosity (η</w:t>
      </w:r>
      <w:r w:rsidRPr="0018377D">
        <w:rPr>
          <w:vertAlign w:val="subscript"/>
        </w:rPr>
        <w:t>d</w:t>
      </w:r>
      <w:r>
        <w:t xml:space="preserve"> and η</w:t>
      </w:r>
      <w:r w:rsidRPr="0018377D">
        <w:rPr>
          <w:vertAlign w:val="subscript"/>
        </w:rPr>
        <w:t>s</w:t>
      </w:r>
      <w:r>
        <w:t>) and permeability (k) from geophysical measurements</w:t>
      </w:r>
      <w:bookmarkEnd w:id="10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9"/>
        <w:gridCol w:w="2226"/>
        <w:gridCol w:w="2923"/>
        <w:gridCol w:w="5085"/>
      </w:tblGrid>
      <w:tr w:rsidR="0002530F" w:rsidRPr="00523374" w14:paraId="1CC584A1" w14:textId="77777777" w:rsidTr="00235FE2">
        <w:tc>
          <w:tcPr>
            <w:tcW w:w="532" w:type="pct"/>
            <w:tcBorders>
              <w:top w:val="single" w:sz="4" w:space="0" w:color="auto"/>
              <w:bottom w:val="single" w:sz="4" w:space="0" w:color="auto"/>
            </w:tcBorders>
            <w:shd w:val="clear" w:color="auto" w:fill="F2F2F2" w:themeFill="background1" w:themeFillShade="F2"/>
            <w:vAlign w:val="bottom"/>
          </w:tcPr>
          <w:p w14:paraId="324EC9CF" w14:textId="77777777" w:rsidR="0002530F" w:rsidRPr="00523374" w:rsidRDefault="0002530F" w:rsidP="00235FE2">
            <w:pPr>
              <w:pStyle w:val="Body"/>
              <w:keepNext/>
              <w:spacing w:before="60" w:after="60" w:line="240" w:lineRule="auto"/>
            </w:pPr>
            <w:r w:rsidRPr="00523374">
              <w:t>Hydraulic property</w:t>
            </w:r>
          </w:p>
        </w:tc>
        <w:tc>
          <w:tcPr>
            <w:tcW w:w="972" w:type="pct"/>
            <w:tcBorders>
              <w:top w:val="single" w:sz="4" w:space="0" w:color="auto"/>
              <w:bottom w:val="single" w:sz="4" w:space="0" w:color="auto"/>
            </w:tcBorders>
            <w:shd w:val="clear" w:color="auto" w:fill="F2F2F2" w:themeFill="background1" w:themeFillShade="F2"/>
            <w:vAlign w:val="bottom"/>
          </w:tcPr>
          <w:p w14:paraId="13A0DA00" w14:textId="77777777" w:rsidR="0002530F" w:rsidRPr="00523374" w:rsidRDefault="0002530F" w:rsidP="00235FE2">
            <w:pPr>
              <w:pStyle w:val="Body"/>
              <w:keepNext/>
              <w:spacing w:before="60" w:after="60" w:line="240" w:lineRule="auto"/>
            </w:pPr>
            <w:r w:rsidRPr="00523374">
              <w:t>Reference</w:t>
            </w:r>
          </w:p>
        </w:tc>
        <w:tc>
          <w:tcPr>
            <w:tcW w:w="1276" w:type="pct"/>
            <w:tcBorders>
              <w:top w:val="single" w:sz="4" w:space="0" w:color="auto"/>
              <w:bottom w:val="single" w:sz="4" w:space="0" w:color="auto"/>
            </w:tcBorders>
            <w:shd w:val="clear" w:color="auto" w:fill="F2F2F2" w:themeFill="background1" w:themeFillShade="F2"/>
            <w:vAlign w:val="bottom"/>
          </w:tcPr>
          <w:p w14:paraId="1CD7F6A3" w14:textId="77777777" w:rsidR="0002530F" w:rsidRPr="00523374" w:rsidRDefault="0002530F" w:rsidP="00235FE2">
            <w:pPr>
              <w:pStyle w:val="Body"/>
              <w:keepNext/>
              <w:spacing w:before="60" w:after="60" w:line="240" w:lineRule="auto"/>
            </w:pPr>
            <w:r w:rsidRPr="00523374">
              <w:t>Empirical model</w:t>
            </w:r>
          </w:p>
        </w:tc>
        <w:tc>
          <w:tcPr>
            <w:tcW w:w="2220" w:type="pct"/>
            <w:tcBorders>
              <w:top w:val="single" w:sz="4" w:space="0" w:color="auto"/>
              <w:bottom w:val="single" w:sz="4" w:space="0" w:color="auto"/>
            </w:tcBorders>
            <w:shd w:val="clear" w:color="auto" w:fill="F2F2F2" w:themeFill="background1" w:themeFillShade="F2"/>
            <w:vAlign w:val="bottom"/>
          </w:tcPr>
          <w:p w14:paraId="241D8D61" w14:textId="77777777" w:rsidR="0002530F" w:rsidRPr="00523374" w:rsidRDefault="0002530F" w:rsidP="00235FE2">
            <w:pPr>
              <w:pStyle w:val="Body"/>
              <w:keepNext/>
              <w:spacing w:before="60" w:after="60" w:line="240" w:lineRule="auto"/>
            </w:pPr>
            <w:r w:rsidRPr="00523374">
              <w:t>Model parameters</w:t>
            </w:r>
          </w:p>
        </w:tc>
      </w:tr>
      <w:tr w:rsidR="0002530F" w14:paraId="13F495EE" w14:textId="77777777" w:rsidTr="00235FE2">
        <w:tc>
          <w:tcPr>
            <w:tcW w:w="532" w:type="pct"/>
          </w:tcPr>
          <w:p w14:paraId="607DC56A" w14:textId="77777777" w:rsidR="0002530F" w:rsidRDefault="0002530F" w:rsidP="00235FE2">
            <w:pPr>
              <w:pStyle w:val="Body"/>
              <w:keepNext/>
              <w:spacing w:before="60"/>
            </w:pPr>
            <w:r>
              <w:t>permeability</w:t>
            </w:r>
          </w:p>
        </w:tc>
        <w:tc>
          <w:tcPr>
            <w:tcW w:w="972" w:type="pct"/>
          </w:tcPr>
          <w:p w14:paraId="540B64CC" w14:textId="77777777" w:rsidR="0002530F" w:rsidRPr="00832378" w:rsidRDefault="0002530F" w:rsidP="00235FE2">
            <w:pPr>
              <w:pStyle w:val="Body"/>
              <w:keepNext/>
              <w:spacing w:before="60"/>
            </w:pPr>
            <w:r w:rsidRPr="00832378">
              <w:t xml:space="preserve">Jorgensen </w:t>
            </w:r>
            <w:r>
              <w:fldChar w:fldCharType="begin"/>
            </w:r>
            <w:r>
              <w:instrText xml:space="preserve"> ADDIN EN.CITE &lt;EndNote&gt;&lt;Cite ExcludeAuth="1"&gt;&lt;Author&gt;Jorgensen&lt;/Author&gt;&lt;Year&gt;1989&lt;/Year&gt;&lt;IDText&gt;Using geophysical logs to estimate porosity, water resistivity, and intrinsic permeability&lt;/IDText&gt;&lt;DisplayText&gt;(1989)&lt;/DisplayText&gt;&lt;record&gt;&lt;titles&gt;&lt;title&gt;Using geophysical logs to estimate porosity, water resistivity, and intrinsic permeability&lt;/title&gt;&lt;/titles&gt;&lt;contributors&gt;&lt;authors&gt;&lt;author&gt;Jorgensen, Donald G&lt;/author&gt;&lt;/authors&gt;&lt;/contributors&gt;&lt;added-date format="utc"&gt;1434521984&lt;/added-date&gt;&lt;ref-type name="Report"&gt;27&lt;/ref-type&gt;&lt;dates&gt;&lt;year&gt;1989&lt;/year&gt;&lt;/dates&gt;&lt;rec-number&gt;343&lt;/rec-number&gt;&lt;publisher&gt;USGPO&lt;/publisher&gt;&lt;last-updated-date format="utc"&gt;1434521984&lt;/last-updated-date&gt;&lt;/record&gt;&lt;/Cite&gt;&lt;/EndNote&gt;</w:instrText>
            </w:r>
            <w:r>
              <w:fldChar w:fldCharType="separate"/>
            </w:r>
            <w:r>
              <w:rPr>
                <w:noProof/>
              </w:rPr>
              <w:t>(1989)</w:t>
            </w:r>
            <w:r>
              <w:fldChar w:fldCharType="end"/>
            </w:r>
          </w:p>
        </w:tc>
        <w:tc>
          <w:tcPr>
            <w:tcW w:w="1276" w:type="pct"/>
          </w:tcPr>
          <w:p w14:paraId="5426D886" w14:textId="77777777" w:rsidR="0002530F" w:rsidRPr="006724E3" w:rsidRDefault="0002530F" w:rsidP="00235FE2">
            <w:pPr>
              <w:pStyle w:val="Body"/>
              <w:keepNext/>
              <w:spacing w:before="60"/>
              <w:rPr>
                <w:i/>
              </w:rPr>
            </w:pPr>
            <m:oMathPara>
              <m:oMath>
                <m:r>
                  <w:rPr>
                    <w:rFonts w:ascii="Cambria Math" w:hAnsi="Cambria Math"/>
                  </w:rPr>
                  <m:t>k=</m:t>
                </m:r>
                <m:f>
                  <m:fPr>
                    <m:ctrlPr>
                      <w:rPr>
                        <w:rFonts w:ascii="Cambria Math" w:hAnsi="Cambria Math"/>
                        <w:i/>
                      </w:rPr>
                    </m:ctrlPr>
                  </m:fPr>
                  <m:num>
                    <m:r>
                      <w:rPr>
                        <w:rFonts w:ascii="Cambria Math" w:hAnsi="Cambria Math"/>
                      </w:rPr>
                      <m:t>C</m:t>
                    </m:r>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s</m:t>
                            </m:r>
                          </m:sub>
                        </m:sSub>
                      </m:e>
                      <m:sup>
                        <m:r>
                          <w:rPr>
                            <w:rFonts w:ascii="Cambria Math" w:hAnsi="Cambria Math"/>
                          </w:rPr>
                          <m:t>2</m:t>
                        </m:r>
                      </m:sup>
                    </m:sSup>
                  </m:den>
                </m:f>
                <m:f>
                  <m:fPr>
                    <m:ctrlPr>
                      <w:rPr>
                        <w:rFonts w:ascii="Cambria Math" w:hAnsi="Cambria Math"/>
                        <w:i/>
                      </w:rPr>
                    </m:ctrlPr>
                  </m:fPr>
                  <m:num>
                    <m:sSup>
                      <m:sSupPr>
                        <m:ctrlPr>
                          <w:rPr>
                            <w:rFonts w:ascii="Cambria Math" w:hAnsi="Cambria Math"/>
                            <w:i/>
                          </w:rPr>
                        </m:ctrlPr>
                      </m:sSupPr>
                      <m:e>
                        <m:r>
                          <w:rPr>
                            <w:rFonts w:ascii="Cambria Math" w:hAnsi="Cambria Math"/>
                          </w:rPr>
                          <m:t>η</m:t>
                        </m:r>
                      </m:e>
                      <m:sup>
                        <m:r>
                          <w:rPr>
                            <w:rFonts w:ascii="Cambria Math" w:hAnsi="Cambria Math"/>
                          </w:rPr>
                          <m:t>m+2</m:t>
                        </m:r>
                      </m:sup>
                    </m:sSup>
                  </m:num>
                  <m:den>
                    <m:r>
                      <w:rPr>
                        <w:rFonts w:ascii="Cambria Math" w:hAnsi="Cambria Math"/>
                      </w:rPr>
                      <m:t>1-</m:t>
                    </m:r>
                    <m:sSup>
                      <m:sSupPr>
                        <m:ctrlPr>
                          <w:rPr>
                            <w:rFonts w:ascii="Cambria Math" w:hAnsi="Cambria Math"/>
                            <w:i/>
                          </w:rPr>
                        </m:ctrlPr>
                      </m:sSupPr>
                      <m:e>
                        <m:r>
                          <w:rPr>
                            <w:rFonts w:ascii="Cambria Math" w:hAnsi="Cambria Math"/>
                          </w:rPr>
                          <m:t>η</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s</m:t>
                            </m:r>
                          </m:sub>
                        </m:sSub>
                      </m:e>
                      <m:sup>
                        <m:r>
                          <w:rPr>
                            <w:rFonts w:ascii="Cambria Math" w:hAnsi="Cambria Math"/>
                          </w:rPr>
                          <m:t>2</m:t>
                        </m:r>
                      </m:sup>
                    </m:sSup>
                  </m:den>
                </m:f>
                <m:r>
                  <w:rPr>
                    <w:rFonts w:ascii="Cambria Math" w:hAnsi="Cambria Math"/>
                  </w:rPr>
                  <m:t xml:space="preserve">P≅1.828 </m:t>
                </m:r>
                <m:sSup>
                  <m:sSupPr>
                    <m:ctrlPr>
                      <w:rPr>
                        <w:rFonts w:ascii="Cambria Math" w:hAnsi="Cambria Math"/>
                        <w:i/>
                      </w:rPr>
                    </m:ctrlPr>
                  </m:sSupPr>
                  <m:e>
                    <m:r>
                      <w:rPr>
                        <w:rFonts w:ascii="Cambria Math" w:hAnsi="Cambria Math"/>
                      </w:rPr>
                      <m:t>P</m:t>
                    </m:r>
                  </m:e>
                  <m:sup>
                    <m:r>
                      <w:rPr>
                        <w:rFonts w:ascii="Cambria Math" w:hAnsi="Cambria Math"/>
                      </w:rPr>
                      <m:t>1.1</m:t>
                    </m:r>
                  </m:sup>
                </m:sSup>
              </m:oMath>
            </m:oMathPara>
          </w:p>
        </w:tc>
        <w:tc>
          <w:tcPr>
            <w:tcW w:w="2220" w:type="pct"/>
          </w:tcPr>
          <w:p w14:paraId="714D7487" w14:textId="77777777" w:rsidR="0002530F" w:rsidRDefault="0002530F" w:rsidP="00235FE2">
            <w:pPr>
              <w:pStyle w:val="Body"/>
              <w:keepNext/>
              <w:spacing w:before="60" w:after="0"/>
            </w:pPr>
            <w:r w:rsidRPr="00973F97">
              <w:rPr>
                <w:i/>
              </w:rPr>
              <w:t>C</w:t>
            </w:r>
            <w:r>
              <w:rPr>
                <w:i/>
              </w:rPr>
              <w:t xml:space="preserve"> =</w:t>
            </w:r>
            <w:r>
              <w:t xml:space="preserve"> </w:t>
            </w:r>
            <w:r w:rsidRPr="00F1417D">
              <w:t>Kozeny coefficient</w:t>
            </w:r>
            <w:r>
              <w:t xml:space="preserve"> (-); </w:t>
            </w:r>
            <w:r w:rsidRPr="00973F97">
              <w:rPr>
                <w:i/>
              </w:rPr>
              <w:t>S</w:t>
            </w:r>
            <w:r w:rsidRPr="00973F97">
              <w:rPr>
                <w:i/>
                <w:vertAlign w:val="subscript"/>
              </w:rPr>
              <w:t>S</w:t>
            </w:r>
            <w:r>
              <w:t>:</w:t>
            </w:r>
            <w:r w:rsidRPr="00F1417D">
              <w:t xml:space="preserve"> specific surface area of the</w:t>
            </w:r>
            <w:r>
              <w:t xml:space="preserve"> solids per unit </w:t>
            </w:r>
            <w:r w:rsidRPr="00F1417D">
              <w:t>volume of solids</w:t>
            </w:r>
            <w:r>
              <w:t xml:space="preserve"> (m</w:t>
            </w:r>
            <w:r>
              <w:rPr>
                <w:vertAlign w:val="superscript"/>
              </w:rPr>
              <w:t>2</w:t>
            </w:r>
            <w:r>
              <w:t xml:space="preserve">); </w:t>
            </w:r>
            <w:r>
              <w:rPr>
                <w:i/>
              </w:rPr>
              <w:t xml:space="preserve">η </w:t>
            </w:r>
            <w:r>
              <w:t xml:space="preserve">= porosity (-); </w:t>
            </w:r>
            <w:r w:rsidRPr="00973F97">
              <w:rPr>
                <w:i/>
              </w:rPr>
              <w:t>m</w:t>
            </w:r>
            <w:r>
              <w:t xml:space="preserve">: cementation factor </w:t>
            </w:r>
          </w:p>
          <w:p w14:paraId="437C55CE" w14:textId="77777777" w:rsidR="0002530F" w:rsidRDefault="0002530F" w:rsidP="00235FE2">
            <w:pPr>
              <w:pStyle w:val="Body"/>
              <w:keepNext/>
            </w:pPr>
            <w:r>
              <w:t xml:space="preserve">(-); </w:t>
            </w:r>
            <w:r w:rsidRPr="00973F97">
              <w:rPr>
                <w:i/>
              </w:rPr>
              <w:t>P</w:t>
            </w:r>
            <w:r>
              <w:t>: porosity factor (-)</w:t>
            </w:r>
          </w:p>
        </w:tc>
      </w:tr>
      <w:tr w:rsidR="0002530F" w14:paraId="344634EB" w14:textId="77777777" w:rsidTr="00235FE2">
        <w:tc>
          <w:tcPr>
            <w:tcW w:w="532" w:type="pct"/>
          </w:tcPr>
          <w:p w14:paraId="292899FD" w14:textId="77777777" w:rsidR="0002530F" w:rsidRDefault="0002530F" w:rsidP="00235FE2">
            <w:pPr>
              <w:pStyle w:val="Body"/>
              <w:keepNext/>
            </w:pPr>
          </w:p>
        </w:tc>
        <w:tc>
          <w:tcPr>
            <w:tcW w:w="972" w:type="pct"/>
          </w:tcPr>
          <w:p w14:paraId="15A8402D" w14:textId="77777777" w:rsidR="0002530F" w:rsidRPr="00963D0D" w:rsidRDefault="0002530F" w:rsidP="00235FE2">
            <w:pPr>
              <w:pStyle w:val="Body"/>
              <w:keepNext/>
            </w:pPr>
            <w:r w:rsidRPr="00963D0D">
              <w:t xml:space="preserve">Bourbie </w:t>
            </w:r>
            <w:r>
              <w:t xml:space="preserve">et al., </w:t>
            </w:r>
            <w:r>
              <w:fldChar w:fldCharType="begin"/>
            </w:r>
            <w:r>
              <w:instrText xml:space="preserve"> ADDIN EN.CITE &lt;EndNote&gt;&lt;Cite ExcludeAuth="1"&gt;&lt;Author&gt;Bourbié&lt;/Author&gt;&lt;Year&gt;1987&lt;/Year&gt;&lt;IDText&gt;Acoustics of porous media&lt;/IDText&gt;&lt;DisplayText&gt;(1987)&lt;/DisplayText&gt;&lt;record&gt;&lt;titles&gt;&lt;title&gt;Acoustics of porous media&lt;/title&gt;&lt;/titles&gt;&lt;contributors&gt;&lt;authors&gt;&lt;author&gt;Bourbié, Th&lt;/author&gt;&lt;author&gt;Coussy, O&lt;/author&gt;&lt;author&gt;Zinszner, B&lt;/author&gt;&lt;/authors&gt;&lt;/contributors&gt;&lt;added-date format="utc"&gt;1434522419&lt;/added-date&gt;&lt;pub-location&gt;Houston. Texas, USA&lt;/pub-location&gt;&lt;ref-type name="Book"&gt;6&lt;/ref-type&gt;&lt;dates&gt;&lt;year&gt;1987&lt;/year&gt;&lt;/dates&gt;&lt;rec-number&gt;347&lt;/rec-number&gt;&lt;publisher&gt;Gulf Publishing Co.&lt;/publisher&gt;&lt;last-updated-date format="utc"&gt;1434522473&lt;/last-updated-date&gt;&lt;/record&gt;&lt;/Cite&gt;&lt;/EndNote&gt;</w:instrText>
            </w:r>
            <w:r>
              <w:fldChar w:fldCharType="separate"/>
            </w:r>
            <w:r>
              <w:rPr>
                <w:noProof/>
              </w:rPr>
              <w:t>(1987)</w:t>
            </w:r>
            <w:r>
              <w:fldChar w:fldCharType="end"/>
            </w:r>
          </w:p>
        </w:tc>
        <w:tc>
          <w:tcPr>
            <w:tcW w:w="1276" w:type="pct"/>
          </w:tcPr>
          <w:p w14:paraId="72B2B9D7" w14:textId="77777777" w:rsidR="0002530F" w:rsidRPr="00006833" w:rsidRDefault="0002530F" w:rsidP="00235FE2">
            <w:pPr>
              <w:pStyle w:val="Body"/>
              <w:keepNext/>
              <w:rPr>
                <w:i/>
              </w:rPr>
            </w:pPr>
            <m:oMathPara>
              <m:oMath>
                <m:r>
                  <w:rPr>
                    <w:rFonts w:ascii="Cambria Math" w:hAnsi="Cambria Math"/>
                  </w:rPr>
                  <m:t>k=</m:t>
                </m:r>
                <m:sSup>
                  <m:sSupPr>
                    <m:ctrlPr>
                      <w:rPr>
                        <w:rFonts w:ascii="Cambria Math" w:hAnsi="Cambria Math"/>
                        <w:i/>
                      </w:rPr>
                    </m:ctrlPr>
                  </m:sSupPr>
                  <m:e>
                    <m:r>
                      <w:rPr>
                        <w:rFonts w:ascii="Cambria Math" w:hAnsi="Cambria Math"/>
                      </w:rPr>
                      <m:t>d</m:t>
                    </m:r>
                  </m:e>
                  <m:sup>
                    <m:r>
                      <w:rPr>
                        <w:rFonts w:ascii="Cambria Math" w:hAnsi="Cambria Math"/>
                      </w:rPr>
                      <m:t>2</m:t>
                    </m:r>
                  </m:sup>
                </m:sSup>
                <m:sSup>
                  <m:sSupPr>
                    <m:ctrlPr>
                      <w:rPr>
                        <w:rFonts w:ascii="Cambria Math" w:hAnsi="Cambria Math"/>
                        <w:i/>
                      </w:rPr>
                    </m:ctrlPr>
                  </m:sSupPr>
                  <m:e>
                    <m:r>
                      <w:rPr>
                        <w:rFonts w:ascii="Cambria Math" w:hAnsi="Cambria Math"/>
                      </w:rPr>
                      <m:t>η</m:t>
                    </m:r>
                  </m:e>
                  <m:sup>
                    <m:r>
                      <w:rPr>
                        <w:rFonts w:ascii="Cambria Math" w:hAnsi="Cambria Math"/>
                      </w:rPr>
                      <m:t>m</m:t>
                    </m:r>
                  </m:sup>
                </m:sSup>
              </m:oMath>
            </m:oMathPara>
          </w:p>
        </w:tc>
        <w:tc>
          <w:tcPr>
            <w:tcW w:w="2220" w:type="pct"/>
          </w:tcPr>
          <w:p w14:paraId="4D904F7C" w14:textId="77777777" w:rsidR="0002530F" w:rsidRDefault="0002530F" w:rsidP="00235FE2">
            <w:pPr>
              <w:pStyle w:val="Body"/>
              <w:keepNext/>
            </w:pPr>
            <w:r w:rsidRPr="00973F97">
              <w:rPr>
                <w:i/>
              </w:rPr>
              <w:t>d</w:t>
            </w:r>
            <w:r>
              <w:rPr>
                <w:i/>
              </w:rPr>
              <w:t xml:space="preserve"> </w:t>
            </w:r>
            <w:r>
              <w:t xml:space="preserve">= grain diameter (m); </w:t>
            </w:r>
            <w:r>
              <w:rPr>
                <w:i/>
              </w:rPr>
              <w:t>η</w:t>
            </w:r>
            <w:r>
              <w:t xml:space="preserve"> = porosity (-); </w:t>
            </w:r>
            <w:r>
              <w:rPr>
                <w:i/>
              </w:rPr>
              <w:t xml:space="preserve">m </w:t>
            </w:r>
            <w:r>
              <w:t>= exponent (-); ≥7 for porosities below 5% to ≤2 for porosities above 30%</w:t>
            </w:r>
          </w:p>
        </w:tc>
      </w:tr>
      <w:tr w:rsidR="0002530F" w14:paraId="5FBD4E84" w14:textId="77777777" w:rsidTr="00235FE2">
        <w:trPr>
          <w:trHeight w:val="772"/>
        </w:trPr>
        <w:tc>
          <w:tcPr>
            <w:tcW w:w="532" w:type="pct"/>
          </w:tcPr>
          <w:p w14:paraId="0468F24B" w14:textId="77777777" w:rsidR="0002530F" w:rsidRDefault="0002530F" w:rsidP="00235FE2">
            <w:pPr>
              <w:pStyle w:val="Body"/>
              <w:keepNext/>
            </w:pPr>
          </w:p>
        </w:tc>
        <w:tc>
          <w:tcPr>
            <w:tcW w:w="972" w:type="pct"/>
          </w:tcPr>
          <w:p w14:paraId="4923CF55" w14:textId="77777777" w:rsidR="0002530F" w:rsidRDefault="0002530F" w:rsidP="00235FE2">
            <w:pPr>
              <w:pStyle w:val="Body"/>
              <w:spacing w:after="0"/>
            </w:pPr>
            <w:r>
              <w:t xml:space="preserve">Timur equation </w:t>
            </w:r>
          </w:p>
          <w:p w14:paraId="7DD5D088" w14:textId="77777777" w:rsidR="0002530F" w:rsidRDefault="0002530F" w:rsidP="00235FE2">
            <w:pPr>
              <w:pStyle w:val="Body"/>
            </w:pPr>
            <w:r>
              <w:fldChar w:fldCharType="begin"/>
            </w:r>
            <w:r>
              <w:instrText xml:space="preserve"> ADDIN EN.CITE &lt;EndNote&gt;&lt;Cite&gt;&lt;Author&gt;Schlumberger&lt;/Author&gt;&lt;Year&gt;1991&lt;/Year&gt;&lt;IDText&gt;Log Interpretation Principles / Applications&lt;/IDText&gt;&lt;DisplayText&gt;(Schlumberger, 1991)&lt;/DisplayText&gt;&lt;record&gt;&lt;titles&gt;&lt;title&gt;Log Interpretation Principles / Applications&lt;/title&gt;&lt;/titles&gt;&lt;contributors&gt;&lt;authors&gt;&lt;author&gt;Schlumberger&lt;/author&gt;&lt;/authors&gt;&lt;/contributors&gt;&lt;added-date format="utc"&gt;1434522561&lt;/added-date&gt;&lt;pub-location&gt;Houston, Texas, USA&lt;/pub-location&gt;&lt;ref-type name="Book"&gt;6&lt;/ref-type&gt;&lt;dates&gt;&lt;year&gt;1991&lt;/year&gt;&lt;/dates&gt;&lt;rec-number&gt;348&lt;/rec-number&gt;&lt;publisher&gt;Schlumberger Wireline and Testing&lt;/publisher&gt;&lt;last-updated-date format="utc"&gt;1434522613&lt;/last-updated-date&gt;&lt;/record&gt;&lt;/Cite&gt;&lt;/EndNote&gt;</w:instrText>
            </w:r>
            <w:r>
              <w:fldChar w:fldCharType="separate"/>
            </w:r>
            <w:r>
              <w:rPr>
                <w:noProof/>
              </w:rPr>
              <w:t>(Schlumberger, 1991)</w:t>
            </w:r>
            <w:r>
              <w:fldChar w:fldCharType="end"/>
            </w:r>
            <w:r>
              <w:t>:</w:t>
            </w:r>
          </w:p>
        </w:tc>
        <w:tc>
          <w:tcPr>
            <w:tcW w:w="1276" w:type="pct"/>
          </w:tcPr>
          <w:p w14:paraId="0EADFDC0" w14:textId="77777777" w:rsidR="0002530F" w:rsidRPr="00D3258E" w:rsidRDefault="0002530F" w:rsidP="00235FE2">
            <w:pPr>
              <w:pStyle w:val="Body"/>
              <w:keepNext/>
            </w:pPr>
            <m:oMath>
              <m:r>
                <w:rPr>
                  <w:rFonts w:ascii="Cambria Math" w:hAnsi="Cambria Math"/>
                </w:rPr>
                <m:t>k=10000</m:t>
              </m:r>
              <m:f>
                <m:fPr>
                  <m:ctrlPr>
                    <w:rPr>
                      <w:rFonts w:ascii="Cambria Math" w:hAnsi="Cambria Math"/>
                      <w:i/>
                    </w:rPr>
                  </m:ctrlPr>
                </m:fPr>
                <m:num>
                  <m:sSup>
                    <m:sSupPr>
                      <m:ctrlPr>
                        <w:rPr>
                          <w:rFonts w:ascii="Cambria Math" w:hAnsi="Cambria Math"/>
                          <w:i/>
                        </w:rPr>
                      </m:ctrlPr>
                    </m:sSupPr>
                    <m:e>
                      <m:r>
                        <w:rPr>
                          <w:rFonts w:ascii="Cambria Math" w:hAnsi="Cambria Math"/>
                        </w:rPr>
                        <m:t>η</m:t>
                      </m:r>
                    </m:e>
                    <m:sup>
                      <m:r>
                        <w:rPr>
                          <w:rFonts w:ascii="Cambria Math" w:hAnsi="Cambria Math"/>
                        </w:rPr>
                        <m:t>4.5</m:t>
                      </m:r>
                    </m:sup>
                  </m:sSup>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wi</m:t>
                          </m:r>
                        </m:sub>
                      </m:sSub>
                    </m:e>
                    <m:sup>
                      <m:r>
                        <w:rPr>
                          <w:rFonts w:ascii="Cambria Math" w:hAnsi="Cambria Math"/>
                        </w:rPr>
                        <m:t>2</m:t>
                      </m:r>
                    </m:sup>
                  </m:sSup>
                </m:den>
              </m:f>
            </m:oMath>
            <w:r>
              <w:t xml:space="preserve"> or </w:t>
            </w:r>
            <m:oMath>
              <m:r>
                <w:rPr>
                  <w:rFonts w:ascii="Cambria Math" w:hAnsi="Cambria Math"/>
                </w:rPr>
                <m:t>k=8581</m:t>
              </m:r>
              <m:f>
                <m:fPr>
                  <m:ctrlPr>
                    <w:rPr>
                      <w:rFonts w:ascii="Cambria Math" w:hAnsi="Cambria Math"/>
                      <w:i/>
                    </w:rPr>
                  </m:ctrlPr>
                </m:fPr>
                <m:num>
                  <m:sSup>
                    <m:sSupPr>
                      <m:ctrlPr>
                        <w:rPr>
                          <w:rFonts w:ascii="Cambria Math" w:hAnsi="Cambria Math"/>
                          <w:i/>
                        </w:rPr>
                      </m:ctrlPr>
                    </m:sSupPr>
                    <m:e>
                      <m:r>
                        <w:rPr>
                          <w:rFonts w:ascii="Cambria Math" w:hAnsi="Cambria Math"/>
                        </w:rPr>
                        <m:t>η</m:t>
                      </m:r>
                    </m:e>
                    <m:sup>
                      <m:r>
                        <w:rPr>
                          <w:rFonts w:ascii="Cambria Math" w:hAnsi="Cambria Math"/>
                        </w:rPr>
                        <m:t>4.4</m:t>
                      </m:r>
                    </m:sup>
                  </m:sSup>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wi</m:t>
                          </m:r>
                        </m:sub>
                      </m:sSub>
                    </m:e>
                    <m:sup>
                      <m:r>
                        <w:rPr>
                          <w:rFonts w:ascii="Cambria Math" w:hAnsi="Cambria Math"/>
                        </w:rPr>
                        <m:t>2</m:t>
                      </m:r>
                    </m:sup>
                  </m:sSup>
                </m:den>
              </m:f>
            </m:oMath>
            <w:r>
              <w:t xml:space="preserve"> </w:t>
            </w:r>
          </w:p>
        </w:tc>
        <w:tc>
          <w:tcPr>
            <w:tcW w:w="2220" w:type="pct"/>
          </w:tcPr>
          <w:p w14:paraId="43EC6A78" w14:textId="77777777" w:rsidR="0002530F" w:rsidRDefault="0002530F" w:rsidP="00235FE2">
            <w:pPr>
              <w:pStyle w:val="Body"/>
              <w:keepNext/>
            </w:pPr>
            <w:r w:rsidRPr="00006833">
              <w:rPr>
                <w:i/>
              </w:rPr>
              <w:t>S</w:t>
            </w:r>
            <w:r w:rsidRPr="00006833">
              <w:rPr>
                <w:i/>
                <w:vertAlign w:val="subscript"/>
              </w:rPr>
              <w:t>wi</w:t>
            </w:r>
            <w:r>
              <w:t xml:space="preserve"> = irreducible water saturation (-); </w:t>
            </w:r>
            <w:r>
              <w:rPr>
                <w:i/>
              </w:rPr>
              <w:t>η</w:t>
            </w:r>
            <w:r>
              <w:t>: porosity (-)</w:t>
            </w:r>
          </w:p>
        </w:tc>
      </w:tr>
      <w:tr w:rsidR="0002530F" w14:paraId="7B3F7A26" w14:textId="77777777" w:rsidTr="00235FE2">
        <w:tc>
          <w:tcPr>
            <w:tcW w:w="532" w:type="pct"/>
          </w:tcPr>
          <w:p w14:paraId="7C79FE62" w14:textId="77777777" w:rsidR="0002530F" w:rsidRDefault="0002530F" w:rsidP="00235FE2">
            <w:pPr>
              <w:pStyle w:val="Body"/>
              <w:keepNext/>
            </w:pPr>
          </w:p>
        </w:tc>
        <w:tc>
          <w:tcPr>
            <w:tcW w:w="972" w:type="pct"/>
          </w:tcPr>
          <w:p w14:paraId="6F20ED09" w14:textId="77777777" w:rsidR="0002530F" w:rsidRDefault="0002530F" w:rsidP="00235FE2">
            <w:pPr>
              <w:pStyle w:val="Body"/>
              <w:spacing w:after="0"/>
            </w:pPr>
            <w:r>
              <w:t xml:space="preserve">Tixier equation </w:t>
            </w:r>
          </w:p>
          <w:p w14:paraId="5D3260CA" w14:textId="77777777" w:rsidR="0002530F" w:rsidRDefault="0002530F" w:rsidP="00235FE2">
            <w:pPr>
              <w:pStyle w:val="Body"/>
            </w:pPr>
            <w:r>
              <w:fldChar w:fldCharType="begin"/>
            </w:r>
            <w:r>
              <w:instrText xml:space="preserve"> ADDIN EN.CITE &lt;EndNote&gt;&lt;Cite&gt;&lt;Author&gt;Schlumberger&lt;/Author&gt;&lt;Year&gt;1991&lt;/Year&gt;&lt;IDText&gt;Log Interpretation Principles / Applications&lt;/IDText&gt;&lt;DisplayText&gt;(Schlumberger, 1991)&lt;/DisplayText&gt;&lt;record&gt;&lt;titles&gt;&lt;title&gt;Log Interpretation Principles / Applications&lt;/title&gt;&lt;/titles&gt;&lt;contributors&gt;&lt;authors&gt;&lt;author&gt;Schlumberger&lt;/author&gt;&lt;/authors&gt;&lt;/contributors&gt;&lt;added-date format="utc"&gt;1434522561&lt;/added-date&gt;&lt;pub-location&gt;Houston, Texas, USA&lt;/pub-location&gt;&lt;ref-type name="Book"&gt;6&lt;/ref-type&gt;&lt;dates&gt;&lt;year&gt;1991&lt;/year&gt;&lt;/dates&gt;&lt;rec-number&gt;348&lt;/rec-number&gt;&lt;publisher&gt;Schlumberger Wireline and Testing&lt;/publisher&gt;&lt;last-updated-date format="utc"&gt;1434522613&lt;/last-updated-date&gt;&lt;/record&gt;&lt;/Cite&gt;&lt;/EndNote&gt;</w:instrText>
            </w:r>
            <w:r>
              <w:fldChar w:fldCharType="separate"/>
            </w:r>
            <w:r>
              <w:rPr>
                <w:noProof/>
              </w:rPr>
              <w:t>(Schlumberger, 1991)</w:t>
            </w:r>
            <w:r>
              <w:fldChar w:fldCharType="end"/>
            </w:r>
            <w:r>
              <w:t>:</w:t>
            </w:r>
          </w:p>
        </w:tc>
        <w:tc>
          <w:tcPr>
            <w:tcW w:w="1276" w:type="pct"/>
          </w:tcPr>
          <w:p w14:paraId="70B7FC39" w14:textId="77777777" w:rsidR="0002530F" w:rsidRDefault="0002530F" w:rsidP="00235FE2">
            <w:pPr>
              <w:pStyle w:val="Body"/>
              <w:keepNext/>
            </w:pPr>
            <m:oMathPara>
              <m:oMath>
                <m:r>
                  <w:rPr>
                    <w:rFonts w:ascii="Cambria Math" w:hAnsi="Cambria Math"/>
                  </w:rPr>
                  <m:t>k=63500</m:t>
                </m:r>
                <m:f>
                  <m:fPr>
                    <m:ctrlPr>
                      <w:rPr>
                        <w:rFonts w:ascii="Cambria Math" w:hAnsi="Cambria Math"/>
                        <w:i/>
                      </w:rPr>
                    </m:ctrlPr>
                  </m:fPr>
                  <m:num>
                    <m:sSup>
                      <m:sSupPr>
                        <m:ctrlPr>
                          <w:rPr>
                            <w:rFonts w:ascii="Cambria Math" w:hAnsi="Cambria Math"/>
                            <w:i/>
                          </w:rPr>
                        </m:ctrlPr>
                      </m:sSupPr>
                      <m:e>
                        <m:r>
                          <w:rPr>
                            <w:rFonts w:ascii="Cambria Math" w:hAnsi="Cambria Math"/>
                          </w:rPr>
                          <m:t>η</m:t>
                        </m:r>
                      </m:e>
                      <m:sup>
                        <m:r>
                          <w:rPr>
                            <w:rFonts w:ascii="Cambria Math" w:hAnsi="Cambria Math"/>
                          </w:rPr>
                          <m:t>6</m:t>
                        </m:r>
                      </m:sup>
                    </m:sSup>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wi</m:t>
                            </m:r>
                          </m:sub>
                        </m:sSub>
                      </m:e>
                      <m:sup>
                        <m:r>
                          <w:rPr>
                            <w:rFonts w:ascii="Cambria Math" w:hAnsi="Cambria Math"/>
                          </w:rPr>
                          <m:t>2</m:t>
                        </m:r>
                      </m:sup>
                    </m:sSup>
                  </m:den>
                </m:f>
              </m:oMath>
            </m:oMathPara>
          </w:p>
        </w:tc>
        <w:tc>
          <w:tcPr>
            <w:tcW w:w="2220" w:type="pct"/>
          </w:tcPr>
          <w:p w14:paraId="5D54048D" w14:textId="77777777" w:rsidR="0002530F" w:rsidRDefault="0002530F" w:rsidP="00235FE2">
            <w:pPr>
              <w:pStyle w:val="Body"/>
              <w:keepNext/>
            </w:pPr>
            <w:r w:rsidRPr="00D3258E">
              <w:rPr>
                <w:i/>
              </w:rPr>
              <w:t>S</w:t>
            </w:r>
            <w:r w:rsidRPr="00D3258E">
              <w:rPr>
                <w:i/>
                <w:vertAlign w:val="subscript"/>
              </w:rPr>
              <w:t>wi</w:t>
            </w:r>
            <w:r>
              <w:t xml:space="preserve"> = irreducible water saturation (-); </w:t>
            </w:r>
            <w:r>
              <w:rPr>
                <w:i/>
              </w:rPr>
              <w:t>η</w:t>
            </w:r>
            <w:r>
              <w:t xml:space="preserve"> = porosity (-)</w:t>
            </w:r>
          </w:p>
        </w:tc>
      </w:tr>
      <w:tr w:rsidR="0002530F" w14:paraId="7B3CD573" w14:textId="77777777" w:rsidTr="00235FE2">
        <w:tc>
          <w:tcPr>
            <w:tcW w:w="532" w:type="pct"/>
          </w:tcPr>
          <w:p w14:paraId="4D3DF758" w14:textId="77777777" w:rsidR="0002530F" w:rsidRDefault="0002530F" w:rsidP="00235FE2">
            <w:pPr>
              <w:pStyle w:val="Body"/>
              <w:keepNext/>
            </w:pPr>
          </w:p>
        </w:tc>
        <w:tc>
          <w:tcPr>
            <w:tcW w:w="972" w:type="pct"/>
          </w:tcPr>
          <w:p w14:paraId="5D46C867" w14:textId="77777777" w:rsidR="0002530F" w:rsidRDefault="0002530F" w:rsidP="00235FE2">
            <w:pPr>
              <w:pStyle w:val="Body"/>
            </w:pPr>
            <w:r>
              <w:t xml:space="preserve">Coates equation </w:t>
            </w:r>
            <w:r>
              <w:fldChar w:fldCharType="begin"/>
            </w:r>
            <w:r>
              <w:instrText xml:space="preserve"> ADDIN EN.CITE &lt;EndNote&gt;&lt;Cite&gt;&lt;Author&gt;Schlumberger&lt;/Author&gt;&lt;Year&gt;1991&lt;/Year&gt;&lt;IDText&gt;Log Interpretation Principles / Applications&lt;/IDText&gt;&lt;DisplayText&gt;(Schlumberger, 1991)&lt;/DisplayText&gt;&lt;record&gt;&lt;titles&gt;&lt;title&gt;Log Interpretation Principles / Applications&lt;/title&gt;&lt;/titles&gt;&lt;contributors&gt;&lt;authors&gt;&lt;author&gt;Schlumberger&lt;/author&gt;&lt;/authors&gt;&lt;/contributors&gt;&lt;added-date format="utc"&gt;1434522561&lt;/added-date&gt;&lt;pub-location&gt;Houston, Texas, USA&lt;/pub-location&gt;&lt;ref-type name="Book"&gt;6&lt;/ref-type&gt;&lt;dates&gt;&lt;year&gt;1991&lt;/year&gt;&lt;/dates&gt;&lt;rec-number&gt;348&lt;/rec-number&gt;&lt;publisher&gt;Schlumberger Wireline and Testing&lt;/publisher&gt;&lt;last-updated-date format="utc"&gt;1434522613&lt;/last-updated-date&gt;&lt;/record&gt;&lt;/Cite&gt;&lt;/EndNote&gt;</w:instrText>
            </w:r>
            <w:r>
              <w:fldChar w:fldCharType="separate"/>
            </w:r>
            <w:r>
              <w:rPr>
                <w:noProof/>
              </w:rPr>
              <w:t>(Schlumberger, 1991)</w:t>
            </w:r>
            <w:r>
              <w:fldChar w:fldCharType="end"/>
            </w:r>
            <w:r>
              <w:t>:</w:t>
            </w:r>
          </w:p>
        </w:tc>
        <w:tc>
          <w:tcPr>
            <w:tcW w:w="1276" w:type="pct"/>
          </w:tcPr>
          <w:p w14:paraId="7F8304A9" w14:textId="77777777" w:rsidR="0002530F" w:rsidRDefault="0002530F" w:rsidP="00235FE2">
            <w:pPr>
              <w:pStyle w:val="Body"/>
              <w:keepNext/>
            </w:pPr>
            <m:oMathPara>
              <m:oMath>
                <m:r>
                  <w:rPr>
                    <w:rFonts w:ascii="Cambria Math" w:hAnsi="Cambria Math"/>
                  </w:rPr>
                  <m:t>k=4900</m:t>
                </m:r>
                <m:sSup>
                  <m:sSupPr>
                    <m:ctrlPr>
                      <w:rPr>
                        <w:rFonts w:ascii="Cambria Math" w:hAnsi="Cambria Math"/>
                        <w:i/>
                      </w:rPr>
                    </m:ctrlPr>
                  </m:sSupPr>
                  <m:e>
                    <m:r>
                      <w:rPr>
                        <w:rFonts w:ascii="Cambria Math" w:hAnsi="Cambria Math"/>
                      </w:rPr>
                      <m:t>η</m:t>
                    </m:r>
                  </m:e>
                  <m:sup>
                    <m:r>
                      <w:rPr>
                        <w:rFonts w:ascii="Cambria Math" w:hAnsi="Cambria Math"/>
                      </w:rPr>
                      <m:t>4</m:t>
                    </m:r>
                  </m:sup>
                </m:sSup>
                <m:f>
                  <m:fPr>
                    <m:ctrlPr>
                      <w:rPr>
                        <w:rFonts w:ascii="Cambria Math" w:hAnsi="Cambria Math"/>
                        <w:i/>
                      </w:rPr>
                    </m:ctrlPr>
                  </m:fPr>
                  <m:num>
                    <m:sSup>
                      <m:sSupPr>
                        <m:ctrlPr>
                          <w:rPr>
                            <w:rFonts w:ascii="Cambria Math" w:hAnsi="Cambria Math"/>
                            <w:i/>
                          </w:rPr>
                        </m:ctrlPr>
                      </m:sSupPr>
                      <m:e>
                        <m:r>
                          <w:rPr>
                            <w:rFonts w:ascii="Cambria Math" w:hAnsi="Cambria Math"/>
                          </w:rPr>
                          <m:t>(1-</m:t>
                        </m:r>
                        <m:sSub>
                          <m:sSubPr>
                            <m:ctrlPr>
                              <w:rPr>
                                <w:rFonts w:ascii="Cambria Math" w:hAnsi="Cambria Math"/>
                                <w:i/>
                              </w:rPr>
                            </m:ctrlPr>
                          </m:sSubPr>
                          <m:e>
                            <m:r>
                              <w:rPr>
                                <w:rFonts w:ascii="Cambria Math" w:hAnsi="Cambria Math"/>
                              </w:rPr>
                              <m:t>S</m:t>
                            </m:r>
                          </m:e>
                          <m:sub>
                            <m:r>
                              <w:rPr>
                                <w:rFonts w:ascii="Cambria Math" w:hAnsi="Cambria Math"/>
                              </w:rPr>
                              <m:t>wi</m:t>
                            </m:r>
                          </m:sub>
                        </m:sSub>
                        <m:r>
                          <w:rPr>
                            <w:rFonts w:ascii="Cambria Math" w:hAnsi="Cambria Math"/>
                          </w:rPr>
                          <m:t>)</m:t>
                        </m:r>
                      </m:e>
                      <m:sup>
                        <m:r>
                          <w:rPr>
                            <w:rFonts w:ascii="Cambria Math" w:hAnsi="Cambria Math"/>
                          </w:rPr>
                          <m:t>2</m:t>
                        </m:r>
                      </m:sup>
                    </m:sSup>
                  </m:num>
                  <m:den>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wi</m:t>
                            </m:r>
                          </m:sub>
                        </m:sSub>
                      </m:e>
                      <m:sup>
                        <m:r>
                          <w:rPr>
                            <w:rFonts w:ascii="Cambria Math" w:hAnsi="Cambria Math"/>
                          </w:rPr>
                          <m:t>2</m:t>
                        </m:r>
                      </m:sup>
                    </m:sSup>
                  </m:den>
                </m:f>
              </m:oMath>
            </m:oMathPara>
          </w:p>
        </w:tc>
        <w:tc>
          <w:tcPr>
            <w:tcW w:w="2220" w:type="pct"/>
          </w:tcPr>
          <w:p w14:paraId="6056C127" w14:textId="77777777" w:rsidR="0002530F" w:rsidRDefault="0002530F" w:rsidP="00235FE2">
            <w:pPr>
              <w:pStyle w:val="Body"/>
              <w:keepNext/>
            </w:pPr>
            <w:r w:rsidRPr="00D3258E">
              <w:rPr>
                <w:i/>
              </w:rPr>
              <w:t>S</w:t>
            </w:r>
            <w:r w:rsidRPr="00D3258E">
              <w:rPr>
                <w:i/>
                <w:vertAlign w:val="subscript"/>
              </w:rPr>
              <w:t>wi</w:t>
            </w:r>
            <w:r>
              <w:t xml:space="preserve"> = irreducible water saturation (-); </w:t>
            </w:r>
            <w:r>
              <w:rPr>
                <w:i/>
              </w:rPr>
              <w:t>η</w:t>
            </w:r>
            <w:r>
              <w:t xml:space="preserve"> = porosity (-)</w:t>
            </w:r>
          </w:p>
        </w:tc>
      </w:tr>
      <w:tr w:rsidR="0002530F" w14:paraId="24638BD0" w14:textId="77777777" w:rsidTr="00235FE2">
        <w:tc>
          <w:tcPr>
            <w:tcW w:w="532" w:type="pct"/>
            <w:tcBorders>
              <w:bottom w:val="nil"/>
            </w:tcBorders>
          </w:tcPr>
          <w:p w14:paraId="67D58646" w14:textId="77777777" w:rsidR="0002530F" w:rsidRDefault="0002530F" w:rsidP="00235FE2">
            <w:pPr>
              <w:pStyle w:val="Body"/>
              <w:keepNext/>
            </w:pPr>
          </w:p>
        </w:tc>
        <w:tc>
          <w:tcPr>
            <w:tcW w:w="972" w:type="pct"/>
            <w:tcBorders>
              <w:bottom w:val="nil"/>
            </w:tcBorders>
          </w:tcPr>
          <w:p w14:paraId="058D220C" w14:textId="77777777" w:rsidR="0002530F" w:rsidRDefault="0002530F" w:rsidP="00235FE2">
            <w:pPr>
              <w:pStyle w:val="Body"/>
            </w:pPr>
            <w:r>
              <w:t xml:space="preserve">Coates-Dumanoir equation </w:t>
            </w:r>
            <w:r>
              <w:fldChar w:fldCharType="begin"/>
            </w:r>
            <w:r>
              <w:instrText xml:space="preserve"> ADDIN EN.CITE &lt;EndNote&gt;&lt;Cite&gt;&lt;Author&gt;Schlumberger&lt;/Author&gt;&lt;Year&gt;1991&lt;/Year&gt;&lt;IDText&gt;Log Interpretation Principles / Applications&lt;/IDText&gt;&lt;DisplayText&gt;(Schlumberger, 1991)&lt;/DisplayText&gt;&lt;record&gt;&lt;titles&gt;&lt;title&gt;Log Interpretation Principles / Applications&lt;/title&gt;&lt;/titles&gt;&lt;contributors&gt;&lt;authors&gt;&lt;author&gt;Schlumberger&lt;/author&gt;&lt;/authors&gt;&lt;/contributors&gt;&lt;added-date format="utc"&gt;1434522561&lt;/added-date&gt;&lt;pub-location&gt;Houston, Texas, USA&lt;/pub-location&gt;&lt;ref-type name="Book"&gt;6&lt;/ref-type&gt;&lt;dates&gt;&lt;year&gt;1991&lt;/year&gt;&lt;/dates&gt;&lt;rec-number&gt;348&lt;/rec-number&gt;&lt;publisher&gt;Schlumberger Wireline and Testing&lt;/publisher&gt;&lt;last-updated-date format="utc"&gt;1434522613&lt;/last-updated-date&gt;&lt;/record&gt;&lt;/Cite&gt;&lt;/EndNote&gt;</w:instrText>
            </w:r>
            <w:r>
              <w:fldChar w:fldCharType="separate"/>
            </w:r>
            <w:r>
              <w:rPr>
                <w:noProof/>
              </w:rPr>
              <w:t>(Schlumberger, 1991)</w:t>
            </w:r>
            <w:r>
              <w:fldChar w:fldCharType="end"/>
            </w:r>
            <w:r>
              <w:t>:</w:t>
            </w:r>
          </w:p>
        </w:tc>
        <w:tc>
          <w:tcPr>
            <w:tcW w:w="1276" w:type="pct"/>
            <w:tcBorders>
              <w:bottom w:val="nil"/>
            </w:tcBorders>
          </w:tcPr>
          <w:p w14:paraId="125FC815" w14:textId="77777777" w:rsidR="0002530F" w:rsidRDefault="0002530F" w:rsidP="00235FE2">
            <w:pPr>
              <w:pStyle w:val="Body"/>
              <w:keepNext/>
            </w:pPr>
            <m:oMathPara>
              <m:oMath>
                <m:r>
                  <w:rPr>
                    <w:rFonts w:ascii="Cambria Math" w:hAnsi="Cambria Math"/>
                  </w:rPr>
                  <m:t>k=90000</m:t>
                </m:r>
                <m:f>
                  <m:fPr>
                    <m:ctrlPr>
                      <w:rPr>
                        <w:rFonts w:ascii="Cambria Math" w:hAnsi="Cambria Math"/>
                        <w:i/>
                      </w:rPr>
                    </m:ctrlPr>
                  </m:fPr>
                  <m:num>
                    <m:sSup>
                      <m:sSupPr>
                        <m:ctrlPr>
                          <w:rPr>
                            <w:rFonts w:ascii="Cambria Math" w:hAnsi="Cambria Math"/>
                            <w:i/>
                          </w:rPr>
                        </m:ctrlPr>
                      </m:sSupPr>
                      <m:e>
                        <m:r>
                          <w:rPr>
                            <w:rFonts w:ascii="Cambria Math" w:hAnsi="Cambria Math"/>
                          </w:rPr>
                          <m:t>η</m:t>
                        </m:r>
                      </m:e>
                      <m:sup>
                        <m:r>
                          <w:rPr>
                            <w:rFonts w:ascii="Cambria Math" w:hAnsi="Cambria Math"/>
                          </w:rPr>
                          <m:t>2m</m:t>
                        </m:r>
                      </m:sup>
                    </m:sSup>
                  </m:num>
                  <m:den>
                    <m:sSup>
                      <m:sSupPr>
                        <m:ctrlPr>
                          <w:rPr>
                            <w:rFonts w:ascii="Cambria Math" w:hAnsi="Cambria Math"/>
                            <w:i/>
                          </w:rPr>
                        </m:ctrlPr>
                      </m:sSupPr>
                      <m:e>
                        <m:sSub>
                          <m:sSubPr>
                            <m:ctrlPr>
                              <w:rPr>
                                <w:rFonts w:ascii="Cambria Math" w:hAnsi="Cambria Math"/>
                                <w:i/>
                              </w:rPr>
                            </m:ctrlPr>
                          </m:sSubPr>
                          <m:e>
                            <m:sSup>
                              <m:sSupPr>
                                <m:ctrlPr>
                                  <w:rPr>
                                    <w:rFonts w:ascii="Cambria Math" w:hAnsi="Cambria Math"/>
                                    <w:i/>
                                  </w:rPr>
                                </m:ctrlPr>
                              </m:sSupPr>
                              <m:e>
                                <m:r>
                                  <w:rPr>
                                    <w:rFonts w:ascii="Cambria Math" w:hAnsi="Cambria Math"/>
                                  </w:rPr>
                                  <m:t>m</m:t>
                                </m:r>
                              </m:e>
                              <m:sup>
                                <m:r>
                                  <w:rPr>
                                    <w:rFonts w:ascii="Cambria Math" w:hAnsi="Cambria Math"/>
                                  </w:rPr>
                                  <m:t>4</m:t>
                                </m:r>
                              </m:sup>
                            </m:sSup>
                            <m:r>
                              <w:rPr>
                                <w:rFonts w:ascii="Cambria Math" w:hAnsi="Cambria Math"/>
                              </w:rPr>
                              <m:t>S</m:t>
                            </m:r>
                          </m:e>
                          <m:sub>
                            <m:r>
                              <w:rPr>
                                <w:rFonts w:ascii="Cambria Math" w:hAnsi="Cambria Math"/>
                              </w:rPr>
                              <m:t>wi</m:t>
                            </m:r>
                          </m:sub>
                        </m:sSub>
                      </m:e>
                      <m:sup>
                        <m:r>
                          <w:rPr>
                            <w:rFonts w:ascii="Cambria Math" w:hAnsi="Cambria Math"/>
                          </w:rPr>
                          <m:t>2</m:t>
                        </m:r>
                      </m:sup>
                    </m:sSup>
                  </m:den>
                </m:f>
              </m:oMath>
            </m:oMathPara>
          </w:p>
        </w:tc>
        <w:tc>
          <w:tcPr>
            <w:tcW w:w="2220" w:type="pct"/>
            <w:tcBorders>
              <w:bottom w:val="nil"/>
            </w:tcBorders>
          </w:tcPr>
          <w:p w14:paraId="7F8B7710" w14:textId="77777777" w:rsidR="0002530F" w:rsidRPr="00C85DC3" w:rsidRDefault="0002530F" w:rsidP="00235FE2">
            <w:pPr>
              <w:pStyle w:val="Body"/>
              <w:keepNext/>
            </w:pPr>
            <w:r w:rsidRPr="00C85DC3">
              <w:rPr>
                <w:i/>
              </w:rPr>
              <w:t>S</w:t>
            </w:r>
            <w:r w:rsidRPr="00C85DC3">
              <w:rPr>
                <w:i/>
                <w:vertAlign w:val="subscript"/>
              </w:rPr>
              <w:t>wi</w:t>
            </w:r>
            <w:r w:rsidRPr="00C85DC3">
              <w:t xml:space="preserve"> = irreducible water saturation (-); </w:t>
            </w:r>
            <w:r w:rsidRPr="00C85DC3">
              <w:rPr>
                <w:i/>
              </w:rPr>
              <w:t>η</w:t>
            </w:r>
            <w:r w:rsidRPr="00C85DC3">
              <w:t xml:space="preserve"> = porosity (-); </w:t>
            </w:r>
            <w:r w:rsidRPr="00C85DC3">
              <w:rPr>
                <w:i/>
              </w:rPr>
              <w:t xml:space="preserve">m </w:t>
            </w:r>
            <w:r w:rsidRPr="00C85DC3">
              <w:t>= exponent</w:t>
            </w:r>
            <w:r>
              <w:t xml:space="preserve"> (-)</w:t>
            </w:r>
          </w:p>
        </w:tc>
      </w:tr>
      <w:tr w:rsidR="0002530F" w14:paraId="738495EC" w14:textId="77777777" w:rsidTr="00235FE2">
        <w:tc>
          <w:tcPr>
            <w:tcW w:w="532" w:type="pct"/>
            <w:tcBorders>
              <w:top w:val="nil"/>
              <w:bottom w:val="nil"/>
            </w:tcBorders>
          </w:tcPr>
          <w:p w14:paraId="19F76CBA" w14:textId="77777777" w:rsidR="0002530F" w:rsidRDefault="0002530F" w:rsidP="00235FE2">
            <w:pPr>
              <w:pStyle w:val="Body"/>
              <w:keepNext/>
              <w:spacing w:after="0"/>
            </w:pPr>
            <w:r>
              <w:t xml:space="preserve">porosity </w:t>
            </w:r>
          </w:p>
          <w:p w14:paraId="4412DDF5" w14:textId="77777777" w:rsidR="0002530F" w:rsidRDefault="0002530F" w:rsidP="00235FE2">
            <w:pPr>
              <w:pStyle w:val="Body"/>
              <w:keepNext/>
            </w:pPr>
            <w:r>
              <w:t>(bulk density log)</w:t>
            </w:r>
          </w:p>
        </w:tc>
        <w:tc>
          <w:tcPr>
            <w:tcW w:w="972" w:type="pct"/>
            <w:tcBorders>
              <w:top w:val="nil"/>
              <w:bottom w:val="nil"/>
            </w:tcBorders>
          </w:tcPr>
          <w:p w14:paraId="22D9D74C" w14:textId="77777777" w:rsidR="0002530F" w:rsidRDefault="0002530F" w:rsidP="00235FE2">
            <w:pPr>
              <w:pStyle w:val="Body"/>
              <w:keepNext/>
            </w:pPr>
            <w:r>
              <w:t xml:space="preserve">Bassiouni </w:t>
            </w:r>
            <w:r>
              <w:fldChar w:fldCharType="begin"/>
            </w:r>
            <w:r>
              <w:instrText xml:space="preserve"> ADDIN EN.CITE &lt;EndNote&gt;&lt;Cite ExcludeAuth="1"&gt;&lt;Author&gt;Bassiouni&lt;/Author&gt;&lt;Year&gt;1994&lt;/Year&gt;&lt;IDText&gt;Theory, Measurement, and Interpretation of Well Logs&lt;/IDText&gt;&lt;DisplayText&gt;(1994)&lt;/DisplayText&gt;&lt;record&gt;&lt;urls&gt;&lt;related-urls&gt;&lt;url&gt;https://books.google.com.au/books?id=QogQAQAAMAAJ&lt;/url&gt;&lt;/related-urls&gt;&lt;/urls&gt;&lt;isbn&gt;9781555630560&lt;/isbn&gt;&lt;titles&gt;&lt;title&gt;Theory, Measurement, and Interpretation of Well Logs&lt;/title&gt;&lt;/titles&gt;&lt;contributors&gt;&lt;authors&gt;&lt;author&gt;Bassiouni, Z.&lt;/author&gt;&lt;/authors&gt;&lt;/contributors&gt;&lt;added-date format="utc"&gt;1439954300&lt;/added-date&gt;&lt;ref-type name="Book"&gt;6&lt;/ref-type&gt;&lt;dates&gt;&lt;year&gt;1994&lt;/year&gt;&lt;/dates&gt;&lt;rec-number&gt;1226&lt;/rec-number&gt;&lt;publisher&gt;Henry L. Doherty Memorial Fund of AIME, Society of Petroleum Engineers&lt;/publisher&gt;&lt;last-updated-date format="utc"&gt;1439954300&lt;/last-updated-date&gt;&lt;/record&gt;&lt;/Cite&gt;&lt;/EndNote&gt;</w:instrText>
            </w:r>
            <w:r>
              <w:fldChar w:fldCharType="separate"/>
            </w:r>
            <w:r>
              <w:rPr>
                <w:noProof/>
              </w:rPr>
              <w:t>(1994)</w:t>
            </w:r>
            <w:r>
              <w:fldChar w:fldCharType="end"/>
            </w:r>
          </w:p>
        </w:tc>
        <w:tc>
          <w:tcPr>
            <w:tcW w:w="1276" w:type="pct"/>
            <w:tcBorders>
              <w:top w:val="nil"/>
              <w:bottom w:val="nil"/>
            </w:tcBorders>
          </w:tcPr>
          <w:p w14:paraId="1A25498A" w14:textId="77777777" w:rsidR="0002530F" w:rsidRDefault="00D322E8" w:rsidP="00235FE2">
            <w:pPr>
              <w:pStyle w:val="Body"/>
              <w:keepNext/>
            </w:pPr>
            <m:oMathPara>
              <m:oMath>
                <m:sSub>
                  <m:sSubPr>
                    <m:ctrlPr>
                      <w:rPr>
                        <w:rFonts w:ascii="Cambria Math" w:hAnsi="Cambria Math"/>
                        <w:i/>
                      </w:rPr>
                    </m:ctrlPr>
                  </m:sSubPr>
                  <m:e>
                    <m:r>
                      <w:rPr>
                        <w:rFonts w:ascii="Cambria Math" w:hAnsi="Cambria Math"/>
                      </w:rPr>
                      <m:t>η</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b</m:t>
                        </m:r>
                      </m:sub>
                    </m:sSub>
                  </m:num>
                  <m:den>
                    <m:sSub>
                      <m:sSubPr>
                        <m:ctrlPr>
                          <w:rPr>
                            <w:rFonts w:ascii="Cambria Math" w:hAnsi="Cambria Math"/>
                            <w:i/>
                          </w:rPr>
                        </m:ctrlPr>
                      </m:sSubPr>
                      <m:e>
                        <m:r>
                          <w:rPr>
                            <w:rFonts w:ascii="Cambria Math" w:hAnsi="Cambria Math"/>
                          </w:rPr>
                          <m:t>ρ</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f</m:t>
                        </m:r>
                      </m:sub>
                    </m:sSub>
                  </m:den>
                </m:f>
              </m:oMath>
            </m:oMathPara>
          </w:p>
        </w:tc>
        <w:tc>
          <w:tcPr>
            <w:tcW w:w="2220" w:type="pct"/>
            <w:tcBorders>
              <w:top w:val="nil"/>
              <w:bottom w:val="nil"/>
            </w:tcBorders>
          </w:tcPr>
          <w:p w14:paraId="2382FF30" w14:textId="77777777" w:rsidR="0002530F" w:rsidRDefault="0002530F" w:rsidP="00235FE2">
            <w:pPr>
              <w:pStyle w:val="Body"/>
              <w:keepNext/>
            </w:pPr>
            <w:r w:rsidRPr="00973F97">
              <w:rPr>
                <w:i/>
              </w:rPr>
              <w:t>ρ</w:t>
            </w:r>
            <w:r w:rsidRPr="00973F97">
              <w:rPr>
                <w:i/>
                <w:vertAlign w:val="subscript"/>
              </w:rPr>
              <w:t>b</w:t>
            </w:r>
            <w:r>
              <w:rPr>
                <w:vertAlign w:val="subscript"/>
              </w:rPr>
              <w:t xml:space="preserve"> </w:t>
            </w:r>
            <w:r>
              <w:t>=</w:t>
            </w:r>
            <w:r w:rsidRPr="00445600">
              <w:t xml:space="preserve"> </w:t>
            </w:r>
            <w:r>
              <w:t xml:space="preserve">wireline </w:t>
            </w:r>
            <w:r w:rsidRPr="00445600">
              <w:t>bulk</w:t>
            </w:r>
            <w:r>
              <w:t xml:space="preserve"> </w:t>
            </w:r>
            <w:r w:rsidRPr="00445600">
              <w:t>density</w:t>
            </w:r>
            <w:r>
              <w:t xml:space="preserve"> (g.cm</w:t>
            </w:r>
            <w:r>
              <w:rPr>
                <w:vertAlign w:val="superscript"/>
              </w:rPr>
              <w:t>-3</w:t>
            </w:r>
            <w:r>
              <w:t xml:space="preserve">); </w:t>
            </w:r>
            <w:r w:rsidRPr="00973F97">
              <w:rPr>
                <w:i/>
              </w:rPr>
              <w:t>ρ</w:t>
            </w:r>
            <w:r w:rsidRPr="00973F97">
              <w:rPr>
                <w:i/>
                <w:vertAlign w:val="subscript"/>
              </w:rPr>
              <w:t>f</w:t>
            </w:r>
            <w:r w:rsidRPr="00973F97">
              <w:rPr>
                <w:i/>
              </w:rPr>
              <w:t xml:space="preserve"> </w:t>
            </w:r>
            <w:r>
              <w:t>=</w:t>
            </w:r>
            <w:r w:rsidRPr="00445600">
              <w:t xml:space="preserve"> fluid</w:t>
            </w:r>
            <w:r>
              <w:t xml:space="preserve"> </w:t>
            </w:r>
            <w:r w:rsidRPr="00445600">
              <w:t>density</w:t>
            </w:r>
            <w:r>
              <w:t xml:space="preserve"> (g.cm</w:t>
            </w:r>
            <w:r>
              <w:rPr>
                <w:vertAlign w:val="superscript"/>
              </w:rPr>
              <w:t>-3</w:t>
            </w:r>
            <w:r>
              <w:t xml:space="preserve">); 0.2 for gas, 0.85 for oil and 1.0–1.2 for water; </w:t>
            </w:r>
            <w:r w:rsidRPr="00973F97">
              <w:rPr>
                <w:i/>
              </w:rPr>
              <w:t>ρ</w:t>
            </w:r>
            <w:r w:rsidRPr="00973F97">
              <w:rPr>
                <w:i/>
                <w:vertAlign w:val="subscript"/>
              </w:rPr>
              <w:t>g</w:t>
            </w:r>
            <w:r w:rsidRPr="00445600">
              <w:t xml:space="preserve"> </w:t>
            </w:r>
            <w:r>
              <w:t xml:space="preserve">= </w:t>
            </w:r>
            <w:r w:rsidRPr="00445600">
              <w:t>grain</w:t>
            </w:r>
            <w:r w:rsidRPr="00E55A31">
              <w:t xml:space="preserve"> </w:t>
            </w:r>
            <w:r>
              <w:t>density (g.cm</w:t>
            </w:r>
            <w:r>
              <w:rPr>
                <w:vertAlign w:val="superscript"/>
              </w:rPr>
              <w:t>-3</w:t>
            </w:r>
            <w:r>
              <w:t>); often taken as 2.65 (sandstone), 2.87 (dolomite ), 1.2 (coal)</w:t>
            </w:r>
          </w:p>
        </w:tc>
      </w:tr>
      <w:tr w:rsidR="0002530F" w14:paraId="53E8D058" w14:textId="77777777" w:rsidTr="00235FE2">
        <w:tc>
          <w:tcPr>
            <w:tcW w:w="532" w:type="pct"/>
            <w:tcBorders>
              <w:top w:val="nil"/>
            </w:tcBorders>
          </w:tcPr>
          <w:p w14:paraId="4078757F" w14:textId="77777777" w:rsidR="0002530F" w:rsidRPr="00AE19FC" w:rsidRDefault="0002530F" w:rsidP="00235FE2">
            <w:pPr>
              <w:pStyle w:val="Body"/>
              <w:keepNext/>
            </w:pPr>
            <w:r w:rsidRPr="00AE19FC">
              <w:t>porosity (sonic log)</w:t>
            </w:r>
          </w:p>
        </w:tc>
        <w:tc>
          <w:tcPr>
            <w:tcW w:w="972" w:type="pct"/>
            <w:tcBorders>
              <w:top w:val="nil"/>
            </w:tcBorders>
          </w:tcPr>
          <w:p w14:paraId="68405F3A" w14:textId="77777777" w:rsidR="0002530F" w:rsidRPr="00AE19FC" w:rsidRDefault="0002530F" w:rsidP="00235FE2">
            <w:pPr>
              <w:pStyle w:val="Body"/>
              <w:keepNext/>
            </w:pPr>
            <w:r w:rsidRPr="00AE19FC">
              <w:t xml:space="preserve">Raymer-Hunt-Gardner </w:t>
            </w:r>
            <w:r w:rsidRPr="00AE19FC">
              <w:fldChar w:fldCharType="begin"/>
            </w:r>
            <w:r w:rsidRPr="00AE19FC">
              <w:instrText xml:space="preserve"> ADDIN EN.CITE &lt;EndNote&gt;&lt;Cite ExcludeAuth="1"&gt;&lt;Author&gt;Raymer&lt;/Author&gt;&lt;Year&gt;1980&lt;/Year&gt;&lt;IDText&gt;An improved sonic transit time-to-porosity transform&lt;/IDText&gt;&lt;DisplayText&gt;(1980)&lt;/DisplayText&gt;&lt;record&gt;&lt;titles&gt;&lt;title&gt;An improved sonic transit time-to-porosity transform&lt;/title&gt;&lt;secondary-title&gt;SPWLA 21st annual logging symposium&lt;/secondary-title&gt;&lt;/titles&gt;&lt;contributors&gt;&lt;authors&gt;&lt;author&gt;Raymer, LL&lt;/author&gt;&lt;author&gt;Hunt, ER&lt;/author&gt;&lt;author&gt;Gardner, John S&lt;/author&gt;&lt;/authors&gt;&lt;/contributors&gt;&lt;added-date format="utc"&gt;1434675223&lt;/added-date&gt;&lt;ref-type name="Conference Proceedings"&gt;10&lt;/ref-type&gt;&lt;dates&gt;&lt;year&gt;1980&lt;/year&gt;&lt;/dates&gt;&lt;rec-number&gt;368&lt;/rec-number&gt;&lt;publisher&gt;Society of Petrophysicists and Well-Log Analysts&lt;/publisher&gt;&lt;last-updated-date format="utc"&gt;1434675223&lt;/last-updated-date&gt;&lt;/record&gt;&lt;/Cite&gt;&lt;/EndNote&gt;</w:instrText>
            </w:r>
            <w:r w:rsidRPr="00AE19FC">
              <w:fldChar w:fldCharType="separate"/>
            </w:r>
            <w:r w:rsidRPr="00AE19FC">
              <w:rPr>
                <w:noProof/>
              </w:rPr>
              <w:t>(1980)</w:t>
            </w:r>
            <w:r w:rsidRPr="00AE19FC">
              <w:fldChar w:fldCharType="end"/>
            </w:r>
          </w:p>
        </w:tc>
        <w:tc>
          <w:tcPr>
            <w:tcW w:w="1276" w:type="pct"/>
            <w:tcBorders>
              <w:top w:val="nil"/>
            </w:tcBorders>
          </w:tcPr>
          <w:p w14:paraId="089228F6" w14:textId="77777777" w:rsidR="0002530F" w:rsidRDefault="00D322E8" w:rsidP="00235FE2">
            <w:pPr>
              <w:pStyle w:val="Body"/>
              <w:keepNext/>
            </w:pPr>
            <m:oMathPara>
              <m:oMath>
                <m:sSub>
                  <m:sSubPr>
                    <m:ctrlPr>
                      <w:rPr>
                        <w:rFonts w:ascii="Cambria Math" w:hAnsi="Cambria Math"/>
                        <w:i/>
                      </w:rPr>
                    </m:ctrlPr>
                  </m:sSubPr>
                  <m:e>
                    <m:r>
                      <w:rPr>
                        <w:rFonts w:ascii="Cambria Math" w:hAnsi="Cambria Math"/>
                      </w:rPr>
                      <m:t>η</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8</m:t>
                    </m:r>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log</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matrix</m:t>
                            </m:r>
                          </m:sub>
                        </m:sSub>
                      </m:num>
                      <m:den>
                        <m:r>
                          <m:rPr>
                            <m:sty m:val="p"/>
                          </m:rP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log</m:t>
                            </m:r>
                          </m:sub>
                        </m:sSub>
                      </m:den>
                    </m:f>
                  </m:e>
                </m:d>
              </m:oMath>
            </m:oMathPara>
          </w:p>
        </w:tc>
        <w:tc>
          <w:tcPr>
            <w:tcW w:w="2220" w:type="pct"/>
            <w:tcBorders>
              <w:top w:val="nil"/>
            </w:tcBorders>
          </w:tcPr>
          <w:p w14:paraId="6A3A26A1" w14:textId="77777777" w:rsidR="0002530F" w:rsidRDefault="0002530F" w:rsidP="00235FE2">
            <w:pPr>
              <w:pStyle w:val="Body"/>
              <w:keepNext/>
            </w:pPr>
            <w:r>
              <w:t>∆</w:t>
            </w:r>
            <w:r w:rsidRPr="00C83645">
              <w:rPr>
                <w:i/>
              </w:rPr>
              <w:t>t</w:t>
            </w:r>
            <w:r w:rsidRPr="00C83645">
              <w:rPr>
                <w:i/>
                <w:vertAlign w:val="subscript"/>
              </w:rPr>
              <w:t>log</w:t>
            </w:r>
            <w:r>
              <w:t>= sonic log transit time (µsec.m</w:t>
            </w:r>
            <w:r w:rsidRPr="00C83645">
              <w:rPr>
                <w:vertAlign w:val="superscript"/>
              </w:rPr>
              <w:t>-1</w:t>
            </w:r>
            <w:r>
              <w:t>); ∆</w:t>
            </w:r>
            <w:r w:rsidRPr="00C83645">
              <w:rPr>
                <w:i/>
              </w:rPr>
              <w:t>t</w:t>
            </w:r>
            <w:r w:rsidRPr="00C83645">
              <w:rPr>
                <w:i/>
                <w:vertAlign w:val="subscript"/>
              </w:rPr>
              <w:t>matrix</w:t>
            </w:r>
            <w:r>
              <w:t>= formation matrix transit time (µsec.m</w:t>
            </w:r>
            <w:r w:rsidRPr="00C83645">
              <w:rPr>
                <w:vertAlign w:val="superscript"/>
              </w:rPr>
              <w:t>-1</w:t>
            </w:r>
            <w:r>
              <w:t>), 167-182 (sandstone), 143 (dolomite)</w:t>
            </w:r>
          </w:p>
        </w:tc>
      </w:tr>
    </w:tbl>
    <w:p w14:paraId="258DA25A" w14:textId="77777777" w:rsidR="0002530F" w:rsidRDefault="0002530F" w:rsidP="0002530F">
      <w:pPr>
        <w:pStyle w:val="Body"/>
      </w:pPr>
      <w:r>
        <w:rPr>
          <w:noProof/>
          <w:lang w:val="en-AU" w:eastAsia="en-AU"/>
        </w:rPr>
        <w:drawing>
          <wp:inline distT="0" distB="0" distL="0" distR="0" wp14:anchorId="0A91E070" wp14:editId="41B45BAD">
            <wp:extent cx="8092163" cy="2990850"/>
            <wp:effectExtent l="0" t="0" r="4445" b="0"/>
            <wp:docPr id="1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3"/>
                    <a:srcRect b="17252"/>
                    <a:stretch>
                      <a:fillRect/>
                    </a:stretch>
                  </pic:blipFill>
                  <pic:spPr bwMode="auto">
                    <a:xfrm>
                      <a:off x="0" y="0"/>
                      <a:ext cx="8094890" cy="2991858"/>
                    </a:xfrm>
                    <a:prstGeom prst="rect">
                      <a:avLst/>
                    </a:prstGeom>
                    <a:noFill/>
                    <a:ln w="9525">
                      <a:noFill/>
                      <a:miter lim="800000"/>
                      <a:headEnd/>
                      <a:tailEnd/>
                    </a:ln>
                  </pic:spPr>
                </pic:pic>
              </a:graphicData>
            </a:graphic>
          </wp:inline>
        </w:drawing>
      </w:r>
    </w:p>
    <w:p w14:paraId="459A1D21" w14:textId="77777777" w:rsidR="0002530F" w:rsidRDefault="0002530F" w:rsidP="0002530F">
      <w:pPr>
        <w:pStyle w:val="Imagecaption"/>
      </w:pPr>
      <w:bookmarkStart w:id="108" w:name="_Ref445914944"/>
      <w:bookmarkStart w:id="109" w:name="_Toc449696312"/>
      <w:r>
        <w:t xml:space="preserve">Figure </w:t>
      </w:r>
      <w:r>
        <w:fldChar w:fldCharType="begin"/>
      </w:r>
      <w:r>
        <w:instrText xml:space="preserve"> SEQ Figure \* ARABIC </w:instrText>
      </w:r>
      <w:r>
        <w:fldChar w:fldCharType="separate"/>
      </w:r>
      <w:r w:rsidR="00C52E30">
        <w:rPr>
          <w:noProof/>
        </w:rPr>
        <w:t>22</w:t>
      </w:r>
      <w:r>
        <w:rPr>
          <w:noProof/>
        </w:rPr>
        <w:fldChar w:fldCharType="end"/>
      </w:r>
      <w:bookmarkEnd w:id="108"/>
      <w:r>
        <w:t xml:space="preserve">. Workflow for developing permeability estimates from geophysical wireline logs (GR = gamma ray; SP = sonic potential; DT = sonic log travel time; LLD = </w:t>
      </w:r>
      <w:r w:rsidRPr="0018377D">
        <w:t>Laterolog Deep</w:t>
      </w:r>
      <w:r>
        <w:t xml:space="preserve"> (resistivity); MSFL = </w:t>
      </w:r>
      <w:r w:rsidRPr="0018377D">
        <w:t>Microspherically Focused Log</w:t>
      </w:r>
      <w:r>
        <w:t xml:space="preserve"> (resistivity)). Step 1 = applying physical model to estimate porosity. Step 2 = applying empirical model to estimate permeability. Step 3 = vertical upscaling of permeability </w:t>
      </w:r>
      <w:r>
        <w:fldChar w:fldCharType="begin"/>
      </w:r>
      <w:r>
        <w:instrText xml:space="preserve"> ADDIN EN.CITE &lt;EndNote&gt;&lt;Cite&gt;&lt;Author&gt;Ricard&lt;/Author&gt;&lt;Year&gt;2014&lt;/Year&gt;&lt;IDText&gt;Aquitard hydraulic properties estimation from wireline logs analysis: An application to the Surat Basin, Queensland&lt;/IDText&gt;&lt;DisplayText&gt;(Ricard et al., 2014)&lt;/DisplayText&gt;&lt;record&gt;&lt;titles&gt;&lt;title&gt;Aquitard hydraulic properties estimation from wireline logs analysis: An application to the Surat Basin, Queensland&lt;/title&gt;&lt;secondary-title&gt;Australian Earth Science Convention&lt;/secondary-title&gt;&lt;/titles&gt;&lt;contributors&gt;&lt;authors&gt;&lt;author&gt;Ricard, L&lt;/author&gt;&lt;author&gt;Godel, B&lt;/author&gt;&lt;author&gt;Smerdon, B&lt;/author&gt;&lt;author&gt;Esteban, L&lt;/author&gt;&lt;/authors&gt;&lt;/contributors&gt;&lt;added-date format="utc"&gt;1434941689&lt;/added-date&gt;&lt;pub-location&gt;Newcastle, NSW, Australia&lt;/pub-location&gt;&lt;ref-type name="Conference Paper"&gt;47&lt;/ref-type&gt;&lt;dates&gt;&lt;year&gt;2014&lt;/year&gt;&lt;/dates&gt;&lt;rec-number&gt;1201&lt;/rec-number&gt;&lt;last-updated-date format="utc"&gt;1434942017&lt;/last-updated-date&gt;&lt;/record&gt;&lt;/Cite&gt;&lt;/EndNote&gt;</w:instrText>
      </w:r>
      <w:r>
        <w:fldChar w:fldCharType="separate"/>
      </w:r>
      <w:r>
        <w:rPr>
          <w:noProof/>
        </w:rPr>
        <w:t>(Ricard et al., 2014)</w:t>
      </w:r>
      <w:r>
        <w:fldChar w:fldCharType="end"/>
      </w:r>
      <w:r>
        <w:t>.</w:t>
      </w:r>
      <w:bookmarkEnd w:id="109"/>
    </w:p>
    <w:p w14:paraId="445C4AF0" w14:textId="77777777" w:rsidR="0002530F" w:rsidRDefault="0002530F" w:rsidP="0002530F">
      <w:pPr>
        <w:pStyle w:val="Body"/>
        <w:sectPr w:rsidR="0002530F" w:rsidSect="00006833">
          <w:pgSz w:w="16840" w:h="11900" w:orient="landscape"/>
          <w:pgMar w:top="1985" w:right="3686" w:bottom="851" w:left="1701" w:header="0" w:footer="0" w:gutter="0"/>
          <w:cols w:space="284"/>
          <w:noEndnote/>
          <w:docGrid w:linePitch="326"/>
        </w:sectPr>
      </w:pPr>
    </w:p>
    <w:p w14:paraId="23B3ABC3" w14:textId="091860B6" w:rsidR="0002530F" w:rsidRDefault="0002530F" w:rsidP="0002530F">
      <w:pPr>
        <w:pStyle w:val="Body"/>
      </w:pPr>
      <w:r>
        <w:t xml:space="preserve">The combination of petrophysical logs (e.g., sonic, density and neutron) may be used to interpret complex matrix and fluid mixtures, thereby providing a more accurate determination of porosity. The combination of neutron and density logs is the most common of all porosity estimation tool pairs. </w:t>
      </w:r>
      <w:r w:rsidR="00C71014">
        <w:fldChar w:fldCharType="begin"/>
      </w:r>
      <w:r w:rsidR="00C71014">
        <w:instrText xml:space="preserve"> REF _Ref445911604 \h </w:instrText>
      </w:r>
      <w:r w:rsidR="00C71014">
        <w:fldChar w:fldCharType="separate"/>
      </w:r>
      <w:r w:rsidR="00C52E30">
        <w:t xml:space="preserve">Figure </w:t>
      </w:r>
      <w:r w:rsidR="00C52E30">
        <w:rPr>
          <w:noProof/>
        </w:rPr>
        <w:t>23</w:t>
      </w:r>
      <w:r w:rsidR="00C71014">
        <w:fldChar w:fldCharType="end"/>
      </w:r>
      <w:r w:rsidR="00C71014">
        <w:t xml:space="preserve"> </w:t>
      </w:r>
      <w:r>
        <w:t xml:space="preserve">shows an example application where five different methods for estimating porosity were compared. Generally, the minimum and maximum porosity at any depth differed by no more than </w:t>
      </w:r>
      <w:r w:rsidRPr="00AE19FC">
        <w:t xml:space="preserve">10 %. This </w:t>
      </w:r>
      <w:r>
        <w:t xml:space="preserve">provides an indication of the uncertainty associated with estimates of porosity, which can then be used to derive uncertainty about related permeability predictions. </w:t>
      </w:r>
      <w:r w:rsidRPr="0020323D">
        <w:t>In addition to uncertainties related to predicting hydrogeological properties such as porosity and permeability from the signal there are intrinsic uncertainties associated with the measurements themselves (</w:t>
      </w:r>
      <w:r>
        <w:t>Fournier et al. 2013; e.g. Wessling et al. 2013</w:t>
      </w:r>
      <w:r w:rsidRPr="0020323D">
        <w:t>).</w:t>
      </w:r>
    </w:p>
    <w:p w14:paraId="3ED111C3" w14:textId="77777777" w:rsidR="0002530F" w:rsidRDefault="0002530F" w:rsidP="0002530F">
      <w:pPr>
        <w:pStyle w:val="Body"/>
      </w:pPr>
    </w:p>
    <w:p w14:paraId="75A328F9" w14:textId="77777777" w:rsidR="0002530F" w:rsidRDefault="0002530F" w:rsidP="0002530F">
      <w:pPr>
        <w:pStyle w:val="Body"/>
        <w:jc w:val="center"/>
      </w:pPr>
      <w:r>
        <w:rPr>
          <w:noProof/>
          <w:lang w:val="en-AU" w:eastAsia="en-AU"/>
        </w:rPr>
        <w:drawing>
          <wp:inline distT="0" distB="0" distL="0" distR="0" wp14:anchorId="72765BCF" wp14:editId="41AD07D0">
            <wp:extent cx="4059508" cy="4295775"/>
            <wp:effectExtent l="19050" t="0" r="0" b="0"/>
            <wp:docPr id="4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4"/>
                    <a:srcRect/>
                    <a:stretch>
                      <a:fillRect/>
                    </a:stretch>
                  </pic:blipFill>
                  <pic:spPr bwMode="auto">
                    <a:xfrm>
                      <a:off x="0" y="0"/>
                      <a:ext cx="4059002" cy="4295240"/>
                    </a:xfrm>
                    <a:prstGeom prst="rect">
                      <a:avLst/>
                    </a:prstGeom>
                    <a:noFill/>
                    <a:ln w="9525">
                      <a:noFill/>
                      <a:miter lim="800000"/>
                      <a:headEnd/>
                      <a:tailEnd/>
                    </a:ln>
                  </pic:spPr>
                </pic:pic>
              </a:graphicData>
            </a:graphic>
          </wp:inline>
        </w:drawing>
      </w:r>
    </w:p>
    <w:p w14:paraId="0F67CF12" w14:textId="77777777" w:rsidR="0002530F" w:rsidRDefault="0002530F" w:rsidP="0002530F">
      <w:pPr>
        <w:pStyle w:val="Imagecaption"/>
      </w:pPr>
      <w:bookmarkStart w:id="110" w:name="_Ref445911604"/>
      <w:bookmarkStart w:id="111" w:name="_Toc449696313"/>
      <w:r>
        <w:t xml:space="preserve">Figure </w:t>
      </w:r>
      <w:r>
        <w:fldChar w:fldCharType="begin"/>
      </w:r>
      <w:r>
        <w:instrText xml:space="preserve"> SEQ Figure \* ARABIC </w:instrText>
      </w:r>
      <w:r>
        <w:fldChar w:fldCharType="separate"/>
      </w:r>
      <w:r w:rsidR="00C52E30">
        <w:rPr>
          <w:noProof/>
        </w:rPr>
        <w:t>23</w:t>
      </w:r>
      <w:r>
        <w:fldChar w:fldCharType="end"/>
      </w:r>
      <w:bookmarkEnd w:id="110"/>
      <w:r>
        <w:t xml:space="preserve">. Geophysical wireline logs for porosity estimation. From left to right: natural Gamma ray log (API = American Petroleum Institute units), lithology, bulk density log (RHOB) and neutron porosity log (NPHI), five different estimates of porosity. PHI density = porosity derived from bulk density log; PHI neutron density = porosity derived from both bulk density and neutron log;  PHI neutron = porosity derived from both bulk density and neutron log; PHI neutron sonic = porosity derived from both neutron and sonic log; PHI sonic = porosity derived from sonic log </w:t>
      </w:r>
      <w:r>
        <w:fldChar w:fldCharType="begin"/>
      </w:r>
      <w:r>
        <w:instrText xml:space="preserve"> ADDIN EN.CITE &lt;EndNote&gt;&lt;Cite&gt;&lt;Author&gt;Ricard&lt;/Author&gt;&lt;Year&gt;2014&lt;/Year&gt;&lt;IDText&gt;Aquitard hydraulic properties estimation from wireline logs analysis: An application to the Surat Basin, Queensland&lt;/IDText&gt;&lt;DisplayText&gt;(Ricard et al., 2014)&lt;/DisplayText&gt;&lt;record&gt;&lt;titles&gt;&lt;title&gt;Aquitard hydraulic properties estimation from wireline logs analysis: An application to the Surat Basin, Queensland&lt;/title&gt;&lt;secondary-title&gt;Australian Earth Science Convention&lt;/secondary-title&gt;&lt;/titles&gt;&lt;contributors&gt;&lt;authors&gt;&lt;author&gt;Ricard, L&lt;/author&gt;&lt;author&gt;Godel, B&lt;/author&gt;&lt;author&gt;Smerdon, B&lt;/author&gt;&lt;author&gt;Esteban, L&lt;/author&gt;&lt;/authors&gt;&lt;/contributors&gt;&lt;added-date format="utc"&gt;1434941689&lt;/added-date&gt;&lt;pub-location&gt;Newcastle, NSW, Australia&lt;/pub-location&gt;&lt;ref-type name="Conference Paper"&gt;47&lt;/ref-type&gt;&lt;dates&gt;&lt;year&gt;2014&lt;/year&gt;&lt;/dates&gt;&lt;rec-number&gt;1201&lt;/rec-number&gt;&lt;last-updated-date format="utc"&gt;1434942017&lt;/last-updated-date&gt;&lt;/record&gt;&lt;/Cite&gt;&lt;/EndNote&gt;</w:instrText>
      </w:r>
      <w:r>
        <w:fldChar w:fldCharType="separate"/>
      </w:r>
      <w:r>
        <w:rPr>
          <w:noProof/>
        </w:rPr>
        <w:t>(Ricard et al., 2014)</w:t>
      </w:r>
      <w:r>
        <w:fldChar w:fldCharType="end"/>
      </w:r>
      <w:r>
        <w:t>.</w:t>
      </w:r>
      <w:bookmarkEnd w:id="111"/>
    </w:p>
    <w:p w14:paraId="1C7FADB3" w14:textId="77777777" w:rsidR="0002530F" w:rsidRDefault="0002530F" w:rsidP="0002530F">
      <w:pPr>
        <w:pStyle w:val="Body"/>
      </w:pPr>
    </w:p>
    <w:p w14:paraId="69375C6E" w14:textId="77777777" w:rsidR="0002530F" w:rsidRDefault="0002530F" w:rsidP="0002530F">
      <w:pPr>
        <w:pStyle w:val="Body"/>
      </w:pPr>
      <w:r>
        <w:t xml:space="preserve">A third approach to obtaining bore scale observations of hydraulic properties is the use of time series analysis techniques. Such methods involve calculating the delay or attenuation observed between a source signal and a response signal. Source signal types include fluctuations in barometric pressure, earth tides, ocean tides, or the time varying pressure load of an overlying HSU. The hydraulic response is observed as time series observations of groundwater levels, hydraulic heads or pore pressures in the HSU of interest. For example, Smith et al. (2013) analysed the pore pressure response to barometric fluctuations in order to estimate storage properties of a claystone aquitard in </w:t>
      </w:r>
      <w:r w:rsidRPr="00304CC5">
        <w:t>Saskatchewan</w:t>
      </w:r>
      <w:r>
        <w:t xml:space="preserve">, Canada. Aquitard observations were obtained from vibrating wire piezometers that were installed during observation well installation. Pore pressure observations were recorded every 30 minutes for a three month period. Specific storage values obtained were found to be comparable to in-situ estimates and were up to an order of magnitude smaller than laboratory-based estimates of specific storage. The latter result is consistent with the historical overestimation of compressibility (and therefore specific storage) by laboratory-based methods. Smerdon et al. </w:t>
      </w:r>
      <w:r>
        <w:fldChar w:fldCharType="begin">
          <w:fldData xml:space="preserve">PEVuZE5vdGU+PENpdGUgRXhjbHVkZUF1dGg9IjEiPjxBdXRob3I+U21lcmRvbjwvQXV0aG9yPjxZ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</w:fldData>
        </w:fldChar>
      </w:r>
      <w:r>
        <w:instrText xml:space="preserve"> ADDIN EN.CITE </w:instrText>
      </w:r>
      <w:r>
        <w:fldChar w:fldCharType="begin">
          <w:fldData xml:space="preserve">PEVuZE5vdGU+PENpdGUgRXhjbHVkZUF1dGg9IjEiPjxBdXRob3I+U21lcmRvbjwvQXV0aG9yPjxZ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</w:fldData>
        </w:fldChar>
      </w:r>
      <w:r>
        <w:instrText xml:space="preserve"> ADDIN EN.CITE.DATA </w:instrText>
      </w:r>
      <w:r>
        <w:fldChar w:fldCharType="end"/>
      </w:r>
      <w:r>
        <w:fldChar w:fldCharType="separate"/>
      </w:r>
      <w:r>
        <w:rPr>
          <w:noProof/>
        </w:rPr>
        <w:t>(2014)</w:t>
      </w:r>
      <w:r>
        <w:fldChar w:fldCharType="end"/>
      </w:r>
      <w:r>
        <w:t xml:space="preserve"> used a similar approach to estimate the storage properties of a shale aquitard in the Great Artesian Basin. In addition, the pore pressure response to initial well installation was used to estimate aquitard hydraulic conductivity. Rates of hydraulic conductivity were found to be within one order of magnitude of estimates obtained from laboratory-based methods and inverse modelling. </w:t>
      </w:r>
    </w:p>
    <w:p w14:paraId="0BE1CED7" w14:textId="77777777" w:rsidR="0002530F" w:rsidRDefault="0002530F" w:rsidP="0002530F">
      <w:pPr>
        <w:pStyle w:val="Body"/>
      </w:pPr>
    </w:p>
    <w:p w14:paraId="70C8D0A4" w14:textId="77777777" w:rsidR="0002530F" w:rsidRDefault="0002530F" w:rsidP="0002530F">
      <w:pPr>
        <w:pStyle w:val="Body"/>
        <w:jc w:val="center"/>
      </w:pPr>
      <w:r>
        <w:rPr>
          <w:noProof/>
          <w:lang w:val="en-AU" w:eastAsia="en-AU"/>
        </w:rPr>
        <w:drawing>
          <wp:inline distT="0" distB="0" distL="0" distR="0" wp14:anchorId="26119AE5" wp14:editId="0C6FFEFD">
            <wp:extent cx="5487324" cy="2895600"/>
            <wp:effectExtent l="19050" t="0" r="0" b="0"/>
            <wp:docPr id="4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5"/>
                    <a:srcRect l="1406" t="1304" r="1406" b="3043"/>
                    <a:stretch>
                      <a:fillRect/>
                    </a:stretch>
                  </pic:blipFill>
                  <pic:spPr bwMode="auto">
                    <a:xfrm>
                      <a:off x="0" y="0"/>
                      <a:ext cx="5488725" cy="2896339"/>
                    </a:xfrm>
                    <a:prstGeom prst="rect">
                      <a:avLst/>
                    </a:prstGeom>
                    <a:noFill/>
                    <a:ln w="9525">
                      <a:noFill/>
                      <a:miter lim="800000"/>
                      <a:headEnd/>
                      <a:tailEnd/>
                    </a:ln>
                  </pic:spPr>
                </pic:pic>
              </a:graphicData>
            </a:graphic>
          </wp:inline>
        </w:drawing>
      </w:r>
    </w:p>
    <w:p w14:paraId="62F908CE" w14:textId="77777777" w:rsidR="0002530F" w:rsidRDefault="0002530F" w:rsidP="0002530F">
      <w:pPr>
        <w:pStyle w:val="Imagecaption"/>
      </w:pPr>
      <w:bookmarkStart w:id="112" w:name="_Ref445911632"/>
      <w:bookmarkStart w:id="113" w:name="_Toc449696314"/>
      <w:r>
        <w:t xml:space="preserve">Figure </w:t>
      </w:r>
      <w:r>
        <w:fldChar w:fldCharType="begin"/>
      </w:r>
      <w:r>
        <w:instrText xml:space="preserve"> SEQ Figure \* ARABIC </w:instrText>
      </w:r>
      <w:r>
        <w:fldChar w:fldCharType="separate"/>
      </w:r>
      <w:r w:rsidR="00C52E30">
        <w:rPr>
          <w:noProof/>
        </w:rPr>
        <w:t>24</w:t>
      </w:r>
      <w:r>
        <w:fldChar w:fldCharType="end"/>
      </w:r>
      <w:bookmarkEnd w:id="112"/>
      <w:r>
        <w:t xml:space="preserve">. Derivation of formation scale vertical hydraulic conductivity using </w:t>
      </w:r>
      <w:r w:rsidRPr="00F1417D">
        <w:rPr>
          <w:vertAlign w:val="superscript"/>
        </w:rPr>
        <w:t>4</w:t>
      </w:r>
      <w:r>
        <w:t xml:space="preserve">He concentration profile </w:t>
      </w:r>
      <w:r>
        <w:fldChar w:fldCharType="begin">
          <w:fldData xml:space="preserve">PEVuZE5vdGU+PENpdGU+PEF1dGhvcj5IYXJyaW5ndG9uPC9BdXRob3I+PFllYXI+MjAxMzwvWWVh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==
</w:fldData>
        </w:fldChar>
      </w:r>
      <w:r>
        <w:instrText xml:space="preserve"> ADDIN EN.CITE </w:instrText>
      </w:r>
      <w:r>
        <w:fldChar w:fldCharType="begin">
          <w:fldData xml:space="preserve">PEVuZE5vdGU+PENpdGU+PEF1dGhvcj5IYXJyaW5ndG9uPC9BdXRob3I+PFllYXI+MjAxMzwvWWVh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==
</w:fldData>
        </w:fldChar>
      </w:r>
      <w:r>
        <w:instrText xml:space="preserve"> ADDIN EN.CITE.DATA </w:instrText>
      </w:r>
      <w:r>
        <w:fldChar w:fldCharType="end"/>
      </w:r>
      <w:r>
        <w:fldChar w:fldCharType="separate"/>
      </w:r>
      <w:r>
        <w:rPr>
          <w:noProof/>
        </w:rPr>
        <w:t>(Gardner et al., 2012)</w:t>
      </w:r>
      <w:r>
        <w:fldChar w:fldCharType="end"/>
      </w:r>
      <w:r>
        <w:t>.</w:t>
      </w:r>
      <w:bookmarkEnd w:id="113"/>
    </w:p>
    <w:p w14:paraId="06D3AFF7" w14:textId="77777777" w:rsidR="0002530F" w:rsidRDefault="0002530F" w:rsidP="0002530F">
      <w:pPr>
        <w:pStyle w:val="Body"/>
      </w:pPr>
    </w:p>
    <w:p w14:paraId="02124424" w14:textId="0742E97B" w:rsidR="0002530F" w:rsidRDefault="0002530F" w:rsidP="0002530F">
      <w:pPr>
        <w:pStyle w:val="Body"/>
      </w:pPr>
      <w:r>
        <w:t xml:space="preserve">A fourth approach to obtaining bore scale observations of hydraulic properties is the use of environmental tracer techniques. These include analyses of the occurrence of natural and anthropogenic compounds or isotopes in groundwater, which may be used to estimate pathways and timescales of subsurface processes </w:t>
      </w:r>
      <w:r>
        <w:fldChar w:fldCharType="begin"/>
      </w:r>
      <w:r>
        <w:instrText xml:space="preserve"> ADDIN EN.CITE &lt;EndNote&gt;&lt;Cite&gt;&lt;Author&gt;Cook&lt;/Author&gt;&lt;Year&gt;2000&lt;/Year&gt;&lt;IDText&gt;Environmental tracers in subsurface hydrology&lt;/IDText&gt;&lt;DisplayText&gt;(Cook and Herczeg, 2000)&lt;/DisplayText&gt;&lt;record&gt;&lt;isbn&gt;1461545579&lt;/isbn&gt;&lt;titles&gt;&lt;title&gt;Environmental tracers in subsurface hydrology&lt;/title&gt;&lt;/titles&gt;&lt;contributors&gt;&lt;authors&gt;&lt;author&gt;Cook, Peter G&lt;/author&gt;&lt;author&gt;Herczeg, Andrew L&lt;/author&gt;&lt;/authors&gt;&lt;/contributors&gt;&lt;added-date format="utc"&gt;1434095717&lt;/added-date&gt;&lt;ref-type name="Book"&gt;6&lt;/ref-type&gt;&lt;dates&gt;&lt;year&gt;2000&lt;/year&gt;&lt;/dates&gt;&lt;rec-number&gt;267&lt;/rec-number&gt;&lt;publisher&gt;Springer Science &amp;amp; Business Media&lt;/publisher&gt;&lt;last-updated-date format="utc"&gt;1434095791&lt;/last-updated-date&gt;&lt;/record&gt;&lt;/Cite&gt;&lt;/EndNote&gt;</w:instrText>
      </w:r>
      <w:r>
        <w:fldChar w:fldCharType="separate"/>
      </w:r>
      <w:r>
        <w:rPr>
          <w:noProof/>
        </w:rPr>
        <w:t>(Cook and Herczeg, 2000)</w:t>
      </w:r>
      <w:r>
        <w:fldChar w:fldCharType="end"/>
      </w:r>
      <w:r>
        <w:t xml:space="preserve">. In the present context, tracer techniques may be used to estimate vertical fluxes within and between hydrostratigraphic units. Commonly </w:t>
      </w:r>
      <w:r w:rsidRPr="00D67905">
        <w:t xml:space="preserve">used tracers include the element chloride and the isotopes deuterium, oxygen-18 and helium-4. For example, </w:t>
      </w:r>
      <w:r>
        <w:t xml:space="preserve">Harrington et al. </w:t>
      </w:r>
      <w:r>
        <w:fldChar w:fldCharType="begin">
          <w:fldData xml:space="preserve">PEVuZE5vdGU+PENpdGUgRXhjbHVkZUF1dGg9IjEiPjxBdXRob3I+SGFycmluZ3RvbjwvQXV0aG9y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</w:fldData>
        </w:fldChar>
      </w:r>
      <w:r>
        <w:instrText xml:space="preserve"> ADDIN EN.CITE </w:instrText>
      </w:r>
      <w:r>
        <w:fldChar w:fldCharType="begin">
          <w:fldData xml:space="preserve">PEVuZE5vdGU+PENpdGUgRXhjbHVkZUF1dGg9IjEiPjxBdXRob3I+SGFycmluZ3RvbjwvQXV0aG9y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</w:fldData>
        </w:fldChar>
      </w:r>
      <w:r>
        <w:instrText xml:space="preserve"> ADDIN EN.CITE.DATA </w:instrText>
      </w:r>
      <w:r>
        <w:fldChar w:fldCharType="end"/>
      </w:r>
      <w:r>
        <w:fldChar w:fldCharType="separate"/>
      </w:r>
      <w:r>
        <w:rPr>
          <w:noProof/>
        </w:rPr>
        <w:t>(2012)</w:t>
      </w:r>
      <w:r>
        <w:fldChar w:fldCharType="end"/>
      </w:r>
      <w:r w:rsidRPr="00D67905">
        <w:t xml:space="preserve"> used observations of chloride, deuterium and oxygen-18 to estimate the vertical flux through a shale aquitard in</w:t>
      </w:r>
      <w:r>
        <w:t xml:space="preserve"> the Great Artesian Basin. As previously discussed, Gardner et al. (2012) derived a formation scale </w:t>
      </w:r>
      <w:r w:rsidRPr="0018377D">
        <w:rPr>
          <w:i/>
        </w:rPr>
        <w:t>K</w:t>
      </w:r>
      <w:r w:rsidRPr="0018377D">
        <w:rPr>
          <w:vertAlign w:val="subscript"/>
        </w:rPr>
        <w:t>v</w:t>
      </w:r>
      <w:r>
        <w:t xml:space="preserve"> of 5×10</w:t>
      </w:r>
      <w:r w:rsidRPr="00792899">
        <w:rPr>
          <w:vertAlign w:val="superscript"/>
        </w:rPr>
        <w:t>-11</w:t>
      </w:r>
      <w:r>
        <w:t xml:space="preserve"> m.s</w:t>
      </w:r>
      <w:r w:rsidRPr="00792899">
        <w:rPr>
          <w:vertAlign w:val="superscript"/>
        </w:rPr>
        <w:t>-1</w:t>
      </w:r>
      <w:r>
        <w:t xml:space="preserve"> for the Bulldog and Oodnadatta shale based on helium-4 analysis (</w:t>
      </w:r>
      <w:r w:rsidR="00C71014">
        <w:fldChar w:fldCharType="begin"/>
      </w:r>
      <w:r w:rsidR="00C71014">
        <w:instrText xml:space="preserve"> REF _Ref445911632 \h </w:instrText>
      </w:r>
      <w:r w:rsidR="00C71014">
        <w:fldChar w:fldCharType="separate"/>
      </w:r>
      <w:r w:rsidR="00C52E30">
        <w:t xml:space="preserve">Figure </w:t>
      </w:r>
      <w:r w:rsidR="00C52E30">
        <w:rPr>
          <w:noProof/>
        </w:rPr>
        <w:t>24</w:t>
      </w:r>
      <w:r w:rsidR="00C71014">
        <w:fldChar w:fldCharType="end"/>
      </w:r>
      <w:r>
        <w:t>).</w:t>
      </w:r>
    </w:p>
    <w:p w14:paraId="11CCCF67" w14:textId="06AE4E0B" w:rsidR="0002530F" w:rsidRDefault="0002530F" w:rsidP="0002530F">
      <w:pPr>
        <w:pStyle w:val="Body"/>
      </w:pPr>
      <w:r>
        <w:t xml:space="preserve">The upscaling of hydraulic properties from bore scale observations to regional scale models is subject to </w:t>
      </w:r>
      <w:r w:rsidR="00C71014">
        <w:t>several</w:t>
      </w:r>
      <w:r>
        <w:t xml:space="preserve"> sources of uncertainty. Properties obtained from downhole geophysical observations are subject to the empirical relationships used to convert neutron, density or sonic logs to porosity values. The uncertainty of porosity values obtained will be a function of the uncertainty of the coefficients used in such relationships (see </w:t>
      </w:r>
      <w:r w:rsidR="00C71014">
        <w:fldChar w:fldCharType="begin"/>
      </w:r>
      <w:r w:rsidR="00C71014">
        <w:instrText xml:space="preserve"> REF _Ref445911604 \h </w:instrText>
      </w:r>
      <w:r w:rsidR="00C71014">
        <w:fldChar w:fldCharType="separate"/>
      </w:r>
      <w:r w:rsidR="00C52E30">
        <w:t xml:space="preserve">Figure </w:t>
      </w:r>
      <w:r w:rsidR="00C52E30">
        <w:rPr>
          <w:noProof/>
        </w:rPr>
        <w:t>23</w:t>
      </w:r>
      <w:r w:rsidR="00C71014">
        <w:fldChar w:fldCharType="end"/>
      </w:r>
      <w:r>
        <w:t>). Similarly, an additional source of uncertainty will be the coefficients in the empirical relationships used to relate porosity to permeability.</w:t>
      </w:r>
      <w:r w:rsidRPr="00792899">
        <w:t xml:space="preserve"> </w:t>
      </w:r>
      <w:r>
        <w:t xml:space="preserve">When uncalibrated relationships such as those from </w:t>
      </w:r>
      <w:r w:rsidR="00C71014">
        <w:fldChar w:fldCharType="begin"/>
      </w:r>
      <w:r w:rsidR="00C71014">
        <w:instrText xml:space="preserve"> REF _Ref445911821 \h </w:instrText>
      </w:r>
      <w:r w:rsidR="00C71014">
        <w:fldChar w:fldCharType="separate"/>
      </w:r>
      <w:r w:rsidR="00C52E30">
        <w:t xml:space="preserve">Table </w:t>
      </w:r>
      <w:r w:rsidR="00C52E30">
        <w:rPr>
          <w:noProof/>
        </w:rPr>
        <w:t>4</w:t>
      </w:r>
      <w:r w:rsidR="00C71014">
        <w:fldChar w:fldCharType="end"/>
      </w:r>
      <w:r>
        <w:t xml:space="preserve"> are used, uncertainties are expected to be larger than when site-specific relationships are established.</w:t>
      </w:r>
    </w:p>
    <w:p w14:paraId="7D64835C" w14:textId="3144B596" w:rsidR="008A3AEE" w:rsidRDefault="0002530F" w:rsidP="00A45100">
      <w:pPr>
        <w:pStyle w:val="Body"/>
      </w:pPr>
      <w:r w:rsidRPr="00C9274B">
        <w:t xml:space="preserve">Vidstrand </w:t>
      </w:r>
      <w:r>
        <w:fldChar w:fldCharType="begin"/>
      </w:r>
      <w:r>
        <w:instrText xml:space="preserve"> ADDIN EN.CITE &lt;EndNote&gt;&lt;Cite ExcludeAuth="1"&gt;&lt;Author&gt;Vidstrand&lt;/Author&gt;&lt;Year&gt;2001&lt;/Year&gt;&lt;IDText&gt;Comparison of upscaling methods to estimate hydraulic conductivity&lt;/IDText&gt;&lt;DisplayText&gt;(2001)&lt;/DisplayText&gt;&lt;record&gt;&lt;dates&gt;&lt;pub-dates&gt;&lt;date&gt;MAY-JUN 2001&lt;/date&gt;&lt;/pub-dates&gt;&lt;year&gt;2001&lt;/year&gt;&lt;/dates&gt;&lt;keywords&gt;&lt;keyword&gt;PERMEABILITY&lt;/keyword&gt;&lt;/keywords&gt;&lt;isbn&gt;0017-467X&lt;/isbn&gt;&lt;work-type&gt;Article&lt;/work-type&gt;&lt;titles&gt;&lt;title&gt;Comparison of upscaling methods to estimate hydraulic conductivity&lt;/title&gt;&lt;secondary-title&gt;Ground Water&lt;/secondary-title&gt;&lt;/titles&gt;&lt;pages&gt;401-407&lt;/pages&gt;&lt;number&gt;3&lt;/number&gt;&lt;contributors&gt;&lt;authors&gt;&lt;author&gt;Vidstrand, P&lt;/author&gt;&lt;/authors&gt;&lt;/contributors&gt;&lt;language&gt;English&lt;/language&gt;&lt;added-date format="utc"&gt;1433830602&lt;/added-date&gt;&lt;ref-type name="Journal Article"&gt;17&lt;/ref-type&gt;&lt;auth-address&gt;Vidstrand, P (reprint author), Chalmers Univ Technol, Dept Geol, SE-41296 Gothenburg, Sweden&amp;#xD;Chalmers Univ Technol, Dept Geol, SE-41296 Gothenburg, Sweden&lt;/auth-address&gt;&lt;rec-number&gt;181&lt;/rec-number&gt;&lt;last-updated-date format="utc"&gt;1433830602&lt;/last-updated-date&gt;&lt;accession-num&gt;WOS:000168446500012&lt;/accession-num&gt;&lt;electronic-resource-num&gt;10.1111/j.1745-6584.2001.tb02324.x&lt;/electronic-resource-num&gt;&lt;volume&gt;39&lt;/volume&gt;&lt;/record&gt;&lt;/Cite&gt;&lt;/EndNote&gt;</w:instrText>
      </w:r>
      <w:r>
        <w:fldChar w:fldCharType="separate"/>
      </w:r>
      <w:r>
        <w:rPr>
          <w:noProof/>
        </w:rPr>
        <w:t>(2001)</w:t>
      </w:r>
      <w:r>
        <w:fldChar w:fldCharType="end"/>
      </w:r>
      <w:r w:rsidRPr="00C9274B">
        <w:t xml:space="preserve"> compared bore scale observations of hydraulic conductivity </w:t>
      </w:r>
      <w:r>
        <w:t xml:space="preserve">in fractured granite </w:t>
      </w:r>
      <w:r w:rsidRPr="00C9274B">
        <w:t>derived from pump testing to values calculated using a number of analytical upscaling approaches</w:t>
      </w:r>
      <w:r>
        <w:t xml:space="preserve">, including arithmetic, geometric and harmonic means (see Table 5, Section 3.1.4 for a discussion of </w:t>
      </w:r>
      <w:r w:rsidRPr="0020323D">
        <w:t>analytical upscaling approaches</w:t>
      </w:r>
      <w:r>
        <w:t xml:space="preserve">). Calculated effective hydraulic conductivity values were consistent between the different analytical upscaling approaches. Echoing previous </w:t>
      </w:r>
      <w:r w:rsidRPr="003F4E33">
        <w:t xml:space="preserve">work by Neuman </w:t>
      </w:r>
      <w:r w:rsidRPr="003F4E33">
        <w:fldChar w:fldCharType="begin"/>
      </w:r>
      <w:r w:rsidRPr="003F4E33">
        <w:instrText xml:space="preserve"> ADDIN EN.CITE &lt;EndNote&gt;&lt;Cite ExcludeAuth="1"&gt;&lt;Author&gt;Neuman&lt;/Author&gt;&lt;Year&gt;1988&lt;/Year&gt;&lt;IDText&gt;Stochastic Continuum Representation of Fractured Rock Permeability as an Alternative to the REV and Fracture Network Concepts&lt;/IDText&gt;&lt;DisplayText&gt;(1988)&lt;/DisplayText&gt;&lt;record&gt;&lt;urls&gt;&lt;related-urls&gt;&lt;url&gt;http://dx.doi.org/10.1007/978-94-009-2889-3_19&lt;/url&gt;&lt;/related-urls&gt;&lt;/urls&gt;&lt;titles&gt;&lt;title&gt;Stochastic Continuum Representation of Fractured Rock Permeability as an Alternative to the REV and Fracture Network Concepts&lt;/title&gt;&lt;secondary-title&gt;Groundwater Flow and Quality Modelling&lt;/secondary-title&gt;&lt;tertiary-title&gt;NATO ASI Series&lt;/tertiary-title&gt;&lt;/titles&gt;&lt;pages&gt;331-362&lt;/pages&gt;&lt;contributors&gt;&lt;authors&gt;&lt;author&gt;Neuman, Shlomo P.&lt;/author&gt;&lt;/authors&gt;&lt;/contributors&gt;&lt;section&gt;19&lt;/section&gt;&lt;added-date format="utc"&gt;1433901336&lt;/added-date&gt;&lt;ref-type name="Book Section"&gt;5&lt;/ref-type&gt;&lt;dates&gt;&lt;year&gt;1988&lt;/year&gt;&lt;/dates&gt;&lt;rec-number&gt;224&lt;/rec-number&gt;&lt;publisher&gt;Springer Netherlands&lt;/publisher&gt;&lt;last-updated-date format="utc"&gt;1433903111&lt;/last-updated-date&gt;&lt;contributors&gt;&lt;secondary-authors&gt;&lt;author&gt;Custodio, E.&lt;/author&gt;&lt;author&gt;Gurgui, A.&lt;/author&gt;&lt;author&gt;Ferreira, J. P. Lobo&lt;/author&gt;&lt;/secondary-authors&gt;&lt;/contributors&gt;&lt;electronic-resource-num&gt;10.1007/978-94-009-2889-3_19&lt;/electronic-resource-num&gt;&lt;/record&gt;&lt;/Cite&gt;&lt;/EndNote&gt;</w:instrText>
      </w:r>
      <w:r w:rsidRPr="003F4E33">
        <w:fldChar w:fldCharType="separate"/>
      </w:r>
      <w:r w:rsidRPr="003F4E33">
        <w:rPr>
          <w:noProof/>
        </w:rPr>
        <w:t>(1988)</w:t>
      </w:r>
      <w:r w:rsidRPr="003F4E33">
        <w:fldChar w:fldCharType="end"/>
      </w:r>
      <w:r w:rsidRPr="003F4E33">
        <w:t>, the authors proposed that, for a given subsurface medium, there exists a minimum REV size below</w:t>
      </w:r>
      <w:r>
        <w:t xml:space="preserve"> which its hydraulic properties cannot be characterised using an averaged value (</w:t>
      </w:r>
      <w:r>
        <w:fldChar w:fldCharType="begin"/>
      </w:r>
      <w:r>
        <w:instrText xml:space="preserve"> REF _Ref422386843 \h </w:instrText>
      </w:r>
      <w:r>
        <w:fldChar w:fldCharType="separate"/>
      </w:r>
      <w:r w:rsidR="00C52E30">
        <w:t xml:space="preserve">Figure </w:t>
      </w:r>
      <w:r w:rsidR="00C52E30">
        <w:rPr>
          <w:noProof/>
        </w:rPr>
        <w:t>28</w:t>
      </w:r>
      <w:r>
        <w:fldChar w:fldCharType="end"/>
      </w:r>
      <w:r>
        <w:t xml:space="preserve">). </w:t>
      </w:r>
      <w:r w:rsidR="00C46C70">
        <w:t>Subsequently</w:t>
      </w:r>
      <w:r>
        <w:t xml:space="preserve">, they proposed that field investigations should aim to characterise hydraulic properties at an REV size greater than a site-specific threshold. For example, in practice this could involve undertaking a pump test for a duration sufficient to sample the appropriate REV size. </w:t>
      </w:r>
      <w:bookmarkStart w:id="114" w:name="_Ref445911545"/>
    </w:p>
    <w:p w14:paraId="450BCD37" w14:textId="77777777" w:rsidR="0002530F" w:rsidRPr="00CB7B2D" w:rsidRDefault="0002530F">
      <w:pPr>
        <w:pStyle w:val="Heading3"/>
      </w:pPr>
      <w:bookmarkStart w:id="115" w:name="_Ref449650958"/>
      <w:bookmarkStart w:id="116" w:name="_Toc449696599"/>
      <w:r>
        <w:t xml:space="preserve">Regional </w:t>
      </w:r>
      <w:r w:rsidRPr="00CB7B2D">
        <w:t>scale observations</w:t>
      </w:r>
      <w:bookmarkEnd w:id="114"/>
      <w:bookmarkEnd w:id="115"/>
      <w:bookmarkEnd w:id="116"/>
    </w:p>
    <w:p w14:paraId="70CC8A86" w14:textId="67F4A68E" w:rsidR="0002530F" w:rsidRDefault="0002530F" w:rsidP="0002530F">
      <w:pPr>
        <w:pStyle w:val="Body"/>
        <w:rPr>
          <w:color w:val="auto"/>
        </w:rPr>
      </w:pPr>
      <w:r>
        <w:rPr>
          <w:color w:val="auto"/>
        </w:rPr>
        <w:t>Here we refer to observations of hydraulic properties that are integrated over a representative elementary volume that is consistent with a groundwater flow path that may be many kilometres in length. Regional scale is defined as being in the order of 10</w:t>
      </w:r>
      <w:r>
        <w:rPr>
          <w:color w:val="auto"/>
          <w:vertAlign w:val="superscript"/>
        </w:rPr>
        <w:t>4</w:t>
      </w:r>
      <w:r>
        <w:rPr>
          <w:color w:val="auto"/>
        </w:rPr>
        <w:t>–10</w:t>
      </w:r>
      <w:r>
        <w:rPr>
          <w:color w:val="auto"/>
          <w:vertAlign w:val="superscript"/>
        </w:rPr>
        <w:t>5</w:t>
      </w:r>
      <w:r>
        <w:rPr>
          <w:color w:val="auto"/>
        </w:rPr>
        <w:t xml:space="preserve"> metres in the horizontal plane </w:t>
      </w:r>
      <w:r>
        <w:rPr>
          <w:color w:val="auto"/>
        </w:rPr>
        <w:fldChar w:fldCharType="begin"/>
      </w:r>
      <w:r>
        <w:rPr>
          <w:color w:val="auto"/>
        </w:rPr>
        <w:instrText xml:space="preserve"> ADDIN EN.CITE &lt;EndNote&gt;&lt;Cite&gt;&lt;Author&gt;Dagan&lt;/Author&gt;&lt;Year&gt;1986&lt;/Year&gt;&lt;IDText&gt;Statistical theory of groundwater flow and transport: Pore to laboratory, laboratory to formation, and formation to regional scale&lt;/IDText&gt;&lt;DisplayText&gt;(Dagan, 1986)&lt;/DisplayText&gt;&lt;record&gt;&lt;isbn&gt;1944-7973&lt;/isbn&gt;&lt;titles&gt;&lt;title&gt;Statistical theory of groundwater flow and transport: Pore to laboratory, laboratory to formation, and formation to regional scale&lt;/title&gt;&lt;secondary-title&gt;Water Resources Research&lt;/secondary-title&gt;&lt;/titles&gt;&lt;pages&gt;120S-134S&lt;/pages&gt;&lt;number&gt;9S&lt;/number&gt;&lt;contributors&gt;&lt;authors&gt;&lt;author&gt;Dagan, Gedeon&lt;/author&gt;&lt;/authors&gt;&lt;/contributors&gt;&lt;added-date format="utc"&gt;1440732401&lt;/added-date&gt;&lt;ref-type name="Journal Article"&gt;17&lt;/ref-type&gt;&lt;dates&gt;&lt;year&gt;1986&lt;/year&gt;&lt;/dates&gt;&lt;rec-number&gt;1233&lt;/rec-number&gt;&lt;last-updated-date format="utc"&gt;1440732401&lt;/last-updated-date&gt;&lt;volume&gt;22&lt;/volume&gt;&lt;/record&gt;&lt;/Cite&gt;&lt;/EndNote&gt;</w:instrText>
      </w:r>
      <w:r>
        <w:rPr>
          <w:color w:val="auto"/>
        </w:rPr>
        <w:fldChar w:fldCharType="separate"/>
      </w:r>
      <w:r>
        <w:rPr>
          <w:noProof/>
          <w:color w:val="auto"/>
        </w:rPr>
        <w:t>(Dagan, 1986)</w:t>
      </w:r>
      <w:r>
        <w:rPr>
          <w:color w:val="auto"/>
        </w:rPr>
        <w:fldChar w:fldCharType="end"/>
      </w:r>
      <w:r>
        <w:rPr>
          <w:color w:val="auto"/>
        </w:rPr>
        <w:t xml:space="preserve">. As demonstrated in </w:t>
      </w:r>
      <w:r w:rsidR="00C71014">
        <w:rPr>
          <w:color w:val="auto"/>
        </w:rPr>
        <w:fldChar w:fldCharType="begin"/>
      </w:r>
      <w:r w:rsidR="00C71014">
        <w:rPr>
          <w:color w:val="auto"/>
        </w:rPr>
        <w:instrText xml:space="preserve"> REF _Ref445911857 \h </w:instrText>
      </w:r>
      <w:r w:rsidR="00C71014">
        <w:rPr>
          <w:color w:val="auto"/>
        </w:rPr>
      </w:r>
      <w:r w:rsidR="00C71014">
        <w:rPr>
          <w:color w:val="auto"/>
        </w:rPr>
        <w:fldChar w:fldCharType="separate"/>
      </w:r>
      <w:r w:rsidR="00C52E30">
        <w:t xml:space="preserve">Figure </w:t>
      </w:r>
      <w:r w:rsidR="00C52E30">
        <w:rPr>
          <w:noProof/>
        </w:rPr>
        <w:t>25</w:t>
      </w:r>
      <w:r w:rsidR="00C71014">
        <w:rPr>
          <w:color w:val="auto"/>
        </w:rPr>
        <w:fldChar w:fldCharType="end"/>
      </w:r>
      <w:r>
        <w:rPr>
          <w:color w:val="auto"/>
        </w:rPr>
        <w:t xml:space="preserve">, </w:t>
      </w:r>
      <w:r w:rsidRPr="00207DD8">
        <w:rPr>
          <w:color w:val="auto"/>
        </w:rPr>
        <w:t xml:space="preserve">data </w:t>
      </w:r>
      <w:r>
        <w:rPr>
          <w:color w:val="auto"/>
        </w:rPr>
        <w:t xml:space="preserve">measured in crystalline rock </w:t>
      </w:r>
      <w:r w:rsidRPr="00207DD8">
        <w:rPr>
          <w:color w:val="auto"/>
        </w:rPr>
        <w:t>increase by several orders of</w:t>
      </w:r>
      <w:r>
        <w:rPr>
          <w:color w:val="auto"/>
        </w:rPr>
        <w:t xml:space="preserve"> </w:t>
      </w:r>
      <w:r w:rsidRPr="00207DD8">
        <w:rPr>
          <w:color w:val="auto"/>
        </w:rPr>
        <w:t>magnitude from the laboratory to the regional scales.</w:t>
      </w:r>
      <w:r>
        <w:rPr>
          <w:color w:val="auto"/>
        </w:rPr>
        <w:t xml:space="preserve"> This </w:t>
      </w:r>
      <w:r w:rsidRPr="00207DD8">
        <w:rPr>
          <w:color w:val="auto"/>
        </w:rPr>
        <w:t>s</w:t>
      </w:r>
      <w:r>
        <w:rPr>
          <w:color w:val="auto"/>
        </w:rPr>
        <w:t>cale</w:t>
      </w:r>
      <w:r w:rsidRPr="00207DD8">
        <w:rPr>
          <w:color w:val="auto"/>
        </w:rPr>
        <w:t xml:space="preserve"> </w:t>
      </w:r>
      <w:r>
        <w:rPr>
          <w:color w:val="auto"/>
        </w:rPr>
        <w:t xml:space="preserve">effect </w:t>
      </w:r>
      <w:r w:rsidRPr="00207DD8">
        <w:rPr>
          <w:color w:val="auto"/>
        </w:rPr>
        <w:t>has been observed</w:t>
      </w:r>
      <w:r>
        <w:rPr>
          <w:color w:val="auto"/>
        </w:rPr>
        <w:t xml:space="preserve"> </w:t>
      </w:r>
      <w:r w:rsidRPr="00207DD8">
        <w:rPr>
          <w:color w:val="auto"/>
        </w:rPr>
        <w:t>in all kinds of geologic media</w:t>
      </w:r>
      <w:r>
        <w:rPr>
          <w:color w:val="auto"/>
        </w:rPr>
        <w:t xml:space="preserve">. Derivation of regional scale hydraulic properties generally involves groundwater flow (and solute transport) inverse modelling based on local scale observations of head, fluxes and solute concentration (Bredehoeft et al., 1983; Clauser, 1992; Laloy et al., 2013). </w:t>
      </w:r>
    </w:p>
    <w:p w14:paraId="71EB24D2" w14:textId="77777777" w:rsidR="0002530F" w:rsidRDefault="0002530F" w:rsidP="0002530F">
      <w:pPr>
        <w:pStyle w:val="Body"/>
        <w:rPr>
          <w:color w:val="auto"/>
        </w:rPr>
      </w:pPr>
    </w:p>
    <w:p w14:paraId="64F08D17" w14:textId="77777777" w:rsidR="0002530F" w:rsidRDefault="0002530F" w:rsidP="0002530F">
      <w:pPr>
        <w:pStyle w:val="Body"/>
        <w:jc w:val="center"/>
        <w:rPr>
          <w:color w:val="auto"/>
        </w:rPr>
      </w:pPr>
      <w:r>
        <w:rPr>
          <w:noProof/>
          <w:lang w:val="en-AU" w:eastAsia="en-AU"/>
        </w:rPr>
        <w:drawing>
          <wp:inline distT="0" distB="0" distL="0" distR="0" wp14:anchorId="3F95E170" wp14:editId="73F661FF">
            <wp:extent cx="2880000" cy="2084498"/>
            <wp:effectExtent l="1905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2880000" cy="2084498"/>
                    </a:xfrm>
                    <a:prstGeom prst="rect">
                      <a:avLst/>
                    </a:prstGeom>
                    <a:noFill/>
                    <a:ln w="9525">
                      <a:noFill/>
                      <a:miter lim="800000"/>
                      <a:headEnd/>
                      <a:tailEnd/>
                    </a:ln>
                  </pic:spPr>
                </pic:pic>
              </a:graphicData>
            </a:graphic>
          </wp:inline>
        </w:drawing>
      </w:r>
    </w:p>
    <w:p w14:paraId="7B618E7B" w14:textId="77777777" w:rsidR="0002530F" w:rsidRDefault="0002530F" w:rsidP="0002530F">
      <w:pPr>
        <w:pStyle w:val="Imagecaption"/>
      </w:pPr>
      <w:bookmarkStart w:id="117" w:name="_Ref445911857"/>
      <w:bookmarkStart w:id="118" w:name="_Toc449696315"/>
      <w:r>
        <w:t xml:space="preserve">Figure </w:t>
      </w:r>
      <w:r>
        <w:fldChar w:fldCharType="begin"/>
      </w:r>
      <w:r>
        <w:instrText xml:space="preserve"> SEQ Figure \* ARABIC </w:instrText>
      </w:r>
      <w:r>
        <w:fldChar w:fldCharType="separate"/>
      </w:r>
      <w:r w:rsidR="00C52E30">
        <w:rPr>
          <w:noProof/>
        </w:rPr>
        <w:t>25</w:t>
      </w:r>
      <w:r>
        <w:fldChar w:fldCharType="end"/>
      </w:r>
      <w:bookmarkEnd w:id="117"/>
      <w:r>
        <w:t xml:space="preserve">. Permeability of crystalline rocks and characteristic scale of measurement </w:t>
      </w:r>
      <w:r>
        <w:fldChar w:fldCharType="begin"/>
      </w:r>
      <w:r>
        <w:instrText xml:space="preserve"> ADDIN EN.CITE &lt;EndNote&gt;&lt;Cite&gt;&lt;Author&gt;Clauser&lt;/Author&gt;&lt;Year&gt;1992&lt;/Year&gt;&lt;IDText&gt;Permeability of crystalline rocks&lt;/IDText&gt;&lt;DisplayText&gt;(Clauser, 1992)&lt;/DisplayText&gt;&lt;record&gt;&lt;isbn&gt;2324-9250&lt;/isbn&gt;&lt;titles&gt;&lt;title&gt;Permeability of crystalline rocks&lt;/title&gt;&lt;secondary-title&gt;Eos, Transactions American Geophysical Union&lt;/secondary-title&gt;&lt;/titles&gt;&lt;pages&gt;233-238&lt;/pages&gt;&lt;number&gt;21&lt;/number&gt;&lt;contributors&gt;&lt;authors&gt;&lt;author&gt;Clauser, Christoph&lt;/author&gt;&lt;/authors&gt;&lt;/contributors&gt;&lt;added-date format="utc"&gt;1434523081&lt;/added-date&gt;&lt;ref-type name="Journal Article"&gt;17&lt;/ref-type&gt;&lt;dates&gt;&lt;year&gt;1992&lt;/year&gt;&lt;/dates&gt;&lt;rec-number&gt;352&lt;/rec-number&gt;&lt;last-updated-date format="utc"&gt;1434523081&lt;/last-updated-date&gt;&lt;volume&gt;73&lt;/volume&gt;&lt;/record&gt;&lt;/Cite&gt;&lt;/EndNote&gt;</w:instrText>
      </w:r>
      <w:r>
        <w:fldChar w:fldCharType="separate"/>
      </w:r>
      <w:r>
        <w:rPr>
          <w:noProof/>
        </w:rPr>
        <w:t>(Clauser, 1992)</w:t>
      </w:r>
      <w:r>
        <w:fldChar w:fldCharType="end"/>
      </w:r>
      <w:r>
        <w:t>.</w:t>
      </w:r>
      <w:bookmarkEnd w:id="118"/>
    </w:p>
    <w:p w14:paraId="792555B8" w14:textId="2FA67605" w:rsidR="0002530F" w:rsidRDefault="0002530F" w:rsidP="0002530F">
      <w:pPr>
        <w:pStyle w:val="Body"/>
        <w:rPr>
          <w:color w:val="auto"/>
        </w:rPr>
      </w:pPr>
      <w:r>
        <w:rPr>
          <w:color w:val="auto"/>
        </w:rPr>
        <w:t>Groundwater flow paths typically originate in recharge areas (such as topographic highs) and terminate in discharge areas (such as alluvial planes, coastal lakes or as submarine discharge). When groundwater is sampled for environmental tracers at a point located along a flow path, and when the source (i.e., recharge) location is well characterised, the tracer composition of the sample can indicate the time taken to travel from source location to sample location (Bethke et al., 1999; Cook and Bölke, 1999; Taylor et al., 2015). In turn, interpretation of this travel time can provide an estimate of subsurface hydraulic properties, including hydraulic conductivity and aquitard diffusion coefficient (</w:t>
      </w:r>
      <w:r w:rsidR="00C71014">
        <w:rPr>
          <w:color w:val="auto"/>
        </w:rPr>
        <w:fldChar w:fldCharType="begin"/>
      </w:r>
      <w:r w:rsidR="00C71014">
        <w:rPr>
          <w:color w:val="auto"/>
        </w:rPr>
        <w:instrText xml:space="preserve"> REF _Ref445911905 \h </w:instrText>
      </w:r>
      <w:r w:rsidR="00C71014">
        <w:rPr>
          <w:color w:val="auto"/>
        </w:rPr>
      </w:r>
      <w:r w:rsidR="00C71014">
        <w:rPr>
          <w:color w:val="auto"/>
        </w:rPr>
        <w:fldChar w:fldCharType="separate"/>
      </w:r>
      <w:r w:rsidR="00C52E30">
        <w:t xml:space="preserve">Figure </w:t>
      </w:r>
      <w:r w:rsidR="00C52E30">
        <w:rPr>
          <w:noProof/>
        </w:rPr>
        <w:t>26</w:t>
      </w:r>
      <w:r w:rsidR="00C71014">
        <w:rPr>
          <w:color w:val="auto"/>
        </w:rPr>
        <w:fldChar w:fldCharType="end"/>
      </w:r>
      <w:r>
        <w:rPr>
          <w:color w:val="auto"/>
        </w:rPr>
        <w:t xml:space="preserve">). These estimates will be effective properties that are integrated over the entire length of the flow path </w:t>
      </w:r>
      <w:r>
        <w:rPr>
          <w:color w:val="auto"/>
        </w:rPr>
        <w:fldChar w:fldCharType="begin"/>
      </w:r>
      <w:r>
        <w:rPr>
          <w:color w:val="auto"/>
        </w:rPr>
        <w:instrText xml:space="preserve"> ADDIN EN.CITE &lt;EndNote&gt;&lt;Cite&gt;&lt;Author&gt;Castro&lt;/Author&gt;&lt;Year&gt;1998&lt;/Year&gt;&lt;IDText&gt;Noble gases as natural tracers of water circulation in the Paris Basin: 1. Measurements and discussion of their origin and mechanisms of vertical transport in the basin&lt;/IDText&gt;&lt;DisplayText&gt;(Castro et al., 1998b)&lt;/DisplayText&gt;&lt;record&gt;&lt;isbn&gt;1944-7973&lt;/isbn&gt;&lt;titles&gt;&lt;title&gt;Noble gases as natural tracers of water circulation in the Paris Basin: 1. Measurements and discussion of their origin and mechanisms of vertical transport in the basin&lt;/title&gt;&lt;secondary-title&gt;Water Resources Research&lt;/secondary-title&gt;&lt;/titles&gt;&lt;pages&gt;2443-2466&lt;/pages&gt;&lt;number&gt;10&lt;/number&gt;&lt;contributors&gt;&lt;authors&gt;&lt;author&gt;Castro, Maria Clara&lt;/author&gt;&lt;author&gt;Jambon, Albert&lt;/author&gt;&lt;author&gt;Marsily, Ghislain&lt;/author&gt;&lt;author&gt;Schlosser, Peter&lt;/author&gt;&lt;/authors&gt;&lt;/contributors&gt;&lt;added-date format="utc"&gt;1434522872&lt;/added-date&gt;&lt;ref-type name="Journal Article"&gt;17&lt;/ref-type&gt;&lt;dates&gt;&lt;year&gt;1998&lt;/year&gt;&lt;/dates&gt;&lt;rec-number&gt;350&lt;/rec-number&gt;&lt;last-updated-date format="utc"&gt;1434522872&lt;/last-updated-date&gt;&lt;volume&gt;34&lt;/volume&gt;&lt;/record&gt;&lt;/Cite&gt;&lt;/EndNote&gt;</w:instrText>
      </w:r>
      <w:r>
        <w:rPr>
          <w:color w:val="auto"/>
        </w:rPr>
        <w:fldChar w:fldCharType="separate"/>
      </w:r>
      <w:r>
        <w:rPr>
          <w:noProof/>
          <w:color w:val="auto"/>
        </w:rPr>
        <w:t>(Castro et al., 1998b)</w:t>
      </w:r>
      <w:r>
        <w:rPr>
          <w:color w:val="auto"/>
        </w:rPr>
        <w:fldChar w:fldCharType="end"/>
      </w:r>
      <w:r>
        <w:rPr>
          <w:color w:val="auto"/>
        </w:rPr>
        <w:t>. Typical tracers studied for this purpose are the radioactive isotopes of naturally occurring elements (e.g., carbon-14, helium-4 and tritium) and anthropogenically-produced compounds (e.g., sulphur hexafluoride – SF</w:t>
      </w:r>
      <w:r w:rsidRPr="008D467D">
        <w:rPr>
          <w:color w:val="auto"/>
          <w:vertAlign w:val="subscript"/>
        </w:rPr>
        <w:t>6</w:t>
      </w:r>
      <w:r>
        <w:rPr>
          <w:color w:val="auto"/>
        </w:rPr>
        <w:t xml:space="preserve"> – and chlorofluorocarbons – CFC).</w:t>
      </w:r>
    </w:p>
    <w:p w14:paraId="193E5035" w14:textId="77777777" w:rsidR="0002530F" w:rsidRDefault="0002530F" w:rsidP="0002530F">
      <w:pPr>
        <w:pStyle w:val="Body"/>
        <w:keepNext/>
        <w:rPr>
          <w:color w:val="auto"/>
        </w:rPr>
      </w:pPr>
      <w:r>
        <w:rPr>
          <w:noProof/>
          <w:lang w:val="en-AU" w:eastAsia="en-AU"/>
        </w:rPr>
        <w:drawing>
          <wp:inline distT="0" distB="0" distL="0" distR="0" wp14:anchorId="4E1A6B72" wp14:editId="6698DF56">
            <wp:extent cx="5755640" cy="2012200"/>
            <wp:effectExtent l="19050" t="0" r="0" b="0"/>
            <wp:docPr id="5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7"/>
                    <a:srcRect/>
                    <a:stretch>
                      <a:fillRect/>
                    </a:stretch>
                  </pic:blipFill>
                  <pic:spPr bwMode="auto">
                    <a:xfrm>
                      <a:off x="0" y="0"/>
                      <a:ext cx="5755640" cy="2012200"/>
                    </a:xfrm>
                    <a:prstGeom prst="rect">
                      <a:avLst/>
                    </a:prstGeom>
                    <a:noFill/>
                    <a:ln w="9525">
                      <a:noFill/>
                      <a:miter lim="800000"/>
                      <a:headEnd/>
                      <a:tailEnd/>
                    </a:ln>
                  </pic:spPr>
                </pic:pic>
              </a:graphicData>
            </a:graphic>
          </wp:inline>
        </w:drawing>
      </w:r>
    </w:p>
    <w:p w14:paraId="0697C4D8" w14:textId="77777777" w:rsidR="0002530F" w:rsidRDefault="0002530F" w:rsidP="0002530F">
      <w:pPr>
        <w:pStyle w:val="Imagecaption"/>
      </w:pPr>
      <w:bookmarkStart w:id="119" w:name="_Ref445911905"/>
      <w:bookmarkStart w:id="120" w:name="_Toc449696316"/>
      <w:r>
        <w:t xml:space="preserve">Figure </w:t>
      </w:r>
      <w:r>
        <w:fldChar w:fldCharType="begin"/>
      </w:r>
      <w:r>
        <w:instrText xml:space="preserve"> SEQ Figure \* ARABIC </w:instrText>
      </w:r>
      <w:r>
        <w:fldChar w:fldCharType="separate"/>
      </w:r>
      <w:r w:rsidR="00C52E30">
        <w:rPr>
          <w:noProof/>
        </w:rPr>
        <w:t>26</w:t>
      </w:r>
      <w:r>
        <w:fldChar w:fldCharType="end"/>
      </w:r>
      <w:bookmarkEnd w:id="119"/>
      <w:r>
        <w:t>.</w:t>
      </w:r>
      <w:r w:rsidRPr="00082181">
        <w:t xml:space="preserve"> Left: </w:t>
      </w:r>
      <w:r w:rsidRPr="00F1417D">
        <w:t xml:space="preserve">Effect of sandstone hydraulic conductivity on </w:t>
      </w:r>
      <w:r w:rsidRPr="008D467D">
        <w:rPr>
          <w:vertAlign w:val="superscript"/>
        </w:rPr>
        <w:t>4</w:t>
      </w:r>
      <w:r w:rsidRPr="00F1417D">
        <w:t>He concentration at top of J</w:t>
      </w:r>
      <w:r>
        <w:t>urassic</w:t>
      </w:r>
      <w:r w:rsidRPr="00F1417D">
        <w:t xml:space="preserve"> aquifer along a flow line. Bold line shows reference model (conductivity 2 m</w:t>
      </w:r>
      <w:r>
        <w:t>.</w:t>
      </w:r>
      <w:r w:rsidRPr="00F1417D">
        <w:t>d</w:t>
      </w:r>
      <w:r w:rsidRPr="008D467D">
        <w:rPr>
          <w:vertAlign w:val="superscript"/>
        </w:rPr>
        <w:t>-1</w:t>
      </w:r>
      <w:r w:rsidRPr="00F1417D">
        <w:t xml:space="preserve">); fine lines show calculation results for conductivity </w:t>
      </w:r>
      <w:r w:rsidRPr="00F1417D">
        <w:rPr>
          <w:szCs w:val="19"/>
        </w:rPr>
        <w:t>of 0.5 and 10 m</w:t>
      </w:r>
      <w:r>
        <w:rPr>
          <w:szCs w:val="19"/>
        </w:rPr>
        <w:t>.</w:t>
      </w:r>
      <w:r w:rsidRPr="00F1417D">
        <w:rPr>
          <w:szCs w:val="19"/>
        </w:rPr>
        <w:t>d</w:t>
      </w:r>
      <w:r w:rsidRPr="008D467D">
        <w:rPr>
          <w:szCs w:val="19"/>
          <w:vertAlign w:val="superscript"/>
        </w:rPr>
        <w:t>-1</w:t>
      </w:r>
      <w:r w:rsidRPr="00F1417D">
        <w:rPr>
          <w:szCs w:val="19"/>
        </w:rPr>
        <w:t xml:space="preserve">. Right:  </w:t>
      </w:r>
      <w:r w:rsidRPr="00F1417D">
        <w:t xml:space="preserve">Effect of aquitard diffusion coefficient on </w:t>
      </w:r>
      <w:r w:rsidRPr="00F1417D">
        <w:rPr>
          <w:vertAlign w:val="superscript"/>
        </w:rPr>
        <w:t>4</w:t>
      </w:r>
      <w:r w:rsidRPr="00F1417D">
        <w:t>He concentration at top of J</w:t>
      </w:r>
      <w:r>
        <w:t>urassic</w:t>
      </w:r>
      <w:r w:rsidRPr="00F1417D">
        <w:t xml:space="preserve"> aquifer along flow line. Bold lines show reference model (diffusion coefficient 10</w:t>
      </w:r>
      <w:r w:rsidRPr="00F1417D">
        <w:rPr>
          <w:vertAlign w:val="superscript"/>
        </w:rPr>
        <w:t>-6</w:t>
      </w:r>
      <w:r w:rsidRPr="00F1417D">
        <w:t xml:space="preserve"> cm</w:t>
      </w:r>
      <w:r w:rsidRPr="00F1417D">
        <w:rPr>
          <w:vertAlign w:val="superscript"/>
        </w:rPr>
        <w:t>2</w:t>
      </w:r>
      <w:r>
        <w:t>.</w:t>
      </w:r>
      <w:r w:rsidRPr="00F1417D">
        <w:t>s</w:t>
      </w:r>
      <w:r w:rsidRPr="008D467D">
        <w:rPr>
          <w:vertAlign w:val="superscript"/>
        </w:rPr>
        <w:t>-1</w:t>
      </w:r>
      <w:r w:rsidRPr="00F1417D">
        <w:t xml:space="preserve">); fine lines show calculation results for </w:t>
      </w:r>
      <w:r w:rsidRPr="00F1417D">
        <w:rPr>
          <w:szCs w:val="19"/>
        </w:rPr>
        <w:t>coefficient of 0.1x10</w:t>
      </w:r>
      <w:r w:rsidRPr="00F1417D">
        <w:rPr>
          <w:szCs w:val="19"/>
          <w:vertAlign w:val="superscript"/>
        </w:rPr>
        <w:t>-6</w:t>
      </w:r>
      <w:r w:rsidRPr="00F1417D">
        <w:rPr>
          <w:szCs w:val="19"/>
        </w:rPr>
        <w:t>, 3x10</w:t>
      </w:r>
      <w:r w:rsidRPr="00F1417D">
        <w:rPr>
          <w:szCs w:val="19"/>
          <w:vertAlign w:val="superscript"/>
        </w:rPr>
        <w:t>-6</w:t>
      </w:r>
      <w:r w:rsidRPr="00F1417D">
        <w:rPr>
          <w:szCs w:val="19"/>
        </w:rPr>
        <w:t>, and 10x10</w:t>
      </w:r>
      <w:r w:rsidRPr="00F1417D">
        <w:rPr>
          <w:szCs w:val="19"/>
          <w:vertAlign w:val="superscript"/>
        </w:rPr>
        <w:t>-6</w:t>
      </w:r>
      <w:r w:rsidRPr="00F1417D">
        <w:rPr>
          <w:szCs w:val="19"/>
        </w:rPr>
        <w:t xml:space="preserve"> cm</w:t>
      </w:r>
      <w:r w:rsidRPr="00F1417D">
        <w:rPr>
          <w:szCs w:val="19"/>
          <w:vertAlign w:val="superscript"/>
        </w:rPr>
        <w:t>2</w:t>
      </w:r>
      <w:r>
        <w:rPr>
          <w:szCs w:val="19"/>
        </w:rPr>
        <w:t>.</w:t>
      </w:r>
      <w:r w:rsidRPr="00F1417D">
        <w:rPr>
          <w:szCs w:val="19"/>
        </w:rPr>
        <w:t>s</w:t>
      </w:r>
      <w:r w:rsidRPr="008D467D">
        <w:rPr>
          <w:szCs w:val="19"/>
          <w:vertAlign w:val="superscript"/>
        </w:rPr>
        <w:t>-1</w:t>
      </w:r>
      <w:r w:rsidRPr="00F1417D">
        <w:rPr>
          <w:szCs w:val="19"/>
        </w:rPr>
        <w:t xml:space="preserve"> </w:t>
      </w:r>
      <w:r>
        <w:rPr>
          <w:szCs w:val="19"/>
        </w:rPr>
        <w:fldChar w:fldCharType="begin"/>
      </w:r>
      <w:r>
        <w:rPr>
          <w:szCs w:val="19"/>
        </w:rPr>
        <w:instrText xml:space="preserve"> ADDIN EN.CITE &lt;EndNote&gt;&lt;Cite&gt;&lt;Author&gt;Bethke&lt;/Author&gt;&lt;Year&gt;1999&lt;/Year&gt;&lt;IDText&gt;Groundwater flow and the 4He distribution in the Great Artesian Basin of Australia&lt;/IDText&gt;&lt;DisplayText&gt;(Bethke et al., 1999)&lt;/DisplayText&gt;&lt;record&gt;&lt;urls&gt;&lt;related-urls&gt;&lt;url&gt;http://dx.doi.org/10.1029/1999JB900085&lt;/url&gt;&lt;/related-urls&gt;&lt;/urls&gt;&lt;isbn&gt;0148-0227&lt;/isbn&gt;&lt;titles&gt;&lt;title&gt;Groundwater flow and the 4He distribution in the Great Artesian Basin of Australia&lt;/title&gt;&lt;secondary-title&gt;J. Geophys. Res.&lt;/secondary-title&gt;&lt;/titles&gt;&lt;pages&gt;12999-13011&lt;/pages&gt;&lt;number&gt;B6&lt;/number&gt;&lt;contributors&gt;&lt;authors&gt;&lt;author&gt;Bethke, Craig M.&lt;/author&gt;&lt;author&gt;Zhao, Xiang&lt;/author&gt;&lt;author&gt;Torgersen, Thomas&lt;/author&gt;&lt;/authors&gt;&lt;/contributors&gt;&lt;added-date format="utc"&gt;1384393641&lt;/added-date&gt;&lt;ref-type name="Journal Article"&gt;17&lt;/ref-type&gt;&lt;dates&gt;&lt;year&gt;1999&lt;/year&gt;&lt;/dates&gt;&lt;rec-number&gt;26&lt;/rec-number&gt;&lt;last-updated-date format="utc"&gt;1384393641&lt;/last-updated-date&gt;&lt;label&gt;Bethke1999&lt;/label&gt;&lt;volume&gt;104&lt;/volume&gt;&lt;/record&gt;&lt;/Cite&gt;&lt;/EndNote&gt;</w:instrText>
      </w:r>
      <w:r>
        <w:rPr>
          <w:szCs w:val="19"/>
        </w:rPr>
        <w:fldChar w:fldCharType="separate"/>
      </w:r>
      <w:r>
        <w:rPr>
          <w:noProof/>
          <w:szCs w:val="19"/>
        </w:rPr>
        <w:t>(Bethke et al., 1999)</w:t>
      </w:r>
      <w:r>
        <w:rPr>
          <w:szCs w:val="19"/>
        </w:rPr>
        <w:fldChar w:fldCharType="end"/>
      </w:r>
      <w:r w:rsidRPr="00F1417D">
        <w:rPr>
          <w:szCs w:val="19"/>
        </w:rPr>
        <w:t>.</w:t>
      </w:r>
      <w:bookmarkEnd w:id="120"/>
    </w:p>
    <w:p w14:paraId="1F077131" w14:textId="200A6EE4" w:rsidR="0002530F" w:rsidRDefault="0002530F" w:rsidP="0002530F">
      <w:pPr>
        <w:pStyle w:val="Body"/>
      </w:pPr>
      <w:r>
        <w:t>Some geological formations, however, have favourable characteristics (relatively homogeneous clay content, plastic clay, absence of fractures and faults) that produce a much less pronounced scale effect of hydraulic conductivity. For instance, h</w:t>
      </w:r>
      <w:r w:rsidRPr="00C00DCC">
        <w:t xml:space="preserve">ydraulic conductivities of </w:t>
      </w:r>
      <w:r>
        <w:t xml:space="preserve">a plastic clay near </w:t>
      </w:r>
      <w:r w:rsidRPr="00C00DCC">
        <w:t>Boom</w:t>
      </w:r>
      <w:r>
        <w:t xml:space="preserve">, </w:t>
      </w:r>
      <w:r w:rsidRPr="00C00DCC">
        <w:t>Belgium</w:t>
      </w:r>
      <w:r>
        <w:t>,</w:t>
      </w:r>
      <w:r w:rsidRPr="00C00DCC">
        <w:t xml:space="preserve"> measured through various testing techniques in the laboratory</w:t>
      </w:r>
      <w:r>
        <w:t xml:space="preserve"> (i.e., </w:t>
      </w:r>
      <w:r w:rsidRPr="00C00DCC">
        <w:t>tracer percolation experiments, constant head permeameter experiments and isostatic experiments</w:t>
      </w:r>
      <w:r>
        <w:t>)</w:t>
      </w:r>
      <w:r w:rsidRPr="00C00DCC">
        <w:t xml:space="preserve"> exhibit similar </w:t>
      </w:r>
      <w:r w:rsidRPr="00D14CA1">
        <w:rPr>
          <w:rFonts w:cs="AdvTT94c8263f.I"/>
          <w:i/>
        </w:rPr>
        <w:t xml:space="preserve">K </w:t>
      </w:r>
      <w:r w:rsidRPr="00C00DCC">
        <w:t>values in the order of 10</w:t>
      </w:r>
      <w:r w:rsidRPr="00F76FA2">
        <w:rPr>
          <w:rFonts w:eastAsia="AdvTT5235d5a9+22" w:cs="AdvTT5235d5a9+22"/>
          <w:vertAlign w:val="superscript"/>
        </w:rPr>
        <w:t>−</w:t>
      </w:r>
      <w:r w:rsidRPr="00F76FA2">
        <w:rPr>
          <w:vertAlign w:val="superscript"/>
        </w:rPr>
        <w:t>12</w:t>
      </w:r>
      <w:r w:rsidRPr="00C00DCC">
        <w:t xml:space="preserve"> m</w:t>
      </w:r>
      <w:r>
        <w:t>.</w:t>
      </w:r>
      <w:r w:rsidRPr="00C00DCC">
        <w:t>s</w:t>
      </w:r>
      <w:r w:rsidRPr="00D14CA1">
        <w:rPr>
          <w:vertAlign w:val="superscript"/>
        </w:rPr>
        <w:t>-1</w:t>
      </w:r>
      <w:r w:rsidRPr="00C00DCC">
        <w:t xml:space="preserve"> </w:t>
      </w:r>
      <w:r>
        <w:fldChar w:fldCharType="begin"/>
      </w:r>
      <w:r>
        <w:instrText xml:space="preserve"> ADDIN EN.CITE &lt;EndNote&gt;&lt;Cite&gt;&lt;Author&gt;Yu&lt;/Author&gt;&lt;Year&gt;2013&lt;/Year&gt;&lt;IDText&gt;A critical review of laboratory and in-situ hydraulic conductivity measurements for the Boom Clay in Belgium&lt;/IDText&gt;&lt;DisplayText&gt;(Yu et al., 2013)&lt;/DisplayText&gt;&lt;record&gt;&lt;isbn&gt;0169-1317&lt;/isbn&gt;&lt;titles&gt;&lt;title&gt;A critical review of laboratory and in-situ hydraulic conductivity measurements for the Boom Clay in Belgium&lt;/title&gt;&lt;secondary-title&gt;Applied Clay Science&lt;/secondary-title&gt;&lt;/titles&gt;&lt;pages&gt;1-12&lt;/pages&gt;&lt;contributors&gt;&lt;authors&gt;&lt;author&gt;Yu, Li&lt;/author&gt;&lt;author&gt;Rogiers, Bart&lt;/author&gt;&lt;author&gt;Gedeon, Matej&lt;/author&gt;&lt;author&gt;Marivoet, Jan&lt;/author&gt;&lt;author&gt;De Craen, Mieke&lt;/author&gt;&lt;author&gt;Mallants, Dirk&lt;/author&gt;&lt;/authors&gt;&lt;/contributors&gt;&lt;added-date format="utc"&gt;1434589716&lt;/added-date&gt;&lt;ref-type name="Journal Article"&gt;17&lt;/ref-type&gt;&lt;dates&gt;&lt;year&gt;2013&lt;/year&gt;&lt;/dates&gt;&lt;rec-number&gt;353&lt;/rec-number&gt;&lt;last-updated-date format="utc"&gt;1434589716&lt;/last-updated-date&gt;&lt;volume&gt;75&lt;/volume&gt;&lt;/record&gt;&lt;/Cite&gt;&lt;/EndNote&gt;</w:instrText>
      </w:r>
      <w:r>
        <w:fldChar w:fldCharType="separate"/>
      </w:r>
      <w:r>
        <w:rPr>
          <w:noProof/>
        </w:rPr>
        <w:t>(Yu et al., 2013)</w:t>
      </w:r>
      <w:r>
        <w:fldChar w:fldCharType="end"/>
      </w:r>
      <w:r w:rsidRPr="00C00DCC">
        <w:t xml:space="preserve">. In situ measurements obtained from both several-centimetre long piezometer </w:t>
      </w:r>
      <w:r w:rsidRPr="00C00DCC">
        <w:rPr>
          <w:rFonts w:cs="AdvTT5235d5a9+fb"/>
        </w:rPr>
        <w:t>fi</w:t>
      </w:r>
      <w:r w:rsidRPr="00C00DCC">
        <w:t xml:space="preserve">lters and percolation into a 7-metre long gallery and 21-metre long shaft at the HADES underground research facility yield </w:t>
      </w:r>
      <w:r w:rsidRPr="00D14CA1">
        <w:rPr>
          <w:rFonts w:cs="AdvTT94c8263f.I"/>
          <w:i/>
        </w:rPr>
        <w:t>K</w:t>
      </w:r>
      <w:r w:rsidRPr="00C00DCC">
        <w:rPr>
          <w:rFonts w:cs="AdvTT94c8263f.I"/>
        </w:rPr>
        <w:t xml:space="preserve"> </w:t>
      </w:r>
      <w:r w:rsidRPr="00C00DCC">
        <w:t xml:space="preserve">values that are very similar to values measured in the laboratory on samples of a few centimetres. </w:t>
      </w:r>
      <w:r>
        <w:t xml:space="preserve">A model-based analysis of profiles of the environmental tracer helium-4 measured across the Boom Clay aquitard revealed similarly low </w:t>
      </w:r>
      <w:r w:rsidRPr="00E00C19">
        <w:rPr>
          <w:i/>
        </w:rPr>
        <w:t>K</w:t>
      </w:r>
      <w:r>
        <w:t xml:space="preserve"> values (on the order of 10</w:t>
      </w:r>
      <w:r w:rsidRPr="00E00C19">
        <w:rPr>
          <w:vertAlign w:val="superscript"/>
        </w:rPr>
        <w:t>-12</w:t>
      </w:r>
      <w:r>
        <w:t xml:space="preserve"> m.s</w:t>
      </w:r>
      <w:r w:rsidRPr="00E00C19">
        <w:rPr>
          <w:vertAlign w:val="superscript"/>
        </w:rPr>
        <w:t>-1</w:t>
      </w:r>
      <w:r>
        <w:t xml:space="preserve">). </w:t>
      </w:r>
      <w:r w:rsidRPr="00C00DCC">
        <w:t xml:space="preserve">This indicates that the </w:t>
      </w:r>
      <w:r w:rsidRPr="00D14CA1">
        <w:rPr>
          <w:rFonts w:cs="AdvTT94c8263f.I"/>
          <w:i/>
        </w:rPr>
        <w:t>K</w:t>
      </w:r>
      <w:r w:rsidRPr="00C00DCC">
        <w:rPr>
          <w:rFonts w:cs="AdvTT94c8263f.I"/>
        </w:rPr>
        <w:t xml:space="preserve"> </w:t>
      </w:r>
      <w:r>
        <w:t>measurements for the B</w:t>
      </w:r>
      <w:r w:rsidRPr="00C00DCC">
        <w:t xml:space="preserve">oom Clay </w:t>
      </w:r>
      <w:r>
        <w:t xml:space="preserve">Formation </w:t>
      </w:r>
      <w:r w:rsidRPr="00C00DCC">
        <w:t xml:space="preserve">obtained through various </w:t>
      </w:r>
      <w:r>
        <w:t xml:space="preserve">techniques across a range of scales are very consistent </w:t>
      </w:r>
      <w:r w:rsidRPr="00C00DCC">
        <w:t>(</w:t>
      </w:r>
      <w:r w:rsidR="00C71014">
        <w:fldChar w:fldCharType="begin"/>
      </w:r>
      <w:r w:rsidR="00C71014">
        <w:instrText xml:space="preserve"> REF _Ref445911937 \h </w:instrText>
      </w:r>
      <w:r w:rsidR="00C71014">
        <w:fldChar w:fldCharType="separate"/>
      </w:r>
      <w:r w:rsidR="00C52E30">
        <w:t xml:space="preserve">Figure </w:t>
      </w:r>
      <w:r w:rsidR="00C52E30">
        <w:rPr>
          <w:noProof/>
        </w:rPr>
        <w:t>27</w:t>
      </w:r>
      <w:r w:rsidR="00C71014">
        <w:fldChar w:fldCharType="end"/>
      </w:r>
      <w:r>
        <w:t xml:space="preserve">). Note that the Boom clay features </w:t>
      </w:r>
      <w:r w:rsidRPr="002368E0">
        <w:t xml:space="preserve">hardly any secondary porosity </w:t>
      </w:r>
      <w:r>
        <w:t xml:space="preserve">and is </w:t>
      </w:r>
      <w:r w:rsidRPr="002368E0">
        <w:t>fairly homogeneous</w:t>
      </w:r>
      <w:r>
        <w:t>.</w:t>
      </w:r>
      <w:r w:rsidRPr="002368E0">
        <w:t xml:space="preserve"> </w:t>
      </w:r>
    </w:p>
    <w:p w14:paraId="7B8E36D8" w14:textId="77777777" w:rsidR="0002530F" w:rsidRDefault="0002530F" w:rsidP="0002530F">
      <w:pPr>
        <w:pStyle w:val="Body"/>
      </w:pPr>
    </w:p>
    <w:p w14:paraId="19DAF8B4" w14:textId="77777777" w:rsidR="0002530F" w:rsidRPr="00C00DCC" w:rsidRDefault="0002530F" w:rsidP="0002530F">
      <w:pPr>
        <w:pStyle w:val="Body"/>
        <w:keepNext/>
        <w:jc w:val="center"/>
      </w:pPr>
      <w:r w:rsidRPr="00C00DCC">
        <w:rPr>
          <w:noProof/>
          <w:lang w:val="en-AU" w:eastAsia="en-AU"/>
        </w:rPr>
        <w:drawing>
          <wp:inline distT="0" distB="0" distL="0" distR="0" wp14:anchorId="11BCC7CD" wp14:editId="1249C9FC">
            <wp:extent cx="5755640" cy="3640244"/>
            <wp:effectExtent l="19050" t="0" r="0" b="0"/>
            <wp:docPr id="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srcRect/>
                    <a:stretch>
                      <a:fillRect/>
                    </a:stretch>
                  </pic:blipFill>
                  <pic:spPr bwMode="auto">
                    <a:xfrm>
                      <a:off x="0" y="0"/>
                      <a:ext cx="5755640" cy="3640244"/>
                    </a:xfrm>
                    <a:prstGeom prst="rect">
                      <a:avLst/>
                    </a:prstGeom>
                    <a:noFill/>
                    <a:ln w="9525">
                      <a:noFill/>
                      <a:miter lim="800000"/>
                      <a:headEnd/>
                      <a:tailEnd/>
                    </a:ln>
                  </pic:spPr>
                </pic:pic>
              </a:graphicData>
            </a:graphic>
          </wp:inline>
        </w:drawing>
      </w:r>
    </w:p>
    <w:p w14:paraId="0083CB2A" w14:textId="77777777" w:rsidR="0002530F" w:rsidRDefault="0002530F" w:rsidP="0002530F">
      <w:pPr>
        <w:pStyle w:val="Imagecaption"/>
      </w:pPr>
      <w:bookmarkStart w:id="121" w:name="_Ref445911937"/>
      <w:bookmarkStart w:id="122" w:name="_Toc449696317"/>
      <w:r>
        <w:t xml:space="preserve">Figure </w:t>
      </w:r>
      <w:r>
        <w:fldChar w:fldCharType="begin"/>
      </w:r>
      <w:r>
        <w:instrText xml:space="preserve"> SEQ Figure \* ARABIC </w:instrText>
      </w:r>
      <w:r>
        <w:fldChar w:fldCharType="separate"/>
      </w:r>
      <w:r w:rsidR="00C52E30">
        <w:rPr>
          <w:noProof/>
        </w:rPr>
        <w:t>27</w:t>
      </w:r>
      <w:r>
        <w:rPr>
          <w:noProof/>
        </w:rPr>
        <w:fldChar w:fldCharType="end"/>
      </w:r>
      <w:bookmarkEnd w:id="121"/>
      <w:r>
        <w:t xml:space="preserve">. </w:t>
      </w:r>
      <w:r w:rsidRPr="00C00DCC">
        <w:t>Overview of hydraulic conductivity values (m/s) for the Boom Clay aquitard (Putte and Terhagen Members at the Mol site). Vertical bars represent the 95% confidence interval</w:t>
      </w:r>
      <w:r>
        <w:t xml:space="preserve"> </w:t>
      </w:r>
      <w:r>
        <w:fldChar w:fldCharType="begin"/>
      </w:r>
      <w:r>
        <w:instrText xml:space="preserve"> ADDIN EN.CITE &lt;EndNote&gt;&lt;Cite&gt;&lt;Author&gt;Yu&lt;/Author&gt;&lt;Year&gt;2013&lt;/Year&gt;&lt;IDText&gt;A critical review of laboratory and in-situ hydraulic conductivity measurements for the Boom Clay in Belgium&lt;/IDText&gt;&lt;DisplayText&gt;(Yu et al., 2013)&lt;/DisplayText&gt;&lt;record&gt;&lt;isbn&gt;0169-1317&lt;/isbn&gt;&lt;titles&gt;&lt;title&gt;A critical review of laboratory and in-situ hydraulic conductivity measurements for the Boom Clay in Belgium&lt;/title&gt;&lt;secondary-title&gt;Applied Clay Science&lt;/secondary-title&gt;&lt;/titles&gt;&lt;pages&gt;1-12&lt;/pages&gt;&lt;contributors&gt;&lt;authors&gt;&lt;author&gt;Yu, Li&lt;/author&gt;&lt;author&gt;Rogiers, Bart&lt;/author&gt;&lt;author&gt;Gedeon, Matej&lt;/author&gt;&lt;author&gt;Marivoet, Jan&lt;/author&gt;&lt;author&gt;De Craen, Mieke&lt;/author&gt;&lt;author&gt;Mallants, Dirk&lt;/author&gt;&lt;/authors&gt;&lt;/contributors&gt;&lt;added-date format="utc"&gt;1434589716&lt;/added-date&gt;&lt;ref-type name="Journal Article"&gt;17&lt;/ref-type&gt;&lt;dates&gt;&lt;year&gt;2013&lt;/year&gt;&lt;/dates&gt;&lt;rec-number&gt;353&lt;/rec-number&gt;&lt;last-updated-date format="utc"&gt;1434589716&lt;/last-updated-date&gt;&lt;volume&gt;75&lt;/volume&gt;&lt;/record&gt;&lt;/Cite&gt;&lt;/EndNote&gt;</w:instrText>
      </w:r>
      <w:r>
        <w:fldChar w:fldCharType="separate"/>
      </w:r>
      <w:r>
        <w:rPr>
          <w:noProof/>
        </w:rPr>
        <w:t>(Yu et al., 2013)</w:t>
      </w:r>
      <w:r>
        <w:fldChar w:fldCharType="end"/>
      </w:r>
      <w:r>
        <w:t>.</w:t>
      </w:r>
      <w:bookmarkEnd w:id="122"/>
    </w:p>
    <w:p w14:paraId="5B15BF75" w14:textId="77777777" w:rsidR="0002530F" w:rsidRDefault="0002530F" w:rsidP="0002530F">
      <w:pPr>
        <w:pStyle w:val="Body"/>
      </w:pPr>
    </w:p>
    <w:p w14:paraId="5DE590AB" w14:textId="5F569778" w:rsidR="00D07360" w:rsidRDefault="0002530F" w:rsidP="0002530F">
      <w:pPr>
        <w:pStyle w:val="Body"/>
      </w:pPr>
      <w:r w:rsidRPr="00E975A6">
        <w:t xml:space="preserve">In addition to tracer-based estimates of hydraulic properties, inverse modelling based on hydraulic head observations is </w:t>
      </w:r>
      <w:r>
        <w:t>often</w:t>
      </w:r>
      <w:r w:rsidRPr="00E975A6">
        <w:t xml:space="preserve"> used to estimate values appropriate at regional scales. The conceptual basis for deriving hydraulic properties in this manner is similar to that used for tracer interpretation; i.e., it is assumed that the locations of boundary conditions are well-known and their properties well-characterised. Model outputs of state variables (i.e., hydraulic heads) are then matched to observations by iteratively adjusting model parameters. The metric used to quantify the degree of fit is typically the sum of squared residuals, each of which </w:t>
      </w:r>
      <w:r>
        <w:t xml:space="preserve">can be </w:t>
      </w:r>
      <w:r w:rsidRPr="00E975A6">
        <w:t xml:space="preserve">weighted by the inverse of the measurement </w:t>
      </w:r>
      <w:r>
        <w:t xml:space="preserve">uncertainty </w:t>
      </w:r>
      <w:r w:rsidRPr="00E975A6">
        <w:t>associated with the relevant observation.</w:t>
      </w:r>
      <w:r>
        <w:t xml:space="preserve"> </w:t>
      </w:r>
      <w:r w:rsidRPr="00E975A6">
        <w:t xml:space="preserve">For many numerical groundwater flow models, the number of model parameters will exceed the number of observations used for calibration; this is </w:t>
      </w:r>
      <w:r>
        <w:t xml:space="preserve">a </w:t>
      </w:r>
      <w:r w:rsidRPr="00E975A6">
        <w:t xml:space="preserve">condition known variously as model ill-posedness </w:t>
      </w:r>
      <w:r>
        <w:fldChar w:fldCharType="begin"/>
      </w:r>
      <w:r>
        <w:instrText xml:space="preserve"> ADDIN EN.CITE &lt;EndNote&gt;&lt;Cite&gt;&lt;Author&gt;Hadamard&lt;/Author&gt;&lt;Year&gt;1902&lt;/Year&gt;&lt;IDText&gt;Sur les problèmes aux dérivées partielles et leur signification physique&lt;/IDText&gt;&lt;DisplayText&gt;(Hadamard, 1902)&lt;/DisplayText&gt;&lt;record&gt;&lt;titles&gt;&lt;title&gt;Sur les problèmes aux dérivées partielles et leur signification physique&lt;/title&gt;&lt;secondary-title&gt;Princeton University Bulletin&lt;/secondary-title&gt;&lt;/titles&gt;&lt;pages&gt;28&lt;/pages&gt;&lt;number&gt;49-52&lt;/number&gt;&lt;contributors&gt;&lt;authors&gt;&lt;author&gt;Hadamard, Jacques&lt;/author&gt;&lt;/authors&gt;&lt;/contributors&gt;&lt;added-date format="utc"&gt;1440735538&lt;/added-date&gt;&lt;ref-type name="Journal Article"&gt;17&lt;/ref-type&gt;&lt;dates&gt;&lt;year&gt;1902&lt;/year&gt;&lt;/dates&gt;&lt;rec-number&gt;1235&lt;/rec-number&gt;&lt;last-updated-date format="utc"&gt;1440735538&lt;/last-updated-date&gt;&lt;volume&gt;13&lt;/volume&gt;&lt;/record&gt;&lt;/Cite&gt;&lt;/EndNote&gt;</w:instrText>
      </w:r>
      <w:r>
        <w:fldChar w:fldCharType="separate"/>
      </w:r>
      <w:r>
        <w:rPr>
          <w:noProof/>
        </w:rPr>
        <w:t>(Hadamard, 1902)</w:t>
      </w:r>
      <w:r>
        <w:fldChar w:fldCharType="end"/>
      </w:r>
      <w:r w:rsidRPr="00E975A6">
        <w:t xml:space="preserve">, non-uniqueness </w:t>
      </w:r>
      <w:r>
        <w:fldChar w:fldCharType="begin"/>
      </w:r>
      <w:r>
        <w:instrText xml:space="preserve"> ADDIN EN.CITE &lt;EndNote&gt;&lt;Cite&gt;&lt;Author&gt;Refsgaard&lt;/Author&gt;&lt;Year&gt;2004&lt;/Year&gt;&lt;IDText&gt;Modelling guidelines––terminology and guiding principles&lt;/IDText&gt;&lt;DisplayText&gt;(Refsgaard and Henriksen, 2004)&lt;/DisplayText&gt;&lt;record&gt;&lt;isbn&gt;0309-1708&lt;/isbn&gt;&lt;titles&gt;&lt;title&gt;Modelling guidelines––terminology and guiding principles&lt;/title&gt;&lt;secondary-title&gt;Advances in Water Resources&lt;/secondary-title&gt;&lt;/titles&gt;&lt;pages&gt;71-82&lt;/pages&gt;&lt;number&gt;1&lt;/number&gt;&lt;contributors&gt;&lt;authors&gt;&lt;author&gt;Refsgaard, Jens Christian&lt;/author&gt;&lt;author&gt;Henriksen, Hans Jørgen&lt;/author&gt;&lt;/authors&gt;&lt;/contributors&gt;&lt;added-date format="utc"&gt;1440735641&lt;/added-date&gt;&lt;ref-type name="Journal Article"&gt;17&lt;/ref-type&gt;&lt;dates&gt;&lt;year&gt;2004&lt;/year&gt;&lt;/dates&gt;&lt;rec-number&gt;1236&lt;/rec-number&gt;&lt;last-updated-date format="utc"&gt;1440735641&lt;/last-updated-date&gt;&lt;volume&gt;27&lt;/volume&gt;&lt;/record&gt;&lt;/Cite&gt;&lt;/EndNote&gt;</w:instrText>
      </w:r>
      <w:r>
        <w:fldChar w:fldCharType="separate"/>
      </w:r>
      <w:r>
        <w:rPr>
          <w:noProof/>
        </w:rPr>
        <w:t>(Refsgaard and Henriksen, 2004)</w:t>
      </w:r>
      <w:r>
        <w:fldChar w:fldCharType="end"/>
      </w:r>
      <w:r w:rsidRPr="00E975A6">
        <w:t xml:space="preserve">, or equifinality </w:t>
      </w:r>
      <w:r>
        <w:fldChar w:fldCharType="begin"/>
      </w:r>
      <w:r>
        <w:instrText xml:space="preserve"> ADDIN EN.CITE &lt;EndNote&gt;&lt;Cite&gt;&lt;Author&gt;Beven&lt;/Author&gt;&lt;Year&gt;2006&lt;/Year&gt;&lt;IDText&gt;A manifesto for the equifinality thesis&lt;/IDText&gt;&lt;DisplayText&gt;(Beven, 2006)&lt;/DisplayText&gt;&lt;record&gt;&lt;isbn&gt;0022-1694&lt;/isbn&gt;&lt;titles&gt;&lt;title&gt;A manifesto for the equifinality thesis&lt;/title&gt;&lt;secondary-title&gt;Journal of hydrology&lt;/secondary-title&gt;&lt;/titles&gt;&lt;pages&gt;18-36&lt;/pages&gt;&lt;number&gt;1&lt;/number&gt;&lt;contributors&gt;&lt;authors&gt;&lt;author&gt;Beven, Keith&lt;/author&gt;&lt;/authors&gt;&lt;/contributors&gt;&lt;added-date format="utc"&gt;1440735411&lt;/added-date&gt;&lt;ref-type name="Journal Article"&gt;17&lt;/ref-type&gt;&lt;dates&gt;&lt;year&gt;2006&lt;/year&gt;&lt;/dates&gt;&lt;rec-number&gt;1234&lt;/rec-number&gt;&lt;last-updated-date format="utc"&gt;1440735411&lt;/last-updated-date&gt;&lt;volume&gt;320&lt;/volume&gt;&lt;/record&gt;&lt;/Cite&gt;&lt;/EndNote&gt;</w:instrText>
      </w:r>
      <w:r>
        <w:fldChar w:fldCharType="separate"/>
      </w:r>
      <w:r>
        <w:rPr>
          <w:noProof/>
        </w:rPr>
        <w:t>(Beven, 2006)</w:t>
      </w:r>
      <w:r>
        <w:fldChar w:fldCharType="end"/>
      </w:r>
      <w:r w:rsidRPr="00E975A6">
        <w:t>. A</w:t>
      </w:r>
      <w:r>
        <w:t>s a</w:t>
      </w:r>
      <w:r w:rsidRPr="00E975A6">
        <w:t xml:space="preserve"> result of model ill-posedness, many parameter sets will each produce an equally well calibrated </w:t>
      </w:r>
      <w:r>
        <w:t xml:space="preserve">or equally probable </w:t>
      </w:r>
      <w:r w:rsidRPr="00E975A6">
        <w:t xml:space="preserve">model. In the </w:t>
      </w:r>
      <w:r>
        <w:t>context of regional scale groundwater flow modelling</w:t>
      </w:r>
      <w:r w:rsidRPr="00E975A6">
        <w:t xml:space="preserve">, parameter value uncertainty is </w:t>
      </w:r>
      <w:r>
        <w:t>often</w:t>
      </w:r>
      <w:r w:rsidRPr="00E975A6">
        <w:t xml:space="preserve"> </w:t>
      </w:r>
      <w:r>
        <w:t xml:space="preserve">dominated by </w:t>
      </w:r>
      <w:r w:rsidRPr="00E975A6">
        <w:t xml:space="preserve">poorly constrained boundary conditions. In such cases, unphysical model parameter values may be estimated which compensate for the </w:t>
      </w:r>
      <w:r w:rsidRPr="00F05A84">
        <w:t>absence or mis-specification of boundary conditions (Doherty and Christensen</w:t>
      </w:r>
      <w:r>
        <w:t>,</w:t>
      </w:r>
      <w:r w:rsidRPr="00F05A84">
        <w:t xml:space="preserve"> 2011). </w:t>
      </w:r>
      <w:r w:rsidR="00D07360">
        <w:t xml:space="preserve">In the context of simulating CSG groundwater impacts, global inversion-based upscaling was undertaken with single phase models where hydraulic conductivities in three directions in all upscaled model cells were estimated (Moore et al., 2013). Although the inversion based upscaling performed much better than analytical upscaling methods, a perfect replication of both near-well and far-field drawdown could not be obtained at the same time. Furthermore, these authors highlight that </w:t>
      </w:r>
      <w:r w:rsidR="006477D8">
        <w:t xml:space="preserve">the inversion “forces” the upscaled parameters to </w:t>
      </w:r>
      <w:r w:rsidR="00D07360">
        <w:t xml:space="preserve">take on surrogate roles that compensate for dual phase and other local processes </w:t>
      </w:r>
      <w:r w:rsidR="006477D8">
        <w:t>not represented in the model.</w:t>
      </w:r>
    </w:p>
    <w:p w14:paraId="6C5EC3FE" w14:textId="004C9136" w:rsidR="0002530F" w:rsidRPr="00C00DCC" w:rsidRDefault="0002530F" w:rsidP="0002530F">
      <w:pPr>
        <w:pStyle w:val="Body"/>
        <w:rPr>
          <w:rFonts w:cstheme="minorBidi"/>
          <w:lang w:val="en-US"/>
        </w:rPr>
      </w:pPr>
      <w:r w:rsidRPr="00E975A6">
        <w:t xml:space="preserve">In addition to the use of hydraulic head observations alone, environmental tracer observations may also be used to constrain inverse modelling-based estimates of hydraulic properties.  </w:t>
      </w:r>
      <w:r>
        <w:t xml:space="preserve">Tracer observations can be related to lateral rates of groundwater flow either through analytical (i.e., convolution-based) models, or through numerical solute transport modelling </w:t>
      </w:r>
      <w:r>
        <w:fldChar w:fldCharType="begin">
          <w:fldData xml:space="preserve">PEVuZE5vdGU+PENpdGU+PEF1dGhvcj5UdXJuYWRnZTwvQXV0aG9yPjxZZWFyPjIwMTQ8L1llYXI+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</w:fldData>
        </w:fldChar>
      </w:r>
      <w:r>
        <w:instrText xml:space="preserve"> ADDIN EN.CITE </w:instrText>
      </w:r>
      <w:r>
        <w:fldChar w:fldCharType="begin">
          <w:fldData xml:space="preserve">PEVuZE5vdGU+PENpdGU+PEF1dGhvcj5UdXJuYWRnZTwvQXV0aG9yPjxZZWFyPjIwMTQ8L1llYXI+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</w:fldData>
        </w:fldChar>
      </w:r>
      <w:r>
        <w:instrText xml:space="preserve"> ADDIN EN.CITE.DATA </w:instrText>
      </w:r>
      <w:r>
        <w:fldChar w:fldCharType="end"/>
      </w:r>
      <w:r>
        <w:fldChar w:fldCharType="separate"/>
      </w:r>
      <w:r>
        <w:rPr>
          <w:noProof/>
        </w:rPr>
        <w:t>(Turnadge and Smerdon, 2014)</w:t>
      </w:r>
      <w:r>
        <w:fldChar w:fldCharType="end"/>
      </w:r>
      <w:r>
        <w:t xml:space="preserve">. Example applications are available from Castro et al. </w:t>
      </w:r>
      <w:r>
        <w:fldChar w:fldCharType="begin"/>
      </w:r>
      <w:r>
        <w:instrText xml:space="preserve"> ADDIN EN.CITE &lt;EndNote&gt;&lt;Cite ExcludeAuth="1"&gt;&lt;Author&gt;Castro&lt;/Author&gt;&lt;Year&gt;1998&lt;/Year&gt;&lt;IDText&gt;Noble gases as natural tracers of water circulation in the Paris Basin: 2. Calibration of a groundwater flow model using noble gas isotope data&lt;/IDText&gt;&lt;DisplayText&gt;(1998a)&lt;/DisplayText&gt;&lt;record&gt;&lt;titles&gt;&lt;title&gt;Noble gases as natural tracers of water circulation in the Paris Basin: 2. Calibration of a groundwater flow model using noble gas isotope data&lt;/title&gt;&lt;secondary-title&gt;Water Resources Research&lt;/secondary-title&gt;&lt;/titles&gt;&lt;pages&gt;2467-2483&lt;/pages&gt;&lt;number&gt;10&lt;/number&gt;&lt;contributors&gt;&lt;authors&gt;&lt;author&gt;Castro, Maria Clara&lt;/author&gt;&lt;author&gt;Goblet, Patrick&lt;/author&gt;&lt;author&gt;Ledoux, Emmanuel&lt;/author&gt;&lt;author&gt;Violette, Sophie&lt;/author&gt;&lt;author&gt;Marsily, Ghislain&lt;/author&gt;&lt;/authors&gt;&lt;/contributors&gt;&lt;added-date format="utc"&gt;1384407067&lt;/added-date&gt;&lt;ref-type name="Journal Article"&gt;17&lt;/ref-type&gt;&lt;dates&gt;&lt;year&gt;1998&lt;/year&gt;&lt;/dates&gt;&lt;rec-number&gt;406&lt;/rec-number&gt;&lt;last-updated-date format="utc"&gt;1384407067&lt;/last-updated-date&gt;&lt;volume&gt;34&lt;/volume&gt;&lt;/record&gt;&lt;/Cite&gt;&lt;/EndNote&gt;</w:instrText>
      </w:r>
      <w:r>
        <w:fldChar w:fldCharType="separate"/>
      </w:r>
      <w:r>
        <w:rPr>
          <w:noProof/>
        </w:rPr>
        <w:t>(1998a)</w:t>
      </w:r>
      <w:r>
        <w:fldChar w:fldCharType="end"/>
      </w:r>
      <w:r>
        <w:t>, Castro and Goblet (2003), and Castro et al. (2000).</w:t>
      </w:r>
    </w:p>
    <w:p w14:paraId="0AF6A4CE" w14:textId="77777777" w:rsidR="00E8296A" w:rsidRDefault="00E8296A" w:rsidP="003E3108">
      <w:pPr>
        <w:pStyle w:val="Heading2"/>
      </w:pPr>
      <w:bookmarkStart w:id="123" w:name="_Toc446256215"/>
      <w:bookmarkStart w:id="124" w:name="_Toc449695931"/>
      <w:bookmarkStart w:id="125" w:name="_Toc449696600"/>
      <w:bookmarkStart w:id="126" w:name="_Ref433483242"/>
      <w:bookmarkStart w:id="127" w:name="_Ref433483266"/>
      <w:bookmarkStart w:id="128" w:name="_Ref445986343"/>
      <w:bookmarkStart w:id="129" w:name="_Toc449696601"/>
      <w:bookmarkEnd w:id="123"/>
      <w:bookmarkEnd w:id="124"/>
      <w:bookmarkEnd w:id="125"/>
      <w:r>
        <w:t>Parameter upscaling</w:t>
      </w:r>
      <w:bookmarkEnd w:id="126"/>
      <w:bookmarkEnd w:id="127"/>
      <w:bookmarkEnd w:id="128"/>
      <w:bookmarkEnd w:id="129"/>
    </w:p>
    <w:p w14:paraId="331D3141" w14:textId="77777777" w:rsidR="00F26307" w:rsidRDefault="00E975A6" w:rsidP="00A43B46">
      <w:pPr>
        <w:pStyle w:val="Body"/>
      </w:pPr>
      <w:r w:rsidRPr="00B868E6">
        <w:t xml:space="preserve">In the context of groundwater flow modelling, parameter upscaling involves the transformation of a detailed description of the spatial variability of </w:t>
      </w:r>
      <w:r w:rsidR="00AF3D59" w:rsidRPr="00B868E6">
        <w:t xml:space="preserve">geologic and </w:t>
      </w:r>
      <w:r w:rsidR="003B785D" w:rsidRPr="00B868E6">
        <w:t>hydr</w:t>
      </w:r>
      <w:r w:rsidR="00AF3D59" w:rsidRPr="00B868E6">
        <w:t>ogeological</w:t>
      </w:r>
      <w:r w:rsidR="003B785D" w:rsidRPr="00B868E6">
        <w:t xml:space="preserve"> properties</w:t>
      </w:r>
      <w:r w:rsidRPr="00B868E6">
        <w:t xml:space="preserve"> at a </w:t>
      </w:r>
      <w:r w:rsidR="003B785D" w:rsidRPr="00B868E6">
        <w:t xml:space="preserve">relatively </w:t>
      </w:r>
      <w:r w:rsidRPr="00B868E6">
        <w:t xml:space="preserve">small measurement or support </w:t>
      </w:r>
      <w:r w:rsidR="003B785D" w:rsidRPr="00B868E6">
        <w:t xml:space="preserve">scale </w:t>
      </w:r>
      <w:r w:rsidRPr="00B868E6">
        <w:t xml:space="preserve">to a </w:t>
      </w:r>
      <w:r w:rsidR="003B785D" w:rsidRPr="00B868E6">
        <w:t>simpler</w:t>
      </w:r>
      <w:r w:rsidRPr="00B868E6">
        <w:t xml:space="preserve"> description commensurate with the size of grid cells used in groundwater flow models</w:t>
      </w:r>
      <w:r w:rsidR="00AF3D59" w:rsidRPr="00B868E6">
        <w:t xml:space="preserve"> (Durlofsky, 2005)</w:t>
      </w:r>
      <w:r w:rsidRPr="00B868E6">
        <w:t xml:space="preserve">. </w:t>
      </w:r>
      <w:r w:rsidR="003B785D" w:rsidRPr="00B868E6">
        <w:t>More specifically, t</w:t>
      </w:r>
      <w:r w:rsidRPr="00B868E6">
        <w:t>he objective of the upscaling process</w:t>
      </w:r>
      <w:r w:rsidR="002B2BDD" w:rsidRPr="00B868E6">
        <w:t>es discussed here</w:t>
      </w:r>
      <w:r w:rsidRPr="00B868E6">
        <w:t xml:space="preserve"> is to obtain a description of hydraulic propert</w:t>
      </w:r>
      <w:r w:rsidR="003B785D" w:rsidRPr="00B868E6">
        <w:t>ies</w:t>
      </w:r>
      <w:r w:rsidRPr="00B868E6">
        <w:t xml:space="preserve"> at the</w:t>
      </w:r>
      <w:r w:rsidRPr="00E975A6">
        <w:t xml:space="preserve"> </w:t>
      </w:r>
      <w:r w:rsidR="00FE4417">
        <w:t>regional model</w:t>
      </w:r>
      <w:r w:rsidRPr="00E975A6">
        <w:t xml:space="preserve"> scale that </w:t>
      </w:r>
      <w:r w:rsidR="003B785D">
        <w:t>is consistent with either hydraulic property or flow velocity</w:t>
      </w:r>
      <w:r w:rsidR="00FE4417">
        <w:t xml:space="preserve"> </w:t>
      </w:r>
      <w:r w:rsidR="003B785D">
        <w:t>observations obtained</w:t>
      </w:r>
      <w:r w:rsidRPr="00E975A6">
        <w:t xml:space="preserve"> at the measurement scale</w:t>
      </w:r>
      <w:r w:rsidR="002B2BDD">
        <w:t xml:space="preserve"> (for further discussions see Section </w:t>
      </w:r>
      <w:r w:rsidR="00084CDD">
        <w:fldChar w:fldCharType="begin"/>
      </w:r>
      <w:r w:rsidR="002B2BDD">
        <w:instrText xml:space="preserve"> REF _Ref432674402 \r \h </w:instrText>
      </w:r>
      <w:r w:rsidR="00084CDD">
        <w:fldChar w:fldCharType="separate"/>
      </w:r>
      <w:r w:rsidR="00C52E30">
        <w:t>3.2.2</w:t>
      </w:r>
      <w:r w:rsidR="00084CDD">
        <w:fldChar w:fldCharType="end"/>
      </w:r>
      <w:r w:rsidR="00EF29C5">
        <w:t>)</w:t>
      </w:r>
      <w:r w:rsidR="00405DDE">
        <w:t xml:space="preserve"> within limits for a computational load</w:t>
      </w:r>
      <w:r w:rsidRPr="00E975A6">
        <w:t xml:space="preserve">. </w:t>
      </w:r>
    </w:p>
    <w:p w14:paraId="01F749DB" w14:textId="7EDBB298" w:rsidR="00E17DEE" w:rsidRDefault="0089309A" w:rsidP="00E17DEE">
      <w:pPr>
        <w:pStyle w:val="Body"/>
      </w:pPr>
      <w:r>
        <w:t>The upscaling of hydraulic properties is a key consideration when informing the parameterisation of numerical groundwater flow models. Observations at scales smaller than the regional scale potentially result in the underestimation of hydraulic conductivity</w:t>
      </w:r>
      <w:r w:rsidR="002471F2">
        <w:t xml:space="preserve"> (</w:t>
      </w:r>
      <w:r w:rsidR="00EF0020">
        <w:fldChar w:fldCharType="begin"/>
      </w:r>
      <w:r w:rsidR="00EF0020">
        <w:instrText xml:space="preserve"> REF _Ref445911857 \h </w:instrText>
      </w:r>
      <w:r w:rsidR="00EF0020">
        <w:fldChar w:fldCharType="separate"/>
      </w:r>
      <w:r w:rsidR="00C52E30">
        <w:t xml:space="preserve">Figure </w:t>
      </w:r>
      <w:r w:rsidR="00C52E30">
        <w:rPr>
          <w:noProof/>
        </w:rPr>
        <w:t>25</w:t>
      </w:r>
      <w:r w:rsidR="00EF0020">
        <w:fldChar w:fldCharType="end"/>
      </w:r>
      <w:r w:rsidR="002471F2">
        <w:t>)</w:t>
      </w:r>
      <w:r>
        <w:t xml:space="preserve">. This is due to the inability of such samples to capture large scale preferential flow features, whether </w:t>
      </w:r>
      <w:r w:rsidRPr="008C753A">
        <w:t xml:space="preserve">sedimentary </w:t>
      </w:r>
      <w:r w:rsidR="002471F2">
        <w:t xml:space="preserve">(e.g., palaeochannels) </w:t>
      </w:r>
      <w:r w:rsidRPr="008C753A">
        <w:t xml:space="preserve">or structural </w:t>
      </w:r>
      <w:r w:rsidR="002471F2">
        <w:t xml:space="preserve">(e.g., geological faults) </w:t>
      </w:r>
      <w:r w:rsidRPr="008C753A">
        <w:t xml:space="preserve">in nature. For example, Hart </w:t>
      </w:r>
      <w:r w:rsidR="00810442">
        <w:t xml:space="preserve">et al. </w:t>
      </w:r>
      <w:r w:rsidR="00084CDD" w:rsidRPr="008C753A">
        <w:fldChar w:fldCharType="begin"/>
      </w:r>
      <w:r w:rsidRPr="008C753A">
        <w:instrText xml:space="preserve"> ADDIN EN.CITE &lt;EndNote&gt;&lt;Cite ExcludeAuth="1"&gt;&lt;Author&gt;Hart&lt;/Author&gt;&lt;Year&gt;2006&lt;/Year&gt;&lt;IDText&gt;The vertical hydraulic conductivity of an aquitard at two spatial scales&lt;/IDText&gt;&lt;DisplayText&gt;(2006)&lt;/DisplayText&gt;&lt;record&gt;&lt;dates&gt;&lt;pub-dates&gt;&lt;date&gt;MAR 2006&lt;/date&gt;&lt;/pub-dates&gt;&lt;year&gt;2006&lt;/year&gt;&lt;/dates&gt;&lt;keywords&gt;&lt;keyword&gt;TRANSIENT LABORATORY METHOD&lt;/keyword&gt;&lt;keyword&gt;TIGHT ROCKS&lt;/keyword&gt;&lt;keyword&gt;PERMEABILITY&lt;/keyword&gt;&lt;keyword&gt;PRESSURE&lt;/keyword&gt;&lt;keyword&gt;AQUIFER&lt;/keyword&gt;&lt;keyword&gt;SHALE&lt;/keyword&gt;&lt;keyword&gt;FLOW&lt;/keyword&gt;&lt;/keywords&gt;&lt;isbn&gt;0017-467X&lt;/isbn&gt;&lt;work-type&gt;Article&lt;/work-type&gt;&lt;titles&gt;&lt;title&gt;The vertical hydraulic conductivity of an aquitard at two spatial scales&lt;/title&gt;&lt;secondary-title&gt;Ground Water&lt;/secondary-title&gt;&lt;/titles&gt;&lt;pages&gt;201-211&lt;/pages&gt;&lt;number&gt;2&lt;/number&gt;&lt;contributors&gt;&lt;authors&gt;&lt;author&gt;Hart, DJ&lt;/author&gt;&lt;author&gt;Bradbury, KR&lt;/author&gt;&lt;author&gt;Feinstein, DT&lt;/author&gt;&lt;/authors&gt;&lt;/contributors&gt;&lt;language&gt;English&lt;/language&gt;&lt;added-date format="utc"&gt;1433827271&lt;/added-date&gt;&lt;ref-type name="Journal Article"&gt;17&lt;/ref-type&gt;&lt;auth-address&gt;Hart, DJ (reprint author), Wisconsin Geol &amp;amp; Nat Hist Survey, 3817 Mineral Point Rd, Madison, WI 53705 USA&amp;#xD;Wisconsin Geol &amp;amp; Nat Hist Survey, Madison, WI 53705 USA&amp;#xD;US Geol Survey, Milwaukee Off, Milwaukee, WI 53211 USA&lt;/auth-address&gt;&lt;rec-number&gt;166&lt;/rec-number&gt;&lt;last-updated-date format="utc"&gt;1433827271&lt;/last-updated-date&gt;&lt;accession-num&gt;WOS:000235730800015&lt;/accession-num&gt;&lt;electronic-resource-num&gt;10.1111/j.1745-6584.2005.00125.x&lt;/electronic-resource-num&gt;&lt;volume&gt;44&lt;/volume&gt;&lt;/record&gt;&lt;/Cite&gt;&lt;/EndNote&gt;</w:instrText>
      </w:r>
      <w:r w:rsidR="00084CDD" w:rsidRPr="008C753A">
        <w:fldChar w:fldCharType="separate"/>
      </w:r>
      <w:r w:rsidRPr="008C753A">
        <w:rPr>
          <w:noProof/>
        </w:rPr>
        <w:t>(2006)</w:t>
      </w:r>
      <w:r w:rsidR="00084CDD" w:rsidRPr="008C753A">
        <w:fldChar w:fldCharType="end"/>
      </w:r>
      <w:r w:rsidRPr="008C753A">
        <w:t xml:space="preserve"> compared observations of vertical hydraulic</w:t>
      </w:r>
      <w:r>
        <w:t xml:space="preserve"> conductivity obtained from pore scale water permeametry and regional scale inverse modelling. Significant discrepancies between estimated values were attributed to the influence of fractures as preferential flow paths at regional scales. </w:t>
      </w:r>
      <w:r w:rsidR="00AA5ABA">
        <w:t>For fracture</w:t>
      </w:r>
      <w:r w:rsidR="00AA5ABA" w:rsidRPr="00AA5ABA">
        <w:t xml:space="preserve">s </w:t>
      </w:r>
      <w:r w:rsidR="00AA5ABA">
        <w:t xml:space="preserve">that </w:t>
      </w:r>
      <w:r w:rsidR="00AA5ABA" w:rsidRPr="00AA5ABA">
        <w:t>penetrated the entire thickness of a shale</w:t>
      </w:r>
      <w:r w:rsidR="00AA5ABA">
        <w:t xml:space="preserve"> aquitard, t</w:t>
      </w:r>
      <w:r w:rsidR="00E4090E">
        <w:t xml:space="preserve">he authors </w:t>
      </w:r>
      <w:r w:rsidR="00AA5ABA">
        <w:t xml:space="preserve">estimated the </w:t>
      </w:r>
      <w:r w:rsidR="00A43B46" w:rsidRPr="00AA5ABA">
        <w:t xml:space="preserve">aperture </w:t>
      </w:r>
      <w:r w:rsidR="00AA5ABA">
        <w:t xml:space="preserve">and spatial distribution required to match the vertical hydraulic conductivity estimated from inverse modelling. </w:t>
      </w:r>
      <w:r w:rsidR="00EA28BF">
        <w:t xml:space="preserve">These observations relate to the principle of the representative elementary volume (REV), which is shown to be scale-dependent. Small-scale samples (pore-scale and bed-scale) are not able to capture </w:t>
      </w:r>
      <w:r w:rsidR="00EA28BF" w:rsidRPr="002471F2">
        <w:t xml:space="preserve">heterogeneities </w:t>
      </w:r>
      <w:r w:rsidR="00EA28BF">
        <w:t>due to large-scale features at the body scale (</w:t>
      </w:r>
      <w:r w:rsidR="00084CDD">
        <w:fldChar w:fldCharType="begin"/>
      </w:r>
      <w:r w:rsidR="00D173A7">
        <w:instrText xml:space="preserve"> REF _Ref422386843 \h </w:instrText>
      </w:r>
      <w:r w:rsidR="00084CDD">
        <w:fldChar w:fldCharType="separate"/>
      </w:r>
      <w:r w:rsidR="00C52E30">
        <w:t xml:space="preserve">Figure </w:t>
      </w:r>
      <w:r w:rsidR="00C52E30">
        <w:rPr>
          <w:noProof/>
        </w:rPr>
        <w:t>28</w:t>
      </w:r>
      <w:r w:rsidR="00084CDD">
        <w:fldChar w:fldCharType="end"/>
      </w:r>
      <w:r w:rsidR="00EA28BF">
        <w:t xml:space="preserve">). Because the </w:t>
      </w:r>
      <w:r w:rsidR="00D173A7">
        <w:t xml:space="preserve">measurement support of the </w:t>
      </w:r>
      <w:r w:rsidR="00EA28BF">
        <w:t xml:space="preserve">small-scale observations </w:t>
      </w:r>
      <w:r w:rsidR="00D173A7">
        <w:t>is too small compared to an REV inclusive of large-scale preferential flow paths</w:t>
      </w:r>
      <w:r w:rsidR="00EA28BF">
        <w:t xml:space="preserve">, upscaling </w:t>
      </w:r>
      <w:r w:rsidR="00D173A7">
        <w:t xml:space="preserve">of such small-scale values </w:t>
      </w:r>
      <w:r w:rsidR="00EA28BF">
        <w:t xml:space="preserve">will produce values that underestimate </w:t>
      </w:r>
      <w:r w:rsidR="00D173A7">
        <w:t>those</w:t>
      </w:r>
      <w:r w:rsidR="00EA28BF">
        <w:t xml:space="preserve"> obtained through i</w:t>
      </w:r>
      <w:r w:rsidR="00D173A7">
        <w:t>n</w:t>
      </w:r>
      <w:r w:rsidR="00EA28BF">
        <w:t xml:space="preserve">verse modelling </w:t>
      </w:r>
      <w:r w:rsidR="00D173A7">
        <w:t>based on large-scale effective flow properties that implicitly include effects of large-scale preferential flow paths.</w:t>
      </w:r>
      <w:r w:rsidR="00E17DEE">
        <w:t xml:space="preserve"> </w:t>
      </w:r>
      <w:r w:rsidR="00E17DEE" w:rsidRPr="00E17DEE">
        <w:t xml:space="preserve">Often only a few high-conductivity zones </w:t>
      </w:r>
      <w:r w:rsidR="00E17DEE">
        <w:t>transmit</w:t>
      </w:r>
      <w:r w:rsidR="00E17DEE" w:rsidRPr="00E17DEE">
        <w:t xml:space="preserve"> most of the water, yet they control the large-scale</w:t>
      </w:r>
      <w:r w:rsidR="00E17DEE">
        <w:t xml:space="preserve"> </w:t>
      </w:r>
      <w:r w:rsidR="00E17DEE" w:rsidRPr="00E17DEE">
        <w:t>behavio</w:t>
      </w:r>
      <w:r w:rsidR="00E17DEE">
        <w:t>u</w:t>
      </w:r>
      <w:r w:rsidR="00E17DEE" w:rsidRPr="00E17DEE">
        <w:t xml:space="preserve">r of the system. </w:t>
      </w:r>
      <w:r w:rsidR="00E17DEE">
        <w:t>Therefore, because</w:t>
      </w:r>
      <w:r w:rsidR="00E17DEE" w:rsidRPr="00E17DEE">
        <w:t xml:space="preserve"> connectivity control</w:t>
      </w:r>
      <w:r w:rsidR="00651A77">
        <w:t>s</w:t>
      </w:r>
      <w:r w:rsidR="00E17DEE" w:rsidRPr="00E17DEE">
        <w:t xml:space="preserve"> large-scale conductivity, it is </w:t>
      </w:r>
      <w:r w:rsidR="00405DDE">
        <w:t>essential</w:t>
      </w:r>
      <w:r w:rsidR="00405DDE" w:rsidRPr="00E17DEE">
        <w:t xml:space="preserve"> </w:t>
      </w:r>
      <w:r w:rsidR="00E17DEE" w:rsidRPr="00E17DEE">
        <w:t>to define it</w:t>
      </w:r>
      <w:r w:rsidR="00E17DEE">
        <w:t>.</w:t>
      </w:r>
    </w:p>
    <w:p w14:paraId="512338C5" w14:textId="146B69B6" w:rsidR="00111877" w:rsidRDefault="00073C1E" w:rsidP="00111877">
      <w:pPr>
        <w:pStyle w:val="Body"/>
      </w:pPr>
      <w:r w:rsidRPr="00073C1E">
        <w:t xml:space="preserve">Bredehoeft et al. </w:t>
      </w:r>
      <w:r w:rsidR="00B06E7C">
        <w:t>(</w:t>
      </w:r>
      <w:r w:rsidRPr="00073C1E">
        <w:t>1983</w:t>
      </w:r>
      <w:r w:rsidR="00B06E7C">
        <w:t>)</w:t>
      </w:r>
      <w:r w:rsidRPr="00073C1E">
        <w:t xml:space="preserve"> </w:t>
      </w:r>
      <w:r w:rsidR="00B06E7C">
        <w:t>reported</w:t>
      </w:r>
      <w:r w:rsidRPr="00073C1E">
        <w:t xml:space="preserve"> the effective hydraulic conductivity of the Pierre Shale, </w:t>
      </w:r>
      <w:r w:rsidR="00B06E7C">
        <w:t>estimated</w:t>
      </w:r>
      <w:r w:rsidRPr="00073C1E">
        <w:t xml:space="preserve"> from regional mass balance, to be 1000 times larger than that derived from </w:t>
      </w:r>
      <w:r w:rsidR="00B06E7C">
        <w:t xml:space="preserve">laboratory </w:t>
      </w:r>
      <w:r w:rsidRPr="00073C1E">
        <w:t>core tests</w:t>
      </w:r>
      <w:r w:rsidR="00B06E7C">
        <w:t>.</w:t>
      </w:r>
      <w:r w:rsidR="0053434E">
        <w:t xml:space="preserve"> </w:t>
      </w:r>
      <w:r w:rsidR="00093C5B">
        <w:t>Similar findings</w:t>
      </w:r>
      <w:r w:rsidR="00111877">
        <w:t xml:space="preserve"> were reported by </w:t>
      </w:r>
      <w:r w:rsidR="00E713C3" w:rsidRPr="00E713C3">
        <w:t xml:space="preserve">Schulze-Makuch and Cherkauer </w:t>
      </w:r>
      <w:r w:rsidR="00111877">
        <w:t>(</w:t>
      </w:r>
      <w:r w:rsidR="00E713C3" w:rsidRPr="00E713C3">
        <w:t>1998</w:t>
      </w:r>
      <w:r w:rsidR="00111877">
        <w:t>), who</w:t>
      </w:r>
      <w:r w:rsidR="00E713C3" w:rsidRPr="00E713C3">
        <w:t xml:space="preserve"> analy</w:t>
      </w:r>
      <w:r w:rsidR="00405DDE">
        <w:t>s</w:t>
      </w:r>
      <w:r w:rsidR="00E713C3" w:rsidRPr="00E713C3">
        <w:t xml:space="preserve">ed </w:t>
      </w:r>
      <w:r w:rsidR="00111877">
        <w:t xml:space="preserve">hydraulic </w:t>
      </w:r>
      <w:r w:rsidR="00E713C3" w:rsidRPr="00E713C3">
        <w:t>conductivity</w:t>
      </w:r>
      <w:r w:rsidR="00111877">
        <w:t xml:space="preserve"> </w:t>
      </w:r>
      <w:r w:rsidR="00E713C3" w:rsidRPr="00E713C3">
        <w:t>measurements made with different methods in</w:t>
      </w:r>
      <w:r w:rsidR="00111877">
        <w:t xml:space="preserve"> porous carbonate rocks</w:t>
      </w:r>
      <w:r w:rsidR="00E713C3" w:rsidRPr="00E713C3">
        <w:t>. They showed that the increase in hydraulic conductivity with scale of measurement</w:t>
      </w:r>
      <w:r w:rsidR="00111877">
        <w:t xml:space="preserve"> </w:t>
      </w:r>
      <w:r w:rsidR="00E713C3" w:rsidRPr="00E713C3">
        <w:t>occurs u</w:t>
      </w:r>
      <w:r w:rsidR="004D78F7">
        <w:t>ntil</w:t>
      </w:r>
      <w:r w:rsidR="00E713C3" w:rsidRPr="00E713C3">
        <w:t xml:space="preserve"> an upper bound</w:t>
      </w:r>
      <w:r w:rsidR="004D78F7">
        <w:t xml:space="preserve"> is reached</w:t>
      </w:r>
      <w:r w:rsidR="00E713C3" w:rsidRPr="00E713C3">
        <w:t xml:space="preserve">, after which the </w:t>
      </w:r>
      <w:r w:rsidR="004D78F7">
        <w:t>geological formation</w:t>
      </w:r>
      <w:r w:rsidR="00E713C3" w:rsidRPr="00E713C3">
        <w:t xml:space="preserve"> behaves as a homogeneous</w:t>
      </w:r>
      <w:r w:rsidR="00111877">
        <w:t xml:space="preserve"> </w:t>
      </w:r>
      <w:r w:rsidR="00E713C3" w:rsidRPr="00E713C3">
        <w:t xml:space="preserve">medium and </w:t>
      </w:r>
      <w:r w:rsidR="00111877">
        <w:t>hydraulic conductivity</w:t>
      </w:r>
      <w:r w:rsidR="00E713C3" w:rsidRPr="00E713C3">
        <w:t xml:space="preserve"> remains constant with scale. </w:t>
      </w:r>
    </w:p>
    <w:p w14:paraId="4F45B0E0" w14:textId="77777777" w:rsidR="00AA5ABA" w:rsidRDefault="00AA5ABA" w:rsidP="00A43B46">
      <w:pPr>
        <w:pStyle w:val="Body"/>
      </w:pPr>
    </w:p>
    <w:p w14:paraId="3F9F71B1" w14:textId="77777777" w:rsidR="009B0364" w:rsidRPr="006C792A" w:rsidRDefault="009B0364" w:rsidP="009B0364">
      <w:r w:rsidRPr="006C792A">
        <w:rPr>
          <w:noProof/>
          <w:lang w:val="en-AU" w:eastAsia="en-AU"/>
        </w:rPr>
        <w:drawing>
          <wp:inline distT="0" distB="0" distL="0" distR="0" wp14:anchorId="609F9DDB" wp14:editId="6F5768EB">
            <wp:extent cx="4982307" cy="2468068"/>
            <wp:effectExtent l="0" t="0" r="0" b="8890"/>
            <wp:docPr id="32" name="Picture 30" descr="2012-02-do-you-know-fi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2-do-you-know-fig04.jpg"/>
                    <pic:cNvPicPr/>
                  </pic:nvPicPr>
                  <pic:blipFill>
                    <a:blip r:embed="rId69"/>
                    <a:stretch>
                      <a:fillRect/>
                    </a:stretch>
                  </pic:blipFill>
                  <pic:spPr>
                    <a:xfrm>
                      <a:off x="0" y="0"/>
                      <a:ext cx="4990044" cy="2471901"/>
                    </a:xfrm>
                    <a:prstGeom prst="rect">
                      <a:avLst/>
                    </a:prstGeom>
                  </pic:spPr>
                </pic:pic>
              </a:graphicData>
            </a:graphic>
          </wp:inline>
        </w:drawing>
      </w:r>
    </w:p>
    <w:p w14:paraId="62D977DA" w14:textId="77C31B38" w:rsidR="009B0364" w:rsidRDefault="009B0364" w:rsidP="00A43B46">
      <w:pPr>
        <w:pStyle w:val="Imagecaption"/>
      </w:pPr>
      <w:bookmarkStart w:id="130" w:name="_Ref422386843"/>
      <w:bookmarkStart w:id="131" w:name="_Ref422233980"/>
      <w:bookmarkStart w:id="132" w:name="_Toc422323048"/>
      <w:bookmarkStart w:id="133" w:name="_Toc449696318"/>
      <w:r>
        <w:t xml:space="preserve">Figure </w:t>
      </w:r>
      <w:r w:rsidR="00084CDD">
        <w:fldChar w:fldCharType="begin"/>
      </w:r>
      <w:r w:rsidR="00144B4F">
        <w:instrText xml:space="preserve"> SEQ Figure \* ARABIC </w:instrText>
      </w:r>
      <w:r w:rsidR="00084CDD">
        <w:fldChar w:fldCharType="separate"/>
      </w:r>
      <w:r w:rsidR="00C52E30">
        <w:rPr>
          <w:noProof/>
        </w:rPr>
        <w:t>28</w:t>
      </w:r>
      <w:r w:rsidR="00084CDD">
        <w:rPr>
          <w:noProof/>
        </w:rPr>
        <w:fldChar w:fldCharType="end"/>
      </w:r>
      <w:bookmarkEnd w:id="130"/>
      <w:r>
        <w:t>.</w:t>
      </w:r>
      <w:bookmarkEnd w:id="131"/>
      <w:r w:rsidRPr="006C792A">
        <w:t xml:space="preserve"> </w:t>
      </w:r>
      <w:r w:rsidR="008E7895" w:rsidRPr="008E7895">
        <w:t>Representative Elementary Volumes at various spatial scales (Hall 2012, modified from Ringrose et al. 2008); SEM = Scanning Electron Microscopy, TLM = Time-Lapse Magnetic resonance sounding; VSP = Vertical Seismic Profiling; Grav-M</w:t>
      </w:r>
      <w:r w:rsidR="008E7895">
        <w:t>ag = gravity and magnetic data.</w:t>
      </w:r>
      <w:bookmarkEnd w:id="132"/>
      <w:bookmarkEnd w:id="133"/>
      <w:r w:rsidR="00C9045A">
        <w:t xml:space="preserve"> </w:t>
      </w:r>
    </w:p>
    <w:p w14:paraId="334FF881" w14:textId="7FCB0B94" w:rsidR="0089309A" w:rsidRDefault="0089309A" w:rsidP="0089309A">
      <w:pPr>
        <w:pStyle w:val="Body"/>
      </w:pPr>
      <w:r>
        <w:t>Parameter upscaling typically involves the calculation of effective</w:t>
      </w:r>
      <w:r w:rsidR="005B79B9">
        <w:t xml:space="preserve"> or equivalent</w:t>
      </w:r>
      <w:r>
        <w:t xml:space="preserve"> properties, either using closed form, parametric analytical solutions or </w:t>
      </w:r>
      <w:r w:rsidR="00405DDE">
        <w:t xml:space="preserve">estimation </w:t>
      </w:r>
      <w:r>
        <w:t xml:space="preserve">from stochastic sampling of numerical realisations. Distinctions between equivalent and effective parameters </w:t>
      </w:r>
      <w:r w:rsidRPr="003F4E33">
        <w:t xml:space="preserve">were discussed by </w:t>
      </w:r>
      <w:r w:rsidR="00E31912">
        <w:t xml:space="preserve">Neuman and Di Federico </w:t>
      </w:r>
      <w:r w:rsidR="00084CDD">
        <w:fldChar w:fldCharType="begin"/>
      </w:r>
      <w:r w:rsidR="00E31912">
        <w:instrText xml:space="preserve"> ADDIN EN.CITE &lt;EndNote&gt;&lt;Cite ExcludeAuth="1"&gt;&lt;Author&gt;Neuman&lt;/Author&gt;&lt;Year&gt;1998&lt;/Year&gt;&lt;IDText&gt;Correlation, flow, and transport in multiscale permeability fields&lt;/IDText&gt;&lt;DisplayText&gt;(1998)&lt;/DisplayText&gt;&lt;record&gt;&lt;titles&gt;&lt;title&gt;Correlation, flow, and transport in multiscale permeability fields&lt;/title&gt;&lt;secondary-title&gt;Scale dependence and scale invariance in hydrology. Cambridge Univ. Press, Cambridge, UK&lt;/secondary-title&gt;&lt;/titles&gt;&lt;pages&gt;354-397&lt;/pages&gt;&lt;contributors&gt;&lt;authors&gt;&lt;author&gt;Neuman, Shlomo P&lt;/author&gt;&lt;author&gt;Di Federico, Vittorio&lt;/author&gt;&lt;/authors&gt;&lt;/contributors&gt;&lt;added-date format="utc"&gt;1434518833&lt;/added-date&gt;&lt;ref-type name="Journal Article"&gt;17&lt;/ref-type&gt;&lt;dates&gt;&lt;year&gt;1998&lt;/year&gt;&lt;/dates&gt;&lt;rec-number&gt;331&lt;/rec-number&gt;&lt;last-updated-date format="utc"&gt;1434518897&lt;/last-updated-date&gt;&lt;/record&gt;&lt;/Cite&gt;&lt;/EndNote&gt;</w:instrText>
      </w:r>
      <w:r w:rsidR="00084CDD">
        <w:fldChar w:fldCharType="separate"/>
      </w:r>
      <w:r w:rsidR="00E31912">
        <w:rPr>
          <w:noProof/>
        </w:rPr>
        <w:t>(1998)</w:t>
      </w:r>
      <w:r w:rsidR="00084CDD">
        <w:fldChar w:fldCharType="end"/>
      </w:r>
      <w:r w:rsidR="00E31912">
        <w:t xml:space="preserve"> and </w:t>
      </w:r>
      <w:r w:rsidRPr="003F4E33">
        <w:t xml:space="preserve">Sanchez-Vila </w:t>
      </w:r>
      <w:r w:rsidR="00810442">
        <w:t xml:space="preserve">et al. </w:t>
      </w:r>
      <w:r w:rsidR="00084CDD" w:rsidRPr="003F4E33">
        <w:fldChar w:fldCharType="begin"/>
      </w:r>
      <w:r w:rsidR="006A6B9D">
        <w:instrText xml:space="preserve"> ADDIN EN.CITE &lt;EndNote&gt;&lt;Cite ExcludeAuth="1"&gt;&lt;Author&gt;Sanchez-Vila&lt;/Author&gt;&lt;Year&gt;1996&lt;/Year&gt;&lt;IDText&gt;Scale effects in transmissivity&lt;/IDText&gt;&lt;DisplayText&gt;(1996)&lt;/DisplayText&gt;&lt;record&gt;&lt;dates&gt;&lt;pub-dates&gt;&lt;date&gt;AUG 1996&lt;/date&gt;&lt;/pub-dates&gt;&lt;year&gt;1996&lt;/year&gt;&lt;/dates&gt;&lt;keywords&gt;&lt;keyword&gt;HETEROGENEOUS POROUS-MEDIA&lt;/keyword&gt;&lt;keyword&gt;MODEL PARAMETER VALUES&lt;/keyword&gt;&lt;keyword&gt;HYDRAULIC CONDUCTIVITY&lt;/keyword&gt;&lt;keyword&gt;GROUNDWATER-FLOW&lt;/keyword&gt;&lt;keyword&gt;SPATIAL VARIABILITY&lt;/keyword&gt;&lt;keyword&gt;CONDITIONAL SIMULATION&lt;/keyword&gt;&lt;keyword&gt;EFFECTIVE PERMEABILITY&lt;/keyword&gt;&lt;keyword&gt;STOCHASTIC-ANALYSIS&lt;/keyword&gt;&lt;keyword&gt;TRANSPORT&lt;/keyword&gt;&lt;keyword&gt;LEAKANCE&lt;/keyword&gt;&lt;/keywords&gt;&lt;isbn&gt;0022-1694&lt;/isbn&gt;&lt;work-type&gt;Article&lt;/work-type&gt;&lt;titles&gt;&lt;title&gt;Scale effects in transmissivity&lt;/title&gt;&lt;secondary-title&gt;Journal of Hydrology&lt;/secondary-title&gt;&lt;/titles&gt;&lt;pages&gt;1-22&lt;/pages&gt;&lt;number&gt;1-2&lt;/number&gt;&lt;contributors&gt;&lt;authors&gt;&lt;author&gt;Sanchez-Vila, X&lt;/author&gt;&lt;author&gt;Carrera, J&lt;/author&gt;&lt;author&gt;Girardi, JP&lt;/author&gt;&lt;/authors&gt;&lt;/contributors&gt;&lt;language&gt;English&lt;/language&gt;&lt;added-date format="utc"&gt;1433829281&lt;/added-date&gt;&lt;ref-type name="Journal Article"&gt;17&lt;/ref-type&gt;&lt;auth-address&gt;SanchezVila, X (reprint author), UNIV POLITECN CATALUNYA,ESCOLA CAMINS,DEPT ENGN TERRENY,E-08034 BARCELONA,SPAIN&amp;#xD;UNIV NACL SAN JUAN,FAC INGN,INST MAT &amp;amp; SUELOS,RA-5400 SAN JUAN,ARGENTINA&lt;/auth-address&gt;&lt;rec-number&gt;175&lt;/rec-number&gt;&lt;last-updated-date format="utc"&gt;1433906230&lt;/last-updated-date&gt;&lt;accession-num&gt;WOS:A1996UU52800003&lt;/accession-num&gt;&lt;electronic-resource-num&gt;10.1016/S0022-1694(96)80031-X&lt;/electronic-resource-num&gt;&lt;volume&gt;183&lt;/volume&gt;&lt;/record&gt;&lt;/Cite&gt;&lt;/EndNote&gt;</w:instrText>
      </w:r>
      <w:r w:rsidR="00084CDD" w:rsidRPr="003F4E33">
        <w:fldChar w:fldCharType="separate"/>
      </w:r>
      <w:r w:rsidR="006A6B9D">
        <w:rPr>
          <w:noProof/>
        </w:rPr>
        <w:t>(1996)</w:t>
      </w:r>
      <w:r w:rsidR="00084CDD" w:rsidRPr="003F4E33">
        <w:fldChar w:fldCharType="end"/>
      </w:r>
      <w:r w:rsidRPr="003F4E33">
        <w:t xml:space="preserve">. </w:t>
      </w:r>
      <w:r w:rsidR="00E31912">
        <w:t>Neuman and Di F</w:t>
      </w:r>
      <w:r w:rsidRPr="00F1417D">
        <w:t xml:space="preserve">ederico </w:t>
      </w:r>
      <w:r w:rsidR="00084CDD">
        <w:fldChar w:fldCharType="begin"/>
      </w:r>
      <w:r w:rsidR="00E31912">
        <w:instrText xml:space="preserve"> ADDIN EN.CITE &lt;EndNote&gt;&lt;Cite ExcludeAuth="1"&gt;&lt;Author&gt;Neuman&lt;/Author&gt;&lt;Year&gt;1998&lt;/Year&gt;&lt;IDText&gt;Correlation, flow, and transport in multiscale permeability fields&lt;/IDText&gt;&lt;DisplayText&gt;(1998)&lt;/DisplayText&gt;&lt;record&gt;&lt;titles&gt;&lt;title&gt;Correlation, flow, and transport in multiscale permeability fields&lt;/title&gt;&lt;secondary-title&gt;Scale dependence and scale invariance in hydrology. Cambridge Univ. Press, Cambridge, UK&lt;/secondary-title&gt;&lt;/titles&gt;&lt;pages&gt;354-397&lt;/pages&gt;&lt;contributors&gt;&lt;authors&gt;&lt;author&gt;Neuman, Shlomo P&lt;/author&gt;&lt;author&gt;Di Federico, Vittorio&lt;/author&gt;&lt;/authors&gt;&lt;/contributors&gt;&lt;added-date format="utc"&gt;1434518833&lt;/added-date&gt;&lt;ref-type name="Journal Article"&gt;17&lt;/ref-type&gt;&lt;dates&gt;&lt;year&gt;1998&lt;/year&gt;&lt;/dates&gt;&lt;rec-number&gt;331&lt;/rec-number&gt;&lt;last-updated-date format="utc"&gt;1434518897&lt;/last-updated-date&gt;&lt;/record&gt;&lt;/Cite&gt;&lt;/EndNote&gt;</w:instrText>
      </w:r>
      <w:r w:rsidR="00084CDD">
        <w:fldChar w:fldCharType="separate"/>
      </w:r>
      <w:r w:rsidR="00E31912">
        <w:rPr>
          <w:noProof/>
        </w:rPr>
        <w:t>(1998)</w:t>
      </w:r>
      <w:r w:rsidR="00084CDD">
        <w:fldChar w:fldCharType="end"/>
      </w:r>
      <w:r w:rsidRPr="00F1417D">
        <w:t xml:space="preserve"> defined effective parameters as those parameters that are used in ensemble-averaged </w:t>
      </w:r>
      <w:r w:rsidR="005B79B9">
        <w:t xml:space="preserve">Darcy </w:t>
      </w:r>
      <w:r w:rsidRPr="00F1417D">
        <w:t>equations (</w:t>
      </w:r>
      <w:r w:rsidR="00AA5ABA">
        <w:t xml:space="preserve">e.g., </w:t>
      </w:r>
      <w:r w:rsidRPr="00F1417D">
        <w:t>effective hydraulic conductivity relating the ensemble average flux to the ensemble mean gradient)</w:t>
      </w:r>
      <w:r w:rsidR="00E4090E">
        <w:t xml:space="preserve">. In contrast, the authors defined </w:t>
      </w:r>
      <w:r w:rsidRPr="00F1417D">
        <w:t xml:space="preserve">equivalent parameters </w:t>
      </w:r>
      <w:r w:rsidR="00E4090E">
        <w:t xml:space="preserve">as those </w:t>
      </w:r>
      <w:r w:rsidRPr="00F1417D">
        <w:t xml:space="preserve">that are </w:t>
      </w:r>
      <w:r w:rsidR="00E4090E">
        <w:t>derived from spatial averaging methods</w:t>
      </w:r>
      <w:r w:rsidR="005B79B9">
        <w:t xml:space="preserve"> (Darcy-based)</w:t>
      </w:r>
      <w:r w:rsidRPr="00F1417D">
        <w:t>. Practically speaking, effective parameters are an intrinsic property of the homogeni</w:t>
      </w:r>
      <w:r w:rsidR="007B5E4E">
        <w:t>s</w:t>
      </w:r>
      <w:r w:rsidRPr="00F1417D">
        <w:t>ed domain (not a function of the particular boundary conditions imposed on the domain), while equivalent parameters are</w:t>
      </w:r>
      <w:r w:rsidR="00000673">
        <w:t xml:space="preserve"> based on numerical modelling and are therefore </w:t>
      </w:r>
      <w:r w:rsidRPr="00F1417D">
        <w:t xml:space="preserve">valid only for a specific set of </w:t>
      </w:r>
      <w:r w:rsidR="00E4090E">
        <w:t xml:space="preserve">imposed groundwater flow </w:t>
      </w:r>
      <w:r w:rsidRPr="00F1417D">
        <w:t>boundary conditions.</w:t>
      </w:r>
      <w:r w:rsidR="00CA4D6A">
        <w:t xml:space="preserve"> The effective conductivity is mathematically the easiest to derive, hence many analytical expressions exist.</w:t>
      </w:r>
      <w:r w:rsidR="005C466F">
        <w:t xml:space="preserve"> However, the concept of equivalent para</w:t>
      </w:r>
      <w:r w:rsidR="005116D4">
        <w:t>meters is better suited to solving</w:t>
      </w:r>
      <w:r w:rsidR="005C466F">
        <w:t xml:space="preserve"> the problem of upscaling, i.e. for a given </w:t>
      </w:r>
      <w:r w:rsidR="005C466F" w:rsidRPr="005C466F">
        <w:rPr>
          <w:i/>
        </w:rPr>
        <w:t>K</w:t>
      </w:r>
      <w:r w:rsidR="005C466F">
        <w:t xml:space="preserve"> distribution over a fine grid, find</w:t>
      </w:r>
      <w:r w:rsidR="005116D4">
        <w:t>ing</w:t>
      </w:r>
      <w:r w:rsidR="005C466F">
        <w:t xml:space="preserve"> the </w:t>
      </w:r>
      <w:r w:rsidR="005C466F" w:rsidRPr="00A45100">
        <w:rPr>
          <w:i/>
        </w:rPr>
        <w:t>K</w:t>
      </w:r>
      <w:r w:rsidR="005C466F">
        <w:t xml:space="preserve"> representative for larger blocks. </w:t>
      </w:r>
      <w:r w:rsidR="00CA4D6A">
        <w:t xml:space="preserve">  </w:t>
      </w:r>
    </w:p>
    <w:p w14:paraId="18B38DA6" w14:textId="08998A11" w:rsidR="005D60EA" w:rsidRDefault="00FD4A68">
      <w:pPr>
        <w:pStyle w:val="Body"/>
      </w:pPr>
      <w:r w:rsidRPr="00A45100">
        <w:t xml:space="preserve">The upscaled parameters are known to compensate for larger scale </w:t>
      </w:r>
      <w:r w:rsidR="00264675" w:rsidRPr="00A45100">
        <w:t xml:space="preserve">features </w:t>
      </w:r>
      <w:r w:rsidR="008039EF">
        <w:t>and</w:t>
      </w:r>
      <w:r w:rsidR="00264675" w:rsidRPr="00A45100">
        <w:t xml:space="preserve"> also for dual phase</w:t>
      </w:r>
      <w:r w:rsidR="008039EF">
        <w:t>, dual porosity</w:t>
      </w:r>
      <w:r w:rsidR="00264675" w:rsidRPr="00A45100">
        <w:t xml:space="preserve"> and other processes</w:t>
      </w:r>
      <w:r w:rsidR="008039EF">
        <w:t xml:space="preserve"> not represented in a coarse scale model</w:t>
      </w:r>
      <w:r w:rsidR="00264675" w:rsidRPr="00A45100">
        <w:t xml:space="preserve">. </w:t>
      </w:r>
      <w:r w:rsidR="008039EF">
        <w:t>For example, Doherty and Christensen (2011) and Watson and Doherty (2012) discuss why some parameters can a</w:t>
      </w:r>
      <w:r w:rsidR="005D60EA">
        <w:t>ttain</w:t>
      </w:r>
      <w:r w:rsidR="008039EF">
        <w:t xml:space="preserve"> supposedly out‐of‐range values as a result of global upscaling. They demonstrate this arises from the need for upscaled parameters to adopt “surrogate roles” to compensate for processes and parameter details </w:t>
      </w:r>
      <w:r w:rsidR="005D60EA">
        <w:t>omitted</w:t>
      </w:r>
      <w:r w:rsidR="008039EF">
        <w:t xml:space="preserve"> from a coarse</w:t>
      </w:r>
      <w:r w:rsidR="005D60EA">
        <w:t>r</w:t>
      </w:r>
      <w:r w:rsidR="008039EF">
        <w:t xml:space="preserve"> scale model. They further show that this may induce bias in a model’s predictions. For instance, if the flow field under which predictions are required is similar to that which </w:t>
      </w:r>
      <w:r w:rsidR="005D60EA">
        <w:t>occurs</w:t>
      </w:r>
      <w:r w:rsidR="008039EF">
        <w:t xml:space="preserve"> during the upscaling process, the </w:t>
      </w:r>
      <w:r w:rsidR="005D60EA">
        <w:t>use</w:t>
      </w:r>
      <w:r w:rsidR="008039EF">
        <w:t xml:space="preserve"> of unrealistic upscaled parameter values will not necessarily lead to erroneous predictions. In contrast, where upscaled parameter values are </w:t>
      </w:r>
      <w:r w:rsidR="005D60EA">
        <w:t>used</w:t>
      </w:r>
      <w:r w:rsidR="008039EF">
        <w:t xml:space="preserve"> under another set of flow conditions, this may lead to large predictive errors.</w:t>
      </w:r>
      <w:r w:rsidR="00C44692">
        <w:t xml:space="preserve"> </w:t>
      </w:r>
      <w:r w:rsidR="00712D60">
        <w:t xml:space="preserve">As part of a study on groundwater impacts from CSG extraction, Moore et al. (2013) quantified simulation errors in </w:t>
      </w:r>
      <w:r w:rsidR="00C44692">
        <w:t xml:space="preserve">a </w:t>
      </w:r>
      <w:r w:rsidR="00712D60">
        <w:t xml:space="preserve">coarse scale regional groundwater model </w:t>
      </w:r>
      <w:r w:rsidR="00C44692">
        <w:t>that used</w:t>
      </w:r>
      <w:r w:rsidR="00712D60">
        <w:t xml:space="preserve"> upscaled parameters. </w:t>
      </w:r>
      <w:r w:rsidR="00C44692">
        <w:t>When</w:t>
      </w:r>
      <w:r w:rsidR="005D60EA">
        <w:t xml:space="preserve"> inversion‐based upscaling </w:t>
      </w:r>
      <w:r w:rsidR="00C44692">
        <w:t xml:space="preserve">was used, </w:t>
      </w:r>
      <w:r w:rsidR="005D60EA">
        <w:t xml:space="preserve">parameters </w:t>
      </w:r>
      <w:r w:rsidR="00C44692">
        <w:t xml:space="preserve">were shown to </w:t>
      </w:r>
      <w:r w:rsidR="005D60EA">
        <w:t xml:space="preserve">play surrogate roles to compensate for simplification‐induced model inadequacies in order </w:t>
      </w:r>
      <w:r w:rsidR="00C44692">
        <w:t xml:space="preserve">to obtain </w:t>
      </w:r>
      <w:r w:rsidR="005D60EA">
        <w:t xml:space="preserve">a good fit between drawdowns calculated by the upscaled </w:t>
      </w:r>
      <w:r w:rsidR="00C44692">
        <w:t xml:space="preserve">coarse scale </w:t>
      </w:r>
      <w:r w:rsidR="005D60EA">
        <w:t>model and drawdowns calculated by the fine‐scale model.</w:t>
      </w:r>
    </w:p>
    <w:p w14:paraId="44E4E71E" w14:textId="1C834BD5" w:rsidR="00196B04" w:rsidRDefault="00196B04" w:rsidP="00A45100">
      <w:pPr>
        <w:pStyle w:val="Heading3"/>
      </w:pPr>
      <w:bookmarkStart w:id="134" w:name="_Toc446256217"/>
      <w:bookmarkStart w:id="135" w:name="_Toc449695933"/>
      <w:bookmarkStart w:id="136" w:name="_Toc449696602"/>
      <w:bookmarkStart w:id="137" w:name="_Toc446256218"/>
      <w:bookmarkStart w:id="138" w:name="_Toc449695934"/>
      <w:bookmarkStart w:id="139" w:name="_Toc449696603"/>
      <w:bookmarkStart w:id="140" w:name="_Toc446256219"/>
      <w:bookmarkStart w:id="141" w:name="_Toc449695935"/>
      <w:bookmarkStart w:id="142" w:name="_Toc449696604"/>
      <w:bookmarkStart w:id="143" w:name="_Toc446256220"/>
      <w:bookmarkStart w:id="144" w:name="_Toc449695936"/>
      <w:bookmarkStart w:id="145" w:name="_Toc449696605"/>
      <w:bookmarkStart w:id="146" w:name="_Toc446256221"/>
      <w:bookmarkStart w:id="147" w:name="_Toc449695937"/>
      <w:bookmarkStart w:id="148" w:name="_Toc449696606"/>
      <w:bookmarkStart w:id="149" w:name="_Toc446256222"/>
      <w:bookmarkStart w:id="150" w:name="_Toc449695938"/>
      <w:bookmarkStart w:id="151" w:name="_Toc449696607"/>
      <w:bookmarkStart w:id="152" w:name="_Toc446256223"/>
      <w:bookmarkStart w:id="153" w:name="_Toc449695939"/>
      <w:bookmarkStart w:id="154" w:name="_Toc449696608"/>
      <w:bookmarkStart w:id="155" w:name="_Toc449696609"/>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t>Hard and soft data</w:t>
      </w:r>
      <w:bookmarkEnd w:id="155"/>
    </w:p>
    <w:p w14:paraId="2269373D" w14:textId="692400B6" w:rsidR="00C50A59" w:rsidRPr="00B868E6" w:rsidRDefault="00D9368C" w:rsidP="0089309A">
      <w:pPr>
        <w:pStyle w:val="Body"/>
      </w:pPr>
      <w:r>
        <w:t xml:space="preserve">Subsurface characterisation for building geological and hydrogeological models was originally based on information </w:t>
      </w:r>
      <w:r w:rsidRPr="00B868E6">
        <w:t>extracted from drilling holes (cuttings, more or less undisturbed rock material contained in cores) and borehole-based geophysical wireline logging tools</w:t>
      </w:r>
      <w:r w:rsidR="009B7451" w:rsidRPr="00B868E6">
        <w:t xml:space="preserve"> (US EPA 1993</w:t>
      </w:r>
      <w:r w:rsidR="0035089F">
        <w:t>a</w:t>
      </w:r>
      <w:r w:rsidR="00693E48" w:rsidRPr="00B868E6">
        <w:t>, b</w:t>
      </w:r>
      <w:r w:rsidR="009B7451" w:rsidRPr="00B868E6">
        <w:t>)</w:t>
      </w:r>
      <w:r w:rsidRPr="00B868E6">
        <w:t xml:space="preserve">. </w:t>
      </w:r>
      <w:r w:rsidR="00C50A59" w:rsidRPr="00B868E6">
        <w:t>Since the 1980s i</w:t>
      </w:r>
      <w:r w:rsidRPr="00B868E6">
        <w:t xml:space="preserve">ncreasingly the subsurface architecture </w:t>
      </w:r>
      <w:r w:rsidR="006D722D" w:rsidRPr="00B868E6">
        <w:t>(</w:t>
      </w:r>
      <w:r w:rsidR="00E713C3" w:rsidRPr="00B868E6">
        <w:t>thicknesses of strata and the topography of the bedrock surface</w:t>
      </w:r>
      <w:r w:rsidR="006D722D" w:rsidRPr="00B868E6">
        <w:t xml:space="preserve">) </w:t>
      </w:r>
      <w:r w:rsidRPr="00B868E6">
        <w:t xml:space="preserve">and some </w:t>
      </w:r>
      <w:r w:rsidR="00C50A59" w:rsidRPr="00B868E6">
        <w:t>aquifer</w:t>
      </w:r>
      <w:r w:rsidRPr="00B868E6">
        <w:t xml:space="preserve"> properties (salinity, groundwater balance or moisture storage) are being mapped</w:t>
      </w:r>
      <w:r w:rsidR="004E3AD5" w:rsidRPr="00B868E6">
        <w:t xml:space="preserve"> </w:t>
      </w:r>
      <w:r w:rsidR="0000686F" w:rsidRPr="00B868E6">
        <w:t>b</w:t>
      </w:r>
      <w:r w:rsidRPr="00B868E6">
        <w:t>y means of non-invasive methods</w:t>
      </w:r>
      <w:r w:rsidR="00C50A59" w:rsidRPr="00B868E6">
        <w:t xml:space="preserve"> (US EPA 1993</w:t>
      </w:r>
      <w:r w:rsidR="00693E48" w:rsidRPr="00B868E6">
        <w:t>a, b</w:t>
      </w:r>
      <w:r w:rsidR="00C50A59" w:rsidRPr="00B868E6">
        <w:t>). These include methods</w:t>
      </w:r>
      <w:r w:rsidR="0000686F" w:rsidRPr="00B868E6">
        <w:t xml:space="preserve"> applied </w:t>
      </w:r>
      <w:r w:rsidR="00C50A59" w:rsidRPr="00B868E6">
        <w:t xml:space="preserve">either </w:t>
      </w:r>
      <w:r w:rsidR="0000686F" w:rsidRPr="00B868E6">
        <w:t>at the land surface (</w:t>
      </w:r>
      <w:r w:rsidR="009B7451" w:rsidRPr="00B868E6">
        <w:t xml:space="preserve">e.g., </w:t>
      </w:r>
      <w:r w:rsidR="00C50A59" w:rsidRPr="00B868E6">
        <w:t>electrical</w:t>
      </w:r>
      <w:r w:rsidR="009B7451" w:rsidRPr="00B868E6">
        <w:t>, electromagnetic</w:t>
      </w:r>
      <w:r w:rsidR="00C50A59" w:rsidRPr="00B868E6">
        <w:t xml:space="preserve"> and </w:t>
      </w:r>
      <w:r w:rsidR="0000686F" w:rsidRPr="00B868E6">
        <w:t xml:space="preserve">seismic </w:t>
      </w:r>
      <w:r w:rsidR="009B7451" w:rsidRPr="00B868E6">
        <w:t xml:space="preserve">refraction </w:t>
      </w:r>
      <w:r w:rsidR="0000686F" w:rsidRPr="00B868E6">
        <w:t>tests</w:t>
      </w:r>
      <w:r w:rsidR="002E0765" w:rsidRPr="00B868E6">
        <w:t>, ground penetrating radar</w:t>
      </w:r>
      <w:r w:rsidR="0000686F" w:rsidRPr="00B868E6">
        <w:t xml:space="preserve">) or derived from </w:t>
      </w:r>
      <w:r w:rsidR="002E0765" w:rsidRPr="00B868E6">
        <w:t xml:space="preserve">airborne </w:t>
      </w:r>
      <w:r w:rsidR="0000686F" w:rsidRPr="00B868E6">
        <w:t xml:space="preserve">sensors on </w:t>
      </w:r>
      <w:r w:rsidR="007D740A" w:rsidRPr="00B868E6">
        <w:t xml:space="preserve">conventional </w:t>
      </w:r>
      <w:r w:rsidR="0000686F" w:rsidRPr="00B868E6">
        <w:t>air</w:t>
      </w:r>
      <w:r w:rsidR="007D740A" w:rsidRPr="00B868E6">
        <w:t>craft</w:t>
      </w:r>
      <w:r w:rsidR="0000686F" w:rsidRPr="00B868E6">
        <w:t xml:space="preserve"> (</w:t>
      </w:r>
      <w:r w:rsidR="009B7451" w:rsidRPr="00B868E6">
        <w:t xml:space="preserve">e.g., </w:t>
      </w:r>
      <w:r w:rsidR="007D740A" w:rsidRPr="00B868E6">
        <w:t xml:space="preserve">low frequency </w:t>
      </w:r>
      <w:r w:rsidR="0000686F" w:rsidRPr="00B868E6">
        <w:t xml:space="preserve">airborne electromagnetic </w:t>
      </w:r>
      <w:r w:rsidR="007D740A" w:rsidRPr="00B868E6">
        <w:t>methods - AEM</w:t>
      </w:r>
      <w:r w:rsidR="0000686F" w:rsidRPr="00B868E6">
        <w:t>) and satellites (</w:t>
      </w:r>
      <w:r w:rsidR="009B7451" w:rsidRPr="00B868E6">
        <w:t xml:space="preserve">e.g., </w:t>
      </w:r>
      <w:r w:rsidR="0000686F" w:rsidRPr="00B868E6">
        <w:t xml:space="preserve">gravity based </w:t>
      </w:r>
      <w:r w:rsidR="002C33F4" w:rsidRPr="00B868E6">
        <w:t xml:space="preserve">detection of the groundwater </w:t>
      </w:r>
      <w:r w:rsidR="000E7E0A" w:rsidRPr="00B868E6">
        <w:t>storage</w:t>
      </w:r>
      <w:r w:rsidR="002C33F4" w:rsidRPr="00B868E6">
        <w:t xml:space="preserve"> using</w:t>
      </w:r>
      <w:r w:rsidR="0000686F" w:rsidRPr="00B868E6">
        <w:t xml:space="preserve"> GRACE </w:t>
      </w:r>
      <w:r w:rsidR="00C50A59" w:rsidRPr="00B868E6">
        <w:t>(</w:t>
      </w:r>
      <w:r w:rsidR="007D740A" w:rsidRPr="00B868E6">
        <w:t>Forootan et al., 2012</w:t>
      </w:r>
      <w:r w:rsidR="00C50A59" w:rsidRPr="00B868E6">
        <w:t xml:space="preserve">) </w:t>
      </w:r>
      <w:r w:rsidR="0000686F" w:rsidRPr="00B868E6">
        <w:t>or soil-moisture detection using SMOS</w:t>
      </w:r>
      <w:r w:rsidR="00C50A59" w:rsidRPr="00B868E6">
        <w:t xml:space="preserve"> (</w:t>
      </w:r>
      <w:r w:rsidR="00CE4D8E" w:rsidRPr="00B868E6">
        <w:t>van der Schalie et al., 2015</w:t>
      </w:r>
      <w:r w:rsidR="0000686F" w:rsidRPr="00B868E6">
        <w:t>)</w:t>
      </w:r>
      <w:r w:rsidR="0035089F">
        <w:t>)</w:t>
      </w:r>
      <w:r w:rsidR="0000686F" w:rsidRPr="00B868E6">
        <w:t xml:space="preserve">. </w:t>
      </w:r>
      <w:r w:rsidR="00E713C3" w:rsidRPr="00B868E6">
        <w:t xml:space="preserve">Because geophysical methods cover more area spatially and volumetrically, and require less time and cost than </w:t>
      </w:r>
      <w:r w:rsidR="00C50A59" w:rsidRPr="00B868E6">
        <w:t xml:space="preserve">drilling </w:t>
      </w:r>
      <w:r w:rsidR="00921712">
        <w:t>well</w:t>
      </w:r>
      <w:r w:rsidR="00C50A59" w:rsidRPr="00B868E6">
        <w:t>s</w:t>
      </w:r>
      <w:r w:rsidR="00E713C3" w:rsidRPr="00B868E6">
        <w:t xml:space="preserve">, preliminary site characterization by geophysical methods </w:t>
      </w:r>
      <w:r w:rsidR="00921712" w:rsidRPr="00921712">
        <w:t xml:space="preserve">is typically verified by subsequent </w:t>
      </w:r>
      <w:r w:rsidR="00E713C3" w:rsidRPr="00B868E6">
        <w:t xml:space="preserve">direct observation </w:t>
      </w:r>
      <w:r w:rsidR="006D722D" w:rsidRPr="00B868E6">
        <w:t>and</w:t>
      </w:r>
      <w:r w:rsidR="00E713C3" w:rsidRPr="00B868E6">
        <w:t xml:space="preserve"> </w:t>
      </w:r>
      <w:r w:rsidR="006D722D" w:rsidRPr="00B868E6">
        <w:t xml:space="preserve">analysis of sediment and rock material from drilled </w:t>
      </w:r>
      <w:r w:rsidR="00921712">
        <w:t>well</w:t>
      </w:r>
      <w:r w:rsidR="00921712" w:rsidRPr="00B868E6">
        <w:t>s</w:t>
      </w:r>
      <w:r w:rsidR="006D722D" w:rsidRPr="00B868E6">
        <w:t>.</w:t>
      </w:r>
    </w:p>
    <w:p w14:paraId="3978F28E" w14:textId="0D63D0EA" w:rsidR="0089309A" w:rsidRDefault="004E3AD5" w:rsidP="0053434E">
      <w:pPr>
        <w:pStyle w:val="Body"/>
      </w:pPr>
      <w:r w:rsidRPr="00B868E6">
        <w:t>T</w:t>
      </w:r>
      <w:r w:rsidR="00000673" w:rsidRPr="00B868E6">
        <w:t>he</w:t>
      </w:r>
      <w:r w:rsidR="00D9368C" w:rsidRPr="00B868E6">
        <w:t xml:space="preserve"> well-based</w:t>
      </w:r>
      <w:r w:rsidR="00000673" w:rsidRPr="00B868E6">
        <w:t xml:space="preserve"> </w:t>
      </w:r>
      <w:r w:rsidR="0089309A" w:rsidRPr="00B868E6">
        <w:t xml:space="preserve">data are plentiful in the vertical </w:t>
      </w:r>
      <w:r w:rsidR="00000673" w:rsidRPr="00B868E6">
        <w:t>plane</w:t>
      </w:r>
      <w:r w:rsidR="0089309A" w:rsidRPr="00B868E6">
        <w:t>, but sparse in the horizontal</w:t>
      </w:r>
      <w:r w:rsidR="00000673" w:rsidRPr="00B868E6">
        <w:t xml:space="preserve"> plane</w:t>
      </w:r>
      <w:r w:rsidR="0089309A" w:rsidRPr="00B868E6">
        <w:t>, making determination of</w:t>
      </w:r>
      <w:r w:rsidR="0089309A" w:rsidRPr="00F1417D">
        <w:t xml:space="preserve"> </w:t>
      </w:r>
      <w:r w:rsidR="00000673" w:rsidRPr="00F1417D">
        <w:t>horizontal</w:t>
      </w:r>
      <w:r w:rsidR="00000673">
        <w:t xml:space="preserve"> </w:t>
      </w:r>
      <w:r w:rsidR="0089309A" w:rsidRPr="00F1417D">
        <w:t xml:space="preserve">spatial </w:t>
      </w:r>
      <w:r w:rsidR="0089309A">
        <w:t>correlation of so-called hard data (</w:t>
      </w:r>
      <w:r w:rsidR="00932DB5">
        <w:t>i.e. direct observations of physical properties</w:t>
      </w:r>
      <w:r w:rsidR="00693E48">
        <w:t xml:space="preserve"> used in modelling</w:t>
      </w:r>
      <w:r w:rsidR="00851BB9">
        <w:t xml:space="preserve"> with negligible uncertainty</w:t>
      </w:r>
      <w:r w:rsidR="00693E48">
        <w:t>,</w:t>
      </w:r>
      <w:r w:rsidR="00932DB5">
        <w:t xml:space="preserve"> </w:t>
      </w:r>
      <w:r w:rsidR="00AA5ABA">
        <w:t xml:space="preserve">e.g., </w:t>
      </w:r>
      <w:r w:rsidR="0089309A">
        <w:t>hydraulic conductivity</w:t>
      </w:r>
      <w:r w:rsidR="00851BB9">
        <w:t>,</w:t>
      </w:r>
      <w:r w:rsidR="0089309A">
        <w:t xml:space="preserve"> porosity</w:t>
      </w:r>
      <w:r w:rsidR="00851BB9">
        <w:t xml:space="preserve"> or observations of lithology</w:t>
      </w:r>
      <w:r w:rsidR="0089309A">
        <w:t xml:space="preserve">) difficult. </w:t>
      </w:r>
      <w:r w:rsidR="0089309A" w:rsidRPr="00F1417D">
        <w:t>This</w:t>
      </w:r>
      <w:r w:rsidR="0089309A">
        <w:t xml:space="preserve"> </w:t>
      </w:r>
      <w:r w:rsidR="0089309A" w:rsidRPr="00F1417D">
        <w:t>problem</w:t>
      </w:r>
      <w:r w:rsidR="0089309A">
        <w:t xml:space="preserve"> </w:t>
      </w:r>
      <w:r w:rsidR="0089309A" w:rsidRPr="00F1417D">
        <w:t>can</w:t>
      </w:r>
      <w:r w:rsidR="0089309A">
        <w:t xml:space="preserve"> </w:t>
      </w:r>
      <w:r w:rsidR="0089309A" w:rsidRPr="00F1417D">
        <w:t xml:space="preserve">be </w:t>
      </w:r>
      <w:r w:rsidR="0089309A">
        <w:t xml:space="preserve">resolved </w:t>
      </w:r>
      <w:r w:rsidR="0089309A" w:rsidRPr="00F1417D">
        <w:t>by using soft data</w:t>
      </w:r>
      <w:r w:rsidR="00693E48">
        <w:t xml:space="preserve"> (used to estimate the hard data and possibly its spatial correlation)</w:t>
      </w:r>
      <w:r w:rsidR="00000673">
        <w:t>,</w:t>
      </w:r>
      <w:r w:rsidR="0089309A">
        <w:t xml:space="preserve"> </w:t>
      </w:r>
      <w:r w:rsidR="0089309A" w:rsidRPr="00F1417D">
        <w:t>which can be plentiful in the horizontal dimension</w:t>
      </w:r>
      <w:r w:rsidR="0089309A">
        <w:t xml:space="preserve"> </w:t>
      </w:r>
      <w:r w:rsidR="0089309A" w:rsidRPr="00F1417D">
        <w:t>(</w:t>
      </w:r>
      <w:r w:rsidR="00AA5ABA">
        <w:t xml:space="preserve">e.g., </w:t>
      </w:r>
      <w:r w:rsidR="0089309A" w:rsidRPr="00F1417D">
        <w:t xml:space="preserve">geophysical </w:t>
      </w:r>
      <w:r w:rsidR="0089309A">
        <w:t>d</w:t>
      </w:r>
      <w:r w:rsidR="0089309A" w:rsidRPr="00F1417D">
        <w:t>ata collected</w:t>
      </w:r>
      <w:r w:rsidR="0089309A">
        <w:t xml:space="preserve"> </w:t>
      </w:r>
      <w:r w:rsidR="0089309A" w:rsidRPr="00F1417D">
        <w:t>in surface</w:t>
      </w:r>
      <w:r w:rsidR="0089309A">
        <w:t xml:space="preserve"> </w:t>
      </w:r>
      <w:r w:rsidR="0089309A" w:rsidRPr="00F1417D">
        <w:t>or cross-hole surveys</w:t>
      </w:r>
      <w:r w:rsidR="00B33C20">
        <w:t>, Freeze et al. 1992</w:t>
      </w:r>
      <w:r w:rsidR="0089309A" w:rsidRPr="00F1417D">
        <w:t>)</w:t>
      </w:r>
      <w:r w:rsidR="00693E48">
        <w:t>.</w:t>
      </w:r>
      <w:r w:rsidR="0089309A">
        <w:t xml:space="preserve"> Such soft data are mostly of a qualitative nature </w:t>
      </w:r>
      <w:r w:rsidR="00084CDD">
        <w:fldChar w:fldCharType="begin"/>
      </w:r>
      <w:r w:rsidR="00080F5C">
        <w:instrText xml:space="preserve"> ADDIN EN.CITE &lt;EndNote&gt;&lt;Cite&gt;&lt;Author&gt;Zhu&lt;/Author&gt;&lt;Year&gt;1993&lt;/Year&gt;&lt;IDText&gt;Formatting and integrating soft data: Stochastic imaging via the Markov-Bayes algorithm&lt;/IDText&gt;&lt;DisplayText&gt;(Zhu and Journel, 1993)&lt;/DisplayText&gt;&lt;record&gt;&lt;isbn&gt;079232157X&lt;/isbn&gt;&lt;titles&gt;&lt;title&gt;Formatting and integrating soft data: Stochastic imaging via the Markov-Bayes algorithm&lt;/title&gt;&lt;secondary-title&gt;Geostatistics Tróia’92&lt;/secondary-title&gt;&lt;/titles&gt;&lt;pages&gt;1-12&lt;/pages&gt;&lt;contributors&gt;&lt;authors&gt;&lt;author&gt;Zhu, Hua&lt;/author&gt;&lt;author&gt;Journel, Andre G&lt;/author&gt;&lt;/authors&gt;&lt;/contributors&gt;&lt;added-date format="utc"&gt;1434519504&lt;/added-date&gt;&lt;ref-type name="Book Section"&gt;5&lt;/ref-type&gt;&lt;dates&gt;&lt;year&gt;1993&lt;/year&gt;&lt;/dates&gt;&lt;rec-number&gt;334&lt;/rec-number&gt;&lt;publisher&gt;Springer&lt;/publisher&gt;&lt;last-updated-date format="utc"&gt;1434519504&lt;/last-updated-date&gt;&lt;/record&gt;&lt;/Cite&gt;&lt;/EndNote&gt;</w:instrText>
      </w:r>
      <w:r w:rsidR="00084CDD">
        <w:fldChar w:fldCharType="separate"/>
      </w:r>
      <w:r w:rsidR="00080F5C">
        <w:t>(Zhu and Journel, 1993)</w:t>
      </w:r>
      <w:r w:rsidR="00084CDD">
        <w:fldChar w:fldCharType="end"/>
      </w:r>
      <w:r w:rsidR="0035089F">
        <w:t>,</w:t>
      </w:r>
      <w:r w:rsidR="00851BB9">
        <w:t xml:space="preserve"> have a non-negligible uncertainty (</w:t>
      </w:r>
      <w:r w:rsidR="0019373F">
        <w:t>McKenna and Poeter, 1995</w:t>
      </w:r>
      <w:r w:rsidR="00851BB9">
        <w:t>)</w:t>
      </w:r>
      <w:r w:rsidR="00AD4A64">
        <w:t>, and have been categorised as type A soft data (</w:t>
      </w:r>
      <w:r w:rsidR="00E713C3" w:rsidRPr="00E713C3">
        <w:t>values based on an</w:t>
      </w:r>
      <w:r w:rsidR="00AD4A64">
        <w:t xml:space="preserve"> </w:t>
      </w:r>
      <w:r w:rsidR="00E713C3" w:rsidRPr="00E713C3">
        <w:t>imprecise</w:t>
      </w:r>
      <w:r w:rsidR="00AD4A64">
        <w:t xml:space="preserve"> </w:t>
      </w:r>
      <w:r w:rsidR="00E713C3" w:rsidRPr="00E713C3">
        <w:t>measurem</w:t>
      </w:r>
      <w:r w:rsidR="00AD4A64">
        <w:t>ent), type B soft data (r</w:t>
      </w:r>
      <w:r w:rsidR="00AD4A64" w:rsidRPr="00AD4A64">
        <w:t>ecognized bounds on a value without information on the distribution of values between the bound</w:t>
      </w:r>
      <w:r w:rsidR="00AD4A64">
        <w:t>), and type C soft data (p</w:t>
      </w:r>
      <w:r w:rsidR="00AD4A64" w:rsidRPr="00AD4A64">
        <w:t>rior probability distribution on the variable</w:t>
      </w:r>
      <w:r w:rsidR="00AD4A64">
        <w:t>) (McKenna and Poeter, 1995)</w:t>
      </w:r>
      <w:r w:rsidR="0089309A">
        <w:t xml:space="preserve">. Examples </w:t>
      </w:r>
      <w:r w:rsidR="00AD4A64">
        <w:t xml:space="preserve">of soft data </w:t>
      </w:r>
      <w:r w:rsidR="0089309A">
        <w:t>include categorical variables (</w:t>
      </w:r>
      <w:r w:rsidR="00AA5ABA">
        <w:t xml:space="preserve">e.g., </w:t>
      </w:r>
      <w:r w:rsidR="00AD4A64" w:rsidRPr="00AD4A64">
        <w:t>lithological facies based on a measurement of seismic velocity</w:t>
      </w:r>
      <w:r w:rsidR="00AD4A64">
        <w:t xml:space="preserve"> - type A soft data</w:t>
      </w:r>
      <w:r w:rsidR="00895ADF">
        <w:t xml:space="preserve"> – see e.g. Weissmann et al., 2002</w:t>
      </w:r>
      <w:r w:rsidR="0089309A">
        <w:t>) or the indication of a trend (</w:t>
      </w:r>
      <w:r w:rsidR="00AA5ABA">
        <w:t xml:space="preserve">e.g., </w:t>
      </w:r>
      <w:r w:rsidR="0089309A">
        <w:t>changes in</w:t>
      </w:r>
      <w:r w:rsidR="00973F97">
        <w:t xml:space="preserve"> hydraulic properties within a </w:t>
      </w:r>
      <w:r w:rsidR="0089309A">
        <w:t xml:space="preserve">hydrostratigraphic unit). Geophysical methods, in particular, are often unable to measure hydraulic properties directly but can provide insights into spatial trends and/or </w:t>
      </w:r>
      <w:r w:rsidR="00AD4A64">
        <w:t xml:space="preserve">lithological facies </w:t>
      </w:r>
      <w:r w:rsidR="0089309A">
        <w:t xml:space="preserve">can be spatially correlated to hydraulic properties. </w:t>
      </w:r>
      <w:r w:rsidR="0053434E">
        <w:t xml:space="preserve">Liu et al. (2004) demonstrated how the integration of seismic data reduces the uncertainty in geofacies simulation. </w:t>
      </w:r>
      <w:r w:rsidR="00F40D4B">
        <w:t xml:space="preserve">Along the same lines He et al. (2014) used high-resolution airborne electromagnetic (AEM) data in multiple-point geostatistical simulations to improve the geological structure and groundwater flow simulations (AEM data were used as the training image as well as secondary data for soft conditioning). </w:t>
      </w:r>
      <w:r w:rsidR="0089309A">
        <w:t xml:space="preserve">Similarly, some environmental tracer (such as helium-4) observations can be used to </w:t>
      </w:r>
      <w:r w:rsidR="00ED1767">
        <w:t>estimate</w:t>
      </w:r>
      <w:r w:rsidR="0089309A">
        <w:t xml:space="preserve"> the vertical groundwater </w:t>
      </w:r>
      <w:r w:rsidR="00ED1767">
        <w:t>velocity across an aquitard from which vertical hydraulic conductivity can be inferred</w:t>
      </w:r>
      <w:r w:rsidR="0035089F">
        <w:t xml:space="preserve"> (Gardner et al., 2012)</w:t>
      </w:r>
      <w:r w:rsidR="0089309A">
        <w:t>.</w:t>
      </w:r>
    </w:p>
    <w:p w14:paraId="6FFE11CB" w14:textId="77777777" w:rsidR="009A78B7" w:rsidRDefault="009A78B7" w:rsidP="00AD4A64">
      <w:pPr>
        <w:pStyle w:val="Body"/>
      </w:pPr>
    </w:p>
    <w:p w14:paraId="00FD7B48" w14:textId="77777777" w:rsidR="0089309A" w:rsidRDefault="0089309A" w:rsidP="0089309A">
      <w:pPr>
        <w:pStyle w:val="Body"/>
      </w:pPr>
      <w:r w:rsidRPr="0089309A">
        <w:rPr>
          <w:noProof/>
          <w:lang w:val="en-AU" w:eastAsia="en-AU"/>
        </w:rPr>
        <w:drawing>
          <wp:inline distT="0" distB="0" distL="0" distR="0" wp14:anchorId="3922EFF9" wp14:editId="0C5CE506">
            <wp:extent cx="2808000" cy="2176960"/>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srcRect t="2500" b="49825"/>
                    <a:stretch>
                      <a:fillRect/>
                    </a:stretch>
                  </pic:blipFill>
                  <pic:spPr bwMode="auto">
                    <a:xfrm>
                      <a:off x="0" y="0"/>
                      <a:ext cx="2808000" cy="2176960"/>
                    </a:xfrm>
                    <a:prstGeom prst="rect">
                      <a:avLst/>
                    </a:prstGeom>
                    <a:noFill/>
                    <a:ln w="9525">
                      <a:noFill/>
                      <a:miter lim="800000"/>
                      <a:headEnd/>
                      <a:tailEnd/>
                    </a:ln>
                  </pic:spPr>
                </pic:pic>
              </a:graphicData>
            </a:graphic>
          </wp:inline>
        </w:drawing>
      </w:r>
      <w:r>
        <w:rPr>
          <w:noProof/>
          <w:lang w:val="en-AU" w:eastAsia="en-AU"/>
        </w:rPr>
        <w:drawing>
          <wp:inline distT="0" distB="0" distL="0" distR="0" wp14:anchorId="62CAC82E" wp14:editId="186E84F9">
            <wp:extent cx="2808000" cy="2185114"/>
            <wp:effectExtent l="1905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srcRect t="52069"/>
                    <a:stretch>
                      <a:fillRect/>
                    </a:stretch>
                  </pic:blipFill>
                  <pic:spPr bwMode="auto">
                    <a:xfrm>
                      <a:off x="0" y="0"/>
                      <a:ext cx="2808000" cy="2185114"/>
                    </a:xfrm>
                    <a:prstGeom prst="rect">
                      <a:avLst/>
                    </a:prstGeom>
                    <a:noFill/>
                    <a:ln w="9525">
                      <a:noFill/>
                      <a:miter lim="800000"/>
                      <a:headEnd/>
                      <a:tailEnd/>
                    </a:ln>
                  </pic:spPr>
                </pic:pic>
              </a:graphicData>
            </a:graphic>
          </wp:inline>
        </w:drawing>
      </w:r>
    </w:p>
    <w:p w14:paraId="176F273D" w14:textId="77777777" w:rsidR="0089309A" w:rsidRDefault="007512E8" w:rsidP="007512E8">
      <w:pPr>
        <w:pStyle w:val="Imagecaption"/>
      </w:pPr>
      <w:bookmarkStart w:id="156" w:name="_Ref422213222"/>
      <w:bookmarkStart w:id="157" w:name="_Toc422323041"/>
      <w:bookmarkStart w:id="158" w:name="_Toc449696319"/>
      <w:bookmarkStart w:id="159" w:name="_Ref422386539"/>
      <w:r>
        <w:t xml:space="preserve">Figure </w:t>
      </w:r>
      <w:r w:rsidR="00084CDD">
        <w:fldChar w:fldCharType="begin"/>
      </w:r>
      <w:r>
        <w:instrText xml:space="preserve"> SEQ Figure \* ARABIC </w:instrText>
      </w:r>
      <w:r w:rsidR="00084CDD">
        <w:fldChar w:fldCharType="separate"/>
      </w:r>
      <w:r w:rsidR="00C52E30">
        <w:rPr>
          <w:noProof/>
        </w:rPr>
        <w:t>29</w:t>
      </w:r>
      <w:r w:rsidR="00084CDD">
        <w:fldChar w:fldCharType="end"/>
      </w:r>
      <w:bookmarkEnd w:id="156"/>
      <w:r>
        <w:t>.</w:t>
      </w:r>
      <w:r w:rsidR="0089309A">
        <w:t xml:space="preserve"> Three-dimensional distribution of (a) hard data (hydrofacies 1 through 7 are dark blue through orange) and (b) hard data with soft data included (hydrofacies 1 throu</w:t>
      </w:r>
      <w:r w:rsidR="0013712E">
        <w:t>gh 8 are dark blue through red)</w:t>
      </w:r>
      <w:r w:rsidR="0089309A">
        <w:t xml:space="preserve"> </w:t>
      </w:r>
      <w:r w:rsidR="00084CDD">
        <w:fldChar w:fldCharType="begin"/>
      </w:r>
      <w:r w:rsidR="00080F5C">
        <w:instrText xml:space="preserve"> ADDIN EN.CITE &lt;EndNote&gt;&lt;Cite&gt;&lt;Author&gt;McKenna&lt;/Author&gt;&lt;Year&gt;1995&lt;/Year&gt;&lt;IDText&gt;Field example of data fusion in site characterization&lt;/IDText&gt;&lt;DisplayText&gt;(McKenna and Poeter, 1995)&lt;/DisplayText&gt;&lt;record&gt;&lt;dates&gt;&lt;pub-dates&gt;&lt;date&gt;DEC 1995&lt;/date&gt;&lt;/pub-dates&gt;&lt;year&gt;1995&lt;/year&gt;&lt;/dates&gt;&lt;keywords&gt;&lt;keyword&gt;MODELS&lt;/keyword&gt;&lt;keyword&gt;Environmental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Resources&lt;/keyword&gt;&lt;/keywords&gt;&lt;isbn&gt;0043-1397&lt;/isbn&gt;&lt;work-type&gt;Article&lt;/work-type&gt;&lt;titles&gt;&lt;title&gt;Field example of data fusion in site characterization&lt;/title&gt;&lt;secondary-title&gt;Water Resources Research&lt;/secondary-title&gt;&lt;/titles&gt;&lt;pages&gt;3229-3240&lt;/pages&gt;&lt;number&gt;12&lt;/number&gt;&lt;contributors&gt;&lt;authors&gt;&lt;author&gt;McKenna, SA&lt;/author&gt;&lt;author&gt;Poeter, EP&lt;/author&gt;&lt;/authors&gt;&lt;/contributors&gt;&lt;language&gt;English&lt;/language&gt;&lt;added-date format="utc"&gt;1434519588&lt;/added-date&gt;&lt;ref-type name="Journal Article"&gt;17&lt;/ref-type&gt;&lt;auth-address&gt;McKenna, SA (reprint author), SANDIA NATL LABS,GEOHYDROL DEPT,POB 5800,MAIL STOP 1324,ALBUQUERQUE,NM 87185, USA&amp;#xD;COLORADO SCH MINES,DEPT GEOL &amp;amp; GEOL ENGN,GOLDEN,CO 80401&lt;/auth-address&gt;&lt;rec-number&gt;335&lt;/rec-number&gt;&lt;last-updated-date format="utc"&gt;1434519588&lt;/last-updated-date&gt;&lt;accession-num&gt;WOS:A1995TK64700030&lt;/accession-num&gt;&lt;electronic-resource-num&gt;10.1029/95WR02573&lt;/electronic-resource-num&gt;&lt;volume&gt;31&lt;/volume&gt;&lt;/record&gt;&lt;/Cite&gt;&lt;/EndNote&gt;</w:instrText>
      </w:r>
      <w:r w:rsidR="00084CDD">
        <w:fldChar w:fldCharType="separate"/>
      </w:r>
      <w:r w:rsidR="00080F5C">
        <w:rPr>
          <w:noProof/>
        </w:rPr>
        <w:t>(McKenna and Poeter, 1995)</w:t>
      </w:r>
      <w:bookmarkEnd w:id="157"/>
      <w:r w:rsidR="00084CDD">
        <w:fldChar w:fldCharType="end"/>
      </w:r>
      <w:r w:rsidR="0013712E">
        <w:t>.</w:t>
      </w:r>
      <w:bookmarkEnd w:id="158"/>
      <w:r w:rsidR="0013712E">
        <w:t xml:space="preserve"> </w:t>
      </w:r>
      <w:bookmarkEnd w:id="159"/>
    </w:p>
    <w:p w14:paraId="1E411DD7" w14:textId="77777777" w:rsidR="00405DB4" w:rsidRDefault="00405DB4" w:rsidP="0089309A">
      <w:pPr>
        <w:pStyle w:val="Body"/>
      </w:pPr>
    </w:p>
    <w:p w14:paraId="43227571" w14:textId="0EABE009" w:rsidR="00E603F8" w:rsidRDefault="0089309A" w:rsidP="0089309A">
      <w:pPr>
        <w:pStyle w:val="Body"/>
      </w:pPr>
      <w:r>
        <w:t>In mathematical terms, t</w:t>
      </w:r>
      <w:r w:rsidRPr="00F1417D">
        <w:t>he true hard data covariance is estimated as a linear combination of the sample hard data auto</w:t>
      </w:r>
      <w:r>
        <w:t>-</w:t>
      </w:r>
      <w:r w:rsidRPr="00F1417D">
        <w:t>covariance, the soft-hard cross</w:t>
      </w:r>
      <w:r>
        <w:t>-</w:t>
      </w:r>
      <w:r w:rsidRPr="00F1417D">
        <w:t>covariance, and the soft data auto</w:t>
      </w:r>
      <w:r>
        <w:t>-</w:t>
      </w:r>
      <w:r w:rsidRPr="00F1417D">
        <w:t xml:space="preserve">covariance </w:t>
      </w:r>
      <w:r w:rsidR="00084CDD">
        <w:fldChar w:fldCharType="begin"/>
      </w:r>
      <w:r w:rsidR="00080F5C">
        <w:instrText xml:space="preserve"> ADDIN EN.CITE &lt;EndNote&gt;&lt;Cite&gt;&lt;Author&gt;McKenna&lt;/Author&gt;&lt;Year&gt;1995&lt;/Year&gt;&lt;IDText&gt;Field example of data fusion in site characterization&lt;/IDText&gt;&lt;DisplayText&gt;(McKenna and Poeter, 1995)&lt;/DisplayText&gt;&lt;record&gt;&lt;dates&gt;&lt;pub-dates&gt;&lt;date&gt;DEC 1995&lt;/date&gt;&lt;/pub-dates&gt;&lt;year&gt;1995&lt;/year&gt;&lt;/dates&gt;&lt;keywords&gt;&lt;keyword&gt;MODELS&lt;/keyword&gt;&lt;keyword&gt;Environmental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Resources&lt;/keyword&gt;&lt;/keywords&gt;&lt;isbn&gt;0043-1397&lt;/isbn&gt;&lt;work-type&gt;Article&lt;/work-type&gt;&lt;titles&gt;&lt;title&gt;Field example of data fusion in site characterization&lt;/title&gt;&lt;secondary-title&gt;Water Resources Research&lt;/secondary-title&gt;&lt;/titles&gt;&lt;pages&gt;3229-3240&lt;/pages&gt;&lt;number&gt;12&lt;/number&gt;&lt;contributors&gt;&lt;authors&gt;&lt;author&gt;McKenna, SA&lt;/author&gt;&lt;author&gt;Poeter, EP&lt;/author&gt;&lt;/authors&gt;&lt;/contributors&gt;&lt;language&gt;English&lt;/language&gt;&lt;added-date format="utc"&gt;1434519588&lt;/added-date&gt;&lt;ref-type name="Journal Article"&gt;17&lt;/ref-type&gt;&lt;auth-address&gt;McKenna, SA (reprint author), SANDIA NATL LABS,GEOHYDROL DEPT,POB 5800,MAIL STOP 1324,ALBUQUERQUE,NM 87185, USA&amp;#xD;COLORADO SCH MINES,DEPT GEOL &amp;amp; GEOL ENGN,GOLDEN,CO 80401&lt;/auth-address&gt;&lt;rec-number&gt;335&lt;/rec-number&gt;&lt;last-updated-date format="utc"&gt;1434519588&lt;/last-updated-date&gt;&lt;accession-num&gt;WOS:A1995TK64700030&lt;/accession-num&gt;&lt;electronic-resource-num&gt;10.1029/95WR02573&lt;/electronic-resource-num&gt;&lt;volume&gt;31&lt;/volume&gt;&lt;/record&gt;&lt;/Cite&gt;&lt;/EndNote&gt;</w:instrText>
      </w:r>
      <w:r w:rsidR="00084CDD">
        <w:fldChar w:fldCharType="separate"/>
      </w:r>
      <w:r w:rsidR="00080F5C">
        <w:rPr>
          <w:noProof/>
        </w:rPr>
        <w:t>(</w:t>
      </w:r>
      <w:r w:rsidR="00B33C20">
        <w:rPr>
          <w:noProof/>
        </w:rPr>
        <w:t xml:space="preserve">e.g. </w:t>
      </w:r>
      <w:r w:rsidR="00080F5C">
        <w:rPr>
          <w:noProof/>
        </w:rPr>
        <w:t>McKenna and Poeter, 1995)</w:t>
      </w:r>
      <w:r w:rsidR="00084CDD">
        <w:fldChar w:fldCharType="end"/>
      </w:r>
      <w:r w:rsidR="00080F5C">
        <w:t xml:space="preserve">. </w:t>
      </w:r>
      <w:r>
        <w:t xml:space="preserve">A convincing example of the power of fusing hard and soft data to improve the predictive capacity of a groundwater flow model was </w:t>
      </w:r>
      <w:r w:rsidR="00080F5C">
        <w:t xml:space="preserve">provided by McKenna and Poeter </w:t>
      </w:r>
      <w:r w:rsidR="00084CDD">
        <w:fldChar w:fldCharType="begin"/>
      </w:r>
      <w:r w:rsidR="00080F5C">
        <w:instrText xml:space="preserve"> ADDIN EN.CITE &lt;EndNote&gt;&lt;Cite ExcludeAuth="1"&gt;&lt;Author&gt;McKenna&lt;/Author&gt;&lt;Year&gt;1995&lt;/Year&gt;&lt;IDText&gt;Field example of data fusion in site characterization&lt;/IDText&gt;&lt;DisplayText&gt;(1995)&lt;/DisplayText&gt;&lt;record&gt;&lt;dates&gt;&lt;pub-dates&gt;&lt;date&gt;DEC 1995&lt;/date&gt;&lt;/pub-dates&gt;&lt;year&gt;1995&lt;/year&gt;&lt;/dates&gt;&lt;keywords&gt;&lt;keyword&gt;MODELS&lt;/keyword&gt;&lt;keyword&gt;Environmental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Resources&lt;/keyword&gt;&lt;/keywords&gt;&lt;isbn&gt;0043-1397&lt;/isbn&gt;&lt;work-type&gt;Article&lt;/work-type&gt;&lt;titles&gt;&lt;title&gt;Field example of data fusion in site characterization&lt;/title&gt;&lt;secondary-title&gt;Water Resources Research&lt;/secondary-title&gt;&lt;/titles&gt;&lt;pages&gt;3229-3240&lt;/pages&gt;&lt;number&gt;12&lt;/number&gt;&lt;contributors&gt;&lt;authors&gt;&lt;author&gt;McKenna, SA&lt;/author&gt;&lt;author&gt;Poeter, EP&lt;/author&gt;&lt;/authors&gt;&lt;/contributors&gt;&lt;language&gt;English&lt;/language&gt;&lt;added-date format="utc"&gt;1434519588&lt;/added-date&gt;&lt;ref-type name="Journal Article"&gt;17&lt;/ref-type&gt;&lt;auth-address&gt;McKenna, SA (reprint author), SANDIA NATL LABS,GEOHYDROL DEPT,POB 5800,MAIL STOP 1324,ALBUQUERQUE,NM 87185, USA&amp;#xD;COLORADO SCH MINES,DEPT GEOL &amp;amp; GEOL ENGN,GOLDEN,CO 80401&lt;/auth-address&gt;&lt;rec-number&gt;335&lt;/rec-number&gt;&lt;last-updated-date format="utc"&gt;1434519588&lt;/last-updated-date&gt;&lt;accession-num&gt;WOS:A1995TK64700030&lt;/accession-num&gt;&lt;electronic-resource-num&gt;10.1029/95WR02573&lt;/electronic-resource-num&gt;&lt;volume&gt;31&lt;/volume&gt;&lt;/record&gt;&lt;/Cite&gt;&lt;/EndNote&gt;</w:instrText>
      </w:r>
      <w:r w:rsidR="00084CDD">
        <w:fldChar w:fldCharType="separate"/>
      </w:r>
      <w:r w:rsidR="00080F5C">
        <w:rPr>
          <w:noProof/>
        </w:rPr>
        <w:t>(1995)</w:t>
      </w:r>
      <w:r w:rsidR="00084CDD">
        <w:fldChar w:fldCharType="end"/>
      </w:r>
      <w:r>
        <w:t xml:space="preserve">. </w:t>
      </w:r>
      <w:r w:rsidRPr="00F1417D">
        <w:t>By incorporating geologic knowledge, geophysical log data, cross</w:t>
      </w:r>
      <w:r>
        <w:t>-</w:t>
      </w:r>
      <w:r w:rsidRPr="00F1417D">
        <w:t>hole seismic tomography, hydraulic test data, and observations of head</w:t>
      </w:r>
      <w:r>
        <w:t>,</w:t>
      </w:r>
      <w:r w:rsidRPr="00F1417D">
        <w:t xml:space="preserve"> </w:t>
      </w:r>
      <w:r>
        <w:t xml:space="preserve">they were able </w:t>
      </w:r>
      <w:r w:rsidRPr="00F1417D">
        <w:t xml:space="preserve">to </w:t>
      </w:r>
      <w:r>
        <w:t xml:space="preserve">significantly </w:t>
      </w:r>
      <w:r w:rsidRPr="00F1417D">
        <w:t xml:space="preserve">reduce </w:t>
      </w:r>
      <w:r>
        <w:t>u</w:t>
      </w:r>
      <w:r w:rsidRPr="00F1417D">
        <w:t xml:space="preserve">ncertainty associated with subsurface </w:t>
      </w:r>
      <w:r w:rsidR="0019373F">
        <w:t xml:space="preserve">heterogeneity </w:t>
      </w:r>
      <w:r w:rsidRPr="00F1417D">
        <w:t>interpretation</w:t>
      </w:r>
      <w:r>
        <w:t xml:space="preserve"> (</w:t>
      </w:r>
      <w:r w:rsidR="00084CDD">
        <w:rPr>
          <w:highlight w:val="yellow"/>
        </w:rPr>
        <w:fldChar w:fldCharType="begin"/>
      </w:r>
      <w:r w:rsidR="00C00DCC">
        <w:instrText xml:space="preserve"> REF _Ref422213222 \h </w:instrText>
      </w:r>
      <w:r w:rsidR="00084CDD">
        <w:rPr>
          <w:highlight w:val="yellow"/>
        </w:rPr>
      </w:r>
      <w:r w:rsidR="00084CDD">
        <w:rPr>
          <w:highlight w:val="yellow"/>
        </w:rPr>
        <w:fldChar w:fldCharType="separate"/>
      </w:r>
      <w:r w:rsidR="00C52E30">
        <w:t xml:space="preserve">Figure </w:t>
      </w:r>
      <w:r w:rsidR="00C52E30">
        <w:rPr>
          <w:noProof/>
        </w:rPr>
        <w:t>29</w:t>
      </w:r>
      <w:r w:rsidR="00084CDD">
        <w:rPr>
          <w:highlight w:val="yellow"/>
        </w:rPr>
        <w:fldChar w:fldCharType="end"/>
      </w:r>
      <w:r>
        <w:t xml:space="preserve">). Hard data hydrofacies were derived at wells from the combination of hydrologic, geologic and geophysical data, while soft data hydrofacies between wells were derived from cross-borehole tomography. </w:t>
      </w:r>
    </w:p>
    <w:p w14:paraId="1C005851" w14:textId="77777777" w:rsidR="00E603F8" w:rsidRDefault="00E603F8" w:rsidP="0089309A">
      <w:pPr>
        <w:pStyle w:val="Body"/>
      </w:pPr>
      <w:r w:rsidRPr="00DB5CE8">
        <w:t xml:space="preserve">  </w:t>
      </w:r>
    </w:p>
    <w:p w14:paraId="5448D891" w14:textId="77777777" w:rsidR="004257E0" w:rsidRDefault="004257E0" w:rsidP="004257E0">
      <w:pPr>
        <w:pStyle w:val="Body"/>
      </w:pPr>
      <w:r w:rsidRPr="0089309A">
        <w:rPr>
          <w:noProof/>
          <w:lang w:val="en-AU" w:eastAsia="en-AU"/>
        </w:rPr>
        <w:drawing>
          <wp:inline distT="0" distB="0" distL="0" distR="0" wp14:anchorId="62F00C63" wp14:editId="5B7C8C2F">
            <wp:extent cx="5835083" cy="1964724"/>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b="53734"/>
                    <a:stretch>
                      <a:fillRect/>
                    </a:stretch>
                  </pic:blipFill>
                  <pic:spPr bwMode="auto">
                    <a:xfrm>
                      <a:off x="0" y="0"/>
                      <a:ext cx="5837688" cy="1965601"/>
                    </a:xfrm>
                    <a:prstGeom prst="rect">
                      <a:avLst/>
                    </a:prstGeom>
                    <a:noFill/>
                    <a:ln w="9525">
                      <a:noFill/>
                      <a:miter lim="800000"/>
                      <a:headEnd/>
                      <a:tailEnd/>
                    </a:ln>
                  </pic:spPr>
                </pic:pic>
              </a:graphicData>
            </a:graphic>
          </wp:inline>
        </w:drawing>
      </w:r>
      <w:r w:rsidRPr="0089309A">
        <w:rPr>
          <w:noProof/>
          <w:lang w:val="en-AU" w:eastAsia="en-AU"/>
        </w:rPr>
        <w:drawing>
          <wp:inline distT="0" distB="0" distL="0" distR="0" wp14:anchorId="6DB196AD" wp14:editId="61EF42A5">
            <wp:extent cx="5806800" cy="1908000"/>
            <wp:effectExtent l="0" t="0" r="381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t="54827"/>
                    <a:stretch>
                      <a:fillRect/>
                    </a:stretch>
                  </pic:blipFill>
                  <pic:spPr bwMode="auto">
                    <a:xfrm>
                      <a:off x="0" y="0"/>
                      <a:ext cx="5806800" cy="1908000"/>
                    </a:xfrm>
                    <a:prstGeom prst="rect">
                      <a:avLst/>
                    </a:prstGeom>
                    <a:noFill/>
                    <a:ln w="9525">
                      <a:noFill/>
                      <a:miter lim="800000"/>
                      <a:headEnd/>
                      <a:tailEnd/>
                    </a:ln>
                  </pic:spPr>
                </pic:pic>
              </a:graphicData>
            </a:graphic>
          </wp:inline>
        </w:drawing>
      </w:r>
    </w:p>
    <w:p w14:paraId="09A914E9" w14:textId="77777777" w:rsidR="004257E0" w:rsidRDefault="004257E0" w:rsidP="004257E0">
      <w:pPr>
        <w:pStyle w:val="Imagecaption"/>
      </w:pPr>
      <w:bookmarkStart w:id="160" w:name="_Ref422212323"/>
      <w:bookmarkStart w:id="161" w:name="_Toc422323042"/>
      <w:bookmarkStart w:id="162" w:name="_Toc449696320"/>
      <w:r>
        <w:t xml:space="preserve">Figure </w:t>
      </w:r>
      <w:r w:rsidR="00084CDD">
        <w:fldChar w:fldCharType="begin"/>
      </w:r>
      <w:r w:rsidR="0045082A">
        <w:instrText xml:space="preserve"> SEQ Figure \* ARABIC </w:instrText>
      </w:r>
      <w:r w:rsidR="00084CDD">
        <w:fldChar w:fldCharType="separate"/>
      </w:r>
      <w:r w:rsidR="00C52E30">
        <w:rPr>
          <w:noProof/>
        </w:rPr>
        <w:t>30</w:t>
      </w:r>
      <w:r w:rsidR="00084CDD">
        <w:rPr>
          <w:noProof/>
        </w:rPr>
        <w:fldChar w:fldCharType="end"/>
      </w:r>
      <w:bookmarkEnd w:id="160"/>
      <w:r>
        <w:t xml:space="preserve">. </w:t>
      </w:r>
      <w:r w:rsidR="00E5477F">
        <w:t xml:space="preserve">Groundwater model performance expressed as Average Absolute (Hydraulic) Head Deviation; i.e. the absolute difference between modelled and observed hydraulic head values. </w:t>
      </w:r>
      <w:r w:rsidRPr="00F1417D">
        <w:t>Distributions of average absolute head deviations for (a) the hard data and (b) the hard/soft data realizations resulting from forward groundwater flow modelling using field estimates of K and distributions of average absolute head deviation after</w:t>
      </w:r>
      <w:r>
        <w:t xml:space="preserve"> </w:t>
      </w:r>
      <w:r w:rsidRPr="00F1417D">
        <w:t>inverse</w:t>
      </w:r>
      <w:r>
        <w:t xml:space="preserve"> parameter </w:t>
      </w:r>
      <w:r w:rsidRPr="00F1417D">
        <w:t>estimation</w:t>
      </w:r>
      <w:r>
        <w:t xml:space="preserve"> f</w:t>
      </w:r>
      <w:r w:rsidRPr="00F1417D">
        <w:t>or (c) the</w:t>
      </w:r>
      <w:r>
        <w:t xml:space="preserve"> </w:t>
      </w:r>
      <w:r w:rsidRPr="00F1417D">
        <w:t>hard</w:t>
      </w:r>
      <w:r>
        <w:t xml:space="preserve"> </w:t>
      </w:r>
      <w:r w:rsidRPr="00F1417D">
        <w:t>data</w:t>
      </w:r>
      <w:r>
        <w:t xml:space="preserve"> </w:t>
      </w:r>
      <w:r w:rsidRPr="00F1417D">
        <w:t>and</w:t>
      </w:r>
      <w:r>
        <w:t xml:space="preserve"> </w:t>
      </w:r>
      <w:r w:rsidRPr="00F1417D">
        <w:t>(d) the</w:t>
      </w:r>
      <w:r>
        <w:t xml:space="preserve"> </w:t>
      </w:r>
      <w:r w:rsidRPr="00F1417D">
        <w:t>hard/soft</w:t>
      </w:r>
      <w:r>
        <w:t xml:space="preserve"> </w:t>
      </w:r>
      <w:r w:rsidRPr="00F1417D">
        <w:t>data realization</w:t>
      </w:r>
      <w:r>
        <w:t xml:space="preserve"> </w:t>
      </w:r>
      <w:r w:rsidR="00084CDD">
        <w:fldChar w:fldCharType="begin"/>
      </w:r>
      <w:r>
        <w:instrText xml:space="preserve"> ADDIN EN.CITE &lt;EndNote&gt;&lt;Cite&gt;&lt;Author&gt;McKenna&lt;/Author&gt;&lt;Year&gt;1995&lt;/Year&gt;&lt;IDText&gt;Field example of data fusion in site characterization&lt;/IDText&gt;&lt;DisplayText&gt;(McKenna and Poeter, 1995)&lt;/DisplayText&gt;&lt;record&gt;&lt;dates&gt;&lt;pub-dates&gt;&lt;date&gt;DEC 1995&lt;/date&gt;&lt;/pub-dates&gt;&lt;year&gt;1995&lt;/year&gt;&lt;/dates&gt;&lt;keywords&gt;&lt;keyword&gt;MODELS&lt;/keyword&gt;&lt;keyword&gt;Environmental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Resources&lt;/keyword&gt;&lt;/keywords&gt;&lt;isbn&gt;0043-1397&lt;/isbn&gt;&lt;work-type&gt;Article&lt;/work-type&gt;&lt;titles&gt;&lt;title&gt;Field example of data fusion in site characterization&lt;/title&gt;&lt;secondary-title&gt;Water Resources Research&lt;/secondary-title&gt;&lt;/titles&gt;&lt;pages&gt;3229-3240&lt;/pages&gt;&lt;number&gt;12&lt;/number&gt;&lt;contributors&gt;&lt;authors&gt;&lt;author&gt;McKenna, SA&lt;/author&gt;&lt;author&gt;Poeter, EP&lt;/author&gt;&lt;/authors&gt;&lt;/contributors&gt;&lt;language&gt;English&lt;/language&gt;&lt;added-date format="utc"&gt;1434519588&lt;/added-date&gt;&lt;ref-type name="Journal Article"&gt;17&lt;/ref-type&gt;&lt;auth-address&gt;McKenna, SA (reprint author), SANDIA NATL LABS,GEOHYDROL DEPT,POB 5800,MAIL STOP 1324,ALBUQUERQUE,NM 87185, USA&amp;#xD;COLORADO SCH MINES,DEPT GEOL &amp;amp; GEOL ENGN,GOLDEN,CO 80401&lt;/auth-address&gt;&lt;rec-number&gt;335&lt;/rec-number&gt;&lt;last-updated-date format="utc"&gt;1434519588&lt;/last-updated-date&gt;&lt;accession-num&gt;WOS:A1995TK64700030&lt;/accession-num&gt;&lt;electronic-resource-num&gt;10.1029/95WR02573&lt;/electronic-resource-num&gt;&lt;volume&gt;31&lt;/volume&gt;&lt;/record&gt;&lt;/Cite&gt;&lt;/EndNote&gt;</w:instrText>
      </w:r>
      <w:r w:rsidR="00084CDD">
        <w:fldChar w:fldCharType="separate"/>
      </w:r>
      <w:r>
        <w:rPr>
          <w:noProof/>
        </w:rPr>
        <w:t>(McKenna and Poeter, 1995)</w:t>
      </w:r>
      <w:r w:rsidR="00084CDD">
        <w:fldChar w:fldCharType="end"/>
      </w:r>
      <w:r>
        <w:t>.</w:t>
      </w:r>
      <w:bookmarkEnd w:id="161"/>
      <w:bookmarkEnd w:id="162"/>
    </w:p>
    <w:p w14:paraId="3693E724" w14:textId="77777777" w:rsidR="004257E0" w:rsidRDefault="004257E0" w:rsidP="0089309A">
      <w:pPr>
        <w:pStyle w:val="Body"/>
      </w:pPr>
    </w:p>
    <w:p w14:paraId="63172844" w14:textId="77777777" w:rsidR="0089309A" w:rsidRDefault="00CB2D75" w:rsidP="0089309A">
      <w:pPr>
        <w:pStyle w:val="Body"/>
        <w:rPr>
          <w:color w:val="auto"/>
        </w:rPr>
      </w:pPr>
      <w:r>
        <w:t xml:space="preserve">McKenna </w:t>
      </w:r>
      <w:r w:rsidR="0035089F">
        <w:t>and Poeter (1995) demonstrated that f</w:t>
      </w:r>
      <w:r w:rsidR="0089309A" w:rsidRPr="00F1417D">
        <w:t>orward groundwater flow modelling using estimates of hydraulic conductivity from field</w:t>
      </w:r>
      <w:r w:rsidR="0089309A">
        <w:t xml:space="preserve"> </w:t>
      </w:r>
      <w:r w:rsidR="0089309A" w:rsidRPr="00F1417D">
        <w:t>testing yield</w:t>
      </w:r>
      <w:r w:rsidR="0035089F">
        <w:t>ed</w:t>
      </w:r>
      <w:r w:rsidR="0089309A" w:rsidRPr="00F1417D">
        <w:t xml:space="preserve"> smaller </w:t>
      </w:r>
      <w:r w:rsidR="00C9045A">
        <w:t xml:space="preserve">hydraulic </w:t>
      </w:r>
      <w:r w:rsidR="0089309A" w:rsidRPr="00F1417D">
        <w:t xml:space="preserve">head residuals </w:t>
      </w:r>
      <w:r w:rsidR="00C9045A">
        <w:t xml:space="preserve">for </w:t>
      </w:r>
      <w:r w:rsidR="0089309A" w:rsidRPr="00F1417D">
        <w:t>reali</w:t>
      </w:r>
      <w:r w:rsidR="00973F97">
        <w:t>s</w:t>
      </w:r>
      <w:r w:rsidR="0089309A" w:rsidRPr="00F1417D">
        <w:t xml:space="preserve">ations </w:t>
      </w:r>
      <w:r w:rsidR="00C9045A">
        <w:t xml:space="preserve">that </w:t>
      </w:r>
      <w:r w:rsidR="0089309A" w:rsidRPr="00F1417D">
        <w:t>include soft data</w:t>
      </w:r>
      <w:r w:rsidR="0089309A">
        <w:t xml:space="preserve"> (</w:t>
      </w:r>
      <w:r w:rsidR="00084CDD">
        <w:rPr>
          <w:highlight w:val="yellow"/>
        </w:rPr>
        <w:fldChar w:fldCharType="begin"/>
      </w:r>
      <w:r w:rsidR="00C9045A">
        <w:instrText xml:space="preserve"> REF _Ref422212323 \h </w:instrText>
      </w:r>
      <w:r w:rsidR="00084CDD">
        <w:rPr>
          <w:highlight w:val="yellow"/>
        </w:rPr>
      </w:r>
      <w:r w:rsidR="00084CDD">
        <w:rPr>
          <w:highlight w:val="yellow"/>
        </w:rPr>
        <w:fldChar w:fldCharType="separate"/>
      </w:r>
      <w:r w:rsidR="00C52E30">
        <w:t xml:space="preserve">Figure </w:t>
      </w:r>
      <w:r w:rsidR="00C52E30">
        <w:rPr>
          <w:noProof/>
        </w:rPr>
        <w:t>30</w:t>
      </w:r>
      <w:r w:rsidR="00084CDD">
        <w:rPr>
          <w:highlight w:val="yellow"/>
        </w:rPr>
        <w:fldChar w:fldCharType="end"/>
      </w:r>
      <w:r w:rsidR="0089309A">
        <w:t>)</w:t>
      </w:r>
      <w:r w:rsidR="0089309A" w:rsidRPr="00F1417D">
        <w:t>.</w:t>
      </w:r>
      <w:r w:rsidR="0089309A">
        <w:t xml:space="preserve"> </w:t>
      </w:r>
      <w:r w:rsidR="0089309A" w:rsidRPr="00F1417D">
        <w:t xml:space="preserve">Inverse modelling </w:t>
      </w:r>
      <w:r w:rsidR="0089309A">
        <w:t>was then</w:t>
      </w:r>
      <w:r w:rsidR="0089309A" w:rsidRPr="00F1417D">
        <w:t xml:space="preserve"> used to eliminate hydrofacies realizations that do not hono</w:t>
      </w:r>
      <w:r w:rsidR="0089309A">
        <w:t>u</w:t>
      </w:r>
      <w:r w:rsidR="0089309A" w:rsidRPr="00F1417D">
        <w:t>r hydraulic data</w:t>
      </w:r>
      <w:r w:rsidR="0089309A">
        <w:t xml:space="preserve"> </w:t>
      </w:r>
      <w:r w:rsidR="0089309A" w:rsidRPr="00F1417D">
        <w:t>and to estimate hydrofacies hydraulic conductivity ranges for the hard and hard/soft data</w:t>
      </w:r>
      <w:r w:rsidR="0089309A">
        <w:t xml:space="preserve"> </w:t>
      </w:r>
      <w:r w:rsidR="0089309A" w:rsidRPr="00F1417D">
        <w:rPr>
          <w:color w:val="auto"/>
        </w:rPr>
        <w:t>ensembles. Inverse parameter estimation substantially decrease</w:t>
      </w:r>
      <w:r w:rsidR="0089309A">
        <w:rPr>
          <w:color w:val="auto"/>
        </w:rPr>
        <w:t>d</w:t>
      </w:r>
      <w:r w:rsidR="0089309A" w:rsidRPr="00F1417D">
        <w:rPr>
          <w:color w:val="auto"/>
        </w:rPr>
        <w:t xml:space="preserve"> head residuals for both</w:t>
      </w:r>
      <w:r w:rsidR="0089309A">
        <w:rPr>
          <w:color w:val="auto"/>
        </w:rPr>
        <w:t xml:space="preserve"> </w:t>
      </w:r>
      <w:r w:rsidR="0089309A" w:rsidRPr="00F1417D">
        <w:rPr>
          <w:color w:val="auto"/>
        </w:rPr>
        <w:t>ensembles</w:t>
      </w:r>
      <w:r w:rsidR="0089309A">
        <w:rPr>
          <w:color w:val="auto"/>
        </w:rPr>
        <w:t xml:space="preserve"> (</w:t>
      </w:r>
      <w:r w:rsidR="00084CDD">
        <w:rPr>
          <w:color w:val="auto"/>
          <w:highlight w:val="yellow"/>
        </w:rPr>
        <w:fldChar w:fldCharType="begin"/>
      </w:r>
      <w:r w:rsidR="00C9045A">
        <w:rPr>
          <w:color w:val="auto"/>
        </w:rPr>
        <w:instrText xml:space="preserve"> REF _Ref422733038 \h </w:instrText>
      </w:r>
      <w:r w:rsidR="00084CDD">
        <w:rPr>
          <w:color w:val="auto"/>
          <w:highlight w:val="yellow"/>
        </w:rPr>
      </w:r>
      <w:r w:rsidR="00084CDD">
        <w:rPr>
          <w:color w:val="auto"/>
          <w:highlight w:val="yellow"/>
        </w:rPr>
        <w:fldChar w:fldCharType="separate"/>
      </w:r>
      <w:r w:rsidR="00C52E30">
        <w:t xml:space="preserve">Figure </w:t>
      </w:r>
      <w:r w:rsidR="00C52E30">
        <w:rPr>
          <w:noProof/>
        </w:rPr>
        <w:t>31</w:t>
      </w:r>
      <w:r w:rsidR="00084CDD">
        <w:rPr>
          <w:color w:val="auto"/>
          <w:highlight w:val="yellow"/>
        </w:rPr>
        <w:fldChar w:fldCharType="end"/>
      </w:r>
      <w:r w:rsidR="0089309A">
        <w:rPr>
          <w:color w:val="auto"/>
        </w:rPr>
        <w:t>)</w:t>
      </w:r>
      <w:r w:rsidR="0089309A" w:rsidRPr="00F1417D">
        <w:rPr>
          <w:color w:val="auto"/>
        </w:rPr>
        <w:t>. Standard deviations of hydraulic conductivities estimated through inverse model</w:t>
      </w:r>
      <w:r w:rsidR="0035089F">
        <w:rPr>
          <w:color w:val="auto"/>
        </w:rPr>
        <w:t>l</w:t>
      </w:r>
      <w:r w:rsidR="0089309A" w:rsidRPr="00F1417D">
        <w:rPr>
          <w:color w:val="auto"/>
        </w:rPr>
        <w:t xml:space="preserve">ing </w:t>
      </w:r>
      <w:r w:rsidR="0035089F">
        <w:rPr>
          <w:color w:val="auto"/>
        </w:rPr>
        <w:t>were shown to be</w:t>
      </w:r>
      <w:r w:rsidR="0089309A" w:rsidRPr="00F1417D">
        <w:rPr>
          <w:color w:val="auto"/>
        </w:rPr>
        <w:t xml:space="preserve"> smaller when both hard and soft data are used to generate the simulations. </w:t>
      </w:r>
    </w:p>
    <w:p w14:paraId="5FEF2B88" w14:textId="77777777" w:rsidR="009D3E9F" w:rsidRDefault="009D3E9F" w:rsidP="009D3E9F">
      <w:pPr>
        <w:pStyle w:val="Body"/>
      </w:pPr>
      <w:r>
        <w:t xml:space="preserve">While a powerful example, in reality many, especially large-scale site characterisations will have much less data; in this case a careful selection has to be made prior to any data collection efforts about what the best combination of hard and soft data will be. Value of information or data worth analysis studies then become very useful to ensure the limited resources are used to provide data most suitable to resolve a particular question (Engelhardt et al., 2013; Freeze et al. 1992; Moore, 2005; Wallis et al., 2014). </w:t>
      </w:r>
      <w:r w:rsidRPr="00E603F8">
        <w:t xml:space="preserve"> </w:t>
      </w:r>
      <w:r>
        <w:t xml:space="preserve">However, the </w:t>
      </w:r>
      <w:r w:rsidRPr="00DB5CE8">
        <w:t xml:space="preserve">value of information is </w:t>
      </w:r>
      <w:r>
        <w:t xml:space="preserve">not absolute; instead, it is always </w:t>
      </w:r>
      <w:r w:rsidRPr="00DB5CE8">
        <w:t xml:space="preserve">dependent on the </w:t>
      </w:r>
      <w:r>
        <w:t>management or research question of interest</w:t>
      </w:r>
      <w:r w:rsidRPr="00DB5CE8">
        <w:t>.</w:t>
      </w:r>
      <w:r>
        <w:t xml:space="preserve"> Indeed, t</w:t>
      </w:r>
      <w:r w:rsidRPr="00DB5CE8">
        <w:t>here is no intrinsic value in collecting data unless it can influence a specific decision goal.</w:t>
      </w:r>
    </w:p>
    <w:p w14:paraId="28124509" w14:textId="77777777" w:rsidR="009D3E9F" w:rsidRDefault="009D3E9F" w:rsidP="0089309A">
      <w:pPr>
        <w:pStyle w:val="Body"/>
        <w:rPr>
          <w:color w:val="auto"/>
        </w:rPr>
      </w:pPr>
    </w:p>
    <w:p w14:paraId="0A70B0E4" w14:textId="77777777" w:rsidR="009A78B7" w:rsidRDefault="0089309A">
      <w:pPr>
        <w:pStyle w:val="Body"/>
        <w:keepNext/>
        <w:rPr>
          <w:color w:val="auto"/>
        </w:rPr>
      </w:pPr>
      <w:r w:rsidRPr="0089309A">
        <w:rPr>
          <w:noProof/>
          <w:lang w:val="en-AU" w:eastAsia="en-AU"/>
        </w:rPr>
        <w:drawing>
          <wp:inline distT="0" distB="0" distL="0" distR="0" wp14:anchorId="61E48DA1" wp14:editId="181A3A99">
            <wp:extent cx="2808000" cy="1937570"/>
            <wp:effectExtent l="19050" t="0" r="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b="49527"/>
                    <a:stretch>
                      <a:fillRect/>
                    </a:stretch>
                  </pic:blipFill>
                  <pic:spPr bwMode="auto">
                    <a:xfrm>
                      <a:off x="0" y="0"/>
                      <a:ext cx="2808000" cy="1937570"/>
                    </a:xfrm>
                    <a:prstGeom prst="rect">
                      <a:avLst/>
                    </a:prstGeom>
                    <a:noFill/>
                    <a:ln w="9525">
                      <a:noFill/>
                      <a:miter lim="800000"/>
                      <a:headEnd/>
                      <a:tailEnd/>
                    </a:ln>
                  </pic:spPr>
                </pic:pic>
              </a:graphicData>
            </a:graphic>
          </wp:inline>
        </w:drawing>
      </w:r>
      <w:r>
        <w:rPr>
          <w:noProof/>
          <w:lang w:val="en-AU" w:eastAsia="en-AU"/>
        </w:rPr>
        <w:drawing>
          <wp:inline distT="0" distB="0" distL="0" distR="0" wp14:anchorId="4146C2A5" wp14:editId="52A5FD38">
            <wp:extent cx="2808000" cy="1934357"/>
            <wp:effectExtent l="1905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t="49685"/>
                    <a:stretch>
                      <a:fillRect/>
                    </a:stretch>
                  </pic:blipFill>
                  <pic:spPr bwMode="auto">
                    <a:xfrm>
                      <a:off x="0" y="0"/>
                      <a:ext cx="2808000" cy="1934357"/>
                    </a:xfrm>
                    <a:prstGeom prst="rect">
                      <a:avLst/>
                    </a:prstGeom>
                    <a:noFill/>
                    <a:ln w="9525">
                      <a:noFill/>
                      <a:miter lim="800000"/>
                      <a:headEnd/>
                      <a:tailEnd/>
                    </a:ln>
                  </pic:spPr>
                </pic:pic>
              </a:graphicData>
            </a:graphic>
          </wp:inline>
        </w:drawing>
      </w:r>
    </w:p>
    <w:p w14:paraId="203EDBCB" w14:textId="77777777" w:rsidR="0089309A" w:rsidRDefault="007512E8" w:rsidP="007512E8">
      <w:pPr>
        <w:pStyle w:val="Imagecaption"/>
      </w:pPr>
      <w:bookmarkStart w:id="163" w:name="_Ref422733038"/>
      <w:bookmarkStart w:id="164" w:name="_Toc422323043"/>
      <w:bookmarkStart w:id="165" w:name="_Toc449696321"/>
      <w:r>
        <w:t xml:space="preserve">Figure </w:t>
      </w:r>
      <w:r w:rsidR="00084CDD">
        <w:fldChar w:fldCharType="begin"/>
      </w:r>
      <w:r>
        <w:instrText xml:space="preserve"> SEQ Figure \* ARABIC </w:instrText>
      </w:r>
      <w:r w:rsidR="00084CDD">
        <w:fldChar w:fldCharType="separate"/>
      </w:r>
      <w:r w:rsidR="00C52E30">
        <w:rPr>
          <w:noProof/>
        </w:rPr>
        <w:t>31</w:t>
      </w:r>
      <w:r w:rsidR="00084CDD">
        <w:fldChar w:fldCharType="end"/>
      </w:r>
      <w:bookmarkEnd w:id="163"/>
      <w:r>
        <w:t>.</w:t>
      </w:r>
      <w:r w:rsidR="0089309A">
        <w:t xml:space="preserve"> </w:t>
      </w:r>
      <w:r w:rsidR="0089309A" w:rsidRPr="00F1417D">
        <w:t>Box and whisker plots of hydraulic conductivity</w:t>
      </w:r>
      <w:r w:rsidR="0089309A">
        <w:t xml:space="preserve"> e</w:t>
      </w:r>
      <w:r w:rsidR="0089309A" w:rsidRPr="00F1417D">
        <w:t>stimates for (a) the 21 hard data and (b) the 19 hard/soft data</w:t>
      </w:r>
      <w:r w:rsidR="0089309A">
        <w:t xml:space="preserve"> </w:t>
      </w:r>
      <w:r w:rsidR="0089309A" w:rsidRPr="00F1417D">
        <w:t>realizations. The dashed lines indicate the median, the ends of</w:t>
      </w:r>
      <w:r w:rsidR="0089309A">
        <w:t xml:space="preserve"> </w:t>
      </w:r>
      <w:r w:rsidR="0089309A" w:rsidRPr="00F1417D">
        <w:t>the box are the 25th and 75th quartiles, and the ends of the</w:t>
      </w:r>
      <w:r w:rsidR="0089309A">
        <w:t xml:space="preserve"> </w:t>
      </w:r>
      <w:r w:rsidR="0089309A" w:rsidRPr="00F1417D">
        <w:t>whiskers are the minimum and maximum of the distribution.</w:t>
      </w:r>
      <w:r w:rsidR="0089309A">
        <w:t xml:space="preserve"> </w:t>
      </w:r>
      <w:r w:rsidR="0089309A" w:rsidRPr="00F1417D">
        <w:t>Values next to the whiskers are the standard deviations</w:t>
      </w:r>
      <w:r w:rsidR="0089309A">
        <w:t xml:space="preserve"> </w:t>
      </w:r>
      <w:r w:rsidR="00084CDD">
        <w:fldChar w:fldCharType="begin"/>
      </w:r>
      <w:r w:rsidR="00080F5C">
        <w:instrText xml:space="preserve"> ADDIN EN.CITE &lt;EndNote&gt;&lt;Cite&gt;&lt;Author&gt;McKenna&lt;/Author&gt;&lt;Year&gt;1995&lt;/Year&gt;&lt;IDText&gt;Field example of data fusion in site characterization&lt;/IDText&gt;&lt;DisplayText&gt;(McKenna and Poeter, 1995)&lt;/DisplayText&gt;&lt;record&gt;&lt;dates&gt;&lt;pub-dates&gt;&lt;date&gt;DEC 1995&lt;/date&gt;&lt;/pub-dates&gt;&lt;year&gt;1995&lt;/year&gt;&lt;/dates&gt;&lt;keywords&gt;&lt;keyword&gt;MODELS&lt;/keyword&gt;&lt;keyword&gt;Environmental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Resources&lt;/keyword&gt;&lt;/keywords&gt;&lt;isbn&gt;0043-1397&lt;/isbn&gt;&lt;work-type&gt;Article&lt;/work-type&gt;&lt;titles&gt;&lt;title&gt;Field example of data fusion in site characterization&lt;/title&gt;&lt;secondary-title&gt;Water Resources Research&lt;/secondary-title&gt;&lt;/titles&gt;&lt;pages&gt;3229-3240&lt;/pages&gt;&lt;number&gt;12&lt;/number&gt;&lt;contributors&gt;&lt;authors&gt;&lt;author&gt;McKenna, SA&lt;/author&gt;&lt;author&gt;Poeter, EP&lt;/author&gt;&lt;/authors&gt;&lt;/contributors&gt;&lt;language&gt;English&lt;/language&gt;&lt;added-date format="utc"&gt;1434519588&lt;/added-date&gt;&lt;ref-type name="Journal Article"&gt;17&lt;/ref-type&gt;&lt;auth-address&gt;McKenna, SA (reprint author), SANDIA NATL LABS,GEOHYDROL DEPT,POB 5800,MAIL STOP 1324,ALBUQUERQUE,NM 87185, USA&amp;#xD;COLORADO SCH MINES,DEPT GEOL &amp;amp; GEOL ENGN,GOLDEN,CO 80401&lt;/auth-address&gt;&lt;rec-number&gt;335&lt;/rec-number&gt;&lt;last-updated-date format="utc"&gt;1434519588&lt;/last-updated-date&gt;&lt;accession-num&gt;WOS:A1995TK64700030&lt;/accession-num&gt;&lt;electronic-resource-num&gt;10.1029/95WR02573&lt;/electronic-resource-num&gt;&lt;volume&gt;31&lt;/volume&gt;&lt;/record&gt;&lt;/Cite&gt;&lt;/EndNote&gt;</w:instrText>
      </w:r>
      <w:r w:rsidR="00084CDD">
        <w:fldChar w:fldCharType="separate"/>
      </w:r>
      <w:r w:rsidR="00080F5C">
        <w:rPr>
          <w:noProof/>
        </w:rPr>
        <w:t>(McKenna and Poeter, 1995)</w:t>
      </w:r>
      <w:r w:rsidR="00084CDD">
        <w:fldChar w:fldCharType="end"/>
      </w:r>
      <w:r w:rsidR="0089309A" w:rsidRPr="00F1417D">
        <w:t>.</w:t>
      </w:r>
      <w:bookmarkEnd w:id="164"/>
      <w:bookmarkEnd w:id="165"/>
      <w:r w:rsidR="00C00DCC">
        <w:t xml:space="preserve"> </w:t>
      </w:r>
    </w:p>
    <w:p w14:paraId="6362BA11" w14:textId="77777777" w:rsidR="00E8296A" w:rsidRDefault="00665C35" w:rsidP="00EF2637">
      <w:pPr>
        <w:pStyle w:val="Heading3"/>
      </w:pPr>
      <w:bookmarkStart w:id="166" w:name="_Toc446256225"/>
      <w:bookmarkStart w:id="167" w:name="_Toc449695941"/>
      <w:bookmarkStart w:id="168" w:name="_Toc449696610"/>
      <w:bookmarkStart w:id="169" w:name="_Toc446256226"/>
      <w:bookmarkStart w:id="170" w:name="_Toc449695942"/>
      <w:bookmarkStart w:id="171" w:name="_Toc449696611"/>
      <w:bookmarkStart w:id="172" w:name="_Toc446256227"/>
      <w:bookmarkStart w:id="173" w:name="_Toc449695943"/>
      <w:bookmarkStart w:id="174" w:name="_Toc449696612"/>
      <w:bookmarkStart w:id="175" w:name="_Ref432674402"/>
      <w:bookmarkStart w:id="176" w:name="_Toc449696815"/>
      <w:bookmarkEnd w:id="166"/>
      <w:bookmarkEnd w:id="167"/>
      <w:bookmarkEnd w:id="168"/>
      <w:bookmarkEnd w:id="169"/>
      <w:bookmarkEnd w:id="170"/>
      <w:bookmarkEnd w:id="171"/>
      <w:bookmarkEnd w:id="172"/>
      <w:bookmarkEnd w:id="173"/>
      <w:bookmarkEnd w:id="174"/>
      <w:r>
        <w:t>U</w:t>
      </w:r>
      <w:r w:rsidR="00E8296A">
        <w:t>pscaling methods</w:t>
      </w:r>
      <w:bookmarkEnd w:id="175"/>
      <w:bookmarkEnd w:id="176"/>
      <w:r w:rsidR="00E8296A">
        <w:t xml:space="preserve"> </w:t>
      </w:r>
    </w:p>
    <w:p w14:paraId="4AD0896C" w14:textId="5BF2CB27" w:rsidR="00C172DA" w:rsidRDefault="00761E02" w:rsidP="00C172DA">
      <w:pPr>
        <w:pStyle w:val="Body"/>
      </w:pPr>
      <w:r>
        <w:t xml:space="preserve">Despite significant </w:t>
      </w:r>
      <w:r w:rsidR="003633E1">
        <w:t xml:space="preserve">recent </w:t>
      </w:r>
      <w:r>
        <w:t>increase</w:t>
      </w:r>
      <w:r w:rsidR="003633E1">
        <w:t>s</w:t>
      </w:r>
      <w:r>
        <w:t xml:space="preserve"> in computation power, there remains a need for upscaling hydrogeological parameters </w:t>
      </w:r>
      <w:r w:rsidR="0008456C">
        <w:t xml:space="preserve">and processes </w:t>
      </w:r>
      <w:r>
        <w:t xml:space="preserve">from the </w:t>
      </w:r>
      <w:r w:rsidR="0008456C">
        <w:t xml:space="preserve">typically small </w:t>
      </w:r>
      <w:r>
        <w:t>measurement scale to a coarser scale for numerical modelling</w:t>
      </w:r>
      <w:r w:rsidR="003633E1">
        <w:t xml:space="preserve">. </w:t>
      </w:r>
      <w:r w:rsidR="0008456C">
        <w:t>Likewise, upscaling is also needed to derive a parameter field for a coarse‐gridded model that allows replication of quantities calculated by a fine‐gridded model</w:t>
      </w:r>
      <w:r w:rsidR="0068031A">
        <w:t>, albeit at a fraction of the computational resources</w:t>
      </w:r>
      <w:r w:rsidR="0008456C">
        <w:t>.</w:t>
      </w:r>
      <w:r w:rsidR="003D0503">
        <w:t xml:space="preserve"> </w:t>
      </w:r>
      <w:r w:rsidR="003633E1">
        <w:t xml:space="preserve">This need is driven by </w:t>
      </w:r>
      <w:r w:rsidR="0068031A">
        <w:t>the requirement</w:t>
      </w:r>
      <w:r w:rsidR="004C1838">
        <w:t xml:space="preserve"> to </w:t>
      </w:r>
      <w:r w:rsidR="003633E1">
        <w:t xml:space="preserve">minimise numerical </w:t>
      </w:r>
      <w:r w:rsidR="004C1838">
        <w:t>model run times</w:t>
      </w:r>
      <w:r w:rsidR="003633E1">
        <w:t xml:space="preserve">, in order for models to </w:t>
      </w:r>
      <w:r w:rsidR="004C1838">
        <w:t>remain computationally tractable</w:t>
      </w:r>
      <w:r w:rsidR="0068287F">
        <w:t xml:space="preserve"> for regional scale CSG related assessments</w:t>
      </w:r>
      <w:r>
        <w:t xml:space="preserve">. The need for upscaling becomes even more important when undertaking Monte Carlo type sensitivity and uncertainty analyses. </w:t>
      </w:r>
      <w:r w:rsidR="00C172DA">
        <w:t>The coarse</w:t>
      </w:r>
      <w:r w:rsidR="005E7A7F">
        <w:t>-gridded</w:t>
      </w:r>
      <w:r w:rsidR="00C172DA">
        <w:t xml:space="preserve"> flow model</w:t>
      </w:r>
      <w:r w:rsidR="005E7A7F">
        <w:t xml:space="preserve"> itself</w:t>
      </w:r>
      <w:r w:rsidR="00C172DA">
        <w:t xml:space="preserve"> should adequately represent key </w:t>
      </w:r>
      <w:r w:rsidR="003D0503">
        <w:t>behaviours</w:t>
      </w:r>
      <w:r w:rsidR="00C172DA">
        <w:t>, such as the overall flow rate for given boundary conditions or critical connected flow paths</w:t>
      </w:r>
      <w:r w:rsidR="005E7A7F">
        <w:t xml:space="preserve"> (Gerritsen and Lambers, 2008)</w:t>
      </w:r>
      <w:r w:rsidR="00C172DA">
        <w:t>.</w:t>
      </w:r>
    </w:p>
    <w:p w14:paraId="2F122868" w14:textId="60BE4117" w:rsidR="00213FA1" w:rsidRDefault="0068031A" w:rsidP="00C2679D">
      <w:pPr>
        <w:pStyle w:val="Body"/>
      </w:pPr>
      <w:r>
        <w:t>U</w:t>
      </w:r>
      <w:r w:rsidR="00C2679D">
        <w:t xml:space="preserve">pscaling </w:t>
      </w:r>
      <w:r>
        <w:t xml:space="preserve">methods can be classified as </w:t>
      </w:r>
      <w:r w:rsidR="00C2679D">
        <w:t xml:space="preserve">local </w:t>
      </w:r>
      <w:r>
        <w:t>or</w:t>
      </w:r>
      <w:r w:rsidR="00C2679D">
        <w:t xml:space="preserve"> global methods</w:t>
      </w:r>
      <w:r w:rsidR="00213FA1">
        <w:t>, depending on the type of flow problem that is solved to determine the coarse scale parameters</w:t>
      </w:r>
      <w:r>
        <w:t xml:space="preserve"> (Moore et al., 2013)</w:t>
      </w:r>
      <w:r w:rsidR="00C2679D">
        <w:t xml:space="preserve">. </w:t>
      </w:r>
      <w:r w:rsidR="00213FA1">
        <w:t>Local upscaling methods solve a fine scale flow problem over each coarse block under some assumed local boundary conditions. These methods</w:t>
      </w:r>
      <w:r w:rsidR="00C2679D">
        <w:t xml:space="preserve"> </w:t>
      </w:r>
      <w:r>
        <w:t xml:space="preserve">include </w:t>
      </w:r>
      <w:r w:rsidR="00C2679D">
        <w:t xml:space="preserve">use </w:t>
      </w:r>
      <w:r>
        <w:t xml:space="preserve">of </w:t>
      </w:r>
      <w:r w:rsidR="00C2679D">
        <w:t xml:space="preserve">analytical averaging methods </w:t>
      </w:r>
      <w:r>
        <w:t>and flux-based approaches</w:t>
      </w:r>
      <w:r w:rsidR="00C10067">
        <w:t xml:space="preserve"> (see below for further discussion)</w:t>
      </w:r>
      <w:r>
        <w:t xml:space="preserve">. </w:t>
      </w:r>
      <w:r w:rsidR="00213FA1">
        <w:t xml:space="preserve">Global upscaling methods solve the global fine scale flow problem directly for the determination of coarse scale parameters. </w:t>
      </w:r>
      <w:r w:rsidR="00C10067">
        <w:t xml:space="preserve">In other words, the entire fine scale model is simulated for the calculation of the coarse scale parameters. </w:t>
      </w:r>
      <w:r>
        <w:t>Th</w:t>
      </w:r>
      <w:r w:rsidR="00213FA1">
        <w:t>is is</w:t>
      </w:r>
      <w:r w:rsidR="00C2679D">
        <w:t xml:space="preserve"> </w:t>
      </w:r>
      <w:r>
        <w:t xml:space="preserve">typically </w:t>
      </w:r>
      <w:r w:rsidR="00C2679D">
        <w:t>implemented using inversion‐based methodologies.</w:t>
      </w:r>
      <w:r w:rsidR="00C172DA">
        <w:t xml:space="preserve"> Chen and Durlowsky (2006) developed </w:t>
      </w:r>
      <w:r w:rsidR="00213FA1">
        <w:t xml:space="preserve">a coupled local-global upscaling approach, in which the local boundary conditions used to compute upscaled properties are determined from global coarse scale flows. </w:t>
      </w:r>
      <w:r w:rsidR="009A0E98">
        <w:t>Gerritsen and Lambers (2008) developed a multilevel local–global upscaling method for generating accurate upscaled models of permeabilities or transmissibilities for flow simulation on adapted grids in heterogeneous subsurface formations</w:t>
      </w:r>
      <w:r w:rsidR="00D24DC8">
        <w:t xml:space="preserve"> (e.g. channel-like structures)</w:t>
      </w:r>
      <w:r w:rsidR="009A0E98">
        <w:t>.</w:t>
      </w:r>
    </w:p>
    <w:p w14:paraId="2A677764" w14:textId="34DB4D3A" w:rsidR="00C2679D" w:rsidRDefault="008C0210" w:rsidP="00C2679D">
      <w:pPr>
        <w:pStyle w:val="Body"/>
      </w:pPr>
      <w:r>
        <w:t xml:space="preserve">There are several </w:t>
      </w:r>
      <w:r w:rsidR="00C2679D">
        <w:t>advantage</w:t>
      </w:r>
      <w:r w:rsidR="005116D4">
        <w:t>s</w:t>
      </w:r>
      <w:r w:rsidR="00C2679D">
        <w:t xml:space="preserve"> of </w:t>
      </w:r>
      <w:r w:rsidR="009C767F">
        <w:t xml:space="preserve">using </w:t>
      </w:r>
      <w:r w:rsidR="00C2679D">
        <w:t xml:space="preserve">global upscaling </w:t>
      </w:r>
      <w:r w:rsidR="00D24DC8">
        <w:t xml:space="preserve">methods </w:t>
      </w:r>
      <w:r w:rsidR="009C767F">
        <w:t xml:space="preserve">compared to local scale methods (Moore et al., 2013): (i) </w:t>
      </w:r>
      <w:r w:rsidR="00C2679D">
        <w:t>t</w:t>
      </w:r>
      <w:r w:rsidR="00D24DC8">
        <w:t>hey</w:t>
      </w:r>
      <w:r w:rsidR="00C2679D">
        <w:t xml:space="preserve"> provide </w:t>
      </w:r>
      <w:r w:rsidR="00D24DC8">
        <w:t>the abili</w:t>
      </w:r>
      <w:r w:rsidR="00C2679D">
        <w:t xml:space="preserve">ty to simultaneously satisfy upscaling metrics over large parts of </w:t>
      </w:r>
      <w:r>
        <w:t>the</w:t>
      </w:r>
      <w:r w:rsidR="00C2679D">
        <w:t xml:space="preserve"> model domain</w:t>
      </w:r>
      <w:r w:rsidR="009C767F">
        <w:t xml:space="preserve">, (ii) </w:t>
      </w:r>
      <w:r w:rsidR="00C2679D">
        <w:t>they readily allow imposition of a stress regime during the upscaling process which is similar to that for which predictions will be made using the upscaled model</w:t>
      </w:r>
      <w:r w:rsidR="009C767F">
        <w:t>, and (iii) they are superior to local methods where reservoirs contain important heterogeneities such as high permeability flow paths</w:t>
      </w:r>
      <w:r w:rsidR="004D755C">
        <w:t>, see e.g.</w:t>
      </w:r>
      <w:r w:rsidR="009C767F">
        <w:t xml:space="preserve"> Gerritsen and Lambers (2008).</w:t>
      </w:r>
      <w:r w:rsidR="00C2679D">
        <w:t xml:space="preserve"> </w:t>
      </w:r>
      <w:r w:rsidR="009C767F">
        <w:t>D</w:t>
      </w:r>
      <w:r w:rsidR="00C2679D">
        <w:t>isadvantage</w:t>
      </w:r>
      <w:r w:rsidR="009C767F">
        <w:t>s</w:t>
      </w:r>
      <w:r w:rsidR="00C2679D">
        <w:t xml:space="preserve"> of global methods i</w:t>
      </w:r>
      <w:r w:rsidR="009C767F">
        <w:t xml:space="preserve">nclude (Moore et al., 2013): (i) </w:t>
      </w:r>
      <w:r w:rsidR="00C2679D">
        <w:t>their implementation is often numerically intensive</w:t>
      </w:r>
      <w:r w:rsidR="009C767F">
        <w:t>, (ii)</w:t>
      </w:r>
      <w:r w:rsidR="00C2679D">
        <w:t xml:space="preserve"> they can lead to locally higher‐than‐expected or lower‐than‐expected upscaled parameter values</w:t>
      </w:r>
      <w:r w:rsidR="00D24DC8">
        <w:t xml:space="preserve"> (e.g.</w:t>
      </w:r>
      <w:r w:rsidR="00C2679D">
        <w:t xml:space="preserve"> Chen and Durlofsky</w:t>
      </w:r>
      <w:r w:rsidR="00D24DC8">
        <w:t>,</w:t>
      </w:r>
      <w:r w:rsidR="00C2679D">
        <w:t xml:space="preserve"> 2006).  </w:t>
      </w:r>
    </w:p>
    <w:p w14:paraId="0A49FD10" w14:textId="73F19B9A" w:rsidR="0008456C" w:rsidRDefault="007744F0">
      <w:pPr>
        <w:pStyle w:val="Body"/>
      </w:pPr>
      <w:r>
        <w:t>In cases w</w:t>
      </w:r>
      <w:r w:rsidR="0008456C">
        <w:t xml:space="preserve">here flow of multiple phases is simulated, </w:t>
      </w:r>
      <w:r>
        <w:t xml:space="preserve">such as in CSG target formations, </w:t>
      </w:r>
      <w:r w:rsidR="0008456C">
        <w:t xml:space="preserve">upscaling must address </w:t>
      </w:r>
      <w:r>
        <w:t xml:space="preserve">both </w:t>
      </w:r>
      <w:r w:rsidR="0008456C">
        <w:t>hydraulic properties</w:t>
      </w:r>
      <w:r>
        <w:t xml:space="preserve"> and their</w:t>
      </w:r>
      <w:r w:rsidR="00D24DC8">
        <w:t xml:space="preserve"> </w:t>
      </w:r>
      <w:r w:rsidR="0008456C">
        <w:t xml:space="preserve">desaturation relationships. </w:t>
      </w:r>
      <w:r>
        <w:t xml:space="preserve">This is known to be </w:t>
      </w:r>
      <w:r w:rsidR="0008456C">
        <w:t xml:space="preserve">an inherently </w:t>
      </w:r>
      <w:r>
        <w:t>complex</w:t>
      </w:r>
      <w:r w:rsidR="0008456C">
        <w:t xml:space="preserve"> process</w:t>
      </w:r>
      <w:r>
        <w:t xml:space="preserve"> (</w:t>
      </w:r>
      <w:r w:rsidR="0008456C">
        <w:t>Barker and Thibeau (1997)</w:t>
      </w:r>
      <w:r>
        <w:t>,</w:t>
      </w:r>
      <w:r w:rsidR="0008456C">
        <w:t xml:space="preserve"> Lohne et al</w:t>
      </w:r>
      <w:r>
        <w:t>.,</w:t>
      </w:r>
      <w:r w:rsidR="0008456C">
        <w:t xml:space="preserve"> 2006)</w:t>
      </w:r>
      <w:r>
        <w:t>, which is further complicated because the shape of the “true” relative permeability curve for coal is uncertain anyway (Ham and Kantzas (2008), and Clarkson et al., 2010).</w:t>
      </w:r>
      <w:r w:rsidR="0008456C">
        <w:t xml:space="preserve"> </w:t>
      </w:r>
    </w:p>
    <w:p w14:paraId="5D891935" w14:textId="30FA1866" w:rsidR="00D21174" w:rsidRPr="00C9274B" w:rsidRDefault="00D21174" w:rsidP="00D21174">
      <w:pPr>
        <w:pStyle w:val="Body"/>
      </w:pPr>
      <w:r w:rsidRPr="00C9274B">
        <w:t xml:space="preserve">Comprehensive reviews of upscaling approaches, including </w:t>
      </w:r>
      <w:r w:rsidR="00761E02">
        <w:t>discussions</w:t>
      </w:r>
      <w:r w:rsidRPr="00C9274B">
        <w:t xml:space="preserve"> </w:t>
      </w:r>
      <w:r w:rsidR="00761E02">
        <w:t xml:space="preserve">on </w:t>
      </w:r>
      <w:r w:rsidRPr="00C9274B">
        <w:t xml:space="preserve">equivalent and effective hydraulic </w:t>
      </w:r>
      <w:r w:rsidRPr="003F4E33">
        <w:t xml:space="preserve">conductivity, were published by Sanchez-Vila </w:t>
      </w:r>
      <w:r w:rsidR="00810442">
        <w:t xml:space="preserve">et al., </w:t>
      </w:r>
      <w:r w:rsidR="00084CDD" w:rsidRPr="003F4E33">
        <w:fldChar w:fldCharType="begin"/>
      </w:r>
      <w:r w:rsidR="006A6B9D">
        <w:instrText xml:space="preserve"> ADDIN EN.CITE &lt;EndNote&gt;&lt;Cite ExcludeAuth="1"&gt;&lt;Author&gt;Sanchez-Vila&lt;/Author&gt;&lt;Year&gt;1996&lt;/Year&gt;&lt;IDText&gt;Scale effects in transmissivity&lt;/IDText&gt;&lt;DisplayText&gt;(1996)&lt;/DisplayText&gt;&lt;record&gt;&lt;dates&gt;&lt;pub-dates&gt;&lt;date&gt;AUG 1996&lt;/date&gt;&lt;/pub-dates&gt;&lt;year&gt;1996&lt;/year&gt;&lt;/dates&gt;&lt;keywords&gt;&lt;keyword&gt;HETEROGENEOUS POROUS-MEDIA&lt;/keyword&gt;&lt;keyword&gt;MODEL PARAMETER VALUES&lt;/keyword&gt;&lt;keyword&gt;HYDRAULIC CONDUCTIVITY&lt;/keyword&gt;&lt;keyword&gt;GROUNDWATER-FLOW&lt;/keyword&gt;&lt;keyword&gt;SPATIAL VARIABILITY&lt;/keyword&gt;&lt;keyword&gt;CONDITIONAL SIMULATION&lt;/keyword&gt;&lt;keyword&gt;EFFECTIVE PERMEABILITY&lt;/keyword&gt;&lt;keyword&gt;STOCHASTIC-ANALYSIS&lt;/keyword&gt;&lt;keyword&gt;TRANSPORT&lt;/keyword&gt;&lt;keyword&gt;LEAKANCE&lt;/keyword&gt;&lt;/keywords&gt;&lt;isbn&gt;0022-1694&lt;/isbn&gt;&lt;work-type&gt;Article&lt;/work-type&gt;&lt;titles&gt;&lt;title&gt;Scale effects in transmissivity&lt;/title&gt;&lt;secondary-title&gt;Journal of Hydrology&lt;/secondary-title&gt;&lt;/titles&gt;&lt;pages&gt;1-22&lt;/pages&gt;&lt;number&gt;1-2&lt;/number&gt;&lt;contributors&gt;&lt;authors&gt;&lt;author&gt;Sanchez-Vila, X&lt;/author&gt;&lt;author&gt;Carrera, J&lt;/author&gt;&lt;author&gt;Girardi, JP&lt;/author&gt;&lt;/authors&gt;&lt;/contributors&gt;&lt;language&gt;English&lt;/language&gt;&lt;added-date format="utc"&gt;1433829281&lt;/added-date&gt;&lt;ref-type name="Journal Article"&gt;17&lt;/ref-type&gt;&lt;auth-address&gt;SanchezVila, X (reprint author), UNIV POLITECN CATALUNYA,ESCOLA CAMINS,DEPT ENGN TERRENY,E-08034 BARCELONA,SPAIN&amp;#xD;UNIV NACL SAN JUAN,FAC INGN,INST MAT &amp;amp; SUELOS,RA-5400 SAN JUAN,ARGENTINA&lt;/auth-address&gt;&lt;rec-number&gt;175&lt;/rec-number&gt;&lt;last-updated-date format="utc"&gt;1433906230&lt;/last-updated-date&gt;&lt;accession-num&gt;WOS:A1996UU52800003&lt;/accession-num&gt;&lt;electronic-resource-num&gt;10.1016/S0022-1694(96)80031-X&lt;/electronic-resource-num&gt;&lt;volume&gt;183&lt;/volume&gt;&lt;/record&gt;&lt;/Cite&gt;&lt;/EndNote&gt;</w:instrText>
      </w:r>
      <w:r w:rsidR="00084CDD" w:rsidRPr="003F4E33">
        <w:fldChar w:fldCharType="separate"/>
      </w:r>
      <w:r w:rsidR="006A6B9D">
        <w:rPr>
          <w:noProof/>
        </w:rPr>
        <w:t>(1996)</w:t>
      </w:r>
      <w:r w:rsidR="00084CDD" w:rsidRPr="003F4E33">
        <w:fldChar w:fldCharType="end"/>
      </w:r>
      <w:r w:rsidRPr="003F4E33">
        <w:t xml:space="preserve">, </w:t>
      </w:r>
      <w:r w:rsidR="003F4E33" w:rsidRPr="003F4E33">
        <w:t xml:space="preserve">Wen and Gomez-Hernandez </w:t>
      </w:r>
      <w:r w:rsidR="00084CDD" w:rsidRPr="003F4E33">
        <w:fldChar w:fldCharType="begin"/>
      </w:r>
      <w:r w:rsidR="006928E7">
        <w:instrText xml:space="preserve"> ADDIN EN.CITE &lt;EndNote&gt;&lt;Cite ExcludeAuth="1"&gt;&lt;Author&gt;Wen&lt;/Author&gt;&lt;Year&gt;1996&lt;/Year&gt;&lt;IDText&gt;Upscaling hydraulic conductivities in heterogeneous media: An overview&lt;/IDText&gt;&lt;DisplayText&gt;(1996)&lt;/DisplayText&gt;&lt;record&gt;&lt;dates&gt;&lt;pub-dates&gt;&lt;date&gt;AUG 1996&lt;/date&gt;&lt;/pub-dates&gt;&lt;year&gt;1996&lt;/year&gt;&lt;/dates&gt;&lt;keywords&gt;&lt;keyword&gt;NUMERICAL SPECTRAL APPROACH&lt;/keyword&gt;&lt;keyword&gt;GRID BLOCK PERMEABILITY&lt;/keyword&gt;&lt;keyword&gt;MODEL PARAMETER VALUES&lt;/keyword&gt;&lt;keyword&gt;POROUS-MEDIA&lt;/keyword&gt;&lt;keyword&gt;SPATIAL VARIABILITY&lt;/keyword&gt;&lt;keyword&gt;STOCHASTIC-ANALYSIS&lt;/keyword&gt;&lt;keyword&gt;GROUNDWATER-FLOW&lt;/keyword&gt;&lt;keyword&gt;INVERSE PROBLEM&lt;/keyword&gt;&lt;keyword&gt;CONDITIONAL PROBABILITIES&lt;/keyword&gt;&lt;keyword&gt;TRANSPORT-PROPERTIES&lt;/keyword&gt;&lt;/keywords&gt;&lt;isbn&gt;0022-1694&lt;/isbn&gt;&lt;work-type&gt;Article&lt;/work-type&gt;&lt;titles&gt;&lt;title&gt;Upscaling hydraulic conductivities in heterogeneous media: An overview&lt;/title&gt;&lt;secondary-title&gt;Journal of Hydrology&lt;/secondary-title&gt;&lt;/titles&gt;&lt;pages&gt;R9-R32&lt;/pages&gt;&lt;number&gt;1-2&lt;/number&gt;&lt;contributors&gt;&lt;authors&gt;&lt;author&gt;Wen, XH&lt;/author&gt;&lt;author&gt;GomezHernandez, JJ&lt;/author&gt;&lt;/authors&gt;&lt;/contributors&gt;&lt;language&gt;English&lt;/language&gt;&lt;added-date format="utc"&gt;1433831587&lt;/added-date&gt;&lt;ref-type name="Journal Article"&gt;17&lt;/ref-type&gt;&lt;auth-address&gt;UNIV POLITECN VALENCIA,DEPT HYDRAUL &amp;amp; ENVIRONM ENGN,E-46071 VALENCIA,SPAIN&lt;/auth-address&gt;&lt;rec-number&gt;182&lt;/rec-number&gt;&lt;last-updated-date format="utc"&gt;1433831587&lt;/last-updated-date&gt;&lt;accession-num&gt;WOS:A1996UU52800002&lt;/accession-num&gt;&lt;electronic-resource-num&gt;10.1016/S0022-1694(96)80030-8&lt;/electronic-resource-num&gt;&lt;volume&gt;183&lt;/volume&gt;&lt;/record&gt;&lt;/Cite&gt;&lt;/EndNote&gt;</w:instrText>
      </w:r>
      <w:r w:rsidR="00084CDD" w:rsidRPr="003F4E33">
        <w:fldChar w:fldCharType="separate"/>
      </w:r>
      <w:r w:rsidR="006928E7">
        <w:rPr>
          <w:noProof/>
        </w:rPr>
        <w:t>(1996)</w:t>
      </w:r>
      <w:r w:rsidR="00084CDD" w:rsidRPr="003F4E33">
        <w:fldChar w:fldCharType="end"/>
      </w:r>
      <w:r w:rsidRPr="003F4E33">
        <w:t xml:space="preserve">, </w:t>
      </w:r>
      <w:r w:rsidR="00DB1D1A">
        <w:t xml:space="preserve">Renard and de Marsily </w:t>
      </w:r>
      <w:r w:rsidR="00084CDD">
        <w:fldChar w:fldCharType="begin"/>
      </w:r>
      <w:r w:rsidR="00DB1D1A">
        <w:instrText xml:space="preserve"> ADDIN EN.CITE &lt;EndNote&gt;&lt;Cite ExcludeAuth="1"&gt;&lt;Author&gt;Renard&lt;/Author&gt;&lt;Year&gt;1997&lt;/Year&gt;&lt;IDText&gt;Calculating equivalent permeability: A review&lt;/IDText&gt;&lt;DisplayText&gt;(1997)&lt;/DisplayText&gt;&lt;record&gt;&lt;dates&gt;&lt;pub-dates&gt;&lt;date&gt;OCT-DEC 1997&lt;/date&gt;&lt;/pub-dates&gt;&lt;year&gt;1997&lt;/year&gt;&lt;/dates&gt;&lt;keywords&gt;&lt;keyword&gt;heterogeneous porous medium&lt;/keyword&gt;&lt;keyword&gt;monophasic flow&lt;/keyword&gt;&lt;keyword&gt;equivalent permeability&lt;/keyword&gt;&lt;keyword&gt;upscaling techniques&lt;/keyword&gt;&lt;keyword&gt;HETEROGENEOUS POROUS-MEDIA&lt;/keyword&gt;&lt;keyword&gt;EFFECTIVE HYDRAULIC CONDUCTIVITY&lt;/keyword&gt;&lt;keyword&gt;NUMERICAL SPECTRAL APPROACH&lt;/keyword&gt;&lt;keyword&gt;GRID BLOCK PERMEABILITY&lt;/keyword&gt;&lt;keyword&gt;STOCHASTIC-ANALYSIS&lt;/keyword&gt;&lt;keyword&gt;GROUNDWATER-FLOW&lt;/keyword&gt;&lt;keyword&gt;STEADY-STATE&lt;/keyword&gt;&lt;keyword&gt;SCALE&lt;/keyword&gt;&lt;keyword&gt;TENSOR&lt;/keyword&gt;&lt;keyword&gt;RENORMALIZATION&lt;/keyword&gt;&lt;/keywords&gt;&lt;isbn&gt;0309-1708&lt;/isbn&gt;&lt;work-type&gt;Review&lt;/work-type&gt;&lt;titles&gt;&lt;title&gt;Calculating equivalent permeability: A review&lt;/title&gt;&lt;secondary-title&gt;Advances in Water Resources&lt;/secondary-title&gt;&lt;/titles&gt;&lt;pages&gt;253-278&lt;/pages&gt;&lt;number&gt;5-6&lt;/number&gt;&lt;contributors&gt;&lt;authors&gt;&lt;author&gt;Renard, P&lt;/author&gt;&lt;author&gt;deMarsily, G&lt;/author&gt;&lt;/authors&gt;&lt;/contributors&gt;&lt;language&gt;English&lt;/language&gt;&lt;added-date format="utc"&gt;1433833538&lt;/added-date&gt;&lt;ref-type name="Journal Article"&gt;17&lt;/ref-type&gt;&lt;auth-address&gt;Renard, P (reprint author), ECOLE MINES PARIS,CTR INFORMAT GEOL,35 RUE ST HONORE,F-77305 FONTAINEBLEAU,FRANCE&lt;/auth-address&gt;&lt;rec-number&gt;188&lt;/rec-number&gt;&lt;last-updated-date format="utc"&gt;1433833538&lt;/last-updated-date&gt;&lt;accession-num&gt;WOS:A1997WN49200002&lt;/accession-num&gt;&lt;electronic-resource-num&gt;10.1016/S0309-1708(96)00050-4&lt;/electronic-resource-num&gt;&lt;volume&gt;20&lt;/volume&gt;&lt;/record&gt;&lt;/Cite&gt;&lt;/EndNote&gt;</w:instrText>
      </w:r>
      <w:r w:rsidR="00084CDD">
        <w:fldChar w:fldCharType="separate"/>
      </w:r>
      <w:r w:rsidR="00DB1D1A">
        <w:rPr>
          <w:noProof/>
        </w:rPr>
        <w:t>(1997)</w:t>
      </w:r>
      <w:r w:rsidR="00084CDD">
        <w:fldChar w:fldCharType="end"/>
      </w:r>
      <w:r w:rsidR="00DB1D1A">
        <w:t xml:space="preserve"> </w:t>
      </w:r>
      <w:r>
        <w:t>and</w:t>
      </w:r>
      <w:r w:rsidRPr="00C9274B">
        <w:t xml:space="preserve"> </w:t>
      </w:r>
      <w:r w:rsidR="003F4E33">
        <w:t xml:space="preserve">Sanchez-Vila </w:t>
      </w:r>
      <w:r w:rsidR="00810442">
        <w:t xml:space="preserve">et al., </w:t>
      </w:r>
      <w:r w:rsidR="00084CDD" w:rsidRPr="003F4E33">
        <w:fldChar w:fldCharType="begin"/>
      </w:r>
      <w:r w:rsidR="00DD7015">
        <w:instrText xml:space="preserve"> ADDIN EN.CITE &lt;EndNote&gt;&lt;Cite ExcludeAuth="1"&gt;&lt;Author&gt;Sanchez-Vila&lt;/Author&gt;&lt;Year&gt;2006&lt;/Year&gt;&lt;IDText&gt;Representative hydraulic conductivities in saturated groundwater flow&lt;/IDText&gt;&lt;DisplayText&gt;(2006)&lt;/DisplayText&gt;&lt;record&gt;&lt;dates&gt;&lt;pub-dates&gt;&lt;date&gt;SEP 23 2006&lt;/date&gt;&lt;/pub-dates&gt;&lt;year&gt;2006&lt;/year&gt;&lt;/dates&gt;&lt;keywords&gt;&lt;keyword&gt;HETEROGENEOUS POROUS-MEDIA&lt;/keyword&gt;&lt;keyword&gt;STEADY-STATE FLOW&lt;/keyword&gt;&lt;keyword&gt;EFFECTIVE-MEDIUM APPROXIMATION&lt;/keyword&gt;&lt;keyword&gt;TRUNCATED POWER VARIOGRAMS&lt;/keyword&gt;&lt;keyword&gt;UNSATURATED FRACTURED TUFF&lt;/keyword&gt;&lt;keyword&gt;STOCHASTIC-CONCEPTUAL ANALYSIS&lt;/keyword&gt;&lt;keyword&gt;NONUNIFORM HOMOGENEOUS MEDIA&lt;/keyword&gt;&lt;keyword&gt;RADIALLY CONVERGENT FLOW&lt;/keyword&gt;&lt;keyword&gt;BLOCK-SCALE PERMEABILITY&lt;/keyword&gt;&lt;keyword&gt;MODEL PARAMETER VALUES&lt;/keyword&gt;&lt;/keywords&gt;&lt;isbn&gt;8755-1209&lt;/isbn&gt;&lt;work-type&gt;Review&lt;/work-type&gt;&lt;titles&gt;&lt;title&gt;Representative hydraulic conductivities in saturated groundwater flow&lt;/title&gt;&lt;secondary-title&gt;Reviews of Geophysics&lt;/secondary-title&gt;&lt;/titles&gt;&lt;number&gt;3&lt;/number&gt;&lt;contributors&gt;&lt;authors&gt;&lt;author&gt;Sanchez-Vila, X&lt;/author&gt;&lt;author&gt;Guadagnini, A&lt;/author&gt;&lt;author&gt;Carrera, J&lt;/author&gt;&lt;/authors&gt;&lt;/contributors&gt;&lt;custom7&gt;ARTN RG3002&lt;/custom7&gt;&lt;language&gt;English&lt;/language&gt;&lt;added-date format="utc"&gt;1433829671&lt;/added-date&gt;&lt;ref-type name="Journal Article"&gt;17&lt;/ref-type&gt;&lt;auth-address&gt;Sanchez-Vila, X (reprint author), Tech Univ Catalonia, Dept Geotech Engn &amp;amp; Geosci, Gran Capita S-N, Barcelona 08034, Spain&amp;#xD;Tech Univ Catalonia, Dept Geotech Engn &amp;amp; Geosci, Barcelona 08034, Spain&amp;#xD;Politecn Milan, Dipartimento Ingn Idraul Ambientale Infrastruttur, I-20133 Milan, Italy&amp;#xD;alberto.guadagnini@polimi.it&lt;/auth-address&gt;&lt;rec-number&gt;176&lt;/rec-number&gt;&lt;last-updated-date format="utc"&gt;1433829671&lt;/last-updated-date&gt;&lt;accession-num&gt;WOS:000240830100001&lt;/accession-num&gt;&lt;electronic-resource-num&gt;10.1029/2005RG000169&lt;/electronic-resource-num&gt;&lt;volume&gt;44&lt;/volume&gt;&lt;/record&gt;&lt;/Cite&gt;&lt;/EndNote&gt;</w:instrText>
      </w:r>
      <w:r w:rsidR="00084CDD" w:rsidRPr="003F4E33">
        <w:fldChar w:fldCharType="separate"/>
      </w:r>
      <w:r w:rsidR="00DD7015">
        <w:rPr>
          <w:noProof/>
        </w:rPr>
        <w:t>(2006)</w:t>
      </w:r>
      <w:r w:rsidR="00084CDD" w:rsidRPr="003F4E33">
        <w:fldChar w:fldCharType="end"/>
      </w:r>
      <w:r w:rsidRPr="003F4E33">
        <w:t xml:space="preserve">. Sanchez-Vila </w:t>
      </w:r>
      <w:r w:rsidR="00810442">
        <w:t xml:space="preserve">et al. </w:t>
      </w:r>
      <w:r w:rsidR="00084CDD" w:rsidRPr="003F4E33">
        <w:fldChar w:fldCharType="begin"/>
      </w:r>
      <w:r w:rsidR="00DD7015">
        <w:instrText xml:space="preserve"> ADDIN EN.CITE &lt;EndNote&gt;&lt;Cite ExcludeAuth="1"&gt;&lt;Author&gt;Sanchez-Vila&lt;/Author&gt;&lt;Year&gt;1995&lt;/Year&gt;&lt;IDText&gt;A SYNTHESIS OF APPROACHES TO UPSCALING OF HYDRAULIC CONDUCTIVITIES&lt;/IDText&gt;&lt;DisplayText&gt;(1995)&lt;/DisplayText&gt;&lt;record&gt;&lt;dates&gt;&lt;pub-dates&gt;&lt;date&gt;APR 1995&lt;/date&gt;&lt;/pub-dates&gt;&lt;year&gt;1995&lt;/year&gt;&lt;/dates&gt;&lt;keywords&gt;&lt;keyword&gt;HETEROGENEOUS POROUS-MEDIA&lt;/keyword&gt;&lt;keyword&gt;GRID BLOCK PERMEABILITY&lt;/keyword&gt;&lt;keyword&gt;MODEL PARAMETER VALUES&lt;/keyword&gt;&lt;keyword&gt;SPATIAL VARIABILITY&lt;/keyword&gt;&lt;keyword&gt;STOCHASTIC-ANALYSIS&lt;/keyword&gt;&lt;keyword&gt;GROUNDWATER-FLOW&lt;/keyword&gt;&lt;keyword&gt;SIMULATIONS&lt;/keyword&gt;&lt;keyword&gt;LEAKANCE&lt;/keyword&gt;&lt;keyword&gt;RECHARGE&lt;/keyword&gt;&lt;/keywords&gt;&lt;isbn&gt;0043-1397&lt;/isbn&gt;&lt;work-type&gt;Article&lt;/work-type&gt;&lt;titles&gt;&lt;title&gt;A SYNTHESIS OF APPROACHES TO UPSCALING OF HYDRAULIC CONDUCTIVITIES&lt;/title&gt;&lt;secondary-title&gt;Water Resources Research&lt;/secondary-title&gt;&lt;/titles&gt;&lt;pages&gt;867-882&lt;/pages&gt;&lt;number&gt;4&lt;/number&gt;&lt;contributors&gt;&lt;authors&gt;&lt;author&gt;Sanchez-Vila, X&lt;/author&gt;&lt;author&gt;Girardi, JP&lt;/author&gt;&lt;author&gt;Carerra, J&lt;/author&gt;&lt;/authors&gt;&lt;/contributors&gt;&lt;language&gt;English&lt;/language&gt;&lt;added-date format="utc"&gt;1433829231&lt;/added-date&gt;&lt;ref-type name="Journal Article"&gt;17&lt;/ref-type&gt;&lt;auth-address&gt;SANCHEZVILA, X (reprint author), UNIV POLITECN CATALUNYA,ESCOLA TECN SUPER ENGN CAMINS,DEPT MATEMAT APLICADA 3,E-08034 BARCELONA,SPAIN&amp;#xD;UNIV NACL SAN JUAN,CONSEJO NACL INVEST CIENT &amp;amp; TECN,SAN JUAN,ARGENTINA&amp;#xD;UNIV POLITECN CATALUNYA,ESCOLA TECN SUPER ENGN CAMINS,DEPT ENGN TERRENY,BARCELONA,SPAIN&lt;/auth-address&gt;&lt;rec-number&gt;174&lt;/rec-number&gt;&lt;last-updated-date format="utc"&gt;1433906319&lt;/last-updated-date&gt;&lt;accession-num&gt;WOS:A1995QQ32000007&lt;/accession-num&gt;&lt;electronic-resource-num&gt;10.1029/94WR02754&lt;/electronic-resource-num&gt;&lt;volume&gt;31&lt;/volume&gt;&lt;/record&gt;&lt;/Cite&gt;&lt;/EndNote&gt;</w:instrText>
      </w:r>
      <w:r w:rsidR="00084CDD" w:rsidRPr="003F4E33">
        <w:fldChar w:fldCharType="separate"/>
      </w:r>
      <w:r w:rsidR="00DD7015">
        <w:rPr>
          <w:noProof/>
        </w:rPr>
        <w:t>(1995)</w:t>
      </w:r>
      <w:r w:rsidR="00084CDD" w:rsidRPr="003F4E33">
        <w:fldChar w:fldCharType="end"/>
      </w:r>
      <w:r w:rsidRPr="003F4E33">
        <w:t xml:space="preserve"> re</w:t>
      </w:r>
      <w:r w:rsidRPr="00C9274B">
        <w:t xml:space="preserve">viewed </w:t>
      </w:r>
      <w:r w:rsidR="00761E02">
        <w:t xml:space="preserve">several </w:t>
      </w:r>
      <w:r w:rsidRPr="00C9274B">
        <w:t>analytical approaches to parameter upscaling</w:t>
      </w:r>
      <w:r w:rsidR="00761E02">
        <w:t>,</w:t>
      </w:r>
      <w:r w:rsidRPr="00C9274B">
        <w:t xml:space="preserve"> </w:t>
      </w:r>
      <w:r w:rsidR="00761E02">
        <w:t xml:space="preserve">including those </w:t>
      </w:r>
      <w:r w:rsidRPr="00C9274B">
        <w:t xml:space="preserve">by </w:t>
      </w:r>
      <w:r w:rsidR="009607E4">
        <w:t xml:space="preserve">Rubin and Gomez-Hernandez </w:t>
      </w:r>
      <w:r w:rsidR="00084CDD">
        <w:fldChar w:fldCharType="begin"/>
      </w:r>
      <w:r w:rsidR="00DD7015">
        <w:instrText xml:space="preserve"> ADDIN EN.CITE &lt;EndNote&gt;&lt;Cite ExcludeAuth="1"&gt;&lt;Author&gt;Rubin&lt;/Author&gt;&lt;Year&gt;1990&lt;/Year&gt;&lt;IDText&gt;A STOCHASTIC APPROACH TO THE PROBLEM OF UPSCALING OF CONDUCTIVITY IN DISORDERED MEDIA - THEORY AND UNCONDITIONAL NUMERICAL SIMULATIONS&lt;/IDText&gt;&lt;DisplayText&gt;(1990)&lt;/DisplayText&gt;&lt;record&gt;&lt;dates&gt;&lt;pub-dates&gt;&lt;date&gt;APR 1990&lt;/date&gt;&lt;/pub-dates&gt;&lt;year&gt;1990&lt;/year&gt;&lt;/dates&gt;&lt;keywords&gt;&lt;keyword&gt;Environmental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Resources&lt;/keyword&gt;&lt;/keywords&gt;&lt;isbn&gt;0043-1397&lt;/isbn&gt;&lt;work-type&gt;Article&lt;/work-type&gt;&lt;titles&gt;&lt;title&gt;A STOCHASTIC APPROACH TO THE PROBLEM OF UPSCALING OF CONDUCTIVITY IN DISORDERED MEDIA - THEORY AND UNCONDITIONAL NUMERICAL SIMULATIONS&lt;/title&gt;&lt;secondary-title&gt;Water Resources Research&lt;/secondary-title&gt;&lt;/titles&gt;&lt;pages&gt;691-701&lt;/pages&gt;&lt;number&gt;4&lt;/number&gt;&lt;contributors&gt;&lt;authors&gt;&lt;author&gt;Rubin, Y&lt;/author&gt;&lt;author&gt;Gomez-Hernandez, JJ&lt;/author&gt;&lt;/authors&gt;&lt;/contributors&gt;&lt;language&gt;English&lt;/language&gt;&lt;added-date format="utc"&gt;1434093798&lt;/added-date&gt;&lt;ref-type name="Journal Article"&gt;17&lt;/ref-type&gt;&lt;auth-address&gt;STANFORD UNIV,DEPT APPL EARTH SCI,STANFORD,CA 94305&lt;/auth-address&gt;&lt;rec-number&gt;256&lt;/rec-number&gt;&lt;last-updated-date format="utc"&gt;1434094332&lt;/last-updated-date&gt;&lt;accession-num&gt;WOS:A1990CY71500015&lt;/accession-num&gt;&lt;electronic-resource-num&gt;10.1029/WR026i004p00691&lt;/electronic-resource-num&gt;&lt;volume&gt;26&lt;/volume&gt;&lt;/record&gt;&lt;/Cite&gt;&lt;/EndNote&gt;</w:instrText>
      </w:r>
      <w:r w:rsidR="00084CDD">
        <w:fldChar w:fldCharType="separate"/>
      </w:r>
      <w:r w:rsidR="00DD7015">
        <w:rPr>
          <w:noProof/>
        </w:rPr>
        <w:t>(1990)</w:t>
      </w:r>
      <w:r w:rsidR="00084CDD">
        <w:fldChar w:fldCharType="end"/>
      </w:r>
      <w:r w:rsidRPr="009607E4">
        <w:t xml:space="preserve">, Durlofsky </w:t>
      </w:r>
      <w:r w:rsidR="00084CDD">
        <w:fldChar w:fldCharType="begin">
          <w:fldData xml:space="preserve">PEVuZE5vdGU+PENpdGUgRXhjbHVkZUF1dGg9IjEiPjxBdXRob3I+RHVybG9mc2t5PC9BdXRob3I+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</w:fldData>
        </w:fldChar>
      </w:r>
      <w:r w:rsidR="00DD7015">
        <w:instrText xml:space="preserve"> ADDIN EN.CITE </w:instrText>
      </w:r>
      <w:r w:rsidR="00084CDD">
        <w:fldChar w:fldCharType="begin">
          <w:fldData xml:space="preserve">PEVuZE5vdGU+PENpdGUgRXhjbHVkZUF1dGg9IjEiPjxBdXRob3I+RHVybG9mc2t5PC9BdXRob3I+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</w:fldData>
        </w:fldChar>
      </w:r>
      <w:r w:rsidR="00DD7015">
        <w:instrText xml:space="preserve"> ADDIN EN.CITE.DATA </w:instrText>
      </w:r>
      <w:r w:rsidR="00084CDD">
        <w:fldChar w:fldCharType="end"/>
      </w:r>
      <w:r w:rsidR="00084CDD">
        <w:fldChar w:fldCharType="separate"/>
      </w:r>
      <w:r w:rsidR="00DD7015">
        <w:rPr>
          <w:noProof/>
        </w:rPr>
        <w:t>(1991; 1992)</w:t>
      </w:r>
      <w:r w:rsidR="00084CDD">
        <w:fldChar w:fldCharType="end"/>
      </w:r>
      <w:r w:rsidRPr="009607E4">
        <w:t xml:space="preserve">, Desbarats </w:t>
      </w:r>
      <w:r w:rsidR="00084CDD">
        <w:fldChar w:fldCharType="begin"/>
      </w:r>
      <w:r w:rsidR="00C578F5">
        <w:instrText xml:space="preserve"> ADDIN EN.CITE &lt;EndNote&gt;&lt;Cite ExcludeAuth="1"&gt;&lt;Author&gt;Desbarats&lt;/Author&gt;&lt;Year&gt;1992&lt;/Year&gt;&lt;IDText&gt;Spatial averaging of hydraulic conductivity in 3-dimensional heterogeneous porous media&lt;/IDText&gt;&lt;DisplayText&gt;(1992)&lt;/DisplayText&gt;&lt;record&gt;&lt;dates&gt;&lt;pub-dates&gt;&lt;date&gt;APR 1992&lt;/date&gt;&lt;/pub-dates&gt;&lt;year&gt;1992&lt;/year&gt;&lt;/dates&gt;&lt;keywords&gt;&lt;keyword&gt;FLUID FLOW IN POROUS MEDIA&lt;/keyword&gt;&lt;keyword&gt;SIMULATOR PARAMETER ASSIGNMENT&lt;/keyword&gt;&lt;keyword&gt;HYDRAULIC CONDUCTIVITY&lt;/keyword&gt;&lt;keyword&gt;POWER-AVERAGING&lt;/keyword&gt;&lt;keyword&gt;MODEL PARAMETER VALUES&lt;/keyword&gt;&lt;keyword&gt;STOCHASTIC-ANALYSIS&lt;/keyword&gt;&lt;keyword&gt;GROUNDWATER-FLOW&lt;/keyword&gt;&lt;keyword&gt;STEADY-STATE&lt;/keyword&gt;&lt;keyword&gt;VARIABILITY&lt;/keyword&gt;&lt;keyword&gt;SIMULATIONS&lt;/keyword&gt;&lt;keyword&gt;LEAKANCE&lt;/keyword&gt;&lt;keyword&gt;RECHARGE&lt;/keyword&gt;&lt;keyword&gt;AQUIFERS&lt;/keyword&gt;&lt;keyword&gt;Geosciences, Multidisciplinary&lt;/keyword&gt;&lt;keyword&gt;Mathematics, Interdisciplinary Applications&lt;/keyword&gt;&lt;keyword&gt;Geology&lt;/keyword&gt;&lt;keyword&gt;Mathematics&lt;/keyword&gt;&lt;/keywords&gt;&lt;isbn&gt;0882-8121&lt;/isbn&gt;&lt;work-type&gt;Article&lt;/work-type&gt;&lt;titles&gt;&lt;title&gt;Spatial averaging of hydraulic conductivity in 3-dimensional heterogeneous porous media&lt;/title&gt;&lt;secondary-title&gt;Mathematical Geology&lt;/secondary-title&gt;&lt;/titles&gt;&lt;pages&gt;249-267&lt;/pages&gt;&lt;number&gt;3&lt;/number&gt;&lt;contributors&gt;&lt;authors&gt;&lt;author&gt;Desbarats, AJ&lt;/author&gt;&lt;/authors&gt;&lt;/contributors&gt;&lt;language&gt;English&lt;/language&gt;&lt;added-date format="utc"&gt;1434093940&lt;/added-date&gt;&lt;ref-type name="Journal Article"&gt;17&lt;/ref-type&gt;&lt;auth-address&gt;DESBARATS, AJ (reprint author), GEOL SURVEY CANADA,601 BOOTH ST,OTTAWA K1A 0E8,ONTARIO,CANADA&lt;/auth-address&gt;&lt;rec-number&gt;259&lt;/rec-number&gt;&lt;last-updated-date format="utc"&gt;1434094108&lt;/last-updated-date&gt;&lt;accession-num&gt;WOS:A1992HM14400002&lt;/accession-num&gt;&lt;electronic-resource-num&gt;10.1007/BF00893749&lt;/electronic-resource-num&gt;&lt;volume&gt;24&lt;/volume&gt;&lt;/record&gt;&lt;/Cite&gt;&lt;/EndNote&gt;</w:instrText>
      </w:r>
      <w:r w:rsidR="00084CDD">
        <w:fldChar w:fldCharType="separate"/>
      </w:r>
      <w:r w:rsidR="00C578F5">
        <w:rPr>
          <w:noProof/>
        </w:rPr>
        <w:t>(1992)</w:t>
      </w:r>
      <w:r w:rsidR="00084CDD">
        <w:fldChar w:fldCharType="end"/>
      </w:r>
      <w:r w:rsidRPr="009607E4">
        <w:t xml:space="preserve"> and Indelman and Dagan </w:t>
      </w:r>
      <w:r w:rsidR="00084CDD">
        <w:fldChar w:fldCharType="begin">
          <w:fldData xml:space="preserve">PEVuZE5vdGU+PENpdGUgRXhjbHVkZUF1dGg9IjEiPjxBdXRob3I+SW5kZWxtYW48L0F1dGhvcj48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=
</w:fldData>
        </w:fldChar>
      </w:r>
      <w:r w:rsidR="00121FAD">
        <w:instrText xml:space="preserve"> ADDIN EN.CITE </w:instrText>
      </w:r>
      <w:r w:rsidR="00084CDD">
        <w:fldChar w:fldCharType="begin">
          <w:fldData xml:space="preserve">PEVuZE5vdGU+PENpdGUgRXhjbHVkZUF1dGg9IjEiPjxBdXRob3I+SW5kZWxtYW48L0F1dGhvcj48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=
</w:fldData>
        </w:fldChar>
      </w:r>
      <w:r w:rsidR="00121FAD">
        <w:instrText xml:space="preserve"> ADDIN EN.CITE.DATA </w:instrText>
      </w:r>
      <w:r w:rsidR="00084CDD">
        <w:fldChar w:fldCharType="end"/>
      </w:r>
      <w:r w:rsidR="00084CDD">
        <w:fldChar w:fldCharType="separate"/>
      </w:r>
      <w:r w:rsidR="00121FAD">
        <w:rPr>
          <w:noProof/>
        </w:rPr>
        <w:t>(1993a; 1993b; 1993c)</w:t>
      </w:r>
      <w:r w:rsidR="00084CDD">
        <w:fldChar w:fldCharType="end"/>
      </w:r>
      <w:r w:rsidR="00761E02">
        <w:t>,</w:t>
      </w:r>
      <w:r w:rsidRPr="009607E4">
        <w:t xml:space="preserve"> and</w:t>
      </w:r>
      <w:r w:rsidRPr="00C9274B">
        <w:t xml:space="preserve"> provided comparisons to numerical results.</w:t>
      </w:r>
      <w:r w:rsidR="00E975A6" w:rsidRPr="00E975A6">
        <w:t xml:space="preserve"> In addition, stochastic approaches to the upscaling of hydraulic properties have been sum</w:t>
      </w:r>
      <w:r w:rsidR="00B374D1">
        <w:t>marised in numerous monographs [</w:t>
      </w:r>
      <w:r w:rsidR="00E975A6" w:rsidRPr="00E975A6">
        <w:t xml:space="preserve">e.g., </w:t>
      </w:r>
      <w:r w:rsidR="00E975A6" w:rsidRPr="00B374D1">
        <w:t>Gelhar</w:t>
      </w:r>
      <w:r w:rsidR="0048392A" w:rsidRPr="00B374D1">
        <w:t xml:space="preserve"> </w:t>
      </w:r>
      <w:r w:rsidR="00084CDD">
        <w:fldChar w:fldCharType="begin"/>
      </w:r>
      <w:r w:rsidR="00B374D1">
        <w:instrText xml:space="preserve"> ADDIN EN.CITE &lt;EndNote&gt;&lt;Cite ExcludeAuth="1"&gt;&lt;Author&gt;Gelhar&lt;/Author&gt;&lt;Year&gt;1993&lt;/Year&gt;&lt;IDText&gt;Stochastic Subsurface Hydrology&lt;/IDText&gt;&lt;DisplayText&gt;(1993)&lt;/DisplayText&gt;&lt;record&gt;&lt;titles&gt;&lt;title&gt;Stochastic Subsurface Hydrology&lt;/title&gt;&lt;/titles&gt;&lt;pages&gt;390&lt;/pages&gt;&lt;contributors&gt;&lt;authors&gt;&lt;author&gt;Gelhar, LW&lt;/author&gt;&lt;/authors&gt;&lt;/contributors&gt;&lt;added-date format="utc"&gt;1440735793&lt;/added-date&gt;&lt;pub-location&gt;Englewood Cliffs, NJ, USA&lt;/pub-location&gt;&lt;ref-type name="Book"&gt;6&lt;/ref-type&gt;&lt;dates&gt;&lt;year&gt;1993&lt;/year&gt;&lt;/dates&gt;&lt;rec-number&gt;1237&lt;/rec-number&gt;&lt;publisher&gt;Prentice-Hall&lt;/publisher&gt;&lt;last-updated-date format="utc"&gt;1440735853&lt;/last-updated-date&gt;&lt;/record&gt;&lt;/Cite&gt;&lt;/EndNote&gt;</w:instrText>
      </w:r>
      <w:r w:rsidR="00084CDD">
        <w:fldChar w:fldCharType="separate"/>
      </w:r>
      <w:r w:rsidR="00B374D1">
        <w:rPr>
          <w:noProof/>
        </w:rPr>
        <w:t>(1993)</w:t>
      </w:r>
      <w:r w:rsidR="00084CDD">
        <w:fldChar w:fldCharType="end"/>
      </w:r>
      <w:r w:rsidR="00E975A6" w:rsidRPr="00B374D1">
        <w:t>; Rubin</w:t>
      </w:r>
      <w:r w:rsidR="00B374D1">
        <w:t xml:space="preserve"> </w:t>
      </w:r>
      <w:r w:rsidR="00084CDD">
        <w:fldChar w:fldCharType="begin"/>
      </w:r>
      <w:r w:rsidR="00B374D1">
        <w:instrText xml:space="preserve"> ADDIN EN.CITE &lt;EndNote&gt;&lt;Cite ExcludeAuth="1"&gt;&lt;Author&gt;Rubin&lt;/Author&gt;&lt;Year&gt;2003&lt;/Year&gt;&lt;IDText&gt;Applied stochastic hydrogeology&lt;/IDText&gt;&lt;DisplayText&gt;(2003)&lt;/DisplayText&gt;&lt;record&gt;&lt;titles&gt;&lt;title&gt;Applied stochastic hydrogeology&lt;/title&gt;&lt;/titles&gt;&lt;pages&gt;391&lt;/pages&gt;&lt;contributors&gt;&lt;authors&gt;&lt;author&gt;Rubin, Yoram&lt;/author&gt;&lt;/authors&gt;&lt;/contributors&gt;&lt;added-date format="utc"&gt;1440735970&lt;/added-date&gt;&lt;pub-location&gt;Oxford, UK&lt;/pub-location&gt;&lt;ref-type name="Book"&gt;6&lt;/ref-type&gt;&lt;dates&gt;&lt;year&gt;2003&lt;/year&gt;&lt;/dates&gt;&lt;rec-number&gt;1238&lt;/rec-number&gt;&lt;publisher&gt;Oxford University Press&lt;/publisher&gt;&lt;last-updated-date format="utc"&gt;1440736026&lt;/last-updated-date&gt;&lt;/record&gt;&lt;/Cite&gt;&lt;/EndNote&gt;</w:instrText>
      </w:r>
      <w:r w:rsidR="00084CDD">
        <w:fldChar w:fldCharType="separate"/>
      </w:r>
      <w:r w:rsidR="00B374D1">
        <w:rPr>
          <w:noProof/>
        </w:rPr>
        <w:t>(2003)</w:t>
      </w:r>
      <w:r w:rsidR="00084CDD">
        <w:fldChar w:fldCharType="end"/>
      </w:r>
      <w:r w:rsidR="00B374D1">
        <w:t>]</w:t>
      </w:r>
      <w:r w:rsidR="00E975A6" w:rsidRPr="00E975A6">
        <w:t xml:space="preserve">. </w:t>
      </w:r>
      <w:r w:rsidR="007017BF" w:rsidRPr="007017BF">
        <w:t>Here we discuss three broad categories of upscaling</w:t>
      </w:r>
      <w:r w:rsidR="00F26307">
        <w:t xml:space="preserve"> methods</w:t>
      </w:r>
      <w:r w:rsidR="007017BF" w:rsidRPr="007017BF">
        <w:t xml:space="preserve">: </w:t>
      </w:r>
      <w:r w:rsidR="00F26307">
        <w:t xml:space="preserve">statistical </w:t>
      </w:r>
      <w:r w:rsidR="007017BF" w:rsidRPr="007017BF">
        <w:t xml:space="preserve">approaches, </w:t>
      </w:r>
      <w:r w:rsidR="00F26307">
        <w:t xml:space="preserve">flux-based </w:t>
      </w:r>
      <w:r w:rsidR="007017BF" w:rsidRPr="007017BF">
        <w:t xml:space="preserve">approaches, and </w:t>
      </w:r>
      <w:r w:rsidR="00F26307">
        <w:t>connectivity</w:t>
      </w:r>
      <w:r w:rsidR="00065A17">
        <w:t>-</w:t>
      </w:r>
      <w:r w:rsidR="007017BF" w:rsidRPr="007017BF">
        <w:t>based approaches.</w:t>
      </w:r>
    </w:p>
    <w:p w14:paraId="362EF851" w14:textId="42DE6E72" w:rsidR="00C2679D" w:rsidRDefault="00C2679D" w:rsidP="00C2679D">
      <w:pPr>
        <w:pStyle w:val="Body"/>
      </w:pPr>
      <w:r>
        <w:t>Upscaling that is undertaken in contexts such as that of the present study must thus be considered as specific to a particular purpose, and not assumed to be fit for general use. It follows from the specificity of parameter fields thus sought, that the metric through which they are judged must be clearly defined. In particular, an upscaled parameter field must be sought which maximizes the ability of a coarse‐gridded model to simulate certain aspects of the behaviour of the studied system under a specific stress regime. In the present case this regime is the extraction of water and gas from multiple coal seams comprising a coal measure formation. It cannot therefore be guaranteed that an upscaled parameter field which performs well under these conditions will perform well under an alternative stress regime.</w:t>
      </w:r>
    </w:p>
    <w:p w14:paraId="0AAA5A98" w14:textId="77777777" w:rsidR="00750CE8" w:rsidRDefault="00750CE8" w:rsidP="00A45100">
      <w:pPr>
        <w:pStyle w:val="Body"/>
        <w:rPr>
          <w:b/>
        </w:rPr>
      </w:pPr>
    </w:p>
    <w:p w14:paraId="584F7994" w14:textId="1DFBD2A5" w:rsidR="00D21174" w:rsidRPr="00D21174" w:rsidRDefault="00F26307" w:rsidP="00A45100">
      <w:pPr>
        <w:pStyle w:val="Body"/>
        <w:rPr>
          <w:b/>
        </w:rPr>
      </w:pPr>
      <w:r>
        <w:rPr>
          <w:b/>
        </w:rPr>
        <w:t>Statistical</w:t>
      </w:r>
      <w:r w:rsidR="00D21174">
        <w:rPr>
          <w:b/>
        </w:rPr>
        <w:t xml:space="preserve"> </w:t>
      </w:r>
      <w:r w:rsidR="007744F0">
        <w:rPr>
          <w:b/>
        </w:rPr>
        <w:t xml:space="preserve">or analytical </w:t>
      </w:r>
      <w:r w:rsidR="00D21174">
        <w:rPr>
          <w:b/>
        </w:rPr>
        <w:t>approaches</w:t>
      </w:r>
    </w:p>
    <w:p w14:paraId="7BF7FD80" w14:textId="24B0821D" w:rsidR="00761E02" w:rsidRDefault="00C53B1F" w:rsidP="00E8296A">
      <w:pPr>
        <w:pStyle w:val="Body"/>
      </w:pPr>
      <w:r>
        <w:t xml:space="preserve">Approaches to parameter upscaling </w:t>
      </w:r>
      <w:r w:rsidR="00E975A6">
        <w:t>vary</w:t>
      </w:r>
      <w:r>
        <w:t xml:space="preserve"> in complexity. The simplest</w:t>
      </w:r>
      <w:r w:rsidR="0013645A">
        <w:t>, local</w:t>
      </w:r>
      <w:r>
        <w:t xml:space="preserve"> approach involves calculating the arithmetic, geometric, harmonic, power or volume-weighted mean of a given sample volume</w:t>
      </w:r>
      <w:r w:rsidR="003438E1">
        <w:t xml:space="preserve"> (</w:t>
      </w:r>
      <w:r w:rsidR="00084CDD">
        <w:fldChar w:fldCharType="begin"/>
      </w:r>
      <w:r w:rsidR="003438E1">
        <w:instrText xml:space="preserve"> REF _Ref422400464 \h </w:instrText>
      </w:r>
      <w:r w:rsidR="00084CDD">
        <w:fldChar w:fldCharType="separate"/>
      </w:r>
      <w:r w:rsidR="00C52E30">
        <w:t xml:space="preserve">Table </w:t>
      </w:r>
      <w:r w:rsidR="00C52E30">
        <w:rPr>
          <w:noProof/>
        </w:rPr>
        <w:t>5</w:t>
      </w:r>
      <w:r w:rsidR="00084CDD">
        <w:fldChar w:fldCharType="end"/>
      </w:r>
      <w:r w:rsidR="003438E1">
        <w:t>)</w:t>
      </w:r>
      <w:r>
        <w:t xml:space="preserve">. </w:t>
      </w:r>
      <w:r w:rsidR="00E92709">
        <w:t>Li</w:t>
      </w:r>
      <w:r w:rsidR="008C753A">
        <w:t xml:space="preserve"> </w:t>
      </w:r>
      <w:r w:rsidR="00810442">
        <w:t>et</w:t>
      </w:r>
      <w:r w:rsidR="00EF5DD2">
        <w:t xml:space="preserve"> al.</w:t>
      </w:r>
      <w:r w:rsidR="00E92709">
        <w:t xml:space="preserve"> </w:t>
      </w:r>
      <w:r w:rsidR="00084CDD">
        <w:fldChar w:fldCharType="begin">
          <w:fldData xml:space="preserve">PEVuZE5vdGU+PENpdGUgRXhjbHVkZUF1dGg9IjEiPjxBdXRob3I+TGk8L0F1dGhvcj48WWVhcj4y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</w:fldData>
        </w:fldChar>
      </w:r>
      <w:r w:rsidR="009754DE">
        <w:instrText xml:space="preserve"> ADDIN EN.CITE </w:instrText>
      </w:r>
      <w:r w:rsidR="00084CDD">
        <w:fldChar w:fldCharType="begin">
          <w:fldData xml:space="preserve">PEVuZE5vdGU+PENpdGUgRXhjbHVkZUF1dGg9IjEiPjxBdXRob3I+TGk8L0F1dGhvcj48WWVhcj4y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</w:fldData>
        </w:fldChar>
      </w:r>
      <w:r w:rsidR="009754DE">
        <w:instrText xml:space="preserve"> ADDIN EN.CITE.DATA </w:instrText>
      </w:r>
      <w:r w:rsidR="00084CDD">
        <w:fldChar w:fldCharType="end"/>
      </w:r>
      <w:r w:rsidR="00084CDD">
        <w:fldChar w:fldCharType="separate"/>
      </w:r>
      <w:r w:rsidR="009754DE">
        <w:rPr>
          <w:noProof/>
        </w:rPr>
        <w:t>(2011)</w:t>
      </w:r>
      <w:r w:rsidR="00084CDD">
        <w:fldChar w:fldCharType="end"/>
      </w:r>
      <w:r w:rsidR="00E92709">
        <w:t xml:space="preserve"> summarised upscaling </w:t>
      </w:r>
      <w:r w:rsidR="00D21174">
        <w:t>methods based on mean-based approaches.</w:t>
      </w:r>
      <w:r w:rsidR="00E92709">
        <w:t xml:space="preserve"> F</w:t>
      </w:r>
      <w:r w:rsidR="00E92709" w:rsidRPr="00E92709">
        <w:t xml:space="preserve">or one-dimensional flow in a heterogeneous aquifer, the equivalent hydraulic conductivity </w:t>
      </w:r>
      <w:r w:rsidR="00E92709">
        <w:t xml:space="preserve">is calculated as </w:t>
      </w:r>
      <w:r w:rsidR="00E92709" w:rsidRPr="00E92709">
        <w:t>the harmonic mean of</w:t>
      </w:r>
      <w:r w:rsidR="00E92709">
        <w:t xml:space="preserve"> the hydraulic conductivities </w:t>
      </w:r>
      <w:r w:rsidR="00462C84">
        <w:t>(</w:t>
      </w:r>
      <w:r w:rsidR="00FC4967">
        <w:t>Freeze and Cherry</w:t>
      </w:r>
      <w:r w:rsidR="00462C84">
        <w:t>,</w:t>
      </w:r>
      <w:r w:rsidR="00FC4967">
        <w:t xml:space="preserve"> </w:t>
      </w:r>
      <w:r w:rsidR="00DB1D1A">
        <w:t>1979).</w:t>
      </w:r>
      <w:r w:rsidR="001B05EA">
        <w:t xml:space="preserve"> </w:t>
      </w:r>
      <w:r w:rsidR="00E92709" w:rsidRPr="00E92709">
        <w:t>In two-dimensional</w:t>
      </w:r>
      <w:r w:rsidR="00E92709">
        <w:t xml:space="preserve"> heterogeneous </w:t>
      </w:r>
      <w:r w:rsidR="00E92709" w:rsidRPr="00E92709">
        <w:t xml:space="preserve">media </w:t>
      </w:r>
      <w:r w:rsidR="00E92709">
        <w:t xml:space="preserve">characterised by </w:t>
      </w:r>
      <w:r w:rsidR="00E92709" w:rsidRPr="00E92709">
        <w:t>isotropic spatial correlation and a lognormal probability distribution</w:t>
      </w:r>
      <w:r w:rsidR="00E92709">
        <w:t xml:space="preserve"> of hydraulic conductivity</w:t>
      </w:r>
      <w:r w:rsidR="00E92709" w:rsidRPr="00E92709">
        <w:t xml:space="preserve">, </w:t>
      </w:r>
      <w:r w:rsidR="00E92709">
        <w:t xml:space="preserve">it has been shown that </w:t>
      </w:r>
      <w:r w:rsidR="00E92709" w:rsidRPr="00E92709">
        <w:t xml:space="preserve">the geometric mean </w:t>
      </w:r>
      <w:r w:rsidR="00E92709">
        <w:t xml:space="preserve">is an appropriate means of parameter upscaling </w:t>
      </w:r>
      <w:r w:rsidR="00084CDD">
        <w:fldChar w:fldCharType="begin">
          <w:fldData xml:space="preserve">PEVuZE5vdGU+PENpdGU+PEF1dGhvcj5Hb21lekhlcm5hbmRlejwvQXV0aG9yPjxZZWFyPjE5OTg8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</w:fldData>
        </w:fldChar>
      </w:r>
      <w:r w:rsidR="006A6B9D">
        <w:instrText xml:space="preserve"> ADDIN EN.CITE </w:instrText>
      </w:r>
      <w:r w:rsidR="00084CDD">
        <w:fldChar w:fldCharType="begin">
          <w:fldData xml:space="preserve">PEVuZE5vdGU+PENpdGU+PEF1dGhvcj5Hb21lekhlcm5hbmRlejwvQXV0aG9yPjxZZWFyPjE5OTg8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</w:fldData>
        </w:fldChar>
      </w:r>
      <w:r w:rsidR="006A6B9D">
        <w:instrText xml:space="preserve"> ADDIN EN.CITE.DATA </w:instrText>
      </w:r>
      <w:r w:rsidR="00084CDD">
        <w:fldChar w:fldCharType="end"/>
      </w:r>
      <w:r w:rsidR="00084CDD">
        <w:fldChar w:fldCharType="separate"/>
      </w:r>
      <w:r w:rsidR="006A6B9D">
        <w:rPr>
          <w:noProof/>
        </w:rPr>
        <w:t>(Gomez</w:t>
      </w:r>
      <w:r w:rsidR="00A03001">
        <w:rPr>
          <w:noProof/>
        </w:rPr>
        <w:t>-</w:t>
      </w:r>
      <w:r w:rsidR="006A6B9D">
        <w:rPr>
          <w:noProof/>
        </w:rPr>
        <w:t>Hernandez and Wen, 1998; Sanchez-Vila et al., 1996)</w:t>
      </w:r>
      <w:r w:rsidR="00084CDD">
        <w:fldChar w:fldCharType="end"/>
      </w:r>
      <w:r w:rsidR="00E92709" w:rsidRPr="003F4E33">
        <w:t>.</w:t>
      </w:r>
      <w:r w:rsidR="00E92709">
        <w:t xml:space="preserve"> </w:t>
      </w:r>
    </w:p>
    <w:p w14:paraId="73C5166D" w14:textId="77777777" w:rsidR="000234AA" w:rsidRDefault="000234AA" w:rsidP="00E8296A">
      <w:pPr>
        <w:pStyle w:val="Body"/>
      </w:pPr>
    </w:p>
    <w:p w14:paraId="6AFA4869" w14:textId="77777777" w:rsidR="000234AA" w:rsidRDefault="000234AA" w:rsidP="000234AA">
      <w:pPr>
        <w:pStyle w:val="Imagecaption"/>
        <w:pBdr>
          <w:top w:val="none" w:sz="0" w:space="0" w:color="auto"/>
        </w:pBdr>
      </w:pPr>
      <w:bookmarkStart w:id="177" w:name="_Ref422400464"/>
      <w:bookmarkStart w:id="178" w:name="_Toc449696225"/>
      <w:r>
        <w:t xml:space="preserve">Table </w:t>
      </w:r>
      <w:r w:rsidR="00084CDD">
        <w:fldChar w:fldCharType="begin"/>
      </w:r>
      <w:r w:rsidR="00144B4F">
        <w:instrText xml:space="preserve"> SEQ Table \* ARABIC </w:instrText>
      </w:r>
      <w:r w:rsidR="00084CDD">
        <w:fldChar w:fldCharType="separate"/>
      </w:r>
      <w:r w:rsidR="00C52E30">
        <w:rPr>
          <w:noProof/>
        </w:rPr>
        <w:t>5</w:t>
      </w:r>
      <w:r w:rsidR="00084CDD">
        <w:rPr>
          <w:noProof/>
        </w:rPr>
        <w:fldChar w:fldCharType="end"/>
      </w:r>
      <w:bookmarkEnd w:id="177"/>
      <w:r>
        <w:t xml:space="preserve">. </w:t>
      </w:r>
      <w:r w:rsidR="001B05EA">
        <w:t>Summary of averaging methods</w:t>
      </w:r>
      <w:r w:rsidR="00FC4967">
        <w:t xml:space="preserve"> commonly used in the upscaling of hydraulic properties</w:t>
      </w:r>
      <w:r w:rsidR="001B05EA">
        <w:t>.</w:t>
      </w:r>
      <w:bookmarkEnd w:id="178"/>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0"/>
      </w:tblGrid>
      <w:tr w:rsidR="00A1046D" w:rsidRPr="00523374" w14:paraId="2579B18C" w14:textId="77777777" w:rsidTr="00A1046D">
        <w:tc>
          <w:tcPr>
            <w:tcW w:w="2500" w:type="pct"/>
            <w:tcBorders>
              <w:top w:val="single" w:sz="4" w:space="0" w:color="auto"/>
              <w:bottom w:val="single" w:sz="4" w:space="0" w:color="auto"/>
            </w:tcBorders>
            <w:shd w:val="clear" w:color="auto" w:fill="F2F2F2" w:themeFill="background1" w:themeFillShade="F2"/>
            <w:vAlign w:val="center"/>
          </w:tcPr>
          <w:p w14:paraId="1EB8C4E1" w14:textId="77777777" w:rsidR="00A1046D" w:rsidRPr="00523374" w:rsidRDefault="00A1046D" w:rsidP="001B05EA">
            <w:pPr>
              <w:pStyle w:val="Body"/>
              <w:spacing w:before="20" w:after="20"/>
              <w:ind w:left="1560"/>
            </w:pPr>
            <w:r w:rsidRPr="00523374">
              <w:t>Averaging method</w:t>
            </w:r>
          </w:p>
        </w:tc>
        <w:tc>
          <w:tcPr>
            <w:tcW w:w="2500" w:type="pct"/>
            <w:tcBorders>
              <w:top w:val="single" w:sz="4" w:space="0" w:color="auto"/>
              <w:bottom w:val="single" w:sz="4" w:space="0" w:color="auto"/>
            </w:tcBorders>
            <w:shd w:val="clear" w:color="auto" w:fill="F2F2F2" w:themeFill="background1" w:themeFillShade="F2"/>
            <w:vAlign w:val="center"/>
          </w:tcPr>
          <w:p w14:paraId="3165B266" w14:textId="77777777" w:rsidR="00A1046D" w:rsidRPr="00523374" w:rsidRDefault="00A1046D" w:rsidP="001B05EA">
            <w:pPr>
              <w:pStyle w:val="Body"/>
              <w:spacing w:before="20" w:after="20"/>
              <w:ind w:left="1597"/>
            </w:pPr>
            <w:r w:rsidRPr="00523374">
              <w:t>Equation</w:t>
            </w:r>
          </w:p>
        </w:tc>
      </w:tr>
      <w:tr w:rsidR="00A1046D" w14:paraId="2291CA11" w14:textId="77777777" w:rsidTr="00A1046D">
        <w:trPr>
          <w:trHeight w:val="624"/>
        </w:trPr>
        <w:tc>
          <w:tcPr>
            <w:tcW w:w="2500" w:type="pct"/>
            <w:tcBorders>
              <w:top w:val="single" w:sz="4" w:space="0" w:color="auto"/>
            </w:tcBorders>
            <w:vAlign w:val="center"/>
          </w:tcPr>
          <w:p w14:paraId="489D0E11" w14:textId="23DC7C93" w:rsidR="00A1046D" w:rsidRDefault="001A7158" w:rsidP="001B05EA">
            <w:pPr>
              <w:pStyle w:val="Body"/>
              <w:spacing w:before="20" w:after="20"/>
              <w:ind w:left="1560"/>
            </w:pPr>
            <w:r>
              <w:t>A</w:t>
            </w:r>
            <w:r w:rsidR="00A1046D">
              <w:t>rithmetic</w:t>
            </w:r>
          </w:p>
        </w:tc>
        <w:tc>
          <w:tcPr>
            <w:tcW w:w="2500" w:type="pct"/>
            <w:tcBorders>
              <w:top w:val="single" w:sz="4" w:space="0" w:color="auto"/>
            </w:tcBorders>
            <w:vAlign w:val="center"/>
          </w:tcPr>
          <w:p w14:paraId="4C318395" w14:textId="77777777" w:rsidR="00A1046D" w:rsidRDefault="00A1046D" w:rsidP="001B05EA">
            <w:pPr>
              <w:pStyle w:val="Body"/>
              <w:spacing w:before="20" w:after="20"/>
              <w:ind w:left="1597" w:hanging="1597"/>
            </w:pPr>
            <m:oMathPara>
              <m:oMath>
                <m:r>
                  <w:rPr>
                    <w:rFonts w:ascii="Cambria Math" w:hAnsi="Cambria Math"/>
                  </w:rPr>
                  <m:t>μ=</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i</m:t>
                        </m:r>
                      </m:sub>
                    </m:sSub>
                  </m:e>
                </m:nary>
              </m:oMath>
            </m:oMathPara>
          </w:p>
        </w:tc>
      </w:tr>
      <w:tr w:rsidR="00A1046D" w14:paraId="3D95223C" w14:textId="77777777" w:rsidTr="00A1046D">
        <w:trPr>
          <w:trHeight w:val="624"/>
        </w:trPr>
        <w:tc>
          <w:tcPr>
            <w:tcW w:w="2500" w:type="pct"/>
            <w:vAlign w:val="center"/>
          </w:tcPr>
          <w:p w14:paraId="4E01A6F9" w14:textId="77777777" w:rsidR="00A1046D" w:rsidRDefault="00A1046D" w:rsidP="001B05EA">
            <w:pPr>
              <w:pStyle w:val="Body"/>
              <w:spacing w:before="20" w:after="20"/>
              <w:ind w:left="1560"/>
            </w:pPr>
            <w:r>
              <w:t>weighted arithmetic</w:t>
            </w:r>
          </w:p>
        </w:tc>
        <w:tc>
          <w:tcPr>
            <w:tcW w:w="2500" w:type="pct"/>
            <w:vAlign w:val="center"/>
          </w:tcPr>
          <w:p w14:paraId="306F6C29" w14:textId="77777777" w:rsidR="00A1046D" w:rsidRDefault="00A1046D" w:rsidP="001B05EA">
            <w:pPr>
              <w:pStyle w:val="Body"/>
              <w:spacing w:before="20" w:after="20"/>
              <w:ind w:left="1597" w:hanging="1597"/>
            </w:pPr>
            <m:oMathPara>
              <m:oMath>
                <m:r>
                  <w:rPr>
                    <w:rFonts w:ascii="Cambria Math" w:hAnsi="Cambria Math"/>
                  </w:rPr>
                  <m:t>μ=</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x</m:t>
                            </m:r>
                          </m:e>
                          <m:sub>
                            <m:r>
                              <w:rPr>
                                <w:rFonts w:ascii="Cambria Math" w:hAnsi="Cambria Math"/>
                              </w:rPr>
                              <m:t>i</m:t>
                            </m:r>
                          </m:sub>
                        </m:sSub>
                      </m:e>
                    </m:nary>
                  </m:num>
                  <m:den>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w</m:t>
                            </m:r>
                          </m:e>
                          <m:sub>
                            <m:r>
                              <w:rPr>
                                <w:rFonts w:ascii="Cambria Math" w:hAnsi="Cambria Math"/>
                              </w:rPr>
                              <m:t>i</m:t>
                            </m:r>
                          </m:sub>
                        </m:sSub>
                      </m:e>
                    </m:nary>
                  </m:den>
                </m:f>
              </m:oMath>
            </m:oMathPara>
          </w:p>
        </w:tc>
      </w:tr>
      <w:tr w:rsidR="00A1046D" w14:paraId="2273CEF8" w14:textId="77777777" w:rsidTr="00A1046D">
        <w:trPr>
          <w:trHeight w:val="624"/>
        </w:trPr>
        <w:tc>
          <w:tcPr>
            <w:tcW w:w="2500" w:type="pct"/>
            <w:vAlign w:val="center"/>
          </w:tcPr>
          <w:p w14:paraId="1D4F1A43" w14:textId="13CF035E" w:rsidR="00A1046D" w:rsidRDefault="001A7158" w:rsidP="001B05EA">
            <w:pPr>
              <w:pStyle w:val="Body"/>
              <w:spacing w:before="20" w:after="20"/>
              <w:ind w:left="1560"/>
            </w:pPr>
            <w:r>
              <w:t>H</w:t>
            </w:r>
            <w:r w:rsidR="00A1046D">
              <w:t>armonic</w:t>
            </w:r>
          </w:p>
        </w:tc>
        <w:tc>
          <w:tcPr>
            <w:tcW w:w="2500" w:type="pct"/>
            <w:vAlign w:val="center"/>
          </w:tcPr>
          <w:p w14:paraId="7EAF343C" w14:textId="77777777" w:rsidR="00A1046D" w:rsidRDefault="00A1046D" w:rsidP="001B05EA">
            <w:pPr>
              <w:pStyle w:val="Body"/>
              <w:spacing w:before="20" w:after="20"/>
              <w:ind w:left="1597" w:hanging="1597"/>
            </w:pPr>
            <m:oMathPara>
              <m:oMath>
                <m:r>
                  <w:rPr>
                    <w:rFonts w:ascii="Cambria Math" w:hAnsi="Cambria Math"/>
                  </w:rPr>
                  <m:t>μ=</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x</m:t>
                            </m:r>
                          </m:e>
                          <m:sub>
                            <m:r>
                              <w:rPr>
                                <w:rFonts w:ascii="Cambria Math" w:hAnsi="Cambria Math"/>
                              </w:rPr>
                              <m:t>i</m:t>
                            </m:r>
                          </m:sub>
                        </m:sSub>
                      </m:den>
                    </m:f>
                  </m:e>
                </m:nary>
              </m:oMath>
            </m:oMathPara>
          </w:p>
        </w:tc>
      </w:tr>
      <w:tr w:rsidR="00A1046D" w14:paraId="798F7BFC" w14:textId="77777777" w:rsidTr="00A1046D">
        <w:trPr>
          <w:trHeight w:val="624"/>
        </w:trPr>
        <w:tc>
          <w:tcPr>
            <w:tcW w:w="2500" w:type="pct"/>
            <w:vAlign w:val="center"/>
          </w:tcPr>
          <w:p w14:paraId="4FD7CC98" w14:textId="0F67756D" w:rsidR="00A1046D" w:rsidRDefault="001A7158" w:rsidP="001B05EA">
            <w:pPr>
              <w:pStyle w:val="Body"/>
              <w:spacing w:before="20" w:after="20"/>
              <w:ind w:left="1560"/>
            </w:pPr>
            <w:r>
              <w:t>G</w:t>
            </w:r>
            <w:r w:rsidR="00A1046D">
              <w:t>eometric</w:t>
            </w:r>
          </w:p>
        </w:tc>
        <w:tc>
          <w:tcPr>
            <w:tcW w:w="2500" w:type="pct"/>
            <w:vAlign w:val="center"/>
          </w:tcPr>
          <w:p w14:paraId="24D0CE85" w14:textId="77777777" w:rsidR="00A1046D" w:rsidRDefault="00A1046D" w:rsidP="001B05EA">
            <w:pPr>
              <w:pStyle w:val="Body"/>
              <w:spacing w:before="20" w:after="20"/>
              <w:ind w:left="1597" w:hanging="1597"/>
            </w:pPr>
            <m:oMathPara>
              <m:oMath>
                <m:r>
                  <w:rPr>
                    <w:rFonts w:ascii="Cambria Math" w:hAnsi="Cambria Math"/>
                  </w:rPr>
                  <m:t>μ=</m:t>
                </m:r>
                <m:sSup>
                  <m:sSupPr>
                    <m:ctrlPr>
                      <w:rPr>
                        <w:rFonts w:ascii="Cambria Math" w:hAnsi="Cambria Math"/>
                        <w:i/>
                      </w:rPr>
                    </m:ctrlPr>
                  </m:sSup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i</m:t>
                                </m:r>
                              </m:sub>
                            </m:sSub>
                          </m:e>
                        </m:nary>
                      </m:e>
                    </m:d>
                  </m:e>
                  <m:sup>
                    <m:f>
                      <m:fPr>
                        <m:type m:val="lin"/>
                        <m:ctrlPr>
                          <w:rPr>
                            <w:rFonts w:ascii="Cambria Math" w:hAnsi="Cambria Math"/>
                            <w:i/>
                          </w:rPr>
                        </m:ctrlPr>
                      </m:fPr>
                      <m:num>
                        <m:r>
                          <w:rPr>
                            <w:rFonts w:ascii="Cambria Math" w:hAnsi="Cambria Math"/>
                          </w:rPr>
                          <m:t>1</m:t>
                        </m:r>
                      </m:num>
                      <m:den>
                        <m:r>
                          <w:rPr>
                            <w:rFonts w:ascii="Cambria Math" w:hAnsi="Cambria Math"/>
                          </w:rPr>
                          <m:t>n</m:t>
                        </m:r>
                      </m:den>
                    </m:f>
                  </m:sup>
                </m:sSup>
              </m:oMath>
            </m:oMathPara>
          </w:p>
        </w:tc>
      </w:tr>
      <w:tr w:rsidR="00A1046D" w14:paraId="449975A9" w14:textId="77777777" w:rsidTr="00A1046D">
        <w:trPr>
          <w:trHeight w:val="624"/>
        </w:trPr>
        <w:tc>
          <w:tcPr>
            <w:tcW w:w="2500" w:type="pct"/>
            <w:vAlign w:val="center"/>
          </w:tcPr>
          <w:p w14:paraId="1094712E" w14:textId="0AE0D1CF" w:rsidR="00A1046D" w:rsidRDefault="001A7158" w:rsidP="001B05EA">
            <w:pPr>
              <w:pStyle w:val="Body"/>
              <w:spacing w:before="20" w:after="120"/>
              <w:ind w:left="1560"/>
            </w:pPr>
            <w:r>
              <w:t>P</w:t>
            </w:r>
            <w:r w:rsidR="00A1046D">
              <w:t>ower</w:t>
            </w:r>
          </w:p>
        </w:tc>
        <w:tc>
          <w:tcPr>
            <w:tcW w:w="2500" w:type="pct"/>
            <w:vAlign w:val="center"/>
          </w:tcPr>
          <w:p w14:paraId="29C6A44A" w14:textId="77777777" w:rsidR="00A1046D" w:rsidRDefault="00A1046D" w:rsidP="001B05EA">
            <w:pPr>
              <w:pStyle w:val="Body"/>
              <w:spacing w:before="20" w:after="120"/>
              <w:ind w:left="1597" w:hanging="1597"/>
            </w:pPr>
            <m:oMathPara>
              <m:oMath>
                <m:r>
                  <w:rPr>
                    <w:rFonts w:ascii="Cambria Math" w:hAnsi="Cambria Math"/>
                  </w:rPr>
                  <m:t>μ=</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ω</m:t>
                                </m:r>
                              </m:sup>
                            </m:sSubSup>
                          </m:e>
                        </m:nary>
                      </m:e>
                    </m:d>
                  </m:e>
                  <m:sup>
                    <m:f>
                      <m:fPr>
                        <m:type m:val="lin"/>
                        <m:ctrlPr>
                          <w:rPr>
                            <w:rFonts w:ascii="Cambria Math" w:hAnsi="Cambria Math"/>
                            <w:i/>
                          </w:rPr>
                        </m:ctrlPr>
                      </m:fPr>
                      <m:num>
                        <m:r>
                          <w:rPr>
                            <w:rFonts w:ascii="Cambria Math" w:hAnsi="Cambria Math"/>
                          </w:rPr>
                          <m:t>1</m:t>
                        </m:r>
                      </m:num>
                      <m:den>
                        <m:r>
                          <w:rPr>
                            <w:rFonts w:ascii="Cambria Math" w:hAnsi="Cambria Math"/>
                          </w:rPr>
                          <m:t>ω</m:t>
                        </m:r>
                      </m:den>
                    </m:f>
                  </m:sup>
                </m:sSup>
              </m:oMath>
            </m:oMathPara>
          </w:p>
        </w:tc>
      </w:tr>
    </w:tbl>
    <w:p w14:paraId="4E43B8DF" w14:textId="77777777" w:rsidR="00761E02" w:rsidRDefault="00761E02" w:rsidP="00761E02">
      <w:pPr>
        <w:pStyle w:val="Body"/>
      </w:pPr>
    </w:p>
    <w:p w14:paraId="1718331B" w14:textId="77777777" w:rsidR="00761E02" w:rsidRDefault="00761E02" w:rsidP="00761E02">
      <w:pPr>
        <w:pStyle w:val="Body"/>
      </w:pPr>
      <w:r>
        <w:t xml:space="preserve">In three-dimensional heterogeneous media, </w:t>
      </w:r>
      <w:r w:rsidRPr="00E92709">
        <w:t xml:space="preserve">Cardwell and Parsons (1945) </w:t>
      </w:r>
      <w:r>
        <w:t xml:space="preserve">showed </w:t>
      </w:r>
      <w:r w:rsidRPr="00E92709">
        <w:t xml:space="preserve">that the </w:t>
      </w:r>
      <w:r>
        <w:t xml:space="preserve">effective </w:t>
      </w:r>
      <w:r w:rsidRPr="00E92709">
        <w:t xml:space="preserve">conductivity </w:t>
      </w:r>
      <w:r>
        <w:t xml:space="preserve">of a given upscaled volume </w:t>
      </w:r>
      <w:r w:rsidRPr="00E92709">
        <w:t>should lie between the arithmetic mean and the harmonic mean</w:t>
      </w:r>
      <w:r w:rsidRPr="00A36B78">
        <w:t xml:space="preserve">. Journel </w:t>
      </w:r>
      <w:r>
        <w:t xml:space="preserve">et al. </w:t>
      </w:r>
      <w:r w:rsidR="00084CDD">
        <w:fldChar w:fldCharType="begin"/>
      </w:r>
      <w:r>
        <w:instrText xml:space="preserve"> ADDIN EN.CITE &lt;EndNote&gt;&lt;Cite ExcludeAuth="1"&gt;&lt;Author&gt;Journel&lt;/Author&gt;&lt;Year&gt;1986&lt;/Year&gt;&lt;IDText&gt;Power Averaging for Block Effective Permeability&lt;/IDText&gt;&lt;DisplayText&gt;(1986)&lt;/DisplayText&gt;&lt;record&gt;&lt;dates&gt;&lt;pub-dates&gt;&lt;date&gt;1986/1/1/&lt;/date&gt;&lt;/pub-dates&gt;&lt;year&gt;1986&lt;/year&gt;&lt;/dates&gt;&lt;titles&gt;&lt;title&gt;Power Averaging for Block Effective Permeability&lt;/title&gt;&lt;secondary-title&gt;SPE California Regional Meeting&lt;/secondary-title&gt;&lt;/titles&gt;&lt;contributors&gt;&lt;authors&gt;&lt;author&gt;Journel, A. G.&lt;/author&gt;&lt;author&gt;Deutsch, C.&lt;/author&gt;&lt;author&gt;Desbarats, A. J.&lt;/author&gt;&lt;/authors&gt;&lt;/contributors&gt;&lt;added-date format="utc"&gt;1433900681&lt;/added-date&gt;&lt;pub-location&gt;Oakland, California &lt;/pub-location&gt;&lt;ref-type name="Conference Paper"&gt;47&lt;/ref-type&gt;&lt;rec-number&gt;222&lt;/rec-number&gt;&lt;publisher&gt;Society of Petroleum Engineers&lt;/publisher&gt;&lt;last-updated-date format="utc"&gt;1433903111&lt;/last-updated-date&gt;&lt;electronic-resource-num&gt;10.2118/15128-MS&lt;/electronic-resource-num&gt;&lt;/record&gt;&lt;/Cite&gt;&lt;/EndNote&gt;</w:instrText>
      </w:r>
      <w:r w:rsidR="00084CDD">
        <w:fldChar w:fldCharType="separate"/>
      </w:r>
      <w:r>
        <w:rPr>
          <w:noProof/>
        </w:rPr>
        <w:t>(1986)</w:t>
      </w:r>
      <w:r w:rsidR="00084CDD">
        <w:fldChar w:fldCharType="end"/>
      </w:r>
      <w:r>
        <w:t xml:space="preserve"> </w:t>
      </w:r>
      <w:r w:rsidRPr="00E92709">
        <w:t xml:space="preserve">proposed the use of power averages (also referred to as </w:t>
      </w:r>
      <w:r w:rsidRPr="001B05EA">
        <w:rPr>
          <w:i/>
        </w:rPr>
        <w:t>ω</w:t>
      </w:r>
      <w:r w:rsidRPr="00E92709">
        <w:t xml:space="preserve">-norms) to estimate </w:t>
      </w:r>
      <w:r>
        <w:t xml:space="preserve">upscaled </w:t>
      </w:r>
      <w:r w:rsidRPr="00E92709">
        <w:t>conductivities</w:t>
      </w:r>
      <w:r>
        <w:t xml:space="preserve"> (</w:t>
      </w:r>
      <w:r w:rsidR="00084CDD">
        <w:fldChar w:fldCharType="begin"/>
      </w:r>
      <w:r>
        <w:instrText xml:space="preserve"> REF _Ref422400464 \h </w:instrText>
      </w:r>
      <w:r w:rsidR="00084CDD">
        <w:fldChar w:fldCharType="separate"/>
      </w:r>
      <w:r w:rsidR="00C52E30">
        <w:t xml:space="preserve">Table </w:t>
      </w:r>
      <w:r w:rsidR="00C52E30">
        <w:rPr>
          <w:noProof/>
        </w:rPr>
        <w:t>5</w:t>
      </w:r>
      <w:r w:rsidR="00084CDD">
        <w:fldChar w:fldCharType="end"/>
      </w:r>
      <w:r>
        <w:t xml:space="preserve">); i.e., the integral of all hydraulic conductivities, each raised to the power </w:t>
      </w:r>
      <w:r w:rsidRPr="001B05EA">
        <w:rPr>
          <w:i/>
        </w:rPr>
        <w:t>ω</w:t>
      </w:r>
      <w:r>
        <w:t>, divided by the volume of observation, raised to the power 1/</w:t>
      </w:r>
      <w:r w:rsidRPr="001B05EA">
        <w:rPr>
          <w:i/>
        </w:rPr>
        <w:t>ω</w:t>
      </w:r>
      <w:r>
        <w:t xml:space="preserve">. When </w:t>
      </w:r>
      <w:r w:rsidRPr="001B05EA">
        <w:rPr>
          <w:i/>
        </w:rPr>
        <w:t>ω</w:t>
      </w:r>
      <w:r>
        <w:t xml:space="preserve">=–1 the expression simplifies to the harmonic mean; when </w:t>
      </w:r>
      <w:r w:rsidRPr="00E92709">
        <w:t>ω</w:t>
      </w:r>
      <w:r>
        <w:t xml:space="preserve">=0 the expression simplifies to the geometric mean; and when </w:t>
      </w:r>
      <w:r w:rsidRPr="001B05EA">
        <w:rPr>
          <w:i/>
        </w:rPr>
        <w:t>ω</w:t>
      </w:r>
      <w:r>
        <w:t xml:space="preserve">=1 the expression simplifies to the arithmetic mean. </w:t>
      </w:r>
      <w:r w:rsidR="0020323D">
        <w:t xml:space="preserve">In other words, the suitability of these averaging approaches is direction-dependent. </w:t>
      </w:r>
      <w:r w:rsidRPr="009607E4">
        <w:t xml:space="preserve">Desbarats </w:t>
      </w:r>
      <w:r w:rsidR="00084CDD">
        <w:fldChar w:fldCharType="begin"/>
      </w:r>
      <w:r>
        <w:instrText xml:space="preserve"> ADDIN EN.CITE &lt;EndNote&gt;&lt;Cite ExcludeAuth="1"&gt;&lt;Author&gt;Desbarats&lt;/Author&gt;&lt;Year&gt;1992&lt;/Year&gt;&lt;IDText&gt;Spatial averaging of hydraulic conductivity in 3-dimensional heterogeneous porous media&lt;/IDText&gt;&lt;DisplayText&gt;(1992)&lt;/DisplayText&gt;&lt;record&gt;&lt;dates&gt;&lt;pub-dates&gt;&lt;date&gt;APR 1992&lt;/date&gt;&lt;/pub-dates&gt;&lt;year&gt;1992&lt;/year&gt;&lt;/dates&gt;&lt;keywords&gt;&lt;keyword&gt;FLUID FLOW IN POROUS MEDIA&lt;/keyword&gt;&lt;keyword&gt;SIMULATOR PARAMETER ASSIGNMENT&lt;/keyword&gt;&lt;keyword&gt;HYDRAULIC CONDUCTIVITY&lt;/keyword&gt;&lt;keyword&gt;POWER-AVERAGING&lt;/keyword&gt;&lt;keyword&gt;MODEL PARAMETER VALUES&lt;/keyword&gt;&lt;keyword&gt;STOCHASTIC-ANALYSIS&lt;/keyword&gt;&lt;keyword&gt;GROUNDWATER-FLOW&lt;/keyword&gt;&lt;keyword&gt;STEADY-STATE&lt;/keyword&gt;&lt;keyword&gt;VARIABILITY&lt;/keyword&gt;&lt;keyword&gt;SIMULATIONS&lt;/keyword&gt;&lt;keyword&gt;LEAKANCE&lt;/keyword&gt;&lt;keyword&gt;RECHARGE&lt;/keyword&gt;&lt;keyword&gt;AQUIFERS&lt;/keyword&gt;&lt;keyword&gt;Geosciences, Multidisciplinary&lt;/keyword&gt;&lt;keyword&gt;Mathematics, Interdisciplinary Applications&lt;/keyword&gt;&lt;keyword&gt;Geology&lt;/keyword&gt;&lt;keyword&gt;Mathematics&lt;/keyword&gt;&lt;/keywords&gt;&lt;isbn&gt;0882-8121&lt;/isbn&gt;&lt;work-type&gt;Article&lt;/work-type&gt;&lt;titles&gt;&lt;title&gt;Spatial averaging of hydraulic conductivity in 3-dimensional heterogeneous porous media&lt;/title&gt;&lt;secondary-title&gt;Mathematical Geology&lt;/secondary-title&gt;&lt;/titles&gt;&lt;pages&gt;249-267&lt;/pages&gt;&lt;number&gt;3&lt;/number&gt;&lt;contributors&gt;&lt;authors&gt;&lt;author&gt;Desbarats, AJ&lt;/author&gt;&lt;/authors&gt;&lt;/contributors&gt;&lt;language&gt;English&lt;/language&gt;&lt;added-date format="utc"&gt;1434093940&lt;/added-date&gt;&lt;ref-type name="Journal Article"&gt;17&lt;/ref-type&gt;&lt;auth-address&gt;DESBARATS, AJ (reprint author), GEOL SURVEY CANADA,601 BOOTH ST,OTTAWA K1A 0E8,ONTARIO,CANADA&lt;/auth-address&gt;&lt;rec-number&gt;259&lt;/rec-number&gt;&lt;last-updated-date format="utc"&gt;1434094108&lt;/last-updated-date&gt;&lt;accession-num&gt;WOS:A1992HM14400002&lt;/accession-num&gt;&lt;electronic-resource-num&gt;10.1007/BF00893749&lt;/electronic-resource-num&gt;&lt;volume&gt;24&lt;/volume&gt;&lt;/record&gt;&lt;/Cite&gt;&lt;/EndNote&gt;</w:instrText>
      </w:r>
      <w:r w:rsidR="00084CDD">
        <w:fldChar w:fldCharType="separate"/>
      </w:r>
      <w:r>
        <w:rPr>
          <w:noProof/>
        </w:rPr>
        <w:t>(1992)</w:t>
      </w:r>
      <w:r w:rsidR="00084CDD">
        <w:fldChar w:fldCharType="end"/>
      </w:r>
      <w:r>
        <w:t xml:space="preserve"> demonstrated that </w:t>
      </w:r>
      <w:r w:rsidRPr="001B05EA">
        <w:rPr>
          <w:i/>
        </w:rPr>
        <w:t>ω</w:t>
      </w:r>
      <w:r>
        <w:t>=</w:t>
      </w:r>
      <w:r w:rsidRPr="00E92709">
        <w:t>1/3 for isotropic and mildly heterogeneous formations</w:t>
      </w:r>
      <w:r>
        <w:t xml:space="preserve"> in three dimensions. For highly heterogeneous environments, </w:t>
      </w:r>
      <w:r w:rsidRPr="00E92709">
        <w:t xml:space="preserve">ω </w:t>
      </w:r>
      <w:r>
        <w:t xml:space="preserve">is typically estimated from </w:t>
      </w:r>
      <w:r w:rsidRPr="00E92709">
        <w:t xml:space="preserve">numerical experiments </w:t>
      </w:r>
      <w:r>
        <w:t xml:space="preserve">using stochastically-generated parameter fields </w:t>
      </w:r>
      <w:r w:rsidR="00084CDD">
        <w:fldChar w:fldCharType="begin">
          <w:fldData xml:space="preserve">PEVuZE5vdGU+PENpdGU+PEF1dGhvcj5MaTwvQXV0aG9yPjxZZWFyPjIwMTE8L1llYXI+PElEVGV4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</w:fldData>
        </w:fldChar>
      </w:r>
      <w:r>
        <w:instrText xml:space="preserve"> ADDIN EN.CITE </w:instrText>
      </w:r>
      <w:r w:rsidR="00084CDD">
        <w:fldChar w:fldCharType="begin">
          <w:fldData xml:space="preserve">PEVuZE5vdGU+PENpdGU+PEF1dGhvcj5MaTwvQXV0aG9yPjxZZWFyPjIwMTE8L1llYXI+PElEVGV4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</w:fldData>
        </w:fldChar>
      </w:r>
      <w:r>
        <w:instrText xml:space="preserve"> ADDIN EN.CITE.DATA </w:instrText>
      </w:r>
      <w:r w:rsidR="00084CDD">
        <w:fldChar w:fldCharType="end"/>
      </w:r>
      <w:r w:rsidR="00084CDD">
        <w:fldChar w:fldCharType="separate"/>
      </w:r>
      <w:r>
        <w:rPr>
          <w:noProof/>
        </w:rPr>
        <w:t>(Li et al., 2011)</w:t>
      </w:r>
      <w:r w:rsidR="00084CDD">
        <w:fldChar w:fldCharType="end"/>
      </w:r>
      <w:r>
        <w:t xml:space="preserve">. Essentially, the statistical approaches aim to preserve a mean value when the scale of interest is increased. These methods vary primarily in the type of mean </w:t>
      </w:r>
      <w:r w:rsidRPr="00C468CB">
        <w:t>value</w:t>
      </w:r>
      <w:r>
        <w:t xml:space="preserve"> </w:t>
      </w:r>
      <w:r w:rsidRPr="00C468CB">
        <w:t>used</w:t>
      </w:r>
      <w:r>
        <w:t>.</w:t>
      </w:r>
    </w:p>
    <w:p w14:paraId="166D6276" w14:textId="4447BB3F" w:rsidR="00761E02" w:rsidRDefault="00683A6C" w:rsidP="00A45100">
      <w:pPr>
        <w:pStyle w:val="Body"/>
      </w:pPr>
      <w:r w:rsidRPr="00A45100">
        <w:t>The limitations of geometrical upscaling methods (such as those listed in</w:t>
      </w:r>
      <w:r w:rsidR="00EB2DA4">
        <w:t xml:space="preserve"> </w:t>
      </w:r>
      <w:r w:rsidR="00EB2DA4">
        <w:fldChar w:fldCharType="begin"/>
      </w:r>
      <w:r w:rsidR="00EB2DA4">
        <w:instrText xml:space="preserve"> REF _Ref422400464 \h </w:instrText>
      </w:r>
      <w:r w:rsidR="00EB2DA4">
        <w:fldChar w:fldCharType="separate"/>
      </w:r>
      <w:r w:rsidR="00C52E30">
        <w:t xml:space="preserve">Table </w:t>
      </w:r>
      <w:r w:rsidR="00C52E30">
        <w:rPr>
          <w:noProof/>
        </w:rPr>
        <w:t>5</w:t>
      </w:r>
      <w:r w:rsidR="00EB2DA4">
        <w:fldChar w:fldCharType="end"/>
      </w:r>
      <w:r w:rsidRPr="00A45100">
        <w:t>) were clearly illustrated by Moore et al. (</w:t>
      </w:r>
      <w:r w:rsidR="00A2350A">
        <w:t>2014a</w:t>
      </w:r>
      <w:r w:rsidRPr="00A45100">
        <w:t>) when coal layers and interburden were lumped into single upscaled cells in an attempt to derive  upscaled relative permeability functions with a single-phase flow model. The homogenization in a single upscaled cell of two very different lithologies, one of which produces gas and undergoes desaturation while the other does not</w:t>
      </w:r>
      <w:r w:rsidR="00A2350A">
        <w:t xml:space="preserve">, results in </w:t>
      </w:r>
      <w:r w:rsidR="00A2350A" w:rsidRPr="001358C4">
        <w:t>f</w:t>
      </w:r>
      <w:r w:rsidR="00A2350A" w:rsidRPr="00A45100">
        <w:t xml:space="preserve">ailure to represent the </w:t>
      </w:r>
      <w:r w:rsidR="00A2350A">
        <w:t>relative permeability curves for both coal and interburden.</w:t>
      </w:r>
    </w:p>
    <w:p w14:paraId="0EE738C1" w14:textId="77777777" w:rsidR="00EB2DA4" w:rsidRPr="00A45100" w:rsidRDefault="00EB2DA4" w:rsidP="00A45100">
      <w:pPr>
        <w:pStyle w:val="Body"/>
      </w:pPr>
    </w:p>
    <w:p w14:paraId="7D66FF90" w14:textId="77777777" w:rsidR="00D21174" w:rsidRPr="00D21174" w:rsidRDefault="00F26307" w:rsidP="00C53B1F">
      <w:pPr>
        <w:pStyle w:val="Body"/>
        <w:keepNext/>
        <w:rPr>
          <w:b/>
        </w:rPr>
      </w:pPr>
      <w:r w:rsidRPr="00F26307">
        <w:rPr>
          <w:b/>
        </w:rPr>
        <w:t>Flux</w:t>
      </w:r>
      <w:r w:rsidR="00D21174" w:rsidRPr="00F26307">
        <w:rPr>
          <w:b/>
        </w:rPr>
        <w:t>-based approaches</w:t>
      </w:r>
    </w:p>
    <w:p w14:paraId="73672814" w14:textId="77777777" w:rsidR="00E92709" w:rsidRDefault="00761E02" w:rsidP="00E8296A">
      <w:pPr>
        <w:pStyle w:val="Body"/>
      </w:pPr>
      <w:r>
        <w:t>F</w:t>
      </w:r>
      <w:r w:rsidR="00C11518">
        <w:t xml:space="preserve">lux-based approaches aim to preserve </w:t>
      </w:r>
      <w:r>
        <w:t>the</w:t>
      </w:r>
      <w:r w:rsidR="00C11518">
        <w:t xml:space="preserve"> hydraulic mass balance (and therefore groundwater flow rates</w:t>
      </w:r>
      <w:r w:rsidR="00110980">
        <w:t>)</w:t>
      </w:r>
      <w:r w:rsidR="00C11518">
        <w:t xml:space="preserve"> when the scale of interest is increased. </w:t>
      </w:r>
      <w:r w:rsidR="008D7BAA">
        <w:t>In other words, if the behaviou</w:t>
      </w:r>
      <w:r w:rsidR="008D7BAA" w:rsidRPr="00972F04">
        <w:t xml:space="preserve">r of a system is to be valid </w:t>
      </w:r>
      <w:r w:rsidR="008D7BAA">
        <w:t xml:space="preserve">both </w:t>
      </w:r>
      <w:r w:rsidR="008D7BAA" w:rsidRPr="00972F04">
        <w:t xml:space="preserve">at the fine scale and at the coarse scale, the </w:t>
      </w:r>
      <w:r w:rsidR="003633E1">
        <w:t xml:space="preserve">underlying </w:t>
      </w:r>
      <w:r w:rsidR="008D7BAA" w:rsidRPr="00972F04">
        <w:t>physic</w:t>
      </w:r>
      <w:r w:rsidR="001C73C8">
        <w:t xml:space="preserve">al </w:t>
      </w:r>
      <w:r w:rsidR="003633E1">
        <w:t xml:space="preserve">laws </w:t>
      </w:r>
      <w:r w:rsidR="008D7BAA" w:rsidRPr="00972F04">
        <w:t xml:space="preserve">should </w:t>
      </w:r>
      <w:r w:rsidR="003633E1">
        <w:t xml:space="preserve">remain </w:t>
      </w:r>
      <w:r w:rsidR="008D7BAA" w:rsidRPr="00972F04">
        <w:t>the same</w:t>
      </w:r>
      <w:r w:rsidR="008D7BAA">
        <w:t xml:space="preserve">. </w:t>
      </w:r>
      <w:r w:rsidR="00C11518">
        <w:t>These methods vary primarily in the method of calculation employed (i.e., analytical or numerical) and in the type of parameter tensor that is generated (i.e., diagonal or full-rank).</w:t>
      </w:r>
      <w:r w:rsidR="00F26307">
        <w:t xml:space="preserve"> </w:t>
      </w:r>
      <w:r w:rsidR="008C753A">
        <w:t xml:space="preserve">Li </w:t>
      </w:r>
      <w:r w:rsidR="00810442">
        <w:t xml:space="preserve">et al. </w:t>
      </w:r>
      <w:r w:rsidR="00084CDD">
        <w:fldChar w:fldCharType="begin">
          <w:fldData xml:space="preserve">PEVuZE5vdGU+PENpdGUgRXhjbHVkZUF1dGg9IjEiPjxBdXRob3I+TGk8L0F1dGhvcj48WWVhcj4y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</w:fldData>
        </w:fldChar>
      </w:r>
      <w:r w:rsidR="009754DE">
        <w:instrText xml:space="preserve"> ADDIN EN.CITE </w:instrText>
      </w:r>
      <w:r w:rsidR="00084CDD">
        <w:fldChar w:fldCharType="begin">
          <w:fldData xml:space="preserve">PEVuZE5vdGU+PENpdGUgRXhjbHVkZUF1dGg9IjEiPjxBdXRob3I+TGk8L0F1dGhvcj48WWVhcj4y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</w:fldData>
        </w:fldChar>
      </w:r>
      <w:r w:rsidR="009754DE">
        <w:instrText xml:space="preserve"> ADDIN EN.CITE.DATA </w:instrText>
      </w:r>
      <w:r w:rsidR="00084CDD">
        <w:fldChar w:fldCharType="end"/>
      </w:r>
      <w:r w:rsidR="00084CDD">
        <w:fldChar w:fldCharType="separate"/>
      </w:r>
      <w:r w:rsidR="009754DE">
        <w:rPr>
          <w:noProof/>
        </w:rPr>
        <w:t>(2011)</w:t>
      </w:r>
      <w:r w:rsidR="00084CDD">
        <w:fldChar w:fldCharType="end"/>
      </w:r>
      <w:r w:rsidR="00D21174">
        <w:t xml:space="preserve"> </w:t>
      </w:r>
      <w:r w:rsidR="00E92709">
        <w:t xml:space="preserve">summarised </w:t>
      </w:r>
      <w:r w:rsidR="00F26307">
        <w:t xml:space="preserve">flux-based </w:t>
      </w:r>
      <w:r w:rsidR="00D21174">
        <w:t>upscaling methods</w:t>
      </w:r>
      <w:r w:rsidR="00F26307">
        <w:t>; specifically,</w:t>
      </w:r>
      <w:r w:rsidR="00D21174">
        <w:t xml:space="preserve"> solutions to the Laplace equation for groundwater flow.</w:t>
      </w:r>
      <w:r w:rsidR="00E92709">
        <w:t xml:space="preserve"> By rearranging Darcy’s Law, the upscaled hydraulic conductivity in any </w:t>
      </w:r>
      <w:r w:rsidR="00481F85">
        <w:t xml:space="preserve">given </w:t>
      </w:r>
      <w:r w:rsidR="00E92709">
        <w:t>direction</w:t>
      </w:r>
      <w:r w:rsidR="00481F85">
        <w:t xml:space="preserve"> can be </w:t>
      </w:r>
      <w:r w:rsidR="00E92709">
        <w:t>calculated as the ratio of the flow rate to the cross-sectional thickness divided by the hydraulic gradient</w:t>
      </w:r>
      <w:r w:rsidR="007017BF">
        <w:t xml:space="preserve"> (</w:t>
      </w:r>
      <w:r w:rsidR="00084CDD">
        <w:rPr>
          <w:highlight w:val="yellow"/>
        </w:rPr>
        <w:fldChar w:fldCharType="begin"/>
      </w:r>
      <w:r w:rsidR="00C276C4">
        <w:instrText xml:space="preserve"> REF _Ref422237953 \h </w:instrText>
      </w:r>
      <w:r w:rsidR="00084CDD">
        <w:rPr>
          <w:highlight w:val="yellow"/>
        </w:rPr>
      </w:r>
      <w:r w:rsidR="00084CDD">
        <w:rPr>
          <w:highlight w:val="yellow"/>
        </w:rPr>
        <w:fldChar w:fldCharType="separate"/>
      </w:r>
      <w:r w:rsidR="00C52E30">
        <w:t xml:space="preserve">Figure </w:t>
      </w:r>
      <w:r w:rsidR="00C52E30">
        <w:rPr>
          <w:noProof/>
        </w:rPr>
        <w:t>32</w:t>
      </w:r>
      <w:r w:rsidR="00084CDD">
        <w:rPr>
          <w:highlight w:val="yellow"/>
        </w:rPr>
        <w:fldChar w:fldCharType="end"/>
      </w:r>
      <w:r w:rsidR="007017BF">
        <w:t>)</w:t>
      </w:r>
      <w:r w:rsidR="00E92709">
        <w:t>.</w:t>
      </w:r>
      <w:r w:rsidR="00D63C88">
        <w:t xml:space="preserve"> In practice, this expression is evaluated </w:t>
      </w:r>
      <w:r w:rsidR="007017BF">
        <w:t xml:space="preserve">for each model grid </w:t>
      </w:r>
      <w:r w:rsidR="007017BF" w:rsidRPr="007017BF">
        <w:rPr>
          <w:color w:val="auto"/>
        </w:rPr>
        <w:t xml:space="preserve">cell </w:t>
      </w:r>
      <w:r w:rsidR="00D63C88">
        <w:t xml:space="preserve">through numerical experiments. Laplace equation-based methods have </w:t>
      </w:r>
      <w:r w:rsidR="00D63C88" w:rsidRPr="00D63C88">
        <w:t xml:space="preserve">been widely used to calculate </w:t>
      </w:r>
      <w:r w:rsidR="00D63C88">
        <w:t xml:space="preserve">upscaled hydraulic </w:t>
      </w:r>
      <w:r w:rsidR="00D63C88" w:rsidRPr="002F703B">
        <w:t xml:space="preserve">conductivities in petroleum engineering and hydrogeology </w:t>
      </w:r>
      <w:r w:rsidR="003F4E33" w:rsidRPr="002F703B">
        <w:t>[</w:t>
      </w:r>
      <w:r w:rsidR="00AA5ABA">
        <w:t xml:space="preserve">e.g., </w:t>
      </w:r>
      <w:r w:rsidR="00D63C88" w:rsidRPr="002F703B">
        <w:t xml:space="preserve">Warren and Price </w:t>
      </w:r>
      <w:r w:rsidR="00084CDD" w:rsidRPr="002F703B">
        <w:fldChar w:fldCharType="begin"/>
      </w:r>
      <w:r w:rsidR="002F703B" w:rsidRPr="002F703B">
        <w:instrText xml:space="preserve"> ADDIN EN.CITE &lt;EndNote&gt;&lt;Cite ExcludeAuth="1"&gt;&lt;Author&gt;Warren&lt;/Author&gt;&lt;Year&gt;1961&lt;/Year&gt;&lt;IDText&gt;Flow in heterogeneous porous media&lt;/IDText&gt;&lt;DisplayText&gt;(1961)&lt;/DisplayText&gt;&lt;record&gt;&lt;isbn&gt;0197-7520&lt;/isbn&gt;&lt;titles&gt;&lt;title&gt;Flow in heterogeneous porous media&lt;/title&gt;&lt;secondary-title&gt;Society of Petroleum Engineers Journal&lt;/secondary-title&gt;&lt;/titles&gt;&lt;pages&gt;153-169&lt;/pages&gt;&lt;number&gt;03&lt;/number&gt;&lt;contributors&gt;&lt;authors&gt;&lt;author&gt;Warren, JE&lt;/author&gt;&lt;author&gt;Price, HS&lt;/author&gt;&lt;/authors&gt;&lt;/contributors&gt;&lt;added-date format="utc"&gt;1434096316&lt;/added-date&gt;&lt;ref-type name="Journal Article"&gt;17&lt;/ref-type&gt;&lt;dates&gt;&lt;year&gt;1961&lt;/year&gt;&lt;/dates&gt;&lt;rec-number&gt;271&lt;/rec-number&gt;&lt;last-updated-date format="utc"&gt;1434096316&lt;/last-updated-date&gt;&lt;volume&gt;1&lt;/volume&gt;&lt;/record&gt;&lt;/Cite&gt;&lt;/EndNote&gt;</w:instrText>
      </w:r>
      <w:r w:rsidR="00084CDD" w:rsidRPr="002F703B">
        <w:fldChar w:fldCharType="separate"/>
      </w:r>
      <w:r w:rsidR="002F703B" w:rsidRPr="002F703B">
        <w:rPr>
          <w:noProof/>
        </w:rPr>
        <w:t>(1961)</w:t>
      </w:r>
      <w:r w:rsidR="00084CDD" w:rsidRPr="002F703B">
        <w:fldChar w:fldCharType="end"/>
      </w:r>
      <w:r w:rsidR="00D63C88" w:rsidRPr="002F703B">
        <w:t xml:space="preserve">; Journel </w:t>
      </w:r>
      <w:r w:rsidR="00810442">
        <w:t>et al.</w:t>
      </w:r>
      <w:r w:rsidR="00D0504A">
        <w:t>,</w:t>
      </w:r>
      <w:r w:rsidR="00810442">
        <w:t xml:space="preserve"> </w:t>
      </w:r>
      <w:r w:rsidR="00084CDD" w:rsidRPr="002F703B">
        <w:fldChar w:fldCharType="begin"/>
      </w:r>
      <w:r w:rsidR="002F703B" w:rsidRPr="002F703B">
        <w:instrText xml:space="preserve"> ADDIN EN.CITE &lt;EndNote&gt;&lt;Cite ExcludeAuth="1"&gt;&lt;Author&gt;Journel&lt;/Author&gt;&lt;Year&gt;1986&lt;/Year&gt;&lt;IDText&gt;Power Averaging for Block Effective Permeability&lt;/IDText&gt;&lt;DisplayText&gt;(1986)&lt;/DisplayText&gt;&lt;record&gt;&lt;dates&gt;&lt;pub-dates&gt;&lt;date&gt;1986/1/1/&lt;/date&gt;&lt;/pub-dates&gt;&lt;year&gt;1986&lt;/year&gt;&lt;/dates&gt;&lt;titles&gt;&lt;title&gt;Power Averaging for Block Effective Permeability&lt;/title&gt;&lt;secondary-title&gt;SPE California Regional Meeting&lt;/secondary-title&gt;&lt;/titles&gt;&lt;contributors&gt;&lt;authors&gt;&lt;author&gt;Journel, A. G.&lt;/author&gt;&lt;author&gt;Deutsch, C.&lt;/author&gt;&lt;author&gt;Desbarats, A. J.&lt;/author&gt;&lt;/authors&gt;&lt;/contributors&gt;&lt;added-date format="utc"&gt;1433900681&lt;/added-date&gt;&lt;pub-location&gt;Oakland, California &lt;/pub-location&gt;&lt;ref-type name="Conference Paper"&gt;47&lt;/ref-type&gt;&lt;rec-number&gt;222&lt;/rec-number&gt;&lt;publisher&gt;Society of Petroleum Engineers&lt;/publisher&gt;&lt;last-updated-date format="utc"&gt;1433903111&lt;/last-updated-date&gt;&lt;electronic-resource-num&gt;10.2118/15128-MS&lt;/electronic-resource-num&gt;&lt;/record&gt;&lt;/Cite&gt;&lt;/EndNote&gt;</w:instrText>
      </w:r>
      <w:r w:rsidR="00084CDD" w:rsidRPr="002F703B">
        <w:fldChar w:fldCharType="separate"/>
      </w:r>
      <w:r w:rsidR="002F703B" w:rsidRPr="002F703B">
        <w:rPr>
          <w:noProof/>
        </w:rPr>
        <w:t>(1986)</w:t>
      </w:r>
      <w:r w:rsidR="00084CDD" w:rsidRPr="002F703B">
        <w:fldChar w:fldCharType="end"/>
      </w:r>
      <w:r w:rsidR="00D63C88" w:rsidRPr="002F703B">
        <w:t xml:space="preserve">; Desbarats </w:t>
      </w:r>
      <w:r w:rsidR="00084CDD" w:rsidRPr="002F703B">
        <w:fldChar w:fldCharType="begin"/>
      </w:r>
      <w:r w:rsidR="002F703B" w:rsidRPr="002F703B">
        <w:instrText xml:space="preserve"> ADDIN EN.CITE &lt;EndNote&gt;&lt;Cite ExcludeAuth="1"&gt;&lt;Author&gt;Desbarats&lt;/Author&gt;&lt;Year&gt;1987&lt;/Year&gt;&lt;IDText&gt;NUMERICAL ESTIMATION OF EFFECTIVE PERMEABILITY IN SAND-SHALE FORMATIONS&lt;/IDText&gt;&lt;DisplayText&gt;(1987)&lt;/DisplayText&gt;&lt;record&gt;&lt;dates&gt;&lt;pub-dates&gt;&lt;date&gt;FEB 1987&lt;/date&gt;&lt;/pub-dates&gt;&lt;year&gt;1987&lt;/year&gt;&lt;/dates&gt;&lt;keywords&gt;&lt;keyword&gt;Environmental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Resources&lt;/keyword&gt;&lt;/keywords&gt;&lt;isbn&gt;0043-1397&lt;/isbn&gt;&lt;work-type&gt;Article&lt;/work-type&gt;&lt;titles&gt;&lt;title&gt;NUMERICAL ESTIMATION OF EFFECTIVE PERMEABILITY IN SAND-SHALE FORMATIONS&lt;/title&gt;&lt;secondary-title&gt;Water Resources Research&lt;/secondary-title&gt;&lt;/titles&gt;&lt;pages&gt;273-286&lt;/pages&gt;&lt;number&gt;2&lt;/number&gt;&lt;contributors&gt;&lt;authors&gt;&lt;author&gt;Desbarats, AJ&lt;/author&gt;&lt;/authors&gt;&lt;/contributors&gt;&lt;language&gt;English&lt;/language&gt;&lt;added-date format="utc"&gt;1434096403&lt;/added-date&gt;&lt;ref-type name="Journal Article"&gt;17&lt;/ref-type&gt;&lt;auth-address&gt;DESBARATS, AJ (reprint author), STANFORD UNIV,DEPT APPL EARTH SCI,STANFORD,CA 94305, USA&lt;/auth-address&gt;&lt;rec-number&gt;272&lt;/rec-number&gt;&lt;last-updated-date format="utc"&gt;1434096420&lt;/last-updated-date&gt;&lt;accession-num&gt;WOS:A1987G000500006&lt;/accession-num&gt;&lt;electronic-resource-num&gt;10.1029/WR023i002p00273&lt;/electronic-resource-num&gt;&lt;volume&gt;23&lt;/volume&gt;&lt;/record&gt;&lt;/Cite&gt;&lt;/EndNote&gt;</w:instrText>
      </w:r>
      <w:r w:rsidR="00084CDD" w:rsidRPr="002F703B">
        <w:fldChar w:fldCharType="separate"/>
      </w:r>
      <w:r w:rsidR="002F703B" w:rsidRPr="002F703B">
        <w:rPr>
          <w:noProof/>
        </w:rPr>
        <w:t>(1987)</w:t>
      </w:r>
      <w:r w:rsidR="00084CDD" w:rsidRPr="002F703B">
        <w:fldChar w:fldCharType="end"/>
      </w:r>
      <w:r w:rsidR="00D63C88" w:rsidRPr="002F703B">
        <w:t xml:space="preserve">; Deutsch </w:t>
      </w:r>
      <w:r w:rsidR="00084CDD" w:rsidRPr="002F703B">
        <w:fldChar w:fldCharType="begin"/>
      </w:r>
      <w:r w:rsidR="002A081E">
        <w:instrText xml:space="preserve"> ADDIN EN.CITE &lt;EndNote&gt;&lt;Cite ExcludeAuth="1"&gt;&lt;Author&gt;Deutsch&lt;/Author&gt;&lt;Year&gt;1989&lt;/Year&gt;&lt;IDText&gt;Calculating Effective Absolute Permeability in Sandstone/Shale Sequences&lt;/IDText&gt;&lt;DisplayText&gt;(1989)&lt;/DisplayText&gt;&lt;record&gt;&lt;dates&gt;&lt;pub-dates&gt;&lt;date&gt;1989/9/1/&lt;/date&gt;&lt;/pub-dates&gt;&lt;year&gt;1989&lt;/year&gt;&lt;/dates&gt;&lt;titles&gt;&lt;title&gt;Calculating Effective Absolute Permeability in Sandstone/Shale Sequences&lt;/title&gt;&lt;secondary-title&gt;SPE Formation Evaluation&lt;/secondary-title&gt;&lt;alt-title&gt;SPE-17264-PA&lt;/alt-title&gt;&lt;/titles&gt;&lt;number&gt;3&lt;/number&gt;&lt;contributors&gt;&lt;authors&gt;&lt;author&gt;Deutsch, Clayton&lt;/author&gt;&lt;/authors&gt;&lt;/contributors&gt;&lt;added-date format="utc"&gt;1433900162&lt;/added-date&gt;&lt;ref-type name="Journal Article"&gt;17&lt;/ref-type&gt;&lt;rec-number&gt;220&lt;/rec-number&gt;&lt;last-updated-date format="utc"&gt;1433906639&lt;/last-updated-date&gt;&lt;electronic-resource-num&gt;10.2118/17264-PA&lt;/electronic-resource-num&gt;&lt;volume&gt;4&lt;/volume&gt;&lt;/record&gt;&lt;/Cite&gt;&lt;/EndNote&gt;</w:instrText>
      </w:r>
      <w:r w:rsidR="00084CDD" w:rsidRPr="002F703B">
        <w:fldChar w:fldCharType="separate"/>
      </w:r>
      <w:r w:rsidR="002A081E">
        <w:rPr>
          <w:noProof/>
        </w:rPr>
        <w:t>(1989)</w:t>
      </w:r>
      <w:r w:rsidR="00084CDD" w:rsidRPr="002F703B">
        <w:fldChar w:fldCharType="end"/>
      </w:r>
      <w:r w:rsidR="003F4E33" w:rsidRPr="002F703B">
        <w:t>]</w:t>
      </w:r>
      <w:r w:rsidR="00D63C88" w:rsidRPr="002F703B">
        <w:t xml:space="preserve">. Sanchez-Vila </w:t>
      </w:r>
      <w:r w:rsidR="00810442">
        <w:t xml:space="preserve">et al. </w:t>
      </w:r>
      <w:r w:rsidR="00084CDD" w:rsidRPr="002F703B">
        <w:fldChar w:fldCharType="begin"/>
      </w:r>
      <w:r w:rsidR="006A6B9D">
        <w:instrText xml:space="preserve"> ADDIN EN.CITE &lt;EndNote&gt;&lt;Cite ExcludeAuth="1"&gt;&lt;Author&gt;Sanchez-Vila&lt;/Author&gt;&lt;Year&gt;1996&lt;/Year&gt;&lt;IDText&gt;Scale effects in transmissivity&lt;/IDText&gt;&lt;DisplayText&gt;(1996)&lt;/DisplayText&gt;&lt;record&gt;&lt;dates&gt;&lt;pub-dates&gt;&lt;date&gt;AUG 1996&lt;/date&gt;&lt;/pub-dates&gt;&lt;year&gt;1996&lt;/year&gt;&lt;/dates&gt;&lt;keywords&gt;&lt;keyword&gt;HETEROGENEOUS POROUS-MEDIA&lt;/keyword&gt;&lt;keyword&gt;MODEL PARAMETER VALUES&lt;/keyword&gt;&lt;keyword&gt;HYDRAULIC CONDUCTIVITY&lt;/keyword&gt;&lt;keyword&gt;GROUNDWATER-FLOW&lt;/keyword&gt;&lt;keyword&gt;SPATIAL VARIABILITY&lt;/keyword&gt;&lt;keyword&gt;CONDITIONAL SIMULATION&lt;/keyword&gt;&lt;keyword&gt;EFFECTIVE PERMEABILITY&lt;/keyword&gt;&lt;keyword&gt;STOCHASTIC-ANALYSIS&lt;/keyword&gt;&lt;keyword&gt;TRANSPORT&lt;/keyword&gt;&lt;keyword&gt;LEAKANCE&lt;/keyword&gt;&lt;/keywords&gt;&lt;isbn&gt;0022-1694&lt;/isbn&gt;&lt;work-type&gt;Article&lt;/work-type&gt;&lt;titles&gt;&lt;title&gt;Scale effects in transmissivity&lt;/title&gt;&lt;secondary-title&gt;Journal of Hydrology&lt;/secondary-title&gt;&lt;/titles&gt;&lt;pages&gt;1-22&lt;/pages&gt;&lt;number&gt;1-2&lt;/number&gt;&lt;contributors&gt;&lt;authors&gt;&lt;author&gt;Sanchez-Vila, X&lt;/author&gt;&lt;author&gt;Carrera, J&lt;/author&gt;&lt;author&gt;Girardi, JP&lt;/author&gt;&lt;/authors&gt;&lt;/contributors&gt;&lt;language&gt;English&lt;/language&gt;&lt;added-date format="utc"&gt;1433829281&lt;/added-date&gt;&lt;ref-type name="Journal Article"&gt;17&lt;/ref-type&gt;&lt;auth-address&gt;SanchezVila, X (reprint author), UNIV POLITECN CATALUNYA,ESCOLA CAMINS,DEPT ENGN TERRENY,E-08034 BARCELONA,SPAIN&amp;#xD;UNIV NACL SAN JUAN,FAC INGN,INST MAT &amp;amp; SUELOS,RA-5400 SAN JUAN,ARGENTINA&lt;/auth-address&gt;&lt;rec-number&gt;175&lt;/rec-number&gt;&lt;last-updated-date format="utc"&gt;1433906230&lt;/last-updated-date&gt;&lt;accession-num&gt;WOS:A1996UU52800003&lt;/accession-num&gt;&lt;electronic-resource-num&gt;10.1016/S0022-1694(96)80031-X&lt;/electronic-resource-num&gt;&lt;volume&gt;183&lt;/volume&gt;&lt;/record&gt;&lt;/Cite&gt;&lt;/EndNote&gt;</w:instrText>
      </w:r>
      <w:r w:rsidR="00084CDD" w:rsidRPr="002F703B">
        <w:fldChar w:fldCharType="separate"/>
      </w:r>
      <w:r w:rsidR="006A6B9D">
        <w:rPr>
          <w:noProof/>
        </w:rPr>
        <w:t>(1996)</w:t>
      </w:r>
      <w:r w:rsidR="00084CDD" w:rsidRPr="002F703B">
        <w:fldChar w:fldCharType="end"/>
      </w:r>
      <w:r w:rsidR="00D63C88" w:rsidRPr="002F703B">
        <w:t xml:space="preserve"> used the </w:t>
      </w:r>
      <w:r w:rsidR="00D63C88" w:rsidRPr="002F703B">
        <w:rPr>
          <w:color w:val="auto"/>
        </w:rPr>
        <w:t xml:space="preserve">approach to upscale transmissivity values; Jourde </w:t>
      </w:r>
      <w:r w:rsidR="00810442">
        <w:rPr>
          <w:color w:val="auto"/>
        </w:rPr>
        <w:t xml:space="preserve">et al. </w:t>
      </w:r>
      <w:r w:rsidR="00D63C88" w:rsidRPr="002F703B">
        <w:rPr>
          <w:color w:val="auto"/>
        </w:rPr>
        <w:t>(2002)</w:t>
      </w:r>
      <w:r w:rsidR="00D63C88" w:rsidRPr="00D52075">
        <w:rPr>
          <w:color w:val="auto"/>
        </w:rPr>
        <w:t xml:space="preserve"> used it to calculate equivalent hydraulic conductivity values for fault zones; and</w:t>
      </w:r>
      <w:r w:rsidR="00D63C88" w:rsidRPr="00D63C88">
        <w:t xml:space="preserve"> Flodin </w:t>
      </w:r>
      <w:r w:rsidR="00810442">
        <w:t xml:space="preserve">et al. </w:t>
      </w:r>
      <w:r w:rsidR="00D63C88" w:rsidRPr="00D63C88">
        <w:t>(2004) used this method to illustrate the impact of bo</w:t>
      </w:r>
      <w:r w:rsidR="00D63C88">
        <w:t xml:space="preserve">undary conditions on upscaling (Li </w:t>
      </w:r>
      <w:r w:rsidR="00810442">
        <w:t xml:space="preserve">et al., </w:t>
      </w:r>
      <w:r w:rsidR="00D63C88">
        <w:t>2011).</w:t>
      </w:r>
      <w:r w:rsidR="00D63C88" w:rsidRPr="00D63C88">
        <w:t xml:space="preserve"> </w:t>
      </w:r>
      <w:r w:rsidR="00022036">
        <w:t xml:space="preserve">Zhou </w:t>
      </w:r>
      <w:r w:rsidR="00810442">
        <w:t xml:space="preserve">et al. </w:t>
      </w:r>
      <w:r w:rsidR="00084CDD">
        <w:fldChar w:fldCharType="begin"/>
      </w:r>
      <w:r w:rsidR="00AD6BA1">
        <w:instrText xml:space="preserve"> ADDIN EN.CITE &lt;EndNote&gt;&lt;Cite ExcludeAuth="1"&gt;&lt;Author&gt;Zhou&lt;/Author&gt;&lt;Year&gt;2010&lt;/Year&gt;&lt;IDText&gt;Three-dimensional hydraulic conductivity upscaling in groundwater modeling&lt;/IDText&gt;&lt;DisplayText&gt;(2010)&lt;/DisplayText&gt;&lt;record&gt;&lt;dates&gt;&lt;pub-dates&gt;&lt;date&gt;OCT 2010&lt;/date&gt;&lt;/pub-dates&gt;&lt;year&gt;2010&lt;/year&gt;&lt;/dates&gt;&lt;keywords&gt;&lt;keyword&gt;Upscaling&lt;/keyword&gt;&lt;keyword&gt;Full tensor&lt;/keyword&gt;&lt;keyword&gt;Block conductivity&lt;/keyword&gt;&lt;keyword&gt;Interface&lt;/keyword&gt;&lt;keyword&gt;Heterogeneity&lt;/keyword&gt;&lt;keyword&gt;Groundwater simulation&lt;/keyword&gt;&lt;keyword&gt;PERMEABILITY&lt;/keyword&gt;&lt;keyword&gt;MEDIA&lt;/keyword&gt;&lt;keyword&gt;FLOW&lt;/keyword&gt;&lt;keyword&gt;Computer Science, Interdisciplinary Applications&lt;/keyword&gt;&lt;keyword&gt;Geosciences, Multidisciplinary&lt;/keyword&gt;&lt;keyword&gt;COMPUTER SCIENCE, INTERDISCIPLINARY APPLICATIONS&lt;/keyword&gt;&lt;keyword&gt;GEOSCIENCES, MULTIDISCIPLINARY&lt;/keyword&gt;&lt;keyword&gt;Computer Science&lt;/keyword&gt;&lt;keyword&gt;Geology&lt;/keyword&gt;&lt;/keywords&gt;&lt;isbn&gt;0098-3004&lt;/isbn&gt;&lt;work-type&gt;Article&lt;/work-type&gt;&lt;titles&gt;&lt;title&gt;Three-dimensional hydraulic conductivity upscaling in groundwater modeling&lt;/title&gt;&lt;secondary-title&gt;Computers &amp;amp; Geosciences&lt;/secondary-title&gt;&lt;/titles&gt;&lt;pages&gt;1224-1235&lt;/pages&gt;&lt;number&gt;10&lt;/number&gt;&lt;contributors&gt;&lt;authors&gt;&lt;author&gt;Zhou, HY&lt;/author&gt;&lt;author&gt;Li, LP&lt;/author&gt;&lt;author&gt;Gomez-Hernandez, JJ&lt;/author&gt;&lt;/authors&gt;&lt;/contributors&gt;&lt;language&gt;English&lt;/language&gt;&lt;added-date format="utc"&gt;1428379875&lt;/added-date&gt;&lt;ref-type name="Journal Article"&gt;17&lt;/ref-type&gt;&lt;auth-address&gt;Zhou, HY (reprint author), Univ Politecn Valencia, Dept Hydraul &amp;amp; Environm Engn, Grp Hydrogeol, Camino Vera S-N, Valencia 46022, Spain&amp;#xD;Univ Politecn Valencia, Dept Hydraul &amp;amp; Environm Engn, Grp Hydrogeol, Valencia 46022, Spain&amp;#xD;haizh@upvnet.upv.es&lt;/auth-address&gt;&lt;rec-number&gt;977&lt;/rec-number&gt;&lt;last-updated-date format="utc"&gt;1428379875&lt;/last-updated-date&gt;&lt;accession-num&gt;WOS:000283042600002&lt;/accession-num&gt;&lt;electronic-resource-num&gt;10.1016/j.cageo.2010.03.008&lt;/electronic-resource-num&gt;&lt;volume&gt;36&lt;/volume&gt;&lt;/record&gt;&lt;/Cite&gt;&lt;/EndNote&gt;</w:instrText>
      </w:r>
      <w:r w:rsidR="00084CDD">
        <w:fldChar w:fldCharType="separate"/>
      </w:r>
      <w:r w:rsidR="00AD6BA1">
        <w:rPr>
          <w:noProof/>
        </w:rPr>
        <w:t>(2010)</w:t>
      </w:r>
      <w:r w:rsidR="00084CDD">
        <w:fldChar w:fldCharType="end"/>
      </w:r>
      <w:r w:rsidR="00B01896">
        <w:t xml:space="preserve"> </w:t>
      </w:r>
      <w:r w:rsidR="00022036">
        <w:t>used numerical experiments to estimate the individual components of a full rank hydraulic conductivity tensor. In comparison, most numerical groundwater flow models use only a diagonal tensor (</w:t>
      </w:r>
      <w:r w:rsidR="00C85DC3">
        <w:t xml:space="preserve">i.e., </w:t>
      </w:r>
      <w:r w:rsidR="00022036">
        <w:t xml:space="preserve">containing components </w:t>
      </w:r>
      <w:r w:rsidR="00022036">
        <w:rPr>
          <w:i/>
        </w:rPr>
        <w:t>K</w:t>
      </w:r>
      <w:r w:rsidR="00022036">
        <w:rPr>
          <w:i/>
          <w:vertAlign w:val="subscript"/>
        </w:rPr>
        <w:t>x</w:t>
      </w:r>
      <w:r w:rsidR="00481F85">
        <w:rPr>
          <w:i/>
          <w:vertAlign w:val="subscript"/>
        </w:rPr>
        <w:t xml:space="preserve">x </w:t>
      </w:r>
      <w:r w:rsidR="00022036">
        <w:rPr>
          <w:i/>
        </w:rPr>
        <w:t>, K</w:t>
      </w:r>
      <w:r w:rsidR="00022036">
        <w:rPr>
          <w:i/>
          <w:vertAlign w:val="subscript"/>
        </w:rPr>
        <w:t>y</w:t>
      </w:r>
      <w:r w:rsidR="00481F85">
        <w:rPr>
          <w:i/>
          <w:vertAlign w:val="subscript"/>
        </w:rPr>
        <w:t xml:space="preserve">y </w:t>
      </w:r>
      <w:r w:rsidR="00022036">
        <w:rPr>
          <w:i/>
        </w:rPr>
        <w:t>, K</w:t>
      </w:r>
      <w:r w:rsidR="00022036">
        <w:rPr>
          <w:i/>
          <w:vertAlign w:val="subscript"/>
        </w:rPr>
        <w:t>z</w:t>
      </w:r>
      <w:r w:rsidR="00481F85">
        <w:rPr>
          <w:i/>
          <w:vertAlign w:val="subscript"/>
        </w:rPr>
        <w:t>z</w:t>
      </w:r>
      <w:r w:rsidR="00022036">
        <w:t xml:space="preserve">) with all off-diagonal components </w:t>
      </w:r>
      <w:r w:rsidR="00481F85">
        <w:t>(</w:t>
      </w:r>
      <w:r w:rsidR="00AA5ABA">
        <w:t xml:space="preserve">e.g., </w:t>
      </w:r>
      <w:r w:rsidR="00481F85" w:rsidRPr="00481F85">
        <w:rPr>
          <w:i/>
        </w:rPr>
        <w:t>K</w:t>
      </w:r>
      <w:r w:rsidR="00481F85" w:rsidRPr="00481F85">
        <w:rPr>
          <w:i/>
          <w:vertAlign w:val="subscript"/>
        </w:rPr>
        <w:t>xy</w:t>
      </w:r>
      <w:r w:rsidR="00481F85">
        <w:rPr>
          <w:i/>
          <w:vertAlign w:val="subscript"/>
        </w:rPr>
        <w:t xml:space="preserve"> </w:t>
      </w:r>
      <w:r w:rsidR="00481F85" w:rsidRPr="00481F85">
        <w:t xml:space="preserve">, </w:t>
      </w:r>
      <w:r w:rsidR="00481F85" w:rsidRPr="00481F85">
        <w:rPr>
          <w:i/>
        </w:rPr>
        <w:t>K</w:t>
      </w:r>
      <w:r w:rsidR="00481F85" w:rsidRPr="00481F85">
        <w:rPr>
          <w:i/>
          <w:vertAlign w:val="subscript"/>
        </w:rPr>
        <w:t>x</w:t>
      </w:r>
      <w:r w:rsidR="00481F85">
        <w:rPr>
          <w:i/>
          <w:vertAlign w:val="subscript"/>
        </w:rPr>
        <w:t>z</w:t>
      </w:r>
      <w:r w:rsidR="00481F85">
        <w:t xml:space="preserve">) </w:t>
      </w:r>
      <w:r w:rsidR="00022036">
        <w:t>set to zero.</w:t>
      </w:r>
      <w:r w:rsidR="00F44204">
        <w:t xml:space="preserve"> </w:t>
      </w:r>
      <w:r w:rsidR="00F44204" w:rsidRPr="00B01896">
        <w:t xml:space="preserve">Other studies </w:t>
      </w:r>
      <w:r w:rsidR="003F4E33">
        <w:t>[</w:t>
      </w:r>
      <w:r w:rsidR="00AA5ABA">
        <w:t xml:space="preserve">e.g., </w:t>
      </w:r>
      <w:r w:rsidR="003F4E33">
        <w:t xml:space="preserve">Li </w:t>
      </w:r>
      <w:r w:rsidR="00810442">
        <w:t xml:space="preserve">et al., </w:t>
      </w:r>
      <w:r w:rsidR="00084CDD">
        <w:fldChar w:fldCharType="begin">
          <w:fldData xml:space="preserve">PEVuZE5vdGU+PENpdGUgRXhjbHVkZUF1dGg9IjEiPjxBdXRob3I+TGk8L0F1dGhvcj48WWVhcj4y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</w:fldData>
        </w:fldChar>
      </w:r>
      <w:r w:rsidR="009754DE">
        <w:instrText xml:space="preserve"> ADDIN EN.CITE </w:instrText>
      </w:r>
      <w:r w:rsidR="00084CDD">
        <w:fldChar w:fldCharType="begin">
          <w:fldData xml:space="preserve">PEVuZE5vdGU+PENpdGUgRXhjbHVkZUF1dGg9IjEiPjxBdXRob3I+TGk8L0F1dGhvcj48WWVhcj4y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</w:fldData>
        </w:fldChar>
      </w:r>
      <w:r w:rsidR="009754DE">
        <w:instrText xml:space="preserve"> ADDIN EN.CITE.DATA </w:instrText>
      </w:r>
      <w:r w:rsidR="00084CDD">
        <w:fldChar w:fldCharType="end"/>
      </w:r>
      <w:r w:rsidR="00084CDD">
        <w:fldChar w:fldCharType="separate"/>
      </w:r>
      <w:r w:rsidR="009754DE">
        <w:rPr>
          <w:noProof/>
        </w:rPr>
        <w:t>(2011)</w:t>
      </w:r>
      <w:r w:rsidR="00084CDD">
        <w:fldChar w:fldCharType="end"/>
      </w:r>
      <w:r w:rsidR="003F4E33">
        <w:t>]</w:t>
      </w:r>
      <w:r w:rsidR="00F44204" w:rsidRPr="00B01896">
        <w:t xml:space="preserve"> have examined the importance of neighbouring cells when calculating upscaled parameters.</w:t>
      </w:r>
    </w:p>
    <w:p w14:paraId="57796F57" w14:textId="77777777" w:rsidR="00812784" w:rsidRDefault="00812784" w:rsidP="00E8296A">
      <w:pPr>
        <w:pStyle w:val="Body"/>
      </w:pPr>
    </w:p>
    <w:p w14:paraId="68B141FB" w14:textId="77777777" w:rsidR="007017BF" w:rsidRDefault="007017BF" w:rsidP="007017BF">
      <w:r w:rsidRPr="007017BF">
        <w:rPr>
          <w:noProof/>
          <w:lang w:val="en-AU" w:eastAsia="en-AU"/>
        </w:rPr>
        <w:drawing>
          <wp:inline distT="0" distB="0" distL="0" distR="0" wp14:anchorId="3CD6FFBA" wp14:editId="1F1D50DF">
            <wp:extent cx="1385522" cy="1345165"/>
            <wp:effectExtent l="19050" t="0" r="5128"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l="3469" t="5026" r="52031" b="50260"/>
                    <a:stretch>
                      <a:fillRect/>
                    </a:stretch>
                  </pic:blipFill>
                  <pic:spPr bwMode="auto">
                    <a:xfrm>
                      <a:off x="0" y="0"/>
                      <a:ext cx="1385522" cy="1345165"/>
                    </a:xfrm>
                    <a:prstGeom prst="rect">
                      <a:avLst/>
                    </a:prstGeom>
                    <a:noFill/>
                    <a:ln w="9525">
                      <a:noFill/>
                      <a:miter lim="800000"/>
                      <a:headEnd/>
                      <a:tailEnd/>
                    </a:ln>
                  </pic:spPr>
                </pic:pic>
              </a:graphicData>
            </a:graphic>
          </wp:inline>
        </w:drawing>
      </w:r>
      <w:r w:rsidRPr="007017BF">
        <w:rPr>
          <w:noProof/>
          <w:lang w:val="en-AU" w:eastAsia="en-AU"/>
        </w:rPr>
        <w:drawing>
          <wp:inline distT="0" distB="0" distL="0" distR="0" wp14:anchorId="42B44DBC" wp14:editId="1A16ED28">
            <wp:extent cx="1385553" cy="1409966"/>
            <wp:effectExtent l="19050" t="0" r="5097"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l="48562" t="2872" r="6937" b="50260"/>
                    <a:stretch>
                      <a:fillRect/>
                    </a:stretch>
                  </pic:blipFill>
                  <pic:spPr bwMode="auto">
                    <a:xfrm>
                      <a:off x="0" y="0"/>
                      <a:ext cx="1385553" cy="1409966"/>
                    </a:xfrm>
                    <a:prstGeom prst="rect">
                      <a:avLst/>
                    </a:prstGeom>
                    <a:noFill/>
                    <a:ln w="9525">
                      <a:noFill/>
                      <a:miter lim="800000"/>
                      <a:headEnd/>
                      <a:tailEnd/>
                    </a:ln>
                  </pic:spPr>
                </pic:pic>
              </a:graphicData>
            </a:graphic>
          </wp:inline>
        </w:drawing>
      </w:r>
      <w:r w:rsidRPr="007017BF">
        <w:rPr>
          <w:noProof/>
          <w:lang w:val="en-AU" w:eastAsia="en-AU"/>
        </w:rPr>
        <w:drawing>
          <wp:inline distT="0" distB="0" distL="0" distR="0" wp14:anchorId="7C94D26C" wp14:editId="74597098">
            <wp:extent cx="1385522" cy="1237165"/>
            <wp:effectExtent l="19050" t="0" r="5128"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l="3469" t="58876" r="52031"/>
                    <a:stretch>
                      <a:fillRect/>
                    </a:stretch>
                  </pic:blipFill>
                  <pic:spPr bwMode="auto">
                    <a:xfrm>
                      <a:off x="0" y="0"/>
                      <a:ext cx="1385522" cy="1237165"/>
                    </a:xfrm>
                    <a:prstGeom prst="rect">
                      <a:avLst/>
                    </a:prstGeom>
                    <a:noFill/>
                    <a:ln w="9525">
                      <a:noFill/>
                      <a:miter lim="800000"/>
                      <a:headEnd/>
                      <a:tailEnd/>
                    </a:ln>
                  </pic:spPr>
                </pic:pic>
              </a:graphicData>
            </a:graphic>
          </wp:inline>
        </w:drawing>
      </w:r>
      <w:r>
        <w:rPr>
          <w:noProof/>
          <w:lang w:val="en-AU" w:eastAsia="en-AU"/>
        </w:rPr>
        <w:drawing>
          <wp:inline distT="0" distB="0" distL="0" distR="0" wp14:anchorId="26415EB2" wp14:editId="34DAA6A9">
            <wp:extent cx="1385553" cy="1258765"/>
            <wp:effectExtent l="19050" t="0" r="5097"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l="48562" t="58158" r="6937"/>
                    <a:stretch>
                      <a:fillRect/>
                    </a:stretch>
                  </pic:blipFill>
                  <pic:spPr bwMode="auto">
                    <a:xfrm>
                      <a:off x="0" y="0"/>
                      <a:ext cx="1385553" cy="1258765"/>
                    </a:xfrm>
                    <a:prstGeom prst="rect">
                      <a:avLst/>
                    </a:prstGeom>
                    <a:noFill/>
                    <a:ln w="9525">
                      <a:noFill/>
                      <a:miter lim="800000"/>
                      <a:headEnd/>
                      <a:tailEnd/>
                    </a:ln>
                  </pic:spPr>
                </pic:pic>
              </a:graphicData>
            </a:graphic>
          </wp:inline>
        </w:drawing>
      </w:r>
    </w:p>
    <w:p w14:paraId="733D312B" w14:textId="77777777" w:rsidR="000E3DB6" w:rsidRDefault="007512E8" w:rsidP="007512E8">
      <w:pPr>
        <w:pStyle w:val="Imagecaption"/>
      </w:pPr>
      <w:bookmarkStart w:id="179" w:name="_Ref422237953"/>
      <w:bookmarkStart w:id="180" w:name="_Toc422323051"/>
      <w:bookmarkStart w:id="181" w:name="_Toc449696322"/>
      <w:r>
        <w:t xml:space="preserve">Figure </w:t>
      </w:r>
      <w:r w:rsidR="00084CDD">
        <w:fldChar w:fldCharType="begin"/>
      </w:r>
      <w:r>
        <w:instrText xml:space="preserve"> SEQ Figure \* ARABIC </w:instrText>
      </w:r>
      <w:r w:rsidR="00084CDD">
        <w:fldChar w:fldCharType="separate"/>
      </w:r>
      <w:r w:rsidR="00C52E30">
        <w:rPr>
          <w:noProof/>
        </w:rPr>
        <w:t>32</w:t>
      </w:r>
      <w:r w:rsidR="00084CDD">
        <w:fldChar w:fldCharType="end"/>
      </w:r>
      <w:bookmarkEnd w:id="179"/>
      <w:r>
        <w:t>.</w:t>
      </w:r>
      <w:r w:rsidR="007017BF">
        <w:t xml:space="preserve"> Four typical boundary conditions used to estimate block conductivity in 2</w:t>
      </w:r>
      <w:r>
        <w:t>-</w:t>
      </w:r>
      <w:r w:rsidR="007017BF">
        <w:t>D</w:t>
      </w:r>
      <w:r w:rsidR="00B90A98">
        <w:t>. A</w:t>
      </w:r>
      <w:r w:rsidR="00B90A98" w:rsidRPr="00B90A98">
        <w:t>rrows indicate the (negative) mean head gradient induced by the prescribed head boundary conditions,</w:t>
      </w:r>
      <w:r w:rsidR="00B90A98">
        <w:t xml:space="preserve"> </w:t>
      </w:r>
      <w:r w:rsidR="00B90A98" w:rsidRPr="00B90A98">
        <w:t>and the shapes on the sides of the block indicate the magnitude of the prescribed heads given by tilting planes with gradients opposite to the arrows</w:t>
      </w:r>
      <w:r w:rsidR="007017BF">
        <w:t xml:space="preserve"> </w:t>
      </w:r>
      <w:r w:rsidR="00084CDD">
        <w:fldChar w:fldCharType="begin"/>
      </w:r>
      <w:r w:rsidR="000E3DB6">
        <w:instrText xml:space="preserve"> ADDIN EN.CITE &lt;EndNote&gt;&lt;Cite&gt;&lt;Author&gt;Zhou&lt;/Author&gt;&lt;Year&gt;2010&lt;/Year&gt;&lt;IDText&gt;Three-dimensional hydraulic conductivity upscaling in groundwater modeling&lt;/IDText&gt;&lt;DisplayText&gt;(Zhou et al., 2010)&lt;/DisplayText&gt;&lt;record&gt;&lt;dates&gt;&lt;pub-dates&gt;&lt;date&gt;OCT 2010&lt;/date&gt;&lt;/pub-dates&gt;&lt;year&gt;2010&lt;/year&gt;&lt;/dates&gt;&lt;keywords&gt;&lt;keyword&gt;Upscaling&lt;/keyword&gt;&lt;keyword&gt;Full tensor&lt;/keyword&gt;&lt;keyword&gt;Block conductivity&lt;/keyword&gt;&lt;keyword&gt;Interface&lt;/keyword&gt;&lt;keyword&gt;Heterogeneity&lt;/keyword&gt;&lt;keyword&gt;Groundwater simulation&lt;/keyword&gt;&lt;keyword&gt;PERMEABILITY&lt;/keyword&gt;&lt;keyword&gt;MEDIA&lt;/keyword&gt;&lt;keyword&gt;FLOW&lt;/keyword&gt;&lt;keyword&gt;Computer Science, Interdisciplinary Applications&lt;/keyword&gt;&lt;keyword&gt;Geosciences, Multidisciplinary&lt;/keyword&gt;&lt;keyword&gt;COMPUTER SCIENCE, INTERDISCIPLINARY APPLICATIONS&lt;/keyword&gt;&lt;keyword&gt;GEOSCIENCES, MULTIDISCIPLINARY&lt;/keyword&gt;&lt;keyword&gt;Computer Science&lt;/keyword&gt;&lt;keyword&gt;Geology&lt;/keyword&gt;&lt;/keywords&gt;&lt;isbn&gt;0098-3004&lt;/isbn&gt;&lt;work-type&gt;Article&lt;/work-type&gt;&lt;titles&gt;&lt;title&gt;Three-dimensional hydraulic conductivity upscaling in groundwater modeling&lt;/title&gt;&lt;secondary-title&gt;Computers &amp;amp; Geosciences&lt;/secondary-title&gt;&lt;/titles&gt;&lt;pages&gt;1224-1235&lt;/pages&gt;&lt;number&gt;10&lt;/number&gt;&lt;contributors&gt;&lt;authors&gt;&lt;author&gt;Zhou, HY&lt;/author&gt;&lt;author&gt;Li, LP&lt;/author&gt;&lt;author&gt;Gomez-Hernandez, JJ&lt;/author&gt;&lt;/authors&gt;&lt;/contributors&gt;&lt;language&gt;English&lt;/language&gt;&lt;added-date format="utc"&gt;1428379875&lt;/added-date&gt;&lt;ref-type name="Journal Article"&gt;17&lt;/ref-type&gt;&lt;auth-address&gt;Zhou, HY (reprint author), Univ Politecn Valencia, Dept Hydraul &amp;amp; Environm Engn, Grp Hydrogeol, Camino Vera S-N, Valencia 46022, Spain&amp;#xD;Univ Politecn Valencia, Dept Hydraul &amp;amp; Environm Engn, Grp Hydrogeol, Valencia 46022, Spain&amp;#xD;haizh@upvnet.upv.es&lt;/auth-address&gt;&lt;rec-number&gt;977&lt;/rec-number&gt;&lt;last-updated-date format="utc"&gt;1428379875&lt;/last-updated-date&gt;&lt;accession-num&gt;WOS:000283042600002&lt;/accession-num&gt;&lt;electronic-resource-num&gt;10.1016/j.cageo.2010.03.008&lt;/electronic-resource-num&gt;&lt;volume&gt;36&lt;/volume&gt;&lt;/record&gt;&lt;/Cite&gt;&lt;/EndNote&gt;</w:instrText>
      </w:r>
      <w:r w:rsidR="00084CDD">
        <w:fldChar w:fldCharType="separate"/>
      </w:r>
      <w:r w:rsidR="000E3DB6">
        <w:rPr>
          <w:noProof/>
        </w:rPr>
        <w:t>(Zhou et al., 2010)</w:t>
      </w:r>
      <w:r w:rsidR="00084CDD">
        <w:fldChar w:fldCharType="end"/>
      </w:r>
      <w:r w:rsidR="000E3DB6">
        <w:t>.</w:t>
      </w:r>
      <w:bookmarkEnd w:id="180"/>
      <w:bookmarkEnd w:id="181"/>
    </w:p>
    <w:p w14:paraId="45EBE34F" w14:textId="46C328EE" w:rsidR="00EB2DA4" w:rsidRDefault="00EB2DA4" w:rsidP="00EB2DA4">
      <w:pPr>
        <w:pStyle w:val="Body"/>
      </w:pPr>
      <w:r w:rsidRPr="005E6197">
        <w:t xml:space="preserve">Because flux based approaches at the local scale require solving a small scale inversion problem for all cells in the upscaled grid block to derive the upscaled permeability tensor, these approaches are computationally intensive. This becomes exacerbated if multiple calculations are required based on stochastic Monte Carlo </w:t>
      </w:r>
      <w:r w:rsidR="003D0503" w:rsidRPr="005E6197">
        <w:t>realisations</w:t>
      </w:r>
      <w:r w:rsidRPr="007A78D2">
        <w:t>.</w:t>
      </w:r>
    </w:p>
    <w:p w14:paraId="0D94298C" w14:textId="77777777" w:rsidR="007017BF" w:rsidRDefault="007017BF" w:rsidP="00E8296A">
      <w:pPr>
        <w:pStyle w:val="Body"/>
      </w:pPr>
    </w:p>
    <w:p w14:paraId="080A9B22" w14:textId="77777777" w:rsidR="00E975A6" w:rsidRPr="00D21174" w:rsidRDefault="00E975A6" w:rsidP="00E975A6">
      <w:pPr>
        <w:pStyle w:val="Body"/>
        <w:keepNext/>
        <w:rPr>
          <w:b/>
        </w:rPr>
      </w:pPr>
      <w:r>
        <w:rPr>
          <w:b/>
        </w:rPr>
        <w:t>Connectivity-based approaches</w:t>
      </w:r>
    </w:p>
    <w:p w14:paraId="19EE0E77" w14:textId="0520D694" w:rsidR="00E975A6" w:rsidRDefault="00E975A6" w:rsidP="00E975A6">
      <w:pPr>
        <w:pStyle w:val="Body"/>
      </w:pPr>
      <w:r w:rsidRPr="00C9274B">
        <w:t xml:space="preserve">Methods by which to represent subsurface heterogeneity (including upscaling) were reviewed by Koltermann and Gorelick </w:t>
      </w:r>
      <w:r w:rsidR="00084CDD">
        <w:fldChar w:fldCharType="begin"/>
      </w:r>
      <w:r>
        <w:instrText xml:space="preserve"> ADDIN EN.CITE &lt;EndNote&gt;&lt;Cite ExcludeAuth="1"&gt;&lt;Author&gt;Koltermann&lt;/Author&gt;&lt;Year&gt;1996&lt;/Year&gt;&lt;IDText&gt;Heterogeneity in sedimentary deposits: A review of structure-imitating, process-imitating, and descriptive approaches&lt;/IDText&gt;&lt;DisplayText&gt;(1996)&lt;/DisplayText&gt;&lt;record&gt;&lt;dates&gt;&lt;pub-dates&gt;&lt;date&gt;SEP 1996&lt;/date&gt;&lt;/pub-dates&gt;&lt;year&gt;1996&lt;/year&gt;&lt;/dates&gt;&lt;keywords&gt;&lt;keyword&gt;STEADY-STATE CONDITIONS&lt;/keyword&gt;&lt;keyword&gt;LAKE TRACER TESTS&lt;/keyword&gt;&lt;keyword&gt;EFFECTIVE HYDRAULIC CONDUCTIVITY&lt;/keyword&gt;&lt;keyword&gt;NUMERICAL SPECTRAL APPROACH&lt;/keyword&gt;&lt;keyword&gt;ONE-DIMENSIONAL SIMULATIONS&lt;/keyword&gt;&lt;keyword&gt;FORELAND-BASIN DEVELOPMENT&lt;/keyword&gt;&lt;keyword&gt;COUPLED INVERSE PROBLEMS&lt;/keyword&gt;&lt;keyword&gt;SCALE SPATIAL TRENDS&lt;/keyword&gt;&lt;keyword&gt;GROUNDWATER-FLOW&lt;/keyword&gt;&lt;keyword&gt;SOLUTE TRANSPORT&lt;/keyword&gt;&lt;keyword&gt;Environmental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Resources&lt;/keyword&gt;&lt;/keywords&gt;&lt;isbn&gt;0043-1397&lt;/isbn&gt;&lt;work-type&gt;Review&lt;/work-type&gt;&lt;titles&gt;&lt;title&gt;Heterogeneity in sedimentary deposits: A review of structure-imitating, process-imitating, and descriptive approaches&lt;/title&gt;&lt;secondary-title&gt;Water Resources Research&lt;/secondary-title&gt;&lt;/titles&gt;&lt;pages&gt;2617-2658&lt;/pages&gt;&lt;number&gt;9&lt;/number&gt;&lt;contributors&gt;&lt;authors&gt;&lt;author&gt;Koltermann, CE&lt;/author&gt;&lt;author&gt;Gorelick, SM&lt;/author&gt;&lt;/authors&gt;&lt;/contributors&gt;&lt;language&gt;English&lt;/language&gt;&lt;added-date format="utc"&gt;1428383447&lt;/added-date&gt;&lt;ref-type name="Journal Article"&gt;17&lt;/ref-type&gt;&lt;auth-address&gt;STANFORD UNIV, DEPT GEOL &amp;amp; ENVIRONM SCI, STANFORD, CA 94305 USA&lt;/auth-address&gt;&lt;rec-number&gt;1075&lt;/rec-number&gt;&lt;last-updated-date format="utc"&gt;1428383447&lt;/last-updated-date&gt;&lt;accession-num&gt;WOS:A1996VE90100001&lt;/accession-num&gt;&lt;electronic-resource-num&gt;10.1029/96WR00025&lt;/electronic-resource-num&gt;&lt;volume&gt;32&lt;/volume&gt;&lt;/record&gt;&lt;/Cite&gt;&lt;/EndNote&gt;</w:instrText>
      </w:r>
      <w:r w:rsidR="00084CDD">
        <w:fldChar w:fldCharType="separate"/>
      </w:r>
      <w:r>
        <w:rPr>
          <w:noProof/>
        </w:rPr>
        <w:t>(1996)</w:t>
      </w:r>
      <w:r w:rsidR="00084CDD">
        <w:fldChar w:fldCharType="end"/>
      </w:r>
      <w:r w:rsidRPr="00C9274B">
        <w:t xml:space="preserve">, de Marsily </w:t>
      </w:r>
      <w:r>
        <w:t xml:space="preserve">et al., </w:t>
      </w:r>
      <w:r w:rsidR="00084CDD">
        <w:fldChar w:fldCharType="begin">
          <w:fldData xml:space="preserve">PEVuZE5vdGU+PENpdGUgRXhjbHVkZUF1dGg9IjEiPjxBdXRob3I+ZGUgTWFyc2lseTwvQXV0aG9y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</w:fldData>
        </w:fldChar>
      </w:r>
      <w:r>
        <w:instrText xml:space="preserve"> ADDIN EN.CITE </w:instrText>
      </w:r>
      <w:r w:rsidR="00084CDD">
        <w:fldChar w:fldCharType="begin">
          <w:fldData xml:space="preserve">PEVuZE5vdGU+PENpdGUgRXhjbHVkZUF1dGg9IjEiPjxBdXRob3I+ZGUgTWFyc2lseTwvQXV0aG9y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</w:fldData>
        </w:fldChar>
      </w:r>
      <w:r>
        <w:instrText xml:space="preserve"> ADDIN EN.CITE.DATA </w:instrText>
      </w:r>
      <w:r w:rsidR="00084CDD">
        <w:fldChar w:fldCharType="end"/>
      </w:r>
      <w:r w:rsidR="00084CDD">
        <w:fldChar w:fldCharType="separate"/>
      </w:r>
      <w:r>
        <w:rPr>
          <w:noProof/>
        </w:rPr>
        <w:t>(2005; 1998)</w:t>
      </w:r>
      <w:r w:rsidR="00084CDD">
        <w:fldChar w:fldCharType="end"/>
      </w:r>
      <w:r>
        <w:t xml:space="preserve"> </w:t>
      </w:r>
      <w:r w:rsidRPr="002F703B">
        <w:t xml:space="preserve">and Szymkiewicz </w:t>
      </w:r>
      <w:r w:rsidR="00084CDD">
        <w:fldChar w:fldCharType="begin"/>
      </w:r>
      <w:r>
        <w:instrText xml:space="preserve"> ADDIN EN.CITE &lt;EndNote&gt;&lt;Cite ExcludeAuth="1"&gt;&lt;Author&gt;Szymkiewicz&lt;/Author&gt;&lt;Year&gt;2013&lt;/Year&gt;&lt;IDText&gt;Upscaling from Darcy scale to field scale&lt;/IDText&gt;&lt;DisplayText&gt;(2013)&lt;/DisplayText&gt;&lt;record&gt;&lt;isbn&gt;3642235581&lt;/isbn&gt;&lt;titles&gt;&lt;title&gt;Upscaling from Darcy scale to field scale&lt;/title&gt;&lt;secondary-title&gt;Modelling Water Flow in Unsaturated Porous Media&lt;/secondary-title&gt;&lt;/titles&gt;&lt;pages&gt;139-175&lt;/pages&gt;&lt;contributors&gt;&lt;authors&gt;&lt;author&gt;Szymkiewicz, Adam&lt;/author&gt;&lt;/authors&gt;&lt;/contributors&gt;&lt;added-date format="utc"&gt;1434096256&lt;/added-date&gt;&lt;ref-type name="Book Section"&gt;5&lt;/ref-type&gt;&lt;dates&gt;&lt;year&gt;2013&lt;/year&gt;&lt;/dates&gt;&lt;rec-number&gt;270&lt;/rec-number&gt;&lt;publisher&gt;Springer&lt;/publisher&gt;&lt;last-updated-date format="utc"&gt;1434096256&lt;/last-updated-date&gt;&lt;/record&gt;&lt;/Cite&gt;&lt;/EndNote&gt;</w:instrText>
      </w:r>
      <w:r w:rsidR="00084CDD">
        <w:fldChar w:fldCharType="separate"/>
      </w:r>
      <w:r>
        <w:rPr>
          <w:noProof/>
        </w:rPr>
        <w:t>(2013)</w:t>
      </w:r>
      <w:r w:rsidR="00084CDD">
        <w:fldChar w:fldCharType="end"/>
      </w:r>
      <w:r w:rsidRPr="00C9274B">
        <w:t>.</w:t>
      </w:r>
      <w:r>
        <w:t xml:space="preserve"> An alternative to traditional approaches to the characterisation of subsurface heterogeneity (see Section </w:t>
      </w:r>
      <w:r w:rsidR="00084CDD">
        <w:fldChar w:fldCharType="begin"/>
      </w:r>
      <w:r>
        <w:instrText xml:space="preserve"> REF _Ref421888179 \r \h </w:instrText>
      </w:r>
      <w:r w:rsidR="00084CDD">
        <w:fldChar w:fldCharType="separate"/>
      </w:r>
      <w:r w:rsidR="00C52E30">
        <w:t>3.2.3</w:t>
      </w:r>
      <w:r w:rsidR="00084CDD">
        <w:fldChar w:fldCharType="end"/>
      </w:r>
      <w:r>
        <w:t>) is the use of connectivity metrics</w:t>
      </w:r>
      <w:r w:rsidR="00EB2DA4">
        <w:t xml:space="preserve"> (Renard, 2011; Renard and Allard, 2011; Trinchero et al., 2008)</w:t>
      </w:r>
      <w:r>
        <w:t xml:space="preserve">. These metrics can be used to indicate the connectivity of high hydraulic conductivity regions. In upscaled subsurface media, these regions can account for a significant proportion of the total groundwater flow. Knudby and Carrera </w:t>
      </w:r>
      <w:r w:rsidR="00084CDD">
        <w:fldChar w:fldCharType="begin"/>
      </w:r>
      <w:r>
        <w:instrText xml:space="preserve"> ADDIN EN.CITE &lt;EndNote&gt;&lt;Cite ExcludeAuth="1"&gt;&lt;Author&gt;Knudby&lt;/Author&gt;&lt;Year&gt;2005&lt;/Year&gt;&lt;IDText&gt;On the relationship between indicators of geostatistical, flow and transport connectivity&lt;/IDText&gt;&lt;DisplayText&gt;(2005)&lt;/DisplayText&gt;&lt;record&gt;&lt;dates&gt;&lt;pub-dates&gt;&lt;date&gt;APR 2005&lt;/date&gt;&lt;/pub-dates&gt;&lt;year&gt;2005&lt;/year&gt;&lt;/dates&gt;&lt;keywords&gt;&lt;keyword&gt;connectivity&lt;/keyword&gt;&lt;keyword&gt;heterogeneous media&lt;/keyword&gt;&lt;keyword&gt;preferential flow&lt;/keyword&gt;&lt;keyword&gt;channeling&lt;/keyword&gt;&lt;keyword&gt;effective permeability&lt;/keyword&gt;&lt;keyword&gt;geostatistics&lt;/keyword&gt;&lt;keyword&gt;entropy&lt;/keyword&gt;&lt;keyword&gt;contaminant transport&lt;/keyword&gt;&lt;keyword&gt;HETEROGENEOUS POROUS-MEDIA&lt;/keyword&gt;&lt;keyword&gt;HYDRAULIC CONDUCTIVITY&lt;/keyword&gt;&lt;keyword&gt;PERCOLATION THEORY&lt;/keyword&gt;&lt;keyword&gt;AQUIFER HETEROGENEITY&lt;/keyword&gt;&lt;keyword&gt;CONTAMINANT TRANSPORT&lt;/keyword&gt;&lt;keyword&gt;SPATIAL VARIABILITY&lt;/keyword&gt;&lt;keyword&gt;SOLUTE TRANSPORT&lt;/keyword&gt;&lt;keyword&gt;FRACTURED ROCKS&lt;/keyword&gt;&lt;keyword&gt;GROUNDWATER&lt;/keyword&gt;&lt;keyword&gt;SIMULATION&lt;/keyword&gt;&lt;/keywords&gt;&lt;isbn&gt;0309-1708&lt;/isbn&gt;&lt;work-type&gt;Article&lt;/work-type&gt;&lt;titles&gt;&lt;title&gt;On the relationship between indicators of geostatistical, flow and transport connectivity&lt;/title&gt;&lt;secondary-title&gt;Advances in Water Resources&lt;/secondary-title&gt;&lt;/titles&gt;&lt;pages&gt;405-421&lt;/pages&gt;&lt;number&gt;4&lt;/number&gt;&lt;contributors&gt;&lt;authors&gt;&lt;author&gt;Knudby, C&lt;/author&gt;&lt;author&gt;Carrera, J&lt;/author&gt;&lt;/authors&gt;&lt;/contributors&gt;&lt;language&gt;English&lt;/language&gt;&lt;added-date format="utc"&gt;1433833280&lt;/added-date&gt;&lt;ref-type name="Journal Article"&gt;17&lt;/ref-type&gt;&lt;auth-address&gt;Knudby, C (reprint author), Univ Calif Davis, Dept Land Air &amp;amp; Water Resources, Davis, CA 95616 USA&amp;#xD;Tech Univ Catalonia, Dept Geotech Engn &amp;amp; Geosci, Barcelona 08034, Spain&lt;/auth-address&gt;&lt;rec-number&gt;185&lt;/rec-number&gt;&lt;last-updated-date format="utc"&gt;1433833280&lt;/last-updated-date&gt;&lt;accession-num&gt;WOS:000227817300008&lt;/accession-num&gt;&lt;electronic-resource-num&gt;10.1016/j.advwatres.2004.09.001&lt;/electronic-resource-num&gt;&lt;volume&gt;28&lt;/volume&gt;&lt;/record&gt;&lt;/Cite&gt;&lt;/EndNote&gt;</w:instrText>
      </w:r>
      <w:r w:rsidR="00084CDD">
        <w:fldChar w:fldCharType="separate"/>
      </w:r>
      <w:r>
        <w:rPr>
          <w:noProof/>
        </w:rPr>
        <w:t>(2005)</w:t>
      </w:r>
      <w:r w:rsidR="00084CDD">
        <w:fldChar w:fldCharType="end"/>
      </w:r>
      <w:r>
        <w:t xml:space="preserve"> proposed </w:t>
      </w:r>
      <w:r w:rsidRPr="00C9274B">
        <w:t xml:space="preserve">and evaluated </w:t>
      </w:r>
      <w:r>
        <w:t>three</w:t>
      </w:r>
      <w:r w:rsidRPr="00C9274B">
        <w:t xml:space="preserve"> metrics by which to quantify </w:t>
      </w:r>
      <w:r w:rsidR="006A2D2B">
        <w:t xml:space="preserve">flow </w:t>
      </w:r>
      <w:r w:rsidRPr="00C9274B">
        <w:t xml:space="preserve">connectivity </w:t>
      </w:r>
      <w:r w:rsidR="006A2D2B">
        <w:t>i</w:t>
      </w:r>
      <w:r w:rsidRPr="00C9274B">
        <w:t xml:space="preserve">n porous media, </w:t>
      </w:r>
      <w:r w:rsidR="006A2D2B">
        <w:t>which characterises</w:t>
      </w:r>
      <w:r w:rsidR="006A2D2B" w:rsidRPr="006A2D2B">
        <w:t xml:space="preserve"> the degree of flow channeling, i.e. to what extent a small fraction of the medium provides a large fraction of the flux.</w:t>
      </w:r>
      <w:r w:rsidRPr="00C9274B">
        <w:t xml:space="preserve"> </w:t>
      </w:r>
      <w:r w:rsidR="006A2D2B">
        <w:t>T</w:t>
      </w:r>
      <w:r w:rsidRPr="00C9274B">
        <w:t xml:space="preserve">hese metrics </w:t>
      </w:r>
      <w:r w:rsidR="006A2D2B">
        <w:t xml:space="preserve">were found </w:t>
      </w:r>
      <w:r w:rsidRPr="00C9274B">
        <w:t xml:space="preserve">to be superior to metrics based on two point geostatistics. Knudby and Carerra </w:t>
      </w:r>
      <w:r w:rsidR="00084CDD">
        <w:fldChar w:fldCharType="begin"/>
      </w:r>
      <w:r>
        <w:instrText xml:space="preserve"> ADDIN EN.CITE &lt;EndNote&gt;&lt;Cite ExcludeAuth="1"&gt;&lt;Author&gt;Knudby&lt;/Author&gt;&lt;Year&gt;2006&lt;/Year&gt;&lt;IDText&gt;On the use of apparent hydraulic diffusivity as an indicator of connectivity&lt;/IDText&gt;&lt;DisplayText&gt;(2006)&lt;/DisplayText&gt;&lt;record&gt;&lt;dates&gt;&lt;pub-dates&gt;&lt;date&gt;OCT 15 2006&lt;/date&gt;&lt;/pub-dates&gt;&lt;year&gt;2006&lt;/year&gt;&lt;/dates&gt;&lt;keywords&gt;&lt;keyword&gt;connectivity&lt;/keyword&gt;&lt;keyword&gt;heterogeneous media&lt;/keyword&gt;&lt;keyword&gt;diffusivity&lt;/keyword&gt;&lt;keyword&gt;pumping test&lt;/keyword&gt;&lt;keyword&gt;tracer test&lt;/keyword&gt;&lt;keyword&gt;contaminant transport&lt;/keyword&gt;&lt;keyword&gt;HETEROGENEOUS POROUS-MEDIA&lt;/keyword&gt;&lt;keyword&gt;UNSATURATED FRACTURED TUFF&lt;/keyword&gt;&lt;keyword&gt;PUMPING TESTS&lt;/keyword&gt;&lt;keyword&gt;TRACER TESTS&lt;/keyword&gt;&lt;keyword&gt;TRANSPORT PARAMETERS&lt;/keyword&gt;&lt;keyword&gt;CONVERGENT-FLOW&lt;/keyword&gt;&lt;keyword&gt;JACOBS METHOD&lt;/keyword&gt;&lt;keyword&gt;SCALE&lt;/keyword&gt;&lt;keyword&gt;TRANSMISSIVITY&lt;/keyword&gt;&lt;keyword&gt;AQUIFERS&lt;/keyword&gt;&lt;/keywords&gt;&lt;isbn&gt;0022-1694&lt;/isbn&gt;&lt;work-type&gt;Article&lt;/work-type&gt;&lt;titles&gt;&lt;title&gt;On the use of apparent hydraulic diffusivity as an indicator of connectivity&lt;/title&gt;&lt;secondary-title&gt;Journal of Hydrology&lt;/secondary-title&gt;&lt;/titles&gt;&lt;pages&gt;377-389&lt;/pages&gt;&lt;number&gt;3-4&lt;/number&gt;&lt;contributors&gt;&lt;authors&gt;&lt;author&gt;Knudby, C&lt;/author&gt;&lt;author&gt;Carrera, J&lt;/author&gt;&lt;/authors&gt;&lt;/contributors&gt;&lt;language&gt;English&lt;/language&gt;&lt;added-date format="utc"&gt;1433833361&lt;/added-date&gt;&lt;ref-type name="Journal Article"&gt;17&lt;/ref-type&gt;&lt;auth-address&gt;Knudby, C (reprint author), Schlumberger Doll Res Ctr, 320 Bent St, Cambridge, MA 02141 USA&amp;#xD;Tech Univ Catalonia, Dept Geotech Engn &amp;amp; Geosci, Barcelona 08034, Spain&amp;#xD;cknudby@slb.com&lt;/auth-address&gt;&lt;rec-number&gt;186&lt;/rec-number&gt;&lt;last-updated-date format="utc"&gt;1433833361&lt;/last-updated-date&gt;&lt;accession-num&gt;WOS:000241295200003&lt;/accession-num&gt;&lt;electronic-resource-num&gt;10.1016/j.jhydrol.2006.02.026&lt;/electronic-resource-num&gt;&lt;volume&gt;329&lt;/volume&gt;&lt;/record&gt;&lt;/Cite&gt;&lt;/EndNote&gt;</w:instrText>
      </w:r>
      <w:r w:rsidR="00084CDD">
        <w:fldChar w:fldCharType="separate"/>
      </w:r>
      <w:r>
        <w:rPr>
          <w:noProof/>
        </w:rPr>
        <w:t>(2006)</w:t>
      </w:r>
      <w:r w:rsidR="00084CDD">
        <w:fldChar w:fldCharType="end"/>
      </w:r>
      <w:r w:rsidRPr="00C9274B">
        <w:t xml:space="preserve"> </w:t>
      </w:r>
      <w:r w:rsidR="006A2D2B">
        <w:t xml:space="preserve">found the use </w:t>
      </w:r>
      <w:r w:rsidRPr="00C9274B">
        <w:t xml:space="preserve">of </w:t>
      </w:r>
      <w:r w:rsidR="006A2D2B">
        <w:t xml:space="preserve">the </w:t>
      </w:r>
      <w:r w:rsidRPr="00C9274B">
        <w:t xml:space="preserve">hydraulic diffusivity </w:t>
      </w:r>
      <w:r>
        <w:t xml:space="preserve">(i.e., the ratio of transmissivity to storativity) </w:t>
      </w:r>
      <w:r w:rsidRPr="00C9274B">
        <w:t xml:space="preserve">a </w:t>
      </w:r>
      <w:r w:rsidR="006A2D2B">
        <w:t xml:space="preserve">particularly useful </w:t>
      </w:r>
      <w:r w:rsidRPr="00C9274B">
        <w:t xml:space="preserve">metric for </w:t>
      </w:r>
      <w:r w:rsidR="006A2D2B">
        <w:t xml:space="preserve">flow and transport related </w:t>
      </w:r>
      <w:r w:rsidRPr="00C9274B">
        <w:t>connectivity.</w:t>
      </w:r>
      <w:r>
        <w:t xml:space="preserve"> </w:t>
      </w:r>
      <w:r w:rsidR="006A2D2B">
        <w:t>A</w:t>
      </w:r>
      <w:r w:rsidRPr="00C9274B">
        <w:t>n analytical approach to upscaling binary porous media that account</w:t>
      </w:r>
      <w:r w:rsidR="006A2D2B">
        <w:t>s</w:t>
      </w:r>
      <w:r w:rsidRPr="00C9274B">
        <w:t xml:space="preserve"> for metrics of connectivity</w:t>
      </w:r>
      <w:r w:rsidR="006A2D2B">
        <w:t xml:space="preserve"> is available from</w:t>
      </w:r>
      <w:r w:rsidR="006A2D2B" w:rsidRPr="006A2D2B">
        <w:t xml:space="preserve"> </w:t>
      </w:r>
      <w:r w:rsidR="006A2D2B" w:rsidRPr="00C9274B">
        <w:t xml:space="preserve">Knudby </w:t>
      </w:r>
      <w:r w:rsidR="006A2D2B">
        <w:t xml:space="preserve">et al. </w:t>
      </w:r>
      <w:r w:rsidR="00084CDD">
        <w:fldChar w:fldCharType="begin">
          <w:fldData xml:space="preserve">PEVuZE5vdGU+PENpdGUgRXhjbHVkZUF1dGg9IjEiPjxBdXRob3I+S251ZGJ5PC9BdXRob3I+PFll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</w:fldData>
        </w:fldChar>
      </w:r>
      <w:r w:rsidR="006A2D2B">
        <w:instrText xml:space="preserve"> ADDIN EN.CITE </w:instrText>
      </w:r>
      <w:r w:rsidR="00084CDD">
        <w:fldChar w:fldCharType="begin">
          <w:fldData xml:space="preserve">PEVuZE5vdGU+PENpdGUgRXhjbHVkZUF1dGg9IjEiPjxBdXRob3I+S251ZGJ5PC9BdXRob3I+PFll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</w:fldData>
        </w:fldChar>
      </w:r>
      <w:r w:rsidR="006A2D2B">
        <w:instrText xml:space="preserve"> ADDIN EN.CITE.DATA </w:instrText>
      </w:r>
      <w:r w:rsidR="00084CDD">
        <w:fldChar w:fldCharType="end"/>
      </w:r>
      <w:r w:rsidR="00084CDD">
        <w:fldChar w:fldCharType="separate"/>
      </w:r>
      <w:r w:rsidR="006A2D2B">
        <w:rPr>
          <w:noProof/>
        </w:rPr>
        <w:t>(2006)</w:t>
      </w:r>
      <w:r w:rsidR="00084CDD">
        <w:fldChar w:fldCharType="end"/>
      </w:r>
      <w:r w:rsidR="006A2D2B">
        <w:t>.</w:t>
      </w:r>
    </w:p>
    <w:p w14:paraId="5CADBE06" w14:textId="77777777" w:rsidR="00E975A6" w:rsidRDefault="00E975A6" w:rsidP="00D21174">
      <w:pPr>
        <w:pStyle w:val="Body"/>
      </w:pPr>
      <w:r>
        <w:t xml:space="preserve">Essentially, connectivity-based approaches aim to preserve a specified metric of connectivity when the scale of interest is increased. These methods vary primarily in the type of connectivity metric specified. </w:t>
      </w:r>
      <w:r w:rsidR="004E13DF">
        <w:t xml:space="preserve">While applications have mainly been in aquifers, </w:t>
      </w:r>
      <w:r w:rsidRPr="007017BF">
        <w:t>connectivity-based approach</w:t>
      </w:r>
      <w:r w:rsidR="004E13DF">
        <w:t>es are</w:t>
      </w:r>
      <w:r w:rsidRPr="007017BF">
        <w:t xml:space="preserve"> probably </w:t>
      </w:r>
      <w:r w:rsidR="004E13DF">
        <w:t xml:space="preserve">equally </w:t>
      </w:r>
      <w:r w:rsidRPr="007017BF">
        <w:t xml:space="preserve">useful </w:t>
      </w:r>
      <w:r w:rsidR="004E13DF">
        <w:t xml:space="preserve">in </w:t>
      </w:r>
      <w:r w:rsidRPr="007017BF">
        <w:t>aquitards</w:t>
      </w:r>
      <w:r w:rsidR="004E13DF">
        <w:t xml:space="preserve"> (de Marsily et al. 2005)</w:t>
      </w:r>
      <w:r w:rsidRPr="007017BF">
        <w:t>.</w:t>
      </w:r>
    </w:p>
    <w:p w14:paraId="4955B049" w14:textId="4947DA99" w:rsidR="00E8296A" w:rsidRDefault="00700FF1" w:rsidP="00CB7B2D">
      <w:pPr>
        <w:pStyle w:val="Heading3"/>
      </w:pPr>
      <w:bookmarkStart w:id="182" w:name="_Toc446256431"/>
      <w:bookmarkStart w:id="183" w:name="_Toc449696147"/>
      <w:bookmarkStart w:id="184" w:name="_Toc449696816"/>
      <w:bookmarkStart w:id="185" w:name="_Ref421888179"/>
      <w:bookmarkStart w:id="186" w:name="_Toc449696817"/>
      <w:bookmarkEnd w:id="182"/>
      <w:bookmarkEnd w:id="183"/>
      <w:bookmarkEnd w:id="184"/>
      <w:r>
        <w:t>Simulation-based s</w:t>
      </w:r>
      <w:r w:rsidR="00E975A6" w:rsidRPr="00E975A6">
        <w:t xml:space="preserve">patial interpolation </w:t>
      </w:r>
      <w:r w:rsidR="00E8296A">
        <w:t>methods</w:t>
      </w:r>
      <w:bookmarkEnd w:id="185"/>
      <w:bookmarkEnd w:id="186"/>
      <w:r w:rsidR="00E8296A">
        <w:t xml:space="preserve"> </w:t>
      </w:r>
    </w:p>
    <w:p w14:paraId="7758B1E3" w14:textId="0FEEF843" w:rsidR="00733104" w:rsidRDefault="0070708B" w:rsidP="00E8296A">
      <w:pPr>
        <w:pStyle w:val="Body"/>
        <w:rPr>
          <w:color w:val="auto"/>
        </w:rPr>
      </w:pPr>
      <w:r>
        <w:rPr>
          <w:color w:val="auto"/>
        </w:rPr>
        <w:t xml:space="preserve">In the study of groundwater flow systems, hydraulic conductivity is the most heterogeneous hydraulic property required for flow simulation. The hydraulic conductivity of a given hydrostratigraphic unit is typically log-normally distributed and may range over orders of magnitude. The primary cause of heterogeneity </w:t>
      </w:r>
      <w:r w:rsidR="007F122F">
        <w:rPr>
          <w:color w:val="auto"/>
        </w:rPr>
        <w:t xml:space="preserve">is </w:t>
      </w:r>
      <w:r>
        <w:rPr>
          <w:color w:val="auto"/>
        </w:rPr>
        <w:t>variations in geological facies. Following the deposition and lithification of facies, their variability may subsequently be altered by</w:t>
      </w:r>
      <w:r w:rsidR="003E4802">
        <w:rPr>
          <w:color w:val="auto"/>
        </w:rPr>
        <w:t xml:space="preserve"> secondary processes, </w:t>
      </w:r>
      <w:r>
        <w:rPr>
          <w:color w:val="auto"/>
        </w:rPr>
        <w:t xml:space="preserve">such as </w:t>
      </w:r>
      <w:r w:rsidR="00D02C4F">
        <w:rPr>
          <w:color w:val="auto"/>
        </w:rPr>
        <w:t xml:space="preserve">diagenesis by </w:t>
      </w:r>
      <w:r>
        <w:rPr>
          <w:color w:val="auto"/>
        </w:rPr>
        <w:t xml:space="preserve">silicification, or by the development of </w:t>
      </w:r>
      <w:r w:rsidR="003E4802">
        <w:rPr>
          <w:color w:val="auto"/>
        </w:rPr>
        <w:t>structural features</w:t>
      </w:r>
      <w:r>
        <w:rPr>
          <w:color w:val="auto"/>
        </w:rPr>
        <w:t xml:space="preserve">, such as geological faults. </w:t>
      </w:r>
      <w:r w:rsidR="00261BAC">
        <w:rPr>
          <w:color w:val="auto"/>
        </w:rPr>
        <w:t xml:space="preserve">The parameterisation of hydraulic properties in groundwater flow models often involves the use of scalar values to represent the bulk properties of a given hydrostratigraphic unit. This approach neglects (often due to data paucity) the existence of multiple facies within a HSU. Alternative approaches use explicit representations of multiple facies types to </w:t>
      </w:r>
      <w:r w:rsidR="006A2D2B">
        <w:rPr>
          <w:color w:val="auto"/>
        </w:rPr>
        <w:t xml:space="preserve">subsequently </w:t>
      </w:r>
      <w:r w:rsidR="00261BAC">
        <w:rPr>
          <w:color w:val="auto"/>
        </w:rPr>
        <w:t xml:space="preserve">calculate equivalent hydraulic properties. Whilst requiring a higher level of data support, these approaches provide a more rigorous basis for determining hydraulic property values. </w:t>
      </w:r>
      <w:r w:rsidR="00F4594A">
        <w:rPr>
          <w:color w:val="auto"/>
        </w:rPr>
        <w:t>Faliven</w:t>
      </w:r>
      <w:r w:rsidR="00733104" w:rsidRPr="00F4594A">
        <w:rPr>
          <w:color w:val="auto"/>
        </w:rPr>
        <w:t xml:space="preserve">e </w:t>
      </w:r>
      <w:r w:rsidR="006A2D2B">
        <w:rPr>
          <w:color w:val="auto"/>
        </w:rPr>
        <w:t>et al.</w:t>
      </w:r>
      <w:r w:rsidR="00810442">
        <w:rPr>
          <w:color w:val="auto"/>
        </w:rPr>
        <w:t xml:space="preserve"> </w:t>
      </w:r>
      <w:r w:rsidR="00084CDD">
        <w:rPr>
          <w:color w:val="auto"/>
        </w:rPr>
        <w:fldChar w:fldCharType="begin">
          <w:fldData xml:space="preserve">PEVuZE5vdGU+PENpdGUgRXhjbHVkZUF1dGg9IjEiPjxBdXRob3I+RmFsaXZlbmU8L0F1dGhvcj48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</w:fldData>
        </w:fldChar>
      </w:r>
      <w:r w:rsidR="00832378">
        <w:rPr>
          <w:color w:val="auto"/>
        </w:rPr>
        <w:instrText xml:space="preserve"> ADDIN EN.CITE </w:instrText>
      </w:r>
      <w:r w:rsidR="00084CDD">
        <w:rPr>
          <w:color w:val="auto"/>
        </w:rPr>
        <w:fldChar w:fldCharType="begin">
          <w:fldData xml:space="preserve">PEVuZE5vdGU+PENpdGUgRXhjbHVkZUF1dGg9IjEiPjxBdXRob3I+RmFsaXZlbmU8L0F1dGhvcj48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</w:fldData>
        </w:fldChar>
      </w:r>
      <w:r w:rsidR="00832378">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sidR="00832378">
        <w:rPr>
          <w:noProof/>
          <w:color w:val="auto"/>
        </w:rPr>
        <w:t>(2007)</w:t>
      </w:r>
      <w:r w:rsidR="00084CDD">
        <w:rPr>
          <w:color w:val="auto"/>
        </w:rPr>
        <w:fldChar w:fldCharType="end"/>
      </w:r>
      <w:r w:rsidR="00F4594A">
        <w:rPr>
          <w:color w:val="auto"/>
        </w:rPr>
        <w:t xml:space="preserve"> summarised the range of numerical approaches to parameter upscaling</w:t>
      </w:r>
      <w:r w:rsidR="00261BAC">
        <w:rPr>
          <w:color w:val="auto"/>
        </w:rPr>
        <w:t xml:space="preserve"> based on facies reconstruction</w:t>
      </w:r>
      <w:r w:rsidR="00F4594A">
        <w:rPr>
          <w:color w:val="auto"/>
        </w:rPr>
        <w:t>. At the highest level, methods were categorised as either deterministic or stochastic. In the present work we focus only on stochastic approaches, as deterministic approaches are, by definition, unable to characterise the uncertainties associated with upscaling and spatial interpolation. Stochastic approaches were classified into pixel-based methods and object-based methods (</w:t>
      </w:r>
      <w:r w:rsidR="00084CDD">
        <w:rPr>
          <w:color w:val="auto"/>
          <w:highlight w:val="yellow"/>
        </w:rPr>
        <w:fldChar w:fldCharType="begin"/>
      </w:r>
      <w:r w:rsidR="00C276C4">
        <w:rPr>
          <w:color w:val="auto"/>
        </w:rPr>
        <w:instrText xml:space="preserve"> REF _Ref422388925 \h </w:instrText>
      </w:r>
      <w:r w:rsidR="00084CDD">
        <w:rPr>
          <w:color w:val="auto"/>
          <w:highlight w:val="yellow"/>
        </w:rPr>
      </w:r>
      <w:r w:rsidR="00084CDD">
        <w:rPr>
          <w:color w:val="auto"/>
          <w:highlight w:val="yellow"/>
        </w:rPr>
        <w:fldChar w:fldCharType="separate"/>
      </w:r>
      <w:r w:rsidR="00C52E30">
        <w:t xml:space="preserve">Figure </w:t>
      </w:r>
      <w:r w:rsidR="00C52E30">
        <w:rPr>
          <w:noProof/>
        </w:rPr>
        <w:t>33</w:t>
      </w:r>
      <w:r w:rsidR="00084CDD">
        <w:rPr>
          <w:color w:val="auto"/>
          <w:highlight w:val="yellow"/>
        </w:rPr>
        <w:fldChar w:fldCharType="end"/>
      </w:r>
      <w:r w:rsidR="00F4594A">
        <w:rPr>
          <w:color w:val="auto"/>
        </w:rPr>
        <w:t xml:space="preserve">). Pixel-based methods refer to approaches where upscaling and interpolation are undertaken using a discrete grid or mesh. In comparison, object-based (or Boolean) approaches use a combination of predefined shapes </w:t>
      </w:r>
      <w:r w:rsidR="00FF5673">
        <w:rPr>
          <w:color w:val="auto"/>
        </w:rPr>
        <w:t>(often simple geometric or curvilinear shapes</w:t>
      </w:r>
      <w:r w:rsidR="00F4594A">
        <w:rPr>
          <w:color w:val="auto"/>
        </w:rPr>
        <w:t xml:space="preserve">) to represent heterogeneity. </w:t>
      </w:r>
      <w:r w:rsidR="00FF5673">
        <w:rPr>
          <w:color w:val="auto"/>
        </w:rPr>
        <w:t xml:space="preserve">The two approaches may also be </w:t>
      </w:r>
      <w:r w:rsidR="00E94AF1">
        <w:rPr>
          <w:color w:val="auto"/>
        </w:rPr>
        <w:t xml:space="preserve">used in </w:t>
      </w:r>
      <w:r w:rsidR="00FF5673">
        <w:rPr>
          <w:color w:val="auto"/>
        </w:rPr>
        <w:t>combin</w:t>
      </w:r>
      <w:r w:rsidR="00E94AF1">
        <w:rPr>
          <w:color w:val="auto"/>
        </w:rPr>
        <w:t>ation, which can enable stochastic parameterisation of geologically realistic heterogeneous features</w:t>
      </w:r>
      <w:r w:rsidR="006A2D2B">
        <w:rPr>
          <w:color w:val="auto"/>
        </w:rPr>
        <w:t xml:space="preserve"> (</w:t>
      </w:r>
      <w:r w:rsidR="00AA5ABA">
        <w:rPr>
          <w:color w:val="auto"/>
        </w:rPr>
        <w:t xml:space="preserve">e.g., </w:t>
      </w:r>
      <w:r w:rsidR="00E94AF1">
        <w:rPr>
          <w:color w:val="auto"/>
        </w:rPr>
        <w:t>Michael et al.</w:t>
      </w:r>
      <w:r w:rsidR="006A2D2B">
        <w:rPr>
          <w:color w:val="auto"/>
        </w:rPr>
        <w:t>,</w:t>
      </w:r>
      <w:r w:rsidR="00E94AF1">
        <w:rPr>
          <w:color w:val="auto"/>
        </w:rPr>
        <w:t xml:space="preserve"> </w:t>
      </w:r>
      <w:r w:rsidR="00084CDD">
        <w:rPr>
          <w:color w:val="auto"/>
        </w:rPr>
        <w:fldChar w:fldCharType="begin"/>
      </w:r>
      <w:r w:rsidR="00E94AF1">
        <w:rPr>
          <w:color w:val="auto"/>
        </w:rPr>
        <w:instrText xml:space="preserve"> ADDIN EN.CITE &lt;EndNote&gt;&lt;Cite ExcludeAuth="1"&gt;&lt;Author&gt;Michael&lt;/Author&gt;&lt;Year&gt;2010&lt;/Year&gt;&lt;IDText&gt;Combining geologic-process models and geostatistics for conditional simulation of 3-D subsurface heterogeneity&lt;/IDText&gt;&lt;DisplayText&gt;(2010)&lt;/DisplayText&gt;&lt;record&gt;&lt;dates&gt;&lt;pub-dates&gt;&lt;date&gt;MAY 29 2010&lt;/date&gt;&lt;/pub-dates&gt;&lt;year&gt;2010&lt;/year&gt;&lt;/dates&gt;&lt;keywords&gt;&lt;keyword&gt;HYDRAULIC CONDUCTIVITY&lt;/keyword&gt;&lt;keyword&gt;FLOW&lt;/keyword&gt;&lt;keyword&gt;TRANSPORT&lt;/keyword&gt;&lt;keyword&gt;RESERVOIR&lt;/keyword&gt;&lt;keyword&gt;FACIES&lt;/keyword&gt;&lt;keyword&gt;SCALE&lt;/keyword&gt;&lt;keyword&gt;MANAGEMENT&lt;/keyword&gt;&lt;keyword&gt;PATTERNS&lt;/keyword&gt;&lt;keyword&gt;AQUIFERS&lt;/keyword&gt;&lt;keyword&gt;BASIN&lt;/keyword&gt;&lt;/keywords&gt;&lt;isbn&gt;0043-1397&lt;/isbn&gt;&lt;work-type&gt;Article&lt;/work-type&gt;&lt;titles&gt;&lt;title&gt;Combining geologic-process models and geostatistics for conditional simulation of 3-D subsurface heterogeneity&lt;/title&gt;&lt;secondary-title&gt;Water Resources Research&lt;/secondary-title&gt;&lt;/titles&gt;&lt;contributors&gt;&lt;authors&gt;&lt;author&gt;Michael, HA&lt;/author&gt;&lt;author&gt;Li, H&lt;/author&gt;&lt;author&gt;Boucher, A&lt;/author&gt;&lt;author&gt;Sun, T&lt;/author&gt;&lt;author&gt;Caers, J&lt;/author&gt;&lt;author&gt;Gorelick, SM&lt;/author&gt;&lt;/authors&gt;&lt;/contributors&gt;&lt;custom7&gt;ARTN W05527&lt;/custom7&gt;&lt;language&gt;English&lt;/language&gt;&lt;added-date format="utc"&gt;1433828345&lt;/added-date&gt;&lt;ref-type name="Journal Article"&gt;17&lt;/ref-type&gt;&lt;auth-address&gt;Michael, HA (reprint author), Univ Delaware, Dept Geol Sci, 101 Penny Hall, Newark, DE 19716 USA&amp;#xD;Univ Delaware, Dept Geol Sci, Newark, DE 19716 USA&amp;#xD;Stanford Univ, Dept Environm Earth Syst Sci, Stanford, CA 94305 USA&amp;#xD;Stanford Univ, Dept Energy Resources Engn, Stanford, CA 94305 USA&amp;#xD;ExxonMobil Upstream Res Co, Houston, TX 77252 USA&amp;#xD;hmichael@udel.edu&lt;/auth-address&gt;&lt;rec-number&gt;169&lt;/rec-number&gt;&lt;last-updated-date format="utc"&gt;1433828345&lt;/last-updated-date&gt;&lt;accession-num&gt;WOS:000278249800001&lt;/accession-num&gt;&lt;electronic-resource-num&gt;10.1029/2009WR008414&lt;/electronic-resource-num&gt;&lt;volume&gt;46&lt;/volume&gt;&lt;/record&gt;&lt;/Cite&gt;&lt;/EndNote&gt;</w:instrText>
      </w:r>
      <w:r w:rsidR="00084CDD">
        <w:rPr>
          <w:color w:val="auto"/>
        </w:rPr>
        <w:fldChar w:fldCharType="separate"/>
      </w:r>
      <w:r w:rsidR="00E94AF1">
        <w:rPr>
          <w:noProof/>
          <w:color w:val="auto"/>
        </w:rPr>
        <w:t>2010)</w:t>
      </w:r>
      <w:r w:rsidR="00084CDD">
        <w:rPr>
          <w:color w:val="auto"/>
        </w:rPr>
        <w:fldChar w:fldCharType="end"/>
      </w:r>
      <w:r w:rsidR="00FF5673">
        <w:rPr>
          <w:color w:val="auto"/>
        </w:rPr>
        <w:t>.</w:t>
      </w:r>
      <w:r w:rsidR="006A2D2B">
        <w:rPr>
          <w:color w:val="auto"/>
        </w:rPr>
        <w:t xml:space="preserve"> We subsequently discuss the following methods: Monte Carlo sampling, two-point statistics, multi-points statistics and transition probability statistics.</w:t>
      </w:r>
    </w:p>
    <w:p w14:paraId="20AD5BB6" w14:textId="77777777" w:rsidR="009A78B7" w:rsidRPr="00F4594A" w:rsidRDefault="009A78B7" w:rsidP="00E8296A">
      <w:pPr>
        <w:pStyle w:val="Body"/>
        <w:rPr>
          <w:color w:val="auto"/>
        </w:rPr>
      </w:pPr>
    </w:p>
    <w:p w14:paraId="35A40D8A" w14:textId="77777777" w:rsidR="00995AC6" w:rsidRDefault="00995AC6" w:rsidP="00E8296A">
      <w:pPr>
        <w:pStyle w:val="Body"/>
        <w:rPr>
          <w:color w:val="C00000"/>
        </w:rPr>
      </w:pPr>
    </w:p>
    <w:p w14:paraId="71A8385A" w14:textId="77777777" w:rsidR="00B13FEF" w:rsidRDefault="00FD6536" w:rsidP="006724E3">
      <w:pPr>
        <w:pStyle w:val="Body"/>
        <w:keepNext/>
        <w:rPr>
          <w:color w:val="C00000"/>
        </w:rPr>
      </w:pPr>
      <w:r>
        <w:rPr>
          <w:noProof/>
          <w:color w:val="C00000"/>
          <w:lang w:val="en-AU" w:eastAsia="en-AU"/>
        </w:rPr>
        <w:drawing>
          <wp:inline distT="0" distB="0" distL="0" distR="0" wp14:anchorId="43386C9F" wp14:editId="66ABF7AF">
            <wp:extent cx="5755640" cy="1322070"/>
            <wp:effectExtent l="19050" t="0" r="0" b="0"/>
            <wp:docPr id="15" name="Picture 14" descr="Upscaling_methods_flowchart_v2_090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scaling_methods_flowchart_v2_090615.png"/>
                    <pic:cNvPicPr/>
                  </pic:nvPicPr>
                  <pic:blipFill>
                    <a:blip r:embed="rId74"/>
                    <a:stretch>
                      <a:fillRect/>
                    </a:stretch>
                  </pic:blipFill>
                  <pic:spPr>
                    <a:xfrm>
                      <a:off x="0" y="0"/>
                      <a:ext cx="5755640" cy="1322070"/>
                    </a:xfrm>
                    <a:prstGeom prst="rect">
                      <a:avLst/>
                    </a:prstGeom>
                  </pic:spPr>
                </pic:pic>
              </a:graphicData>
            </a:graphic>
          </wp:inline>
        </w:drawing>
      </w:r>
    </w:p>
    <w:p w14:paraId="5D86D100" w14:textId="77777777" w:rsidR="00B13FEF" w:rsidRDefault="007512E8" w:rsidP="007512E8">
      <w:pPr>
        <w:pStyle w:val="Imagecaption"/>
      </w:pPr>
      <w:bookmarkStart w:id="187" w:name="_Ref422388925"/>
      <w:bookmarkStart w:id="188" w:name="_Toc422323052"/>
      <w:bookmarkStart w:id="189" w:name="_Toc449696323"/>
      <w:r>
        <w:t xml:space="preserve">Figure </w:t>
      </w:r>
      <w:r w:rsidR="00084CDD">
        <w:fldChar w:fldCharType="begin"/>
      </w:r>
      <w:r>
        <w:instrText xml:space="preserve"> SEQ Figure \* ARABIC </w:instrText>
      </w:r>
      <w:r w:rsidR="00084CDD">
        <w:fldChar w:fldCharType="separate"/>
      </w:r>
      <w:r w:rsidR="00C52E30">
        <w:rPr>
          <w:noProof/>
        </w:rPr>
        <w:t>33</w:t>
      </w:r>
      <w:r w:rsidR="00084CDD">
        <w:fldChar w:fldCharType="end"/>
      </w:r>
      <w:bookmarkEnd w:id="187"/>
      <w:r>
        <w:t>.</w:t>
      </w:r>
      <w:r w:rsidR="00B13FEF">
        <w:t xml:space="preserve"> Categorisation of n</w:t>
      </w:r>
      <w:r w:rsidR="00FF5673">
        <w:t xml:space="preserve">umerical upscaling approaches [after Falivene </w:t>
      </w:r>
      <w:r w:rsidR="00810442">
        <w:t xml:space="preserve">et al., </w:t>
      </w:r>
      <w:r w:rsidR="00084CDD">
        <w:fldChar w:fldCharType="begin">
          <w:fldData xml:space="preserve">PEVuZE5vdGU+PENpdGUgRXhjbHVkZUF1dGg9IjEiPjxBdXRob3I+RmFsaXZlbmU8L0F1dGhvcj48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</w:fldData>
        </w:fldChar>
      </w:r>
      <w:r w:rsidR="00832378">
        <w:instrText xml:space="preserve"> ADDIN EN.CITE </w:instrText>
      </w:r>
      <w:r w:rsidR="00084CDD">
        <w:fldChar w:fldCharType="begin">
          <w:fldData xml:space="preserve">PEVuZE5vdGU+PENpdGUgRXhjbHVkZUF1dGg9IjEiPjxBdXRob3I+RmFsaXZlbmU8L0F1dGhvcj48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</w:fldData>
        </w:fldChar>
      </w:r>
      <w:r w:rsidR="00832378">
        <w:instrText xml:space="preserve"> ADDIN EN.CITE.DATA </w:instrText>
      </w:r>
      <w:r w:rsidR="00084CDD">
        <w:fldChar w:fldCharType="end"/>
      </w:r>
      <w:r w:rsidR="00084CDD">
        <w:fldChar w:fldCharType="separate"/>
      </w:r>
      <w:r w:rsidR="00832378">
        <w:rPr>
          <w:noProof/>
        </w:rPr>
        <w:t>(2007)</w:t>
      </w:r>
      <w:r w:rsidR="00084CDD">
        <w:fldChar w:fldCharType="end"/>
      </w:r>
      <w:r w:rsidR="00FF5673">
        <w:t>]</w:t>
      </w:r>
      <w:bookmarkEnd w:id="188"/>
      <w:bookmarkEnd w:id="189"/>
    </w:p>
    <w:p w14:paraId="180CD407" w14:textId="77777777" w:rsidR="00B13FEF" w:rsidRDefault="00B13FEF" w:rsidP="00E8296A">
      <w:pPr>
        <w:pStyle w:val="Body"/>
        <w:rPr>
          <w:color w:val="C00000"/>
        </w:rPr>
      </w:pPr>
    </w:p>
    <w:p w14:paraId="22DD51DF" w14:textId="77777777" w:rsidR="009D3E9F" w:rsidRDefault="009D3E9F" w:rsidP="00E8296A">
      <w:pPr>
        <w:pStyle w:val="Body"/>
        <w:rPr>
          <w:color w:val="C00000"/>
        </w:rPr>
      </w:pPr>
    </w:p>
    <w:p w14:paraId="3F2EE104" w14:textId="77777777" w:rsidR="001040B2" w:rsidRPr="00995AC6" w:rsidRDefault="00995AC6" w:rsidP="00E8296A">
      <w:pPr>
        <w:pStyle w:val="Body"/>
        <w:rPr>
          <w:b/>
          <w:color w:val="auto"/>
        </w:rPr>
      </w:pPr>
      <w:r>
        <w:rPr>
          <w:b/>
          <w:color w:val="auto"/>
        </w:rPr>
        <w:t>Monte Carlo sampling</w:t>
      </w:r>
    </w:p>
    <w:p w14:paraId="047B3371" w14:textId="77777777" w:rsidR="006A2D2B" w:rsidRDefault="00E8296A" w:rsidP="006A2D2B">
      <w:pPr>
        <w:pStyle w:val="Body"/>
      </w:pPr>
      <w:r>
        <w:t xml:space="preserve">The simplest approach </w:t>
      </w:r>
      <w:r w:rsidR="009874FA">
        <w:t xml:space="preserve">to </w:t>
      </w:r>
      <w:r w:rsidR="006A2D2B">
        <w:t xml:space="preserve">generate spatially continuous facies and/or hydraulic conductivity models </w:t>
      </w:r>
      <w:r>
        <w:t xml:space="preserve">involves defining, for a given hydrostratigraphic unit (HSU), probability density functions (PDFs) for the facies located within the HSU, and for the properties within each facies. Using a Monte Carlo (MC) sampling approach, a regional scale REV composed of many </w:t>
      </w:r>
      <w:r w:rsidR="003B64BF">
        <w:t xml:space="preserve">spatially uncorrelated </w:t>
      </w:r>
      <w:r>
        <w:t xml:space="preserve">core or bore scale REVs can be populated stochastically according to these PDFs. The effective hydraulic properties of the regional scale REV can then be calculated using analytical/empirical solutions or by numerical sampling methods. </w:t>
      </w:r>
    </w:p>
    <w:p w14:paraId="0571397D" w14:textId="77777777" w:rsidR="006A2D2B" w:rsidRPr="006A2D2B" w:rsidRDefault="006A2D2B" w:rsidP="006A2D2B">
      <w:pPr>
        <w:pStyle w:val="Body"/>
      </w:pPr>
    </w:p>
    <w:p w14:paraId="63B7362B" w14:textId="77777777" w:rsidR="001040B2" w:rsidRPr="00995AC6" w:rsidRDefault="00995AC6" w:rsidP="00DB1D1A">
      <w:pPr>
        <w:pStyle w:val="Body"/>
        <w:keepNext/>
        <w:rPr>
          <w:b/>
          <w:color w:val="auto"/>
        </w:rPr>
      </w:pPr>
      <w:r>
        <w:rPr>
          <w:b/>
          <w:color w:val="auto"/>
        </w:rPr>
        <w:t>Two</w:t>
      </w:r>
      <w:r w:rsidR="008B1C88">
        <w:rPr>
          <w:b/>
          <w:color w:val="auto"/>
        </w:rPr>
        <w:t>-</w:t>
      </w:r>
      <w:r>
        <w:rPr>
          <w:b/>
          <w:color w:val="auto"/>
        </w:rPr>
        <w:t>point statistics</w:t>
      </w:r>
    </w:p>
    <w:p w14:paraId="06A5ED96" w14:textId="77777777" w:rsidR="00DD78FF" w:rsidRDefault="00E8296A" w:rsidP="00831693">
      <w:pPr>
        <w:pStyle w:val="Body"/>
      </w:pPr>
      <w:r w:rsidRPr="00C9274B">
        <w:t>More complex approaches are based on the same procedure of MC sampling of parameter PDFs, but preserve a given spatial structure ide</w:t>
      </w:r>
      <w:r w:rsidR="006A2D2B">
        <w:t>ntified a priori. Traditionally,</w:t>
      </w:r>
      <w:r w:rsidRPr="00C9274B">
        <w:t xml:space="preserve"> spatial structure (</w:t>
      </w:r>
      <w:r w:rsidR="00C85DC3">
        <w:t xml:space="preserve">i.e., </w:t>
      </w:r>
      <w:r w:rsidRPr="00C9274B">
        <w:t>correlation) was specified using two point geostatistics</w:t>
      </w:r>
      <w:r w:rsidR="002D3C9E">
        <w:t xml:space="preserve"> </w:t>
      </w:r>
      <w:r w:rsidR="00084CDD">
        <w:fldChar w:fldCharType="begin">
          <w:fldData xml:space="preserve">PEVuZE5vdGU+PENpdGU+PEF1dGhvcj5Kb3VybmVsPC9BdXRob3I+PFllYXI+MTk3ODwvWWVhcj48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</w:fldData>
        </w:fldChar>
      </w:r>
      <w:r w:rsidR="00832378">
        <w:instrText xml:space="preserve"> ADDIN EN.CITE </w:instrText>
      </w:r>
      <w:r w:rsidR="00084CDD">
        <w:fldChar w:fldCharType="begin">
          <w:fldData xml:space="preserve">PEVuZE5vdGU+PENpdGU+PEF1dGhvcj5Kb3VybmVsPC9BdXRob3I+PFllYXI+MTk3ODwvWWVhcj48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</w:fldData>
        </w:fldChar>
      </w:r>
      <w:r w:rsidR="00832378">
        <w:instrText xml:space="preserve"> ADDIN EN.CITE.DATA </w:instrText>
      </w:r>
      <w:r w:rsidR="00084CDD">
        <w:fldChar w:fldCharType="end"/>
      </w:r>
      <w:r w:rsidR="00084CDD">
        <w:fldChar w:fldCharType="separate"/>
      </w:r>
      <w:r w:rsidR="00832378">
        <w:rPr>
          <w:noProof/>
        </w:rPr>
        <w:t>(Chilès and Delfiner, 1999; Isaaks and Srivastava, 1989; Journel and Huijbregts, 1978; Wackernagel, 2003</w:t>
      </w:r>
      <w:r w:rsidR="001D39AC">
        <w:rPr>
          <w:noProof/>
        </w:rPr>
        <w:t>; Rogiers et al., 2014</w:t>
      </w:r>
      <w:r w:rsidR="00FF58FD">
        <w:rPr>
          <w:noProof/>
        </w:rPr>
        <w:t>b</w:t>
      </w:r>
      <w:r w:rsidR="00832378">
        <w:rPr>
          <w:noProof/>
        </w:rPr>
        <w:t>)</w:t>
      </w:r>
      <w:r w:rsidR="00084CDD">
        <w:fldChar w:fldCharType="end"/>
      </w:r>
      <w:r w:rsidRPr="00C9274B">
        <w:t>. This typically involve</w:t>
      </w:r>
      <w:r w:rsidR="002D3C9E">
        <w:t>s</w:t>
      </w:r>
      <w:r w:rsidRPr="00C9274B">
        <w:t xml:space="preserve"> fitting a spatial correlat</w:t>
      </w:r>
      <w:r w:rsidR="002F703B">
        <w:t>ion function (</w:t>
      </w:r>
      <w:r w:rsidR="00C85DC3">
        <w:t xml:space="preserve">i.e., </w:t>
      </w:r>
      <w:r w:rsidR="002F703B">
        <w:t>a variogram or</w:t>
      </w:r>
      <w:r w:rsidRPr="00C9274B">
        <w:t xml:space="preserve"> semivariogram) to a set of data points located within a given region</w:t>
      </w:r>
      <w:r w:rsidR="006A2D2B">
        <w:t xml:space="preserve"> (</w:t>
      </w:r>
      <w:r w:rsidR="00084CDD">
        <w:fldChar w:fldCharType="begin"/>
      </w:r>
      <w:r w:rsidR="006A2D2B">
        <w:instrText xml:space="preserve"> REF _Ref433726307 \h </w:instrText>
      </w:r>
      <w:r w:rsidR="00084CDD">
        <w:fldChar w:fldCharType="separate"/>
      </w:r>
      <w:r w:rsidR="00C52E30">
        <w:t xml:space="preserve">Figure </w:t>
      </w:r>
      <w:r w:rsidR="00C52E30">
        <w:rPr>
          <w:noProof/>
        </w:rPr>
        <w:t>34</w:t>
      </w:r>
      <w:r w:rsidR="00084CDD">
        <w:fldChar w:fldCharType="end"/>
      </w:r>
      <w:r w:rsidR="006A2D2B">
        <w:t>)</w:t>
      </w:r>
      <w:r w:rsidRPr="00C9274B">
        <w:t xml:space="preserve">. </w:t>
      </w:r>
      <w:r w:rsidR="00831693">
        <w:t>This function may be continuous, as used by simple or ordinary kriging approaches, or discrete (</w:t>
      </w:r>
      <w:r w:rsidR="00C85DC3">
        <w:t xml:space="preserve">i.e., </w:t>
      </w:r>
      <w:r w:rsidR="00831693">
        <w:t xml:space="preserve">categorical), as used in indicator kriging methods. </w:t>
      </w:r>
      <w:r w:rsidR="000F5B0D" w:rsidRPr="000F5B0D">
        <w:t xml:space="preserve">Essentially, these approaches are based on identifying spatial correlations between pairs of points </w:t>
      </w:r>
      <w:r w:rsidR="006A2D2B">
        <w:t xml:space="preserve">separated by a given distance </w:t>
      </w:r>
      <w:r w:rsidR="000F5B0D" w:rsidRPr="000F5B0D">
        <w:t xml:space="preserve">drawn sequentially from a given set, hence the name, “two point” methods. </w:t>
      </w:r>
      <w:r w:rsidRPr="00C9274B">
        <w:t xml:space="preserve">These methods generally assume a stationary mean and spatial </w:t>
      </w:r>
      <w:r w:rsidR="000F5B0D">
        <w:t>correlation</w:t>
      </w:r>
      <w:r w:rsidRPr="00C9274B">
        <w:t xml:space="preserve"> that </w:t>
      </w:r>
      <w:r w:rsidR="000F5B0D">
        <w:t>de</w:t>
      </w:r>
      <w:r w:rsidRPr="00C9274B">
        <w:t>crease</w:t>
      </w:r>
      <w:r w:rsidR="002D3C9E">
        <w:t>s</w:t>
      </w:r>
      <w:r w:rsidRPr="00C9274B">
        <w:t xml:space="preserve"> (usually exponentially) with distance.</w:t>
      </w:r>
      <w:r w:rsidR="006A2D2B">
        <w:t xml:space="preserve"> If a variogram rather than a correlogram is used, the semi-variance reaches a constant value (</w:t>
      </w:r>
      <w:r w:rsidR="00C452FF">
        <w:t xml:space="preserve">the </w:t>
      </w:r>
      <w:r w:rsidR="006A2D2B">
        <w:t>sill</w:t>
      </w:r>
      <w:r w:rsidR="00C452FF">
        <w:t>, or the variance of the random field</w:t>
      </w:r>
      <w:r w:rsidR="006A2D2B">
        <w:t xml:space="preserve">) when the spatial dependency </w:t>
      </w:r>
      <w:r w:rsidR="00C452FF">
        <w:t xml:space="preserve">(autocorrelation) </w:t>
      </w:r>
      <w:r w:rsidR="006A2D2B">
        <w:t>becomes insignificant (</w:t>
      </w:r>
      <w:r w:rsidR="00C452FF">
        <w:t>the</w:t>
      </w:r>
      <w:r w:rsidR="006A2D2B">
        <w:t xml:space="preserve"> range).</w:t>
      </w:r>
      <w:r w:rsidRPr="00C9274B">
        <w:t xml:space="preserve"> </w:t>
      </w:r>
    </w:p>
    <w:p w14:paraId="26983E6E" w14:textId="77777777" w:rsidR="007A54FC" w:rsidRDefault="007A54FC" w:rsidP="00831693">
      <w:pPr>
        <w:pStyle w:val="Body"/>
      </w:pPr>
    </w:p>
    <w:p w14:paraId="399FB882" w14:textId="77777777" w:rsidR="00AA46AA" w:rsidRDefault="003F14A3" w:rsidP="00A1141A">
      <w:pPr>
        <w:pStyle w:val="Body"/>
        <w:keepNext/>
        <w:tabs>
          <w:tab w:val="left" w:pos="1134"/>
          <w:tab w:val="left" w:pos="5245"/>
        </w:tabs>
        <w:spacing w:after="120" w:line="240" w:lineRule="auto"/>
      </w:pPr>
      <w:r>
        <w:tab/>
        <w:t xml:space="preserve">                                                  </w:t>
      </w:r>
      <w:r w:rsidR="008A724E">
        <w:rPr>
          <w:noProof/>
          <w:lang w:val="en-AU" w:eastAsia="en-AU"/>
        </w:rPr>
        <w:drawing>
          <wp:inline distT="0" distB="0" distL="0" distR="0" wp14:anchorId="6E49F24D" wp14:editId="25E16C3C">
            <wp:extent cx="5484081" cy="2217412"/>
            <wp:effectExtent l="19050" t="0" r="2319"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46976" t="29134" r="1208" b="7480"/>
                    <a:stretch>
                      <a:fillRect/>
                    </a:stretch>
                  </pic:blipFill>
                  <pic:spPr bwMode="auto">
                    <a:xfrm>
                      <a:off x="0" y="0"/>
                      <a:ext cx="5486526" cy="2218401"/>
                    </a:xfrm>
                    <a:prstGeom prst="rect">
                      <a:avLst/>
                    </a:prstGeom>
                    <a:noFill/>
                    <a:ln w="9525">
                      <a:noFill/>
                      <a:miter lim="800000"/>
                      <a:headEnd/>
                      <a:tailEnd/>
                    </a:ln>
                  </pic:spPr>
                </pic:pic>
              </a:graphicData>
            </a:graphic>
          </wp:inline>
        </w:drawing>
      </w:r>
    </w:p>
    <w:p w14:paraId="3F76360F" w14:textId="77777777" w:rsidR="007A54FC" w:rsidRDefault="007A54FC" w:rsidP="007A54FC">
      <w:pPr>
        <w:pStyle w:val="Imagecaption"/>
      </w:pPr>
      <w:bookmarkStart w:id="190" w:name="_Ref433726307"/>
      <w:bookmarkStart w:id="191" w:name="_Toc449696324"/>
      <w:r>
        <w:t xml:space="preserve">Figure </w:t>
      </w:r>
      <w:r w:rsidR="00084CDD">
        <w:fldChar w:fldCharType="begin"/>
      </w:r>
      <w:r w:rsidR="00144B4F">
        <w:instrText xml:space="preserve"> SEQ Figure \* ARABIC </w:instrText>
      </w:r>
      <w:r w:rsidR="00084CDD">
        <w:fldChar w:fldCharType="separate"/>
      </w:r>
      <w:r w:rsidR="00C52E30">
        <w:rPr>
          <w:noProof/>
        </w:rPr>
        <w:t>34</w:t>
      </w:r>
      <w:r w:rsidR="00084CDD">
        <w:rPr>
          <w:noProof/>
        </w:rPr>
        <w:fldChar w:fldCharType="end"/>
      </w:r>
      <w:bookmarkEnd w:id="190"/>
      <w:r>
        <w:t xml:space="preserve">. </w:t>
      </w:r>
      <w:r w:rsidR="00FC4967">
        <w:t>(</w:t>
      </w:r>
      <w:r w:rsidR="007F3B52">
        <w:t>left</w:t>
      </w:r>
      <w:r w:rsidR="00FC4967">
        <w:t>) Example semivariogram used in two-point geostatistical approaches to characterise the structure of spatial variability. (</w:t>
      </w:r>
      <w:r w:rsidR="007F3B52">
        <w:t>right</w:t>
      </w:r>
      <w:r w:rsidR="00FC4967">
        <w:t xml:space="preserve">) Example of a spatially distributed parameter field generated stochastically using </w:t>
      </w:r>
      <w:r w:rsidR="00C452FF">
        <w:t>the variogram from the left panel</w:t>
      </w:r>
      <w:r w:rsidR="00FC4967">
        <w:t xml:space="preserve"> </w:t>
      </w:r>
      <w:r w:rsidR="00084CDD">
        <w:fldChar w:fldCharType="begin"/>
      </w:r>
      <w:r w:rsidR="0023497B">
        <w:instrText xml:space="preserve"> ADDIN EN.CITE &lt;EndNote&gt;&lt;Cite&gt;&lt;Author&gt;Koltermann&lt;/Author&gt;&lt;Year&gt;1996&lt;/Year&gt;&lt;IDText&gt;Heterogeneity in sedimentary deposits: A review of structure-imitating, process-imitating, and descriptive approaches&lt;/IDText&gt;&lt;DisplayText&gt;(Koltermann and Gorelick, 1996)&lt;/DisplayText&gt;&lt;record&gt;&lt;dates&gt;&lt;pub-dates&gt;&lt;date&gt;SEP 1996&lt;/date&gt;&lt;/pub-dates&gt;&lt;year&gt;1996&lt;/year&gt;&lt;/dates&gt;&lt;keywords&gt;&lt;keyword&gt;STEADY-STATE CONDITIONS&lt;/keyword&gt;&lt;keyword&gt;LAKE TRACER TESTS&lt;/keyword&gt;&lt;keyword&gt;EFFECTIVE HYDRAULIC CONDUCTIVITY&lt;/keyword&gt;&lt;keyword&gt;NUMERICAL SPECTRAL APPROACH&lt;/keyword&gt;&lt;keyword&gt;ONE-DIMENSIONAL SIMULATIONS&lt;/keyword&gt;&lt;keyword&gt;FORELAND-BASIN DEVELOPMENT&lt;/keyword&gt;&lt;keyword&gt;COUPLED INVERSE PROBLEMS&lt;/keyword&gt;&lt;keyword&gt;SCALE SPATIAL TRENDS&lt;/keyword&gt;&lt;keyword&gt;GROUNDWATER-FLOW&lt;/keyword&gt;&lt;keyword&gt;SOLUTE TRANSPORT&lt;/keyword&gt;&lt;keyword&gt;Environmental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Resources&lt;/keyword&gt;&lt;/keywords&gt;&lt;isbn&gt;0043-1397&lt;/isbn&gt;&lt;work-type&gt;Review&lt;/work-type&gt;&lt;titles&gt;&lt;title&gt;Heterogeneity in sedimentary deposits: A review of structure-imitating, process-imitating, and descriptive approaches&lt;/title&gt;&lt;secondary-title&gt;Water Resources Research&lt;/secondary-title&gt;&lt;/titles&gt;&lt;pages&gt;2617-2658&lt;/pages&gt;&lt;number&gt;9&lt;/number&gt;&lt;contributors&gt;&lt;authors&gt;&lt;author&gt;Koltermann, CE&lt;/author&gt;&lt;author&gt;Gorelick, SM&lt;/author&gt;&lt;/authors&gt;&lt;/contributors&gt;&lt;language&gt;English&lt;/language&gt;&lt;added-date format="utc"&gt;1428383447&lt;/added-date&gt;&lt;ref-type name="Journal Article"&gt;17&lt;/ref-type&gt;&lt;auth-address&gt;STANFORD UNIV, DEPT GEOL &amp;amp; ENVIRONM SCI, STANFORD, CA 94305 USA&lt;/auth-address&gt;&lt;rec-number&gt;1075&lt;/rec-number&gt;&lt;last-updated-date format="utc"&gt;1428383447&lt;/last-updated-date&gt;&lt;accession-num&gt;WOS:A1996VE90100001&lt;/accession-num&gt;&lt;electronic-resource-num&gt;10.1029/96WR00025&lt;/electronic-resource-num&gt;&lt;volume&gt;32&lt;/volume&gt;&lt;/record&gt;&lt;/Cite&gt;&lt;/EndNote&gt;</w:instrText>
      </w:r>
      <w:r w:rsidR="00084CDD">
        <w:fldChar w:fldCharType="separate"/>
      </w:r>
      <w:r w:rsidR="0023497B">
        <w:rPr>
          <w:noProof/>
        </w:rPr>
        <w:t>(Koltermann and Gorelick, 1996)</w:t>
      </w:r>
      <w:r w:rsidR="00084CDD">
        <w:fldChar w:fldCharType="end"/>
      </w:r>
      <w:r w:rsidR="0023497B">
        <w:t>.</w:t>
      </w:r>
      <w:bookmarkEnd w:id="191"/>
    </w:p>
    <w:p w14:paraId="3504A754" w14:textId="77777777" w:rsidR="00C452FF" w:rsidRDefault="00C452FF" w:rsidP="00831693">
      <w:pPr>
        <w:pStyle w:val="Body"/>
      </w:pPr>
    </w:p>
    <w:p w14:paraId="0E941F1B" w14:textId="77777777" w:rsidR="00E502C6" w:rsidRPr="00DD78FF" w:rsidRDefault="00E8296A" w:rsidP="00831693">
      <w:pPr>
        <w:pStyle w:val="Body"/>
      </w:pPr>
      <w:r w:rsidRPr="00C9274B">
        <w:t xml:space="preserve">While geostatistically-based spatial interpolation can be undertaken using geographic information system applications, such results are deterministic in nature. Conversely, stochastic spatial interpolation tools </w:t>
      </w:r>
      <w:r w:rsidR="00831693">
        <w:t xml:space="preserve">use the uncertainty associated with variogram-based descriptions to </w:t>
      </w:r>
      <w:r w:rsidRPr="00C9274B">
        <w:t xml:space="preserve">generate a given number of equally likely realisations of a parameter field. </w:t>
      </w:r>
      <w:r w:rsidR="00DD78FF">
        <w:t xml:space="preserve">This process, known as sequential simulation, involves the cell-by-cell population of values based on those of neighbouring cells. </w:t>
      </w:r>
      <w:r w:rsidR="00831693">
        <w:t xml:space="preserve">Publicly available implementations of </w:t>
      </w:r>
      <w:r w:rsidR="00DD78FF">
        <w:t xml:space="preserve">sequential field simulators based on </w:t>
      </w:r>
      <w:r w:rsidR="00831693">
        <w:t xml:space="preserve">the two point geostatistical approach include </w:t>
      </w:r>
      <w:r w:rsidR="00831693" w:rsidRPr="00022036">
        <w:t xml:space="preserve">GSLIB </w:t>
      </w:r>
      <w:r w:rsidR="00084CDD">
        <w:fldChar w:fldCharType="begin"/>
      </w:r>
      <w:r w:rsidR="00080F5C">
        <w:instrText xml:space="preserve"> ADDIN EN.CITE &lt;EndNote&gt;&lt;Cite&gt;&lt;Author&gt;Deutsch&lt;/Author&gt;&lt;Year&gt;1999&lt;/Year&gt;&lt;IDText&gt;Reservoir modeling with publicly available software&lt;/IDText&gt;&lt;DisplayText&gt;(Deutsch, 1999)&lt;/DisplayText&gt;&lt;record&gt;&lt;dates&gt;&lt;pub-dates&gt;&lt;date&gt;MAY 1999&lt;/date&gt;&lt;/pub-dates&gt;&lt;year&gt;1999&lt;/year&gt;&lt;/dates&gt;&lt;keywords&gt;&lt;keyword&gt;lithofacies modeling&lt;/keyword&gt;&lt;keyword&gt;object-based modeling&lt;/keyword&gt;&lt;keyword&gt;porosity&lt;/keyword&gt;&lt;keyword&gt;permeability&lt;/keyword&gt;&lt;keyword&gt;reservoir characterization&lt;/keyword&gt;&lt;keyword&gt;scale up&lt;/keyword&gt;&lt;keyword&gt;Computer Science, Interdisciplinary Applications&lt;/keyword&gt;&lt;keyword&gt;Geosciences, Multidisciplinary&lt;/keyword&gt;&lt;keyword&gt;COMPUTER SCIENCE, INTERDISCIPLINARY APPLICATIONS&lt;/keyword&gt;&lt;keyword&gt;GEOSCIENCES, MULTIDISCIPLINARY&lt;/keyword&gt;&lt;keyword&gt;Computer Science&lt;/keyword&gt;&lt;keyword&gt;Geology&lt;/keyword&gt;&lt;/keywords&gt;&lt;isbn&gt;0098-3004&lt;/isbn&gt;&lt;work-type&gt;Article&lt;/work-type&gt;&lt;titles&gt;&lt;title&gt;Reservoir modeling with publicly available software&lt;/title&gt;&lt;secondary-title&gt;Computers &amp;amp; Geosciences&lt;/secondary-title&gt;&lt;/titles&gt;&lt;pages&gt;355-363&lt;/pages&gt;&lt;number&gt;4&lt;/number&gt;&lt;contributors&gt;&lt;authors&gt;&lt;author&gt;Deutsch, CV&lt;/author&gt;&lt;/authors&gt;&lt;/contributors&gt;&lt;language&gt;English&lt;/language&gt;&lt;added-date format="utc"&gt;1428382137&lt;/added-date&gt;&lt;ref-type name="Journal Article"&gt;17&lt;/ref-type&gt;&lt;auth-address&gt;Deutsch, CV (reprint author), Univ Alberta, Dept Civil &amp;amp; Environm Engn, Edmonton, AB T6G 2G7, Canada&amp;#xD;Univ Alberta, Dept Civil &amp;amp; Environm Engn, Edmonton, AB T6G 2G7, Canada&lt;/auth-address&gt;&lt;rec-number&gt;1063&lt;/rec-number&gt;&lt;last-updated-date format="utc"&gt;1428382137&lt;/last-updated-date&gt;&lt;accession-num&gt;WOS:000080529000007&lt;/accession-num&gt;&lt;electronic-resource-num&gt;10.1016/S0098-3004(98)00139-3&lt;/electronic-resource-num&gt;&lt;volume&gt;25&lt;/volume&gt;&lt;/record&gt;&lt;/Cite&gt;&lt;/EndNote&gt;</w:instrText>
      </w:r>
      <w:r w:rsidR="00084CDD">
        <w:fldChar w:fldCharType="separate"/>
      </w:r>
      <w:r w:rsidR="00080F5C">
        <w:rPr>
          <w:noProof/>
        </w:rPr>
        <w:t>(Deutsch, 1999)</w:t>
      </w:r>
      <w:r w:rsidR="00084CDD">
        <w:fldChar w:fldCharType="end"/>
      </w:r>
      <w:r w:rsidR="00831693" w:rsidRPr="00C9274B">
        <w:t xml:space="preserve"> </w:t>
      </w:r>
      <w:r w:rsidR="00831693">
        <w:t xml:space="preserve">and </w:t>
      </w:r>
      <w:r w:rsidR="00831693" w:rsidRPr="00022036">
        <w:t xml:space="preserve">GCOSIM3D </w:t>
      </w:r>
      <w:r w:rsidR="00084CDD">
        <w:fldChar w:fldCharType="begin"/>
      </w:r>
      <w:r w:rsidR="00080F5C">
        <w:instrText xml:space="preserve"> ADDIN EN.CITE &lt;EndNote&gt;&lt;Cite&gt;&lt;Author&gt;Gómez-Hernández&lt;/Author&gt;&lt;Year&gt;1993&lt;/Year&gt;&lt;IDText&gt;Joint simulation of multiGaussian random variables&lt;/IDText&gt;&lt;DisplayText&gt;(Gómez-Hernández and Journel, 1993)&lt;/DisplayText&gt;&lt;record&gt;&lt;titles&gt;&lt;title&gt;Joint simulation of multiGaussian random variables&lt;/title&gt;&lt;secondary-title&gt;Geostatistics tróia&lt;/secondary-title&gt;&lt;/titles&gt;&lt;pages&gt;85-94&lt;/pages&gt;&lt;number&gt;1&lt;/number&gt;&lt;contributors&gt;&lt;authors&gt;&lt;author&gt;Gómez-Hernández, JJ&lt;/author&gt;&lt;author&gt;Journel, AG&lt;/author&gt;&lt;/authors&gt;&lt;/contributors&gt;&lt;added-date format="utc"&gt;1434098829&lt;/added-date&gt;&lt;ref-type name="Journal Article"&gt;17&lt;/ref-type&gt;&lt;dates&gt;&lt;year&gt;1993&lt;/year&gt;&lt;/dates&gt;&lt;rec-number&gt;281&lt;/rec-number&gt;&lt;last-updated-date format="utc"&gt;1434098829&lt;/last-updated-date&gt;&lt;volume&gt;92&lt;/volume&gt;&lt;/record&gt;&lt;/Cite&gt;&lt;/EndNote&gt;</w:instrText>
      </w:r>
      <w:r w:rsidR="00084CDD">
        <w:fldChar w:fldCharType="separate"/>
      </w:r>
      <w:r w:rsidR="00080F5C">
        <w:rPr>
          <w:noProof/>
        </w:rPr>
        <w:t>(Gómez-Hernández and Journel, 1993)</w:t>
      </w:r>
      <w:r w:rsidR="00084CDD">
        <w:fldChar w:fldCharType="end"/>
      </w:r>
      <w:r w:rsidR="00C56256">
        <w:t>.</w:t>
      </w:r>
    </w:p>
    <w:p w14:paraId="6379FD43" w14:textId="77777777" w:rsidR="00DD78FF" w:rsidRPr="009B2BA1" w:rsidRDefault="00831693" w:rsidP="009B2BA1">
      <w:pPr>
        <w:pStyle w:val="Body"/>
        <w:rPr>
          <w:color w:val="auto"/>
        </w:rPr>
      </w:pPr>
      <w:r>
        <w:t xml:space="preserve">The limitations of </w:t>
      </w:r>
      <w:r w:rsidR="00746FCA">
        <w:t xml:space="preserve">Gaussian fields generated using </w:t>
      </w:r>
      <w:r>
        <w:t xml:space="preserve">two point geostatistics </w:t>
      </w:r>
      <w:r w:rsidR="00746FCA">
        <w:t xml:space="preserve">in groundwater flow studies </w:t>
      </w:r>
      <w:r>
        <w:t xml:space="preserve">have been discussed at length in peer reviewed literature. </w:t>
      </w:r>
      <w:r w:rsidR="002F703B" w:rsidRPr="002F703B">
        <w:t xml:space="preserve">Wen and </w:t>
      </w:r>
      <w:r w:rsidR="00E8296A" w:rsidRPr="002F703B">
        <w:t xml:space="preserve">Gomez-Hernandez </w:t>
      </w:r>
      <w:r w:rsidR="00084CDD">
        <w:fldChar w:fldCharType="begin"/>
      </w:r>
      <w:r w:rsidR="006928E7">
        <w:instrText xml:space="preserve"> ADDIN EN.CITE &lt;EndNote&gt;&lt;Cite ExcludeAuth="1"&gt;&lt;Author&gt;Wen&lt;/Author&gt;&lt;Year&gt;1996&lt;/Year&gt;&lt;IDText&gt;Upscaling hydraulic conductivities in heterogeneous media: An overview&lt;/IDText&gt;&lt;DisplayText&gt;(1996)&lt;/DisplayText&gt;&lt;record&gt;&lt;dates&gt;&lt;pub-dates&gt;&lt;date&gt;AUG 1996&lt;/date&gt;&lt;/pub-dates&gt;&lt;year&gt;1996&lt;/year&gt;&lt;/dates&gt;&lt;keywords&gt;&lt;keyword&gt;NUMERICAL SPECTRAL APPROACH&lt;/keyword&gt;&lt;keyword&gt;GRID BLOCK PERMEABILITY&lt;/keyword&gt;&lt;keyword&gt;MODEL PARAMETER VALUES&lt;/keyword&gt;&lt;keyword&gt;POROUS-MEDIA&lt;/keyword&gt;&lt;keyword&gt;SPATIAL VARIABILITY&lt;/keyword&gt;&lt;keyword&gt;STOCHASTIC-ANALYSIS&lt;/keyword&gt;&lt;keyword&gt;GROUNDWATER-FLOW&lt;/keyword&gt;&lt;keyword&gt;INVERSE PROBLEM&lt;/keyword&gt;&lt;keyword&gt;CONDITIONAL PROBABILITIES&lt;/keyword&gt;&lt;keyword&gt;TRANSPORT-PROPERTIES&lt;/keyword&gt;&lt;/keywords&gt;&lt;isbn&gt;0022-1694&lt;/isbn&gt;&lt;work-type&gt;Article&lt;/work-type&gt;&lt;titles&gt;&lt;title&gt;Upscaling hydraulic conductivities in heterogeneous media: An overview&lt;/title&gt;&lt;secondary-title&gt;Journal of Hydrology&lt;/secondary-title&gt;&lt;/titles&gt;&lt;pages&gt;R9-R32&lt;/pages&gt;&lt;number&gt;1-2&lt;/number&gt;&lt;contributors&gt;&lt;authors&gt;&lt;author&gt;Wen, XH&lt;/author&gt;&lt;author&gt;GomezHernandez, JJ&lt;/author&gt;&lt;/authors&gt;&lt;/contributors&gt;&lt;language&gt;English&lt;/language&gt;&lt;added-date format="utc"&gt;1433831587&lt;/added-date&gt;&lt;ref-type name="Journal Article"&gt;17&lt;/ref-type&gt;&lt;auth-address&gt;UNIV POLITECN VALENCIA,DEPT HYDRAUL &amp;amp; ENVIRONM ENGN,E-46071 VALENCIA,SPAIN&lt;/auth-address&gt;&lt;rec-number&gt;182&lt;/rec-number&gt;&lt;last-updated-date format="utc"&gt;1433831587&lt;/last-updated-date&gt;&lt;accession-num&gt;WOS:A1996UU52800002&lt;/accession-num&gt;&lt;electronic-resource-num&gt;10.1016/S0022-1694(96)80030-8&lt;/electronic-resource-num&gt;&lt;volume&gt;183&lt;/volume&gt;&lt;/record&gt;&lt;/Cite&gt;&lt;/EndNote&gt;</w:instrText>
      </w:r>
      <w:r w:rsidR="00084CDD">
        <w:fldChar w:fldCharType="separate"/>
      </w:r>
      <w:r w:rsidR="006928E7">
        <w:rPr>
          <w:noProof/>
        </w:rPr>
        <w:t>(1996)</w:t>
      </w:r>
      <w:r w:rsidR="00084CDD">
        <w:fldChar w:fldCharType="end"/>
      </w:r>
      <w:r w:rsidR="00E8296A" w:rsidRPr="002F703B">
        <w:t xml:space="preserve"> </w:t>
      </w:r>
      <w:r w:rsidR="007603D1" w:rsidRPr="002F703B">
        <w:t>highlighted</w:t>
      </w:r>
      <w:r w:rsidR="007603D1">
        <w:t xml:space="preserve"> </w:t>
      </w:r>
      <w:r w:rsidR="00E8296A" w:rsidRPr="00C9274B">
        <w:t xml:space="preserve">the tendency </w:t>
      </w:r>
      <w:r w:rsidR="009D099E">
        <w:t xml:space="preserve">of multiGaussian approaches </w:t>
      </w:r>
      <w:r w:rsidR="00E8296A" w:rsidRPr="00C9274B">
        <w:t xml:space="preserve">to generate smooth continuous parameter fields </w:t>
      </w:r>
      <w:r w:rsidR="007603D1">
        <w:t xml:space="preserve">which are </w:t>
      </w:r>
      <w:r w:rsidR="009D099E">
        <w:t xml:space="preserve">unable to </w:t>
      </w:r>
      <w:r w:rsidR="00E8296A" w:rsidRPr="00C9274B">
        <w:t>represent</w:t>
      </w:r>
      <w:r w:rsidR="007603D1">
        <w:t xml:space="preserve"> </w:t>
      </w:r>
      <w:r w:rsidR="009D099E">
        <w:t xml:space="preserve">preferential flow features such as high hydraulic conductivity channel deposits, faults or fractures. </w:t>
      </w:r>
      <w:r w:rsidRPr="002F703B">
        <w:rPr>
          <w:color w:val="auto"/>
        </w:rPr>
        <w:t xml:space="preserve">Zinn and Harvey </w:t>
      </w:r>
      <w:r w:rsidR="00084CDD">
        <w:rPr>
          <w:color w:val="auto"/>
        </w:rPr>
        <w:fldChar w:fldCharType="begin"/>
      </w:r>
      <w:r w:rsidR="00080F5C">
        <w:rPr>
          <w:color w:val="auto"/>
        </w:rPr>
        <w:instrText xml:space="preserve"> ADDIN EN.CITE &lt;EndNote&gt;&lt;Cite ExcludeAuth="1"&gt;&lt;Author&gt;Zinn&lt;/Author&gt;&lt;Year&gt;2003&lt;/Year&gt;&lt;IDText&gt;When good statistical models of aquifer heterogeneity go bad: A comparison of flow, dispersion, and mass transfer in connected and multivariate Gaussian hydraulic conductivity fields&lt;/IDText&gt;&lt;DisplayText&gt;(2003)&lt;/DisplayText&gt;&lt;record&gt;&lt;isbn&gt;1944-7973&lt;/isbn&gt;&lt;titles&gt;&lt;title&gt;When good statistical models of aquifer heterogeneity go bad: A comparison of flow, dispersion, and mass transfer in connected and multivariate Gaussian hydraulic conductivity fields&lt;/title&gt;&lt;secondary-title&gt;Water Resources Research&lt;/secondary-title&gt;&lt;/titles&gt;&lt;number&gt;3&lt;/number&gt;&lt;contributors&gt;&lt;authors&gt;&lt;author&gt;Zinn, Brendan&lt;/author&gt;&lt;author&gt;Harvey, Charles F&lt;/author&gt;&lt;/authors&gt;&lt;/contributors&gt;&lt;added-date format="utc"&gt;1434096819&lt;/added-date&gt;&lt;ref-type name="Journal Article"&gt;17&lt;/ref-type&gt;&lt;dates&gt;&lt;year&gt;2003&lt;/year&gt;&lt;/dates&gt;&lt;rec-number&gt;278&lt;/rec-number&gt;&lt;last-updated-date format="utc"&gt;1434096819&lt;/last-updated-date&gt;&lt;volume&gt;39&lt;/volume&gt;&lt;/record&gt;&lt;/Cite&gt;&lt;/EndNote&gt;</w:instrText>
      </w:r>
      <w:r w:rsidR="00084CDD">
        <w:rPr>
          <w:color w:val="auto"/>
        </w:rPr>
        <w:fldChar w:fldCharType="separate"/>
      </w:r>
      <w:r w:rsidR="00080F5C">
        <w:rPr>
          <w:noProof/>
          <w:color w:val="auto"/>
        </w:rPr>
        <w:t>(2003)</w:t>
      </w:r>
      <w:r w:rsidR="00084CDD">
        <w:rPr>
          <w:color w:val="auto"/>
        </w:rPr>
        <w:fldChar w:fldCharType="end"/>
      </w:r>
      <w:r w:rsidR="009D099E">
        <w:rPr>
          <w:color w:val="auto"/>
        </w:rPr>
        <w:t xml:space="preserve"> demonstrated a method by which to enhance the connectivity of multiGaussian fields whilst preserving the specified </w:t>
      </w:r>
      <w:r w:rsidR="009D099E" w:rsidRPr="009D099E">
        <w:rPr>
          <w:color w:val="auto"/>
        </w:rPr>
        <w:t>probability</w:t>
      </w:r>
      <w:r w:rsidR="009D099E">
        <w:rPr>
          <w:color w:val="auto"/>
        </w:rPr>
        <w:t xml:space="preserve"> </w:t>
      </w:r>
      <w:r w:rsidR="009D099E" w:rsidRPr="009D099E">
        <w:rPr>
          <w:color w:val="auto"/>
        </w:rPr>
        <w:t>density and isotropic covariance function</w:t>
      </w:r>
      <w:r w:rsidR="009D099E">
        <w:rPr>
          <w:color w:val="auto"/>
        </w:rPr>
        <w:t xml:space="preserve">s. </w:t>
      </w:r>
      <w:r w:rsidR="00DD78FF" w:rsidRPr="009D099E">
        <w:rPr>
          <w:color w:val="auto"/>
        </w:rPr>
        <w:t xml:space="preserve">Kerrou </w:t>
      </w:r>
      <w:r w:rsidR="00810442">
        <w:rPr>
          <w:color w:val="auto"/>
        </w:rPr>
        <w:t xml:space="preserve">et al. </w:t>
      </w:r>
      <w:r w:rsidR="00084CDD">
        <w:rPr>
          <w:color w:val="auto"/>
        </w:rPr>
        <w:fldChar w:fldCharType="begin">
          <w:fldData xml:space="preserve">PEVuZE5vdGU+PENpdGUgRXhjbHVkZUF1dGg9IjEiPjxBdXRob3I+S2Vycm91PC9BdXRob3I+PFll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==
</w:fldData>
        </w:fldChar>
      </w:r>
      <w:r w:rsidR="00080F5C">
        <w:rPr>
          <w:color w:val="auto"/>
        </w:rPr>
        <w:instrText xml:space="preserve"> ADDIN EN.CITE </w:instrText>
      </w:r>
      <w:r w:rsidR="00084CDD">
        <w:rPr>
          <w:color w:val="auto"/>
        </w:rPr>
        <w:fldChar w:fldCharType="begin">
          <w:fldData xml:space="preserve">PEVuZE5vdGU+PENpdGUgRXhjbHVkZUF1dGg9IjEiPjxBdXRob3I+S2Vycm91PC9BdXRob3I+PFll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==
</w:fldData>
        </w:fldChar>
      </w:r>
      <w:r w:rsidR="00080F5C">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sidR="00080F5C">
        <w:rPr>
          <w:noProof/>
          <w:color w:val="auto"/>
        </w:rPr>
        <w:t>(2008)</w:t>
      </w:r>
      <w:r w:rsidR="00084CDD">
        <w:rPr>
          <w:color w:val="auto"/>
        </w:rPr>
        <w:fldChar w:fldCharType="end"/>
      </w:r>
      <w:r w:rsidR="009D099E">
        <w:rPr>
          <w:color w:val="auto"/>
        </w:rPr>
        <w:t xml:space="preserve"> demonstrated the inability of multiGaussian </w:t>
      </w:r>
      <w:r w:rsidR="009B2BA1">
        <w:rPr>
          <w:color w:val="auto"/>
        </w:rPr>
        <w:t>simulation to accurately characterise a synthetic braided aquifer featuring a bimodal transmissivity probability density function. They attributed their results to the inability of multiGaussian fields to represent hydraulic connectivity</w:t>
      </w:r>
      <w:r w:rsidR="009B2BA1" w:rsidRPr="002F703B">
        <w:rPr>
          <w:color w:val="auto"/>
        </w:rPr>
        <w:t xml:space="preserve">. </w:t>
      </w:r>
      <w:r w:rsidR="00DD78FF" w:rsidRPr="002F703B">
        <w:rPr>
          <w:color w:val="auto"/>
        </w:rPr>
        <w:t xml:space="preserve">Meerschaert </w:t>
      </w:r>
      <w:r w:rsidR="00810442">
        <w:rPr>
          <w:color w:val="auto"/>
        </w:rPr>
        <w:t xml:space="preserve">et al. </w:t>
      </w:r>
      <w:r w:rsidR="00084CDD">
        <w:rPr>
          <w:color w:val="auto"/>
        </w:rPr>
        <w:fldChar w:fldCharType="begin"/>
      </w:r>
      <w:r w:rsidR="00080F5C">
        <w:rPr>
          <w:color w:val="auto"/>
        </w:rPr>
        <w:instrText xml:space="preserve"> ADDIN EN.CITE &lt;EndNote&gt;&lt;Cite ExcludeAuth="1"&gt;&lt;Author&gt;Meerschaert&lt;/Author&gt;&lt;Year&gt;2013&lt;/Year&gt;&lt;IDText&gt;Hydraulic conductivity fields: Gaussian or not?&lt;/IDText&gt;&lt;DisplayText&gt;(2013)&lt;/DisplayText&gt;&lt;record&gt;&lt;isbn&gt;1944-7973&lt;/isbn&gt;&lt;titles&gt;&lt;title&gt;Hydraulic conductivity fields: Gaussian or not?&lt;/title&gt;&lt;secondary-title&gt;Water resources research&lt;/secondary-title&gt;&lt;/titles&gt;&lt;pages&gt;4730-4737&lt;/pages&gt;&lt;number&gt;8&lt;/number&gt;&lt;contributors&gt;&lt;authors&gt;&lt;author&gt;Meerschaert, Mark M&lt;/author&gt;&lt;author&gt;Dogan, Mine&lt;/author&gt;&lt;author&gt;Dam, Remke L&lt;/author&gt;&lt;author&gt;Hyndman, David W&lt;/author&gt;&lt;author&gt;Benson, David A&lt;/author&gt;&lt;/authors&gt;&lt;/contributors&gt;&lt;added-date format="utc"&gt;1434096932&lt;/added-date&gt;&lt;ref-type name="Journal Article"&gt;17&lt;/ref-type&gt;&lt;dates&gt;&lt;year&gt;2013&lt;/year&gt;&lt;/dates&gt;&lt;rec-number&gt;279&lt;/rec-number&gt;&lt;last-updated-date format="utc"&gt;1434096932&lt;/last-updated-date&gt;&lt;volume&gt;49&lt;/volume&gt;&lt;/record&gt;&lt;/Cite&gt;&lt;/EndNote&gt;</w:instrText>
      </w:r>
      <w:r w:rsidR="00084CDD">
        <w:rPr>
          <w:color w:val="auto"/>
        </w:rPr>
        <w:fldChar w:fldCharType="separate"/>
      </w:r>
      <w:r w:rsidR="00080F5C">
        <w:rPr>
          <w:noProof/>
          <w:color w:val="auto"/>
        </w:rPr>
        <w:t>(2013)</w:t>
      </w:r>
      <w:r w:rsidR="00084CDD">
        <w:rPr>
          <w:color w:val="auto"/>
        </w:rPr>
        <w:fldChar w:fldCharType="end"/>
      </w:r>
      <w:r w:rsidR="009B2BA1">
        <w:rPr>
          <w:color w:val="auto"/>
        </w:rPr>
        <w:t xml:space="preserve"> found that, for </w:t>
      </w:r>
      <w:r w:rsidR="009B2BA1" w:rsidRPr="009B2BA1">
        <w:rPr>
          <w:color w:val="auto"/>
        </w:rPr>
        <w:t>a highly heterogeneous</w:t>
      </w:r>
      <w:r w:rsidR="009B2BA1">
        <w:rPr>
          <w:color w:val="auto"/>
        </w:rPr>
        <w:t xml:space="preserve"> </w:t>
      </w:r>
      <w:r w:rsidR="009B2BA1" w:rsidRPr="009B2BA1">
        <w:rPr>
          <w:color w:val="auto"/>
        </w:rPr>
        <w:t>aquifer</w:t>
      </w:r>
      <w:r w:rsidR="009B2BA1">
        <w:rPr>
          <w:color w:val="auto"/>
        </w:rPr>
        <w:t xml:space="preserve">, the </w:t>
      </w:r>
      <w:r w:rsidR="009B2BA1" w:rsidRPr="009B2BA1">
        <w:rPr>
          <w:color w:val="auto"/>
        </w:rPr>
        <w:t xml:space="preserve">combination </w:t>
      </w:r>
      <w:r w:rsidR="009B2BA1">
        <w:rPr>
          <w:color w:val="auto"/>
        </w:rPr>
        <w:t xml:space="preserve">of various facies </w:t>
      </w:r>
      <w:r w:rsidR="009B2BA1" w:rsidRPr="009B2BA1">
        <w:rPr>
          <w:color w:val="auto"/>
        </w:rPr>
        <w:t xml:space="preserve">with </w:t>
      </w:r>
      <w:r w:rsidR="009B2BA1">
        <w:rPr>
          <w:color w:val="auto"/>
        </w:rPr>
        <w:t xml:space="preserve">unique </w:t>
      </w:r>
      <w:r w:rsidR="009B2BA1" w:rsidRPr="009B2BA1">
        <w:rPr>
          <w:color w:val="auto"/>
        </w:rPr>
        <w:t>mean and</w:t>
      </w:r>
      <w:r w:rsidR="009B2BA1">
        <w:rPr>
          <w:color w:val="auto"/>
        </w:rPr>
        <w:t xml:space="preserve"> </w:t>
      </w:r>
      <w:r w:rsidR="009B2BA1" w:rsidRPr="009B2BA1">
        <w:rPr>
          <w:color w:val="auto"/>
        </w:rPr>
        <w:t xml:space="preserve">variance </w:t>
      </w:r>
      <w:r w:rsidR="009B2BA1">
        <w:rPr>
          <w:color w:val="auto"/>
        </w:rPr>
        <w:t xml:space="preserve">values results in </w:t>
      </w:r>
      <w:r w:rsidR="009B2BA1" w:rsidRPr="009B2BA1">
        <w:rPr>
          <w:color w:val="auto"/>
        </w:rPr>
        <w:t xml:space="preserve">significantly non-Gaussian </w:t>
      </w:r>
      <w:r w:rsidR="009B2BA1">
        <w:rPr>
          <w:color w:val="auto"/>
        </w:rPr>
        <w:t>parameter fields</w:t>
      </w:r>
      <w:r w:rsidR="009B2BA1" w:rsidRPr="009B2BA1">
        <w:rPr>
          <w:color w:val="auto"/>
        </w:rPr>
        <w:t>.</w:t>
      </w:r>
      <w:r w:rsidR="009B2BA1">
        <w:rPr>
          <w:color w:val="auto"/>
        </w:rPr>
        <w:t xml:space="preserve"> However, they noted that it is reasonable to characterise the variability of values within a facies using a Gaussian model.</w:t>
      </w:r>
    </w:p>
    <w:p w14:paraId="59F5E4DB" w14:textId="77777777" w:rsidR="00022036" w:rsidRPr="00C9274B" w:rsidRDefault="00DD78FF" w:rsidP="00022036">
      <w:pPr>
        <w:pStyle w:val="Body"/>
      </w:pPr>
      <w:r>
        <w:t xml:space="preserve">Continuous and categorical methods of sequential simulation can be combined in what is known as truncated Gaussian simulation. </w:t>
      </w:r>
      <w:r w:rsidR="007603D1">
        <w:t>While t</w:t>
      </w:r>
      <w:r>
        <w:t>his approach</w:t>
      </w:r>
      <w:r w:rsidR="007603D1">
        <w:t xml:space="preserve"> uses traditional </w:t>
      </w:r>
      <w:r>
        <w:t xml:space="preserve">variograms </w:t>
      </w:r>
      <w:r w:rsidR="007603D1">
        <w:t>for spatial interpolation, the value at interpolated</w:t>
      </w:r>
      <w:r>
        <w:t xml:space="preserve"> </w:t>
      </w:r>
      <w:r w:rsidR="007603D1">
        <w:t xml:space="preserve">points is also </w:t>
      </w:r>
      <w:r>
        <w:t xml:space="preserve">used </w:t>
      </w:r>
      <w:r w:rsidR="007603D1">
        <w:t xml:space="preserve">concurrently </w:t>
      </w:r>
      <w:r>
        <w:t xml:space="preserve">to determine which </w:t>
      </w:r>
      <w:r w:rsidR="007603D1">
        <w:t xml:space="preserve">facies is present. </w:t>
      </w:r>
    </w:p>
    <w:p w14:paraId="49598684" w14:textId="77777777" w:rsidR="00477413" w:rsidRDefault="00E713C3" w:rsidP="00477413">
      <w:pPr>
        <w:pStyle w:val="Body"/>
      </w:pPr>
      <w:r w:rsidRPr="00E713C3">
        <w:t>Reducing uncertainty and improv</w:t>
      </w:r>
      <w:r w:rsidR="00635337">
        <w:t>ing</w:t>
      </w:r>
      <w:r w:rsidRPr="00E713C3">
        <w:t xml:space="preserve"> representativeness of stochastic groundwater flow simulations may be achieved by so-called conditional stochastic simulations. </w:t>
      </w:r>
      <w:r w:rsidR="00892D29">
        <w:t xml:space="preserve">In conditional simulation the measured values at a limited number of points are kept fixed and uncertainty exists only at all other points. </w:t>
      </w:r>
      <w:r w:rsidRPr="00E713C3">
        <w:t xml:space="preserve">In </w:t>
      </w:r>
      <w:r w:rsidR="00477413">
        <w:t>case of hydraulic conductivity</w:t>
      </w:r>
      <w:r w:rsidRPr="00E713C3">
        <w:t xml:space="preserve"> conditioned simulations</w:t>
      </w:r>
      <w:r w:rsidR="00477413">
        <w:t>,</w:t>
      </w:r>
      <w:r w:rsidRPr="00E713C3">
        <w:t xml:space="preserve"> both the </w:t>
      </w:r>
      <w:r w:rsidR="00477413">
        <w:t>spatial correlation</w:t>
      </w:r>
      <w:r w:rsidRPr="00E713C3">
        <w:t xml:space="preserve"> information and the actual </w:t>
      </w:r>
      <w:r w:rsidR="00477413">
        <w:t>hydraulic conductivity</w:t>
      </w:r>
      <w:r w:rsidRPr="00E713C3">
        <w:t xml:space="preserve"> values at their measurement locations are taken into account</w:t>
      </w:r>
      <w:r w:rsidR="00892D29">
        <w:t xml:space="preserve"> (Varljen and Shafer, 1991)</w:t>
      </w:r>
      <w:r w:rsidRPr="00E713C3">
        <w:t xml:space="preserve">. </w:t>
      </w:r>
      <w:r w:rsidR="00EA28D5">
        <w:t>Furthermore,</w:t>
      </w:r>
      <w:r w:rsidRPr="00E713C3">
        <w:t xml:space="preserve"> </w:t>
      </w:r>
      <w:r w:rsidR="00EA28D5">
        <w:t xml:space="preserve">this method requires </w:t>
      </w:r>
      <w:r w:rsidRPr="00E713C3">
        <w:t>that each single member also preserves the</w:t>
      </w:r>
      <w:r w:rsidR="00477413">
        <w:t xml:space="preserve"> </w:t>
      </w:r>
      <w:r w:rsidRPr="00E713C3">
        <w:t xml:space="preserve">observed </w:t>
      </w:r>
      <w:r w:rsidR="00EA28D5">
        <w:t>conductivity</w:t>
      </w:r>
      <w:r w:rsidRPr="00E713C3">
        <w:t xml:space="preserve"> values at their measurement locations</w:t>
      </w:r>
      <w:r w:rsidR="00635337">
        <w:t xml:space="preserve">; </w:t>
      </w:r>
      <w:r w:rsidRPr="00E713C3">
        <w:t>the measurement uncertainties at these locations</w:t>
      </w:r>
      <w:r w:rsidR="00635337">
        <w:t xml:space="preserve"> is </w:t>
      </w:r>
      <w:r w:rsidR="00635337" w:rsidRPr="00477413">
        <w:t>disregard</w:t>
      </w:r>
      <w:r w:rsidR="00635337">
        <w:t>ed</w:t>
      </w:r>
      <w:r w:rsidRPr="00E713C3">
        <w:t>.</w:t>
      </w:r>
      <w:r w:rsidR="00635337">
        <w:t xml:space="preserve"> This method can be extended to also include conditioning on </w:t>
      </w:r>
      <w:r w:rsidR="00695A09">
        <w:t>flow variables (</w:t>
      </w:r>
      <w:r w:rsidR="00635337">
        <w:t>head, fluxes, or even solute concentrations in case a solute transport model is used).</w:t>
      </w:r>
    </w:p>
    <w:p w14:paraId="0A8A5172" w14:textId="77777777" w:rsidR="0008705A" w:rsidRPr="00477413" w:rsidRDefault="0008705A" w:rsidP="00477413">
      <w:pPr>
        <w:pStyle w:val="Body"/>
      </w:pPr>
    </w:p>
    <w:p w14:paraId="77632D92" w14:textId="77777777" w:rsidR="001040B2" w:rsidRPr="00995AC6" w:rsidRDefault="008B1C88" w:rsidP="007512E8">
      <w:pPr>
        <w:pStyle w:val="Body"/>
        <w:keepNext/>
        <w:rPr>
          <w:b/>
          <w:color w:val="auto"/>
        </w:rPr>
      </w:pPr>
      <w:r>
        <w:rPr>
          <w:b/>
          <w:color w:val="auto"/>
        </w:rPr>
        <w:t>Multiple-</w:t>
      </w:r>
      <w:r w:rsidR="00995AC6">
        <w:rPr>
          <w:b/>
          <w:color w:val="auto"/>
        </w:rPr>
        <w:t xml:space="preserve">point </w:t>
      </w:r>
      <w:r w:rsidR="00BC5A2F">
        <w:rPr>
          <w:b/>
          <w:color w:val="auto"/>
        </w:rPr>
        <w:t>s</w:t>
      </w:r>
      <w:r>
        <w:rPr>
          <w:b/>
          <w:color w:val="auto"/>
        </w:rPr>
        <w:t>tatistics</w:t>
      </w:r>
      <w:r w:rsidR="00BC5A2F">
        <w:rPr>
          <w:b/>
          <w:color w:val="auto"/>
        </w:rPr>
        <w:t xml:space="preserve"> </w:t>
      </w:r>
      <w:r w:rsidR="00995AC6">
        <w:rPr>
          <w:b/>
          <w:color w:val="auto"/>
        </w:rPr>
        <w:t xml:space="preserve"> </w:t>
      </w:r>
    </w:p>
    <w:p w14:paraId="32D82BDB" w14:textId="5DB6E0CA" w:rsidR="007603D1" w:rsidRDefault="00E8296A" w:rsidP="001B41C3">
      <w:pPr>
        <w:pStyle w:val="Body"/>
      </w:pPr>
      <w:r>
        <w:t>More recently (</w:t>
      </w:r>
      <w:r w:rsidR="00C85DC3">
        <w:t xml:space="preserve">i.e., </w:t>
      </w:r>
      <w:r w:rsidR="005E101C">
        <w:t>post–</w:t>
      </w:r>
      <w:r>
        <w:t xml:space="preserve">2000) an alternative approach known as </w:t>
      </w:r>
      <w:r w:rsidR="00BC5A2F">
        <w:t>multiple point s</w:t>
      </w:r>
      <w:r w:rsidR="00525403">
        <w:t>tatistics</w:t>
      </w:r>
      <w:r>
        <w:t xml:space="preserve"> </w:t>
      </w:r>
      <w:r w:rsidR="00525403">
        <w:t xml:space="preserve">(MPS) </w:t>
      </w:r>
      <w:r>
        <w:t xml:space="preserve">has </w:t>
      </w:r>
      <w:r w:rsidR="009173BF">
        <w:t>s</w:t>
      </w:r>
      <w:r>
        <w:t xml:space="preserve">een </w:t>
      </w:r>
      <w:r w:rsidR="009173BF">
        <w:t xml:space="preserve">widespread application, although its development goes back to the early </w:t>
      </w:r>
      <w:r w:rsidR="007F122F">
        <w:t xml:space="preserve">1990s </w:t>
      </w:r>
      <w:r w:rsidR="00525403">
        <w:t>(</w:t>
      </w:r>
      <w:r w:rsidR="007F122F">
        <w:t xml:space="preserve">e.g. </w:t>
      </w:r>
      <w:r w:rsidR="00525403">
        <w:t xml:space="preserve">Journel, </w:t>
      </w:r>
      <w:r w:rsidR="00084CDD">
        <w:fldChar w:fldCharType="begin"/>
      </w:r>
      <w:r w:rsidR="00525403">
        <w:instrText xml:space="preserve"> ADDIN EN.CITE &lt;EndNote&gt;&lt;Cite ExcludeAuth="1"&gt;&lt;Author&gt;Journel&lt;/Author&gt;&lt;Year&gt;1993&lt;/Year&gt;&lt;IDText&gt;Geostatistics: roadblocks and challenges&lt;/IDText&gt;&lt;DisplayText&gt;(1993)&lt;/DisplayText&gt;&lt;record&gt;&lt;isbn&gt;079232157X&lt;/isbn&gt;&lt;titles&gt;&lt;title&gt;Geostatistics: roadblocks and challenges&lt;/title&gt;&lt;secondary-title&gt;Geostatistics Troia’92&lt;/secondary-title&gt;&lt;/titles&gt;&lt;pages&gt;213-224&lt;/pages&gt;&lt;contributors&gt;&lt;authors&gt;&lt;author&gt;Journel, André G&lt;/author&gt;&lt;/authors&gt;&lt;/contributors&gt;&lt;added-date format="utc"&gt;1434101103&lt;/added-date&gt;&lt;ref-type name="Book Section"&gt;5&lt;/ref-type&gt;&lt;dates&gt;&lt;year&gt;1993&lt;/year&gt;&lt;/dates&gt;&lt;rec-number&gt;296&lt;/rec-number&gt;&lt;publisher&gt;Springer&lt;/publisher&gt;&lt;last-updated-date format="utc"&gt;1434101103&lt;/last-updated-date&gt;&lt;/record&gt;&lt;/Cite&gt;&lt;/EndNote&gt;</w:instrText>
      </w:r>
      <w:r w:rsidR="00084CDD">
        <w:fldChar w:fldCharType="separate"/>
      </w:r>
      <w:r w:rsidR="00525403">
        <w:rPr>
          <w:noProof/>
        </w:rPr>
        <w:t>1993</w:t>
      </w:r>
      <w:r w:rsidR="00084CDD">
        <w:fldChar w:fldCharType="end"/>
      </w:r>
      <w:r w:rsidR="00525403">
        <w:t xml:space="preserve">; </w:t>
      </w:r>
      <w:r w:rsidR="00525403" w:rsidRPr="00DC7C26">
        <w:t>Guardiano and Srivastava</w:t>
      </w:r>
      <w:r w:rsidR="00525403">
        <w:t xml:space="preserve">, </w:t>
      </w:r>
      <w:r w:rsidR="00084CDD">
        <w:fldChar w:fldCharType="begin"/>
      </w:r>
      <w:r w:rsidR="00525403">
        <w:instrText xml:space="preserve"> ADDIN EN.CITE &lt;EndNote&gt;&lt;Cite ExcludeAuth="1"&gt;&lt;Author&gt;Guardiano&lt;/Author&gt;&lt;Year&gt;1993&lt;/Year&gt;&lt;IDText&gt;Multivariate geostatistics: beyond bivariate moments&lt;/IDText&gt;&lt;DisplayText&gt;(1993)&lt;/DisplayText&gt;&lt;record&gt;&lt;isbn&gt;079232157X&lt;/isbn&gt;&lt;titles&gt;&lt;title&gt;Multivariate geostatistics: beyond bivariate moments&lt;/title&gt;&lt;secondary-title&gt;Geostatistics Troia’92&lt;/secondary-title&gt;&lt;/titles&gt;&lt;pages&gt;133-144&lt;/pages&gt;&lt;contributors&gt;&lt;authors&gt;&lt;author&gt;Guardiano, Felipe B&lt;/author&gt;&lt;author&gt;Srivastava, R Mohan&lt;/author&gt;&lt;/authors&gt;&lt;/contributors&gt;&lt;added-date format="utc"&gt;1434099168&lt;/added-date&gt;&lt;ref-type name="Book Section"&gt;5&lt;/ref-type&gt;&lt;dates&gt;&lt;year&gt;1993&lt;/year&gt;&lt;/dates&gt;&lt;rec-number&gt;284&lt;/rec-number&gt;&lt;publisher&gt;Springer&lt;/publisher&gt;&lt;last-updated-date format="utc"&gt;1434099168&lt;/last-updated-date&gt;&lt;/record&gt;&lt;/Cite&gt;&lt;/EndNote&gt;</w:instrText>
      </w:r>
      <w:r w:rsidR="00084CDD">
        <w:fldChar w:fldCharType="separate"/>
      </w:r>
      <w:r w:rsidR="00525403">
        <w:rPr>
          <w:noProof/>
        </w:rPr>
        <w:t>1993)</w:t>
      </w:r>
      <w:r w:rsidR="00084CDD">
        <w:fldChar w:fldCharType="end"/>
      </w:r>
      <w:r>
        <w:t xml:space="preserve">. This approach is based on the use of training images developed </w:t>
      </w:r>
      <w:r w:rsidRPr="00235CA8">
        <w:rPr>
          <w:i/>
        </w:rPr>
        <w:t>a priori</w:t>
      </w:r>
      <w:r>
        <w:t>, rather than two</w:t>
      </w:r>
      <w:r w:rsidR="00525403">
        <w:t>-</w:t>
      </w:r>
      <w:r>
        <w:t>point geostatistical models</w:t>
      </w:r>
      <w:r w:rsidR="00525403">
        <w:t xml:space="preserve"> (variograms)</w:t>
      </w:r>
      <w:r>
        <w:t xml:space="preserve"> to describe spatial variability</w:t>
      </w:r>
      <w:r w:rsidR="00E9138B">
        <w:t xml:space="preserve"> (</w:t>
      </w:r>
      <w:r w:rsidR="00084CDD">
        <w:fldChar w:fldCharType="begin"/>
      </w:r>
      <w:r w:rsidR="00E9138B">
        <w:instrText xml:space="preserve"> REF _Ref433724177 \h </w:instrText>
      </w:r>
      <w:r w:rsidR="00084CDD">
        <w:fldChar w:fldCharType="separate"/>
      </w:r>
      <w:r w:rsidR="00C52E30">
        <w:t xml:space="preserve">Table </w:t>
      </w:r>
      <w:r w:rsidR="00C52E30">
        <w:rPr>
          <w:noProof/>
        </w:rPr>
        <w:t>6</w:t>
      </w:r>
      <w:r w:rsidR="00084CDD">
        <w:fldChar w:fldCharType="end"/>
      </w:r>
      <w:r w:rsidR="00E9138B">
        <w:t>)</w:t>
      </w:r>
      <w:r>
        <w:t>. Such images can be developed from rock outcrops</w:t>
      </w:r>
      <w:r w:rsidR="00525403">
        <w:t xml:space="preserve"> (see </w:t>
      </w:r>
      <w:r w:rsidR="00084CDD">
        <w:fldChar w:fldCharType="begin"/>
      </w:r>
      <w:r w:rsidR="00525403">
        <w:instrText xml:space="preserve"> REF _Ref433719190 \h </w:instrText>
      </w:r>
      <w:r w:rsidR="00084CDD">
        <w:fldChar w:fldCharType="separate"/>
      </w:r>
      <w:r w:rsidR="00C52E30">
        <w:t xml:space="preserve">Figure </w:t>
      </w:r>
      <w:r w:rsidR="00C52E30">
        <w:rPr>
          <w:noProof/>
        </w:rPr>
        <w:t>35</w:t>
      </w:r>
      <w:r w:rsidR="00084CDD">
        <w:fldChar w:fldCharType="end"/>
      </w:r>
      <w:r w:rsidR="00525403">
        <w:t xml:space="preserve"> for an example of an outcrop used to develop training images)</w:t>
      </w:r>
      <w:r>
        <w:t>, from continuous areal geophysical observations</w:t>
      </w:r>
      <w:r w:rsidR="009173BF">
        <w:t xml:space="preserve"> (Dickson et al., 2015; He et al., 2014)</w:t>
      </w:r>
      <w:r>
        <w:t>, or from geomorphological expertise</w:t>
      </w:r>
      <w:r w:rsidR="009173BF">
        <w:t xml:space="preserve"> (</w:t>
      </w:r>
      <w:r w:rsidR="007818C7">
        <w:t>Alcolea and Renard, 2010</w:t>
      </w:r>
      <w:r w:rsidR="009173BF">
        <w:t>)</w:t>
      </w:r>
      <w:r>
        <w:t xml:space="preserve">. </w:t>
      </w:r>
      <w:r w:rsidR="00525403">
        <w:t>Summaries of t</w:t>
      </w:r>
      <w:r w:rsidR="00E746A4">
        <w:t xml:space="preserve">he theoretical development of the </w:t>
      </w:r>
      <w:r w:rsidR="00525403">
        <w:t>MPS</w:t>
      </w:r>
      <w:r w:rsidR="009732C3">
        <w:t xml:space="preserve"> </w:t>
      </w:r>
      <w:r w:rsidR="00E746A4">
        <w:t xml:space="preserve">concept </w:t>
      </w:r>
      <w:r w:rsidR="00525403">
        <w:t>are available from</w:t>
      </w:r>
      <w:r w:rsidR="00E746A4">
        <w:t xml:space="preserve"> </w:t>
      </w:r>
      <w:r w:rsidR="00235CA8">
        <w:t xml:space="preserve">Hu and Chugunova </w:t>
      </w:r>
      <w:r w:rsidR="00084CDD">
        <w:fldChar w:fldCharType="begin"/>
      </w:r>
      <w:r w:rsidR="00080F5C">
        <w:instrText xml:space="preserve"> ADDIN EN.CITE &lt;EndNote&gt;&lt;Cite ExcludeAuth="1"&gt;&lt;Author&gt;Hu&lt;/Author&gt;&lt;Year&gt;2008&lt;/Year&gt;&lt;IDText&gt;Multiple-point geostatistics for modeling subsurface heterogeneity: A comprehensive review&lt;/IDText&gt;&lt;DisplayText&gt;(2008)&lt;/DisplayText&gt;&lt;record&gt;&lt;dates&gt;&lt;pub-dates&gt;&lt;date&gt;NOV 12 2008&lt;/date&gt;&lt;/pub-dates&gt;&lt;year&gt;2008&lt;/year&gt;&lt;/dates&gt;&lt;keywords&gt;&lt;keyword&gt;ITERATIVE CALIBRATION&lt;/keyword&gt;&lt;keyword&gt;GRADUAL DEFORMATION&lt;/keyword&gt;&lt;keyword&gt;SIMULATIONS&lt;/keyword&gt;&lt;keyword&gt;Environmental Sciences&lt;/keyword&gt;&lt;keyword&gt;Limnology&lt;/keyword&gt;&lt;keyword&gt;Water Resources&lt;/keyword&gt;&lt;keyword&gt;ENVIRONMENTAL SCIENCES&lt;/keyword&gt;&lt;keyword&gt;LIMNOLOGY&lt;/keyword&gt;&lt;keyword&gt;WATER RESOURCES&lt;/keyword&gt;&lt;keyword&gt;Environmental Sciences &amp;amp; Ecology&lt;/keyword&gt;&lt;keyword&gt;Marine &amp;amp; Freshwater Biology&lt;/keyword&gt;&lt;keyword&gt;Water Resources&lt;/keyword&gt;&lt;/keywords&gt;&lt;isbn&gt;0043-1397&lt;/isbn&gt;&lt;work-type&gt;Article&lt;/work-type&gt;&lt;titles&gt;&lt;title&gt;Multiple-point geostatistics for modeling subsurface heterogeneity: A comprehensive review&lt;/title&gt;&lt;secondary-title&gt;Water Resources Research&lt;/secondary-title&gt;&lt;/titles&gt;&lt;number&gt;11&lt;/number&gt;&lt;contributors&gt;&lt;authors&gt;&lt;author&gt;Hu, LY&lt;/author&gt;&lt;author&gt;Chugunova, T&lt;/author&gt;&lt;/authors&gt;&lt;/contributors&gt;&lt;custom7&gt;ARTN W11413&lt;/custom7&gt;&lt;language&gt;English&lt;/language&gt;&lt;added-date format="utc"&gt;1428478304&lt;/added-date&gt;&lt;ref-type name="Journal Article"&gt;17&lt;/ref-type&gt;&lt;auth-address&gt;Hu, LY (reprint author), Conoco Phillips, 600 N Dairy Ashford, Houston, TX 77079 USA&amp;#xD;Inst Francais Petr, Simulat Flows &amp;amp; Transfers Porous Media Dept, Reservoir Engn Div, F-92506 Rueil Malmaison, France&amp;#xD;lin.hu@conocophillips.com&lt;/auth-address&gt;&lt;rec-number&gt;1077&lt;/rec-number&gt;&lt;last-updated-date format="utc"&gt;1428478304&lt;/last-updated-date&gt;&lt;accession-num&gt;WOS:000260998600001&lt;/accession-num&gt;&lt;electronic-resource-num&gt;10.1029/2008WR006993&lt;/electronic-resource-num&gt;&lt;volume&gt;44&lt;/volume&gt;&lt;/record&gt;&lt;/Cite&gt;&lt;/EndNote&gt;</w:instrText>
      </w:r>
      <w:r w:rsidR="00084CDD">
        <w:fldChar w:fldCharType="separate"/>
      </w:r>
      <w:r w:rsidR="00080F5C">
        <w:rPr>
          <w:noProof/>
        </w:rPr>
        <w:t>(2008)</w:t>
      </w:r>
      <w:r w:rsidR="00084CDD">
        <w:fldChar w:fldCharType="end"/>
      </w:r>
      <w:r w:rsidR="00235CA8">
        <w:t xml:space="preserve"> and </w:t>
      </w:r>
      <w:r w:rsidR="00E746A4">
        <w:t xml:space="preserve">Wu </w:t>
      </w:r>
      <w:r w:rsidR="00525403">
        <w:t>et al.</w:t>
      </w:r>
      <w:r w:rsidR="00810442">
        <w:t xml:space="preserve"> </w:t>
      </w:r>
      <w:r w:rsidR="00084CDD">
        <w:fldChar w:fldCharType="begin"/>
      </w:r>
      <w:r w:rsidR="00080F5C">
        <w:instrText xml:space="preserve"> ADDIN EN.CITE &lt;EndNote&gt;&lt;Cite ExcludeAuth="1"&gt;&lt;Author&gt;Wu&lt;/Author&gt;&lt;Year&gt;2008&lt;/Year&gt;&lt;IDText&gt;A SGeMS code for pattern simulation of continuous and categorical variables: FILTERSIM&lt;/IDText&gt;&lt;DisplayText&gt;(2008)&lt;/DisplayText&gt;&lt;record&gt;&lt;dates&gt;&lt;pub-dates&gt;&lt;date&gt;DEC 2008&lt;/date&gt;&lt;/pub-dates&gt;&lt;year&gt;2008&lt;/year&gt;&lt;/dates&gt;&lt;keywords&gt;&lt;keyword&gt;Filter&lt;/keyword&gt;&lt;keyword&gt;Pattern classification&lt;/keyword&gt;&lt;keyword&gt;Training image&lt;/keyword&gt;&lt;keyword&gt;Multiple-point statistics&lt;/keyword&gt;&lt;keyword&gt;Similarity&lt;/keyword&gt;&lt;/keywords&gt;&lt;isbn&gt;0098-3004&lt;/isbn&gt;&lt;work-type&gt;Article&lt;/work-type&gt;&lt;titles&gt;&lt;title&gt;A SGeMS code for pattern simulation of continuous and categorical variables: FILTERSIM&lt;/title&gt;&lt;secondary-title&gt;Computers &amp;amp; Geosciences&lt;/secondary-title&gt;&lt;/titles&gt;&lt;pages&gt;1863-1876&lt;/pages&gt;&lt;number&gt;12&lt;/number&gt;&lt;contributors&gt;&lt;authors&gt;&lt;author&gt;Wu, JB&lt;/author&gt;&lt;author&gt;Boucher, A&lt;/author&gt;&lt;author&gt;Zhang, TF&lt;/author&gt;&lt;/authors&gt;&lt;/contributors&gt;&lt;language&gt;English&lt;/language&gt;&lt;added-date format="utc"&gt;1433837855&lt;/added-date&gt;&lt;ref-type name="Journal Article"&gt;17&lt;/ref-type&gt;&lt;auth-address&gt;Wu, JB (reprint author), 600 N Dairy Ashford,OF-2014, Houston, TX 77079 USA&amp;#xD;Stanford Univ, Dept Energy Resources Engn, Stanford, CA 94305 USA&amp;#xD;Stanford Univ, Dept Geol &amp;amp; Environm Sci, Stanford, CA 94305 USA&amp;#xD;Schlumberger Doll Res Ctr, Cambridge, MA 02139 USA&amp;#xD;Jianbing.wu@conocophillips.com&lt;/auth-address&gt;&lt;rec-number&gt;209&lt;/rec-number&gt;&lt;last-updated-date format="utc"&gt;1433837855&lt;/last-updated-date&gt;&lt;accession-num&gt;WOS:000261632000020&lt;/accession-num&gt;&lt;electronic-resource-num&gt;10.1016/j.cageo.2007.08.008&lt;/electronic-resource-num&gt;&lt;volume&gt;34&lt;/volume&gt;&lt;/record&gt;&lt;/Cite&gt;&lt;/EndNote&gt;</w:instrText>
      </w:r>
      <w:r w:rsidR="00084CDD">
        <w:fldChar w:fldCharType="separate"/>
      </w:r>
      <w:r w:rsidR="00080F5C">
        <w:rPr>
          <w:noProof/>
        </w:rPr>
        <w:t>(2008)</w:t>
      </w:r>
      <w:r w:rsidR="00084CDD">
        <w:fldChar w:fldCharType="end"/>
      </w:r>
      <w:r w:rsidR="00E746A4">
        <w:t xml:space="preserve">. </w:t>
      </w:r>
      <w:r w:rsidR="009732C3">
        <w:t xml:space="preserve"> </w:t>
      </w:r>
    </w:p>
    <w:p w14:paraId="2A17471A" w14:textId="77777777" w:rsidR="00E9138B" w:rsidRDefault="00E9138B" w:rsidP="001B41C3">
      <w:pPr>
        <w:pStyle w:val="Body"/>
      </w:pPr>
    </w:p>
    <w:p w14:paraId="5A0F826A" w14:textId="4BDA8AA6" w:rsidR="00E9138B" w:rsidRDefault="00E9138B" w:rsidP="00E9138B">
      <w:pPr>
        <w:pStyle w:val="Imagecaption"/>
        <w:pBdr>
          <w:top w:val="none" w:sz="0" w:space="0" w:color="auto"/>
        </w:pBdr>
      </w:pPr>
      <w:bookmarkStart w:id="192" w:name="_Ref433724177"/>
      <w:bookmarkStart w:id="193" w:name="_Toc449696226"/>
      <w:r>
        <w:t xml:space="preserve">Table </w:t>
      </w:r>
      <w:r w:rsidR="00084CDD">
        <w:fldChar w:fldCharType="begin"/>
      </w:r>
      <w:r w:rsidR="0045082A">
        <w:instrText xml:space="preserve"> SEQ Table \* ARABIC </w:instrText>
      </w:r>
      <w:r w:rsidR="00084CDD">
        <w:fldChar w:fldCharType="separate"/>
      </w:r>
      <w:r w:rsidR="00C52E30">
        <w:rPr>
          <w:noProof/>
        </w:rPr>
        <w:t>6</w:t>
      </w:r>
      <w:r w:rsidR="00084CDD">
        <w:rPr>
          <w:noProof/>
        </w:rPr>
        <w:fldChar w:fldCharType="end"/>
      </w:r>
      <w:bookmarkEnd w:id="192"/>
      <w:r>
        <w:t xml:space="preserve"> Comparison of two-point and multi</w:t>
      </w:r>
      <w:r w:rsidR="007F122F">
        <w:t xml:space="preserve">ple </w:t>
      </w:r>
      <w:r>
        <w:t>point statistics.</w:t>
      </w:r>
      <w:bookmarkEnd w:id="193"/>
    </w:p>
    <w:tbl>
      <w:tblPr>
        <w:tblStyle w:val="TableGrid"/>
        <w:tblW w:w="4942" w:type="pct"/>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2994"/>
        <w:gridCol w:w="3035"/>
      </w:tblGrid>
      <w:tr w:rsidR="00E9138B" w:rsidRPr="00523374" w14:paraId="754F3D8C" w14:textId="77777777" w:rsidTr="00E9138B">
        <w:tc>
          <w:tcPr>
            <w:tcW w:w="1619" w:type="pct"/>
            <w:tcBorders>
              <w:top w:val="single" w:sz="4" w:space="0" w:color="auto"/>
              <w:bottom w:val="single" w:sz="4" w:space="0" w:color="auto"/>
            </w:tcBorders>
            <w:shd w:val="clear" w:color="auto" w:fill="F2F2F2" w:themeFill="background1" w:themeFillShade="F2"/>
            <w:vAlign w:val="center"/>
          </w:tcPr>
          <w:p w14:paraId="200B11C6" w14:textId="77777777" w:rsidR="002D337D" w:rsidRDefault="00E9138B" w:rsidP="00A45100">
            <w:pPr>
              <w:pStyle w:val="Body"/>
              <w:spacing w:before="20" w:after="20" w:line="200" w:lineRule="atLeast"/>
              <w:ind w:left="459"/>
              <w:rPr>
                <w:b/>
                <w:bCs/>
              </w:rPr>
            </w:pPr>
            <w:r>
              <w:t>Feature</w:t>
            </w:r>
          </w:p>
        </w:tc>
        <w:tc>
          <w:tcPr>
            <w:tcW w:w="1679" w:type="pct"/>
            <w:tcBorders>
              <w:top w:val="single" w:sz="4" w:space="0" w:color="auto"/>
              <w:bottom w:val="single" w:sz="4" w:space="0" w:color="auto"/>
            </w:tcBorders>
            <w:shd w:val="clear" w:color="auto" w:fill="F2F2F2" w:themeFill="background1" w:themeFillShade="F2"/>
            <w:vAlign w:val="center"/>
          </w:tcPr>
          <w:p w14:paraId="63B596AB" w14:textId="77777777" w:rsidR="002D337D" w:rsidRDefault="00E9138B" w:rsidP="00A45100">
            <w:pPr>
              <w:pStyle w:val="Body"/>
              <w:spacing w:before="20" w:after="20" w:line="200" w:lineRule="atLeast"/>
              <w:ind w:left="227"/>
              <w:rPr>
                <w:b/>
                <w:bCs/>
              </w:rPr>
            </w:pPr>
            <w:r>
              <w:t>Two-point statistics</w:t>
            </w:r>
          </w:p>
        </w:tc>
        <w:tc>
          <w:tcPr>
            <w:tcW w:w="1702" w:type="pct"/>
            <w:tcBorders>
              <w:top w:val="single" w:sz="4" w:space="0" w:color="auto"/>
              <w:bottom w:val="single" w:sz="4" w:space="0" w:color="auto"/>
            </w:tcBorders>
            <w:shd w:val="clear" w:color="auto" w:fill="F2F2F2" w:themeFill="background1" w:themeFillShade="F2"/>
            <w:vAlign w:val="center"/>
          </w:tcPr>
          <w:p w14:paraId="486211BC" w14:textId="1A05DB9F" w:rsidR="002D337D" w:rsidRDefault="00E9138B" w:rsidP="00A45100">
            <w:pPr>
              <w:pStyle w:val="Body"/>
              <w:spacing w:before="20" w:after="20" w:line="200" w:lineRule="atLeast"/>
              <w:ind w:left="227"/>
              <w:rPr>
                <w:b/>
                <w:bCs/>
              </w:rPr>
            </w:pPr>
            <w:r>
              <w:t>Multi</w:t>
            </w:r>
            <w:r w:rsidR="007F122F">
              <w:t xml:space="preserve">ple </w:t>
            </w:r>
            <w:r>
              <w:t>point statistics</w:t>
            </w:r>
          </w:p>
        </w:tc>
      </w:tr>
      <w:tr w:rsidR="00E9138B" w14:paraId="090E5D54" w14:textId="77777777" w:rsidTr="00A45100">
        <w:trPr>
          <w:trHeight w:val="624"/>
        </w:trPr>
        <w:tc>
          <w:tcPr>
            <w:tcW w:w="1619" w:type="pct"/>
            <w:tcBorders>
              <w:top w:val="single" w:sz="4" w:space="0" w:color="auto"/>
            </w:tcBorders>
          </w:tcPr>
          <w:p w14:paraId="7BF92568" w14:textId="77777777" w:rsidR="002D337D" w:rsidRDefault="00E9138B" w:rsidP="00A45100">
            <w:pPr>
              <w:pStyle w:val="Body"/>
              <w:spacing w:before="120" w:after="20" w:line="200" w:lineRule="atLeast"/>
              <w:ind w:left="459"/>
              <w:rPr>
                <w:b/>
                <w:bCs/>
              </w:rPr>
            </w:pPr>
            <w:r>
              <w:t>Measure</w:t>
            </w:r>
          </w:p>
        </w:tc>
        <w:tc>
          <w:tcPr>
            <w:tcW w:w="1679" w:type="pct"/>
            <w:tcBorders>
              <w:top w:val="single" w:sz="4" w:space="0" w:color="auto"/>
            </w:tcBorders>
          </w:tcPr>
          <w:p w14:paraId="201D093C" w14:textId="77777777" w:rsidR="002D337D" w:rsidRDefault="00E9138B" w:rsidP="00A45100">
            <w:pPr>
              <w:pStyle w:val="Body"/>
              <w:spacing w:before="120" w:after="20" w:line="200" w:lineRule="atLeast"/>
              <w:ind w:left="227"/>
              <w:rPr>
                <w:b/>
                <w:bCs/>
              </w:rPr>
            </w:pPr>
            <w:r>
              <w:t xml:space="preserve">Statistical realisation of two points </w:t>
            </w:r>
            <w:r w:rsidR="00084CDD" w:rsidRPr="00A45100">
              <w:rPr>
                <w:i/>
              </w:rPr>
              <w:t>z</w:t>
            </w:r>
            <w:r>
              <w:t>(</w:t>
            </w:r>
            <w:r w:rsidR="00084CDD" w:rsidRPr="00A45100">
              <w:rPr>
                <w:i/>
              </w:rPr>
              <w:t>u</w:t>
            </w:r>
            <w:r>
              <w:t xml:space="preserve">) and </w:t>
            </w:r>
            <w:r w:rsidR="00084CDD" w:rsidRPr="00A45100">
              <w:rPr>
                <w:i/>
              </w:rPr>
              <w:t>z</w:t>
            </w:r>
            <w:r>
              <w:t>(</w:t>
            </w:r>
            <w:r w:rsidR="00084CDD" w:rsidRPr="00A45100">
              <w:rPr>
                <w:i/>
              </w:rPr>
              <w:t>u</w:t>
            </w:r>
            <w:r>
              <w:t>+</w:t>
            </w:r>
            <w:r w:rsidR="00084CDD" w:rsidRPr="00A45100">
              <w:rPr>
                <w:i/>
              </w:rPr>
              <w:t>h</w:t>
            </w:r>
            <w:r>
              <w:t xml:space="preserve">), where </w:t>
            </w:r>
            <w:r w:rsidR="00084CDD" w:rsidRPr="00A45100">
              <w:rPr>
                <w:i/>
              </w:rPr>
              <w:t>h</w:t>
            </w:r>
            <w:r>
              <w:t xml:space="preserve"> is separation distance</w:t>
            </w:r>
          </w:p>
        </w:tc>
        <w:tc>
          <w:tcPr>
            <w:tcW w:w="1702" w:type="pct"/>
            <w:tcBorders>
              <w:top w:val="single" w:sz="4" w:space="0" w:color="auto"/>
            </w:tcBorders>
          </w:tcPr>
          <w:p w14:paraId="14F7FF6B" w14:textId="77777777" w:rsidR="002D337D" w:rsidRDefault="00E9138B" w:rsidP="00A45100">
            <w:pPr>
              <w:pStyle w:val="Body"/>
              <w:spacing w:before="120" w:after="20" w:line="200" w:lineRule="atLeast"/>
              <w:ind w:left="227"/>
              <w:rPr>
                <w:b/>
                <w:bCs/>
              </w:rPr>
            </w:pPr>
            <w:r>
              <w:t>Structures and patterns beyond two-point correlation</w:t>
            </w:r>
          </w:p>
        </w:tc>
      </w:tr>
      <w:tr w:rsidR="00E9138B" w14:paraId="0A163E66" w14:textId="77777777" w:rsidTr="00A45100">
        <w:trPr>
          <w:trHeight w:val="397"/>
        </w:trPr>
        <w:tc>
          <w:tcPr>
            <w:tcW w:w="1619" w:type="pct"/>
          </w:tcPr>
          <w:p w14:paraId="071F0E80" w14:textId="77777777" w:rsidR="002D337D" w:rsidRDefault="00E9138B" w:rsidP="00A45100">
            <w:pPr>
              <w:pStyle w:val="Body"/>
              <w:spacing w:before="120" w:after="20" w:line="200" w:lineRule="atLeast"/>
              <w:ind w:left="459"/>
            </w:pPr>
            <w:r>
              <w:t>Conditional probability</w:t>
            </w:r>
          </w:p>
        </w:tc>
        <w:tc>
          <w:tcPr>
            <w:tcW w:w="1679" w:type="pct"/>
          </w:tcPr>
          <w:p w14:paraId="4D7BF3B4" w14:textId="77777777" w:rsidR="002D337D" w:rsidRDefault="00E9138B" w:rsidP="00A45100">
            <w:pPr>
              <w:pStyle w:val="Body"/>
              <w:spacing w:before="120" w:after="20" w:line="200" w:lineRule="atLeast"/>
              <w:ind w:left="227"/>
            </w:pPr>
            <w:r>
              <w:t>Variogram model</w:t>
            </w:r>
          </w:p>
        </w:tc>
        <w:tc>
          <w:tcPr>
            <w:tcW w:w="1702" w:type="pct"/>
          </w:tcPr>
          <w:p w14:paraId="27412ADE" w14:textId="77777777" w:rsidR="002D337D" w:rsidRDefault="00E9138B" w:rsidP="00A45100">
            <w:pPr>
              <w:pStyle w:val="Body"/>
              <w:spacing w:before="120" w:after="20" w:line="200" w:lineRule="atLeast"/>
              <w:ind w:left="227"/>
            </w:pPr>
            <w:r>
              <w:t>Training image</w:t>
            </w:r>
          </w:p>
        </w:tc>
      </w:tr>
      <w:tr w:rsidR="00E9138B" w14:paraId="1BAC96DC" w14:textId="77777777" w:rsidTr="00A45100">
        <w:trPr>
          <w:trHeight w:val="680"/>
        </w:trPr>
        <w:tc>
          <w:tcPr>
            <w:tcW w:w="1619" w:type="pct"/>
          </w:tcPr>
          <w:p w14:paraId="126487EE" w14:textId="77777777" w:rsidR="002D337D" w:rsidRDefault="00E9138B" w:rsidP="00A45100">
            <w:pPr>
              <w:pStyle w:val="Body"/>
              <w:spacing w:before="120" w:after="0" w:line="200" w:lineRule="atLeast"/>
              <w:ind w:left="459"/>
            </w:pPr>
            <w:r>
              <w:t>Parameterisation</w:t>
            </w:r>
          </w:p>
        </w:tc>
        <w:tc>
          <w:tcPr>
            <w:tcW w:w="1679" w:type="pct"/>
          </w:tcPr>
          <w:p w14:paraId="35BF63C5" w14:textId="03B03F0F" w:rsidR="002D337D" w:rsidRDefault="00E9138B" w:rsidP="00A45100">
            <w:pPr>
              <w:pStyle w:val="Body"/>
              <w:spacing w:before="120" w:after="0" w:line="200" w:lineRule="atLeast"/>
              <w:ind w:left="227"/>
              <w:rPr>
                <w:rFonts w:eastAsia="Times New Roman" w:cs="Times New Roman"/>
              </w:rPr>
            </w:pPr>
            <w:r>
              <w:rPr>
                <w:rFonts w:eastAsia="Times New Roman" w:cs="Times New Roman"/>
              </w:rPr>
              <w:t xml:space="preserve">Sill, </w:t>
            </w:r>
            <w:r w:rsidR="007F122F">
              <w:rPr>
                <w:rFonts w:eastAsia="Times New Roman" w:cs="Times New Roman"/>
              </w:rPr>
              <w:t>range</w:t>
            </w:r>
            <w:r>
              <w:rPr>
                <w:rFonts w:eastAsia="Times New Roman" w:cs="Times New Roman"/>
              </w:rPr>
              <w:t xml:space="preserve">, </w:t>
            </w:r>
            <w:r w:rsidR="007F122F">
              <w:rPr>
                <w:rFonts w:eastAsia="Times New Roman" w:cs="Times New Roman"/>
              </w:rPr>
              <w:t>nugget</w:t>
            </w:r>
            <w:r>
              <w:rPr>
                <w:rFonts w:eastAsia="Times New Roman" w:cs="Times New Roman"/>
              </w:rPr>
              <w:t xml:space="preserve">, </w:t>
            </w:r>
            <w:r w:rsidR="007F122F">
              <w:rPr>
                <w:rFonts w:eastAsia="Times New Roman" w:cs="Times New Roman"/>
              </w:rPr>
              <w:t xml:space="preserve">shape </w:t>
            </w:r>
            <w:r>
              <w:rPr>
                <w:rFonts w:eastAsia="Times New Roman" w:cs="Times New Roman"/>
              </w:rPr>
              <w:t>of variogram</w:t>
            </w:r>
          </w:p>
        </w:tc>
        <w:tc>
          <w:tcPr>
            <w:tcW w:w="1702" w:type="pct"/>
          </w:tcPr>
          <w:p w14:paraId="0A6339C9" w14:textId="2A5AEEB2" w:rsidR="002D337D" w:rsidRDefault="00E9138B" w:rsidP="00A45100">
            <w:pPr>
              <w:pStyle w:val="Body"/>
              <w:spacing w:before="120" w:after="100" w:afterAutospacing="1" w:line="200" w:lineRule="atLeast"/>
              <w:ind w:left="227"/>
            </w:pPr>
            <w:r>
              <w:t xml:space="preserve">Proportions, </w:t>
            </w:r>
            <w:r w:rsidR="007F122F">
              <w:t>scale</w:t>
            </w:r>
            <w:r>
              <w:t xml:space="preserve">, </w:t>
            </w:r>
            <w:r w:rsidR="007F122F">
              <w:t>anisotropy</w:t>
            </w:r>
          </w:p>
        </w:tc>
      </w:tr>
    </w:tbl>
    <w:p w14:paraId="47242A4C" w14:textId="77777777" w:rsidR="00E9138B" w:rsidRPr="009A78B7" w:rsidRDefault="00E9138B" w:rsidP="009A78B7">
      <w:pPr>
        <w:pStyle w:val="Body"/>
      </w:pPr>
    </w:p>
    <w:p w14:paraId="51777E2D" w14:textId="77777777" w:rsidR="00C452FF" w:rsidRPr="00B85A43" w:rsidRDefault="00C452FF" w:rsidP="00C452FF">
      <w:pPr>
        <w:pStyle w:val="Body"/>
        <w:rPr>
          <w:color w:val="auto"/>
        </w:rPr>
      </w:pPr>
      <w:r>
        <w:t xml:space="preserve">MPS has </w:t>
      </w:r>
      <w:r w:rsidR="001C73C8">
        <w:t>produced</w:t>
      </w:r>
      <w:r>
        <w:t xml:space="preserve"> some exciting developments since its introduction, </w:t>
      </w:r>
      <w:r w:rsidR="001C73C8">
        <w:t>since it allows</w:t>
      </w:r>
      <w:r>
        <w:t xml:space="preserve"> reconstruction of much more realistic geological structures (e.g. where </w:t>
      </w:r>
      <w:r w:rsidRPr="00ED5937">
        <w:t>areas of high and low permeability coexist</w:t>
      </w:r>
      <w:r>
        <w:t xml:space="preserve">, or to preserve connectivity of facies via channel-like structures) than the traditional two-point statistics. The implementation described by </w:t>
      </w:r>
      <w:r w:rsidRPr="00DC7C26">
        <w:t>Guardiano and Srivastava</w:t>
      </w:r>
      <w:r>
        <w:t xml:space="preserve"> </w:t>
      </w:r>
      <w:r w:rsidR="00084CDD">
        <w:fldChar w:fldCharType="begin"/>
      </w:r>
      <w:r>
        <w:instrText xml:space="preserve"> ADDIN EN.CITE &lt;EndNote&gt;&lt;Cite ExcludeAuth="1"&gt;&lt;Author&gt;Guardiano&lt;/Author&gt;&lt;Year&gt;1993&lt;/Year&gt;&lt;IDText&gt;Multivariate geostatistics: beyond bivariate moments&lt;/IDText&gt;&lt;DisplayText&gt;(1993)&lt;/DisplayText&gt;&lt;record&gt;&lt;isbn&gt;079232157X&lt;/isbn&gt;&lt;titles&gt;&lt;title&gt;Multivariate geostatistics: beyond bivariate moments&lt;/title&gt;&lt;secondary-title&gt;Geostatistics Troia’92&lt;/secondary-title&gt;&lt;/titles&gt;&lt;pages&gt;133-144&lt;/pages&gt;&lt;contributors&gt;&lt;authors&gt;&lt;author&gt;Guardiano, Felipe B&lt;/author&gt;&lt;author&gt;Srivastava, R Mohan&lt;/author&gt;&lt;/authors&gt;&lt;/contributors&gt;&lt;added-date format="utc"&gt;1434099168&lt;/added-date&gt;&lt;ref-type name="Book Section"&gt;5&lt;/ref-type&gt;&lt;dates&gt;&lt;year&gt;1993&lt;/year&gt;&lt;/dates&gt;&lt;rec-number&gt;284&lt;/rec-number&gt;&lt;publisher&gt;Springer&lt;/publisher&gt;&lt;last-updated-date format="utc"&gt;1434099168&lt;/last-updated-date&gt;&lt;/record&gt;&lt;/Cite&gt;&lt;/EndNote&gt;</w:instrText>
      </w:r>
      <w:r w:rsidR="00084CDD">
        <w:fldChar w:fldCharType="separate"/>
      </w:r>
      <w:r>
        <w:rPr>
          <w:noProof/>
        </w:rPr>
        <w:t>(1993)</w:t>
      </w:r>
      <w:r w:rsidR="00084CDD">
        <w:fldChar w:fldCharType="end"/>
      </w:r>
      <w:r>
        <w:t xml:space="preserve"> was computationally intensive, as it required re-sampling of an entire training image for the </w:t>
      </w:r>
      <w:r w:rsidRPr="00DC7C26">
        <w:t xml:space="preserve">generation of each pixel value. Strebelle </w:t>
      </w:r>
      <w:r w:rsidR="00084CDD" w:rsidRPr="00DC7C26">
        <w:fldChar w:fldCharType="begin"/>
      </w:r>
      <w:r>
        <w:instrText xml:space="preserve"> ADDIN EN.CITE &lt;EndNote&gt;&lt;Cite ExcludeAuth="1"&gt;&lt;Author&gt;Strebelle&lt;/Author&gt;&lt;Year&gt;2002&lt;/Year&gt;&lt;IDText&gt;Conditional simulation of complex geological structures using multiple-point statistics&lt;/IDText&gt;&lt;DisplayText&gt;(2000; 2002)&lt;/DisplayText&gt;&lt;record&gt;&lt;isbn&gt;0882-8121&lt;/isbn&gt;&lt;titles&gt;&lt;title&gt;Conditional simulation of complex geological structures using multiple-point statistics&lt;/title&gt;&lt;secondary-title&gt;Mathematical Geology&lt;/secondary-title&gt;&lt;/titles&gt;&lt;pages&gt;1-21&lt;/pages&gt;&lt;number&gt;1&lt;/number&gt;&lt;contributors&gt;&lt;authors&gt;&lt;author&gt;Strebelle, Sebastien&lt;/author&gt;&lt;/authors&gt;&lt;/contributors&gt;&lt;added-date format="utc"&gt;1434099095&lt;/added-date&gt;&lt;ref-type name="Journal Article"&gt;17&lt;/ref-type&gt;&lt;dates&gt;&lt;year&gt;2002&lt;/year&gt;&lt;/dates&gt;&lt;rec-number&gt;283&lt;/rec-number&gt;&lt;last-updated-date format="utc"&gt;1434099095&lt;/last-updated-date&gt;&lt;volume&gt;34&lt;/volume&gt;&lt;/record&gt;&lt;/Cite&gt;&lt;Cite ExcludeAuth="1"&gt;&lt;Author&gt;Strebelle&lt;/Author&gt;&lt;Year&gt;2000&lt;/Year&gt;&lt;IDText&gt;Sequential simulation drawing structures from  training images&lt;/IDText&gt;&lt;record&gt;&lt;titles&gt;&lt;title&gt;Sequential simulation drawing structures from  training images&lt;/title&gt;&lt;/titles&gt;&lt;pages&gt;187&lt;/pages&gt;&lt;contributors&gt;&lt;authors&gt;&lt;author&gt;Strebelle, S&lt;/author&gt;&lt;/authors&gt;&lt;/contributors&gt;&lt;added-date format="utc"&gt;1434099377&lt;/added-date&gt;&lt;pub-location&gt;Stanford, CA, USA&lt;/pub-location&gt;&lt;ref-type name="Thesis"&gt;32&lt;/ref-type&gt;&lt;dates&gt;&lt;year&gt;2000&lt;/year&gt;&lt;/dates&gt;&lt;rec-number&gt;1190&lt;/rec-number&gt;&lt;publisher&gt;Stanford University&lt;/publisher&gt;&lt;last-updated-date format="utc"&gt;1434099419&lt;/last-updated-date&gt;&lt;volume&gt;Ph.D. Dissertation&lt;/volume&gt;&lt;/record&gt;&lt;/Cite&gt;&lt;/EndNote&gt;</w:instrText>
      </w:r>
      <w:r w:rsidR="00084CDD" w:rsidRPr="00DC7C26">
        <w:fldChar w:fldCharType="separate"/>
      </w:r>
      <w:r>
        <w:rPr>
          <w:noProof/>
        </w:rPr>
        <w:t>(2000; 2002)</w:t>
      </w:r>
      <w:r w:rsidR="00084CDD" w:rsidRPr="00DC7C26">
        <w:fldChar w:fldCharType="end"/>
      </w:r>
      <w:r w:rsidRPr="00DC7C26">
        <w:t xml:space="preserve"> reduced the computational burden by replacing repeated re</w:t>
      </w:r>
      <w:r>
        <w:t>-</w:t>
      </w:r>
      <w:r w:rsidRPr="00DC7C26">
        <w:t>sampling with a</w:t>
      </w:r>
      <w:r>
        <w:t xml:space="preserve"> search tree (i.e., frequency tree). The MPS concept was extended to continuous variables by Arpat and Caers </w:t>
      </w:r>
      <w:r w:rsidR="00084CDD">
        <w:fldChar w:fldCharType="begin"/>
      </w:r>
      <w:r>
        <w:instrText xml:space="preserve"> ADDIN EN.CITE &lt;EndNote&gt;&lt;Cite ExcludeAuth="1"&gt;&lt;Author&gt;Arpat&lt;/Author&gt;&lt;Year&gt;2007&lt;/Year&gt;&lt;IDText&gt;Conditional simulation with patterns&lt;/IDText&gt;&lt;DisplayText&gt;(2007)&lt;/DisplayText&gt;&lt;record&gt;&lt;dates&gt;&lt;pub-dates&gt;&lt;date&gt;FEB 2007&lt;/date&gt;&lt;/pub-dates&gt;&lt;year&gt;2007&lt;/year&gt;&lt;/dates&gt;&lt;keywords&gt;&lt;keyword&gt;geostatistics&lt;/keyword&gt;&lt;keyword&gt;pattern similarity&lt;/keyword&gt;&lt;keyword&gt;multiple-point statistics&lt;/keyword&gt;&lt;keyword&gt;Geosciences, Multidisciplinary&lt;/keyword&gt;&lt;keyword&gt;Mathematics, Interdisciplinary Applications&lt;/keyword&gt;&lt;keyword&gt;Geology&lt;/keyword&gt;&lt;keyword&gt;Mathematics&lt;/keyword&gt;&lt;/keywords&gt;&lt;isbn&gt;0882-8121&lt;/isbn&gt;&lt;work-type&gt;Article&lt;/work-type&gt;&lt;titles&gt;&lt;title&gt;Conditional simulation with patterns&lt;/title&gt;&lt;secondary-title&gt;Mathematical Geology&lt;/secondary-title&gt;&lt;/titles&gt;&lt;pages&gt;177-203&lt;/pages&gt;&lt;number&gt;2&lt;/number&gt;&lt;contributors&gt;&lt;authors&gt;&lt;author&gt;Arpat, GB&lt;/author&gt;&lt;author&gt;Caers, J&lt;/author&gt;&lt;/authors&gt;&lt;/contributors&gt;&lt;language&gt;English&lt;/language&gt;&lt;added-date format="utc"&gt;1428380430&lt;/added-date&gt;&lt;ref-type name="Journal Article"&gt;17&lt;/ref-type&gt;&lt;auth-address&gt;Arpat, GB (reprint author), Stanford Univ, Dept Energy Resources Engn, Stanford, CA 94305 USA&amp;#xD;Stanford Univ, Dept Energy Resources Engn, Stanford, CA 94305 USA&amp;#xD;jcaers@stanford.edu&lt;/auth-address&gt;&lt;rec-number&gt;987&lt;/rec-number&gt;&lt;last-updated-date format="utc"&gt;1428380430&lt;/last-updated-date&gt;&lt;accession-num&gt;WOS:000246358100003&lt;/accession-num&gt;&lt;electronic-resource-num&gt;10.1007/s11004-006-9075-3&lt;/electronic-resource-num&gt;&lt;volume&gt;39&lt;/volume&gt;&lt;/record&gt;&lt;/Cite&gt;&lt;/EndNote&gt;</w:instrText>
      </w:r>
      <w:r w:rsidR="00084CDD">
        <w:fldChar w:fldCharType="separate"/>
      </w:r>
      <w:r>
        <w:rPr>
          <w:noProof/>
        </w:rPr>
        <w:t>(2007)</w:t>
      </w:r>
      <w:r w:rsidR="00084CDD">
        <w:fldChar w:fldCharType="end"/>
      </w:r>
      <w:r>
        <w:t xml:space="preserve">. The efficiency of the approach was subsequently improved through pre-filtering of training image data by Wu et al. </w:t>
      </w:r>
      <w:r w:rsidR="00084CDD">
        <w:fldChar w:fldCharType="begin"/>
      </w:r>
      <w:r>
        <w:instrText xml:space="preserve"> ADDIN EN.CITE &lt;EndNote&gt;&lt;Cite ExcludeAuth="1"&gt;&lt;Author&gt;Wu&lt;/Author&gt;&lt;Year&gt;2008&lt;/Year&gt;&lt;IDText&gt;A SGeMS code for pattern simulation of continuous and categorical variables: FILTERSIM&lt;/IDText&gt;&lt;DisplayText&gt;(2008)&lt;/DisplayText&gt;&lt;record&gt;&lt;dates&gt;&lt;pub-dates&gt;&lt;date&gt;DEC 2008&lt;/date&gt;&lt;/pub-dates&gt;&lt;year&gt;2008&lt;/year&gt;&lt;/dates&gt;&lt;keywords&gt;&lt;keyword&gt;Filter&lt;/keyword&gt;&lt;keyword&gt;Pattern classification&lt;/keyword&gt;&lt;keyword&gt;Training image&lt;/keyword&gt;&lt;keyword&gt;Multiple-point statistics&lt;/keyword&gt;&lt;keyword&gt;Similarity&lt;/keyword&gt;&lt;/keywords&gt;&lt;isbn&gt;0098-3004&lt;/isbn&gt;&lt;work-type&gt;Article&lt;/work-type&gt;&lt;titles&gt;&lt;title&gt;A SGeMS code for pattern simulation of continuous and categorical variables: FILTERSIM&lt;/title&gt;&lt;secondary-title&gt;Computers &amp;amp; Geosciences&lt;/secondary-title&gt;&lt;/titles&gt;&lt;pages&gt;1863-1876&lt;/pages&gt;&lt;number&gt;12&lt;/number&gt;&lt;contributors&gt;&lt;authors&gt;&lt;author&gt;Wu, JB&lt;/author&gt;&lt;author&gt;Boucher, A&lt;/author&gt;&lt;author&gt;Zhang, TF&lt;/author&gt;&lt;/authors&gt;&lt;/contributors&gt;&lt;language&gt;English&lt;/language&gt;&lt;added-date format="utc"&gt;1433837855&lt;/added-date&gt;&lt;ref-type name="Journal Article"&gt;17&lt;/ref-type&gt;&lt;auth-address&gt;Wu, JB (reprint author), 600 N Dairy Ashford,OF-2014, Houston, TX 77079 USA&amp;#xD;Stanford Univ, Dept Energy Resources Engn, Stanford, CA 94305 USA&amp;#xD;Stanford Univ, Dept Geol &amp;amp; Environm Sci, Stanford, CA 94305 USA&amp;#xD;Schlumberger Doll Res Ctr, Cambridge, MA 02139 USA&amp;#xD;Jianbing.wu@conocophillips.com&lt;/auth-address&gt;&lt;rec-number&gt;209&lt;/rec-number&gt;&lt;last-updated-date format="utc"&gt;1433837855&lt;/last-updated-date&gt;&lt;accession-num&gt;WOS:000261632000020&lt;/accession-num&gt;&lt;electronic-resource-num&gt;10.1016/j.cageo.2007.08.008&lt;/electronic-resource-num&gt;&lt;volume&gt;34&lt;/volume&gt;&lt;/record&gt;&lt;/Cite&gt;&lt;/EndNote&gt;</w:instrText>
      </w:r>
      <w:r w:rsidR="00084CDD">
        <w:fldChar w:fldCharType="separate"/>
      </w:r>
      <w:r>
        <w:rPr>
          <w:noProof/>
        </w:rPr>
        <w:t>(2008)</w:t>
      </w:r>
      <w:r w:rsidR="00084CDD">
        <w:fldChar w:fldCharType="end"/>
      </w:r>
      <w:r>
        <w:t xml:space="preserve">. </w:t>
      </w:r>
      <w:r w:rsidRPr="00A47E89">
        <w:rPr>
          <w:color w:val="auto"/>
        </w:rPr>
        <w:t xml:space="preserve">Mariethoz </w:t>
      </w:r>
      <w:r>
        <w:rPr>
          <w:color w:val="auto"/>
        </w:rPr>
        <w:t xml:space="preserve">et al. </w:t>
      </w:r>
      <w:r w:rsidR="00084CDD">
        <w:rPr>
          <w:color w:val="auto"/>
        </w:rPr>
        <w:fldChar w:fldCharType="begin">
          <w:fldData xml:space="preserve">PEVuZE5vdGU+PENpdGUgRXhjbHVkZUF1dGg9IjEiPjxBdXRob3I+TWFyaWV0aG96PC9BdXRob3I+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</w:fldData>
        </w:fldChar>
      </w:r>
      <w:r>
        <w:rPr>
          <w:color w:val="auto"/>
        </w:rPr>
        <w:instrText xml:space="preserve"> ADDIN EN.CITE </w:instrText>
      </w:r>
      <w:r w:rsidR="00084CDD">
        <w:rPr>
          <w:color w:val="auto"/>
        </w:rPr>
        <w:fldChar w:fldCharType="begin">
          <w:fldData xml:space="preserve">PEVuZE5vdGU+PENpdGUgRXhjbHVkZUF1dGg9IjEiPjxBdXRob3I+TWFyaWV0aG96PC9BdXRob3I+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</w:fldData>
        </w:fldChar>
      </w:r>
      <w:r>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Pr>
          <w:noProof/>
          <w:color w:val="auto"/>
        </w:rPr>
        <w:t>(2010)</w:t>
      </w:r>
      <w:r w:rsidR="00084CDD">
        <w:rPr>
          <w:color w:val="auto"/>
        </w:rPr>
        <w:fldChar w:fldCharType="end"/>
      </w:r>
      <w:r>
        <w:rPr>
          <w:color w:val="auto"/>
        </w:rPr>
        <w:t xml:space="preserve"> extended the MPS concept to multivariable parameter field generation. </w:t>
      </w:r>
      <w:r w:rsidRPr="008E74AF">
        <w:rPr>
          <w:color w:val="auto"/>
        </w:rPr>
        <w:t xml:space="preserve">Comunian </w:t>
      </w:r>
      <w:r>
        <w:rPr>
          <w:color w:val="auto"/>
        </w:rPr>
        <w:t xml:space="preserve">et al. </w:t>
      </w:r>
      <w:r w:rsidR="00084CDD">
        <w:rPr>
          <w:color w:val="auto"/>
        </w:rPr>
        <w:fldChar w:fldCharType="begin"/>
      </w:r>
      <w:r>
        <w:rPr>
          <w:color w:val="auto"/>
        </w:rPr>
        <w:instrText xml:space="preserve"> ADDIN EN.CITE &lt;EndNote&gt;&lt;Cite ExcludeAuth="1"&gt;&lt;Author&gt;Comunian&lt;/Author&gt;&lt;Year&gt;2012&lt;/Year&gt;&lt;IDText&gt;3D multiple-point statistics simulation using 2D training images&lt;/IDText&gt;&lt;DisplayText&gt;(2012)&lt;/DisplayText&gt;&lt;record&gt;&lt;dates&gt;&lt;pub-dates&gt;&lt;date&gt;MAR 2012&lt;/date&gt;&lt;/pub-dates&gt;&lt;year&gt;2012&lt;/year&gt;&lt;/dates&gt;&lt;keywords&gt;&lt;keyword&gt;Heterogeneity characterization&lt;/keyword&gt;&lt;keyword&gt;Geostatistics&lt;/keyword&gt;&lt;keyword&gt;Probability aggregation method&lt;/keyword&gt;&lt;keyword&gt;Conceptual statistical model&lt;/keyword&gt;&lt;keyword&gt;FLUVIOGLACIAL AQUIFER ANALOG&lt;/keyword&gt;&lt;keyword&gt;HETEROGENEITY&lt;/keyword&gt;&lt;keyword&gt;PERMEABILITY&lt;/keyword&gt;&lt;keyword&gt;MODEL&lt;/keyword&gt;&lt;/keywords&gt;&lt;isbn&gt;0098-3004&lt;/isbn&gt;&lt;work-type&gt;Article&lt;/work-type&gt;&lt;titles&gt;&lt;title&gt;3D multiple-point statistics simulation using 2D training images&lt;/title&gt;&lt;secondary-title&gt;Computers &amp;amp; Geosciences&lt;/secondary-title&gt;&lt;/titles&gt;&lt;pages&gt;49-65&lt;/pages&gt;&lt;contributors&gt;&lt;authors&gt;&lt;author&gt;Comunian, A&lt;/author&gt;&lt;author&gt;Renard, P&lt;/author&gt;&lt;author&gt;Straubhaar, J&lt;/author&gt;&lt;/authors&gt;&lt;/contributors&gt;&lt;language&gt;English&lt;/language&gt;&lt;added-date format="utc"&gt;1433835575&lt;/added-date&gt;&lt;ref-type name="Journal Article"&gt;17&lt;/ref-type&gt;&lt;auth-address&gt;Comunian, A (reprint author), Univ Neuchatel, Ctr Hydrogeol &amp;amp; Geotherm CHYN, Rue Emile Argand 11,CP 158, CH-2009 Neuchatel, Switzerland&amp;#xD;Univ Neuchatel, Ctr Hydrogeol &amp;amp; Geotherm CHYN, CH-2009 Neuchatel, Switzerland&amp;#xD;alessandro.comunian@unine.ch&lt;/auth-address&gt;&lt;rec-number&gt;194&lt;/rec-number&gt;&lt;last-updated-date format="utc"&gt;1433835575&lt;/last-updated-date&gt;&lt;accession-num&gt;WOS:000301624600006&lt;/accession-num&gt;&lt;electronic-resource-num&gt;10.1016/j.cageo.2011.07.009&lt;/electronic-resource-num&gt;&lt;volume&gt;40&lt;/volume&gt;&lt;/record&gt;&lt;/Cite&gt;&lt;/EndNote&gt;</w:instrText>
      </w:r>
      <w:r w:rsidR="00084CDD">
        <w:rPr>
          <w:color w:val="auto"/>
        </w:rPr>
        <w:fldChar w:fldCharType="separate"/>
      </w:r>
      <w:r>
        <w:rPr>
          <w:noProof/>
          <w:color w:val="auto"/>
        </w:rPr>
        <w:t>(2012)</w:t>
      </w:r>
      <w:r w:rsidR="00084CDD">
        <w:rPr>
          <w:color w:val="auto"/>
        </w:rPr>
        <w:fldChar w:fldCharType="end"/>
      </w:r>
      <w:r>
        <w:rPr>
          <w:color w:val="auto"/>
        </w:rPr>
        <w:t xml:space="preserve"> developed methods by which to generate 3-D realisations from 2-D training images. </w:t>
      </w:r>
      <w:r w:rsidRPr="001B41C3">
        <w:rPr>
          <w:color w:val="auto"/>
        </w:rPr>
        <w:t xml:space="preserve">Mariethoz and Lefebvre </w:t>
      </w:r>
      <w:r w:rsidR="00084CDD">
        <w:rPr>
          <w:color w:val="auto"/>
        </w:rPr>
        <w:fldChar w:fldCharType="begin">
          <w:fldData xml:space="preserve">PEVuZE5vdGU+PENpdGUgRXhjbHVkZUF1dGg9IjEiPjxBdXRob3I+TWFyaWV0aG96PC9BdXRob3I+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=
</w:fldData>
        </w:fldChar>
      </w:r>
      <w:r>
        <w:rPr>
          <w:color w:val="auto"/>
        </w:rPr>
        <w:instrText xml:space="preserve"> ADDIN EN.CITE </w:instrText>
      </w:r>
      <w:r w:rsidR="00084CDD">
        <w:rPr>
          <w:color w:val="auto"/>
        </w:rPr>
        <w:fldChar w:fldCharType="begin">
          <w:fldData xml:space="preserve">PEVuZE5vdGU+PENpdGUgRXhjbHVkZUF1dGg9IjEiPjxBdXRob3I+TWFyaWV0aG96PC9BdXRob3I+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=
</w:fldData>
        </w:fldChar>
      </w:r>
      <w:r>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Pr>
          <w:noProof/>
          <w:color w:val="auto"/>
        </w:rPr>
        <w:t>(2014)</w:t>
      </w:r>
      <w:r w:rsidR="00084CDD">
        <w:rPr>
          <w:color w:val="auto"/>
        </w:rPr>
        <w:fldChar w:fldCharType="end"/>
      </w:r>
      <w:r>
        <w:rPr>
          <w:color w:val="auto"/>
        </w:rPr>
        <w:t xml:space="preserve"> identified methods used in texture synthesis, such as principal components analysis, that may be used to accelerate the performance of MPS algorithms. Silva and Deutsch </w:t>
      </w:r>
      <w:r w:rsidR="00084CDD">
        <w:rPr>
          <w:color w:val="auto"/>
        </w:rPr>
        <w:fldChar w:fldCharType="begin"/>
      </w:r>
      <w:r>
        <w:rPr>
          <w:color w:val="auto"/>
        </w:rPr>
        <w:instrText xml:space="preserve"> ADDIN EN.CITE &lt;EndNote&gt;&lt;Cite ExcludeAuth="1"&gt;&lt;Author&gt;Silva&lt;/Author&gt;&lt;Year&gt;2014&lt;/Year&gt;&lt;IDText&gt;A Multiple Training Image Approach for Spatial Modeling of Geologic Domains&lt;/IDText&gt;&lt;DisplayText&gt;(2014)&lt;/DisplayText&gt;&lt;record&gt;&lt;dates&gt;&lt;pub-dates&gt;&lt;date&gt;OCT 2014&lt;/date&gt;&lt;/pub-dates&gt;&lt;year&gt;2014&lt;/year&gt;&lt;/dates&gt;&lt;keywords&gt;&lt;keyword&gt;Geostatistics&lt;/keyword&gt;&lt;keyword&gt;MPS&lt;/keyword&gt;&lt;keyword&gt;Training image&lt;/keyword&gt;&lt;keyword&gt;Linear opinion pool&lt;/keyword&gt;&lt;keyword&gt;Entropy&lt;/keyword&gt;&lt;keyword&gt;Geologic domains&lt;/keyword&gt;&lt;keyword&gt;INDICATOR SIMULATION&lt;/keyword&gt;&lt;keyword&gt;POINT&lt;/keyword&gt;&lt;keyword&gt;DISTRIBUTIONS&lt;/keyword&gt;&lt;keyword&gt;ENTROPY&lt;/keyword&gt;&lt;/keywords&gt;&lt;isbn&gt;1874-8961&lt;/isbn&gt;&lt;work-type&gt;Article&lt;/work-type&gt;&lt;titles&gt;&lt;title&gt;A Multiple Training Image Approach for Spatial Modeling of Geologic Domains&lt;/title&gt;&lt;secondary-title&gt;Mathematical Geosciences&lt;/secondary-title&gt;&lt;/titles&gt;&lt;pages&gt;815-840&lt;/pages&gt;&lt;number&gt;7&lt;/number&gt;&lt;contributors&gt;&lt;authors&gt;&lt;author&gt;Silva, DA&lt;/author&gt;&lt;author&gt;Deutsch, CV&lt;/author&gt;&lt;/authors&gt;&lt;/contributors&gt;&lt;language&gt;English&lt;/language&gt;&lt;added-date format="utc"&gt;1433837819&lt;/added-date&gt;&lt;ref-type name="Journal Article"&gt;17&lt;/ref-type&gt;&lt;auth-address&gt;Silva, DA (reprint author), Univ Alberta, Ctr Computat Geostat, Dept Civil &amp;amp; Environm Engn, Markin CNRL Nat Resources Facil 3 133, Edmonton, AB T6G 2W2, Canada&amp;#xD;Univ Alberta, Ctr Computat Geostat, Dept Civil &amp;amp; Environm Engn, Markin CNRL Nat Resources Facil 3 133, Edmonton, AB T6G 2W2, Canada&amp;#xD;dsilva@ualberta.ca&lt;/auth-address&gt;&lt;rec-number&gt;208&lt;/rec-number&gt;&lt;last-updated-date format="utc"&gt;1433837819&lt;/last-updated-date&gt;&lt;accession-num&gt;WOS:000343163100002&lt;/accession-num&gt;&lt;electronic-resource-num&gt;10.1007/s11004-014-9543-0&lt;/electronic-resource-num&gt;&lt;volume&gt;46&lt;/volume&gt;&lt;/record&gt;&lt;/Cite&gt;&lt;/EndNote&gt;</w:instrText>
      </w:r>
      <w:r w:rsidR="00084CDD">
        <w:rPr>
          <w:color w:val="auto"/>
        </w:rPr>
        <w:fldChar w:fldCharType="separate"/>
      </w:r>
      <w:r>
        <w:rPr>
          <w:noProof/>
          <w:color w:val="auto"/>
        </w:rPr>
        <w:t>(2014)</w:t>
      </w:r>
      <w:r w:rsidR="00084CDD">
        <w:rPr>
          <w:color w:val="auto"/>
        </w:rPr>
        <w:fldChar w:fldCharType="end"/>
      </w:r>
      <w:r>
        <w:rPr>
          <w:color w:val="auto"/>
        </w:rPr>
        <w:t xml:space="preserve"> used a linear opinion pool method to generate MPS-based realisations from multiple training images. Li et al. </w:t>
      </w:r>
      <w:r w:rsidR="00084CDD">
        <w:rPr>
          <w:color w:val="auto"/>
        </w:rPr>
        <w:fldChar w:fldCharType="begin"/>
      </w:r>
      <w:r>
        <w:rPr>
          <w:color w:val="auto"/>
        </w:rPr>
        <w:instrText xml:space="preserve"> ADDIN EN.CITE &lt;EndNote&gt;&lt;Cite ExcludeAuth="1"&gt;&lt;Author&gt;Li&lt;/Author&gt;&lt;Year&gt;2015&lt;/Year&gt;&lt;IDText&gt;Two-point or multiple-point statistics? A comparison between the ensemble Kalman filtering and the ensemble pattern matching inverse methods&lt;/IDText&gt;&lt;DisplayText&gt;(2015)&lt;/DisplayText&gt;&lt;record&gt;&lt;titles&gt;&lt;title&gt;Two-point or multiple-point statistics? A comparison between the ensemble Kalman filtering and the ensemble pattern matching inverse methods&lt;/title&gt;&lt;secondary-title&gt;Advances in Water Resources&lt;/secondary-title&gt;&lt;/titles&gt;&lt;contributors&gt;&lt;authors&gt;&lt;author&gt;Li, Liangping&lt;/author&gt;&lt;author&gt;Srinivasan, Sanjay&lt;/author&gt;&lt;author&gt;Zhou, Haiyan&lt;/author&gt;&lt;author&gt;Gómez-Hernández, J. Jaime&lt;/author&gt;&lt;/authors&gt;&lt;/contributors&gt;&lt;added-date format="utc"&gt;1433837132&lt;/added-date&gt;&lt;ref-type name="Journal Article"&gt;17&lt;/ref-type&gt;&lt;dates&gt;&lt;year&gt;2015&lt;/year&gt;&lt;/dates&gt;&lt;rec-number&gt;198&lt;/rec-number&gt;&lt;last-updated-date format="utc"&gt;1433837330&lt;/last-updated-date&gt;&lt;electronic-resource-num&gt;10.1016/j.advwatres.2015.05.014&lt;/electronic-resource-num&gt;&lt;/record&gt;&lt;/Cite&gt;&lt;/EndNote&gt;</w:instrText>
      </w:r>
      <w:r w:rsidR="00084CDD">
        <w:rPr>
          <w:color w:val="auto"/>
        </w:rPr>
        <w:fldChar w:fldCharType="separate"/>
      </w:r>
      <w:r>
        <w:rPr>
          <w:noProof/>
          <w:color w:val="auto"/>
        </w:rPr>
        <w:t>(2015)</w:t>
      </w:r>
      <w:r w:rsidR="00084CDD">
        <w:rPr>
          <w:color w:val="auto"/>
        </w:rPr>
        <w:fldChar w:fldCharType="end"/>
      </w:r>
      <w:r>
        <w:rPr>
          <w:color w:val="auto"/>
        </w:rPr>
        <w:t xml:space="preserve"> demonstrated the use of an ensemble Kalman Filter in combination with the Direct Sampling MPS approach of Mariethoz et al. </w:t>
      </w:r>
      <w:r w:rsidR="00084CDD">
        <w:rPr>
          <w:color w:val="auto"/>
        </w:rPr>
        <w:fldChar w:fldCharType="begin">
          <w:fldData xml:space="preserve">PEVuZE5vdGU+PENpdGUgRXhjbHVkZUF1dGg9IjEiPjxBdXRob3I+TWFyaWV0aG96PC9BdXRob3I+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</w:fldData>
        </w:fldChar>
      </w:r>
      <w:r>
        <w:rPr>
          <w:color w:val="auto"/>
        </w:rPr>
        <w:instrText xml:space="preserve"> ADDIN EN.CITE </w:instrText>
      </w:r>
      <w:r w:rsidR="00084CDD">
        <w:rPr>
          <w:color w:val="auto"/>
        </w:rPr>
        <w:fldChar w:fldCharType="begin">
          <w:fldData xml:space="preserve">PEVuZE5vdGU+PENpdGUgRXhjbHVkZUF1dGg9IjEiPjxBdXRob3I+TWFyaWV0aG96PC9BdXRob3I+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</w:fldData>
        </w:fldChar>
      </w:r>
      <w:r>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Pr>
          <w:noProof/>
          <w:color w:val="auto"/>
        </w:rPr>
        <w:t>(2010)</w:t>
      </w:r>
      <w:r w:rsidR="00084CDD">
        <w:rPr>
          <w:color w:val="auto"/>
        </w:rPr>
        <w:fldChar w:fldCharType="end"/>
      </w:r>
      <w:r>
        <w:rPr>
          <w:color w:val="auto"/>
        </w:rPr>
        <w:t xml:space="preserve"> to characterise parameter heterogeneity. Most recently, </w:t>
      </w:r>
      <w:r w:rsidRPr="00B85A43">
        <w:rPr>
          <w:color w:val="auto"/>
        </w:rPr>
        <w:t xml:space="preserve">Mahmud </w:t>
      </w:r>
      <w:r>
        <w:rPr>
          <w:color w:val="auto"/>
        </w:rPr>
        <w:t xml:space="preserve">et al. </w:t>
      </w:r>
      <w:r w:rsidR="00084CDD">
        <w:rPr>
          <w:color w:val="auto"/>
        </w:rPr>
        <w:fldChar w:fldCharType="begin">
          <w:fldData xml:space="preserve">PEVuZE5vdGU+PENpdGUgRXhjbHVkZUF1dGg9IjEiPjxBdXRob3I+TWFobXVkPC9BdXRob3I+PFll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</w:fldData>
        </w:fldChar>
      </w:r>
      <w:r>
        <w:rPr>
          <w:color w:val="auto"/>
        </w:rPr>
        <w:instrText xml:space="preserve"> ADDIN EN.CITE </w:instrText>
      </w:r>
      <w:r w:rsidR="00084CDD">
        <w:rPr>
          <w:color w:val="auto"/>
        </w:rPr>
        <w:fldChar w:fldCharType="begin">
          <w:fldData xml:space="preserve">PEVuZE5vdGU+PENpdGUgRXhjbHVkZUF1dGg9IjEiPjxBdXRob3I+TWFobXVkPC9BdXRob3I+PFll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</w:fldData>
        </w:fldChar>
      </w:r>
      <w:r>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Pr>
          <w:noProof/>
          <w:color w:val="auto"/>
        </w:rPr>
        <w:t>(2015)</w:t>
      </w:r>
      <w:r w:rsidR="00084CDD">
        <w:rPr>
          <w:color w:val="auto"/>
        </w:rPr>
        <w:fldChar w:fldCharType="end"/>
      </w:r>
      <w:r>
        <w:rPr>
          <w:color w:val="auto"/>
        </w:rPr>
        <w:t xml:space="preserve"> applied an existing method named ‘image quilting’ </w:t>
      </w:r>
      <w:r w:rsidR="00084CDD">
        <w:rPr>
          <w:color w:val="auto"/>
        </w:rPr>
        <w:fldChar w:fldCharType="begin"/>
      </w:r>
      <w:r>
        <w:rPr>
          <w:color w:val="auto"/>
        </w:rPr>
        <w:instrText xml:space="preserve"> ADDIN EN.CITE &lt;EndNote&gt;&lt;Cite&gt;&lt;Author&gt;Efros&lt;/Author&gt;&lt;Year&gt;2001&lt;/Year&gt;&lt;IDText&gt;Image quilting for texture synthesis and transfer&lt;/IDText&gt;&lt;DisplayText&gt;(Efros and Freeman, 2001)&lt;/DisplayText&gt;&lt;record&gt;&lt;isbn&gt;158113374X&lt;/isbn&gt;&lt;titles&gt;&lt;title&gt;Image quilting for texture synthesis and transfer&lt;/title&gt;&lt;secondary-title&gt;Proceedings of the 28th annual conference on Computer graphics and interactive techniques&lt;/secondary-title&gt;&lt;/titles&gt;&lt;pages&gt;341-346&lt;/pages&gt;&lt;contributors&gt;&lt;authors&gt;&lt;author&gt;Efros, Alexei A&lt;/author&gt;&lt;author&gt;Freeman, William T&lt;/author&gt;&lt;/authors&gt;&lt;/contributors&gt;&lt;added-date format="utc"&gt;1434950308&lt;/added-date&gt;&lt;ref-type name="Conference Proceedings"&gt;10&lt;/ref-type&gt;&lt;dates&gt;&lt;year&gt;2001&lt;/year&gt;&lt;/dates&gt;&lt;rec-number&gt;372&lt;/rec-number&gt;&lt;publisher&gt;ACM&lt;/publisher&gt;&lt;last-updated-date format="utc"&gt;1434950308&lt;/last-updated-date&gt;&lt;/record&gt;&lt;/Cite&gt;&lt;/EndNote&gt;</w:instrText>
      </w:r>
      <w:r w:rsidR="00084CDD">
        <w:rPr>
          <w:color w:val="auto"/>
        </w:rPr>
        <w:fldChar w:fldCharType="separate"/>
      </w:r>
      <w:r>
        <w:rPr>
          <w:noProof/>
          <w:color w:val="auto"/>
        </w:rPr>
        <w:t>(Efros and Freeman, 2001)</w:t>
      </w:r>
      <w:r w:rsidR="00084CDD">
        <w:rPr>
          <w:color w:val="auto"/>
        </w:rPr>
        <w:fldChar w:fldCharType="end"/>
      </w:r>
      <w:r>
        <w:rPr>
          <w:color w:val="auto"/>
        </w:rPr>
        <w:t xml:space="preserve"> to generate parameter realisations that were conditioned to multiple training images derived at different observation scales.</w:t>
      </w:r>
    </w:p>
    <w:p w14:paraId="703052A5" w14:textId="77777777" w:rsidR="0023497B" w:rsidRDefault="00D666D0" w:rsidP="00D666D0">
      <w:pPr>
        <w:pStyle w:val="Body"/>
        <w:keepNext/>
        <w:tabs>
          <w:tab w:val="left" w:pos="1418"/>
          <w:tab w:val="left" w:pos="5245"/>
        </w:tabs>
        <w:spacing w:after="120" w:line="240" w:lineRule="auto"/>
      </w:pPr>
      <w:r w:rsidRPr="00D666D0">
        <w:rPr>
          <w:noProof/>
          <w:lang w:val="en-AU" w:eastAsia="en-AU"/>
        </w:rPr>
        <w:drawing>
          <wp:inline distT="0" distB="0" distL="0" distR="0" wp14:anchorId="540201CD" wp14:editId="6C0C04AA">
            <wp:extent cx="5551170" cy="3794411"/>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5551170" cy="3794411"/>
                    </a:xfrm>
                    <a:prstGeom prst="rect">
                      <a:avLst/>
                    </a:prstGeom>
                    <a:noFill/>
                    <a:ln w="9525">
                      <a:noFill/>
                      <a:miter lim="800000"/>
                      <a:headEnd/>
                      <a:tailEnd/>
                    </a:ln>
                  </pic:spPr>
                </pic:pic>
              </a:graphicData>
            </a:graphic>
          </wp:inline>
        </w:drawing>
      </w:r>
    </w:p>
    <w:p w14:paraId="08DF7D07" w14:textId="77777777" w:rsidR="00781D02" w:rsidRDefault="00781D02" w:rsidP="003F14A3">
      <w:pPr>
        <w:pStyle w:val="Body"/>
        <w:spacing w:after="0" w:line="240" w:lineRule="auto"/>
        <w:jc w:val="center"/>
      </w:pPr>
    </w:p>
    <w:p w14:paraId="00CC3D67" w14:textId="77777777" w:rsidR="0023497B" w:rsidRDefault="0023497B" w:rsidP="00D666D0">
      <w:pPr>
        <w:pStyle w:val="Imagecaption"/>
      </w:pPr>
      <w:bookmarkStart w:id="194" w:name="_Ref433719190"/>
      <w:bookmarkStart w:id="195" w:name="_Toc449696325"/>
      <w:r>
        <w:t xml:space="preserve">Figure </w:t>
      </w:r>
      <w:r w:rsidR="00084CDD">
        <w:fldChar w:fldCharType="begin"/>
      </w:r>
      <w:r w:rsidR="00144B4F">
        <w:instrText xml:space="preserve"> SEQ Figure \* ARABIC </w:instrText>
      </w:r>
      <w:r w:rsidR="00084CDD">
        <w:fldChar w:fldCharType="separate"/>
      </w:r>
      <w:r w:rsidR="00C52E30">
        <w:rPr>
          <w:noProof/>
        </w:rPr>
        <w:t>35</w:t>
      </w:r>
      <w:r w:rsidR="00084CDD">
        <w:rPr>
          <w:noProof/>
        </w:rPr>
        <w:fldChar w:fldCharType="end"/>
      </w:r>
      <w:bookmarkEnd w:id="194"/>
      <w:r>
        <w:t xml:space="preserve">. </w:t>
      </w:r>
      <w:r w:rsidR="00725B07">
        <w:t>(</w:t>
      </w:r>
      <w:r w:rsidR="00D666D0">
        <w:t>top</w:t>
      </w:r>
      <w:r w:rsidR="00725B07">
        <w:t xml:space="preserve">) </w:t>
      </w:r>
      <w:r w:rsidR="00D666D0" w:rsidRPr="00D666D0">
        <w:t xml:space="preserve">Interpreted photomosaic of </w:t>
      </w:r>
      <w:r w:rsidR="00D666D0">
        <w:t xml:space="preserve">a </w:t>
      </w:r>
      <w:r w:rsidR="00D666D0" w:rsidRPr="00D666D0">
        <w:t xml:space="preserve">quarry wall </w:t>
      </w:r>
      <w:r w:rsidR="00D666D0">
        <w:t xml:space="preserve">of Brussels Sands </w:t>
      </w:r>
      <w:r w:rsidR="00D666D0" w:rsidRPr="00D666D0">
        <w:t>showing silt facies consisting of clay-rich bottomsets and distinct mud drapes in black</w:t>
      </w:r>
      <w:r w:rsidR="00D666D0">
        <w:t>; grey background consists of sand facies</w:t>
      </w:r>
      <w:r w:rsidR="00D666D0" w:rsidRPr="00D666D0">
        <w:t>.</w:t>
      </w:r>
      <w:r w:rsidR="00D666D0">
        <w:t xml:space="preserve"> </w:t>
      </w:r>
      <w:r w:rsidR="00D666D0" w:rsidRPr="00D666D0">
        <w:t>Height of quarry wall is approximately 4–5 m</w:t>
      </w:r>
      <w:r w:rsidR="00D666D0">
        <w:t>. (bottom) Training images of 30 ×</w:t>
      </w:r>
      <w:r w:rsidR="00854B54">
        <w:t xml:space="preserve"> </w:t>
      </w:r>
      <w:r w:rsidR="00D666D0">
        <w:t xml:space="preserve">30 m </w:t>
      </w:r>
      <w:r w:rsidR="00854B54">
        <w:t>(360,000 grid nodes each 0.05 × 0.05 m) u</w:t>
      </w:r>
      <w:r w:rsidR="00D666D0">
        <w:t>sed in a multiple point statistics simulation of silt and sand facies (white refers to sand facies, black refers to silt facies)</w:t>
      </w:r>
      <w:r w:rsidR="00854B54">
        <w:t xml:space="preserve"> </w:t>
      </w:r>
      <w:r w:rsidR="00084CDD">
        <w:fldChar w:fldCharType="begin"/>
      </w:r>
      <w:r w:rsidR="004F70BD">
        <w:instrText xml:space="preserve"> ADDIN EN.CITE &lt;EndNote&gt;&lt;Cite&gt;&lt;Author&gt;Michael&lt;/Author&gt;&lt;Year&gt;2010&lt;/Year&gt;&lt;IDText&gt;Combining geologic-process models and geostatistics for conditional simulation of 3-D subsurface heterogeneity&lt;/IDText&gt;&lt;DisplayText&gt;(Michael et al., 2010)&lt;/DisplayText&gt;&lt;record&gt;&lt;dates&gt;&lt;pub-dates&gt;&lt;date&gt;MAY 29 2010&lt;/date&gt;&lt;/pub-dates&gt;&lt;year&gt;2010&lt;/year&gt;&lt;/dates&gt;&lt;keywords&gt;&lt;keyword&gt;HYDRAULIC CONDUCTIVITY&lt;/keyword&gt;&lt;keyword&gt;FLOW&lt;/keyword&gt;&lt;keyword&gt;TRANSPORT&lt;/keyword&gt;&lt;keyword&gt;RESERVOIR&lt;/keyword&gt;&lt;keyword&gt;FACIES&lt;/keyword&gt;&lt;keyword&gt;SCALE&lt;/keyword&gt;&lt;keyword&gt;MANAGEMENT&lt;/keyword&gt;&lt;keyword&gt;PATTERNS&lt;/keyword&gt;&lt;keyword&gt;AQUIFERS&lt;/keyword&gt;&lt;keyword&gt;BASIN&lt;/keyword&gt;&lt;/keywords&gt;&lt;isbn&gt;0043-1397&lt;/isbn&gt;&lt;work-type&gt;Article&lt;/work-type&gt;&lt;titles&gt;&lt;title&gt;Combining geologic-process models and geostatistics for conditional simulation of 3-D subsurface heterogeneity&lt;/title&gt;&lt;secondary-title&gt;Water Resources Research&lt;/secondary-title&gt;&lt;/titles&gt;&lt;contributors&gt;&lt;authors&gt;&lt;author&gt;Michael, HA&lt;/author&gt;&lt;author&gt;Li, H&lt;/author&gt;&lt;author&gt;Boucher, A&lt;/author&gt;&lt;author&gt;Sun, T&lt;/author&gt;&lt;author&gt;Caers, J&lt;/author&gt;&lt;author&gt;Gorelick, SM&lt;/author&gt;&lt;/authors&gt;&lt;/contributors&gt;&lt;custom7&gt;ARTN W05527&lt;/custom7&gt;&lt;language&gt;English&lt;/language&gt;&lt;added-date format="utc"&gt;1433828345&lt;/added-date&gt;&lt;ref-type name="Journal Article"&gt;17&lt;/ref-type&gt;&lt;auth-address&gt;Michael, HA (reprint author), Univ Delaware, Dept Geol Sci, 101 Penny Hall, Newark, DE 19716 USA&amp;#xD;Univ Delaware, Dept Geol Sci, Newark, DE 19716 USA&amp;#xD;Stanford Univ, Dept Environm Earth Syst Sci, Stanford, CA 94305 USA&amp;#xD;Stanford Univ, Dept Energy Resources Engn, Stanford, CA 94305 USA&amp;#xD;ExxonMobil Upstream Res Co, Houston, TX 77252 USA&amp;#xD;hmichael@udel.edu&lt;/auth-address&gt;&lt;rec-number&gt;169&lt;/rec-number&gt;&lt;last-updated-date format="utc"&gt;1433828345&lt;/last-updated-date&gt;&lt;accession-num&gt;WOS:000278249800001&lt;/accession-num&gt;&lt;electronic-resource-num&gt;10.1029/2009WR008414&lt;/electronic-resource-num&gt;&lt;volume&gt;46&lt;/volume&gt;&lt;/record&gt;&lt;/Cite&gt;&lt;/EndNote&gt;</w:instrText>
      </w:r>
      <w:r w:rsidR="00084CDD">
        <w:fldChar w:fldCharType="separate"/>
      </w:r>
      <w:r w:rsidR="004F70BD">
        <w:rPr>
          <w:noProof/>
        </w:rPr>
        <w:t>(</w:t>
      </w:r>
      <w:r w:rsidR="00D666D0">
        <w:rPr>
          <w:noProof/>
        </w:rPr>
        <w:t>Huysmans and Dassargues</w:t>
      </w:r>
      <w:r w:rsidR="004F70BD">
        <w:rPr>
          <w:noProof/>
        </w:rPr>
        <w:t>, 20</w:t>
      </w:r>
      <w:r w:rsidR="00D666D0">
        <w:rPr>
          <w:noProof/>
        </w:rPr>
        <w:t>09</w:t>
      </w:r>
      <w:r w:rsidR="004F70BD">
        <w:rPr>
          <w:noProof/>
        </w:rPr>
        <w:t>)</w:t>
      </w:r>
      <w:r w:rsidR="00084CDD">
        <w:fldChar w:fldCharType="end"/>
      </w:r>
      <w:r w:rsidR="00725B07">
        <w:t>.</w:t>
      </w:r>
      <w:bookmarkEnd w:id="195"/>
    </w:p>
    <w:p w14:paraId="365C5350" w14:textId="77777777" w:rsidR="004F70BD" w:rsidRDefault="004F70BD" w:rsidP="009A78B7">
      <w:pPr>
        <w:pStyle w:val="Body"/>
      </w:pPr>
    </w:p>
    <w:p w14:paraId="0EF4F511" w14:textId="77777777" w:rsidR="00837290" w:rsidRPr="00235CA8" w:rsidRDefault="00F33B13" w:rsidP="00837290">
      <w:pPr>
        <w:pStyle w:val="Body"/>
        <w:rPr>
          <w:color w:val="auto"/>
        </w:rPr>
      </w:pPr>
      <w:r>
        <w:rPr>
          <w:color w:val="auto"/>
        </w:rPr>
        <w:t xml:space="preserve">Numerous applications of </w:t>
      </w:r>
      <w:r w:rsidR="00837290">
        <w:rPr>
          <w:color w:val="auto"/>
        </w:rPr>
        <w:t xml:space="preserve">MPS </w:t>
      </w:r>
      <w:r>
        <w:rPr>
          <w:color w:val="auto"/>
        </w:rPr>
        <w:t xml:space="preserve">can be found in reservoir modelling, hydrogeology and groundwater flow and solute transport modelling. </w:t>
      </w:r>
      <w:r w:rsidR="00837290">
        <w:rPr>
          <w:color w:val="auto"/>
        </w:rPr>
        <w:t xml:space="preserve">For example, </w:t>
      </w:r>
      <w:r w:rsidR="005E101C" w:rsidRPr="0057605A">
        <w:rPr>
          <w:color w:val="auto"/>
        </w:rPr>
        <w:t xml:space="preserve">Liu </w:t>
      </w:r>
      <w:r w:rsidR="00810442">
        <w:rPr>
          <w:color w:val="auto"/>
        </w:rPr>
        <w:t xml:space="preserve">et al. </w:t>
      </w:r>
      <w:r w:rsidR="00084CDD">
        <w:rPr>
          <w:color w:val="auto"/>
        </w:rPr>
        <w:fldChar w:fldCharType="begin"/>
      </w:r>
      <w:r w:rsidR="00B01896">
        <w:rPr>
          <w:color w:val="auto"/>
        </w:rPr>
        <w:instrText xml:space="preserve"> ADDIN EN.CITE &lt;EndNote&gt;&lt;Cite ExcludeAuth="1"&gt;&lt;Author&gt;Liu&lt;/Author&gt;&lt;Year&gt;2009&lt;/Year&gt;&lt;IDText&gt;Multiple-point statistical prediction on fracture networks at Yucca Mountain&lt;/IDText&gt;&lt;DisplayText&gt;(2009)&lt;/DisplayText&gt;&lt;record&gt;&lt;dates&gt;&lt;pub-dates&gt;&lt;date&gt;MAY 2009&lt;/date&gt;&lt;/pub-dates&gt;&lt;year&gt;2009&lt;/year&gt;&lt;/dates&gt;&lt;keywords&gt;&lt;keyword&gt;Multiple-point-statistics&lt;/keyword&gt;&lt;keyword&gt;Fracture network&lt;/keyword&gt;&lt;keyword&gt;Seepage&lt;/keyword&gt;&lt;keyword&gt;Nuclear waste repository&lt;/keyword&gt;&lt;keyword&gt;Yucca Mountain&lt;/keyword&gt;&lt;keyword&gt;ROCK MASSES&lt;/keyword&gt;&lt;keyword&gt;SIMULATION&lt;/keyword&gt;&lt;keyword&gt;SEEPAGE&lt;/keyword&gt;&lt;/keywords&gt;&lt;isbn&gt;0943-0105&lt;/isbn&gt;&lt;work-type&gt;Article&lt;/work-type&gt;&lt;titles&gt;&lt;title&gt;Multiple-point statistical prediction on fracture networks at Yucca Mountain&lt;/title&gt;&lt;secondary-title&gt;Environmental Geology&lt;/secondary-title&gt;&lt;/titles&gt;&lt;pages&gt;1361-1370&lt;/pages&gt;&lt;number&gt;6&lt;/number&gt;&lt;contributors&gt;&lt;authors&gt;&lt;author&gt;Liu, XY&lt;/author&gt;&lt;author&gt;Zhang, CY&lt;/author&gt;&lt;author&gt;Liu, QS&lt;/author&gt;&lt;author&gt;Birkholzer, J&lt;/author&gt;&lt;/authors&gt;&lt;/contributors&gt;&lt;language&gt;English&lt;/language&gt;&lt;added-date format="utc"&gt;1433490379&lt;/added-date&gt;&lt;ref-type name="Journal Article"&gt;17&lt;/ref-type&gt;&lt;auth-address&gt;Zhang, CY (reprint author), Chinese Acad Sci, State Key Lab Geomech &amp;amp; Geotech Engn, Inst Rock &amp;amp; Soil Mech, Xiaohongshan 12, Wuhan 430071, Hubei, Peoples R China&amp;#xD;Chinese Acad Sci, State Key Lab Geomech &amp;amp; Geotech Engn, Inst Rock &amp;amp; Soil Mech, Wuhan 430071, Hubei, Peoples R China&amp;#xD;Univ Calif Berkeley, Lawrence Berkeley Lab, Div Earth Sci, Berkeley, CA 94720 USA&lt;/auth-address&gt;&lt;rec-number&gt;133&lt;/rec-number&gt;&lt;last-updated-date format="utc"&gt;1433490379&lt;/last-updated-date&gt;&lt;accession-num&gt;WOS:000265622900012&lt;/accession-num&gt;&lt;electronic-resource-num&gt;10.1007/s00254-008-1623-3&lt;/electronic-resource-num&gt;&lt;volume&gt;57&lt;/volume&gt;&lt;/record&gt;&lt;/Cite&gt;&lt;/EndNote&gt;</w:instrText>
      </w:r>
      <w:r w:rsidR="00084CDD">
        <w:rPr>
          <w:color w:val="auto"/>
        </w:rPr>
        <w:fldChar w:fldCharType="separate"/>
      </w:r>
      <w:r w:rsidR="00B01896">
        <w:rPr>
          <w:noProof/>
          <w:color w:val="auto"/>
        </w:rPr>
        <w:t>(2009)</w:t>
      </w:r>
      <w:r w:rsidR="00084CDD">
        <w:rPr>
          <w:color w:val="auto"/>
        </w:rPr>
        <w:fldChar w:fldCharType="end"/>
      </w:r>
      <w:r w:rsidR="0057605A">
        <w:rPr>
          <w:color w:val="auto"/>
        </w:rPr>
        <w:t xml:space="preserve"> used MPS to simulate groundwater flow in fractu</w:t>
      </w:r>
      <w:r>
        <w:rPr>
          <w:color w:val="auto"/>
        </w:rPr>
        <w:t>red rock at the Yucca Mountain test</w:t>
      </w:r>
      <w:r w:rsidR="0057605A">
        <w:rPr>
          <w:color w:val="auto"/>
        </w:rPr>
        <w:t xml:space="preserve"> site in Nevada, USA. Stochastic realisations of a</w:t>
      </w:r>
      <w:r w:rsidR="00C41DD7">
        <w:rPr>
          <w:color w:val="auto"/>
        </w:rPr>
        <w:t xml:space="preserve"> matrix–fracture network dual medium were generated from a training image and incorporated in a groundwater flow model. </w:t>
      </w:r>
      <w:r w:rsidR="00837290" w:rsidRPr="00295446">
        <w:rPr>
          <w:color w:val="auto"/>
        </w:rPr>
        <w:t xml:space="preserve">Jung </w:t>
      </w:r>
      <w:r w:rsidR="00837290">
        <w:rPr>
          <w:color w:val="auto"/>
        </w:rPr>
        <w:t xml:space="preserve">et al. </w:t>
      </w:r>
      <w:r w:rsidR="00084CDD" w:rsidRPr="00295446">
        <w:rPr>
          <w:color w:val="auto"/>
        </w:rPr>
        <w:fldChar w:fldCharType="begin"/>
      </w:r>
      <w:r w:rsidR="00837290">
        <w:rPr>
          <w:color w:val="auto"/>
        </w:rPr>
        <w:instrText xml:space="preserve"> ADDIN EN.CITE &lt;EndNote&gt;&lt;Cite ExcludeAuth="1"&gt;&lt;Author&gt;Jung&lt;/Author&gt;&lt;Year&gt;2013&lt;/Year&gt;&lt;IDText&gt;Training image-based scenario modeling of fractured reservoirs for flow uncertainty quantification&lt;/IDText&gt;&lt;DisplayText&gt;(2013)&lt;/DisplayText&gt;&lt;record&gt;&lt;dates&gt;&lt;pub-dates&gt;&lt;date&gt;DEC 2013&lt;/date&gt;&lt;/pub-dates&gt;&lt;year&gt;2013&lt;/year&gt;&lt;/dates&gt;&lt;keywords&gt;&lt;keyword&gt;Fracture modeling&lt;/keyword&gt;&lt;keyword&gt;Discrete fracture networks&lt;/keyword&gt;&lt;keyword&gt;Geostatistics&lt;/keyword&gt;&lt;keyword&gt;Pattern modeling&lt;/keyword&gt;&lt;keyword&gt;Dual medium&lt;/keyword&gt;&lt;keyword&gt;Uncertainty quantification&lt;/keyword&gt;&lt;keyword&gt;SIMULATION&lt;/keyword&gt;&lt;keyword&gt;PERMEABILITY&lt;/keyword&gt;&lt;keyword&gt;INTEGRATION&lt;/keyword&gt;&lt;keyword&gt;Computer Science, Interdisciplinary Applications&lt;/keyword&gt;&lt;keyword&gt;Geosciences, Multidisciplinary&lt;/keyword&gt;&lt;keyword&gt;COMPUTER SCIENCE, INTERDISCIPLINARY APPLICATIONS&lt;/keyword&gt;&lt;keyword&gt;GEOSCIENCES, MULTIDISCIPLINARY&lt;/keyword&gt;&lt;keyword&gt;Computer Science&lt;/keyword&gt;&lt;keyword&gt;Geology&lt;/keyword&gt;&lt;/keywords&gt;&lt;isbn&gt;1420-0597&lt;/isbn&gt;&lt;work-type&gt;Article&lt;/work-type&gt;&lt;titles&gt;&lt;title&gt;Training image-based scenario modeling of fractured reservoirs for flow uncertainty quantification&lt;/title&gt;&lt;secondary-title&gt;Computational Geosciences&lt;/secondary-title&gt;&lt;/titles&gt;&lt;pages&gt;1015-1031&lt;/pages&gt;&lt;number&gt;6&lt;/number&gt;&lt;contributors&gt;&lt;authors&gt;&lt;author&gt;Jung, A&lt;/author&gt;&lt;author&gt;Fenwick, DH&lt;/author&gt;&lt;author&gt;Caers, J&lt;/author&gt;&lt;/authors&gt;&lt;/contributors&gt;&lt;language&gt;English&lt;/language&gt;&lt;added-date format="utc"&gt;1428380430&lt;/added-date&gt;&lt;ref-type name="Journal Article"&gt;17&lt;/ref-type&gt;&lt;auth-address&gt;Jung, A (reprint author), Stanford Univ, Dept Energy Resources Engn, Stanford, CA 94305 USA&amp;#xD;Stanford Univ, Dept Energy Resources Engn, Stanford, CA 94305 USA&amp;#xD;Streamsim Technol, San Francisco, CA 94121 USA&amp;#xD;ajung@stanford.edu&lt;/auth-address&gt;&lt;rec-number&gt;997&lt;/rec-number&gt;&lt;last-updated-date format="utc"&gt;1428380430&lt;/last-updated-date&gt;&lt;accession-num&gt;WOS:000328319900010&lt;/accession-num&gt;&lt;electronic-resource-num&gt;10.1007/s10596-013-9372-0&lt;/electronic-resource-num&gt;&lt;volume&gt;17&lt;/volume&gt;&lt;/record&gt;&lt;/Cite&gt;&lt;/EndNote&gt;</w:instrText>
      </w:r>
      <w:r w:rsidR="00084CDD" w:rsidRPr="00295446">
        <w:rPr>
          <w:color w:val="auto"/>
        </w:rPr>
        <w:fldChar w:fldCharType="separate"/>
      </w:r>
      <w:r w:rsidR="00837290">
        <w:rPr>
          <w:noProof/>
          <w:color w:val="auto"/>
        </w:rPr>
        <w:t>(2013)</w:t>
      </w:r>
      <w:r w:rsidR="00084CDD" w:rsidRPr="00295446">
        <w:rPr>
          <w:color w:val="auto"/>
        </w:rPr>
        <w:fldChar w:fldCharType="end"/>
      </w:r>
      <w:r w:rsidR="00837290" w:rsidRPr="00295446">
        <w:rPr>
          <w:color w:val="auto"/>
        </w:rPr>
        <w:t xml:space="preserve"> </w:t>
      </w:r>
      <w:r w:rsidR="00837290">
        <w:rPr>
          <w:color w:val="auto"/>
        </w:rPr>
        <w:t xml:space="preserve">combined MPS with the </w:t>
      </w:r>
      <w:r w:rsidR="00837290" w:rsidRPr="00295446">
        <w:rPr>
          <w:color w:val="auto"/>
        </w:rPr>
        <w:t>discrete fracture network model FRACMAN</w:t>
      </w:r>
      <w:r w:rsidR="00837290">
        <w:rPr>
          <w:color w:val="auto"/>
        </w:rPr>
        <w:t xml:space="preserve"> </w:t>
      </w:r>
      <w:r w:rsidR="00084CDD">
        <w:rPr>
          <w:color w:val="auto"/>
        </w:rPr>
        <w:fldChar w:fldCharType="begin"/>
      </w:r>
      <w:r w:rsidR="009F7281">
        <w:rPr>
          <w:color w:val="auto"/>
        </w:rPr>
        <w:instrText xml:space="preserve"> ADDIN EN.CITE &lt;EndNote&gt;&lt;Cite&gt;&lt;Author&gt;Dershowitz&lt;/Author&gt;&lt;Year&gt;1999&lt;/Year&gt;&lt;IDText&gt;User documentation for FracMan&lt;/IDText&gt;&lt;DisplayText&gt;(Dershowitz et al., 1999)&lt;/DisplayText&gt;&lt;record&gt;&lt;titles&gt;&lt;title&gt;User documentation for FracMan&lt;/title&gt;&lt;secondary-title&gt;Seattle: Golder Associates&lt;/secondary-title&gt;&lt;/titles&gt;&lt;contributors&gt;&lt;authors&gt;&lt;author&gt;Dershowitz, W&lt;/author&gt;&lt;author&gt;Lee, G&lt;/author&gt;&lt;author&gt;Geier, J&lt;/author&gt;&lt;author&gt;Foxford, T&lt;/author&gt;&lt;author&gt;LaPointe, P&lt;/author&gt;&lt;author&gt;Thomas, A&lt;/author&gt;&lt;/authors&gt;&lt;/contributors&gt;&lt;added-date format="utc"&gt;1434101224&lt;/added-date&gt;&lt;ref-type name="Journal Article"&gt;17&lt;/ref-type&gt;&lt;dates&gt;&lt;year&gt;1999&lt;/year&gt;&lt;/dates&gt;&lt;rec-number&gt;297&lt;/rec-number&gt;&lt;last-updated-date format="utc"&gt;1434101224&lt;/last-updated-date&gt;&lt;/record&gt;&lt;/Cite&gt;&lt;/EndNote&gt;</w:instrText>
      </w:r>
      <w:r w:rsidR="00084CDD">
        <w:rPr>
          <w:color w:val="auto"/>
        </w:rPr>
        <w:fldChar w:fldCharType="separate"/>
      </w:r>
      <w:r w:rsidR="009F7281">
        <w:rPr>
          <w:noProof/>
          <w:color w:val="auto"/>
        </w:rPr>
        <w:t>(Dershowitz et al., 1999)</w:t>
      </w:r>
      <w:r w:rsidR="00084CDD">
        <w:rPr>
          <w:color w:val="auto"/>
        </w:rPr>
        <w:fldChar w:fldCharType="end"/>
      </w:r>
      <w:r w:rsidR="00837290" w:rsidRPr="00295446">
        <w:rPr>
          <w:color w:val="auto"/>
        </w:rPr>
        <w:t xml:space="preserve"> to simulate oil production from a 19</w:t>
      </w:r>
      <w:r w:rsidR="00056615">
        <w:rPr>
          <w:color w:val="auto"/>
        </w:rPr>
        <w:t xml:space="preserve"> × </w:t>
      </w:r>
      <w:r w:rsidR="00837290" w:rsidRPr="00295446">
        <w:rPr>
          <w:color w:val="auto"/>
        </w:rPr>
        <w:t xml:space="preserve">16 km fractured carbonate rock reservoir, representative of those typically found in the Middle East. </w:t>
      </w:r>
    </w:p>
    <w:p w14:paraId="666A3350" w14:textId="77777777" w:rsidR="00837290" w:rsidRPr="00E71CFE" w:rsidRDefault="00837290" w:rsidP="00F33B13">
      <w:pPr>
        <w:pStyle w:val="Body"/>
        <w:rPr>
          <w:color w:val="auto"/>
        </w:rPr>
      </w:pPr>
      <w:r>
        <w:rPr>
          <w:color w:val="auto"/>
        </w:rPr>
        <w:t>Multiple point</w:t>
      </w:r>
      <w:r w:rsidR="00492948">
        <w:rPr>
          <w:color w:val="auto"/>
        </w:rPr>
        <w:t xml:space="preserve"> s</w:t>
      </w:r>
      <w:r w:rsidR="009C03BB">
        <w:rPr>
          <w:color w:val="auto"/>
        </w:rPr>
        <w:t>tatistics</w:t>
      </w:r>
      <w:r w:rsidR="00492948">
        <w:rPr>
          <w:color w:val="auto"/>
        </w:rPr>
        <w:t xml:space="preserve"> </w:t>
      </w:r>
      <w:r>
        <w:rPr>
          <w:color w:val="auto"/>
        </w:rPr>
        <w:t xml:space="preserve">has also been successfully combined with other approaches to generate stochastic realisations of sedimentary groundwater flow environments. For example, </w:t>
      </w:r>
      <w:r w:rsidR="00F33B13">
        <w:rPr>
          <w:color w:val="auto"/>
        </w:rPr>
        <w:t>Huysmans and Dassargues</w:t>
      </w:r>
      <w:r w:rsidR="005E101C" w:rsidRPr="00295446">
        <w:rPr>
          <w:color w:val="auto"/>
        </w:rPr>
        <w:t xml:space="preserve"> </w:t>
      </w:r>
      <w:r w:rsidR="00810442">
        <w:rPr>
          <w:color w:val="auto"/>
        </w:rPr>
        <w:t xml:space="preserve">et al. </w:t>
      </w:r>
      <w:r w:rsidR="00084CDD" w:rsidRPr="00295446">
        <w:rPr>
          <w:color w:val="auto"/>
        </w:rPr>
        <w:fldChar w:fldCharType="begin"/>
      </w:r>
      <w:r w:rsidR="00832378">
        <w:rPr>
          <w:color w:val="auto"/>
        </w:rPr>
        <w:instrText xml:space="preserve"> ADDIN EN.CITE &lt;EndNote&gt;&lt;Cite ExcludeAuth="1"&gt;&lt;Author&gt;Michael&lt;/Author&gt;&lt;Year&gt;2010&lt;/Year&gt;&lt;IDText&gt;Combining geologic-process models and geostatistics for conditional simulation of 3-D subsurface heterogeneity&lt;/IDText&gt;&lt;DisplayText&gt;(2010)&lt;/DisplayText&gt;&lt;record&gt;&lt;dates&gt;&lt;pub-dates&gt;&lt;date&gt;MAY 29 2010&lt;/date&gt;&lt;/pub-dates&gt;&lt;year&gt;2010&lt;/year&gt;&lt;/dates&gt;&lt;keywords&gt;&lt;keyword&gt;HYDRAULIC CONDUCTIVITY&lt;/keyword&gt;&lt;keyword&gt;FLOW&lt;/keyword&gt;&lt;keyword&gt;TRANSPORT&lt;/keyword&gt;&lt;keyword&gt;RESERVOIR&lt;/keyword&gt;&lt;keyword&gt;FACIES&lt;/keyword&gt;&lt;keyword&gt;SCALE&lt;/keyword&gt;&lt;keyword&gt;MANAGEMENT&lt;/keyword&gt;&lt;keyword&gt;PATTERNS&lt;/keyword&gt;&lt;keyword&gt;AQUIFERS&lt;/keyword&gt;&lt;keyword&gt;BASIN&lt;/keyword&gt;&lt;/keywords&gt;&lt;isbn&gt;0043-1397&lt;/isbn&gt;&lt;work-type&gt;Article&lt;/work-type&gt;&lt;titles&gt;&lt;title&gt;Combining geologic-process models and geostatistics for conditional simulation of 3-D subsurface heterogeneity&lt;/title&gt;&lt;secondary-title&gt;Water Resources Research&lt;/secondary-title&gt;&lt;/titles&gt;&lt;contributors&gt;&lt;authors&gt;&lt;author&gt;Michael, HA&lt;/author&gt;&lt;author&gt;Li, H&lt;/author&gt;&lt;author&gt;Boucher, A&lt;/author&gt;&lt;author&gt;Sun, T&lt;/author&gt;&lt;author&gt;Caers, J&lt;/author&gt;&lt;author&gt;Gorelick, SM&lt;/author&gt;&lt;/authors&gt;&lt;/contributors&gt;&lt;custom7&gt;ARTN W05527&lt;/custom7&gt;&lt;language&gt;English&lt;/language&gt;&lt;added-date format="utc"&gt;1433828345&lt;/added-date&gt;&lt;ref-type name="Journal Article"&gt;17&lt;/ref-type&gt;&lt;auth-address&gt;Michael, HA (reprint author), Univ Delaware, Dept Geol Sci, 101 Penny Hall, Newark, DE 19716 USA&amp;#xD;Univ Delaware, Dept Geol Sci, Newark, DE 19716 USA&amp;#xD;Stanford Univ, Dept Environm Earth Syst Sci, Stanford, CA 94305 USA&amp;#xD;Stanford Univ, Dept Energy Resources Engn, Stanford, CA 94305 USA&amp;#xD;ExxonMobil Upstream Res Co, Houston, TX 77252 USA&amp;#xD;hmichael@udel.edu&lt;/auth-address&gt;&lt;rec-number&gt;169&lt;/rec-number&gt;&lt;last-updated-date format="utc"&gt;1433828345&lt;/last-updated-date&gt;&lt;accession-num&gt;WOS:000278249800001&lt;/accession-num&gt;&lt;electronic-resource-num&gt;10.1029/2009WR008414&lt;/electronic-resource-num&gt;&lt;volume&gt;46&lt;/volume&gt;&lt;/record&gt;&lt;/Cite&gt;&lt;/EndNote&gt;</w:instrText>
      </w:r>
      <w:r w:rsidR="00084CDD" w:rsidRPr="00295446">
        <w:rPr>
          <w:color w:val="auto"/>
        </w:rPr>
        <w:fldChar w:fldCharType="separate"/>
      </w:r>
      <w:r w:rsidR="00832378">
        <w:rPr>
          <w:color w:val="auto"/>
        </w:rPr>
        <w:t>(20</w:t>
      </w:r>
      <w:r w:rsidR="00F33B13">
        <w:rPr>
          <w:color w:val="auto"/>
        </w:rPr>
        <w:t>09</w:t>
      </w:r>
      <w:r w:rsidR="00832378">
        <w:rPr>
          <w:color w:val="auto"/>
        </w:rPr>
        <w:t>)</w:t>
      </w:r>
      <w:r w:rsidR="00084CDD" w:rsidRPr="00295446">
        <w:rPr>
          <w:color w:val="auto"/>
        </w:rPr>
        <w:fldChar w:fldCharType="end"/>
      </w:r>
      <w:r w:rsidR="00A47E89" w:rsidRPr="00295446">
        <w:rPr>
          <w:color w:val="auto"/>
        </w:rPr>
        <w:t xml:space="preserve"> presented a workflow that </w:t>
      </w:r>
      <w:r w:rsidR="00F33B13" w:rsidRPr="00F33B13">
        <w:rPr>
          <w:color w:val="auto"/>
        </w:rPr>
        <w:t>use</w:t>
      </w:r>
      <w:r w:rsidR="00F33B13">
        <w:rPr>
          <w:color w:val="auto"/>
        </w:rPr>
        <w:t>s</w:t>
      </w:r>
      <w:r w:rsidR="00A47E89" w:rsidRPr="00295446">
        <w:rPr>
          <w:color w:val="auto"/>
        </w:rPr>
        <w:t xml:space="preserve"> MPS </w:t>
      </w:r>
      <w:r w:rsidR="00F33B13" w:rsidRPr="00F33B13">
        <w:rPr>
          <w:color w:val="auto"/>
        </w:rPr>
        <w:t>to investigate the effect of complex small-scale sedimentary heterogeneity on the short-term migration of a contaminant plume</w:t>
      </w:r>
      <w:r w:rsidR="00F33B13">
        <w:rPr>
          <w:color w:val="auto"/>
        </w:rPr>
        <w:t xml:space="preserve">. </w:t>
      </w:r>
      <w:r w:rsidR="00F33B13" w:rsidRPr="00F33B13">
        <w:rPr>
          <w:color w:val="auto"/>
        </w:rPr>
        <w:t xml:space="preserve">Training images of highly heterogeneous </w:t>
      </w:r>
      <w:r w:rsidR="00F33B13">
        <w:rPr>
          <w:color w:val="auto"/>
        </w:rPr>
        <w:t xml:space="preserve">and anisotropic </w:t>
      </w:r>
      <w:r w:rsidR="00F33B13" w:rsidRPr="00F33B13">
        <w:rPr>
          <w:color w:val="auto"/>
        </w:rPr>
        <w:t>sandy sediments were constructed based on geological and hydrogeological field data collected from outcrops</w:t>
      </w:r>
      <w:r w:rsidR="009C03BB">
        <w:rPr>
          <w:color w:val="auto"/>
        </w:rPr>
        <w:t xml:space="preserve"> (</w:t>
      </w:r>
      <w:r w:rsidR="00084CDD">
        <w:rPr>
          <w:color w:val="auto"/>
        </w:rPr>
        <w:fldChar w:fldCharType="begin"/>
      </w:r>
      <w:r w:rsidR="009C03BB">
        <w:rPr>
          <w:color w:val="auto"/>
        </w:rPr>
        <w:instrText xml:space="preserve"> REF _Ref433722630 \h </w:instrText>
      </w:r>
      <w:r w:rsidR="00084CDD">
        <w:rPr>
          <w:color w:val="auto"/>
        </w:rPr>
      </w:r>
      <w:r w:rsidR="00084CDD">
        <w:rPr>
          <w:color w:val="auto"/>
        </w:rPr>
        <w:fldChar w:fldCharType="separate"/>
      </w:r>
      <w:r w:rsidR="00C52E30">
        <w:t xml:space="preserve">Figure </w:t>
      </w:r>
      <w:r w:rsidR="00C52E30">
        <w:rPr>
          <w:noProof/>
        </w:rPr>
        <w:t>36</w:t>
      </w:r>
      <w:r w:rsidR="00084CDD">
        <w:rPr>
          <w:color w:val="auto"/>
        </w:rPr>
        <w:fldChar w:fldCharType="end"/>
      </w:r>
      <w:r w:rsidR="009C03BB">
        <w:rPr>
          <w:color w:val="auto"/>
        </w:rPr>
        <w:t>)</w:t>
      </w:r>
      <w:r w:rsidR="00F33B13" w:rsidRPr="00F33B13">
        <w:rPr>
          <w:color w:val="auto"/>
        </w:rPr>
        <w:t xml:space="preserve">. </w:t>
      </w:r>
      <w:r w:rsidR="00F33B13">
        <w:rPr>
          <w:color w:val="auto"/>
        </w:rPr>
        <w:t xml:space="preserve">Characteristics of the sediments are </w:t>
      </w:r>
      <w:r w:rsidR="00F33B13" w:rsidRPr="00F33B13">
        <w:rPr>
          <w:color w:val="auto"/>
        </w:rPr>
        <w:t>typical for tidal deposits</w:t>
      </w:r>
      <w:r w:rsidR="00F33B13">
        <w:rPr>
          <w:color w:val="auto"/>
        </w:rPr>
        <w:t>, and include</w:t>
      </w:r>
      <w:r w:rsidR="00F33B13" w:rsidRPr="00F33B13">
        <w:rPr>
          <w:color w:val="auto"/>
        </w:rPr>
        <w:t xml:space="preserve"> important grain size variations, cross-bedding, bottomsets, foresets, mud</w:t>
      </w:r>
      <w:r w:rsidR="00F33B13">
        <w:rPr>
          <w:color w:val="auto"/>
        </w:rPr>
        <w:t xml:space="preserve"> </w:t>
      </w:r>
      <w:r w:rsidR="00F33B13" w:rsidRPr="00F33B13">
        <w:rPr>
          <w:color w:val="auto"/>
        </w:rPr>
        <w:t>drapes and unidirectional reactivation surfaces</w:t>
      </w:r>
      <w:r w:rsidR="00F33B13">
        <w:rPr>
          <w:color w:val="auto"/>
        </w:rPr>
        <w:t>.</w:t>
      </w:r>
      <w:r w:rsidR="00854B54">
        <w:rPr>
          <w:color w:val="auto"/>
        </w:rPr>
        <w:t xml:space="preserve"> P</w:t>
      </w:r>
      <w:r w:rsidR="00854B54" w:rsidRPr="00854B54">
        <w:rPr>
          <w:color w:val="auto"/>
        </w:rPr>
        <w:t xml:space="preserve">ermeability variability within the sand and silt facies </w:t>
      </w:r>
      <w:r w:rsidR="00854B54">
        <w:rPr>
          <w:color w:val="auto"/>
        </w:rPr>
        <w:t>(i.e. i</w:t>
      </w:r>
      <w:r w:rsidR="00854B54" w:rsidRPr="00854B54">
        <w:rPr>
          <w:color w:val="auto"/>
        </w:rPr>
        <w:t xml:space="preserve">ntrafacies </w:t>
      </w:r>
      <w:r w:rsidR="00854B54">
        <w:rPr>
          <w:color w:val="auto"/>
        </w:rPr>
        <w:t xml:space="preserve">variability) </w:t>
      </w:r>
      <w:r w:rsidR="00854B54" w:rsidRPr="00854B54">
        <w:rPr>
          <w:color w:val="auto"/>
        </w:rPr>
        <w:t xml:space="preserve">was simulated using direct sequential simulation with histogram reproduction based on histograms and variograms obtained from in situ air permeability measurements. Simulation was performed separately for each facies after which the simulated sand and silt facies </w:t>
      </w:r>
      <w:r w:rsidR="00854B54">
        <w:rPr>
          <w:color w:val="auto"/>
        </w:rPr>
        <w:t>realis</w:t>
      </w:r>
      <w:r w:rsidR="00854B54" w:rsidRPr="00854B54">
        <w:rPr>
          <w:color w:val="auto"/>
        </w:rPr>
        <w:t>ations are assembled</w:t>
      </w:r>
      <w:r w:rsidR="00854B54">
        <w:rPr>
          <w:color w:val="auto"/>
        </w:rPr>
        <w:t xml:space="preserve"> (</w:t>
      </w:r>
      <w:r w:rsidR="00084CDD">
        <w:rPr>
          <w:color w:val="auto"/>
        </w:rPr>
        <w:fldChar w:fldCharType="begin"/>
      </w:r>
      <w:r w:rsidR="00854B54">
        <w:rPr>
          <w:color w:val="auto"/>
        </w:rPr>
        <w:instrText xml:space="preserve"> REF _Ref433722630 \h </w:instrText>
      </w:r>
      <w:r w:rsidR="00084CDD">
        <w:rPr>
          <w:color w:val="auto"/>
        </w:rPr>
      </w:r>
      <w:r w:rsidR="00084CDD">
        <w:rPr>
          <w:color w:val="auto"/>
        </w:rPr>
        <w:fldChar w:fldCharType="separate"/>
      </w:r>
      <w:r w:rsidR="00C52E30">
        <w:t xml:space="preserve">Figure </w:t>
      </w:r>
      <w:r w:rsidR="00C52E30">
        <w:rPr>
          <w:noProof/>
        </w:rPr>
        <w:t>36</w:t>
      </w:r>
      <w:r w:rsidR="00084CDD">
        <w:rPr>
          <w:color w:val="auto"/>
        </w:rPr>
        <w:fldChar w:fldCharType="end"/>
      </w:r>
      <w:r w:rsidR="00854B54">
        <w:rPr>
          <w:color w:val="auto"/>
        </w:rPr>
        <w:t>)</w:t>
      </w:r>
      <w:r w:rsidR="00854B54" w:rsidRPr="00854B54">
        <w:rPr>
          <w:color w:val="auto"/>
        </w:rPr>
        <w:t>.</w:t>
      </w:r>
      <w:r w:rsidR="00854B54">
        <w:rPr>
          <w:color w:val="auto"/>
        </w:rPr>
        <w:t xml:space="preserve"> </w:t>
      </w:r>
      <w:r w:rsidR="00E94AF1">
        <w:rPr>
          <w:color w:val="auto"/>
        </w:rPr>
        <w:t xml:space="preserve">This approach enabled the stochastic parameterisation of geologically realistic features. </w:t>
      </w:r>
      <w:r>
        <w:rPr>
          <w:color w:val="auto"/>
        </w:rPr>
        <w:t xml:space="preserve">Similarly, </w:t>
      </w:r>
      <w:r w:rsidRPr="00E71CFE">
        <w:rPr>
          <w:color w:val="auto"/>
        </w:rPr>
        <w:t xml:space="preserve">Comunian </w:t>
      </w:r>
      <w:r>
        <w:rPr>
          <w:color w:val="auto"/>
        </w:rPr>
        <w:t xml:space="preserve">et al. </w:t>
      </w:r>
      <w:r w:rsidR="00084CDD">
        <w:rPr>
          <w:color w:val="auto"/>
        </w:rPr>
        <w:fldChar w:fldCharType="begin">
          <w:fldData xml:space="preserve">PEVuZE5vdGU+PENpdGUgRXhjbHVkZUF1dGg9IjEiPjxBdXRob3I+Q29tdW5pYW48L0F1dGhvcj48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</w:fldData>
        </w:fldChar>
      </w:r>
      <w:r>
        <w:rPr>
          <w:color w:val="auto"/>
        </w:rPr>
        <w:instrText xml:space="preserve"> ADDIN EN.CITE </w:instrText>
      </w:r>
      <w:r w:rsidR="00084CDD">
        <w:rPr>
          <w:color w:val="auto"/>
        </w:rPr>
        <w:fldChar w:fldCharType="begin">
          <w:fldData xml:space="preserve">PEVuZE5vdGU+PENpdGUgRXhjbHVkZUF1dGg9IjEiPjxBdXRob3I+Q29tdW5pYW48L0F1dGhvcj48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</w:fldData>
        </w:fldChar>
      </w:r>
      <w:r>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Pr>
          <w:color w:val="auto"/>
        </w:rPr>
        <w:t>(2014)</w:t>
      </w:r>
      <w:r w:rsidR="00084CDD">
        <w:rPr>
          <w:color w:val="auto"/>
        </w:rPr>
        <w:fldChar w:fldCharType="end"/>
      </w:r>
      <w:r>
        <w:rPr>
          <w:color w:val="auto"/>
        </w:rPr>
        <w:t xml:space="preserve"> used a process-based approach to generate training images for MPS-based realisations of the </w:t>
      </w:r>
      <w:r w:rsidRPr="00B85A43">
        <w:rPr>
          <w:color w:val="auto"/>
        </w:rPr>
        <w:t xml:space="preserve">Lower Namoi </w:t>
      </w:r>
      <w:r>
        <w:rPr>
          <w:color w:val="auto"/>
        </w:rPr>
        <w:t>alluvial a</w:t>
      </w:r>
      <w:r w:rsidRPr="00B85A43">
        <w:rPr>
          <w:color w:val="auto"/>
        </w:rPr>
        <w:t>quifer</w:t>
      </w:r>
      <w:r>
        <w:rPr>
          <w:color w:val="auto"/>
        </w:rPr>
        <w:t xml:space="preserve"> in the Murray Darling Basin.</w:t>
      </w:r>
    </w:p>
    <w:p w14:paraId="133F6F5D" w14:textId="77777777" w:rsidR="00E9138B" w:rsidRPr="00E746A4" w:rsidRDefault="00E9138B" w:rsidP="00E9138B">
      <w:pPr>
        <w:pStyle w:val="Body"/>
        <w:rPr>
          <w:color w:val="auto"/>
        </w:rPr>
      </w:pPr>
      <w:r>
        <w:t xml:space="preserve">Publicly available implementations of the MPS approach include SGEMS </w:t>
      </w:r>
      <w:r w:rsidR="00084CDD">
        <w:fldChar w:fldCharType="begin"/>
      </w:r>
      <w:r>
        <w:instrText xml:space="preserve"> ADDIN EN.CITE &lt;EndNote&gt;&lt;Cite&gt;&lt;Author&gt;Remy&lt;/Author&gt;&lt;Year&gt;2009&lt;/Year&gt;&lt;IDText&gt;Applied geostatistics with SGeMS: a user&amp;apos;s guide&lt;/IDText&gt;&lt;DisplayText&gt;(Remy et al., 2009)&lt;/DisplayText&gt;&lt;record&gt;&lt;isbn&gt;0521514142&lt;/isbn&gt;&lt;titles&gt;&lt;title&gt;Applied geostatistics with SGeMS: a user&amp;apos;s guide&lt;/title&gt;&lt;/titles&gt;&lt;contributors&gt;&lt;authors&gt;&lt;author&gt;Remy, Nicolas&lt;/author&gt;&lt;author&gt;Boucher, Alexandre&lt;/author&gt;&lt;author&gt;Wu, Jianbing&lt;/author&gt;&lt;/authors&gt;&lt;/contributors&gt;&lt;added-date format="utc"&gt;1434099237&lt;/added-date&gt;&lt;ref-type name="Book"&gt;6&lt;/ref-type&gt;&lt;dates&gt;&lt;year&gt;2009&lt;/year&gt;&lt;/dates&gt;&lt;rec-number&gt;285&lt;/rec-number&gt;&lt;publisher&gt;Cambridge University Press&lt;/publisher&gt;&lt;last-updated-date format="utc"&gt;1434099237&lt;/last-updated-date&gt;&lt;/record&gt;&lt;/Cite&gt;&lt;/EndNote&gt;</w:instrText>
      </w:r>
      <w:r w:rsidR="00084CDD">
        <w:fldChar w:fldCharType="separate"/>
      </w:r>
      <w:r>
        <w:rPr>
          <w:noProof/>
        </w:rPr>
        <w:t>(Remy et al., 2009)</w:t>
      </w:r>
      <w:r w:rsidR="00084CDD">
        <w:fldChar w:fldCharType="end"/>
      </w:r>
      <w:r>
        <w:t xml:space="preserve"> and SNESIM </w:t>
      </w:r>
      <w:r w:rsidR="00084CDD">
        <w:fldChar w:fldCharType="begin"/>
      </w:r>
      <w:r>
        <w:instrText xml:space="preserve"> ADDIN EN.CITE &lt;EndNote&gt;&lt;Cite&gt;&lt;Author&gt;Strebelle&lt;/Author&gt;&lt;Year&gt;2000&lt;/Year&gt;&lt;IDText&gt;Sequential simulation drawing structures from  training images&lt;/IDText&gt;&lt;DisplayText&gt;(Strebelle, 2000; Strebelle, 2002)&lt;/DisplayText&gt;&lt;record&gt;&lt;titles&gt;&lt;title&gt;Sequential simulation drawing structures from  training images&lt;/title&gt;&lt;/titles&gt;&lt;pages&gt;187&lt;/pages&gt;&lt;contributors&gt;&lt;authors&gt;&lt;author&gt;Strebelle, S&lt;/author&gt;&lt;/authors&gt;&lt;/contributors&gt;&lt;added-date format="utc"&gt;1434099377&lt;/added-date&gt;&lt;pub-location&gt;Stanford, CA, USA&lt;/pub-location&gt;&lt;ref-type name="Thesis"&gt;32&lt;/ref-type&gt;&lt;dates&gt;&lt;year&gt;2000&lt;/year&gt;&lt;/dates&gt;&lt;rec-number&gt;1190&lt;/rec-number&gt;&lt;publisher&gt;Stanford University&lt;/publisher&gt;&lt;last-updated-date format="utc"&gt;1434099419&lt;/last-updated-date&gt;&lt;volume&gt;Ph.D. Dissertation&lt;/volume&gt;&lt;/record&gt;&lt;/Cite&gt;&lt;Cite&gt;&lt;Author&gt;Strebelle&lt;/Author&gt;&lt;Year&gt;2002&lt;/Year&gt;&lt;IDText&gt;Conditional simulation of complex geological structures using multiple-point statistics&lt;/IDText&gt;&lt;record&gt;&lt;isbn&gt;0882-8121&lt;/isbn&gt;&lt;titles&gt;&lt;title&gt;Conditional simulation of complex geological structures using multiple-point statistics&lt;/title&gt;&lt;secondary-title&gt;Mathematical Geology&lt;/secondary-title&gt;&lt;/titles&gt;&lt;pages&gt;1-21&lt;/pages&gt;&lt;number&gt;1&lt;/number&gt;&lt;contributors&gt;&lt;authors&gt;&lt;author&gt;Strebelle, Sebastien&lt;/author&gt;&lt;/authors&gt;&lt;/contributors&gt;&lt;added-date format="utc"&gt;1434099095&lt;/added-date&gt;&lt;ref-type name="Journal Article"&gt;17&lt;/ref-type&gt;&lt;dates&gt;&lt;year&gt;2002&lt;/year&gt;&lt;/dates&gt;&lt;rec-number&gt;283&lt;/rec-number&gt;&lt;last-updated-date format="utc"&gt;1434099095&lt;/last-updated-date&gt;&lt;volume&gt;34&lt;/volume&gt;&lt;/record&gt;&lt;/Cite&gt;&lt;/EndNote&gt;</w:instrText>
      </w:r>
      <w:r w:rsidR="00084CDD">
        <w:fldChar w:fldCharType="separate"/>
      </w:r>
      <w:r>
        <w:rPr>
          <w:noProof/>
        </w:rPr>
        <w:t>(Strebelle, 2000; Strebelle, 2002)</w:t>
      </w:r>
      <w:r w:rsidR="00084CDD">
        <w:fldChar w:fldCharType="end"/>
      </w:r>
      <w:r>
        <w:t xml:space="preserve">. </w:t>
      </w:r>
      <w:r w:rsidRPr="005E101C">
        <w:rPr>
          <w:color w:val="auto"/>
        </w:rPr>
        <w:t xml:space="preserve">Liu </w:t>
      </w:r>
      <w:r w:rsidR="00084CDD">
        <w:rPr>
          <w:color w:val="auto"/>
        </w:rPr>
        <w:fldChar w:fldCharType="begin"/>
      </w:r>
      <w:r>
        <w:rPr>
          <w:color w:val="auto"/>
        </w:rPr>
        <w:instrText xml:space="preserve"> ADDIN EN.CITE &lt;EndNote&gt;&lt;Cite ExcludeAuth="1"&gt;&lt;Author&gt;Liu&lt;/Author&gt;&lt;Year&gt;2006&lt;/Year&gt;&lt;IDText&gt;Using the Snesim program for multiple-point statistical simulation&lt;/IDText&gt;&lt;DisplayText&gt;(2006)&lt;/DisplayText&gt;&lt;record&gt;&lt;dates&gt;&lt;pub-dates&gt;&lt;date&gt;DEC 2006&lt;/date&gt;&lt;/pub-dates&gt;&lt;year&gt;2006&lt;/year&gt;&lt;/dates&gt;&lt;keywords&gt;&lt;keyword&gt;servosystem&lt;/keyword&gt;&lt;keyword&gt;conditioning data&lt;/keyword&gt;&lt;keyword&gt;multiple grids&lt;/keyword&gt;&lt;keyword&gt;search neighborhood&lt;/keyword&gt;&lt;keyword&gt;training images&lt;/keyword&gt;&lt;keyword&gt;affinity&lt;/keyword&gt;&lt;keyword&gt;rotation angles&lt;/keyword&gt;&lt;/keywords&gt;&lt;isbn&gt;0098-3004&lt;/isbn&gt;&lt;work-type&gt;Article&lt;/work-type&gt;&lt;titles&gt;&lt;title&gt;Using the Snesim program for multiple-point statistical simulation&lt;/title&gt;&lt;secondary-title&gt;Computers &amp;amp; Geosciences&lt;/secondary-title&gt;&lt;/titles&gt;&lt;pages&gt;1544-1563&lt;/pages&gt;&lt;number&gt;10&lt;/number&gt;&lt;contributors&gt;&lt;authors&gt;&lt;author&gt;Liu, YH&lt;/author&gt;&lt;/authors&gt;&lt;/contributors&gt;&lt;language&gt;English&lt;/language&gt;&lt;added-date format="utc"&gt;1433837438&lt;/added-date&gt;&lt;ref-type name="Journal Article"&gt;17&lt;/ref-type&gt;&lt;auth-address&gt;Liu, YH (reprint author), Stanford Univ, Geol &amp;amp; Environm Sci Dept, Stanford, CA 94305 USA&amp;#xD;Stanford Univ, Geol &amp;amp; Environm Sci Dept, Stanford, CA 94305 USA&amp;#xD;yuhong@pangea.stanford.edu&lt;/auth-address&gt;&lt;rec-number&gt;199&lt;/rec-number&gt;&lt;last-updated-date format="utc"&gt;1433837438&lt;/last-updated-date&gt;&lt;accession-num&gt;WOS:000240857800002&lt;/accession-num&gt;&lt;electronic-resource-num&gt;10.1016/j.cageo.2006.02.008&lt;/electronic-resource-num&gt;&lt;volume&gt;32&lt;/volume&gt;&lt;/record&gt;&lt;/Cite&gt;&lt;/EndNote&gt;</w:instrText>
      </w:r>
      <w:r w:rsidR="00084CDD">
        <w:rPr>
          <w:color w:val="auto"/>
        </w:rPr>
        <w:fldChar w:fldCharType="separate"/>
      </w:r>
      <w:r>
        <w:rPr>
          <w:noProof/>
          <w:color w:val="auto"/>
        </w:rPr>
        <w:t>(2006)</w:t>
      </w:r>
      <w:r w:rsidR="00084CDD">
        <w:rPr>
          <w:color w:val="auto"/>
        </w:rPr>
        <w:fldChar w:fldCharType="end"/>
      </w:r>
      <w:r>
        <w:rPr>
          <w:color w:val="auto"/>
        </w:rPr>
        <w:t xml:space="preserve"> demonstrated the use of SNESIM software to characterise a synthetic 250</w:t>
      </w:r>
      <w:r w:rsidR="00056615">
        <w:rPr>
          <w:color w:val="auto"/>
        </w:rPr>
        <w:t xml:space="preserve"> × </w:t>
      </w:r>
      <w:r>
        <w:rPr>
          <w:color w:val="auto"/>
        </w:rPr>
        <w:t xml:space="preserve">250 pixel reservoir featuring a mixture of sand and shale facies. A description of the </w:t>
      </w:r>
      <w:r w:rsidRPr="00E746A4">
        <w:rPr>
          <w:i/>
          <w:color w:val="auto"/>
        </w:rPr>
        <w:t>TiGenerator</w:t>
      </w:r>
      <w:r>
        <w:rPr>
          <w:color w:val="auto"/>
        </w:rPr>
        <w:t xml:space="preserve"> software for the generation of training images from parametric and rasterised shapes is available from </w:t>
      </w:r>
      <w:r w:rsidRPr="00E746A4">
        <w:rPr>
          <w:color w:val="auto"/>
        </w:rPr>
        <w:t xml:space="preserve">Maharaja </w:t>
      </w:r>
      <w:r w:rsidR="00084CDD">
        <w:rPr>
          <w:color w:val="auto"/>
        </w:rPr>
        <w:fldChar w:fldCharType="begin"/>
      </w:r>
      <w:r>
        <w:rPr>
          <w:color w:val="auto"/>
        </w:rPr>
        <w:instrText xml:space="preserve"> ADDIN EN.CITE &lt;EndNote&gt;&lt;Cite ExcludeAuth="1"&gt;&lt;Author&gt;Maharaja&lt;/Author&gt;&lt;Year&gt;2008&lt;/Year&gt;&lt;IDText&gt;TiGenerator: Object-based training image generator&lt;/IDText&gt;&lt;DisplayText&gt;(2008)&lt;/DisplayText&gt;&lt;record&gt;&lt;dates&gt;&lt;pub-dates&gt;&lt;date&gt;DEC 2008&lt;/date&gt;&lt;/pub-dates&gt;&lt;year&gt;2008&lt;/year&gt;&lt;/dates&gt;&lt;keywords&gt;&lt;keyword&gt;Training images&lt;/keyword&gt;&lt;keyword&gt;Multiple-point geostatistics&lt;/keyword&gt;&lt;keyword&gt;SGeMS&lt;/keyword&gt;&lt;keyword&gt;PROGRAM&lt;/keyword&gt;&lt;/keywords&gt;&lt;isbn&gt;0098-3004&lt;/isbn&gt;&lt;work-type&gt;Article&lt;/work-type&gt;&lt;titles&gt;&lt;title&gt;TiGenerator: Object-based training image generator&lt;/title&gt;&lt;secondary-title&gt;Computers &amp;amp; Geosciences&lt;/secondary-title&gt;&lt;/titles&gt;&lt;pages&gt;1753-1761&lt;/pages&gt;&lt;number&gt;12&lt;/number&gt;&lt;contributors&gt;&lt;authors&gt;&lt;author&gt;Maharaja, A&lt;/author&gt;&lt;/authors&gt;&lt;/contributors&gt;&lt;language&gt;English&lt;/language&gt;&lt;added-date format="utc"&gt;1433837537&lt;/added-date&gt;&lt;ref-type name="Journal Article"&gt;17&lt;/ref-type&gt;&lt;auth-address&gt;Maharaja, A (reprint author), Stanford Univ, Dept Energy Resources Engn, Stanford, CA 94305 USA&amp;#xD;Stanford Univ, Dept Energy Resources Engn, Stanford, CA 94305 USA&amp;#xD;amisha.maharaja@stanfordalumni.org&lt;/auth-address&gt;&lt;rec-number&gt;201&lt;/rec-number&gt;&lt;last-updated-date format="utc"&gt;1433837537&lt;/last-updated-date&gt;&lt;accession-num&gt;WOS:000261632000009&lt;/accession-num&gt;&lt;electronic-resource-num&gt;10.1016/j.cageo.2007.08.012&lt;/electronic-resource-num&gt;&lt;volume&gt;34&lt;/volume&gt;&lt;/record&gt;&lt;/Cite&gt;&lt;/EndNote&gt;</w:instrText>
      </w:r>
      <w:r w:rsidR="00084CDD">
        <w:rPr>
          <w:color w:val="auto"/>
        </w:rPr>
        <w:fldChar w:fldCharType="separate"/>
      </w:r>
      <w:r>
        <w:rPr>
          <w:noProof/>
          <w:color w:val="auto"/>
        </w:rPr>
        <w:t>(2008)</w:t>
      </w:r>
      <w:r w:rsidR="00084CDD">
        <w:rPr>
          <w:color w:val="auto"/>
        </w:rPr>
        <w:fldChar w:fldCharType="end"/>
      </w:r>
      <w:r>
        <w:rPr>
          <w:color w:val="auto"/>
        </w:rPr>
        <w:t>.</w:t>
      </w:r>
    </w:p>
    <w:p w14:paraId="039FFA76" w14:textId="77777777" w:rsidR="00A1141A" w:rsidRDefault="00D666D0" w:rsidP="0023497B">
      <w:pPr>
        <w:pStyle w:val="Body"/>
      </w:pPr>
      <w:r w:rsidRPr="00D666D0">
        <w:rPr>
          <w:noProof/>
          <w:lang w:val="en-AU" w:eastAsia="en-AU"/>
        </w:rPr>
        <w:drawing>
          <wp:inline distT="0" distB="0" distL="0" distR="0" wp14:anchorId="241BDCE1" wp14:editId="44C51678">
            <wp:extent cx="6134186" cy="6480795"/>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srcRect/>
                    <a:stretch>
                      <a:fillRect/>
                    </a:stretch>
                  </pic:blipFill>
                  <pic:spPr bwMode="auto">
                    <a:xfrm>
                      <a:off x="0" y="0"/>
                      <a:ext cx="6140629" cy="6487602"/>
                    </a:xfrm>
                    <a:prstGeom prst="rect">
                      <a:avLst/>
                    </a:prstGeom>
                    <a:noFill/>
                    <a:ln w="9525">
                      <a:noFill/>
                      <a:miter lim="800000"/>
                      <a:headEnd/>
                      <a:tailEnd/>
                    </a:ln>
                  </pic:spPr>
                </pic:pic>
              </a:graphicData>
            </a:graphic>
          </wp:inline>
        </w:drawing>
      </w:r>
    </w:p>
    <w:p w14:paraId="2B5832C5" w14:textId="77777777" w:rsidR="0023497B" w:rsidRDefault="0023497B" w:rsidP="0023497B">
      <w:pPr>
        <w:pStyle w:val="Imagecaption"/>
      </w:pPr>
      <w:bookmarkStart w:id="196" w:name="_Ref433722630"/>
      <w:bookmarkStart w:id="197" w:name="_Toc449696326"/>
      <w:r>
        <w:t xml:space="preserve">Figure </w:t>
      </w:r>
      <w:r w:rsidR="00084CDD">
        <w:fldChar w:fldCharType="begin"/>
      </w:r>
      <w:r w:rsidR="00144B4F">
        <w:instrText xml:space="preserve"> SEQ Figure \* ARABIC </w:instrText>
      </w:r>
      <w:r w:rsidR="00084CDD">
        <w:fldChar w:fldCharType="separate"/>
      </w:r>
      <w:r w:rsidR="00C52E30">
        <w:rPr>
          <w:noProof/>
        </w:rPr>
        <w:t>36</w:t>
      </w:r>
      <w:r w:rsidR="00084CDD">
        <w:rPr>
          <w:noProof/>
        </w:rPr>
        <w:fldChar w:fldCharType="end"/>
      </w:r>
      <w:bookmarkEnd w:id="196"/>
      <w:r>
        <w:t xml:space="preserve">. </w:t>
      </w:r>
      <w:r w:rsidR="00D666D0">
        <w:t>(</w:t>
      </w:r>
      <w:r w:rsidR="00D666D0" w:rsidRPr="00D666D0">
        <w:rPr>
          <w:noProof/>
        </w:rPr>
        <w:t>a</w:t>
      </w:r>
      <w:r w:rsidR="00D666D0">
        <w:rPr>
          <w:noProof/>
        </w:rPr>
        <w:t>)</w:t>
      </w:r>
      <w:r w:rsidR="00D666D0" w:rsidRPr="00D666D0">
        <w:rPr>
          <w:noProof/>
        </w:rPr>
        <w:t xml:space="preserve"> </w:t>
      </w:r>
      <w:r w:rsidR="00D666D0">
        <w:rPr>
          <w:noProof/>
        </w:rPr>
        <w:t>Example SNESIM facies realis</w:t>
      </w:r>
      <w:r w:rsidR="00D666D0" w:rsidRPr="00D666D0">
        <w:rPr>
          <w:noProof/>
        </w:rPr>
        <w:t xml:space="preserve">ations </w:t>
      </w:r>
      <w:r w:rsidR="00D666D0">
        <w:rPr>
          <w:noProof/>
        </w:rPr>
        <w:t>consisting of 40,000 cells of 0.05 × 0.05 m</w:t>
      </w:r>
      <w:r w:rsidR="00837BC1">
        <w:rPr>
          <w:noProof/>
        </w:rPr>
        <w:t xml:space="preserve"> </w:t>
      </w:r>
      <w:r w:rsidR="00D666D0" w:rsidRPr="00D666D0">
        <w:rPr>
          <w:noProof/>
        </w:rPr>
        <w:t xml:space="preserve">(white refers to sand facies, black refers to silt facies); </w:t>
      </w:r>
      <w:r w:rsidR="00837BC1">
        <w:rPr>
          <w:noProof/>
        </w:rPr>
        <w:t>(</w:t>
      </w:r>
      <w:r w:rsidR="00D666D0" w:rsidRPr="00D666D0">
        <w:rPr>
          <w:noProof/>
        </w:rPr>
        <w:t>b</w:t>
      </w:r>
      <w:r w:rsidR="00837BC1">
        <w:rPr>
          <w:noProof/>
        </w:rPr>
        <w:t>)</w:t>
      </w:r>
      <w:r w:rsidR="00D666D0" w:rsidRPr="00D666D0">
        <w:rPr>
          <w:noProof/>
        </w:rPr>
        <w:t xml:space="preserve"> corresponding hydraulic</w:t>
      </w:r>
      <w:r w:rsidR="00D666D0">
        <w:rPr>
          <w:noProof/>
        </w:rPr>
        <w:t xml:space="preserve"> </w:t>
      </w:r>
      <w:r w:rsidR="00D666D0" w:rsidRPr="00D666D0">
        <w:rPr>
          <w:noProof/>
        </w:rPr>
        <w:t>conductivity K (m</w:t>
      </w:r>
      <w:r w:rsidR="00837BC1">
        <w:rPr>
          <w:noProof/>
        </w:rPr>
        <w:t>.</w:t>
      </w:r>
      <w:r w:rsidR="00D666D0" w:rsidRPr="00D666D0">
        <w:rPr>
          <w:noProof/>
        </w:rPr>
        <w:t>s</w:t>
      </w:r>
      <w:r w:rsidR="00837BC1" w:rsidRPr="00837BC1">
        <w:rPr>
          <w:noProof/>
          <w:vertAlign w:val="superscript"/>
        </w:rPr>
        <w:t>-1</w:t>
      </w:r>
      <w:r w:rsidR="00837BC1">
        <w:rPr>
          <w:noProof/>
        </w:rPr>
        <w:t>) realis</w:t>
      </w:r>
      <w:r w:rsidR="00D666D0" w:rsidRPr="00D666D0">
        <w:rPr>
          <w:noProof/>
        </w:rPr>
        <w:t>ations</w:t>
      </w:r>
      <w:r w:rsidR="00837BC1">
        <w:rPr>
          <w:noProof/>
        </w:rPr>
        <w:t xml:space="preserve"> based on K histograms and variograms for both facies</w:t>
      </w:r>
      <w:r w:rsidR="00D666D0" w:rsidRPr="00D666D0">
        <w:rPr>
          <w:noProof/>
        </w:rPr>
        <w:t xml:space="preserve">; </w:t>
      </w:r>
      <w:r w:rsidR="00837BC1">
        <w:rPr>
          <w:noProof/>
        </w:rPr>
        <w:t>(</w:t>
      </w:r>
      <w:r w:rsidR="00D666D0" w:rsidRPr="00D666D0">
        <w:rPr>
          <w:noProof/>
        </w:rPr>
        <w:t>c</w:t>
      </w:r>
      <w:r w:rsidR="00837BC1">
        <w:rPr>
          <w:noProof/>
        </w:rPr>
        <w:t>)</w:t>
      </w:r>
      <w:r w:rsidR="00D666D0" w:rsidRPr="00D666D0">
        <w:rPr>
          <w:noProof/>
        </w:rPr>
        <w:t xml:space="preserve"> SGSIM hydraulic conductivity K </w:t>
      </w:r>
      <w:r w:rsidR="00837BC1">
        <w:rPr>
          <w:noProof/>
        </w:rPr>
        <w:t>(m</w:t>
      </w:r>
      <w:r w:rsidR="008B7F72">
        <w:rPr>
          <w:noProof/>
        </w:rPr>
        <w:t>.</w:t>
      </w:r>
      <w:r w:rsidR="00837BC1">
        <w:rPr>
          <w:noProof/>
        </w:rPr>
        <w:t>s</w:t>
      </w:r>
      <w:r w:rsidR="008B7F72" w:rsidRPr="008B7F72">
        <w:rPr>
          <w:noProof/>
          <w:vertAlign w:val="superscript"/>
        </w:rPr>
        <w:t>-1</w:t>
      </w:r>
      <w:r w:rsidR="00837BC1">
        <w:rPr>
          <w:noProof/>
        </w:rPr>
        <w:t>) realis</w:t>
      </w:r>
      <w:r w:rsidR="00D666D0" w:rsidRPr="00D666D0">
        <w:rPr>
          <w:noProof/>
        </w:rPr>
        <w:t>ations</w:t>
      </w:r>
      <w:r w:rsidR="00837BC1">
        <w:rPr>
          <w:noProof/>
        </w:rPr>
        <w:t xml:space="preserve"> based on standard variograms without accounting for facies </w:t>
      </w:r>
      <w:r w:rsidR="00084CDD">
        <w:fldChar w:fldCharType="begin"/>
      </w:r>
      <w:r w:rsidR="004F70BD">
        <w:instrText xml:space="preserve"> ADDIN EN.CITE &lt;EndNote&gt;&lt;Cite&gt;&lt;Author&gt;Michael&lt;/Author&gt;&lt;Year&gt;2010&lt;/Year&gt;&lt;IDText&gt;Combining geologic-process models and geostatistics for conditional simulation of 3-D subsurface heterogeneity&lt;/IDText&gt;&lt;DisplayText&gt;(Michael et al., 2010)&lt;/DisplayText&gt;&lt;record&gt;&lt;dates&gt;&lt;pub-dates&gt;&lt;date&gt;MAY 29 2010&lt;/date&gt;&lt;/pub-dates&gt;&lt;year&gt;2010&lt;/year&gt;&lt;/dates&gt;&lt;keywords&gt;&lt;keyword&gt;HYDRAULIC CONDUCTIVITY&lt;/keyword&gt;&lt;keyword&gt;FLOW&lt;/keyword&gt;&lt;keyword&gt;TRANSPORT&lt;/keyword&gt;&lt;keyword&gt;RESERVOIR&lt;/keyword&gt;&lt;keyword&gt;FACIES&lt;/keyword&gt;&lt;keyword&gt;SCALE&lt;/keyword&gt;&lt;keyword&gt;MANAGEMENT&lt;/keyword&gt;&lt;keyword&gt;PATTERNS&lt;/keyword&gt;&lt;keyword&gt;AQUIFERS&lt;/keyword&gt;&lt;keyword&gt;BASIN&lt;/keyword&gt;&lt;/keywords&gt;&lt;isbn&gt;0043-1397&lt;/isbn&gt;&lt;work-type&gt;Article&lt;/work-type&gt;&lt;titles&gt;&lt;title&gt;Combining geologic-process models and geostatistics for conditional simulation of 3-D subsurface heterogeneity&lt;/title&gt;&lt;secondary-title&gt;Water Resources Research&lt;/secondary-title&gt;&lt;/titles&gt;&lt;contributors&gt;&lt;authors&gt;&lt;author&gt;Michael, HA&lt;/author&gt;&lt;author&gt;Li, H&lt;/author&gt;&lt;author&gt;Boucher, A&lt;/author&gt;&lt;author&gt;Sun, T&lt;/author&gt;&lt;author&gt;Caers, J&lt;/author&gt;&lt;author&gt;Gorelick, SM&lt;/author&gt;&lt;/authors&gt;&lt;/contributors&gt;&lt;custom7&gt;ARTN W05527&lt;/custom7&gt;&lt;language&gt;English&lt;/language&gt;&lt;added-date format="utc"&gt;1433828345&lt;/added-date&gt;&lt;ref-type name="Journal Article"&gt;17&lt;/ref-type&gt;&lt;auth-address&gt;Michael, HA (reprint author), Univ Delaware, Dept Geol Sci, 101 Penny Hall, Newark, DE 19716 USA&amp;#xD;Univ Delaware, Dept Geol Sci, Newark, DE 19716 USA&amp;#xD;Stanford Univ, Dept Environm Earth Syst Sci, Stanford, CA 94305 USA&amp;#xD;Stanford Univ, Dept Energy Resources Engn, Stanford, CA 94305 USA&amp;#xD;ExxonMobil Upstream Res Co, Houston, TX 77252 USA&amp;#xD;hmichael@udel.edu&lt;/auth-address&gt;&lt;rec-number&gt;169&lt;/rec-number&gt;&lt;last-updated-date format="utc"&gt;1433828345&lt;/last-updated-date&gt;&lt;accession-num&gt;WOS:000278249800001&lt;/accession-num&gt;&lt;electronic-resource-num&gt;10.1029/2009WR008414&lt;/electronic-resource-num&gt;&lt;volume&gt;46&lt;/volume&gt;&lt;/record&gt;&lt;/Cite&gt;&lt;/EndNote&gt;</w:instrText>
      </w:r>
      <w:r w:rsidR="00084CDD">
        <w:fldChar w:fldCharType="separate"/>
      </w:r>
      <w:r w:rsidR="004F70BD">
        <w:rPr>
          <w:noProof/>
        </w:rPr>
        <w:t>(</w:t>
      </w:r>
      <w:r w:rsidR="00D666D0">
        <w:rPr>
          <w:noProof/>
        </w:rPr>
        <w:t>Huysmans and Dassargues, 2009</w:t>
      </w:r>
      <w:r w:rsidR="004F70BD">
        <w:rPr>
          <w:noProof/>
        </w:rPr>
        <w:t>)</w:t>
      </w:r>
      <w:r w:rsidR="00084CDD">
        <w:fldChar w:fldCharType="end"/>
      </w:r>
      <w:r w:rsidR="00725B07">
        <w:t>.</w:t>
      </w:r>
      <w:bookmarkEnd w:id="197"/>
    </w:p>
    <w:p w14:paraId="71A0885B" w14:textId="77777777" w:rsidR="0023497B" w:rsidRDefault="0023497B" w:rsidP="001040B2">
      <w:pPr>
        <w:pStyle w:val="Body"/>
        <w:rPr>
          <w:color w:val="auto"/>
        </w:rPr>
      </w:pPr>
    </w:p>
    <w:p w14:paraId="369BEE44" w14:textId="77777777" w:rsidR="001040B2" w:rsidRPr="00995AC6" w:rsidRDefault="00995AC6" w:rsidP="00B01896">
      <w:pPr>
        <w:pStyle w:val="Body"/>
        <w:keepNext/>
        <w:rPr>
          <w:b/>
          <w:color w:val="auto"/>
        </w:rPr>
      </w:pPr>
      <w:r>
        <w:rPr>
          <w:b/>
          <w:color w:val="auto"/>
        </w:rPr>
        <w:t>Transition probability geostatistics</w:t>
      </w:r>
    </w:p>
    <w:p w14:paraId="17106D10" w14:textId="7D83F72E" w:rsidR="006A6B9D" w:rsidRDefault="00E8296A" w:rsidP="009002F2">
      <w:pPr>
        <w:pStyle w:val="Body"/>
      </w:pPr>
      <w:r w:rsidRPr="00C9274B">
        <w:t xml:space="preserve">Another </w:t>
      </w:r>
      <w:r w:rsidR="00B27428">
        <w:t>a</w:t>
      </w:r>
      <w:r w:rsidRPr="00C9274B">
        <w:t xml:space="preserve">pproach involves the use of transition probabilities </w:t>
      </w:r>
      <w:r w:rsidR="004F70BD">
        <w:t xml:space="preserve"> </w:t>
      </w:r>
      <w:r w:rsidRPr="00C9274B">
        <w:t>when stochastically populating a regional scale REV with smaller scale components</w:t>
      </w:r>
      <w:r w:rsidR="001358C4">
        <w:t xml:space="preserve"> </w:t>
      </w:r>
      <w:r w:rsidR="001358C4">
        <w:fldChar w:fldCharType="begin"/>
      </w:r>
      <w:r w:rsidR="001358C4">
        <w:instrText xml:space="preserve"> ADDIN EN.CITE &lt;EndNote&gt;&lt;Cite&gt;&lt;Author&gt;Carle&lt;/Author&gt;&lt;Year&gt;1996&lt;/Year&gt;&lt;IDText&gt;Transition probability-based indicator geostatistics&lt;/IDText&gt;&lt;DisplayText&gt;(Carle and Fogg, 1996)&lt;/DisplayText&gt;&lt;record&gt;&lt;isbn&gt;0882-8121&lt;/isbn&gt;&lt;titles&gt;&lt;title&gt;Transition probability-based indicator geostatistics&lt;/title&gt;&lt;secondary-title&gt;Mathematical Geology&lt;/secondary-title&gt;&lt;/titles&gt;&lt;pages&gt;453-476&lt;/pages&gt;&lt;number&gt;4&lt;/number&gt;&lt;contributors&gt;&lt;authors&gt;&lt;author&gt;Carle, Steven F&lt;/author&gt;&lt;author&gt;Fogg, Graham E&lt;/author&gt;&lt;/authors&gt;&lt;/contributors&gt;&lt;added-date format="utc"&gt;1434678515&lt;/added-date&gt;&lt;ref-type name="Journal Article"&gt;17&lt;/ref-type&gt;&lt;dates&gt;&lt;year&gt;1996&lt;/year&gt;&lt;/dates&gt;&lt;rec-number&gt;369&lt;/rec-number&gt;&lt;last-updated-date format="utc"&gt;1434678515&lt;/last-updated-date&gt;&lt;volume&gt;28&lt;/volume&gt;&lt;/record&gt;&lt;/Cite&gt;&lt;/EndNote&gt;</w:instrText>
      </w:r>
      <w:r w:rsidR="001358C4">
        <w:fldChar w:fldCharType="separate"/>
      </w:r>
      <w:r w:rsidR="001358C4">
        <w:rPr>
          <w:noProof/>
        </w:rPr>
        <w:t>(Carle and Fogg, 1996)</w:t>
      </w:r>
      <w:r w:rsidR="001358C4">
        <w:fldChar w:fldCharType="end"/>
      </w:r>
      <w:r w:rsidRPr="00C9274B">
        <w:t>. Transition probabilities are commonly used in Markov Chain Monte Carlo (MCMC) sampling methods. Rather than employing a training image to qualitatively condition a stochastic realisation, quantitative measures are instead used</w:t>
      </w:r>
      <w:r w:rsidR="001358C4">
        <w:t xml:space="preserve"> (</w:t>
      </w:r>
      <w:r w:rsidR="001358C4" w:rsidRPr="00A45100">
        <w:t>Dell'Arciprete</w:t>
      </w:r>
      <w:r w:rsidR="001358C4">
        <w:t xml:space="preserve"> et al., 2011)</w:t>
      </w:r>
      <w:r w:rsidRPr="00C9274B">
        <w:t>. For a given feature (</w:t>
      </w:r>
      <w:r w:rsidR="00C85DC3">
        <w:t xml:space="preserve">i.e., </w:t>
      </w:r>
      <w:r w:rsidRPr="00C9274B">
        <w:t xml:space="preserve">facies), these metrics typically include mean volumes, lengths and thicknesses, as well as descriptions of anisotropy and spatial variability. </w:t>
      </w:r>
      <w:r w:rsidR="003F14A3">
        <w:t xml:space="preserve">The commonly-used implementation of the transition probability geostatistics </w:t>
      </w:r>
      <w:r w:rsidRPr="00C9274B">
        <w:t xml:space="preserve">approach </w:t>
      </w:r>
      <w:r w:rsidR="003F14A3">
        <w:t xml:space="preserve">is </w:t>
      </w:r>
      <w:r w:rsidRPr="00C9274B">
        <w:t xml:space="preserve">T-PROGS </w:t>
      </w:r>
      <w:r w:rsidR="00084CDD">
        <w:fldChar w:fldCharType="begin"/>
      </w:r>
      <w:r w:rsidR="00130AC6">
        <w:instrText xml:space="preserve"> ADDIN EN.CITE &lt;EndNote&gt;&lt;Cite&gt;&lt;Author&gt;Carle&lt;/Author&gt;&lt;Year&gt;1999&lt;/Year&gt;&lt;IDText&gt;T-PROGS: Transition probability geostatistical software&lt;/IDText&gt;&lt;DisplayText&gt;(Carle, 1999)&lt;/DisplayText&gt;&lt;record&gt;&lt;titles&gt;&lt;title&gt;T-PROGS: Transition probability geostatistical software&lt;/title&gt;&lt;/titles&gt;&lt;pages&gt;vi, 77&lt;/pages&gt;&lt;contributors&gt;&lt;authors&gt;&lt;author&gt;Carle, Steven F&lt;/author&gt;&lt;/authors&gt;&lt;/contributors&gt;&lt;added-date format="utc"&gt;1433900046&lt;/added-date&gt;&lt;pub-location&gt;California&lt;/pub-location&gt;&lt;ref-type name="Book"&gt;6&lt;/ref-type&gt;&lt;dates&gt;&lt;year&gt;1999&lt;/year&gt;&lt;/dates&gt;&lt;rec-number&gt;219&lt;/rec-number&gt;&lt;publisher&gt;University of California, Davis&lt;/publisher&gt;&lt;last-updated-date format="utc"&gt;1433903111&lt;/last-updated-date&gt;&lt;/record&gt;&lt;/Cite&gt;&lt;/EndNote&gt;</w:instrText>
      </w:r>
      <w:r w:rsidR="00084CDD">
        <w:fldChar w:fldCharType="separate"/>
      </w:r>
      <w:r w:rsidR="00130AC6">
        <w:rPr>
          <w:noProof/>
        </w:rPr>
        <w:t>(Carle, 1999)</w:t>
      </w:r>
      <w:r w:rsidR="00084CDD">
        <w:fldChar w:fldCharType="end"/>
      </w:r>
      <w:r w:rsidRPr="00C9274B">
        <w:t>.</w:t>
      </w:r>
      <w:r w:rsidR="003F14A3">
        <w:t xml:space="preserve"> For example, </w:t>
      </w:r>
      <w:r w:rsidR="003F14A3" w:rsidRPr="00C9274B">
        <w:t xml:space="preserve">Fleckenstein and Fogg </w:t>
      </w:r>
      <w:r w:rsidR="00084CDD">
        <w:fldChar w:fldCharType="begin"/>
      </w:r>
      <w:r w:rsidR="003F14A3">
        <w:instrText xml:space="preserve"> ADDIN EN.CITE &lt;EndNote&gt;&lt;Cite ExcludeAuth="1"&gt;&lt;Author&gt;Fleckenstein&lt;/Author&gt;&lt;Year&gt;2008&lt;/Year&gt;&lt;IDText&gt;Efficient upscaling of hydraulic conductivity in heterogeneous alluvial aquifers&lt;/IDText&gt;&lt;DisplayText&gt;(2008)&lt;/DisplayText&gt;&lt;record&gt;&lt;dates&gt;&lt;pub-dates&gt;&lt;date&gt;NOV 2008&lt;/date&gt;&lt;/pub-dates&gt;&lt;year&gt;2008&lt;/year&gt;&lt;/dates&gt;&lt;keywords&gt;&lt;keyword&gt;Upscaling&lt;/keyword&gt;&lt;keyword&gt;Hydraulic properties&lt;/keyword&gt;&lt;keyword&gt;Heterogeneity&lt;/keyword&gt;&lt;keyword&gt;Geostatistics&lt;/keyword&gt;&lt;keyword&gt;Numerical modeling&lt;/keyword&gt;&lt;keyword&gt;POROUS-MEDIA&lt;/keyword&gt;&lt;keyword&gt;GEOLOGIC HETEROGENEITY&lt;/keyword&gt;&lt;keyword&gt;SPATIAL VARIABILITY&lt;/keyword&gt;&lt;keyword&gt;FLOW&lt;/keyword&gt;&lt;keyword&gt;SIMULATION&lt;/keyword&gt;&lt;keyword&gt;CONNECTIVITY&lt;/keyword&gt;&lt;keyword&gt;TRANSPORT&lt;/keyword&gt;&lt;keyword&gt;SYSTEM&lt;/keyword&gt;&lt;keyword&gt;GEOSTATISTICS&lt;/keyword&gt;&lt;keyword&gt;PERMEABILITY&lt;/keyword&gt;&lt;/keywords&gt;&lt;isbn&gt;1431-2174&lt;/isbn&gt;&lt;work-type&gt;Article&lt;/work-type&gt;&lt;titles&gt;&lt;title&gt;Efficient upscaling of hydraulic conductivity in heterogeneous alluvial aquifers&lt;/title&gt;&lt;secondary-title&gt;Hydrogeology Journal&lt;/secondary-title&gt;&lt;/titles&gt;&lt;pages&gt;1239-1250&lt;/pages&gt;&lt;number&gt;7&lt;/number&gt;&lt;contributors&gt;&lt;authors&gt;&lt;author&gt;Fleckenstein, JH&lt;/author&gt;&lt;author&gt;Fogg, GE&lt;/author&gt;&lt;/authors&gt;&lt;/contributors&gt;&lt;language&gt;English&lt;/language&gt;&lt;added-date format="utc"&gt;1433894600&lt;/added-date&gt;&lt;ref-type name="Journal Article"&gt;17&lt;/ref-type&gt;&lt;auth-address&gt;Fleckenstein, JH (reprint author), Univ Bayreuth, Dept Hydrol, Univ Str 30, D-95447 Bayreuth, Germany&amp;#xD;Univ Bayreuth, Dept Hydrol, D-95447 Bayreuth, Germany&amp;#xD;Univ Calif Davis, Dept Land Air &amp;amp; Water Resources, Davis, CA 95616 USA&amp;#xD;Univ Calif Davis, Dept Geol, Davis, CA 95616 USA&amp;#xD;jan.fleckenstein@uni-bayreuth.de&lt;/auth-address&gt;&lt;rec-number&gt;210&lt;/rec-number&gt;&lt;last-updated-date format="utc"&gt;1433894600&lt;/last-updated-date&gt;&lt;accession-num&gt;WOS:000260219500002&lt;/accession-num&gt;&lt;electronic-resource-num&gt;10.1007/s10040-008-0312-3&lt;/electronic-resource-num&gt;&lt;volume&gt;16&lt;/volume&gt;&lt;/record&gt;&lt;/Cite&gt;&lt;/EndNote&gt;</w:instrText>
      </w:r>
      <w:r w:rsidR="00084CDD">
        <w:fldChar w:fldCharType="separate"/>
      </w:r>
      <w:r w:rsidR="003F14A3">
        <w:rPr>
          <w:noProof/>
        </w:rPr>
        <w:t>(2008)</w:t>
      </w:r>
      <w:r w:rsidR="00084CDD">
        <w:fldChar w:fldCharType="end"/>
      </w:r>
      <w:r w:rsidR="003F14A3" w:rsidRPr="00C9274B">
        <w:t xml:space="preserve"> used </w:t>
      </w:r>
      <w:r w:rsidR="003F14A3">
        <w:t>T-PROGS</w:t>
      </w:r>
      <w:r w:rsidR="003F14A3" w:rsidRPr="00C9274B">
        <w:t xml:space="preserve"> to generate </w:t>
      </w:r>
      <w:r w:rsidR="00B27428">
        <w:t>hydrofacies distributions</w:t>
      </w:r>
      <w:r w:rsidR="003F14A3" w:rsidRPr="00C9274B">
        <w:t xml:space="preserve"> </w:t>
      </w:r>
      <w:r w:rsidR="00B27428">
        <w:t xml:space="preserve">to represent geologic heterogeneity of a sedimentary fan system. </w:t>
      </w:r>
      <w:r w:rsidR="00B27428" w:rsidRPr="00756752">
        <w:rPr>
          <w:i/>
        </w:rPr>
        <w:t>K</w:t>
      </w:r>
      <w:r w:rsidR="00B27428">
        <w:t xml:space="preserve">-values were </w:t>
      </w:r>
      <w:r w:rsidR="00756752">
        <w:t xml:space="preserve">subsequently </w:t>
      </w:r>
      <w:r w:rsidR="00B27428">
        <w:t xml:space="preserve">assigned to each of the four hydrofacies (gravel and coarse sand, sand, muddy sand, and mud), resulting in a high-resolution </w:t>
      </w:r>
      <w:r w:rsidR="00B27428" w:rsidRPr="00756752">
        <w:rPr>
          <w:i/>
        </w:rPr>
        <w:t>K</w:t>
      </w:r>
      <w:r w:rsidR="00B27428">
        <w:t>-models</w:t>
      </w:r>
      <w:r w:rsidR="00756752">
        <w:t xml:space="preserve"> (comprising </w:t>
      </w:r>
      <w:r w:rsidR="00756752" w:rsidRPr="00756752">
        <w:t>1</w:t>
      </w:r>
      <w:r w:rsidR="00756752">
        <w:t>,</w:t>
      </w:r>
      <w:r w:rsidR="00756752" w:rsidRPr="00756752">
        <w:t>244</w:t>
      </w:r>
      <w:r w:rsidR="00756752">
        <w:t>,</w:t>
      </w:r>
      <w:r w:rsidR="00756752" w:rsidRPr="00756752">
        <w:t>000 cells</w:t>
      </w:r>
      <w:r w:rsidR="00847D14">
        <w:t xml:space="preserve">, </w:t>
      </w:r>
      <w:r w:rsidR="00084CDD">
        <w:fldChar w:fldCharType="begin"/>
      </w:r>
      <w:r w:rsidR="00847D14">
        <w:instrText xml:space="preserve"> REF _Ref433655700 \h </w:instrText>
      </w:r>
      <w:r w:rsidR="00084CDD">
        <w:fldChar w:fldCharType="separate"/>
      </w:r>
      <w:r w:rsidR="00C52E30">
        <w:t xml:space="preserve">Figure </w:t>
      </w:r>
      <w:r w:rsidR="00C52E30">
        <w:rPr>
          <w:noProof/>
        </w:rPr>
        <w:t>37</w:t>
      </w:r>
      <w:r w:rsidR="00084CDD">
        <w:fldChar w:fldCharType="end"/>
      </w:r>
      <w:r w:rsidR="00756752">
        <w:t>)</w:t>
      </w:r>
      <w:r w:rsidR="00B27428">
        <w:t xml:space="preserve">. </w:t>
      </w:r>
      <w:r w:rsidR="00B27428" w:rsidRPr="00B27428">
        <w:t>Upscaling was performed on realisations of the geostatistical models using the arithmetic and</w:t>
      </w:r>
      <w:r w:rsidR="00B27428">
        <w:t xml:space="preserve"> </w:t>
      </w:r>
      <w:r w:rsidR="00B27428" w:rsidRPr="00B27428">
        <w:t>harmonic means of the</w:t>
      </w:r>
      <w:r w:rsidR="009002F2">
        <w:t xml:space="preserve"> high-resolution</w:t>
      </w:r>
      <w:r w:rsidR="00B27428" w:rsidRPr="00B27428">
        <w:t xml:space="preserve"> </w:t>
      </w:r>
      <w:r w:rsidR="00B27428" w:rsidRPr="009002F2">
        <w:rPr>
          <w:i/>
        </w:rPr>
        <w:t>K</w:t>
      </w:r>
      <w:r w:rsidR="00B27428" w:rsidRPr="00B27428">
        <w:t>-values within vertical grid columns</w:t>
      </w:r>
      <w:r w:rsidR="009002F2">
        <w:t xml:space="preserve"> (</w:t>
      </w:r>
      <w:r w:rsidR="00084CDD">
        <w:fldChar w:fldCharType="begin"/>
      </w:r>
      <w:r w:rsidR="0004558F">
        <w:instrText xml:space="preserve"> REF _Ref433656225 \h </w:instrText>
      </w:r>
      <w:r w:rsidR="00084CDD">
        <w:fldChar w:fldCharType="separate"/>
      </w:r>
      <w:r w:rsidR="00C52E30">
        <w:t xml:space="preserve">Figure </w:t>
      </w:r>
      <w:r w:rsidR="00C52E30">
        <w:rPr>
          <w:noProof/>
        </w:rPr>
        <w:t>38</w:t>
      </w:r>
      <w:r w:rsidR="00084CDD">
        <w:fldChar w:fldCharType="end"/>
      </w:r>
      <w:r w:rsidR="009002F2">
        <w:t>)</w:t>
      </w:r>
      <w:r w:rsidR="00B27428" w:rsidRPr="00B27428">
        <w:t>.</w:t>
      </w:r>
      <w:r w:rsidR="009002F2">
        <w:t xml:space="preserve"> </w:t>
      </w:r>
      <w:r w:rsidR="009002F2" w:rsidRPr="009002F2">
        <w:t xml:space="preserve">A logarithmic increase in model domain equivalent </w:t>
      </w:r>
      <w:r w:rsidR="009002F2" w:rsidRPr="009002F2">
        <w:rPr>
          <w:i/>
        </w:rPr>
        <w:t>K</w:t>
      </w:r>
      <w:r w:rsidR="009002F2" w:rsidRPr="009002F2">
        <w:t xml:space="preserve"> </w:t>
      </w:r>
      <w:r w:rsidR="009002F2">
        <w:t xml:space="preserve">was observed </w:t>
      </w:r>
      <w:r w:rsidR="009002F2" w:rsidRPr="009002F2">
        <w:t xml:space="preserve">with increasing </w:t>
      </w:r>
      <w:r w:rsidR="009002F2">
        <w:t xml:space="preserve">degree of </w:t>
      </w:r>
      <w:r w:rsidR="009002F2" w:rsidRPr="009002F2">
        <w:t>upscalin</w:t>
      </w:r>
      <w:r w:rsidR="009002F2">
        <w:t>g</w:t>
      </w:r>
      <w:r w:rsidR="00847D14">
        <w:t>.</w:t>
      </w:r>
    </w:p>
    <w:p w14:paraId="6C34C7CA" w14:textId="77777777" w:rsidR="00761E02" w:rsidRDefault="00761E02" w:rsidP="009002F2">
      <w:pPr>
        <w:pStyle w:val="Body"/>
      </w:pPr>
    </w:p>
    <w:p w14:paraId="3FE18D70" w14:textId="77777777" w:rsidR="009002F2" w:rsidRDefault="009002F2" w:rsidP="009002F2">
      <w:pPr>
        <w:pStyle w:val="Body"/>
      </w:pPr>
    </w:p>
    <w:p w14:paraId="4AFBE1AC" w14:textId="77777777" w:rsidR="009002F2" w:rsidRDefault="009002F2" w:rsidP="00774A61">
      <w:pPr>
        <w:pStyle w:val="Body"/>
        <w:jc w:val="center"/>
      </w:pPr>
      <w:r>
        <w:rPr>
          <w:noProof/>
          <w:lang w:val="en-AU" w:eastAsia="en-AU"/>
        </w:rPr>
        <w:drawing>
          <wp:inline distT="0" distB="0" distL="0" distR="0" wp14:anchorId="704791D2" wp14:editId="47BF94A4">
            <wp:extent cx="5888440" cy="3632886"/>
            <wp:effectExtent l="0" t="0" r="0" b="571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l="20079" t="19948" r="18012" b="12073"/>
                    <a:stretch>
                      <a:fillRect/>
                    </a:stretch>
                  </pic:blipFill>
                  <pic:spPr bwMode="auto">
                    <a:xfrm>
                      <a:off x="0" y="0"/>
                      <a:ext cx="5902441" cy="3641524"/>
                    </a:xfrm>
                    <a:prstGeom prst="rect">
                      <a:avLst/>
                    </a:prstGeom>
                    <a:noFill/>
                    <a:ln w="9525">
                      <a:noFill/>
                      <a:miter lim="800000"/>
                      <a:headEnd/>
                      <a:tailEnd/>
                    </a:ln>
                  </pic:spPr>
                </pic:pic>
              </a:graphicData>
            </a:graphic>
          </wp:inline>
        </w:drawing>
      </w:r>
    </w:p>
    <w:p w14:paraId="3C0D511C" w14:textId="77777777" w:rsidR="00881584" w:rsidRPr="00C9274B" w:rsidRDefault="004F70BD" w:rsidP="00881584">
      <w:pPr>
        <w:pStyle w:val="Imagecaption"/>
      </w:pPr>
      <w:bookmarkStart w:id="198" w:name="_Ref433655700"/>
      <w:bookmarkStart w:id="199" w:name="_Toc449696327"/>
      <w:r>
        <w:t xml:space="preserve">Figure </w:t>
      </w:r>
      <w:r w:rsidR="00084CDD">
        <w:fldChar w:fldCharType="begin"/>
      </w:r>
      <w:r w:rsidR="00144B4F">
        <w:instrText xml:space="preserve"> SEQ Figure \* ARABIC </w:instrText>
      </w:r>
      <w:r w:rsidR="00084CDD">
        <w:fldChar w:fldCharType="separate"/>
      </w:r>
      <w:r w:rsidR="00C52E30">
        <w:rPr>
          <w:noProof/>
        </w:rPr>
        <w:t>37</w:t>
      </w:r>
      <w:r w:rsidR="00084CDD">
        <w:rPr>
          <w:noProof/>
        </w:rPr>
        <w:fldChar w:fldCharType="end"/>
      </w:r>
      <w:bookmarkEnd w:id="198"/>
      <w:r>
        <w:t xml:space="preserve">. </w:t>
      </w:r>
      <w:r w:rsidR="004F03D5">
        <w:t xml:space="preserve"> </w:t>
      </w:r>
      <w:r w:rsidR="00881584" w:rsidRPr="00881584">
        <w:t xml:space="preserve">Two realizations R1 </w:t>
      </w:r>
      <w:r w:rsidR="00881584">
        <w:t xml:space="preserve">and R2 </w:t>
      </w:r>
      <w:r w:rsidR="00881584" w:rsidRPr="00881584">
        <w:t xml:space="preserve">of the geostatistical model </w:t>
      </w:r>
      <w:r w:rsidR="00881584">
        <w:t xml:space="preserve">of hydrofacies distributions (top) and their </w:t>
      </w:r>
      <w:r w:rsidR="00881584" w:rsidRPr="00881584">
        <w:t>upscaled 4x and 10x</w:t>
      </w:r>
      <w:r w:rsidR="00881584">
        <w:t xml:space="preserve"> equivalents (bottom)</w:t>
      </w:r>
      <w:r w:rsidR="00881584" w:rsidRPr="00881584">
        <w:t xml:space="preserve">. The original model has 120 layers (1,224,000 cells) and the upscaled models 30 layers (30,6000 cells) and 12 layers (122,400 cells) respectively </w:t>
      </w:r>
      <w:r w:rsidR="00084CDD">
        <w:fldChar w:fldCharType="begin"/>
      </w:r>
      <w:r w:rsidR="00881584">
        <w:instrText xml:space="preserve"> ADDIN EN.CITE &lt;EndNote&gt;&lt;Cite&gt;&lt;Author&gt;Carle&lt;/Author&gt;&lt;Year&gt;1996&lt;/Year&gt;&lt;IDText&gt;Transition probability-based indicator geostatistics&lt;/IDText&gt;&lt;DisplayText&gt;(Carle, 1999; Carle and Fogg, 1996)&lt;/DisplayText&gt;&lt;record&gt;&lt;isbn&gt;0882-8121&lt;/isbn&gt;&lt;titles&gt;&lt;title&gt;Transition probability-based indicator geostatistics&lt;/title&gt;&lt;secondary-title&gt;Mathematical Geology&lt;/secondary-title&gt;&lt;/titles&gt;&lt;pages&gt;453-476&lt;/pages&gt;&lt;number&gt;4&lt;/number&gt;&lt;contributors&gt;&lt;authors&gt;&lt;author&gt;Carle, Steven F&lt;/author&gt;&lt;author&gt;Fogg, Graham E&lt;/author&gt;&lt;/authors&gt;&lt;/contributors&gt;&lt;added-date format="utc"&gt;1434678515&lt;/added-date&gt;&lt;ref-type name="Journal Article"&gt;17&lt;/ref-type&gt;&lt;dates&gt;&lt;year&gt;1996&lt;/year&gt;&lt;/dates&gt;&lt;rec-number&gt;369&lt;/rec-number&gt;&lt;last-updated-date format="utc"&gt;1434678515&lt;/last-updated-date&gt;&lt;volume&gt;28&lt;/volume&gt;&lt;/record&gt;&lt;/Cite&gt;&lt;Cite&gt;&lt;Author&gt;Carle&lt;/Author&gt;&lt;Year&gt;1999&lt;/Year&gt;&lt;IDText&gt;T-PROGS: Transition probability geostatistical software&lt;/IDText&gt;&lt;record&gt;&lt;titles&gt;&lt;title&gt;T-PROGS: Transition probability geostatistical software&lt;/title&gt;&lt;/titles&gt;&lt;pages&gt;vi, 77&lt;/pages&gt;&lt;contributors&gt;&lt;authors&gt;&lt;author&gt;Carle, Steven F&lt;/author&gt;&lt;/authors&gt;&lt;/contributors&gt;&lt;added-date format="utc"&gt;1433900046&lt;/added-date&gt;&lt;pub-location&gt;California&lt;/pub-location&gt;&lt;ref-type name="Book"&gt;6&lt;/ref-type&gt;&lt;dates&gt;&lt;year&gt;1999&lt;/year&gt;&lt;/dates&gt;&lt;rec-number&gt;219&lt;/rec-number&gt;&lt;publisher&gt;University of California, Davis&lt;/publisher&gt;&lt;last-updated-date format="utc"&gt;1433903111&lt;/last-updated-date&gt;&lt;/record&gt;&lt;/Cite&gt;&lt;/EndNote&gt;</w:instrText>
      </w:r>
      <w:r w:rsidR="00084CDD">
        <w:fldChar w:fldCharType="separate"/>
      </w:r>
      <w:r w:rsidR="00881584">
        <w:rPr>
          <w:noProof/>
        </w:rPr>
        <w:t>(Fleckenstein and Fogg , 2008)</w:t>
      </w:r>
      <w:r w:rsidR="00084CDD">
        <w:fldChar w:fldCharType="end"/>
      </w:r>
      <w:r w:rsidR="00881584">
        <w:t>.</w:t>
      </w:r>
      <w:bookmarkEnd w:id="199"/>
    </w:p>
    <w:p w14:paraId="65ED7FE7" w14:textId="77777777" w:rsidR="00881584" w:rsidRDefault="00881584" w:rsidP="00881584">
      <w:pPr>
        <w:pStyle w:val="Imagecaption"/>
      </w:pPr>
    </w:p>
    <w:p w14:paraId="6350ADDD" w14:textId="77777777" w:rsidR="00761E02" w:rsidRDefault="00761E02" w:rsidP="00881584">
      <w:pPr>
        <w:pStyle w:val="Imagecaption"/>
      </w:pPr>
    </w:p>
    <w:p w14:paraId="292AD52C" w14:textId="77777777" w:rsidR="00881584" w:rsidRDefault="00847D14" w:rsidP="00847D14">
      <w:pPr>
        <w:autoSpaceDE w:val="0"/>
        <w:autoSpaceDN w:val="0"/>
        <w:adjustRightInd w:val="0"/>
        <w:spacing w:after="0"/>
        <w:jc w:val="center"/>
        <w:rPr>
          <w:rFonts w:ascii="AdvTT3713a231+fb" w:hAnsi="AdvTT3713a231+fb" w:cs="AdvTT3713a231+fb"/>
          <w:color w:val="131413"/>
          <w:sz w:val="18"/>
          <w:szCs w:val="18"/>
          <w:lang w:val="en-AU"/>
        </w:rPr>
      </w:pPr>
      <w:r>
        <w:rPr>
          <w:rFonts w:ascii="AdvTT3713a231+fb" w:hAnsi="AdvTT3713a231+fb" w:cs="AdvTT3713a231+fb"/>
          <w:noProof/>
          <w:color w:val="131413"/>
          <w:sz w:val="18"/>
          <w:szCs w:val="18"/>
          <w:lang w:val="en-AU" w:eastAsia="en-AU"/>
        </w:rPr>
        <w:drawing>
          <wp:inline distT="0" distB="0" distL="0" distR="0" wp14:anchorId="3DAC0EAE" wp14:editId="30C22D4F">
            <wp:extent cx="5492382" cy="3385751"/>
            <wp:effectExtent l="0" t="0" r="0" b="571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l="8268" t="15223" r="39862" b="26772"/>
                    <a:stretch>
                      <a:fillRect/>
                    </a:stretch>
                  </pic:blipFill>
                  <pic:spPr bwMode="auto">
                    <a:xfrm>
                      <a:off x="0" y="0"/>
                      <a:ext cx="5519729" cy="3402609"/>
                    </a:xfrm>
                    <a:prstGeom prst="rect">
                      <a:avLst/>
                    </a:prstGeom>
                    <a:noFill/>
                    <a:ln w="9525">
                      <a:noFill/>
                      <a:miter lim="800000"/>
                      <a:headEnd/>
                      <a:tailEnd/>
                    </a:ln>
                  </pic:spPr>
                </pic:pic>
              </a:graphicData>
            </a:graphic>
          </wp:inline>
        </w:drawing>
      </w:r>
    </w:p>
    <w:p w14:paraId="6B40C350" w14:textId="77777777" w:rsidR="00621991" w:rsidRPr="00C9274B" w:rsidRDefault="00621991" w:rsidP="00621991">
      <w:pPr>
        <w:pStyle w:val="Imagecaption"/>
      </w:pPr>
      <w:bookmarkStart w:id="200" w:name="_Ref433656225"/>
      <w:bookmarkStart w:id="201" w:name="_Toc449696328"/>
      <w:r>
        <w:t xml:space="preserve">Figure </w:t>
      </w:r>
      <w:r w:rsidR="00084CDD">
        <w:fldChar w:fldCharType="begin"/>
      </w:r>
      <w:r w:rsidR="0045082A">
        <w:instrText xml:space="preserve"> SEQ Figure \* ARABIC </w:instrText>
      </w:r>
      <w:r w:rsidR="00084CDD">
        <w:fldChar w:fldCharType="separate"/>
      </w:r>
      <w:r w:rsidR="00C52E30">
        <w:rPr>
          <w:noProof/>
        </w:rPr>
        <w:t>38</w:t>
      </w:r>
      <w:r w:rsidR="00084CDD">
        <w:rPr>
          <w:noProof/>
        </w:rPr>
        <w:fldChar w:fldCharType="end"/>
      </w:r>
      <w:bookmarkEnd w:id="200"/>
      <w:r>
        <w:t xml:space="preserve">.  </w:t>
      </w:r>
      <w:r w:rsidRPr="00621991">
        <w:rPr>
          <w:noProof/>
        </w:rPr>
        <w:t>Effects of upscaling on flow connections between model blocks. Arrows indicate flow between cells, size of the arrow heads indicates the ease at which water can flow into the adjacent cell</w:t>
      </w:r>
      <w:r>
        <w:t xml:space="preserve">. Equivalent horizontal K was upscaled using the volume weighted arithmetic mean; equivalent vertical K was upscaled using the volume weighted harmonic mean </w:t>
      </w:r>
      <w:r w:rsidR="00084CDD">
        <w:fldChar w:fldCharType="begin"/>
      </w:r>
      <w:r>
        <w:instrText xml:space="preserve"> ADDIN EN.CITE &lt;EndNote&gt;&lt;Cite&gt;&lt;Author&gt;Carle&lt;/Author&gt;&lt;Year&gt;1996&lt;/Year&gt;&lt;IDText&gt;Transition probability-based indicator geostatistics&lt;/IDText&gt;&lt;DisplayText&gt;(Carle, 1999; Carle and Fogg, 1996)&lt;/DisplayText&gt;&lt;record&gt;&lt;isbn&gt;0882-8121&lt;/isbn&gt;&lt;titles&gt;&lt;title&gt;Transition probability-based indicator geostatistics&lt;/title&gt;&lt;secondary-title&gt;Mathematical Geology&lt;/secondary-title&gt;&lt;/titles&gt;&lt;pages&gt;453-476&lt;/pages&gt;&lt;number&gt;4&lt;/number&gt;&lt;contributors&gt;&lt;authors&gt;&lt;author&gt;Carle, Steven F&lt;/author&gt;&lt;author&gt;Fogg, Graham E&lt;/author&gt;&lt;/authors&gt;&lt;/contributors&gt;&lt;added-date format="utc"&gt;1434678515&lt;/added-date&gt;&lt;ref-type name="Journal Article"&gt;17&lt;/ref-type&gt;&lt;dates&gt;&lt;year&gt;1996&lt;/year&gt;&lt;/dates&gt;&lt;rec-number&gt;369&lt;/rec-number&gt;&lt;last-updated-date format="utc"&gt;1434678515&lt;/last-updated-date&gt;&lt;volume&gt;28&lt;/volume&gt;&lt;/record&gt;&lt;/Cite&gt;&lt;Cite&gt;&lt;Author&gt;Carle&lt;/Author&gt;&lt;Year&gt;1999&lt;/Year&gt;&lt;IDText&gt;T-PROGS: Transition probability geostatistical software&lt;/IDText&gt;&lt;record&gt;&lt;titles&gt;&lt;title&gt;T-PROGS: Transition probability geostatistical software&lt;/title&gt;&lt;/titles&gt;&lt;pages&gt;vi, 77&lt;/pages&gt;&lt;contributors&gt;&lt;authors&gt;&lt;author&gt;Carle, Steven F&lt;/author&gt;&lt;/authors&gt;&lt;/contributors&gt;&lt;added-date format="utc"&gt;1433900046&lt;/added-date&gt;&lt;pub-location&gt;California&lt;/pub-location&gt;&lt;ref-type name="Book"&gt;6&lt;/ref-type&gt;&lt;dates&gt;&lt;year&gt;1999&lt;/year&gt;&lt;/dates&gt;&lt;rec-number&gt;219&lt;/rec-number&gt;&lt;publisher&gt;University of California, Davis&lt;/publisher&gt;&lt;last-updated-date format="utc"&gt;1433903111&lt;/last-updated-date&gt;&lt;/record&gt;&lt;/Cite&gt;&lt;/EndNote&gt;</w:instrText>
      </w:r>
      <w:r w:rsidR="00084CDD">
        <w:fldChar w:fldCharType="separate"/>
      </w:r>
      <w:r>
        <w:rPr>
          <w:noProof/>
        </w:rPr>
        <w:t>(Fleckenstein and Fogg , 2008)</w:t>
      </w:r>
      <w:r w:rsidR="00084CDD">
        <w:fldChar w:fldCharType="end"/>
      </w:r>
      <w:r>
        <w:t>.</w:t>
      </w:r>
      <w:bookmarkEnd w:id="201"/>
    </w:p>
    <w:p w14:paraId="2E91B519" w14:textId="4AAE9BB8" w:rsidR="0078307B" w:rsidRPr="00A45100" w:rsidRDefault="0078307B" w:rsidP="00A45100">
      <w:pPr>
        <w:pStyle w:val="Body"/>
      </w:pPr>
    </w:p>
    <w:p w14:paraId="26DD3C40" w14:textId="290D4DF6" w:rsidR="00E8296A" w:rsidRDefault="00E8296A" w:rsidP="003E3108">
      <w:pPr>
        <w:pStyle w:val="Heading2"/>
      </w:pPr>
      <w:bookmarkStart w:id="202" w:name="_Ref445986348"/>
      <w:bookmarkStart w:id="203" w:name="_Toc449696818"/>
      <w:r>
        <w:t>Structural features</w:t>
      </w:r>
      <w:bookmarkEnd w:id="202"/>
      <w:bookmarkEnd w:id="203"/>
    </w:p>
    <w:p w14:paraId="105D379F" w14:textId="77777777" w:rsidR="000F5B0D" w:rsidRDefault="00FB60DD" w:rsidP="00E8296A">
      <w:pPr>
        <w:pStyle w:val="Body"/>
      </w:pPr>
      <w:r>
        <w:t xml:space="preserve">As discussed in the previous sections, facies heterogeneity is one </w:t>
      </w:r>
      <w:r w:rsidR="00256479">
        <w:t>contributor to</w:t>
      </w:r>
      <w:r>
        <w:t xml:space="preserve"> hydraulic conductivity </w:t>
      </w:r>
      <w:r w:rsidR="0008540C">
        <w:t xml:space="preserve">heterogeneity and thus of groundwater flow variability. Another cause of hydraulic conductivity heterogeneity is the presence of structural features. </w:t>
      </w:r>
      <w:r w:rsidR="000F5B0D" w:rsidRPr="000F5B0D">
        <w:t xml:space="preserve">Structural features include faults and fractured zones, both of which can </w:t>
      </w:r>
      <w:r w:rsidR="00256479">
        <w:t>serve</w:t>
      </w:r>
      <w:r w:rsidR="000F5B0D" w:rsidRPr="000F5B0D">
        <w:t xml:space="preserve"> as preferential </w:t>
      </w:r>
      <w:r w:rsidR="00256479">
        <w:t xml:space="preserve">flow </w:t>
      </w:r>
      <w:r w:rsidR="000F5B0D" w:rsidRPr="000F5B0D">
        <w:t>paths. While fracturing of consolidated media may occur in faulted environments, the study of fracture flow constitutes a distinct field of research; therefore, these two types of structural features are discussed separately in the following sections.</w:t>
      </w:r>
    </w:p>
    <w:p w14:paraId="632B9677" w14:textId="77777777" w:rsidR="00E8296A" w:rsidRDefault="00E8296A" w:rsidP="003353E4">
      <w:pPr>
        <w:pStyle w:val="Heading3"/>
      </w:pPr>
      <w:bookmarkStart w:id="204" w:name="_Toc449696819"/>
      <w:r>
        <w:t>Geological faults</w:t>
      </w:r>
      <w:bookmarkEnd w:id="204"/>
    </w:p>
    <w:p w14:paraId="1A384CEB" w14:textId="007D47E9" w:rsidR="00D3677D" w:rsidRDefault="00D3677D" w:rsidP="004042E5">
      <w:pPr>
        <w:pStyle w:val="Body"/>
        <w:rPr>
          <w:color w:val="auto"/>
        </w:rPr>
      </w:pPr>
      <w:r>
        <w:t xml:space="preserve">Geological faults </w:t>
      </w:r>
      <w:r w:rsidR="004042E5">
        <w:t xml:space="preserve">may </w:t>
      </w:r>
      <w:r>
        <w:t>act a</w:t>
      </w:r>
      <w:r w:rsidR="00822A4E">
        <w:t>s a barrier</w:t>
      </w:r>
      <w:r>
        <w:t xml:space="preserve"> </w:t>
      </w:r>
      <w:r w:rsidR="00822A4E">
        <w:t xml:space="preserve">or </w:t>
      </w:r>
      <w:r w:rsidR="004042E5">
        <w:t>a conduit for groundwater flow, or a combination of the two</w:t>
      </w:r>
      <w:r w:rsidR="00404CCF">
        <w:t xml:space="preserve"> </w:t>
      </w:r>
      <w:r w:rsidR="00084CDD">
        <w:fldChar w:fldCharType="begin"/>
      </w:r>
      <w:r w:rsidR="00404CCF">
        <w:instrText xml:space="preserve"> ADDIN EN.CITE &lt;EndNote&gt;&lt;Cite&gt;&lt;Author&gt;Aydin&lt;/Author&gt;&lt;Year&gt;2000&lt;/Year&gt;&lt;IDText&gt;Fractures, faults, and hydrocarbon entrapment, migration and flow&lt;/IDText&gt;&lt;DisplayText&gt;(Aydin, 2000)&lt;/DisplayText&gt;&lt;record&gt;&lt;dates&gt;&lt;pub-dates&gt;&lt;date&gt;AUG 2000&lt;/date&gt;&lt;/pub-dates&gt;&lt;year&gt;2000&lt;/year&gt;&lt;/dates&gt;&lt;keywords&gt;&lt;keyword&gt;fractures&lt;/keyword&gt;&lt;keyword&gt;faults&lt;/keyword&gt;&lt;keyword&gt;permeability&lt;/keyword&gt;&lt;keyword&gt;fluid flow&lt;/keyword&gt;&lt;keyword&gt;hydrocarbon seal, migration and flow&lt;/keyword&gt;&lt;keyword&gt;FLUID-FLOW&lt;/keyword&gt;&lt;keyword&gt;MONTEREY FORMATION&lt;/keyword&gt;&lt;keyword&gt;COMPACTION BANDS&lt;/keyword&gt;&lt;keyword&gt;UINTA BASIN&lt;/keyword&gt;&lt;keyword&gt;PERMEABILITY&lt;/keyword&gt;&lt;keyword&gt;CALIFORNIA&lt;/keyword&gt;&lt;keyword&gt;PRESSURE&lt;/keyword&gt;&lt;keyword&gt;GENERATION&lt;/keyword&gt;&lt;keyword&gt;MODEL&lt;/keyword&gt;&lt;keyword&gt;FIELD&lt;/keyword&gt;&lt;/keywords&gt;&lt;isbn&gt;0264-8172&lt;/isbn&gt;&lt;work-type&gt;Article|Proceedings Paper&lt;/work-type&gt;&lt;titles&gt;&lt;title&gt;Fractures, faults, and hydrocarbon entrapment, migration and flow&lt;/title&gt;&lt;secondary-title&gt;Marine and Petroleum Geology&lt;/secondary-title&gt;&lt;/titles&gt;&lt;pages&gt;797-814&lt;/pages&gt;&lt;number&gt;7&lt;/number&gt;&lt;contributors&gt;&lt;authors&gt;&lt;author&gt;Aydin, A&lt;/author&gt;&lt;/authors&gt;&lt;/contributors&gt;&lt;language&gt;English&lt;/language&gt;&lt;added-date format="utc"&gt;1433491032&lt;/added-date&gt;&lt;ref-type name="Journal Article"&gt;17&lt;/ref-type&gt;&lt;auth-address&gt;Aydin, A (reprint author), Stanford Univ, Dept Geol &amp;amp; Environm Sci, Rock Fracture Project, Stanford, CA 94305 USA&amp;#xD;Stanford Univ, Dept Geol &amp;amp; Environm Sci, Rock Fracture Project, Stanford, CA 94305 USA&amp;#xD;Stanford Univ, Dept Geol &amp;amp; Environm Sci, Shale Smear Project, Stanford, CA 94305 USA&lt;/auth-address&gt;&lt;rec-number&gt;141&lt;/rec-number&gt;&lt;last-updated-date format="utc"&gt;1433491032&lt;/last-updated-date&gt;&lt;accession-num&gt;WOS:000089345000003&lt;/accession-num&gt;&lt;electronic-resource-num&gt;10.1016/S0264-8172(00)00020-9&lt;/electronic-resource-num&gt;&lt;volume&gt;17&lt;/volume&gt;&lt;/record&gt;&lt;/Cite&gt;&lt;/EndNote&gt;</w:instrText>
      </w:r>
      <w:r w:rsidR="00084CDD">
        <w:fldChar w:fldCharType="separate"/>
      </w:r>
      <w:r w:rsidR="00404CCF">
        <w:rPr>
          <w:noProof/>
        </w:rPr>
        <w:t>(Aydin, 2000)</w:t>
      </w:r>
      <w:r w:rsidR="00084CDD">
        <w:fldChar w:fldCharType="end"/>
      </w:r>
      <w:r w:rsidR="004042E5">
        <w:t xml:space="preserve">. </w:t>
      </w:r>
      <w:r w:rsidR="00F05D98">
        <w:t xml:space="preserve">More </w:t>
      </w:r>
      <w:r w:rsidR="00921712" w:rsidRPr="00921712">
        <w:t xml:space="preserve">specifically, the hydraulic properties of faults are commonly highly anisotropic; i.e. a fault may simultaneously act as a conduit for flow parallel to the fault whilst acting as a barrier to flow perpendicular to the fault </w:t>
      </w:r>
      <w:r w:rsidR="00084CDD">
        <w:fldChar w:fldCharType="begin">
          <w:fldData xml:space="preserve">PEVuZE5vdGU+PENpdGU+PEF1dGhvcj5GYWNocmk8L0F1dGhvcj48WWVhcj4yMDEzPC9ZZWFyPjxJ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==
</w:fldData>
        </w:fldChar>
      </w:r>
      <w:r w:rsidR="00DC7C26">
        <w:instrText xml:space="preserve"> ADDIN EN.CITE </w:instrText>
      </w:r>
      <w:r w:rsidR="00084CDD">
        <w:fldChar w:fldCharType="begin">
          <w:fldData xml:space="preserve">PEVuZE5vdGU+PENpdGU+PEF1dGhvcj5GYWNocmk8L0F1dGhvcj48WWVhcj4yMDEzPC9ZZWFyPjxJ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==
</w:fldData>
        </w:fldChar>
      </w:r>
      <w:r w:rsidR="00DC7C26">
        <w:instrText xml:space="preserve"> ADDIN EN.CITE.DATA </w:instrText>
      </w:r>
      <w:r w:rsidR="00084CDD">
        <w:fldChar w:fldCharType="end"/>
      </w:r>
      <w:r w:rsidR="00084CDD">
        <w:fldChar w:fldCharType="separate"/>
      </w:r>
      <w:r w:rsidR="00DC7C26">
        <w:rPr>
          <w:noProof/>
        </w:rPr>
        <w:t>(Fachri et al., 2013)</w:t>
      </w:r>
      <w:r w:rsidR="00084CDD">
        <w:fldChar w:fldCharType="end"/>
      </w:r>
      <w:r w:rsidR="00404CCF">
        <w:t xml:space="preserve">. </w:t>
      </w:r>
      <w:r w:rsidR="000F5B0D">
        <w:t xml:space="preserve">The hydrogeology of fault zones was summarised by Bense et al. </w:t>
      </w:r>
      <w:r w:rsidR="00084CDD">
        <w:fldChar w:fldCharType="begin"/>
      </w:r>
      <w:r w:rsidR="000F5B0D">
        <w:instrText xml:space="preserve"> ADDIN EN.CITE &lt;EndNote&gt;&lt;Cite ExcludeAuth="1"&gt;&lt;Author&gt;Bense&lt;/Author&gt;&lt;Year&gt;2013&lt;/Year&gt;&lt;IDText&gt;Fault zone hydrogeology&lt;/IDText&gt;&lt;DisplayText&gt;(2013)&lt;/DisplayText&gt;&lt;record&gt;&lt;dates&gt;&lt;pub-dates&gt;&lt;date&gt;DEC 2013&lt;/date&gt;&lt;/pub-dates&gt;&lt;year&gt;2013&lt;/year&gt;&lt;/dates&gt;&lt;keywords&gt;&lt;keyword&gt;Fault zone&lt;/keyword&gt;&lt;keyword&gt;Hydrogeology&lt;/keyword&gt;&lt;keyword&gt;Structural geology&lt;/keyword&gt;&lt;keyword&gt;FLUID-FLOW PROPERTIES&lt;/keyword&gt;&lt;keyword&gt;RIO-GRANDE RIFT&lt;/keyword&gt;&lt;keyword&gt;POORLY LITHIFIED SEDIMENTS&lt;/keyword&gt;&lt;keyword&gt;SAN-ANDREAS FAULT&lt;/keyword&gt;&lt;keyword&gt;THICKNESS-DISPLACEMENT RELATIONSHIPS&lt;/keyword&gt;&lt;keyword&gt;SEGMENTED NORMAL FAULTS&lt;/keyword&gt;&lt;keyword&gt;ACTIVE NORMAL-FAULT&lt;/keyword&gt;&lt;keyword&gt;STRIKE-SLIP FAULTS&lt;/keyword&gt;&lt;keyword&gt;DEFORMATION BANDS&lt;/keyword&gt;&lt;keyword&gt;GROUNDWATER-FLOW&lt;/keyword&gt;&lt;/keywords&gt;&lt;isbn&gt;0012-8252&lt;/isbn&gt;&lt;work-type&gt;Article&lt;/work-type&gt;&lt;titles&gt;&lt;title&gt;Fault zone hydrogeology&lt;/title&gt;&lt;secondary-title&gt;Earth-Science Reviews&lt;/secondary-title&gt;&lt;/titles&gt;&lt;pages&gt;171-192&lt;/pages&gt;&lt;contributors&gt;&lt;authors&gt;&lt;author&gt;Bense, VF&lt;/author&gt;&lt;author&gt;Gleeson, T&lt;/author&gt;&lt;author&gt;Loveless, SE&lt;/author&gt;&lt;author&gt;Bour, O&lt;/author&gt;&lt;author&gt;Scibek, J&lt;/author&gt;&lt;/authors&gt;&lt;/contributors&gt;&lt;language&gt;English&lt;/language&gt;&lt;added-date format="utc"&gt;1433473576&lt;/added-date&gt;&lt;ref-type name="Journal Article"&gt;17&lt;/ref-type&gt;&lt;auth-address&gt;Bense, VF (reprint author), Univ E Anglia, Sch Environm Sci, Norwich NR4 7TJ, Norfolk, England&amp;#xD;Univ E Anglia, Sch Environm Sci, Norwich NR4 7TJ, Norfolk, England&amp;#xD;McGill Univ, Montreal, PQ H3A 2K6, Canada&amp;#xD;Univ Rennes 1, CNRS, UMR 6118, Geosci Rennes, F-35042 Rennes, France&amp;#xD;SRK Consulting Inc, Vancouver, BC V6E 3X2, Canada&amp;#xD;v.bense@uea.ac.uk&lt;/auth-address&gt;&lt;rec-number&gt;101&lt;/rec-number&gt;&lt;last-updated-date format="utc"&gt;1433473576&lt;/last-updated-date&gt;&lt;accession-num&gt;WOS:000328871100008&lt;/accession-num&gt;&lt;electronic-resource-num&gt;10.1016/j.earscirev.2013.09.008&lt;/electronic-resource-num&gt;&lt;volume&gt;127&lt;/volume&gt;&lt;/record&gt;&lt;/Cite&gt;&lt;/EndNote&gt;</w:instrText>
      </w:r>
      <w:r w:rsidR="00084CDD">
        <w:fldChar w:fldCharType="separate"/>
      </w:r>
      <w:r w:rsidR="000F5B0D">
        <w:rPr>
          <w:noProof/>
        </w:rPr>
        <w:t>(2013)</w:t>
      </w:r>
      <w:r w:rsidR="00084CDD">
        <w:fldChar w:fldCharType="end"/>
      </w:r>
      <w:r w:rsidR="000F5B0D">
        <w:t xml:space="preserve">. Published studies of the effects of faults on </w:t>
      </w:r>
      <w:r w:rsidR="0008540C">
        <w:t xml:space="preserve">local-scale groundwater flow include Person et al. (2000); </w:t>
      </w:r>
      <w:r w:rsidR="000F5B0D">
        <w:t xml:space="preserve">regional groundwater flow </w:t>
      </w:r>
      <w:r w:rsidR="0008540C">
        <w:t>studies have been reported by</w:t>
      </w:r>
      <w:r w:rsidR="000F5B0D">
        <w:t xml:space="preserve"> Bense et al. </w:t>
      </w:r>
      <w:r w:rsidR="00084CDD">
        <w:fldChar w:fldCharType="begin">
          <w:fldData xml:space="preserve">PEVuZE5vdGU+PENpdGUgRXhjbHVkZUF1dGg9IjEiPjxBdXRob3I+QmVuc2U8L0F1dGhvcj48WWVh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</w:fldData>
        </w:fldChar>
      </w:r>
      <w:r w:rsidR="000F5B0D">
        <w:instrText xml:space="preserve"> ADDIN EN.CITE </w:instrText>
      </w:r>
      <w:r w:rsidR="00084CDD">
        <w:fldChar w:fldCharType="begin">
          <w:fldData xml:space="preserve">PEVuZE5vdGU+PENpdGUgRXhjbHVkZUF1dGg9IjEiPjxBdXRob3I+QmVuc2U8L0F1dGhvcj48WWVh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</w:fldData>
        </w:fldChar>
      </w:r>
      <w:r w:rsidR="000F5B0D">
        <w:instrText xml:space="preserve"> ADDIN EN.CITE.DATA </w:instrText>
      </w:r>
      <w:r w:rsidR="00084CDD">
        <w:fldChar w:fldCharType="end"/>
      </w:r>
      <w:r w:rsidR="00084CDD">
        <w:fldChar w:fldCharType="separate"/>
      </w:r>
      <w:r w:rsidR="000F5B0D">
        <w:rPr>
          <w:noProof/>
        </w:rPr>
        <w:t>(2003)</w:t>
      </w:r>
      <w:r w:rsidR="00084CDD">
        <w:fldChar w:fldCharType="end"/>
      </w:r>
      <w:r w:rsidR="00986E29">
        <w:t>,</w:t>
      </w:r>
      <w:r w:rsidR="000F5B0D">
        <w:t xml:space="preserve"> Bense and Person </w:t>
      </w:r>
      <w:r w:rsidR="00084CDD">
        <w:fldChar w:fldCharType="begin"/>
      </w:r>
      <w:r w:rsidR="000F5B0D">
        <w:instrText xml:space="preserve"> ADDIN EN.CITE &lt;EndNote&gt;&lt;Cite ExcludeAuth="1"&gt;&lt;Author&gt;Bense&lt;/Author&gt;&lt;Year&gt;2006&lt;/Year&gt;&lt;IDText&gt;Faults as conduit-barrier systems to fluid flow in siliciclastic sedimentary aquifers&lt;/IDText&gt;&lt;DisplayText&gt;(2006)&lt;/DisplayText&gt;&lt;record&gt;&lt;dates&gt;&lt;pub-dates&gt;&lt;date&gt;MAY 19 2006&lt;/date&gt;&lt;/pub-dates&gt;&lt;year&gt;2006&lt;/year&gt;&lt;/dates&gt;&lt;keywords&gt;&lt;keyword&gt;POORLY LITHIFIED SANDSTONES&lt;/keyword&gt;&lt;keyword&gt;DRIVEN GROUNDWATER-FLOW&lt;/keyword&gt;&lt;keyword&gt;VALLEY RIFT SYSTEM&lt;/keyword&gt;&lt;keyword&gt;RIO-GRANDE RIFT&lt;/keyword&gt;&lt;keyword&gt;YUCCA MOUNTAIN&lt;/keyword&gt;&lt;keyword&gt;SEISMIC INTERPRETATION&lt;/keyword&gt;&lt;keyword&gt;PERMEABILITY STRUCTURE&lt;/keyword&gt;&lt;keyword&gt;ZONE ARCHITECTURE&lt;/keyword&gt;&lt;keyword&gt;POROUS SANDSTONES&lt;/keyword&gt;&lt;keyword&gt;DEFORMATION BANDS&lt;/keyword&gt;&lt;/keywords&gt;&lt;isbn&gt;0043-1397&lt;/isbn&gt;&lt;work-type&gt;Article&lt;/work-type&gt;&lt;titles&gt;&lt;title&gt;Faults as conduit-barrier systems to fluid flow in siliciclastic sedimentary aquifers&lt;/title&gt;&lt;secondary-title&gt;Water Resources Research&lt;/secondary-title&gt;&lt;/titles&gt;&lt;number&gt;5&lt;/number&gt;&lt;contributors&gt;&lt;authors&gt;&lt;author&gt;Bense, VF&lt;/author&gt;&lt;author&gt;Person, MA&lt;/author&gt;&lt;/authors&gt;&lt;/contributors&gt;&lt;custom7&gt;ARTN W05421&lt;/custom7&gt;&lt;language&gt;English&lt;/language&gt;&lt;added-date format="utc"&gt;1433473272&lt;/added-date&gt;&lt;ref-type name="Journal Article"&gt;17&lt;/ref-type&gt;&lt;auth-address&gt;Bense, VF (reprint author), Indiana Univ, Dept Geol Sci, 1001 E 10th St, Bloomington, IN 47405 USA&amp;#xD;Indiana Univ, Dept Geol Sci, Bloomington, IN 47405 USA&lt;/auth-address&gt;&lt;rec-number&gt;99&lt;/rec-number&gt;&lt;last-updated-date format="utc"&gt;1433473272&lt;/last-updated-date&gt;&lt;accession-num&gt;WOS:000238016700002&lt;/accession-num&gt;&lt;electronic-resource-num&gt;10.1029/2005WR004480&lt;/electronic-resource-num&gt;&lt;volume&gt;42&lt;/volume&gt;&lt;/record&gt;&lt;/Cite&gt;&lt;/EndNote&gt;</w:instrText>
      </w:r>
      <w:r w:rsidR="00084CDD">
        <w:fldChar w:fldCharType="separate"/>
      </w:r>
      <w:r w:rsidR="000F5B0D">
        <w:rPr>
          <w:noProof/>
        </w:rPr>
        <w:t>(2006)</w:t>
      </w:r>
      <w:r w:rsidR="00084CDD">
        <w:fldChar w:fldCharType="end"/>
      </w:r>
      <w:r w:rsidR="00986E29">
        <w:t xml:space="preserve">, </w:t>
      </w:r>
      <w:r w:rsidR="0008540C">
        <w:t xml:space="preserve">and </w:t>
      </w:r>
      <w:r w:rsidR="00986E29">
        <w:t>Castro et al. (1998a)</w:t>
      </w:r>
      <w:r w:rsidR="000F5B0D">
        <w:t xml:space="preserve">. Published studies of the effects of faults on groundwater </w:t>
      </w:r>
      <w:r w:rsidR="000F5B0D" w:rsidRPr="001C2989">
        <w:t xml:space="preserve">flow in reservoir models include Manzocchi </w:t>
      </w:r>
      <w:r w:rsidR="000F5B0D">
        <w:t xml:space="preserve">et al. </w:t>
      </w:r>
      <w:r w:rsidR="00084CDD" w:rsidRPr="001C2989">
        <w:fldChar w:fldCharType="begin">
          <w:fldData xml:space="preserve">PEVuZE5vdGU+PENpdGUgRXhjbHVkZUF1dGg9IjEiPjxBdXRob3I+TWFuem9jY2hpPC9BdXRob3I+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</w:fldData>
        </w:fldChar>
      </w:r>
      <w:r w:rsidR="000F5B0D">
        <w:instrText xml:space="preserve"> ADDIN EN.CITE </w:instrText>
      </w:r>
      <w:r w:rsidR="00084CDD">
        <w:fldChar w:fldCharType="begin">
          <w:fldData xml:space="preserve">PEVuZE5vdGU+PENpdGUgRXhjbHVkZUF1dGg9IjEiPjxBdXRob3I+TWFuem9jY2hpPC9BdXRob3I+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</w:fldData>
        </w:fldChar>
      </w:r>
      <w:r w:rsidR="000F5B0D">
        <w:instrText xml:space="preserve"> ADDIN EN.CITE.DATA </w:instrText>
      </w:r>
      <w:r w:rsidR="00084CDD">
        <w:fldChar w:fldCharType="end"/>
      </w:r>
      <w:r w:rsidR="00084CDD" w:rsidRPr="001C2989">
        <w:fldChar w:fldCharType="separate"/>
      </w:r>
      <w:r w:rsidR="000F5B0D">
        <w:rPr>
          <w:noProof/>
        </w:rPr>
        <w:t>(2010; 2008; 2002; 1999)</w:t>
      </w:r>
      <w:r w:rsidR="00084CDD" w:rsidRPr="001C2989">
        <w:fldChar w:fldCharType="end"/>
      </w:r>
      <w:r w:rsidR="000F5B0D" w:rsidRPr="001C2989">
        <w:t xml:space="preserve">. Recent examinations of the representation of faults in groundwater flow models include Islam and Manzocchi </w:t>
      </w:r>
      <w:r w:rsidR="00084CDD" w:rsidRPr="001C2989">
        <w:fldChar w:fldCharType="begin"/>
      </w:r>
      <w:r w:rsidR="000F5B0D" w:rsidRPr="001C2989">
        <w:instrText xml:space="preserve"> ADDIN EN.CITE &lt;EndNote&gt;&lt;Cite ExcludeAuth="1"&gt;&lt;Author&gt;Islam&lt;/Author&gt;&lt;Year&gt;2014&lt;/Year&gt;&lt;IDText&gt;New Approaches to Upscaling Fault Zones for Flow Simulation&lt;/IDText&gt;&lt;DisplayText&gt;(2014a)&lt;/DisplayText&gt;&lt;record&gt;&lt;isbn&gt;2214-4609&lt;/isbn&gt;&lt;titles&gt;&lt;title&gt;New Approaches to Upscaling Fault Zones for Flow Simulation&lt;/title&gt;&lt;secondary-title&gt;76th EAGE Conference and Exhibition 2014&lt;/secondary-title&gt;&lt;/titles&gt;&lt;contributors&gt;&lt;authors&gt;&lt;author&gt;Islam, MS&lt;/author&gt;&lt;author&gt;Manzocchi, T&lt;/author&gt;&lt;/authors&gt;&lt;/contributors&gt;&lt;added-date format="utc"&gt;1434099614&lt;/added-date&gt;&lt;ref-type name="Conference Proceedings"&gt;10&lt;/ref-type&gt;&lt;dates&gt;&lt;year&gt;2014&lt;/year&gt;&lt;/dates&gt;&lt;rec-number&gt;286&lt;/rec-number&gt;&lt;last-updated-date format="utc"&gt;1434099614&lt;/last-updated-date&gt;&lt;/record&gt;&lt;/Cite&gt;&lt;/EndNote&gt;</w:instrText>
      </w:r>
      <w:r w:rsidR="00084CDD" w:rsidRPr="001C2989">
        <w:fldChar w:fldCharType="separate"/>
      </w:r>
      <w:r w:rsidR="000F5B0D" w:rsidRPr="001C2989">
        <w:rPr>
          <w:noProof/>
        </w:rPr>
        <w:t>(2014a)</w:t>
      </w:r>
      <w:r w:rsidR="00084CDD" w:rsidRPr="001C2989">
        <w:fldChar w:fldCharType="end"/>
      </w:r>
      <w:r w:rsidR="000F5B0D" w:rsidRPr="001C2989">
        <w:t xml:space="preserve"> and </w:t>
      </w:r>
      <w:r w:rsidR="00084CDD" w:rsidRPr="001C2989">
        <w:fldChar w:fldCharType="begin"/>
      </w:r>
      <w:r w:rsidR="000F5B0D" w:rsidRPr="001C2989">
        <w:instrText xml:space="preserve"> ADDIN EN.CITE &lt;EndNote&gt;&lt;Cite ExcludeAuth="1"&gt;&lt;Author&gt;Islam&lt;/Author&gt;&lt;Year&gt;2014&lt;/Year&gt;&lt;IDText&gt;The Transmissibility of Partially Connected Cells&lt;/IDText&gt;&lt;DisplayText&gt;(2014b)&lt;/DisplayText&gt;&lt;record&gt;&lt;isbn&gt;2214-4609&lt;/isbn&gt;&lt;titles&gt;&lt;title&gt;The Transmissibility of Partially Connected Cells&lt;/title&gt;&lt;secondary-title&gt;ECMOR XIV-14th European conference on the mathematics of oil recovery&lt;/secondary-title&gt;&lt;/titles&gt;&lt;contributors&gt;&lt;authors&gt;&lt;author&gt;Islam, MS&lt;/author&gt;&lt;author&gt;Manzocchi, T&lt;/author&gt;&lt;/authors&gt;&lt;/contributors&gt;&lt;added-date format="utc"&gt;1434099621&lt;/added-date&gt;&lt;ref-type name="Conference Proceedings"&gt;10&lt;/ref-type&gt;&lt;dates&gt;&lt;year&gt;2014&lt;/year&gt;&lt;/dates&gt;&lt;rec-number&gt;287&lt;/rec-number&gt;&lt;last-updated-date format="utc"&gt;1434099621&lt;/last-updated-date&gt;&lt;/record&gt;&lt;/Cite&gt;&lt;/EndNote&gt;</w:instrText>
      </w:r>
      <w:r w:rsidR="00084CDD" w:rsidRPr="001C2989">
        <w:fldChar w:fldCharType="separate"/>
      </w:r>
      <w:r w:rsidR="000F5B0D" w:rsidRPr="001C2989">
        <w:rPr>
          <w:noProof/>
        </w:rPr>
        <w:t>(2014b)</w:t>
      </w:r>
      <w:r w:rsidR="00084CDD" w:rsidRPr="001C2989">
        <w:fldChar w:fldCharType="end"/>
      </w:r>
      <w:r w:rsidR="000F5B0D" w:rsidRPr="001C2989">
        <w:t>.</w:t>
      </w:r>
      <w:r w:rsidR="000F5B0D">
        <w:t xml:space="preserve"> </w:t>
      </w:r>
      <w:r w:rsidR="00166890" w:rsidRPr="00166890">
        <w:t>In order to understand their influence on groundwater flow, the characterisation of geological faults</w:t>
      </w:r>
      <w:r w:rsidR="0008540C">
        <w:t xml:space="preserve"> in terms of architecture, spatial distribution and hydraulic properties</w:t>
      </w:r>
      <w:r w:rsidR="00166890" w:rsidRPr="00166890">
        <w:t xml:space="preserve"> is required. Here, we describe the architecture of faults in both crystalline (i.e. deep) and poorly lithified (i.e. shallow) environments. The alteration of host rock hydraulic properties by faulting is then discussed. We subsequently summarise existing representations of faults in numerical groundwater flow models. </w:t>
      </w:r>
    </w:p>
    <w:p w14:paraId="728A0589" w14:textId="77777777" w:rsidR="007537CE" w:rsidRDefault="00166890" w:rsidP="001E1BE6">
      <w:pPr>
        <w:pStyle w:val="Body"/>
        <w:keepNext/>
        <w:rPr>
          <w:b/>
          <w:color w:val="auto"/>
        </w:rPr>
      </w:pPr>
      <w:r w:rsidRPr="00166890">
        <w:rPr>
          <w:b/>
          <w:color w:val="auto"/>
        </w:rPr>
        <w:t>Characterisation of fault architecture</w:t>
      </w:r>
    </w:p>
    <w:p w14:paraId="34035347" w14:textId="7CAD3B74" w:rsidR="009D79A6" w:rsidRDefault="00166890" w:rsidP="00166890">
      <w:pPr>
        <w:pStyle w:val="Body"/>
      </w:pPr>
      <w:r>
        <w:t xml:space="preserve">The architecture of fault geology is context-specific and therefore varies considerably </w:t>
      </w:r>
      <w:r w:rsidR="00084CDD">
        <w:fldChar w:fldCharType="begin"/>
      </w:r>
      <w:r w:rsidR="00AC7248">
        <w:instrText xml:space="preserve"> ADDIN EN.CITE &lt;EndNote&gt;&lt;Cite&gt;&lt;Author&gt;Loveless&lt;/Author&gt;&lt;Year&gt;2011&lt;/Year&gt;&lt;IDText&gt;Fault architecture and deformation processes within poorly lithified rift sediments, Central Greece&lt;/IDText&gt;&lt;DisplayText&gt;(Loveless et al., 2011)&lt;/DisplayText&gt;&lt;record&gt;&lt;isbn&gt;0191-8141&lt;/isbn&gt;&lt;titles&gt;&lt;title&gt;Fault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fldChar w:fldCharType="separate"/>
      </w:r>
      <w:r w:rsidR="00AC7248">
        <w:rPr>
          <w:noProof/>
        </w:rPr>
        <w:t>(Loveless et al., 2011)</w:t>
      </w:r>
      <w:r w:rsidR="00084CDD">
        <w:fldChar w:fldCharType="end"/>
      </w:r>
      <w:r>
        <w:t xml:space="preserve">. A primary distinction is made between faults that occur in (typically deep) crystalline media and those that occur in (typically shallow) unconsolidated environments. The classic conceptualisation of fault architecture in crystalline rocks was </w:t>
      </w:r>
      <w:r w:rsidR="0008540C">
        <w:t>described</w:t>
      </w:r>
      <w:r>
        <w:t xml:space="preserve"> by </w:t>
      </w:r>
      <w:r w:rsidR="00A26E6E">
        <w:t xml:space="preserve">Caine et al. </w:t>
      </w:r>
      <w:r w:rsidR="00084CDD" w:rsidRPr="00F4630A">
        <w:fldChar w:fldCharType="begin"/>
      </w:r>
      <w:r w:rsidR="00A26E6E">
        <w:instrText xml:space="preserve"> ADDIN EN.CITE &lt;EndNote&gt;&lt;Cite ExcludeAuth="1"&gt;&lt;Author&gt;Caine&lt;/Author&gt;&lt;Year&gt;1996&lt;/Year&gt;&lt;IDText&gt;Fault zone architecture and permeability structure&lt;/IDText&gt;&lt;DisplayText&gt;(1996)&lt;/DisplayText&gt;&lt;record&gt;&lt;dates&gt;&lt;pub-dates&gt;&lt;date&gt;NOV 1996&lt;/date&gt;&lt;/pub-dates&gt;&lt;year&gt;1996&lt;/year&gt;&lt;/dates&gt;&lt;keywords&gt;&lt;keyword&gt;CRYSTALLINE THRUST SHEETS&lt;/keyword&gt;&lt;keyword&gt;SAN-ANDREAS FAULT&lt;/keyword&gt;&lt;keyword&gt;PORE-FLUID&lt;/keyword&gt;&lt;keyword&gt;DEFORMATION&lt;/keyword&gt;&lt;keyword&gt;SWEDEN&lt;/keyword&gt;&lt;keyword&gt;FLOW&lt;/keyword&gt;&lt;keyword&gt;ROCK&lt;/keyword&gt;&lt;keyword&gt;UTAH&lt;/keyword&gt;&lt;/keywords&gt;&lt;isbn&gt;0091-7613&lt;/isbn&gt;&lt;work-type&gt;Article&lt;/work-type&gt;&lt;titles&gt;&lt;title&gt;Fault zone architecture and permeability structure&lt;/title&gt;&lt;secondary-title&gt;Geology&lt;/secondary-title&gt;&lt;/titles&gt;&lt;pages&gt;1025-1028&lt;/pages&gt;&lt;number&gt;11&lt;/number&gt;&lt;contributors&gt;&lt;authors&gt;&lt;author&gt;Caine, JS&lt;/author&gt;&lt;author&gt;Evans, JP&lt;/author&gt;&lt;author&gt;Forster, CB&lt;/author&gt;&lt;/authors&gt;&lt;/contributors&gt;&lt;language&gt;English&lt;/language&gt;&lt;added-date format="utc"&gt;1433474386&lt;/added-date&gt;&lt;ref-type name="Journal Article"&gt;17&lt;/ref-type&gt;&lt;auth-address&gt;Caine, JS (reprint author), UNIV UTAH,DEPT GEOL &amp;amp; GEOPHYS,SALT LAKE CITY,UT 84112, USA&amp;#xD;UTAH STATE UNIV,DEPT GEOL,LOGAN,UT 84322&amp;#xD;UNIV UTAH,DEPT CIVIL &amp;amp; ENVIRONM ENGN,INST EARTH SCI &amp;amp; RESOURCES,SALT LAKE CITY,UT 84112&lt;/auth-address&gt;&lt;rec-number&gt;103&lt;/rec-number&gt;&lt;last-updated-date format="utc"&gt;1433474386&lt;/last-updated-date&gt;&lt;accession-num&gt;WOS:A1996VW09800016&lt;/accession-num&gt;&lt;electronic-resource-num&gt;10.1130/0091-7613(1996)024&amp;lt;1025:FZAAPS&amp;gt;2.3.CO;2&lt;/electronic-resource-num&gt;&lt;volume&gt;24&lt;/volume&gt;&lt;/record&gt;&lt;/Cite&gt;&lt;/EndNote&gt;</w:instrText>
      </w:r>
      <w:r w:rsidR="00084CDD" w:rsidRPr="00F4630A">
        <w:fldChar w:fldCharType="separate"/>
      </w:r>
      <w:r w:rsidR="00A26E6E">
        <w:rPr>
          <w:noProof/>
        </w:rPr>
        <w:t>(1996)</w:t>
      </w:r>
      <w:r w:rsidR="00084CDD" w:rsidRPr="00F4630A">
        <w:fldChar w:fldCharType="end"/>
      </w:r>
      <w:r w:rsidR="00F3633B">
        <w:t>. More recently, Loveless et al. (2011)</w:t>
      </w:r>
      <w:r>
        <w:t xml:space="preserve"> </w:t>
      </w:r>
      <w:r w:rsidR="00F3633B">
        <w:t xml:space="preserve">presented </w:t>
      </w:r>
      <w:r w:rsidR="009D79A6">
        <w:t xml:space="preserve">two dimensional </w:t>
      </w:r>
      <w:r w:rsidR="00F3633B">
        <w:t xml:space="preserve"> conceptualisations </w:t>
      </w:r>
      <w:r w:rsidR="009D79A6">
        <w:t xml:space="preserve">of </w:t>
      </w:r>
      <w:r w:rsidR="00F4630A">
        <w:t>fault zones in (a) crystalline rock and (b) unconsolidated media</w:t>
      </w:r>
      <w:r w:rsidR="0070708B">
        <w:t xml:space="preserve"> (</w:t>
      </w:r>
      <w:r w:rsidR="00084CDD">
        <w:fldChar w:fldCharType="begin"/>
      </w:r>
      <w:r w:rsidR="0070708B">
        <w:instrText xml:space="preserve"> REF _Ref436830135 \h </w:instrText>
      </w:r>
      <w:r w:rsidR="00084CDD">
        <w:fldChar w:fldCharType="separate"/>
      </w:r>
      <w:r w:rsidR="00C52E30" w:rsidRPr="00166890">
        <w:rPr>
          <w:rFonts w:eastAsia="Times New Roman"/>
        </w:rPr>
        <w:t xml:space="preserve">Figure </w:t>
      </w:r>
      <w:r w:rsidR="00C52E30">
        <w:rPr>
          <w:rFonts w:eastAsia="Times New Roman"/>
          <w:noProof/>
        </w:rPr>
        <w:t>39</w:t>
      </w:r>
      <w:r w:rsidR="00084CDD">
        <w:fldChar w:fldCharType="end"/>
      </w:r>
      <w:r w:rsidR="0070708B">
        <w:t>)</w:t>
      </w:r>
      <w:r w:rsidR="00F4630A">
        <w:t xml:space="preserve">. </w:t>
      </w:r>
      <w:r>
        <w:t xml:space="preserve"> </w:t>
      </w:r>
    </w:p>
    <w:p w14:paraId="7E9EA407" w14:textId="77777777" w:rsidR="009D79A6" w:rsidRPr="00166890" w:rsidRDefault="009D79A6" w:rsidP="00DB3CB5">
      <w:pPr>
        <w:keepNext/>
        <w:tabs>
          <w:tab w:val="left" w:pos="1701"/>
          <w:tab w:val="left" w:pos="6237"/>
          <w:tab w:val="right" w:pos="9072"/>
        </w:tabs>
        <w:suppressAutoHyphens/>
        <w:autoSpaceDE w:val="0"/>
        <w:autoSpaceDN w:val="0"/>
        <w:adjustRightInd w:val="0"/>
        <w:spacing w:after="0" w:line="280" w:lineRule="atLeast"/>
        <w:textAlignment w:val="center"/>
        <w:rPr>
          <w:rFonts w:ascii="Calibri" w:eastAsia="Times New Roman" w:hAnsi="Calibri" w:cs="Calibri"/>
          <w:color w:val="000000"/>
          <w:sz w:val="18"/>
          <w:szCs w:val="18"/>
          <w:lang w:val="en-GB"/>
        </w:rPr>
      </w:pPr>
      <w:r w:rsidRPr="00166890">
        <w:rPr>
          <w:rFonts w:ascii="Calibri" w:eastAsia="Times New Roman" w:hAnsi="Calibri" w:cs="Calibri"/>
          <w:color w:val="000000"/>
          <w:sz w:val="18"/>
          <w:szCs w:val="18"/>
          <w:lang w:val="en-GB"/>
        </w:rPr>
        <w:tab/>
        <w:t>(a)</w:t>
      </w:r>
      <w:r w:rsidRPr="00166890">
        <w:rPr>
          <w:rFonts w:ascii="Calibri" w:eastAsia="Times New Roman" w:hAnsi="Calibri" w:cs="Calibri"/>
          <w:color w:val="000000"/>
          <w:sz w:val="18"/>
          <w:szCs w:val="18"/>
          <w:lang w:val="en-GB"/>
        </w:rPr>
        <w:tab/>
        <w:t>(b)</w:t>
      </w:r>
    </w:p>
    <w:p w14:paraId="2707AD8F" w14:textId="77777777" w:rsidR="009A78B7" w:rsidRDefault="009A78B7">
      <w:pPr>
        <w:keepNext/>
        <w:tabs>
          <w:tab w:val="right" w:pos="9072"/>
        </w:tabs>
        <w:suppressAutoHyphens/>
        <w:autoSpaceDE w:val="0"/>
        <w:autoSpaceDN w:val="0"/>
        <w:adjustRightInd w:val="0"/>
        <w:spacing w:after="113" w:line="280" w:lineRule="atLeast"/>
        <w:textAlignment w:val="center"/>
        <w:rPr>
          <w:rFonts w:ascii="Calibri" w:eastAsia="Times New Roman" w:hAnsi="Calibri" w:cs="Calibri"/>
          <w:color w:val="000000"/>
          <w:sz w:val="18"/>
          <w:szCs w:val="18"/>
          <w:lang w:val="en-GB"/>
        </w:rPr>
      </w:pPr>
      <w:r>
        <w:rPr>
          <w:rFonts w:ascii="Calibri" w:eastAsia="Times New Roman" w:hAnsi="Calibri" w:cs="Calibri"/>
          <w:noProof/>
          <w:color w:val="000000"/>
          <w:sz w:val="18"/>
          <w:szCs w:val="18"/>
          <w:lang w:val="en-AU" w:eastAsia="en-AU"/>
        </w:rPr>
        <w:drawing>
          <wp:inline distT="0" distB="0" distL="0" distR="0" wp14:anchorId="24E4AEDA" wp14:editId="7414AA79">
            <wp:extent cx="2844000" cy="2648147"/>
            <wp:effectExtent l="19050" t="0" r="0" b="0"/>
            <wp:docPr id="4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srcRect l="9204" t="17365" r="52059" b="59895"/>
                    <a:stretch>
                      <a:fillRect/>
                    </a:stretch>
                  </pic:blipFill>
                  <pic:spPr bwMode="auto">
                    <a:xfrm>
                      <a:off x="0" y="0"/>
                      <a:ext cx="2844000" cy="2648147"/>
                    </a:xfrm>
                    <a:prstGeom prst="rect">
                      <a:avLst/>
                    </a:prstGeom>
                    <a:noFill/>
                    <a:ln w="9525">
                      <a:noFill/>
                      <a:miter lim="800000"/>
                      <a:headEnd/>
                      <a:tailEnd/>
                    </a:ln>
                  </pic:spPr>
                </pic:pic>
              </a:graphicData>
            </a:graphic>
          </wp:inline>
        </w:drawing>
      </w:r>
      <w:r>
        <w:rPr>
          <w:rFonts w:ascii="Calibri" w:eastAsia="Times New Roman" w:hAnsi="Calibri" w:cs="Calibri"/>
          <w:noProof/>
          <w:color w:val="000000"/>
          <w:sz w:val="18"/>
          <w:szCs w:val="18"/>
          <w:lang w:val="en-AU" w:eastAsia="en-AU"/>
        </w:rPr>
        <w:drawing>
          <wp:inline distT="0" distB="0" distL="0" distR="0" wp14:anchorId="57DCD685" wp14:editId="4E1EA22E">
            <wp:extent cx="2844000" cy="2708833"/>
            <wp:effectExtent l="19050" t="0" r="0" b="0"/>
            <wp:docPr id="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srcRect l="9204" t="40201" r="52059" b="36527"/>
                    <a:stretch>
                      <a:fillRect/>
                    </a:stretch>
                  </pic:blipFill>
                  <pic:spPr bwMode="auto">
                    <a:xfrm>
                      <a:off x="0" y="0"/>
                      <a:ext cx="2844000" cy="2708833"/>
                    </a:xfrm>
                    <a:prstGeom prst="rect">
                      <a:avLst/>
                    </a:prstGeom>
                    <a:noFill/>
                    <a:ln w="9525">
                      <a:noFill/>
                      <a:miter lim="800000"/>
                      <a:headEnd/>
                      <a:tailEnd/>
                    </a:ln>
                  </pic:spPr>
                </pic:pic>
              </a:graphicData>
            </a:graphic>
          </wp:inline>
        </w:drawing>
      </w:r>
    </w:p>
    <w:p w14:paraId="6C9A1B17" w14:textId="77777777" w:rsidR="009D79A6" w:rsidRPr="00166890" w:rsidRDefault="009D79A6" w:rsidP="009D79A6">
      <w:pPr>
        <w:pStyle w:val="Imagecaption"/>
        <w:rPr>
          <w:rFonts w:eastAsia="Times New Roman"/>
        </w:rPr>
      </w:pPr>
      <w:bookmarkStart w:id="205" w:name="_Ref436830135"/>
      <w:bookmarkStart w:id="206" w:name="_Toc449696329"/>
      <w:r w:rsidRPr="00166890">
        <w:rPr>
          <w:rFonts w:eastAsia="Times New Roman"/>
        </w:rPr>
        <w:t xml:space="preserve">Figure </w:t>
      </w:r>
      <w:r w:rsidR="00084CDD" w:rsidRPr="00166890">
        <w:rPr>
          <w:rFonts w:eastAsia="Times New Roman"/>
        </w:rPr>
        <w:fldChar w:fldCharType="begin"/>
      </w:r>
      <w:r w:rsidRPr="00166890">
        <w:rPr>
          <w:rFonts w:eastAsia="Times New Roman"/>
        </w:rPr>
        <w:instrText xml:space="preserve"> SEQ Figure \* ARABIC </w:instrText>
      </w:r>
      <w:r w:rsidR="00084CDD" w:rsidRPr="00166890">
        <w:rPr>
          <w:rFonts w:eastAsia="Times New Roman"/>
        </w:rPr>
        <w:fldChar w:fldCharType="separate"/>
      </w:r>
      <w:r w:rsidR="00C52E30">
        <w:rPr>
          <w:rFonts w:eastAsia="Times New Roman"/>
          <w:noProof/>
        </w:rPr>
        <w:t>39</w:t>
      </w:r>
      <w:r w:rsidR="00084CDD" w:rsidRPr="00166890">
        <w:rPr>
          <w:rFonts w:eastAsia="Times New Roman"/>
        </w:rPr>
        <w:fldChar w:fldCharType="end"/>
      </w:r>
      <w:bookmarkEnd w:id="205"/>
      <w:r w:rsidRPr="00166890">
        <w:rPr>
          <w:rFonts w:eastAsia="Times New Roman"/>
        </w:rPr>
        <w:t xml:space="preserve">. Conceptualisations of fault zone architecture in (a) crystalline (deep) media and (b) unconsolidated (shallow) media, showing fault core (FC), damage zone (DZ), and mixed zone (MZ) </w:t>
      </w:r>
      <w:r w:rsidR="00084CDD" w:rsidRPr="00166890">
        <w:rPr>
          <w:rFonts w:eastAsia="Times New Roman"/>
        </w:rPr>
        <w:fldChar w:fldCharType="begin"/>
      </w:r>
      <w:r>
        <w:rPr>
          <w:rFonts w:eastAsia="Times New Roman"/>
        </w:rPr>
        <w:instrText xml:space="preserve"> ADDIN EN.CITE &lt;EndNote&gt;&lt;Cite&gt;&lt;Author&gt;Loveless&lt;/Author&gt;&lt;Year&gt;2011&lt;/Year&gt;&lt;IDText&gt;Fault architecture and deformation processes within poorly lithified rift sediments, Central Greece&lt;/IDText&gt;&lt;DisplayText&gt;(Loveless et al., 2011)&lt;/DisplayText&gt;&lt;record&gt;&lt;isbn&gt;0191-8141&lt;/isbn&gt;&lt;titles&gt;&lt;title&gt;Fault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format="utc"&gt;1439526804&lt;/last-updated-date&gt;&lt;volume&gt;33&lt;/volume&gt;&lt;/record&gt;&lt;/Cite&gt;&lt;Cite&gt;&lt;Author&gt;Loveless&lt;/Author&gt;&lt;Year&gt;2011&lt;/Year&gt;&lt;IDText&gt;Fault architecture and deformation processes within poorly lithified rift sediments, Central Greece&lt;/IDText&gt;&lt;record&gt;&lt;isbn&gt;0191-8141&lt;/isbn&gt;&lt;titles&gt;&lt;title&gt;Fault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rsidRPr="00166890">
        <w:rPr>
          <w:rFonts w:eastAsia="Times New Roman"/>
        </w:rPr>
        <w:fldChar w:fldCharType="separate"/>
      </w:r>
      <w:r>
        <w:rPr>
          <w:rFonts w:eastAsia="Times New Roman"/>
          <w:noProof/>
        </w:rPr>
        <w:t>(Loveless et al., 2011)</w:t>
      </w:r>
      <w:r w:rsidR="00084CDD" w:rsidRPr="00166890">
        <w:rPr>
          <w:rFonts w:eastAsia="Times New Roman"/>
        </w:rPr>
        <w:fldChar w:fldCharType="end"/>
      </w:r>
      <w:r w:rsidRPr="00166890">
        <w:rPr>
          <w:rFonts w:eastAsia="Times New Roman"/>
        </w:rPr>
        <w:t>.</w:t>
      </w:r>
      <w:bookmarkEnd w:id="206"/>
    </w:p>
    <w:p w14:paraId="6F0E40E2" w14:textId="77777777" w:rsidR="00DB3CB5" w:rsidRDefault="00DB3CB5" w:rsidP="00166890">
      <w:pPr>
        <w:pStyle w:val="Body"/>
      </w:pPr>
    </w:p>
    <w:p w14:paraId="0FEC6121" w14:textId="77777777" w:rsidR="005116D4" w:rsidRDefault="00166890" w:rsidP="00166890">
      <w:pPr>
        <w:pStyle w:val="Body"/>
      </w:pPr>
      <w:r>
        <w:t xml:space="preserve">Fault cores </w:t>
      </w:r>
      <w:r w:rsidR="009D79A6">
        <w:t xml:space="preserve">in crystalline rock </w:t>
      </w:r>
      <w:r>
        <w:t xml:space="preserve">occur as relatively narrow, localized zones containing modified media including breccias, and cataclasites. </w:t>
      </w:r>
      <w:r w:rsidR="009D79A6">
        <w:t>In this case, the permeability of the fault core will be higher than that of the host rock</w:t>
      </w:r>
      <w:r w:rsidR="005116D4">
        <w:t>.</w:t>
      </w:r>
      <w:r w:rsidR="005116D4" w:rsidRPr="005116D4">
        <w:t xml:space="preserve"> In unconsolidated media, however, fault cores can act as barriers to groundwater flow, while the surrounding damage zones typically feature the presence of fractures which may provide conduits for fluid flow. Fractures in the damage zone are generally oriented parallel to the fault core (i</w:t>
      </w:r>
      <w:r w:rsidR="005116D4">
        <w:t>.</w:t>
      </w:r>
      <w:r w:rsidR="005116D4" w:rsidRPr="005116D4">
        <w:t>e</w:t>
      </w:r>
      <w:r w:rsidR="005116D4">
        <w:t>.</w:t>
      </w:r>
      <w:r w:rsidR="005116D4" w:rsidRPr="005116D4">
        <w:t xml:space="preserve"> are mostly vertical), with hydraulic conductivity subsequently enhanced in both vertical and along-fault directions.</w:t>
      </w:r>
      <w:r>
        <w:t xml:space="preserve"> </w:t>
      </w:r>
    </w:p>
    <w:p w14:paraId="10DBFDF0" w14:textId="65DF1AF8" w:rsidR="00166890" w:rsidRDefault="00166890" w:rsidP="00166890">
      <w:pPr>
        <w:pStyle w:val="Body"/>
      </w:pPr>
      <w:r>
        <w:t xml:space="preserve">The combined width of the </w:t>
      </w:r>
      <w:r w:rsidR="005116D4">
        <w:t>fault core and damage zone</w:t>
      </w:r>
      <w:r>
        <w:t xml:space="preserve"> is collectively known as the fault zone. This represents the complete volume of rock deformed when lithospheric stresses cause two tectonic blocks to move in relation to one another</w:t>
      </w:r>
      <w:r w:rsidR="00AC7248">
        <w:t xml:space="preserve"> </w:t>
      </w:r>
      <w:r w:rsidR="00084CDD" w:rsidRPr="00BB207D">
        <w:fldChar w:fldCharType="begin"/>
      </w:r>
      <w:r w:rsidR="00AC7248" w:rsidRPr="00BB207D">
        <w:instrText xml:space="preserve"> ADDIN EN.CITE &lt;EndNote&gt;&lt;Cite&gt;&lt;Author&gt;Loveless&lt;/Author&gt;&lt;Year&gt;2011&lt;/Year&gt;&lt;IDText&gt;Fault architecture and deformation processes within poorly lithified rift sediments, Central Greece&lt;/IDText&gt;&lt;DisplayText&gt;(Loveless et al., 2011)&lt;/DisplayText&gt;&lt;record&gt;&lt;isbn&gt;0191-8141&lt;/isbn&gt;&lt;titles&gt;&lt;title&gt;Fault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rsidRPr="00BB207D">
        <w:fldChar w:fldCharType="separate"/>
      </w:r>
      <w:r w:rsidR="00AC7248" w:rsidRPr="00BB207D">
        <w:rPr>
          <w:noProof/>
        </w:rPr>
        <w:t>(Loveless et al., 2011)</w:t>
      </w:r>
      <w:r w:rsidR="00084CDD" w:rsidRPr="00BB207D">
        <w:fldChar w:fldCharType="end"/>
      </w:r>
      <w:r w:rsidRPr="00BB207D">
        <w:t xml:space="preserve">. Caine et al. </w:t>
      </w:r>
      <w:r w:rsidR="00084CDD" w:rsidRPr="00BB207D">
        <w:fldChar w:fldCharType="begin"/>
      </w:r>
      <w:r w:rsidR="00BB207D" w:rsidRPr="00BB207D">
        <w:instrText xml:space="preserve"> ADDIN EN.CITE &lt;EndNote&gt;&lt;Cite ExcludeAuth="1"&gt;&lt;Author&gt;Caine&lt;/Author&gt;&lt;Year&gt;1996&lt;/Year&gt;&lt;IDText&gt;Fault zone architecture and permeability structure&lt;/IDText&gt;&lt;DisplayText&gt;(1996)&lt;/DisplayText&gt;&lt;record&gt;&lt;dates&gt;&lt;pub-dates&gt;&lt;date&gt;NOV 1996&lt;/date&gt;&lt;/pub-dates&gt;&lt;year&gt;1996&lt;/year&gt;&lt;/dates&gt;&lt;keywords&gt;&lt;keyword&gt;CRYSTALLINE THRUST SHEETS&lt;/keyword&gt;&lt;keyword&gt;SAN-ANDREAS FAULT&lt;/keyword&gt;&lt;keyword&gt;PORE-FLUID&lt;/keyword&gt;&lt;keyword&gt;DEFORMATION&lt;/keyword&gt;&lt;keyword&gt;SWEDEN&lt;/keyword&gt;&lt;keyword&gt;FLOW&lt;/keyword&gt;&lt;keyword&gt;ROCK&lt;/keyword&gt;&lt;keyword&gt;UTAH&lt;/keyword&gt;&lt;/keywords&gt;&lt;isbn&gt;0091-7613&lt;/isbn&gt;&lt;work-type&gt;Article&lt;/work-type&gt;&lt;titles&gt;&lt;title&gt;Fault zone architecture and permeability structure&lt;/title&gt;&lt;secondary-title&gt;Geology&lt;/secondary-title&gt;&lt;/titles&gt;&lt;pages&gt;1025-1028&lt;/pages&gt;&lt;number&gt;11&lt;/number&gt;&lt;contributors&gt;&lt;authors&gt;&lt;author&gt;Caine, JS&lt;/author&gt;&lt;author&gt;Evans, JP&lt;/author&gt;&lt;author&gt;Forster, CB&lt;/author&gt;&lt;/authors&gt;&lt;/contributors&gt;&lt;language&gt;English&lt;/language&gt;&lt;added-date format="utc"&gt;1433474386&lt;/added-date&gt;&lt;ref-type name="Journal Article"&gt;17&lt;/ref-type&gt;&lt;auth-address&gt;Caine, JS (reprint author), UNIV UTAH,DEPT GEOL &amp;amp; GEOPHYS,SALT LAKE CITY,UT 84112, USA&amp;#xD;UTAH STATE UNIV,DEPT GEOL,LOGAN,UT 84322&amp;#xD;UNIV UTAH,DEPT CIVIL &amp;amp; ENVIRONM ENGN,INST EARTH SCI &amp;amp; RESOURCES,SALT LAKE CITY,UT 84112&lt;/auth-address&gt;&lt;rec-number&gt;103&lt;/rec-number&gt;&lt;last-updated-date format="utc"&gt;1433474386&lt;/last-updated-date&gt;&lt;accession-num&gt;WOS:A1996VW09800016&lt;/accession-num&gt;&lt;electronic-resource-num&gt;10.1130/0091-7613(1996)024&amp;lt;1025:FZAAPS&amp;gt;2.3.CO;2&lt;/electronic-resource-num&gt;&lt;volume&gt;24&lt;/volume&gt;&lt;/record&gt;&lt;/Cite&gt;&lt;/EndNote&gt;</w:instrText>
      </w:r>
      <w:r w:rsidR="00084CDD" w:rsidRPr="00BB207D">
        <w:fldChar w:fldCharType="separate"/>
      </w:r>
      <w:r w:rsidR="00BB207D" w:rsidRPr="00BB207D">
        <w:rPr>
          <w:noProof/>
        </w:rPr>
        <w:t>(1996)</w:t>
      </w:r>
      <w:r w:rsidR="00084CDD" w:rsidRPr="00BB207D">
        <w:fldChar w:fldCharType="end"/>
      </w:r>
      <w:r w:rsidR="00BB207D">
        <w:t xml:space="preserve"> </w:t>
      </w:r>
      <w:r>
        <w:t>proposed a number of fluid flow conceptualisations based on this fault characterisation (</w:t>
      </w:r>
      <w:r w:rsidR="00084CDD">
        <w:fldChar w:fldCharType="begin"/>
      </w:r>
      <w:r w:rsidR="00BB207D">
        <w:instrText xml:space="preserve"> REF _Ref422323277 \h </w:instrText>
      </w:r>
      <w:r w:rsidR="00084CDD">
        <w:fldChar w:fldCharType="separate"/>
      </w:r>
      <w:r w:rsidR="00C52E30">
        <w:t xml:space="preserve">Table </w:t>
      </w:r>
      <w:r w:rsidR="00C52E30">
        <w:rPr>
          <w:noProof/>
        </w:rPr>
        <w:t>7</w:t>
      </w:r>
      <w:r w:rsidR="00084CDD">
        <w:fldChar w:fldCharType="end"/>
      </w:r>
      <w:r>
        <w:t xml:space="preserve">) including both conduits and barriers to flow, as well as mixed conceptualisations. More recent conceptualisations of fault zones in crystalline rock consider the presence of multiple fault cores as well as the geometric architecture of faults in three dimensions, in addition to heterogeneity in the permeability of fault rocks and fractures </w:t>
      </w:r>
      <w:r w:rsidR="00084CDD">
        <w:fldChar w:fldCharType="begin">
          <w:fldData xml:space="preserve">PEVuZE5vdGU+PENpdGU+PEF1dGhvcj5GYXVsa25lcjwvQXV0aG9yPjxZZWFyPjIwMTA8L1llYXI+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=
</w:fldData>
        </w:fldChar>
      </w:r>
      <w:r w:rsidR="00BB207D">
        <w:instrText xml:space="preserve"> ADDIN EN.CITE </w:instrText>
      </w:r>
      <w:r w:rsidR="00084CDD">
        <w:fldChar w:fldCharType="begin">
          <w:fldData xml:space="preserve">PEVuZE5vdGU+PENpdGU+PEF1dGhvcj5GYXVsa25lcjwvQXV0aG9yPjxZZWFyPjIwMTA8L1llYXI+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=
</w:fldData>
        </w:fldChar>
      </w:r>
      <w:r w:rsidR="00BB207D">
        <w:instrText xml:space="preserve"> ADDIN EN.CITE.DATA </w:instrText>
      </w:r>
      <w:r w:rsidR="00084CDD">
        <w:fldChar w:fldCharType="end"/>
      </w:r>
      <w:r w:rsidR="00084CDD">
        <w:fldChar w:fldCharType="separate"/>
      </w:r>
      <w:r w:rsidR="00BB207D">
        <w:rPr>
          <w:noProof/>
        </w:rPr>
        <w:t>(Faulkner et al., 2010)</w:t>
      </w:r>
      <w:r w:rsidR="00084CDD">
        <w:fldChar w:fldCharType="end"/>
      </w:r>
      <w:r>
        <w:t>.</w:t>
      </w:r>
      <w:r w:rsidR="009D79A6">
        <w:t xml:space="preserve"> </w:t>
      </w:r>
      <w:r w:rsidR="0070708B">
        <w:t xml:space="preserve">A </w:t>
      </w:r>
      <w:r w:rsidR="009D79A6">
        <w:t>three</w:t>
      </w:r>
      <w:r w:rsidR="0070708B">
        <w:t>-</w:t>
      </w:r>
      <w:r w:rsidR="009D79A6">
        <w:t xml:space="preserve">dimensional </w:t>
      </w:r>
      <w:r w:rsidR="0070708B">
        <w:t>conceptualisation (</w:t>
      </w:r>
      <w:r w:rsidR="00084CDD">
        <w:fldChar w:fldCharType="begin"/>
      </w:r>
      <w:r w:rsidR="009168D1">
        <w:instrText xml:space="preserve"> REF _Ref436657043 \h </w:instrText>
      </w:r>
      <w:r w:rsidR="00084CDD">
        <w:fldChar w:fldCharType="separate"/>
      </w:r>
      <w:r w:rsidR="00C52E30">
        <w:t xml:space="preserve">Figure </w:t>
      </w:r>
      <w:r w:rsidR="00C52E30">
        <w:rPr>
          <w:noProof/>
        </w:rPr>
        <w:t>40</w:t>
      </w:r>
      <w:r w:rsidR="00084CDD">
        <w:fldChar w:fldCharType="end"/>
      </w:r>
      <w:r w:rsidR="0070708B">
        <w:t>)</w:t>
      </w:r>
      <w:r w:rsidR="009D79A6">
        <w:t xml:space="preserve"> illustrates the additional complexity of fault architecture in groundwater flow and hence the necessity for the development of 3-D (rather than 2-D) groundwater flow models.</w:t>
      </w:r>
    </w:p>
    <w:p w14:paraId="62A99FF3" w14:textId="77777777" w:rsidR="009D79A6" w:rsidRDefault="009D79A6" w:rsidP="00166890">
      <w:pPr>
        <w:pStyle w:val="Body"/>
      </w:pPr>
    </w:p>
    <w:p w14:paraId="206A1D39" w14:textId="77777777" w:rsidR="00B14599" w:rsidRDefault="0070708B">
      <w:pPr>
        <w:pStyle w:val="Body"/>
        <w:jc w:val="center"/>
      </w:pPr>
      <w:r>
        <w:rPr>
          <w:noProof/>
          <w:lang w:val="en-AU" w:eastAsia="en-AU"/>
        </w:rPr>
        <w:drawing>
          <wp:inline distT="0" distB="0" distL="0" distR="0" wp14:anchorId="08408DD7" wp14:editId="66C8D3CD">
            <wp:extent cx="4670854" cy="3735414"/>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srcRect l="17057" t="49521" r="12929" b="15210"/>
                    <a:stretch>
                      <a:fillRect/>
                    </a:stretch>
                  </pic:blipFill>
                  <pic:spPr bwMode="auto">
                    <a:xfrm>
                      <a:off x="0" y="0"/>
                      <a:ext cx="4680108" cy="3742815"/>
                    </a:xfrm>
                    <a:prstGeom prst="rect">
                      <a:avLst/>
                    </a:prstGeom>
                    <a:noFill/>
                    <a:ln w="9525">
                      <a:noFill/>
                      <a:miter lim="800000"/>
                      <a:headEnd/>
                      <a:tailEnd/>
                    </a:ln>
                  </pic:spPr>
                </pic:pic>
              </a:graphicData>
            </a:graphic>
          </wp:inline>
        </w:drawing>
      </w:r>
    </w:p>
    <w:p w14:paraId="21EFD56C" w14:textId="18D6DD4C" w:rsidR="00B14599" w:rsidRDefault="006805C4">
      <w:pPr>
        <w:pStyle w:val="Imagecaption"/>
      </w:pPr>
      <w:bookmarkStart w:id="207" w:name="_Ref436657043"/>
      <w:bookmarkStart w:id="208" w:name="_Toc449696330"/>
      <w:r>
        <w:t xml:space="preserve">Figure </w:t>
      </w:r>
      <w:r w:rsidR="00084CDD">
        <w:fldChar w:fldCharType="begin"/>
      </w:r>
      <w:r>
        <w:instrText xml:space="preserve"> SEQ Figure \* ARABIC </w:instrText>
      </w:r>
      <w:r w:rsidR="00084CDD">
        <w:fldChar w:fldCharType="separate"/>
      </w:r>
      <w:r w:rsidR="00C52E30">
        <w:rPr>
          <w:noProof/>
        </w:rPr>
        <w:t>40</w:t>
      </w:r>
      <w:r w:rsidR="00084CDD">
        <w:fldChar w:fldCharType="end"/>
      </w:r>
      <w:bookmarkEnd w:id="207"/>
      <w:r>
        <w:t xml:space="preserve">. </w:t>
      </w:r>
      <w:r w:rsidR="009168D1">
        <w:t>Three-dimensional conceptualisation</w:t>
      </w:r>
      <w:r w:rsidR="003D0503">
        <w:t xml:space="preserve"> </w:t>
      </w:r>
      <w:r w:rsidR="009168D1">
        <w:t>of fault zone geometry, including fault, damage and relay zones, and showing the locations of multiple fault cores</w:t>
      </w:r>
      <w:r>
        <w:t xml:space="preserve"> (</w:t>
      </w:r>
      <w:r w:rsidR="0070708B">
        <w:t>Childs et al., 2009</w:t>
      </w:r>
      <w:r>
        <w:t>).</w:t>
      </w:r>
      <w:bookmarkEnd w:id="208"/>
    </w:p>
    <w:p w14:paraId="08DB4F2E" w14:textId="77777777" w:rsidR="009940CF" w:rsidRDefault="009940CF" w:rsidP="00166890">
      <w:pPr>
        <w:pStyle w:val="Body"/>
      </w:pPr>
    </w:p>
    <w:p w14:paraId="60793B00" w14:textId="77777777" w:rsidR="00CF7D57" w:rsidRDefault="00166890" w:rsidP="00166890">
      <w:pPr>
        <w:pStyle w:val="Body"/>
      </w:pPr>
      <w:r>
        <w:t xml:space="preserve">While the characterisation of faults has historically been focused on deep crystalline media </w:t>
      </w:r>
      <w:r w:rsidR="00AC7248">
        <w:t xml:space="preserve"> </w:t>
      </w:r>
      <w:r w:rsidR="00084CDD">
        <w:fldChar w:fldCharType="begin"/>
      </w:r>
      <w:r w:rsidR="00AC7248">
        <w:instrText xml:space="preserve"> ADDIN EN.CITE &lt;EndNote&gt;&lt;Cite&gt;&lt;Author&gt;Loveless&lt;/Author&gt;&lt;Year&gt;2011&lt;/Year&gt;&lt;IDText&gt;Fault architecture and deformation processes within poorly lithified rift sediments, Central Greece&lt;/IDText&gt;&lt;DisplayText&gt;(Loveless et al., 2011)&lt;/DisplayText&gt;&lt;record&gt;&lt;isbn&gt;0191-8141&lt;/isbn&gt;&lt;titles&gt;&lt;title&gt;Fault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fldChar w:fldCharType="separate"/>
      </w:r>
      <w:r w:rsidR="00AC7248">
        <w:rPr>
          <w:noProof/>
        </w:rPr>
        <w:t>(Loveless et al., 2011)</w:t>
      </w:r>
      <w:r w:rsidR="00084CDD">
        <w:fldChar w:fldCharType="end"/>
      </w:r>
      <w:r>
        <w:t>, a handful of studies have also considered shallow unconsolidated environments</w:t>
      </w:r>
      <w:r w:rsidR="00BB207D">
        <w:t xml:space="preserve"> </w:t>
      </w:r>
      <w:r w:rsidR="00084CDD">
        <w:fldChar w:fldCharType="begin">
          <w:fldData xml:space="preserve">PEVuZE5vdGU+PENpdGU+PEF1dGhvcj5DYWluZTwvQXV0aG9yPjxZZWFyPjIwMDk8L1llYXI+PElE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</w:fldData>
        </w:fldChar>
      </w:r>
      <w:r w:rsidR="00BB207D">
        <w:instrText xml:space="preserve"> ADDIN EN.CITE </w:instrText>
      </w:r>
      <w:r w:rsidR="00084CDD">
        <w:fldChar w:fldCharType="begin">
          <w:fldData xml:space="preserve">PEVuZE5vdGU+PENpdGU+PEF1dGhvcj5DYWluZTwvQXV0aG9yPjxZZWFyPjIwMDk8L1llYXI+PElE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</w:fldData>
        </w:fldChar>
      </w:r>
      <w:r w:rsidR="00BB207D">
        <w:instrText xml:space="preserve"> ADDIN EN.CITE.DATA </w:instrText>
      </w:r>
      <w:r w:rsidR="00084CDD">
        <w:fldChar w:fldCharType="end"/>
      </w:r>
      <w:r w:rsidR="00084CDD">
        <w:fldChar w:fldCharType="separate"/>
      </w:r>
      <w:r w:rsidR="00BB207D">
        <w:rPr>
          <w:noProof/>
        </w:rPr>
        <w:t>(Caine and Minor, 2009; Heynekamp et al., 1999; Rawling et al., 2001)</w:t>
      </w:r>
      <w:r w:rsidR="00084CDD">
        <w:fldChar w:fldCharType="end"/>
      </w:r>
      <w:r>
        <w:t xml:space="preserve">. In these publications shallow faults are characterised as consisting of a fault core, a damage zone and a third ‘mixed‘ zone. The latter zone can consist of variably deformed, entrained and attenuated beds that are rotated parallel to the fault zone, forming smears along the fault trace with a continuous displacement geometry </w:t>
      </w:r>
      <w:r w:rsidR="00084CDD">
        <w:fldChar w:fldCharType="begin"/>
      </w:r>
      <w:r w:rsidR="00BB207D">
        <w:instrText xml:space="preserve"> ADDIN EN.CITE &lt;EndNote&gt;&lt;Cite&gt;&lt;Author&gt;Loveless&lt;/Author&gt;&lt;Year&gt;2011&lt;/Year&gt;&lt;IDText&gt;Fault architecture and deformation processes within poorly lithified rift sediments, Central Greece&lt;/IDText&gt;&lt;DisplayText&gt;(Loveless et al., 2011)&lt;/DisplayText&gt;&lt;record&gt;&lt;isbn&gt;0191-8141&lt;/isbn&gt;&lt;titles&gt;&lt;title&gt;Fault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fldChar w:fldCharType="separate"/>
      </w:r>
      <w:r w:rsidR="00BB207D">
        <w:rPr>
          <w:noProof/>
        </w:rPr>
        <w:t>(Loveless et al., 2011)</w:t>
      </w:r>
      <w:r w:rsidR="00084CDD">
        <w:fldChar w:fldCharType="end"/>
      </w:r>
      <w:r>
        <w:t xml:space="preserve">. Other studies have examined shallow faults for which the fault core is entirely absent </w:t>
      </w:r>
      <w:r w:rsidR="00084CDD">
        <w:fldChar w:fldCharType="begin"/>
      </w:r>
      <w:r w:rsidR="00BB207D">
        <w:instrText xml:space="preserve"> ADDIN EN.CITE &lt;EndNote&gt;&lt;Cite&gt;&lt;Author&gt;Balsamo&lt;/Author&gt;&lt;Year&gt;2010&lt;/Year&gt;&lt;IDText&gt;Grain size and permeability evolution of soft-sediment extensional sub-seismic and seismic fault zones in high-porosity sediments from the Crotone basin, southern Apennines, Italy&lt;/IDText&gt;&lt;DisplayText&gt;(Balsamo and Storti, 2010; Loveless et al., 2011)&lt;/DisplayText&gt;&lt;record&gt;&lt;isbn&gt;0264-8172&lt;/isbn&gt;&lt;titles&gt;&lt;title&gt;Grain size and permeability evolution of soft-sediment extensional sub-seismic and seismic fault zones in high-porosity sediments from the Crotone basin, southern Apennines, Italy&lt;/title&gt;&lt;secondary-title&gt;Marine and Petroleum Geology&lt;/secondary-title&gt;&lt;/titles&gt;&lt;pages&gt;822-837&lt;/pages&gt;&lt;number&gt;4&lt;/number&gt;&lt;contributors&gt;&lt;authors&gt;&lt;author&gt;Balsamo, F&lt;/author&gt;&lt;author&gt;Storti, F&lt;/author&gt;&lt;/authors&gt;&lt;/contributors&gt;&lt;added-date format="utc"&gt;1439527789&lt;/added-date&gt;&lt;ref-type name="Journal Article"&gt;17&lt;/ref-type&gt;&lt;dates&gt;&lt;year&gt;2010&lt;/year&gt;&lt;/dates&gt;&lt;rec-number&gt;1224&lt;/rec-number&gt;&lt;last-updated-date format="utc"&gt;1439527789&lt;/last-updated-date&gt;&lt;volume&gt;27&lt;/volume&gt;&lt;/record&gt;&lt;/Cite&gt;&lt;Cite&gt;&lt;Author&gt;Loveless&lt;/Author&gt;&lt;Year&gt;2011&lt;/Year&gt;&lt;IDText&gt;Fault architecture and deformation processes within poorly lithified rift sediments, Central Greece&lt;/IDText&gt;&lt;record&gt;&lt;isbn&gt;0191-8141&lt;/isbn&gt;&lt;titles&gt;&lt;title&gt;Fault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fldChar w:fldCharType="separate"/>
      </w:r>
      <w:r w:rsidR="00BB207D">
        <w:rPr>
          <w:noProof/>
        </w:rPr>
        <w:t>(Balsamo and Storti, 2010; Loveless et al., 2011)</w:t>
      </w:r>
      <w:r w:rsidR="00084CDD">
        <w:fldChar w:fldCharType="end"/>
      </w:r>
      <w:r>
        <w:t xml:space="preserve">. The absence of low permeability clay fault cores (or shear deformation bands) is potentially of hydrological significance, since these typically act as barriers to cross-fault fluid flow </w:t>
      </w:r>
      <w:r w:rsidR="00AC7248">
        <w:t xml:space="preserve"> </w:t>
      </w:r>
      <w:r w:rsidR="00084CDD">
        <w:fldChar w:fldCharType="begin"/>
      </w:r>
      <w:r w:rsidR="00AC7248">
        <w:instrText xml:space="preserve"> ADDIN EN.CITE &lt;EndNote&gt;&lt;Cite&gt;&lt;Author&gt;Loveless&lt;/Author&gt;&lt;Year&gt;2011&lt;/Year&gt;&lt;IDText&gt;Fault architecture and deformation processes within poorly lithified rift sediments, Central Greece&lt;/IDText&gt;&lt;DisplayText&gt;(Loveless et al., 2011)&lt;/DisplayText&gt;&lt;record&gt;&lt;isbn&gt;0191-8141&lt;/isbn&gt;&lt;titles&gt;&lt;title&gt;Fault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fldChar w:fldCharType="separate"/>
      </w:r>
      <w:r w:rsidR="00AC7248">
        <w:rPr>
          <w:noProof/>
        </w:rPr>
        <w:t>(Loveless et al., 2011)</w:t>
      </w:r>
      <w:r w:rsidR="00084CDD">
        <w:fldChar w:fldCharType="end"/>
      </w:r>
      <w:r>
        <w:t>. However, the presence of mixed zones may also impact fluid flow. Depending upon sediment content, mixed zones may act as either as barriers or conduits to cross-fault fluid flow</w:t>
      </w:r>
      <w:r w:rsidR="00AC7248">
        <w:t xml:space="preserve"> </w:t>
      </w:r>
      <w:r w:rsidR="00084CDD">
        <w:fldChar w:fldCharType="begin"/>
      </w:r>
      <w:r w:rsidR="00AC7248">
        <w:instrText xml:space="preserve"> ADDIN EN.CITE &lt;EndNote&gt;&lt;Cite&gt;&lt;Author&gt;Loveless&lt;/Author&gt;&lt;Year&gt;2011&lt;/Year&gt;&lt;IDText&gt;Fault architecture and deformation processes within poorly lithified rift sediments, Central Greece&lt;/IDText&gt;&lt;DisplayText&gt;(Loveless et al., 2011)&lt;/DisplayText&gt;&lt;record&gt;&lt;isbn&gt;0191-8141&lt;/isbn&gt;&lt;titles&gt;&lt;title&gt;Fault architecture and deformation processes within poorly lithified rift sediments, Central Greece&lt;/title&gt;&lt;secondary-title&gt;Journal of Structural Geology&lt;/secondary-title&gt;&lt;/titles&gt;&lt;pages&gt;1554-1568&lt;/pages&gt;&lt;number&gt;11&lt;/number&gt;&lt;contributors&gt;&lt;authors&gt;&lt;author&gt;Loveless, Sian&lt;/author&gt;&lt;author&gt;Bense, Victor&lt;/author&gt;&lt;author&gt;Turner, Jenni&lt;/author&gt;&lt;/authors&gt;&lt;/contributors&gt;&lt;added-date format="utc"&gt;1439526804&lt;/added-date&gt;&lt;ref-type name="Journal Article"&gt;17&lt;/ref-type&gt;&lt;dates&gt;&lt;year&gt;2011&lt;/year&gt;&lt;/dates&gt;&lt;rec-number&gt;1219&lt;/rec-number&gt;&lt;last-updated-date format="utc"&gt;1439526804&lt;/last-updated-date&gt;&lt;volume&gt;33&lt;/volume&gt;&lt;/record&gt;&lt;/Cite&gt;&lt;/EndNote&gt;</w:instrText>
      </w:r>
      <w:r w:rsidR="00084CDD">
        <w:fldChar w:fldCharType="separate"/>
      </w:r>
      <w:r w:rsidR="00AC7248">
        <w:rPr>
          <w:noProof/>
        </w:rPr>
        <w:t>(Loveless et al., 2011)</w:t>
      </w:r>
      <w:r w:rsidR="00084CDD">
        <w:fldChar w:fldCharType="end"/>
      </w:r>
      <w:r w:rsidR="00EE7CB3">
        <w:t>.</w:t>
      </w:r>
    </w:p>
    <w:p w14:paraId="25D95E0C" w14:textId="77777777" w:rsidR="00822A4E" w:rsidRDefault="00822A4E" w:rsidP="00091FAE">
      <w:pPr>
        <w:pStyle w:val="Body"/>
      </w:pPr>
    </w:p>
    <w:p w14:paraId="1EF9AD2E" w14:textId="77777777" w:rsidR="005A52EC" w:rsidRDefault="007512E8" w:rsidP="00481F85">
      <w:pPr>
        <w:pStyle w:val="Imagecaption"/>
        <w:keepNext/>
        <w:pBdr>
          <w:top w:val="none" w:sz="0" w:space="0" w:color="auto"/>
        </w:pBdr>
      </w:pPr>
      <w:bookmarkStart w:id="209" w:name="_Ref422323277"/>
      <w:bookmarkStart w:id="210" w:name="_Toc422322989"/>
      <w:bookmarkStart w:id="211" w:name="_Toc449696227"/>
      <w:r>
        <w:t xml:space="preserve">Table </w:t>
      </w:r>
      <w:r w:rsidR="00084CDD">
        <w:fldChar w:fldCharType="begin"/>
      </w:r>
      <w:r>
        <w:instrText xml:space="preserve"> SEQ Table \* ARABIC </w:instrText>
      </w:r>
      <w:r w:rsidR="00084CDD">
        <w:fldChar w:fldCharType="separate"/>
      </w:r>
      <w:r w:rsidR="00C52E30">
        <w:rPr>
          <w:noProof/>
        </w:rPr>
        <w:t>7</w:t>
      </w:r>
      <w:r w:rsidR="00084CDD">
        <w:fldChar w:fldCharType="end"/>
      </w:r>
      <w:bookmarkEnd w:id="209"/>
      <w:r w:rsidR="005A52EC">
        <w:t xml:space="preserve">. Fault zone architectural styles and permeability structures (after Caine </w:t>
      </w:r>
      <w:r w:rsidR="00810442">
        <w:t xml:space="preserve">et al., </w:t>
      </w:r>
      <w:r w:rsidR="005A52EC">
        <w:t>1996)</w:t>
      </w:r>
      <w:bookmarkEnd w:id="210"/>
      <w:bookmarkEnd w:id="211"/>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2693"/>
        <w:gridCol w:w="1277"/>
        <w:gridCol w:w="1275"/>
        <w:gridCol w:w="2509"/>
      </w:tblGrid>
      <w:tr w:rsidR="00481F85" w:rsidRPr="00523374" w14:paraId="5A63B939" w14:textId="77777777" w:rsidTr="00523374">
        <w:trPr>
          <w:trHeight w:val="567"/>
        </w:trPr>
        <w:tc>
          <w:tcPr>
            <w:tcW w:w="1526" w:type="dxa"/>
            <w:tcBorders>
              <w:top w:val="single" w:sz="4" w:space="0" w:color="auto"/>
              <w:bottom w:val="single" w:sz="4" w:space="0" w:color="auto"/>
            </w:tcBorders>
            <w:shd w:val="clear" w:color="auto" w:fill="F2F2F2" w:themeFill="background1" w:themeFillShade="F2"/>
            <w:vAlign w:val="bottom"/>
          </w:tcPr>
          <w:p w14:paraId="6B7587BD" w14:textId="77777777" w:rsidR="005A52EC" w:rsidRPr="00523374" w:rsidRDefault="005A52EC" w:rsidP="00523374">
            <w:pPr>
              <w:pStyle w:val="Body"/>
              <w:keepNext/>
              <w:spacing w:before="40" w:after="40" w:line="240" w:lineRule="auto"/>
            </w:pPr>
            <w:r w:rsidRPr="00523374">
              <w:t>Permeability structure</w:t>
            </w:r>
          </w:p>
        </w:tc>
        <w:tc>
          <w:tcPr>
            <w:tcW w:w="2693" w:type="dxa"/>
            <w:tcBorders>
              <w:top w:val="single" w:sz="4" w:space="0" w:color="auto"/>
              <w:bottom w:val="single" w:sz="4" w:space="0" w:color="auto"/>
            </w:tcBorders>
            <w:shd w:val="clear" w:color="auto" w:fill="F2F2F2" w:themeFill="background1" w:themeFillShade="F2"/>
            <w:vAlign w:val="bottom"/>
          </w:tcPr>
          <w:p w14:paraId="16E5492F" w14:textId="77777777" w:rsidR="005A52EC" w:rsidRPr="00523374" w:rsidRDefault="004662C5" w:rsidP="00523374">
            <w:pPr>
              <w:pStyle w:val="Body"/>
              <w:keepNext/>
              <w:spacing w:before="40" w:after="40" w:line="240" w:lineRule="auto"/>
            </w:pPr>
            <w:r w:rsidRPr="00523374">
              <w:t>Example a</w:t>
            </w:r>
            <w:r w:rsidR="005A52EC" w:rsidRPr="00523374">
              <w:t>rchitectural style</w:t>
            </w:r>
          </w:p>
        </w:tc>
        <w:tc>
          <w:tcPr>
            <w:tcW w:w="1277" w:type="dxa"/>
            <w:tcBorders>
              <w:top w:val="single" w:sz="4" w:space="0" w:color="auto"/>
              <w:bottom w:val="single" w:sz="4" w:space="0" w:color="auto"/>
            </w:tcBorders>
            <w:shd w:val="clear" w:color="auto" w:fill="F2F2F2" w:themeFill="background1" w:themeFillShade="F2"/>
            <w:vAlign w:val="bottom"/>
          </w:tcPr>
          <w:p w14:paraId="75355CB9" w14:textId="77777777" w:rsidR="005A52EC" w:rsidRPr="00523374" w:rsidRDefault="005F3F76" w:rsidP="00523374">
            <w:pPr>
              <w:pStyle w:val="Body"/>
              <w:keepNext/>
              <w:spacing w:before="40" w:after="40" w:line="240" w:lineRule="auto"/>
            </w:pPr>
            <w:r w:rsidRPr="00523374">
              <w:t>F</w:t>
            </w:r>
            <w:r w:rsidR="005A52EC" w:rsidRPr="00523374">
              <w:t>ault core</w:t>
            </w:r>
            <w:r w:rsidRPr="00523374">
              <w:t xml:space="preserve"> development</w:t>
            </w:r>
          </w:p>
        </w:tc>
        <w:tc>
          <w:tcPr>
            <w:tcW w:w="1275" w:type="dxa"/>
            <w:tcBorders>
              <w:top w:val="single" w:sz="4" w:space="0" w:color="auto"/>
              <w:bottom w:val="single" w:sz="4" w:space="0" w:color="auto"/>
            </w:tcBorders>
            <w:shd w:val="clear" w:color="auto" w:fill="F2F2F2" w:themeFill="background1" w:themeFillShade="F2"/>
            <w:vAlign w:val="bottom"/>
          </w:tcPr>
          <w:p w14:paraId="1B331E72" w14:textId="77777777" w:rsidR="005A52EC" w:rsidRPr="00523374" w:rsidRDefault="005A52EC" w:rsidP="00523374">
            <w:pPr>
              <w:pStyle w:val="Body"/>
              <w:keepNext/>
              <w:spacing w:before="40" w:after="40" w:line="240" w:lineRule="auto"/>
            </w:pPr>
            <w:r w:rsidRPr="00523374">
              <w:t>Damage zone</w:t>
            </w:r>
            <w:r w:rsidR="005F3F76" w:rsidRPr="00523374">
              <w:t xml:space="preserve"> development</w:t>
            </w:r>
          </w:p>
        </w:tc>
        <w:tc>
          <w:tcPr>
            <w:tcW w:w="2509" w:type="dxa"/>
            <w:tcBorders>
              <w:top w:val="single" w:sz="4" w:space="0" w:color="auto"/>
              <w:bottom w:val="single" w:sz="4" w:space="0" w:color="auto"/>
            </w:tcBorders>
            <w:shd w:val="clear" w:color="auto" w:fill="F2F2F2" w:themeFill="background1" w:themeFillShade="F2"/>
            <w:vAlign w:val="bottom"/>
          </w:tcPr>
          <w:p w14:paraId="1323AAFF" w14:textId="77777777" w:rsidR="005A52EC" w:rsidRPr="00523374" w:rsidRDefault="005F3F76" w:rsidP="00523374">
            <w:pPr>
              <w:pStyle w:val="Body"/>
              <w:keepNext/>
              <w:spacing w:before="40" w:after="40" w:line="240" w:lineRule="auto"/>
            </w:pPr>
            <w:r w:rsidRPr="00523374">
              <w:t xml:space="preserve">Suggested </w:t>
            </w:r>
            <w:r w:rsidR="005A52EC" w:rsidRPr="00523374">
              <w:t>flow model</w:t>
            </w:r>
            <w:r w:rsidRPr="00523374">
              <w:t xml:space="preserve"> representation</w:t>
            </w:r>
          </w:p>
        </w:tc>
      </w:tr>
      <w:tr w:rsidR="00481F85" w14:paraId="25AC81DA" w14:textId="77777777" w:rsidTr="00B86833">
        <w:trPr>
          <w:trHeight w:val="567"/>
        </w:trPr>
        <w:tc>
          <w:tcPr>
            <w:tcW w:w="1526" w:type="dxa"/>
            <w:tcBorders>
              <w:top w:val="single" w:sz="4" w:space="0" w:color="auto"/>
            </w:tcBorders>
          </w:tcPr>
          <w:p w14:paraId="3EC5AF93" w14:textId="77777777" w:rsidR="005F3F76" w:rsidRDefault="005F3F76" w:rsidP="00F14A0D">
            <w:pPr>
              <w:pStyle w:val="Body"/>
              <w:keepNext/>
              <w:spacing w:before="120" w:after="40" w:line="240" w:lineRule="auto"/>
            </w:pPr>
            <w:r>
              <w:t>Localised conduit</w:t>
            </w:r>
          </w:p>
        </w:tc>
        <w:tc>
          <w:tcPr>
            <w:tcW w:w="2693" w:type="dxa"/>
            <w:tcBorders>
              <w:top w:val="single" w:sz="4" w:space="0" w:color="auto"/>
            </w:tcBorders>
          </w:tcPr>
          <w:p w14:paraId="40ED7B82" w14:textId="77777777" w:rsidR="005F3F76" w:rsidRDefault="005F3F76" w:rsidP="00F14A0D">
            <w:pPr>
              <w:pStyle w:val="Body"/>
              <w:keepNext/>
              <w:spacing w:before="120" w:after="40" w:line="240" w:lineRule="auto"/>
            </w:pPr>
            <w:r>
              <w:t>Localised slip fault</w:t>
            </w:r>
            <w:r w:rsidR="004662C5">
              <w:t xml:space="preserve"> along a single surface or multiple planes</w:t>
            </w:r>
          </w:p>
        </w:tc>
        <w:tc>
          <w:tcPr>
            <w:tcW w:w="1277" w:type="dxa"/>
            <w:tcBorders>
              <w:top w:val="single" w:sz="4" w:space="0" w:color="auto"/>
            </w:tcBorders>
          </w:tcPr>
          <w:p w14:paraId="71A813A6" w14:textId="77777777" w:rsidR="005F3F76" w:rsidRDefault="005F3F76" w:rsidP="00F14A0D">
            <w:pPr>
              <w:pStyle w:val="Body"/>
              <w:keepNext/>
              <w:spacing w:before="120" w:after="40" w:line="240" w:lineRule="auto"/>
              <w:jc w:val="center"/>
            </w:pPr>
            <w:r>
              <w:t>Low</w:t>
            </w:r>
          </w:p>
        </w:tc>
        <w:tc>
          <w:tcPr>
            <w:tcW w:w="1275" w:type="dxa"/>
            <w:tcBorders>
              <w:top w:val="single" w:sz="4" w:space="0" w:color="auto"/>
            </w:tcBorders>
          </w:tcPr>
          <w:p w14:paraId="5806B6F2" w14:textId="77777777" w:rsidR="005F3F76" w:rsidRDefault="005F3F76" w:rsidP="00F14A0D">
            <w:pPr>
              <w:pStyle w:val="Body"/>
              <w:keepNext/>
              <w:spacing w:before="120" w:after="40" w:line="240" w:lineRule="auto"/>
              <w:jc w:val="center"/>
            </w:pPr>
            <w:r>
              <w:t>Low</w:t>
            </w:r>
          </w:p>
        </w:tc>
        <w:tc>
          <w:tcPr>
            <w:tcW w:w="2509" w:type="dxa"/>
            <w:tcBorders>
              <w:top w:val="single" w:sz="4" w:space="0" w:color="auto"/>
            </w:tcBorders>
          </w:tcPr>
          <w:p w14:paraId="14A554A2" w14:textId="77777777" w:rsidR="005F3F76" w:rsidRDefault="005F3F76" w:rsidP="00F14A0D">
            <w:pPr>
              <w:pStyle w:val="Body"/>
              <w:keepNext/>
              <w:spacing w:before="120" w:after="40" w:line="240" w:lineRule="auto"/>
            </w:pPr>
            <w:r>
              <w:t>Discrete fracture networks simulated as parallel conduits</w:t>
            </w:r>
          </w:p>
        </w:tc>
      </w:tr>
      <w:tr w:rsidR="00481F85" w14:paraId="2AC8A573" w14:textId="77777777" w:rsidTr="00B86833">
        <w:trPr>
          <w:trHeight w:val="567"/>
        </w:trPr>
        <w:tc>
          <w:tcPr>
            <w:tcW w:w="1526" w:type="dxa"/>
          </w:tcPr>
          <w:p w14:paraId="65FE481B" w14:textId="77777777" w:rsidR="005F3F76" w:rsidRDefault="005F3F76" w:rsidP="00F14A0D">
            <w:pPr>
              <w:pStyle w:val="Body"/>
              <w:keepNext/>
              <w:spacing w:before="120" w:after="40" w:line="240" w:lineRule="auto"/>
            </w:pPr>
            <w:r>
              <w:t>Distributed conduit</w:t>
            </w:r>
          </w:p>
        </w:tc>
        <w:tc>
          <w:tcPr>
            <w:tcW w:w="2693" w:type="dxa"/>
          </w:tcPr>
          <w:p w14:paraId="672131B0" w14:textId="77777777" w:rsidR="005F3F76" w:rsidRDefault="005F3F76" w:rsidP="00F14A0D">
            <w:pPr>
              <w:pStyle w:val="Body"/>
              <w:keepNext/>
              <w:spacing w:before="120" w:after="40" w:line="240" w:lineRule="auto"/>
            </w:pPr>
            <w:r>
              <w:t>Distributed slip fault</w:t>
            </w:r>
            <w:r w:rsidR="004662C5">
              <w:t xml:space="preserve"> accommodated along multiple surfaces</w:t>
            </w:r>
          </w:p>
        </w:tc>
        <w:tc>
          <w:tcPr>
            <w:tcW w:w="1277" w:type="dxa"/>
          </w:tcPr>
          <w:p w14:paraId="7F7C0CC4" w14:textId="77777777" w:rsidR="005F3F76" w:rsidRDefault="005F3F76" w:rsidP="00F14A0D">
            <w:pPr>
              <w:pStyle w:val="Body"/>
              <w:keepNext/>
              <w:spacing w:before="120" w:after="40" w:line="240" w:lineRule="auto"/>
              <w:jc w:val="center"/>
            </w:pPr>
            <w:r>
              <w:t>Low</w:t>
            </w:r>
          </w:p>
        </w:tc>
        <w:tc>
          <w:tcPr>
            <w:tcW w:w="1275" w:type="dxa"/>
          </w:tcPr>
          <w:p w14:paraId="5502C79E" w14:textId="77777777" w:rsidR="005F3F76" w:rsidRDefault="005F3F76" w:rsidP="00F14A0D">
            <w:pPr>
              <w:pStyle w:val="Body"/>
              <w:keepNext/>
              <w:spacing w:before="120" w:after="40" w:line="240" w:lineRule="auto"/>
              <w:jc w:val="center"/>
            </w:pPr>
            <w:r>
              <w:t>High</w:t>
            </w:r>
          </w:p>
        </w:tc>
        <w:tc>
          <w:tcPr>
            <w:tcW w:w="2509" w:type="dxa"/>
          </w:tcPr>
          <w:p w14:paraId="66B0E185" w14:textId="77777777" w:rsidR="005F3F76" w:rsidRDefault="005F3F76" w:rsidP="00F14A0D">
            <w:pPr>
              <w:pStyle w:val="Body"/>
              <w:keepNext/>
              <w:spacing w:before="120" w:after="40" w:line="240" w:lineRule="auto"/>
            </w:pPr>
            <w:r>
              <w:t>Equivalent porous medium</w:t>
            </w:r>
          </w:p>
        </w:tc>
      </w:tr>
      <w:tr w:rsidR="00481F85" w14:paraId="0B501731" w14:textId="77777777" w:rsidTr="00B86833">
        <w:trPr>
          <w:trHeight w:val="567"/>
        </w:trPr>
        <w:tc>
          <w:tcPr>
            <w:tcW w:w="1526" w:type="dxa"/>
          </w:tcPr>
          <w:p w14:paraId="6E800976" w14:textId="77777777" w:rsidR="005F3F76" w:rsidRDefault="005F3F76" w:rsidP="00F14A0D">
            <w:pPr>
              <w:pStyle w:val="Body"/>
              <w:keepNext/>
              <w:spacing w:before="120" w:after="40" w:line="240" w:lineRule="auto"/>
            </w:pPr>
            <w:r>
              <w:t>Localised barrier</w:t>
            </w:r>
          </w:p>
        </w:tc>
        <w:tc>
          <w:tcPr>
            <w:tcW w:w="2693" w:type="dxa"/>
          </w:tcPr>
          <w:p w14:paraId="40F7E828" w14:textId="77777777" w:rsidR="005F3F76" w:rsidRDefault="005F3F76" w:rsidP="00F14A0D">
            <w:pPr>
              <w:pStyle w:val="Body"/>
              <w:keepNext/>
              <w:spacing w:before="120" w:after="40" w:line="240" w:lineRule="auto"/>
            </w:pPr>
            <w:r>
              <w:t xml:space="preserve">Localised slip fault </w:t>
            </w:r>
            <w:r w:rsidR="004662C5">
              <w:t xml:space="preserve">accommodated </w:t>
            </w:r>
            <w:r>
              <w:t>within a cataclastic zone</w:t>
            </w:r>
          </w:p>
        </w:tc>
        <w:tc>
          <w:tcPr>
            <w:tcW w:w="1277" w:type="dxa"/>
          </w:tcPr>
          <w:p w14:paraId="01921CC7" w14:textId="77777777" w:rsidR="005F3F76" w:rsidRDefault="005F3F76" w:rsidP="00F14A0D">
            <w:pPr>
              <w:pStyle w:val="Body"/>
              <w:keepNext/>
              <w:spacing w:before="120" w:after="40" w:line="240" w:lineRule="auto"/>
              <w:jc w:val="center"/>
            </w:pPr>
            <w:r>
              <w:t>High</w:t>
            </w:r>
          </w:p>
        </w:tc>
        <w:tc>
          <w:tcPr>
            <w:tcW w:w="1275" w:type="dxa"/>
          </w:tcPr>
          <w:p w14:paraId="5D66B464" w14:textId="77777777" w:rsidR="005F3F76" w:rsidRDefault="005F3F76" w:rsidP="00F14A0D">
            <w:pPr>
              <w:pStyle w:val="Body"/>
              <w:keepNext/>
              <w:spacing w:before="120" w:after="40" w:line="240" w:lineRule="auto"/>
              <w:jc w:val="center"/>
            </w:pPr>
            <w:r>
              <w:t>Low</w:t>
            </w:r>
          </w:p>
        </w:tc>
        <w:tc>
          <w:tcPr>
            <w:tcW w:w="2509" w:type="dxa"/>
          </w:tcPr>
          <w:p w14:paraId="48233FB6" w14:textId="77777777" w:rsidR="005F3F76" w:rsidRDefault="005F3F76" w:rsidP="00F14A0D">
            <w:pPr>
              <w:pStyle w:val="Body"/>
              <w:keepNext/>
              <w:spacing w:before="120" w:after="40" w:line="240" w:lineRule="auto"/>
            </w:pPr>
            <w:r>
              <w:t>Aquitard within an aquifer</w:t>
            </w:r>
          </w:p>
        </w:tc>
      </w:tr>
      <w:tr w:rsidR="00481F85" w14:paraId="5E38EBBE" w14:textId="77777777" w:rsidTr="00B86833">
        <w:trPr>
          <w:trHeight w:val="567"/>
        </w:trPr>
        <w:tc>
          <w:tcPr>
            <w:tcW w:w="1526" w:type="dxa"/>
          </w:tcPr>
          <w:p w14:paraId="1A965FC3" w14:textId="77777777" w:rsidR="005F3F76" w:rsidRDefault="005F3F76" w:rsidP="005F3F76">
            <w:pPr>
              <w:pStyle w:val="Body"/>
              <w:spacing w:before="120" w:after="40" w:line="240" w:lineRule="auto"/>
            </w:pPr>
            <w:r>
              <w:t>Combined conduit–barrier</w:t>
            </w:r>
          </w:p>
        </w:tc>
        <w:tc>
          <w:tcPr>
            <w:tcW w:w="2693" w:type="dxa"/>
          </w:tcPr>
          <w:p w14:paraId="15E46EB8" w14:textId="77777777" w:rsidR="005F3F76" w:rsidRDefault="005F3F76" w:rsidP="005F3F76">
            <w:pPr>
              <w:pStyle w:val="Body"/>
              <w:spacing w:before="120" w:after="40" w:line="240" w:lineRule="auto"/>
            </w:pPr>
            <w:r>
              <w:t>Deformation accommodated within a localised cataclastic zone</w:t>
            </w:r>
          </w:p>
        </w:tc>
        <w:tc>
          <w:tcPr>
            <w:tcW w:w="1277" w:type="dxa"/>
          </w:tcPr>
          <w:p w14:paraId="77784921" w14:textId="77777777" w:rsidR="005F3F76" w:rsidRDefault="005F3F76" w:rsidP="005F3F76">
            <w:pPr>
              <w:pStyle w:val="Body"/>
              <w:spacing w:before="120" w:after="40" w:line="240" w:lineRule="auto"/>
              <w:jc w:val="center"/>
            </w:pPr>
            <w:r>
              <w:t>High</w:t>
            </w:r>
          </w:p>
        </w:tc>
        <w:tc>
          <w:tcPr>
            <w:tcW w:w="1275" w:type="dxa"/>
          </w:tcPr>
          <w:p w14:paraId="5C9A7158" w14:textId="77777777" w:rsidR="005F3F76" w:rsidRDefault="005F3F76" w:rsidP="005F3F76">
            <w:pPr>
              <w:pStyle w:val="Body"/>
              <w:spacing w:before="120" w:after="40" w:line="240" w:lineRule="auto"/>
              <w:jc w:val="center"/>
            </w:pPr>
            <w:r>
              <w:t>High</w:t>
            </w:r>
          </w:p>
        </w:tc>
        <w:tc>
          <w:tcPr>
            <w:tcW w:w="2509" w:type="dxa"/>
          </w:tcPr>
          <w:p w14:paraId="2BFB2EA3" w14:textId="77777777" w:rsidR="005F3F76" w:rsidRDefault="005F3F76" w:rsidP="004662C5">
            <w:pPr>
              <w:pStyle w:val="Body"/>
              <w:spacing w:before="120" w:after="40" w:line="240" w:lineRule="auto"/>
            </w:pPr>
            <w:r>
              <w:t>Aquitard within two aquifers</w:t>
            </w:r>
          </w:p>
        </w:tc>
      </w:tr>
    </w:tbl>
    <w:p w14:paraId="73AABE08" w14:textId="77777777" w:rsidR="00B14599" w:rsidRDefault="00126EDB">
      <w:pPr>
        <w:pStyle w:val="Body"/>
        <w:jc w:val="center"/>
      </w:pPr>
      <w:r>
        <w:rPr>
          <w:noProof/>
          <w:lang w:val="en-AU" w:eastAsia="en-AU"/>
        </w:rPr>
        <w:drawing>
          <wp:inline distT="0" distB="0" distL="0" distR="0" wp14:anchorId="7A0A4636" wp14:editId="3DBE29E6">
            <wp:extent cx="5844746" cy="3418528"/>
            <wp:effectExtent l="0" t="0" r="3810" b="0"/>
            <wp:docPr id="3" name="Picture 1" descr="\\FSSA2-ADL\PI-Home1\tho622\tur25d\OWS_FAM\References\Models_review\Caine_et_al_1996_figure\Caine_et_al_1996_figure_v01_30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SA2-ADL\PI-Home1\tho622\tur25d\OWS_FAM\References\Models_review\Caine_et_al_1996_figure\Caine_et_al_1996_figure_v01_301115.png"/>
                    <pic:cNvPicPr>
                      <a:picLocks noChangeAspect="1" noChangeArrowheads="1"/>
                    </pic:cNvPicPr>
                  </pic:nvPicPr>
                  <pic:blipFill>
                    <a:blip r:embed="rId82"/>
                    <a:srcRect l="12500" t="13007" r="12500" b="17009"/>
                    <a:stretch>
                      <a:fillRect/>
                    </a:stretch>
                  </pic:blipFill>
                  <pic:spPr bwMode="auto">
                    <a:xfrm>
                      <a:off x="0" y="0"/>
                      <a:ext cx="5855400" cy="3424760"/>
                    </a:xfrm>
                    <a:prstGeom prst="rect">
                      <a:avLst/>
                    </a:prstGeom>
                    <a:noFill/>
                    <a:ln w="9525">
                      <a:noFill/>
                      <a:miter lim="800000"/>
                      <a:headEnd/>
                      <a:tailEnd/>
                    </a:ln>
                  </pic:spPr>
                </pic:pic>
              </a:graphicData>
            </a:graphic>
          </wp:inline>
        </w:drawing>
      </w:r>
    </w:p>
    <w:p w14:paraId="784932F6" w14:textId="77777777" w:rsidR="00B14599" w:rsidRDefault="00DB3CB5">
      <w:pPr>
        <w:pStyle w:val="Imagecaption"/>
        <w:rPr>
          <w:rFonts w:eastAsia="Times New Roman"/>
        </w:rPr>
      </w:pPr>
      <w:bookmarkStart w:id="212" w:name="_Toc449696331"/>
      <w:bookmarkStart w:id="213" w:name="OLE_LINK29"/>
      <w:bookmarkStart w:id="214" w:name="OLE_LINK30"/>
      <w:bookmarkStart w:id="215" w:name="OLE_LINK31"/>
      <w:r>
        <w:t xml:space="preserve">Figure </w:t>
      </w:r>
      <w:r w:rsidR="00084CDD">
        <w:fldChar w:fldCharType="begin"/>
      </w:r>
      <w:r>
        <w:instrText xml:space="preserve"> SEQ Figure \* ARABIC </w:instrText>
      </w:r>
      <w:r w:rsidR="00084CDD">
        <w:fldChar w:fldCharType="separate"/>
      </w:r>
      <w:r w:rsidR="00C52E30">
        <w:rPr>
          <w:noProof/>
        </w:rPr>
        <w:t>41</w:t>
      </w:r>
      <w:r w:rsidR="00084CDD">
        <w:fldChar w:fldCharType="end"/>
      </w:r>
      <w:r>
        <w:t xml:space="preserve">. </w:t>
      </w:r>
      <w:r w:rsidR="009940CF">
        <w:t xml:space="preserve">Conceptualisation of permeability structures in fault zones based on the relative composition of fault core and damage zones present </w:t>
      </w:r>
      <w:r w:rsidR="009D79A6">
        <w:rPr>
          <w:rFonts w:eastAsia="Times New Roman"/>
        </w:rPr>
        <w:t>(</w:t>
      </w:r>
      <w:r w:rsidR="009940CF">
        <w:rPr>
          <w:rFonts w:eastAsia="Times New Roman"/>
        </w:rPr>
        <w:t xml:space="preserve">after </w:t>
      </w:r>
      <w:r w:rsidR="009D79A6">
        <w:rPr>
          <w:rFonts w:eastAsia="Times New Roman"/>
        </w:rPr>
        <w:t>Caine et al. 1996)</w:t>
      </w:r>
      <w:bookmarkEnd w:id="212"/>
      <w:r>
        <w:rPr>
          <w:rFonts w:eastAsia="Times New Roman"/>
        </w:rPr>
        <w:t xml:space="preserve"> </w:t>
      </w:r>
    </w:p>
    <w:p w14:paraId="2B350386" w14:textId="77777777" w:rsidR="009D79A6" w:rsidRDefault="009D79A6" w:rsidP="00166890">
      <w:pPr>
        <w:keepNext/>
        <w:suppressAutoHyphens/>
        <w:autoSpaceDE w:val="0"/>
        <w:autoSpaceDN w:val="0"/>
        <w:adjustRightInd w:val="0"/>
        <w:spacing w:after="113" w:line="280" w:lineRule="atLeast"/>
        <w:textAlignment w:val="center"/>
        <w:rPr>
          <w:rFonts w:ascii="Calibri" w:eastAsia="Times New Roman" w:hAnsi="Calibri" w:cs="Calibri"/>
          <w:b/>
          <w:sz w:val="18"/>
          <w:szCs w:val="18"/>
          <w:lang w:val="en-GB"/>
        </w:rPr>
      </w:pPr>
    </w:p>
    <w:p w14:paraId="2BD504C5" w14:textId="77777777" w:rsidR="00166890" w:rsidRPr="00166890" w:rsidRDefault="00166890" w:rsidP="00166890">
      <w:pPr>
        <w:keepNext/>
        <w:suppressAutoHyphens/>
        <w:autoSpaceDE w:val="0"/>
        <w:autoSpaceDN w:val="0"/>
        <w:adjustRightInd w:val="0"/>
        <w:spacing w:after="113" w:line="280" w:lineRule="atLeast"/>
        <w:textAlignment w:val="center"/>
        <w:rPr>
          <w:rFonts w:ascii="Calibri" w:eastAsia="Times New Roman" w:hAnsi="Calibri" w:cs="Calibri"/>
          <w:b/>
          <w:sz w:val="18"/>
          <w:szCs w:val="18"/>
          <w:lang w:val="en-GB"/>
        </w:rPr>
      </w:pPr>
      <w:r w:rsidRPr="00166890">
        <w:rPr>
          <w:rFonts w:ascii="Calibri" w:eastAsia="Times New Roman" w:hAnsi="Calibri" w:cs="Calibri"/>
          <w:b/>
          <w:sz w:val="18"/>
          <w:szCs w:val="18"/>
          <w:lang w:val="en-GB"/>
        </w:rPr>
        <w:t>C</w:t>
      </w:r>
      <w:bookmarkStart w:id="216" w:name="OLE_LINK27"/>
      <w:bookmarkStart w:id="217" w:name="OLE_LINK28"/>
      <w:r w:rsidRPr="00166890">
        <w:rPr>
          <w:rFonts w:ascii="Calibri" w:eastAsia="Times New Roman" w:hAnsi="Calibri" w:cs="Calibri"/>
          <w:b/>
          <w:sz w:val="18"/>
          <w:szCs w:val="18"/>
          <w:lang w:val="en-GB"/>
        </w:rPr>
        <w:t>haracterisation</w:t>
      </w:r>
      <w:bookmarkEnd w:id="216"/>
      <w:bookmarkEnd w:id="217"/>
      <w:r w:rsidRPr="00166890">
        <w:rPr>
          <w:rFonts w:ascii="Calibri" w:eastAsia="Times New Roman" w:hAnsi="Calibri" w:cs="Calibri"/>
          <w:b/>
          <w:sz w:val="18"/>
          <w:szCs w:val="18"/>
          <w:lang w:val="en-GB"/>
        </w:rPr>
        <w:t xml:space="preserve"> of </w:t>
      </w:r>
      <w:bookmarkEnd w:id="213"/>
      <w:bookmarkEnd w:id="214"/>
      <w:bookmarkEnd w:id="215"/>
      <w:r w:rsidRPr="00166890">
        <w:rPr>
          <w:rFonts w:ascii="Calibri" w:eastAsia="Times New Roman" w:hAnsi="Calibri" w:cs="Calibri"/>
          <w:b/>
          <w:sz w:val="18"/>
          <w:szCs w:val="18"/>
          <w:lang w:val="en-GB"/>
        </w:rPr>
        <w:t>fault distributions</w:t>
      </w:r>
    </w:p>
    <w:p w14:paraId="2624D249" w14:textId="77777777" w:rsidR="00822A4E" w:rsidRDefault="00822A4E" w:rsidP="00822A4E">
      <w:pPr>
        <w:pStyle w:val="Body"/>
        <w:keepNext/>
        <w:rPr>
          <w:color w:val="auto"/>
        </w:rPr>
      </w:pPr>
      <w:r w:rsidRPr="003F4E33">
        <w:rPr>
          <w:color w:val="auto"/>
        </w:rPr>
        <w:t xml:space="preserve">Torabi and Berg </w:t>
      </w:r>
      <w:r w:rsidR="00084CDD" w:rsidRPr="003F4E33">
        <w:rPr>
          <w:color w:val="auto"/>
        </w:rPr>
        <w:fldChar w:fldCharType="begin"/>
      </w:r>
      <w:r>
        <w:rPr>
          <w:color w:val="auto"/>
        </w:rPr>
        <w:instrText xml:space="preserve"> ADDIN EN.CITE &lt;EndNote&gt;&lt;Cite ExcludeAuth="1"&gt;&lt;Author&gt;Torabi&lt;/Author&gt;&lt;Year&gt;2011&lt;/Year&gt;&lt;IDText&gt;Scaling of fault attributes: A review&lt;/IDText&gt;&lt;DisplayText&gt;(2011)&lt;/DisplayText&gt;&lt;record&gt;&lt;dates&gt;&lt;pub-dates&gt;&lt;date&gt;AUG 2011&lt;/date&gt;&lt;/pub-dates&gt;&lt;year&gt;2011&lt;/year&gt;&lt;/dates&gt;&lt;keywords&gt;&lt;keyword&gt;Scaling&lt;/keyword&gt;&lt;keyword&gt;Fault&lt;/keyword&gt;&lt;keyword&gt;Length&lt;/keyword&gt;&lt;keyword&gt;Displacement&lt;/keyword&gt;&lt;keyword&gt;Thickness&lt;/keyword&gt;&lt;keyword&gt;NORTHERN NORTH-SEA&lt;/keyword&gt;&lt;keyword&gt;THICKNESS DISPLACEMENT RELATIONSHIPS&lt;/keyword&gt;&lt;keyword&gt;POWER-LAW DISTRIBUTIONS&lt;/keyword&gt;&lt;keyword&gt;DEFORMATION BANDS&lt;/keyword&gt;&lt;keyword&gt;SEGMENT LINKAGE&lt;/keyword&gt;&lt;keyword&gt;MECHANICAL STRATIGRAPHY&lt;/keyword&gt;&lt;keyword&gt;POROUS SANDSTONES&lt;/keyword&gt;&lt;keyword&gt;GULLFAKS FIELD&lt;/keyword&gt;&lt;keyword&gt;DAMAGE ZONE&lt;/keyword&gt;&lt;keyword&gt;MOAB FAULT&lt;/keyword&gt;&lt;keyword&gt;Geosciences, Multidisciplinary&lt;/keyword&gt;&lt;keyword&gt;GEOSCIENCES, MULTIDISCIPLINARY&lt;/keyword&gt;&lt;keyword&gt;Geology&lt;/keyword&gt;&lt;/keywords&gt;&lt;isbn&gt;0264-8172&lt;/isbn&gt;&lt;work-type&gt;Review&lt;/work-type&gt;&lt;titles&gt;&lt;title&gt;Scaling of fault attributes: A review&lt;/title&gt;&lt;secondary-title&gt;Marine and Petroleum Geology&lt;/secondary-title&gt;&lt;/titles&gt;&lt;pages&gt;1444-1460&lt;/pages&gt;&lt;number&gt;8&lt;/number&gt;&lt;contributors&gt;&lt;authors&gt;&lt;author&gt;Torabi, A&lt;/author&gt;&lt;author&gt;Berg, SS&lt;/author&gt;&lt;/authors&gt;&lt;/contributors&gt;&lt;language&gt;English&lt;/language&gt;&lt;added-date format="utc"&gt;1433908173&lt;/added-date&gt;&lt;ref-type name="Journal Article"&gt;17&lt;/ref-type&gt;&lt;auth-address&gt;Torabi, A (reprint author), Uni Res, Ctr Integrated Petr Res, Allegt 41, N-5007 Bergen, Norway&amp;#xD;Uni Res, Ctr Integrated Petr Res, N-5007 Bergen, Norway&amp;#xD;Rotvoll, Statoil Res Ctr, N-7005 Trondheim, Norway&amp;#xD;anita.torabi@uni.no&lt;/auth-address&gt;&lt;rec-number&gt;243&lt;/rec-number&gt;&lt;last-updated-date format="utc"&gt;1433908173&lt;/last-updated-date&gt;&lt;accession-num&gt;WOS:000293928500003&lt;/accession-num&gt;&lt;electronic-resource-num&gt;10.1016/j.marpetgeo.2011.04.003&lt;/electronic-resource-num&gt;&lt;volume&gt;28&lt;/volume&gt;&lt;/record&gt;&lt;/Cite&gt;&lt;/EndNote&gt;</w:instrText>
      </w:r>
      <w:r w:rsidR="00084CDD" w:rsidRPr="003F4E33">
        <w:rPr>
          <w:color w:val="auto"/>
        </w:rPr>
        <w:fldChar w:fldCharType="separate"/>
      </w:r>
      <w:r>
        <w:rPr>
          <w:noProof/>
          <w:color w:val="auto"/>
        </w:rPr>
        <w:t>(2011)</w:t>
      </w:r>
      <w:r w:rsidR="00084CDD" w:rsidRPr="003F4E33">
        <w:rPr>
          <w:color w:val="auto"/>
        </w:rPr>
        <w:fldChar w:fldCharType="end"/>
      </w:r>
      <w:r w:rsidRPr="00116F3D">
        <w:rPr>
          <w:color w:val="auto"/>
        </w:rPr>
        <w:t xml:space="preserve"> </w:t>
      </w:r>
      <w:r>
        <w:rPr>
          <w:color w:val="auto"/>
        </w:rPr>
        <w:t xml:space="preserve">discussed empirical relationships typically used to characterise the dimensions </w:t>
      </w:r>
      <w:r w:rsidR="0008540C">
        <w:rPr>
          <w:color w:val="auto"/>
        </w:rPr>
        <w:t xml:space="preserve">(fault length versus fault displacement) </w:t>
      </w:r>
      <w:r>
        <w:rPr>
          <w:color w:val="auto"/>
        </w:rPr>
        <w:t xml:space="preserve">and frequency of occurrence </w:t>
      </w:r>
      <w:r w:rsidR="0008540C">
        <w:rPr>
          <w:color w:val="auto"/>
        </w:rPr>
        <w:t xml:space="preserve">(frequency of fault displacements) </w:t>
      </w:r>
      <w:r>
        <w:rPr>
          <w:color w:val="auto"/>
        </w:rPr>
        <w:t xml:space="preserve">of faults. </w:t>
      </w:r>
      <w:r w:rsidR="0008540C">
        <w:rPr>
          <w:color w:val="auto"/>
        </w:rPr>
        <w:t xml:space="preserve">A power-law </w:t>
      </w:r>
      <w:r>
        <w:rPr>
          <w:color w:val="auto"/>
        </w:rPr>
        <w:t xml:space="preserve">relationship between fault displacement </w:t>
      </w:r>
      <w:r>
        <w:rPr>
          <w:i/>
          <w:color w:val="auto"/>
        </w:rPr>
        <w:t>D</w:t>
      </w:r>
      <w:r>
        <w:rPr>
          <w:color w:val="auto"/>
        </w:rPr>
        <w:t xml:space="preserve"> [L], and length </w:t>
      </w:r>
      <w:r>
        <w:rPr>
          <w:i/>
          <w:color w:val="auto"/>
        </w:rPr>
        <w:t>L</w:t>
      </w:r>
      <w:r>
        <w:rPr>
          <w:color w:val="auto"/>
        </w:rPr>
        <w:t xml:space="preserve"> [L] is </w:t>
      </w:r>
      <w:r w:rsidR="0008540C">
        <w:rPr>
          <w:color w:val="auto"/>
        </w:rPr>
        <w:t>often used</w:t>
      </w:r>
      <w:r>
        <w:rPr>
          <w:color w:val="auto"/>
        </w:rPr>
        <w:t>:</w:t>
      </w:r>
    </w:p>
    <w:p w14:paraId="6DA3F064" w14:textId="613C53D7" w:rsidR="00822A4E" w:rsidRDefault="00822A4E" w:rsidP="00822A4E">
      <w:pPr>
        <w:pStyle w:val="Body"/>
        <w:tabs>
          <w:tab w:val="center" w:pos="4536"/>
          <w:tab w:val="right" w:pos="9072"/>
        </w:tabs>
        <w:rPr>
          <w:color w:val="auto"/>
        </w:rPr>
      </w:pPr>
      <w:r>
        <w:rPr>
          <w:color w:val="auto"/>
        </w:rPr>
        <w:tab/>
      </w:r>
      <m:oMath>
        <m:r>
          <w:rPr>
            <w:rFonts w:ascii="Cambria Math" w:hAnsi="Cambria Math"/>
            <w:color w:val="auto"/>
          </w:rPr>
          <m:t>D=c</m:t>
        </m:r>
        <m:sSup>
          <m:sSupPr>
            <m:ctrlPr>
              <w:rPr>
                <w:rFonts w:ascii="Cambria Math" w:hAnsi="Cambria Math"/>
                <w:i/>
                <w:color w:val="auto"/>
              </w:rPr>
            </m:ctrlPr>
          </m:sSupPr>
          <m:e>
            <m:r>
              <w:rPr>
                <w:rFonts w:ascii="Cambria Math" w:hAnsi="Cambria Math"/>
                <w:color w:val="auto"/>
              </w:rPr>
              <m:t>L</m:t>
            </m:r>
          </m:e>
          <m:sup>
            <m:r>
              <w:rPr>
                <w:rFonts w:ascii="Cambria Math" w:hAnsi="Cambria Math"/>
                <w:color w:val="auto"/>
              </w:rPr>
              <m:t>n</m:t>
            </m:r>
          </m:sup>
        </m:sSup>
      </m:oMath>
      <w:r>
        <w:rPr>
          <w:color w:val="auto"/>
        </w:rPr>
        <w:tab/>
        <w:t>(</w:t>
      </w:r>
      <w:r w:rsidR="005A7C64">
        <w:rPr>
          <w:color w:val="auto"/>
        </w:rPr>
        <w:t>4</w:t>
      </w:r>
      <w:r>
        <w:rPr>
          <w:color w:val="auto"/>
        </w:rPr>
        <w:t>)</w:t>
      </w:r>
    </w:p>
    <w:p w14:paraId="454A1D2C" w14:textId="77777777" w:rsidR="004F03D5" w:rsidRDefault="00822A4E" w:rsidP="00822A4E">
      <w:pPr>
        <w:pStyle w:val="Body"/>
        <w:rPr>
          <w:color w:val="auto"/>
        </w:rPr>
      </w:pPr>
      <w:r>
        <w:rPr>
          <w:color w:val="auto"/>
        </w:rPr>
        <w:t xml:space="preserve">where </w:t>
      </w:r>
      <w:r w:rsidRPr="00A14282">
        <w:rPr>
          <w:i/>
          <w:color w:val="auto"/>
        </w:rPr>
        <w:t>c</w:t>
      </w:r>
      <w:r w:rsidRPr="00A14282">
        <w:rPr>
          <w:color w:val="auto"/>
        </w:rPr>
        <w:t xml:space="preserve"> is a constant relating to material properties and the</w:t>
      </w:r>
      <w:r>
        <w:rPr>
          <w:color w:val="auto"/>
        </w:rPr>
        <w:t xml:space="preserve"> value of the </w:t>
      </w:r>
      <w:r w:rsidRPr="00A14282">
        <w:rPr>
          <w:color w:val="auto"/>
        </w:rPr>
        <w:t xml:space="preserve">exponent </w:t>
      </w:r>
      <w:r w:rsidRPr="00A14282">
        <w:rPr>
          <w:i/>
          <w:color w:val="auto"/>
        </w:rPr>
        <w:t>n</w:t>
      </w:r>
      <w:r>
        <w:rPr>
          <w:color w:val="auto"/>
        </w:rPr>
        <w:t>, which</w:t>
      </w:r>
      <w:r w:rsidRPr="00A14282">
        <w:rPr>
          <w:color w:val="auto"/>
        </w:rPr>
        <w:t xml:space="preserve"> typically ranges </w:t>
      </w:r>
      <w:r>
        <w:rPr>
          <w:color w:val="auto"/>
        </w:rPr>
        <w:t xml:space="preserve">from 0.5 to 2.0, is informed by observational data. </w:t>
      </w:r>
      <w:r w:rsidR="00084CDD">
        <w:rPr>
          <w:color w:val="auto"/>
        </w:rPr>
        <w:fldChar w:fldCharType="begin"/>
      </w:r>
      <w:r w:rsidR="0008540C">
        <w:rPr>
          <w:color w:val="auto"/>
        </w:rPr>
        <w:instrText xml:space="preserve"> REF _Ref422740321 \h </w:instrText>
      </w:r>
      <w:r w:rsidR="00084CDD">
        <w:rPr>
          <w:color w:val="auto"/>
        </w:rPr>
      </w:r>
      <w:r w:rsidR="00084CDD">
        <w:rPr>
          <w:color w:val="auto"/>
        </w:rPr>
        <w:fldChar w:fldCharType="separate"/>
      </w:r>
      <w:r w:rsidR="00C52E30">
        <w:t xml:space="preserve">Figure </w:t>
      </w:r>
      <w:r w:rsidR="00C52E30">
        <w:rPr>
          <w:noProof/>
        </w:rPr>
        <w:t>42</w:t>
      </w:r>
      <w:r w:rsidR="00084CDD">
        <w:rPr>
          <w:color w:val="auto"/>
        </w:rPr>
        <w:fldChar w:fldCharType="end"/>
      </w:r>
      <w:r w:rsidR="0008540C">
        <w:rPr>
          <w:color w:val="auto"/>
        </w:rPr>
        <w:t xml:space="preserve"> presents data from </w:t>
      </w:r>
      <w:r w:rsidR="00BB207D">
        <w:rPr>
          <w:color w:val="auto"/>
        </w:rPr>
        <w:t xml:space="preserve">Kim and Sanderson </w:t>
      </w:r>
      <w:r w:rsidR="00084CDD">
        <w:rPr>
          <w:color w:val="auto"/>
        </w:rPr>
        <w:fldChar w:fldCharType="begin"/>
      </w:r>
      <w:r w:rsidR="00BB207D">
        <w:rPr>
          <w:color w:val="auto"/>
        </w:rPr>
        <w:instrText xml:space="preserve"> ADDIN EN.CITE &lt;EndNote&gt;&lt;Cite ExcludeAuth="1"&gt;&lt;Author&gt;Kim&lt;/Author&gt;&lt;Year&gt;2005&lt;/Year&gt;&lt;IDText&gt;The relationship between displacement and length of faults: A review&lt;/IDText&gt;&lt;DisplayText&gt;(2005)&lt;/DisplayText&gt;&lt;record&gt;&lt;dates&gt;&lt;pub-dates&gt;&lt;date&gt;JAN 2005&lt;/date&gt;&lt;/pub-dates&gt;&lt;year&gt;2005&lt;/year&gt;&lt;/dates&gt;&lt;keywords&gt;&lt;keyword&gt;fault length&lt;/keyword&gt;&lt;keyword&gt;maximum displacement&lt;/keyword&gt;&lt;keyword&gt;linkage&lt;/keyword&gt;&lt;keyword&gt;propagation&lt;/keyword&gt;&lt;keyword&gt;scaling&lt;/keyword&gt;&lt;keyword&gt;damage&lt;/keyword&gt;&lt;keyword&gt;reactivation&lt;/keyword&gt;&lt;keyword&gt;STRIKE-SLIP-FAULT&lt;/keyword&gt;&lt;keyword&gt;SEGMENTED NORMAL FAULTS&lt;/keyword&gt;&lt;keyword&gt;SINGLE NORMAL-FAULT&lt;/keyword&gt;&lt;keyword&gt;SCALING RELATIONS&lt;/keyword&gt;&lt;keyword&gt;MECHANICAL STRATIGRAPHY&lt;/keyword&gt;&lt;keyword&gt;EARTHQUAKE MAGNITUDE&lt;/keyword&gt;&lt;keyword&gt;DEFORMATION BANDS&lt;/keyword&gt;&lt;keyword&gt;RUPTURE LENGTH&lt;/keyword&gt;&lt;keyword&gt;THRUST FAULTS&lt;/keyword&gt;&lt;keyword&gt;DAMAGE ZONES&lt;/keyword&gt;&lt;keyword&gt;Geosciences, Multidisciplinary&lt;/keyword&gt;&lt;keyword&gt;GEOSCIENCES, MULTIDISCIPLINARY&lt;/keyword&gt;&lt;keyword&gt;Geology&lt;/keyword&gt;&lt;/keywords&gt;&lt;isbn&gt;0012-8252&lt;/isbn&gt;&lt;work-type&gt;Article&lt;/work-type&gt;&lt;titles&gt;&lt;title&gt;The relationship between displacement and length of faults: A review&lt;/title&gt;&lt;secondary-title&gt;Earth-Science Reviews&lt;/secondary-title&gt;&lt;/titles&gt;&lt;pages&gt;317-334&lt;/pages&gt;&lt;number&gt;3-4&lt;/number&gt;&lt;contributors&gt;&lt;authors&gt;&lt;author&gt;Kim, YS&lt;/author&gt;&lt;author&gt;Sanderson, DJ&lt;/author&gt;&lt;/authors&gt;&lt;/contributors&gt;&lt;language&gt;English&lt;/language&gt;&lt;added-date format="utc"&gt;1433908271&lt;/added-date&gt;&lt;ref-type name="Journal Article"&gt;17&lt;/ref-type&gt;&lt;auth-address&gt;Kim, YS (reprint author), Seoul Natl Univ, Sch Earth &amp;amp; Environm Sci, Seoul 151747, South Korea&amp;#xD;Seoul Natl Univ, Sch Earth &amp;amp; Environm Sci, Seoul 151747, South Korea&amp;#xD;Univ London Imperial Coll Sci Technol &amp;amp; Med, Dept Earth Sci &amp;amp; Engn, London SW7 2AZ, England&lt;/auth-address&gt;&lt;rec-number&gt;245&lt;/rec-number&gt;&lt;last-updated-date format="utc"&gt;1436496481&lt;/last-updated-date&gt;&lt;accession-num&gt;WOS:000226471600005&lt;/accession-num&gt;&lt;electronic-resource-num&gt;10.1016/j.earscirev.2004.06.003&lt;/electronic-resource-num&gt;&lt;volume&gt;68&lt;/volume&gt;&lt;/record&gt;&lt;/Cite&gt;&lt;/EndNote&gt;</w:instrText>
      </w:r>
      <w:r w:rsidR="00084CDD">
        <w:rPr>
          <w:color w:val="auto"/>
        </w:rPr>
        <w:fldChar w:fldCharType="separate"/>
      </w:r>
      <w:r w:rsidR="00BB207D">
        <w:rPr>
          <w:noProof/>
          <w:color w:val="auto"/>
        </w:rPr>
        <w:t>(2005)</w:t>
      </w:r>
      <w:r w:rsidR="00084CDD">
        <w:rPr>
          <w:color w:val="auto"/>
        </w:rPr>
        <w:fldChar w:fldCharType="end"/>
      </w:r>
      <w:r w:rsidR="00166890" w:rsidRPr="00BB207D">
        <w:rPr>
          <w:color w:val="auto"/>
        </w:rPr>
        <w:t xml:space="preserve"> </w:t>
      </w:r>
      <w:r w:rsidR="0008540C">
        <w:rPr>
          <w:color w:val="auto"/>
        </w:rPr>
        <w:t xml:space="preserve">who </w:t>
      </w:r>
      <w:r w:rsidR="00166890" w:rsidRPr="00BB207D">
        <w:rPr>
          <w:color w:val="auto"/>
        </w:rPr>
        <w:t>reviewed</w:t>
      </w:r>
      <w:r w:rsidR="00166890" w:rsidRPr="00166890">
        <w:rPr>
          <w:color w:val="auto"/>
        </w:rPr>
        <w:t xml:space="preserve"> 15</w:t>
      </w:r>
      <w:r w:rsidR="00166890">
        <w:rPr>
          <w:color w:val="auto"/>
        </w:rPr>
        <w:t xml:space="preserve"> </w:t>
      </w:r>
      <w:r w:rsidR="004F03D5">
        <w:rPr>
          <w:color w:val="auto"/>
        </w:rPr>
        <w:t>studies of fault architecture</w:t>
      </w:r>
      <w:r w:rsidR="009D79A6">
        <w:rPr>
          <w:color w:val="auto"/>
        </w:rPr>
        <w:t xml:space="preserve"> in various locations and geological settings</w:t>
      </w:r>
      <w:r w:rsidR="004F03D5">
        <w:rPr>
          <w:color w:val="auto"/>
        </w:rPr>
        <w:t>.</w:t>
      </w:r>
    </w:p>
    <w:p w14:paraId="474DE9BD" w14:textId="77777777" w:rsidR="004F03D5" w:rsidRDefault="004F03D5" w:rsidP="00822A4E">
      <w:pPr>
        <w:pStyle w:val="Body"/>
        <w:rPr>
          <w:color w:val="auto"/>
        </w:rPr>
      </w:pPr>
    </w:p>
    <w:p w14:paraId="130CDFD0" w14:textId="77777777" w:rsidR="00A1141A" w:rsidRDefault="001C45E9" w:rsidP="004F03D5">
      <w:pPr>
        <w:pStyle w:val="Body"/>
        <w:keepNext/>
        <w:jc w:val="center"/>
        <w:rPr>
          <w:color w:val="auto"/>
        </w:rPr>
      </w:pPr>
      <w:r>
        <w:rPr>
          <w:noProof/>
          <w:lang w:val="en-AU" w:eastAsia="en-AU"/>
        </w:rPr>
        <w:drawing>
          <wp:inline distT="0" distB="0" distL="0" distR="0" wp14:anchorId="36B9471F" wp14:editId="6BFCA407">
            <wp:extent cx="5426525" cy="5844746"/>
            <wp:effectExtent l="0" t="0" r="3175" b="3810"/>
            <wp:docPr id="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srcRect l="18043" t="40669" r="20919" b="17982"/>
                    <a:stretch>
                      <a:fillRect/>
                    </a:stretch>
                  </pic:blipFill>
                  <pic:spPr bwMode="auto">
                    <a:xfrm>
                      <a:off x="0" y="0"/>
                      <a:ext cx="5434845" cy="5853707"/>
                    </a:xfrm>
                    <a:prstGeom prst="rect">
                      <a:avLst/>
                    </a:prstGeom>
                    <a:noFill/>
                    <a:ln w="9525">
                      <a:noFill/>
                      <a:miter lim="800000"/>
                      <a:headEnd/>
                      <a:tailEnd/>
                    </a:ln>
                  </pic:spPr>
                </pic:pic>
              </a:graphicData>
            </a:graphic>
          </wp:inline>
        </w:drawing>
      </w:r>
    </w:p>
    <w:p w14:paraId="6FF2F478" w14:textId="77777777" w:rsidR="004F03D5" w:rsidRDefault="004F03D5" w:rsidP="004F03D5">
      <w:pPr>
        <w:pStyle w:val="Imagecaption"/>
      </w:pPr>
      <w:bookmarkStart w:id="218" w:name="_Ref422740321"/>
      <w:bookmarkStart w:id="219" w:name="_Toc449696332"/>
      <w:r>
        <w:t xml:space="preserve">Figure </w:t>
      </w:r>
      <w:r w:rsidR="00084CDD">
        <w:fldChar w:fldCharType="begin"/>
      </w:r>
      <w:r w:rsidR="00144B4F">
        <w:instrText xml:space="preserve"> SEQ Figure \* ARABIC </w:instrText>
      </w:r>
      <w:r w:rsidR="00084CDD">
        <w:fldChar w:fldCharType="separate"/>
      </w:r>
      <w:r w:rsidR="00C52E30">
        <w:rPr>
          <w:noProof/>
        </w:rPr>
        <w:t>42</w:t>
      </w:r>
      <w:r w:rsidR="00084CDD">
        <w:rPr>
          <w:noProof/>
        </w:rPr>
        <w:fldChar w:fldCharType="end"/>
      </w:r>
      <w:bookmarkEnd w:id="218"/>
      <w:r>
        <w:t xml:space="preserve">. </w:t>
      </w:r>
      <w:r w:rsidR="00166890" w:rsidRPr="00166890">
        <w:t xml:space="preserve">Fault displacement and length </w:t>
      </w:r>
      <w:r w:rsidR="00166890" w:rsidRPr="00BB207D">
        <w:t>data from 15 studies collated by Kim and Sanderson</w:t>
      </w:r>
      <w:r w:rsidR="00BB207D">
        <w:t xml:space="preserve"> </w:t>
      </w:r>
      <w:r w:rsidR="00084CDD">
        <w:rPr>
          <w:color w:val="auto"/>
        </w:rPr>
        <w:fldChar w:fldCharType="begin"/>
      </w:r>
      <w:r w:rsidR="00BB207D">
        <w:rPr>
          <w:color w:val="auto"/>
        </w:rPr>
        <w:instrText xml:space="preserve"> ADDIN EN.CITE &lt;EndNote&gt;&lt;Cite ExcludeAuth="1"&gt;&lt;Author&gt;Kim&lt;/Author&gt;&lt;Year&gt;2005&lt;/Year&gt;&lt;IDText&gt;The relationship between displacement and length of faults: A review&lt;/IDText&gt;&lt;DisplayText&gt;(2005)&lt;/DisplayText&gt;&lt;record&gt;&lt;dates&gt;&lt;pub-dates&gt;&lt;date&gt;JAN 2005&lt;/date&gt;&lt;/pub-dates&gt;&lt;year&gt;2005&lt;/year&gt;&lt;/dates&gt;&lt;keywords&gt;&lt;keyword&gt;fault length&lt;/keyword&gt;&lt;keyword&gt;maximum displacement&lt;/keyword&gt;&lt;keyword&gt;linkage&lt;/keyword&gt;&lt;keyword&gt;propagation&lt;/keyword&gt;&lt;keyword&gt;scaling&lt;/keyword&gt;&lt;keyword&gt;damage&lt;/keyword&gt;&lt;keyword&gt;reactivation&lt;/keyword&gt;&lt;keyword&gt;STRIKE-SLIP-FAULT&lt;/keyword&gt;&lt;keyword&gt;SEGMENTED NORMAL FAULTS&lt;/keyword&gt;&lt;keyword&gt;SINGLE NORMAL-FAULT&lt;/keyword&gt;&lt;keyword&gt;SCALING RELATIONS&lt;/keyword&gt;&lt;keyword&gt;MECHANICAL STRATIGRAPHY&lt;/keyword&gt;&lt;keyword&gt;EARTHQUAKE MAGNITUDE&lt;/keyword&gt;&lt;keyword&gt;DEFORMATION BANDS&lt;/keyword&gt;&lt;keyword&gt;RUPTURE LENGTH&lt;/keyword&gt;&lt;keyword&gt;THRUST FAULTS&lt;/keyword&gt;&lt;keyword&gt;DAMAGE ZONES&lt;/keyword&gt;&lt;keyword&gt;Geosciences, Multidisciplinary&lt;/keyword&gt;&lt;keyword&gt;GEOSCIENCES, MULTIDISCIPLINARY&lt;/keyword&gt;&lt;keyword&gt;Geology&lt;/keyword&gt;&lt;/keywords&gt;&lt;isbn&gt;0012-8252&lt;/isbn&gt;&lt;work-type&gt;Article&lt;/work-type&gt;&lt;titles&gt;&lt;title&gt;The relationship between displacement and length of faults: A review&lt;/title&gt;&lt;secondary-title&gt;Earth-Science Reviews&lt;/secondary-title&gt;&lt;/titles&gt;&lt;pages&gt;317-334&lt;/pages&gt;&lt;number&gt;3-4&lt;/number&gt;&lt;contributors&gt;&lt;authors&gt;&lt;author&gt;Kim, YS&lt;/author&gt;&lt;author&gt;Sanderson, DJ&lt;/author&gt;&lt;/authors&gt;&lt;/contributors&gt;&lt;language&gt;English&lt;/language&gt;&lt;added-date format="utc"&gt;1433908271&lt;/added-date&gt;&lt;ref-type name="Journal Article"&gt;17&lt;/ref-type&gt;&lt;auth-address&gt;Kim, YS (reprint author), Seoul Natl Univ, Sch Earth &amp;amp; Environm Sci, Seoul 151747, South Korea&amp;#xD;Seoul Natl Univ, Sch Earth &amp;amp; Environm Sci, Seoul 151747, South Korea&amp;#xD;Univ London Imperial Coll Sci Technol &amp;amp; Med, Dept Earth Sci &amp;amp; Engn, London SW7 2AZ, England&lt;/auth-address&gt;&lt;rec-number&gt;245&lt;/rec-number&gt;&lt;last-updated-date format="utc"&gt;1436496481&lt;/last-updated-date&gt;&lt;accession-num&gt;WOS:000226471600005&lt;/accession-num&gt;&lt;electronic-resource-num&gt;10.1016/j.earscirev.2004.06.003&lt;/electronic-resource-num&gt;&lt;volume&gt;68&lt;/volume&gt;&lt;/record&gt;&lt;/Cite&gt;&lt;/EndNote&gt;</w:instrText>
      </w:r>
      <w:r w:rsidR="00084CDD">
        <w:rPr>
          <w:color w:val="auto"/>
        </w:rPr>
        <w:fldChar w:fldCharType="separate"/>
      </w:r>
      <w:r w:rsidR="00BB207D">
        <w:rPr>
          <w:noProof/>
          <w:color w:val="auto"/>
        </w:rPr>
        <w:t>(2005)</w:t>
      </w:r>
      <w:r w:rsidR="00084CDD">
        <w:rPr>
          <w:color w:val="auto"/>
        </w:rPr>
        <w:fldChar w:fldCharType="end"/>
      </w:r>
      <w:r w:rsidRPr="00BB207D">
        <w:t>.</w:t>
      </w:r>
      <w:bookmarkEnd w:id="219"/>
    </w:p>
    <w:p w14:paraId="56998B7D" w14:textId="77777777" w:rsidR="004F03D5" w:rsidRDefault="004F03D5" w:rsidP="00822A4E">
      <w:pPr>
        <w:pStyle w:val="Body"/>
        <w:rPr>
          <w:color w:val="auto"/>
        </w:rPr>
      </w:pPr>
    </w:p>
    <w:p w14:paraId="5B8929D4" w14:textId="77777777" w:rsidR="00822A4E" w:rsidRDefault="00822A4E" w:rsidP="00166890">
      <w:pPr>
        <w:pStyle w:val="Body"/>
        <w:rPr>
          <w:color w:val="auto"/>
        </w:rPr>
      </w:pPr>
      <w:r>
        <w:rPr>
          <w:color w:val="auto"/>
        </w:rPr>
        <w:t xml:space="preserve">The validity </w:t>
      </w:r>
      <w:r w:rsidR="004F03D5">
        <w:rPr>
          <w:color w:val="auto"/>
        </w:rPr>
        <w:t>of power</w:t>
      </w:r>
      <w:r w:rsidR="0008540C">
        <w:rPr>
          <w:color w:val="auto"/>
        </w:rPr>
        <w:t>-</w:t>
      </w:r>
      <w:r w:rsidR="004F03D5">
        <w:rPr>
          <w:color w:val="auto"/>
        </w:rPr>
        <w:t>law relationship</w:t>
      </w:r>
      <w:r w:rsidR="009E6571">
        <w:rPr>
          <w:color w:val="auto"/>
        </w:rPr>
        <w:t>s</w:t>
      </w:r>
      <w:r w:rsidR="004F03D5">
        <w:rPr>
          <w:color w:val="auto"/>
        </w:rPr>
        <w:t xml:space="preserve"> between fault displacement and length </w:t>
      </w:r>
      <w:r w:rsidRPr="003F4E33">
        <w:rPr>
          <w:color w:val="auto"/>
        </w:rPr>
        <w:t xml:space="preserve">was reviewed by Kim and Sanderson </w:t>
      </w:r>
      <w:r w:rsidR="00084CDD" w:rsidRPr="003F4E33">
        <w:rPr>
          <w:color w:val="auto"/>
        </w:rPr>
        <w:fldChar w:fldCharType="begin"/>
      </w:r>
      <w:r>
        <w:rPr>
          <w:color w:val="auto"/>
        </w:rPr>
        <w:instrText xml:space="preserve"> ADDIN EN.CITE &lt;EndNote&gt;&lt;Cite ExcludeAuth="1"&gt;&lt;Author&gt;Kim&lt;/Author&gt;&lt;Year&gt;2005&lt;/Year&gt;&lt;IDText&gt;The relationship between displacement and length of faults: a review&lt;/IDText&gt;&lt;DisplayText&gt;(2005)&lt;/DisplayText&gt;&lt;record&gt;&lt;dates&gt;&lt;pub-dates&gt;&lt;date&gt;JAN 2005&lt;/date&gt;&lt;/pub-dates&gt;&lt;year&gt;2005&lt;/year&gt;&lt;/dates&gt;&lt;keywords&gt;&lt;keyword&gt;fault length&lt;/keyword&gt;&lt;keyword&gt;maximum displacement&lt;/keyword&gt;&lt;keyword&gt;linkage&lt;/keyword&gt;&lt;keyword&gt;propagation&lt;/keyword&gt;&lt;keyword&gt;scaling&lt;/keyword&gt;&lt;keyword&gt;damage&lt;/keyword&gt;&lt;keyword&gt;reactivation&lt;/keyword&gt;&lt;keyword&gt;STRIKE-SLIP-FAULT&lt;/keyword&gt;&lt;keyword&gt;SEGMENTED NORMAL FAULTS&lt;/keyword&gt;&lt;keyword&gt;SINGLE NORMAL-FAULT&lt;/keyword&gt;&lt;keyword&gt;SCALING RELATIONS&lt;/keyword&gt;&lt;keyword&gt;MECHANICAL STRATIGRAPHY&lt;/keyword&gt;&lt;keyword&gt;EARTHQUAKE MAGNITUDE&lt;/keyword&gt;&lt;keyword&gt;DEFORMATION BANDS&lt;/keyword&gt;&lt;keyword&gt;RUPTURE LENGTH&lt;/keyword&gt;&lt;keyword&gt;THRUST FAULTS&lt;/keyword&gt;&lt;keyword&gt;DAMAGE ZONES&lt;/keyword&gt;&lt;keyword&gt;Geosciences, Multidisciplinary&lt;/keyword&gt;&lt;keyword&gt;GEOSCIENCES, MULTIDISCIPLINARY&lt;/keyword&gt;&lt;keyword&gt;Geology&lt;/keyword&gt;&lt;/keywords&gt;&lt;isbn&gt;0012-8252&lt;/isbn&gt;&lt;work-type&gt;Article&lt;/work-type&gt;&lt;titles&gt;&lt;title&gt;The relationship between displacement and length of faults: a review&lt;/title&gt;&lt;secondary-title&gt;Earth-Science Reviews&lt;/secondary-title&gt;&lt;/titles&gt;&lt;pages&gt;317-334&lt;/pages&gt;&lt;number&gt;3-4&lt;/number&gt;&lt;contributors&gt;&lt;authors&gt;&lt;author&gt;Kim, YS&lt;/author&gt;&lt;author&gt;Sanderson, DJ&lt;/author&gt;&lt;/authors&gt;&lt;/contributors&gt;&lt;language&gt;English&lt;/language&gt;&lt;added-date format="utc"&gt;1433908271&lt;/added-date&gt;&lt;ref-type name="Journal Article"&gt;17&lt;/ref-type&gt;&lt;auth-address&gt;Kim, YS (reprint author), Seoul Natl Univ, Sch Earth &amp;amp; Environm Sci, Seoul 151747, South Korea&amp;#xD;Seoul Natl Univ, Sch Earth &amp;amp; Environm Sci, Seoul 151747, South Korea&amp;#xD;Univ London Imperial Coll Sci Technol &amp;amp; Med, Dept Earth Sci &amp;amp; Engn, London SW7 2AZ, England&lt;/auth-address&gt;&lt;rec-number&gt;245&lt;/rec-number&gt;&lt;last-updated-date format="utc"&gt;1433908271&lt;/last-updated-date&gt;&lt;accession-num&gt;WOS:000226471600005&lt;/accession-num&gt;&lt;electronic-resource-num&gt;10.1016/j.earscirev.2004.06.003&lt;/electronic-resource-num&gt;&lt;volume&gt;68&lt;/volume&gt;&lt;/record&gt;&lt;/Cite&gt;&lt;/EndNote&gt;</w:instrText>
      </w:r>
      <w:r w:rsidR="00084CDD" w:rsidRPr="003F4E33">
        <w:rPr>
          <w:color w:val="auto"/>
        </w:rPr>
        <w:fldChar w:fldCharType="separate"/>
      </w:r>
      <w:r>
        <w:rPr>
          <w:noProof/>
          <w:color w:val="auto"/>
        </w:rPr>
        <w:t>(2005)</w:t>
      </w:r>
      <w:r w:rsidR="00084CDD" w:rsidRPr="003F4E33">
        <w:rPr>
          <w:color w:val="auto"/>
        </w:rPr>
        <w:fldChar w:fldCharType="end"/>
      </w:r>
      <w:r>
        <w:rPr>
          <w:color w:val="auto"/>
        </w:rPr>
        <w:t xml:space="preserve">, </w:t>
      </w:r>
      <w:r w:rsidR="0008540C">
        <w:rPr>
          <w:color w:val="auto"/>
        </w:rPr>
        <w:t>based on</w:t>
      </w:r>
      <w:r>
        <w:rPr>
          <w:color w:val="auto"/>
        </w:rPr>
        <w:t xml:space="preserve"> a large number of faulted environments. </w:t>
      </w:r>
      <w:r w:rsidR="0008540C">
        <w:rPr>
          <w:color w:val="auto"/>
        </w:rPr>
        <w:t>D</w:t>
      </w:r>
      <w:r w:rsidR="009E6571">
        <w:rPr>
          <w:color w:val="auto"/>
        </w:rPr>
        <w:t>ifferences in such relationships c</w:t>
      </w:r>
      <w:r w:rsidR="0008540C">
        <w:rPr>
          <w:color w:val="auto"/>
        </w:rPr>
        <w:t>ould</w:t>
      </w:r>
      <w:r w:rsidR="009E6571">
        <w:rPr>
          <w:color w:val="auto"/>
        </w:rPr>
        <w:t xml:space="preserve"> be related to errors in measurements of fault length and displacement, as well as to the history of fault growth. </w:t>
      </w:r>
      <w:r>
        <w:rPr>
          <w:color w:val="auto"/>
        </w:rPr>
        <w:t>The number of faults (</w:t>
      </w:r>
      <w:r>
        <w:rPr>
          <w:i/>
          <w:color w:val="auto"/>
        </w:rPr>
        <w:t>N</w:t>
      </w:r>
      <w:r>
        <w:rPr>
          <w:color w:val="auto"/>
        </w:rPr>
        <w:t xml:space="preserve">) that are greater than or equal to </w:t>
      </w:r>
      <w:r w:rsidR="00BF6923">
        <w:rPr>
          <w:i/>
          <w:color w:val="auto"/>
        </w:rPr>
        <w:t>D</w:t>
      </w:r>
      <w:r w:rsidRPr="00A14282">
        <w:rPr>
          <w:i/>
          <w:color w:val="auto"/>
        </w:rPr>
        <w:t xml:space="preserve"> </w:t>
      </w:r>
      <w:r>
        <w:rPr>
          <w:color w:val="auto"/>
        </w:rPr>
        <w:t xml:space="preserve">[L] </w:t>
      </w:r>
      <w:r w:rsidRPr="00A14282">
        <w:rPr>
          <w:color w:val="auto"/>
        </w:rPr>
        <w:t>located</w:t>
      </w:r>
      <w:r>
        <w:rPr>
          <w:color w:val="auto"/>
        </w:rPr>
        <w:t xml:space="preserve"> in a given region </w:t>
      </w:r>
      <w:r w:rsidR="0008540C">
        <w:rPr>
          <w:color w:val="auto"/>
        </w:rPr>
        <w:t xml:space="preserve">may be described </w:t>
      </w:r>
      <w:r>
        <w:rPr>
          <w:color w:val="auto"/>
        </w:rPr>
        <w:t>by the power law:</w:t>
      </w:r>
    </w:p>
    <w:p w14:paraId="381687AD" w14:textId="626940A9" w:rsidR="00822A4E" w:rsidRDefault="00822A4E" w:rsidP="00822A4E">
      <w:pPr>
        <w:pStyle w:val="Body"/>
        <w:tabs>
          <w:tab w:val="center" w:pos="4536"/>
          <w:tab w:val="right" w:pos="9072"/>
        </w:tabs>
        <w:rPr>
          <w:color w:val="auto"/>
        </w:rPr>
      </w:pPr>
      <w:r>
        <w:rPr>
          <w:color w:val="auto"/>
        </w:rPr>
        <w:tab/>
      </w:r>
      <m:oMath>
        <m:r>
          <w:rPr>
            <w:rFonts w:ascii="Cambria Math" w:hAnsi="Cambria Math"/>
            <w:color w:val="auto"/>
          </w:rPr>
          <m:t>N∝</m:t>
        </m:r>
        <m:sSup>
          <m:sSupPr>
            <m:ctrlPr>
              <w:rPr>
                <w:rFonts w:ascii="Cambria Math" w:hAnsi="Cambria Math"/>
                <w:i/>
                <w:color w:val="auto"/>
              </w:rPr>
            </m:ctrlPr>
          </m:sSupPr>
          <m:e>
            <m:r>
              <w:rPr>
                <w:rFonts w:ascii="Cambria Math" w:hAnsi="Cambria Math"/>
                <w:color w:val="auto"/>
              </w:rPr>
              <m:t>D</m:t>
            </m:r>
          </m:e>
          <m:sup>
            <m:r>
              <w:rPr>
                <w:rFonts w:ascii="Cambria Math" w:hAnsi="Cambria Math"/>
                <w:color w:val="auto"/>
              </w:rPr>
              <m:t>-m</m:t>
            </m:r>
          </m:sup>
        </m:sSup>
      </m:oMath>
      <w:r>
        <w:rPr>
          <w:color w:val="auto"/>
        </w:rPr>
        <w:tab/>
        <w:t>(</w:t>
      </w:r>
      <w:r w:rsidR="005A7C64">
        <w:rPr>
          <w:color w:val="auto"/>
        </w:rPr>
        <w:t>5</w:t>
      </w:r>
      <w:r>
        <w:rPr>
          <w:color w:val="auto"/>
        </w:rPr>
        <w:t>)</w:t>
      </w:r>
    </w:p>
    <w:p w14:paraId="535FD3A2" w14:textId="77777777" w:rsidR="002A081E" w:rsidRDefault="00822A4E" w:rsidP="00822A4E">
      <w:pPr>
        <w:pStyle w:val="Body"/>
        <w:rPr>
          <w:color w:val="auto"/>
        </w:rPr>
      </w:pPr>
      <w:r>
        <w:rPr>
          <w:color w:val="auto"/>
        </w:rPr>
        <w:t xml:space="preserve">where the power law exponent </w:t>
      </w:r>
      <w:r>
        <w:rPr>
          <w:i/>
          <w:color w:val="auto"/>
        </w:rPr>
        <w:t xml:space="preserve">m </w:t>
      </w:r>
      <w:r>
        <w:rPr>
          <w:color w:val="auto"/>
        </w:rPr>
        <w:t xml:space="preserve">is informed by observational data. </w:t>
      </w:r>
      <w:r w:rsidR="002A081E">
        <w:rPr>
          <w:color w:val="auto"/>
        </w:rPr>
        <w:t>In the Australian context</w:t>
      </w:r>
      <w:r w:rsidR="002A081E" w:rsidRPr="009747A5">
        <w:rPr>
          <w:color w:val="auto"/>
        </w:rPr>
        <w:t>,</w:t>
      </w:r>
      <w:r w:rsidR="00166890" w:rsidRPr="009747A5">
        <w:rPr>
          <w:color w:val="auto"/>
        </w:rPr>
        <w:t xml:space="preserve"> Frery et al. </w:t>
      </w:r>
      <w:r w:rsidR="00084CDD" w:rsidRPr="009747A5">
        <w:rPr>
          <w:color w:val="auto"/>
        </w:rPr>
        <w:fldChar w:fldCharType="begin"/>
      </w:r>
      <w:r w:rsidR="001B35B2" w:rsidRPr="009747A5">
        <w:rPr>
          <w:color w:val="auto"/>
        </w:rPr>
        <w:instrText xml:space="preserve"> ADDIN EN.CITE &lt;EndNote&gt;&lt;Cite ExcludeAuth="1"&gt;&lt;Author&gt;Frery&lt;/Author&gt;&lt;Year&gt;2014&lt;/Year&gt;&lt;IDText&gt;3-D modelling of complex coal bed methane basins, Gloucester Basin case study, NSW&lt;/IDText&gt;&lt;DisplayText&gt;(2014)&lt;/DisplayText&gt;&lt;record&gt;&lt;titles&gt;&lt;title&gt;3-D modelling of complex coal bed methane basins, Gloucester Basin case study, NSW&lt;/title&gt;&lt;secondary-title&gt;Australian Earth Sciences Convention 7-10 July 2014&lt;/secondary-title&gt;&lt;/titles&gt;&lt;contributors&gt;&lt;authors&gt;&lt;author&gt;Frery, E&lt;/author&gt;&lt;author&gt;Langhi, L&lt;/author&gt;&lt;author&gt;Rohead-O‘Brien, H&lt;/author&gt;&lt;author&gt;Strand, J&lt;/author&gt;&lt;/authors&gt;&lt;/contributors&gt;&lt;added-date format="utc"&gt;1440470657&lt;/added-date&gt;&lt;pub-location&gt;Newcastle, NSW&lt;/pub-location&gt;&lt;ref-type name="Conference Paper"&gt;47&lt;/ref-type&gt;&lt;dates&gt;&lt;year&gt;2014&lt;/year&gt;&lt;/dates&gt;&lt;rec-number&gt;1230&lt;/rec-number&gt;&lt;publisher&gt;Geological Society of Australia&lt;/publisher&gt;&lt;last-updated-date format="utc"&gt;1441324379&lt;/last-updated-date&gt;&lt;/record&gt;&lt;/Cite&gt;&lt;/EndNote&gt;</w:instrText>
      </w:r>
      <w:r w:rsidR="00084CDD" w:rsidRPr="009747A5">
        <w:rPr>
          <w:color w:val="auto"/>
        </w:rPr>
        <w:fldChar w:fldCharType="separate"/>
      </w:r>
      <w:r w:rsidR="001B35B2" w:rsidRPr="009747A5">
        <w:rPr>
          <w:noProof/>
          <w:color w:val="auto"/>
        </w:rPr>
        <w:t>(2014)</w:t>
      </w:r>
      <w:r w:rsidR="00084CDD" w:rsidRPr="009747A5">
        <w:rPr>
          <w:color w:val="auto"/>
        </w:rPr>
        <w:fldChar w:fldCharType="end"/>
      </w:r>
      <w:r w:rsidR="00166890" w:rsidRPr="009747A5">
        <w:rPr>
          <w:color w:val="auto"/>
        </w:rPr>
        <w:t xml:space="preserve"> </w:t>
      </w:r>
      <w:r w:rsidR="002A081E">
        <w:rPr>
          <w:color w:val="auto"/>
        </w:rPr>
        <w:t>presented observations of fault displacement and spatial distribution for the Stratford area of the Gloucester Basin, New South Wales</w:t>
      </w:r>
      <w:r w:rsidR="00166890">
        <w:rPr>
          <w:color w:val="auto"/>
        </w:rPr>
        <w:t xml:space="preserve"> (</w:t>
      </w:r>
      <w:r w:rsidR="00084CDD">
        <w:rPr>
          <w:color w:val="auto"/>
        </w:rPr>
        <w:fldChar w:fldCharType="begin"/>
      </w:r>
      <w:r w:rsidR="00166890">
        <w:rPr>
          <w:color w:val="auto"/>
        </w:rPr>
        <w:instrText xml:space="preserve"> REF _Ref427573899 \h </w:instrText>
      </w:r>
      <w:r w:rsidR="00084CDD">
        <w:rPr>
          <w:color w:val="auto"/>
        </w:rPr>
      </w:r>
      <w:r w:rsidR="00084CDD">
        <w:rPr>
          <w:color w:val="auto"/>
        </w:rPr>
        <w:fldChar w:fldCharType="separate"/>
      </w:r>
      <w:r w:rsidR="00C52E30">
        <w:t xml:space="preserve">Figure </w:t>
      </w:r>
      <w:r w:rsidR="00C52E30">
        <w:rPr>
          <w:noProof/>
        </w:rPr>
        <w:t>43</w:t>
      </w:r>
      <w:r w:rsidR="00084CDD">
        <w:rPr>
          <w:color w:val="auto"/>
        </w:rPr>
        <w:fldChar w:fldCharType="end"/>
      </w:r>
      <w:r w:rsidR="00166890">
        <w:rPr>
          <w:color w:val="auto"/>
        </w:rPr>
        <w:t>)</w:t>
      </w:r>
      <w:r w:rsidR="002A081E">
        <w:rPr>
          <w:color w:val="auto"/>
        </w:rPr>
        <w:t xml:space="preserve">. </w:t>
      </w:r>
      <w:r w:rsidR="00A826E7">
        <w:rPr>
          <w:color w:val="auto"/>
        </w:rPr>
        <w:t xml:space="preserve"> </w:t>
      </w:r>
    </w:p>
    <w:p w14:paraId="1E46DB40" w14:textId="77777777" w:rsidR="002A081E" w:rsidRDefault="002A081E" w:rsidP="00822A4E">
      <w:pPr>
        <w:pStyle w:val="Body"/>
        <w:rPr>
          <w:color w:val="auto"/>
        </w:rPr>
      </w:pPr>
    </w:p>
    <w:p w14:paraId="1F55E139" w14:textId="77777777" w:rsidR="002A081E" w:rsidRDefault="002A081E" w:rsidP="002A081E">
      <w:pPr>
        <w:pStyle w:val="Body"/>
        <w:jc w:val="center"/>
        <w:rPr>
          <w:b/>
          <w:color w:val="auto"/>
        </w:rPr>
      </w:pPr>
      <w:r w:rsidRPr="00236E75">
        <w:rPr>
          <w:b/>
          <w:color w:val="auto"/>
        </w:rPr>
        <w:t xml:space="preserve"> </w:t>
      </w:r>
      <w:r>
        <w:rPr>
          <w:noProof/>
          <w:lang w:val="en-AU" w:eastAsia="en-AU"/>
        </w:rPr>
        <w:drawing>
          <wp:inline distT="0" distB="0" distL="0" distR="0" wp14:anchorId="410771B0" wp14:editId="55A15610">
            <wp:extent cx="4613812" cy="3668235"/>
            <wp:effectExtent l="19050" t="0" r="0" b="0"/>
            <wp:docPr id="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srcRect/>
                    <a:stretch>
                      <a:fillRect/>
                    </a:stretch>
                  </pic:blipFill>
                  <pic:spPr bwMode="auto">
                    <a:xfrm>
                      <a:off x="0" y="0"/>
                      <a:ext cx="4617192" cy="3670922"/>
                    </a:xfrm>
                    <a:prstGeom prst="rect">
                      <a:avLst/>
                    </a:prstGeom>
                    <a:noFill/>
                    <a:ln w="9525">
                      <a:noFill/>
                      <a:miter lim="800000"/>
                      <a:headEnd/>
                      <a:tailEnd/>
                    </a:ln>
                  </pic:spPr>
                </pic:pic>
              </a:graphicData>
            </a:graphic>
          </wp:inline>
        </w:drawing>
      </w:r>
    </w:p>
    <w:p w14:paraId="3CADF94F" w14:textId="77777777" w:rsidR="002A081E" w:rsidRDefault="002A081E" w:rsidP="002A081E">
      <w:pPr>
        <w:pStyle w:val="Imagecaption"/>
        <w:rPr>
          <w:color w:val="auto"/>
        </w:rPr>
      </w:pPr>
      <w:bookmarkStart w:id="220" w:name="_Ref427573899"/>
      <w:bookmarkStart w:id="221" w:name="_Toc422323055"/>
      <w:bookmarkStart w:id="222" w:name="_Toc449696333"/>
      <w:r>
        <w:t xml:space="preserve">Figure </w:t>
      </w:r>
      <w:r w:rsidR="00084CDD">
        <w:fldChar w:fldCharType="begin"/>
      </w:r>
      <w:r w:rsidR="00144B4F">
        <w:instrText xml:space="preserve"> SEQ Figure \* ARABIC </w:instrText>
      </w:r>
      <w:r w:rsidR="00084CDD">
        <w:fldChar w:fldCharType="separate"/>
      </w:r>
      <w:r w:rsidR="00C52E30">
        <w:rPr>
          <w:noProof/>
        </w:rPr>
        <w:t>43</w:t>
      </w:r>
      <w:r w:rsidR="00084CDD">
        <w:rPr>
          <w:noProof/>
        </w:rPr>
        <w:fldChar w:fldCharType="end"/>
      </w:r>
      <w:bookmarkEnd w:id="220"/>
      <w:r>
        <w:t>.</w:t>
      </w:r>
      <w:bookmarkEnd w:id="221"/>
      <w:r w:rsidR="00166890" w:rsidRPr="00166890">
        <w:t xml:space="preserve">Observations of fault displacement and spatial distribution for the Stratford area of the Gloucester Basin, New South Wales (red circles with yellow fill); also shown are fault displacement–spatial distribution relationships derived in previous studies of the Gloucester </w:t>
      </w:r>
      <w:r w:rsidR="00A826E7">
        <w:t xml:space="preserve">Basin </w:t>
      </w:r>
      <w:r w:rsidR="00166890" w:rsidRPr="00166890">
        <w:t>and other basins</w:t>
      </w:r>
      <w:r w:rsidR="00A826E7">
        <w:t xml:space="preserve"> </w:t>
      </w:r>
      <w:r w:rsidR="00084CDD">
        <w:fldChar w:fldCharType="begin"/>
      </w:r>
      <w:r w:rsidR="001B35B2">
        <w:instrText xml:space="preserve"> ADDIN EN.CITE &lt;EndNote&gt;&lt;Cite&gt;&lt;Author&gt;Frery&lt;/Author&gt;&lt;Year&gt;2014&lt;/Year&gt;&lt;IDText&gt;3-D modelling of complex coal bed methane basins, Gloucester Basin case study, NSW&lt;/IDText&gt;&lt;DisplayText&gt;(Frery et al., 2014)&lt;/DisplayText&gt;&lt;record&gt;&lt;titles&gt;&lt;title&gt;3-D modelling of complex coal bed methane basins, Gloucester Basin case study, NSW&lt;/title&gt;&lt;secondary-title&gt;Australian Earth Sciences Convention 7-10 July 2014&lt;/secondary-title&gt;&lt;/titles&gt;&lt;contributors&gt;&lt;authors&gt;&lt;author&gt;Frery, E&lt;/author&gt;&lt;author&gt;Langhi, L&lt;/author&gt;&lt;author&gt;Rohead-O‘Brien, H&lt;/author&gt;&lt;author&gt;Strand, J&lt;/author&gt;&lt;/authors&gt;&lt;/contributors&gt;&lt;added-date format="utc"&gt;1440470657&lt;/added-date&gt;&lt;pub-location&gt;Newcastle, NSW&lt;/pub-location&gt;&lt;ref-type name="Conference Paper"&gt;47&lt;/ref-type&gt;&lt;dates&gt;&lt;year&gt;2014&lt;/year&gt;&lt;/dates&gt;&lt;rec-number&gt;1230&lt;/rec-number&gt;&lt;publisher&gt;Geological Society of Australia&lt;/publisher&gt;&lt;last-updated-date format="utc"&gt;1441324379&lt;/last-updated-date&gt;&lt;/record&gt;&lt;/Cite&gt;&lt;/EndNote&gt;</w:instrText>
      </w:r>
      <w:r w:rsidR="00084CDD">
        <w:fldChar w:fldCharType="separate"/>
      </w:r>
      <w:r w:rsidR="001B35B2">
        <w:rPr>
          <w:noProof/>
        </w:rPr>
        <w:t>(Frery et al., 2014)</w:t>
      </w:r>
      <w:r w:rsidR="00084CDD">
        <w:fldChar w:fldCharType="end"/>
      </w:r>
      <w:r w:rsidR="00A826E7">
        <w:t>.</w:t>
      </w:r>
      <w:bookmarkEnd w:id="222"/>
    </w:p>
    <w:p w14:paraId="79422EFA" w14:textId="77777777" w:rsidR="002A081E" w:rsidRDefault="002A081E" w:rsidP="00822A4E">
      <w:pPr>
        <w:pStyle w:val="Body"/>
        <w:rPr>
          <w:color w:val="auto"/>
        </w:rPr>
      </w:pPr>
    </w:p>
    <w:p w14:paraId="7B112082" w14:textId="11DA4F34" w:rsidR="002A081E" w:rsidRDefault="002A081E" w:rsidP="00822A4E">
      <w:pPr>
        <w:pStyle w:val="Body"/>
      </w:pPr>
      <w:r>
        <w:rPr>
          <w:color w:val="auto"/>
        </w:rPr>
        <w:t>R</w:t>
      </w:r>
      <w:r w:rsidR="00822A4E">
        <w:rPr>
          <w:color w:val="auto"/>
        </w:rPr>
        <w:t>elationship</w:t>
      </w:r>
      <w:r>
        <w:rPr>
          <w:color w:val="auto"/>
        </w:rPr>
        <w:t>s</w:t>
      </w:r>
      <w:r w:rsidR="00822A4E" w:rsidRPr="0034722E">
        <w:rPr>
          <w:color w:val="auto"/>
        </w:rPr>
        <w:t xml:space="preserve"> between </w:t>
      </w:r>
      <w:r w:rsidR="00822A4E">
        <w:rPr>
          <w:color w:val="auto"/>
        </w:rPr>
        <w:t xml:space="preserve">fault </w:t>
      </w:r>
      <w:r w:rsidR="00822A4E" w:rsidRPr="0034722E">
        <w:rPr>
          <w:color w:val="auto"/>
        </w:rPr>
        <w:t xml:space="preserve">displacement and </w:t>
      </w:r>
      <w:r w:rsidR="00822A4E">
        <w:rPr>
          <w:color w:val="auto"/>
        </w:rPr>
        <w:t xml:space="preserve">fault core and/or damage zone </w:t>
      </w:r>
      <w:r w:rsidR="00822A4E" w:rsidRPr="0034722E">
        <w:rPr>
          <w:color w:val="auto"/>
        </w:rPr>
        <w:t xml:space="preserve">thickness </w:t>
      </w:r>
      <w:r w:rsidR="00822A4E">
        <w:rPr>
          <w:color w:val="auto"/>
        </w:rPr>
        <w:t>ha</w:t>
      </w:r>
      <w:r>
        <w:rPr>
          <w:color w:val="auto"/>
        </w:rPr>
        <w:t>ve</w:t>
      </w:r>
      <w:r w:rsidR="00822A4E">
        <w:rPr>
          <w:color w:val="auto"/>
        </w:rPr>
        <w:t xml:space="preserve"> </w:t>
      </w:r>
      <w:r w:rsidR="00822A4E" w:rsidRPr="0034722E">
        <w:rPr>
          <w:color w:val="auto"/>
        </w:rPr>
        <w:t>been hypothesised</w:t>
      </w:r>
      <w:r w:rsidR="00822A4E">
        <w:rPr>
          <w:color w:val="auto"/>
        </w:rPr>
        <w:t xml:space="preserve"> by many authors </w:t>
      </w:r>
      <w:r w:rsidR="00084CDD">
        <w:rPr>
          <w:color w:val="auto"/>
        </w:rPr>
        <w:fldChar w:fldCharType="begin">
          <w:fldData xml:space="preserve">PEVuZE5vdGU+PENpdGU+PEF1dGhvcj5Lbm90dDwvQXV0aG9yPjxZZWFyPjE5OTY8L1llYXI+PElE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</w:fldData>
        </w:fldChar>
      </w:r>
      <w:r w:rsidR="00822A4E">
        <w:rPr>
          <w:color w:val="auto"/>
        </w:rPr>
        <w:instrText xml:space="preserve"> ADDIN EN.CITE </w:instrText>
      </w:r>
      <w:r w:rsidR="00084CDD">
        <w:rPr>
          <w:color w:val="auto"/>
        </w:rPr>
        <w:fldChar w:fldCharType="begin">
          <w:fldData xml:space="preserve">PEVuZE5vdGU+PENpdGU+PEF1dGhvcj5Lbm90dDwvQXV0aG9yPjxZZWFyPjE5OTY8L1llYXI+PElE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</w:fldData>
        </w:fldChar>
      </w:r>
      <w:r w:rsidR="00822A4E">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sidR="00822A4E">
        <w:rPr>
          <w:noProof/>
          <w:color w:val="auto"/>
        </w:rPr>
        <w:t>(Childs et al., 2009; Knott et al., 1996; Sperrevik et al., 2002; Torabi and Berg, 2011)</w:t>
      </w:r>
      <w:r w:rsidR="00084CDD">
        <w:rPr>
          <w:color w:val="auto"/>
        </w:rPr>
        <w:fldChar w:fldCharType="end"/>
      </w:r>
      <w:r w:rsidR="00822A4E" w:rsidRPr="00BF50F2">
        <w:rPr>
          <w:color w:val="auto"/>
        </w:rPr>
        <w:t xml:space="preserve">. </w:t>
      </w:r>
      <w:r w:rsidR="00822A4E" w:rsidRPr="00BF50F2">
        <w:t xml:space="preserve">Sperrevik </w:t>
      </w:r>
      <w:r w:rsidR="00810442">
        <w:t xml:space="preserve">et al. </w:t>
      </w:r>
      <w:r w:rsidR="00084CDD" w:rsidRPr="00BF50F2">
        <w:fldChar w:fldCharType="begin"/>
      </w:r>
      <w:r w:rsidR="00822A4E">
        <w:instrText xml:space="preserve"> ADDIN EN.CITE &lt;EndNote&gt;&lt;Cite ExcludeAuth="1"&gt;&lt;Author&gt;Sperrevik&lt;/Author&gt;&lt;Year&gt;2002&lt;/Year&gt;&lt;IDText&gt;Empirical estimation of fault rock properties&lt;/IDText&gt;&lt;DisplayText&gt;(2002)&lt;/DisplayText&gt;&lt;record&gt;&lt;titles&gt;&lt;title&gt;Empirical estimation of fault rock properties&lt;/title&gt;&lt;secondary-title&gt;Hydrocarbon Seal Quantification&lt;/secondary-title&gt;&lt;tertiary-title&gt;NPF Special Publications 11&lt;/tertiary-title&gt;&lt;/titles&gt;&lt;pages&gt;109-125&lt;/pages&gt;&lt;contributors&gt;&lt;authors&gt;&lt;author&gt;Sperrevik, Susanne&lt;/author&gt;&lt;author&gt;Gillespie, Paul A.&lt;/author&gt;&lt;author&gt;Fisher, Quentin J.&lt;/author&gt;&lt;author&gt;Halvorsen, Trond&lt;/author&gt;&lt;author&gt;Knipe, Rob J.&lt;/author&gt;&lt;/authors&gt;&lt;/contributors&gt;&lt;added-date format="utc"&gt;1433476999&lt;/added-date&gt;&lt;pub-location&gt;Amsterdam&lt;/pub-location&gt;&lt;ref-type name="Book Section"&gt;5&lt;/ref-type&gt;&lt;dates&gt;&lt;year&gt;2002&lt;/year&gt;&lt;/dates&gt;&lt;rec-number&gt;114&lt;/rec-number&gt;&lt;publisher&gt;Elsevier Science&lt;/publisher&gt;&lt;last-updated-date format="utc"&gt;1433483798&lt;/last-updated-date&gt;&lt;contributors&gt;&lt;secondary-authors&gt;&lt;author&gt;Koestler, A.G.&lt;/author&gt;&lt;author&gt;Hunsdale, R.&lt;/author&gt;&lt;/secondary-authors&gt;&lt;/contributors&gt;&lt;/record&gt;&lt;/Cite&gt;&lt;/EndNote&gt;</w:instrText>
      </w:r>
      <w:r w:rsidR="00084CDD" w:rsidRPr="00BF50F2">
        <w:fldChar w:fldCharType="separate"/>
      </w:r>
      <w:r w:rsidR="00822A4E">
        <w:rPr>
          <w:noProof/>
        </w:rPr>
        <w:t>(2002)</w:t>
      </w:r>
      <w:r w:rsidR="00084CDD" w:rsidRPr="00BF50F2">
        <w:fldChar w:fldCharType="end"/>
      </w:r>
      <w:r w:rsidR="00822A4E" w:rsidRPr="00BF50F2">
        <w:t xml:space="preserve"> derived a</w:t>
      </w:r>
      <w:r>
        <w:t xml:space="preserve"> </w:t>
      </w:r>
      <w:r w:rsidR="00822A4E" w:rsidRPr="00BF50F2">
        <w:t>method for estimating fault zone</w:t>
      </w:r>
      <w:r w:rsidR="00822A4E">
        <w:t xml:space="preserve"> thickness from fault throw based on outcrop data. The relationship, which was lithology-dependent, was related to the clay content of the fault zone.</w:t>
      </w:r>
      <w:r>
        <w:t xml:space="preserve"> </w:t>
      </w:r>
      <w:r>
        <w:rPr>
          <w:color w:val="auto"/>
        </w:rPr>
        <w:t xml:space="preserve">Faulkner et al. </w:t>
      </w:r>
      <w:r w:rsidR="00084CDD">
        <w:rPr>
          <w:color w:val="auto"/>
        </w:rPr>
        <w:fldChar w:fldCharType="begin">
          <w:fldData xml:space="preserve">PEVuZE5vdGU+PENpdGUgRXhjbHVkZUF1dGg9IjEiPjxBdXRob3I+RmF1bGtuZXI8L0F1dGhvcj48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</w:fldData>
        </w:fldChar>
      </w:r>
      <w:r>
        <w:rPr>
          <w:color w:val="auto"/>
        </w:rPr>
        <w:instrText xml:space="preserve"> ADDIN EN.CITE </w:instrText>
      </w:r>
      <w:r w:rsidR="00084CDD">
        <w:rPr>
          <w:color w:val="auto"/>
        </w:rPr>
        <w:fldChar w:fldCharType="begin">
          <w:fldData xml:space="preserve">PEVuZE5vdGU+PENpdGUgRXhjbHVkZUF1dGg9IjEiPjxBdXRob3I+RmF1bGtuZXI8L0F1dGhvcj48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</w:fldData>
        </w:fldChar>
      </w:r>
      <w:r>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Pr>
          <w:noProof/>
          <w:color w:val="auto"/>
        </w:rPr>
        <w:t>(2010)</w:t>
      </w:r>
      <w:r w:rsidR="00084CDD">
        <w:rPr>
          <w:color w:val="auto"/>
        </w:rPr>
        <w:fldChar w:fldCharType="end"/>
      </w:r>
      <w:r>
        <w:rPr>
          <w:color w:val="auto"/>
        </w:rPr>
        <w:t xml:space="preserve"> summarised relationships between </w:t>
      </w:r>
      <w:r w:rsidR="00B13331">
        <w:rPr>
          <w:color w:val="auto"/>
        </w:rPr>
        <w:t>microfracture density</w:t>
      </w:r>
      <w:r>
        <w:rPr>
          <w:color w:val="auto"/>
        </w:rPr>
        <w:t xml:space="preserve"> and distance from fault</w:t>
      </w:r>
      <w:r w:rsidR="00B13331">
        <w:rPr>
          <w:color w:val="auto"/>
        </w:rPr>
        <w:t>s to estimate</w:t>
      </w:r>
      <w:r>
        <w:rPr>
          <w:color w:val="auto"/>
        </w:rPr>
        <w:t xml:space="preserve"> </w:t>
      </w:r>
      <w:r w:rsidR="00B13331">
        <w:rPr>
          <w:color w:val="auto"/>
        </w:rPr>
        <w:t>damage zone width</w:t>
      </w:r>
      <w:r>
        <w:rPr>
          <w:color w:val="auto"/>
        </w:rPr>
        <w:t xml:space="preserve"> </w:t>
      </w:r>
      <w:r w:rsidR="00B13331">
        <w:rPr>
          <w:color w:val="auto"/>
        </w:rPr>
        <w:t>from</w:t>
      </w:r>
      <w:r>
        <w:rPr>
          <w:color w:val="auto"/>
        </w:rPr>
        <w:t xml:space="preserve"> </w:t>
      </w:r>
      <w:r w:rsidR="0098400D">
        <w:rPr>
          <w:color w:val="auto"/>
        </w:rPr>
        <w:t>three</w:t>
      </w:r>
      <w:r>
        <w:rPr>
          <w:color w:val="auto"/>
        </w:rPr>
        <w:t xml:space="preserve"> published studies </w:t>
      </w:r>
      <w:r w:rsidR="0098400D">
        <w:rPr>
          <w:color w:val="auto"/>
        </w:rPr>
        <w:t>[</w:t>
      </w:r>
      <w:r w:rsidR="0098400D">
        <w:t xml:space="preserve">Anders and Wiltschko </w:t>
      </w:r>
      <w:r w:rsidR="00084CDD">
        <w:fldChar w:fldCharType="begin"/>
      </w:r>
      <w:r w:rsidR="0098400D">
        <w:instrText xml:space="preserve"> ADDIN EN.CITE &lt;EndNote&gt;&lt;Cite ExcludeAuth="1"&gt;&lt;Author&gt;Anders&lt;/Author&gt;&lt;Year&gt;1994&lt;/Year&gt;&lt;IDText&gt;Microfracturing, paleostress and the growth of faults&lt;/IDText&gt;&lt;DisplayText&gt;(1994)&lt;/DisplayText&gt;&lt;record&gt;&lt;isbn&gt;0191-8141&lt;/isbn&gt;&lt;titles&gt;&lt;title&gt;Microfracturing, paleostress and the growth of faults&lt;/title&gt;&lt;secondary-title&gt;Journal of Structural Geology&lt;/secondary-title&gt;&lt;/titles&gt;&lt;pages&gt;795-815&lt;/pages&gt;&lt;number&gt;6&lt;/number&gt;&lt;contributors&gt;&lt;authors&gt;&lt;author&gt;Anders, Mark H&lt;/author&gt;&lt;author&gt;Wiltschko, David V&lt;/author&gt;&lt;/authors&gt;&lt;/contributors&gt;&lt;added-date format="utc"&gt;1440464611&lt;/added-date&gt;&lt;ref-type name="Journal Article"&gt;17&lt;/ref-type&gt;&lt;dates&gt;&lt;year&gt;1994&lt;/year&gt;&lt;/dates&gt;&lt;rec-number&gt;1227&lt;/rec-number&gt;&lt;last-updated-date format="utc"&gt;1440464611&lt;/last-updated-date&gt;&lt;volume&gt;16&lt;/volume&gt;&lt;/record&gt;&lt;/Cite&gt;&lt;/EndNote&gt;</w:instrText>
      </w:r>
      <w:r w:rsidR="00084CDD">
        <w:fldChar w:fldCharType="separate"/>
      </w:r>
      <w:r w:rsidR="0098400D">
        <w:rPr>
          <w:noProof/>
        </w:rPr>
        <w:t>(1994)</w:t>
      </w:r>
      <w:r w:rsidR="00084CDD">
        <w:fldChar w:fldCharType="end"/>
      </w:r>
      <w:r w:rsidR="0098400D">
        <w:t xml:space="preserve">; Shipton and Cowie </w:t>
      </w:r>
      <w:r w:rsidR="00084CDD">
        <w:fldChar w:fldCharType="begin"/>
      </w:r>
      <w:r w:rsidR="0098400D">
        <w:instrText xml:space="preserve"> ADDIN EN.CITE &lt;EndNote&gt;&lt;Cite ExcludeAuth="1"&gt;&lt;Author&gt;Shipton&lt;/Author&gt;&lt;Year&gt;2001&lt;/Year&gt;&lt;IDText&gt;Damage zone and slip-surface evolution over μm to km scales in high-porosity Navajo sandstone, Utah&lt;/IDText&gt;&lt;DisplayText&gt;(2001)&lt;/DisplayText&gt;&lt;record&gt;&lt;isbn&gt;0191-8141&lt;/isbn&gt;&lt;titles&gt;&lt;title&gt;Damage zone and slip-surface evolution over μm to km scales in high-porosity Navajo sandstone, Utah&lt;/title&gt;&lt;secondary-title&gt;Journal of Structural Geology&lt;/secondary-title&gt;&lt;/titles&gt;&lt;pages&gt;1825-1844&lt;/pages&gt;&lt;number&gt;12&lt;/number&gt;&lt;contributors&gt;&lt;authors&gt;&lt;author&gt;Shipton, ZK&lt;/author&gt;&lt;author&gt;Cowie, PA&lt;/author&gt;&lt;/authors&gt;&lt;/contributors&gt;&lt;added-date format="utc"&gt;1440464707&lt;/added-date&gt;&lt;ref-type name="Journal Article"&gt;17&lt;/ref-type&gt;&lt;dates&gt;&lt;year&gt;2001&lt;/year&gt;&lt;/dates&gt;&lt;rec-number&gt;1228&lt;/rec-number&gt;&lt;last-updated-date format="utc"&gt;1440464707&lt;/last-updated-date&gt;&lt;volume&gt;23&lt;/volume&gt;&lt;/record&gt;&lt;/Cite&gt;&lt;/EndNote&gt;</w:instrText>
      </w:r>
      <w:r w:rsidR="00084CDD">
        <w:fldChar w:fldCharType="separate"/>
      </w:r>
      <w:r w:rsidR="0098400D">
        <w:rPr>
          <w:noProof/>
        </w:rPr>
        <w:t>(2001)</w:t>
      </w:r>
      <w:r w:rsidR="00084CDD">
        <w:fldChar w:fldCharType="end"/>
      </w:r>
      <w:r w:rsidR="0098400D">
        <w:t xml:space="preserve">; Vermilye and Scholz </w:t>
      </w:r>
      <w:r w:rsidR="00084CDD">
        <w:fldChar w:fldCharType="begin"/>
      </w:r>
      <w:r w:rsidR="0098400D">
        <w:instrText xml:space="preserve"> ADDIN EN.CITE &lt;EndNote&gt;&lt;Cite ExcludeAuth="1"&gt;&lt;Author&gt;Vermilye&lt;/Author&gt;&lt;Year&gt;1998&lt;/Year&gt;&lt;IDText&gt;The process zone: A microstructural view of fault growth&lt;/IDText&gt;&lt;DisplayText&gt;(1998)&lt;/DisplayText&gt;&lt;record&gt;&lt;isbn&gt;2156-2202&lt;/isbn&gt;&lt;titles&gt;&lt;title&gt;The process zone: A microstructural view of fault growth&lt;/title&gt;&lt;secondary-title&gt;Journal of Geophysical Research: Solid Earth (1978–2012)&lt;/secondary-title&gt;&lt;/titles&gt;&lt;pages&gt;12223-12237&lt;/pages&gt;&lt;number&gt;B6&lt;/number&gt;&lt;contributors&gt;&lt;authors&gt;&lt;author&gt;Vermilye, Jan M&lt;/author&gt;&lt;author&gt;Scholz, Christopher H&lt;/author&gt;&lt;/authors&gt;&lt;/contributors&gt;&lt;added-date format="utc"&gt;1440464750&lt;/added-date&gt;&lt;ref-type name="Journal Article"&gt;17&lt;/ref-type&gt;&lt;dates&gt;&lt;year&gt;1998&lt;/year&gt;&lt;/dates&gt;&lt;rec-number&gt;1229&lt;/rec-number&gt;&lt;last-updated-date format="utc"&gt;1440464750&lt;/last-updated-date&gt;&lt;volume&gt;103&lt;/volume&gt;&lt;/record&gt;&lt;/Cite&gt;&lt;/EndNote&gt;</w:instrText>
      </w:r>
      <w:r w:rsidR="00084CDD">
        <w:fldChar w:fldCharType="separate"/>
      </w:r>
      <w:r w:rsidR="0098400D">
        <w:rPr>
          <w:noProof/>
        </w:rPr>
        <w:t>(1998)</w:t>
      </w:r>
      <w:r w:rsidR="00084CDD">
        <w:fldChar w:fldCharType="end"/>
      </w:r>
      <w:r w:rsidR="0098400D">
        <w:t xml:space="preserve">; </w:t>
      </w:r>
      <w:r w:rsidR="00084CDD">
        <w:rPr>
          <w:color w:val="auto"/>
        </w:rPr>
        <w:fldChar w:fldCharType="begin"/>
      </w:r>
      <w:r>
        <w:rPr>
          <w:color w:val="auto"/>
        </w:rPr>
        <w:instrText xml:space="preserve"> REF _Ref422749483 \h </w:instrText>
      </w:r>
      <w:r w:rsidR="00084CDD">
        <w:rPr>
          <w:color w:val="auto"/>
        </w:rPr>
      </w:r>
      <w:r w:rsidR="00084CDD">
        <w:rPr>
          <w:color w:val="auto"/>
        </w:rPr>
        <w:fldChar w:fldCharType="separate"/>
      </w:r>
      <w:r w:rsidR="00C52E30">
        <w:t xml:space="preserve">Figure </w:t>
      </w:r>
      <w:r w:rsidR="00C52E30">
        <w:rPr>
          <w:noProof/>
        </w:rPr>
        <w:t>44</w:t>
      </w:r>
      <w:r w:rsidR="00084CDD">
        <w:rPr>
          <w:color w:val="auto"/>
        </w:rPr>
        <w:fldChar w:fldCharType="end"/>
      </w:r>
      <w:r w:rsidR="0098400D">
        <w:rPr>
          <w:color w:val="auto"/>
        </w:rPr>
        <w:t>]</w:t>
      </w:r>
      <w:r>
        <w:rPr>
          <w:color w:val="auto"/>
        </w:rPr>
        <w:t>.</w:t>
      </w:r>
      <w:r w:rsidR="0098400D">
        <w:rPr>
          <w:color w:val="auto"/>
        </w:rPr>
        <w:t xml:space="preserve"> </w:t>
      </w:r>
      <w:r w:rsidR="00DB1D1A">
        <w:rPr>
          <w:color w:val="auto"/>
        </w:rPr>
        <w:t>A maximum damage zone width of 1000 m was observed and exponential models (black lines) were proposed to describe observed spatial variations.</w:t>
      </w:r>
    </w:p>
    <w:p w14:paraId="5B190673" w14:textId="77777777" w:rsidR="00CF7D57" w:rsidRDefault="00CF7D57" w:rsidP="00CF7D57">
      <w:pPr>
        <w:pStyle w:val="Body"/>
        <w:rPr>
          <w:b/>
          <w:color w:val="auto"/>
        </w:rPr>
      </w:pPr>
    </w:p>
    <w:p w14:paraId="6A1940EB" w14:textId="77777777" w:rsidR="002A081E" w:rsidRPr="002A081E" w:rsidRDefault="001C45E9" w:rsidP="002A081E">
      <w:pPr>
        <w:pStyle w:val="Body"/>
        <w:jc w:val="center"/>
        <w:rPr>
          <w:color w:val="auto"/>
        </w:rPr>
      </w:pPr>
      <w:r>
        <w:rPr>
          <w:noProof/>
          <w:lang w:val="en-AU" w:eastAsia="en-AU"/>
        </w:rPr>
        <w:drawing>
          <wp:inline distT="0" distB="0" distL="0" distR="0" wp14:anchorId="296F7796" wp14:editId="344B6BD1">
            <wp:extent cx="4131818" cy="2520000"/>
            <wp:effectExtent l="19050" t="0" r="2032" b="0"/>
            <wp:docPr id="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srcRect l="22201" t="63260" r="26412" b="16981"/>
                    <a:stretch>
                      <a:fillRect/>
                    </a:stretch>
                  </pic:blipFill>
                  <pic:spPr bwMode="auto">
                    <a:xfrm>
                      <a:off x="0" y="0"/>
                      <a:ext cx="4131818" cy="2520000"/>
                    </a:xfrm>
                    <a:prstGeom prst="rect">
                      <a:avLst/>
                    </a:prstGeom>
                    <a:noFill/>
                    <a:ln w="9525">
                      <a:noFill/>
                      <a:miter lim="800000"/>
                      <a:headEnd/>
                      <a:tailEnd/>
                    </a:ln>
                  </pic:spPr>
                </pic:pic>
              </a:graphicData>
            </a:graphic>
          </wp:inline>
        </w:drawing>
      </w:r>
    </w:p>
    <w:p w14:paraId="65DC5AB9" w14:textId="285F8254" w:rsidR="002A081E" w:rsidRDefault="002A081E" w:rsidP="002A081E">
      <w:pPr>
        <w:pStyle w:val="Imagecaption"/>
        <w:rPr>
          <w:b/>
          <w:color w:val="auto"/>
        </w:rPr>
      </w:pPr>
      <w:bookmarkStart w:id="223" w:name="_Ref422749483"/>
      <w:bookmarkStart w:id="224" w:name="_Toc449696334"/>
      <w:r>
        <w:t xml:space="preserve">Figure </w:t>
      </w:r>
      <w:r w:rsidR="00084CDD">
        <w:fldChar w:fldCharType="begin"/>
      </w:r>
      <w:r w:rsidR="00144B4F">
        <w:instrText xml:space="preserve"> SEQ Figure \* ARABIC </w:instrText>
      </w:r>
      <w:r w:rsidR="00084CDD">
        <w:fldChar w:fldCharType="separate"/>
      </w:r>
      <w:r w:rsidR="00C52E30">
        <w:rPr>
          <w:noProof/>
        </w:rPr>
        <w:t>44</w:t>
      </w:r>
      <w:r w:rsidR="00084CDD">
        <w:rPr>
          <w:noProof/>
        </w:rPr>
        <w:fldChar w:fldCharType="end"/>
      </w:r>
      <w:bookmarkEnd w:id="223"/>
      <w:r>
        <w:t>. Damage zone width (</w:t>
      </w:r>
      <w:r w:rsidR="00B13331">
        <w:t>as defined by</w:t>
      </w:r>
      <w:r>
        <w:t xml:space="preserve"> microfracture density) </w:t>
      </w:r>
      <w:r w:rsidR="00237578">
        <w:t xml:space="preserve">data as a function of </w:t>
      </w:r>
      <w:r>
        <w:t xml:space="preserve">distance </w:t>
      </w:r>
      <w:r w:rsidRPr="00237578">
        <w:t>from fault</w:t>
      </w:r>
      <w:r w:rsidR="00237578">
        <w:t>, as</w:t>
      </w:r>
      <w:r w:rsidRPr="00237578">
        <w:t xml:space="preserve"> </w:t>
      </w:r>
      <w:r w:rsidR="00237578">
        <w:t xml:space="preserve">summarised by Faulkner et al. </w:t>
      </w:r>
      <w:r w:rsidR="00084CDD">
        <w:fldChar w:fldCharType="begin">
          <w:fldData xml:space="preserve">PEVuZE5vdGU+PENpdGUgRXhjbHVkZUF1dGg9IjEiPjxBdXRob3I+RmF1bGtuZXI8L0F1dGhvcj48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</w:fldData>
        </w:fldChar>
      </w:r>
      <w:r w:rsidR="00237578">
        <w:instrText xml:space="preserve"> ADDIN EN.CITE </w:instrText>
      </w:r>
      <w:r w:rsidR="00084CDD">
        <w:fldChar w:fldCharType="begin">
          <w:fldData xml:space="preserve">PEVuZE5vdGU+PENpdGUgRXhjbHVkZUF1dGg9IjEiPjxBdXRob3I+RmF1bGtuZXI8L0F1dGhvcj48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</w:fldData>
        </w:fldChar>
      </w:r>
      <w:r w:rsidR="00237578">
        <w:instrText xml:space="preserve"> ADDIN EN.CITE.DATA </w:instrText>
      </w:r>
      <w:r w:rsidR="00084CDD">
        <w:fldChar w:fldCharType="end"/>
      </w:r>
      <w:r w:rsidR="00084CDD">
        <w:fldChar w:fldCharType="separate"/>
      </w:r>
      <w:r w:rsidR="00237578">
        <w:rPr>
          <w:noProof/>
        </w:rPr>
        <w:t>(2010)</w:t>
      </w:r>
      <w:r w:rsidR="00084CDD">
        <w:fldChar w:fldCharType="end"/>
      </w:r>
      <w:r w:rsidR="00237578">
        <w:t xml:space="preserve">, using data from </w:t>
      </w:r>
      <w:r w:rsidR="0098400D">
        <w:t xml:space="preserve">Anders and Wiltschko </w:t>
      </w:r>
      <w:r w:rsidR="00084CDD">
        <w:fldChar w:fldCharType="begin"/>
      </w:r>
      <w:r w:rsidR="0098400D">
        <w:instrText xml:space="preserve"> ADDIN EN.CITE &lt;EndNote&gt;&lt;Cite ExcludeAuth="1"&gt;&lt;Author&gt;Anders&lt;/Author&gt;&lt;Year&gt;1994&lt;/Year&gt;&lt;IDText&gt;Microfracturing, paleostress and the growth of faults&lt;/IDText&gt;&lt;DisplayText&gt;(1994)&lt;/DisplayText&gt;&lt;record&gt;&lt;isbn&gt;0191-8141&lt;/isbn&gt;&lt;titles&gt;&lt;title&gt;Microfracturing, paleostress and the growth of faults&lt;/title&gt;&lt;secondary-title&gt;Journal of Structural Geology&lt;/secondary-title&gt;&lt;/titles&gt;&lt;pages&gt;795-815&lt;/pages&gt;&lt;number&gt;6&lt;/number&gt;&lt;contributors&gt;&lt;authors&gt;&lt;author&gt;Anders, Mark H&lt;/author&gt;&lt;author&gt;Wiltschko, David V&lt;/author&gt;&lt;/authors&gt;&lt;/contributors&gt;&lt;added-date format="utc"&gt;1440464611&lt;/added-date&gt;&lt;ref-type name="Journal Article"&gt;17&lt;/ref-type&gt;&lt;dates&gt;&lt;year&gt;1994&lt;/year&gt;&lt;/dates&gt;&lt;rec-number&gt;1227&lt;/rec-number&gt;&lt;last-updated-date format="utc"&gt;1440464611&lt;/last-updated-date&gt;&lt;volume&gt;16&lt;/volume&gt;&lt;/record&gt;&lt;/Cite&gt;&lt;/EndNote&gt;</w:instrText>
      </w:r>
      <w:r w:rsidR="00084CDD">
        <w:fldChar w:fldCharType="separate"/>
      </w:r>
      <w:r w:rsidR="0098400D">
        <w:rPr>
          <w:noProof/>
        </w:rPr>
        <w:t>(1994)</w:t>
      </w:r>
      <w:r w:rsidR="00084CDD">
        <w:fldChar w:fldCharType="end"/>
      </w:r>
      <w:r w:rsidR="0098400D">
        <w:t xml:space="preserve">, Shipton and Cowie </w:t>
      </w:r>
      <w:r w:rsidR="00084CDD">
        <w:fldChar w:fldCharType="begin"/>
      </w:r>
      <w:r w:rsidR="0098400D">
        <w:instrText xml:space="preserve"> ADDIN EN.CITE &lt;EndNote&gt;&lt;Cite ExcludeAuth="1"&gt;&lt;Author&gt;Shipton&lt;/Author&gt;&lt;Year&gt;2001&lt;/Year&gt;&lt;IDText&gt;Damage zone and slip-surface evolution over μm to km scales in high-porosity Navajo sandstone, Utah&lt;/IDText&gt;&lt;DisplayText&gt;(2001)&lt;/DisplayText&gt;&lt;record&gt;&lt;isbn&gt;0191-8141&lt;/isbn&gt;&lt;titles&gt;&lt;title&gt;Damage zone and slip-surface evolution over μm to km scales in high-porosity Navajo sandstone, Utah&lt;/title&gt;&lt;secondary-title&gt;Journal of Structural Geology&lt;/secondary-title&gt;&lt;/titles&gt;&lt;pages&gt;1825-1844&lt;/pages&gt;&lt;number&gt;12&lt;/number&gt;&lt;contributors&gt;&lt;authors&gt;&lt;author&gt;Shipton, ZK&lt;/author&gt;&lt;author&gt;Cowie, PA&lt;/author&gt;&lt;/authors&gt;&lt;/contributors&gt;&lt;added-date format="utc"&gt;1440464707&lt;/added-date&gt;&lt;ref-type name="Journal Article"&gt;17&lt;/ref-type&gt;&lt;dates&gt;&lt;year&gt;2001&lt;/year&gt;&lt;/dates&gt;&lt;rec-number&gt;1228&lt;/rec-number&gt;&lt;last-updated-date format="utc"&gt;1440464707&lt;/last-updated-date&gt;&lt;volume&gt;23&lt;/volume&gt;&lt;/record&gt;&lt;/Cite&gt;&lt;/EndNote&gt;</w:instrText>
      </w:r>
      <w:r w:rsidR="00084CDD">
        <w:fldChar w:fldCharType="separate"/>
      </w:r>
      <w:r w:rsidR="0098400D">
        <w:rPr>
          <w:noProof/>
        </w:rPr>
        <w:t>(2001)</w:t>
      </w:r>
      <w:r w:rsidR="00084CDD">
        <w:fldChar w:fldCharType="end"/>
      </w:r>
      <w:r w:rsidR="0098400D">
        <w:t xml:space="preserve"> and Vermilye and Scholz </w:t>
      </w:r>
      <w:r w:rsidR="00084CDD">
        <w:fldChar w:fldCharType="begin"/>
      </w:r>
      <w:r w:rsidR="0098400D">
        <w:instrText xml:space="preserve"> ADDIN EN.CITE &lt;EndNote&gt;&lt;Cite ExcludeAuth="1"&gt;&lt;Author&gt;Vermilye&lt;/Author&gt;&lt;Year&gt;1998&lt;/Year&gt;&lt;IDText&gt;The process zone: A microstructural view of fault growth&lt;/IDText&gt;&lt;DisplayText&gt;(1998)&lt;/DisplayText&gt;&lt;record&gt;&lt;isbn&gt;2156-2202&lt;/isbn&gt;&lt;titles&gt;&lt;title&gt;The process zone: A microstructural view of fault growth&lt;/title&gt;&lt;secondary-title&gt;Journal of Geophysical Research: Solid Earth (1978–2012)&lt;/secondary-title&gt;&lt;/titles&gt;&lt;pages&gt;12223-12237&lt;/pages&gt;&lt;number&gt;B6&lt;/number&gt;&lt;contributors&gt;&lt;authors&gt;&lt;author&gt;Vermilye, Jan M&lt;/author&gt;&lt;author&gt;Scholz, Christopher H&lt;/author&gt;&lt;/authors&gt;&lt;/contributors&gt;&lt;added-date format="utc"&gt;1440464750&lt;/added-date&gt;&lt;ref-type name="Journal Article"&gt;17&lt;/ref-type&gt;&lt;dates&gt;&lt;year&gt;1998&lt;/year&gt;&lt;/dates&gt;&lt;rec-number&gt;1229&lt;/rec-number&gt;&lt;last-updated-date format="utc"&gt;1440464750&lt;/last-updated-date&gt;&lt;volume&gt;103&lt;/volume&gt;&lt;/record&gt;&lt;/Cite&gt;&lt;/EndNote&gt;</w:instrText>
      </w:r>
      <w:r w:rsidR="00084CDD">
        <w:fldChar w:fldCharType="separate"/>
      </w:r>
      <w:r w:rsidR="0098400D">
        <w:rPr>
          <w:noProof/>
        </w:rPr>
        <w:t>(1998)</w:t>
      </w:r>
      <w:r w:rsidR="00084CDD">
        <w:fldChar w:fldCharType="end"/>
      </w:r>
      <w:r w:rsidRPr="00237578">
        <w:t>.</w:t>
      </w:r>
      <w:bookmarkEnd w:id="224"/>
    </w:p>
    <w:p w14:paraId="519165DD" w14:textId="77777777" w:rsidR="00C7590C" w:rsidRPr="007537CE" w:rsidRDefault="00D3677D" w:rsidP="000B065E">
      <w:pPr>
        <w:pStyle w:val="Body"/>
        <w:keepNext/>
        <w:rPr>
          <w:b/>
          <w:color w:val="auto"/>
        </w:rPr>
      </w:pPr>
      <w:r>
        <w:rPr>
          <w:b/>
          <w:color w:val="auto"/>
        </w:rPr>
        <w:t>A</w:t>
      </w:r>
      <w:r w:rsidRPr="007537CE">
        <w:rPr>
          <w:b/>
          <w:color w:val="auto"/>
        </w:rPr>
        <w:t>lteration</w:t>
      </w:r>
      <w:r>
        <w:rPr>
          <w:b/>
          <w:color w:val="auto"/>
        </w:rPr>
        <w:t xml:space="preserve"> of hydraulic properties</w:t>
      </w:r>
    </w:p>
    <w:p w14:paraId="51FDB663" w14:textId="77777777" w:rsidR="00995AC6" w:rsidRDefault="00995AC6" w:rsidP="00995AC6">
      <w:pPr>
        <w:pStyle w:val="Body"/>
        <w:rPr>
          <w:color w:val="auto"/>
        </w:rPr>
      </w:pPr>
      <w:r>
        <w:rPr>
          <w:color w:val="auto"/>
        </w:rPr>
        <w:t xml:space="preserve">Processes that enhance or reduce the permeability of rocks and sediments in the vicinity of faults were summarised by Bense </w:t>
      </w:r>
      <w:r w:rsidR="00810442">
        <w:rPr>
          <w:color w:val="auto"/>
        </w:rPr>
        <w:t xml:space="preserve">et al. </w:t>
      </w:r>
      <w:r w:rsidR="00084CDD">
        <w:rPr>
          <w:color w:val="auto"/>
        </w:rPr>
        <w:fldChar w:fldCharType="begin"/>
      </w:r>
      <w:r w:rsidR="00EC33A1">
        <w:rPr>
          <w:color w:val="auto"/>
        </w:rPr>
        <w:instrText xml:space="preserve"> ADDIN EN.CITE &lt;EndNote&gt;&lt;Cite ExcludeAuth="1"&gt;&lt;Author&gt;Bense&lt;/Author&gt;&lt;Year&gt;2013&lt;/Year&gt;&lt;IDText&gt;Fault zone hydrogeology&lt;/IDText&gt;&lt;DisplayText&gt;(2013)&lt;/DisplayText&gt;&lt;record&gt;&lt;dates&gt;&lt;pub-dates&gt;&lt;date&gt;DEC 2013&lt;/date&gt;&lt;/pub-dates&gt;&lt;year&gt;2013&lt;/year&gt;&lt;/dates&gt;&lt;keywords&gt;&lt;keyword&gt;Fault zone&lt;/keyword&gt;&lt;keyword&gt;Hydrogeology&lt;/keyword&gt;&lt;keyword&gt;Structural geology&lt;/keyword&gt;&lt;keyword&gt;FLUID-FLOW PROPERTIES&lt;/keyword&gt;&lt;keyword&gt;RIO-GRANDE RIFT&lt;/keyword&gt;&lt;keyword&gt;POORLY LITHIFIED SEDIMENTS&lt;/keyword&gt;&lt;keyword&gt;SAN-ANDREAS FAULT&lt;/keyword&gt;&lt;keyword&gt;THICKNESS-DISPLACEMENT RELATIONSHIPS&lt;/keyword&gt;&lt;keyword&gt;SEGMENTED NORMAL FAULTS&lt;/keyword&gt;&lt;keyword&gt;ACTIVE NORMAL-FAULT&lt;/keyword&gt;&lt;keyword&gt;STRIKE-SLIP FAULTS&lt;/keyword&gt;&lt;keyword&gt;DEFORMATION BANDS&lt;/keyword&gt;&lt;keyword&gt;GROUNDWATER-FLOW&lt;/keyword&gt;&lt;/keywords&gt;&lt;isbn&gt;0012-8252&lt;/isbn&gt;&lt;work-type&gt;Article&lt;/work-type&gt;&lt;titles&gt;&lt;title&gt;Fault zone hydrogeology&lt;/title&gt;&lt;secondary-title&gt;Earth-Science Reviews&lt;/secondary-title&gt;&lt;/titles&gt;&lt;pages&gt;171-192&lt;/pages&gt;&lt;contributors&gt;&lt;authors&gt;&lt;author&gt;Bense, VF&lt;/author&gt;&lt;author&gt;Gleeson, T&lt;/author&gt;&lt;author&gt;Loveless, SE&lt;/author&gt;&lt;author&gt;Bour, O&lt;/author&gt;&lt;author&gt;Scibek, J&lt;/author&gt;&lt;/authors&gt;&lt;/contributors&gt;&lt;language&gt;English&lt;/language&gt;&lt;added-date format="utc"&gt;1433473576&lt;/added-date&gt;&lt;ref-type name="Journal Article"&gt;17&lt;/ref-type&gt;&lt;auth-address&gt;Bense, VF (reprint author), Univ E Anglia, Sch Environm Sci, Norwich NR4 7TJ, Norfolk, England&amp;#xD;Univ E Anglia, Sch Environm Sci, Norwich NR4 7TJ, Norfolk, England&amp;#xD;McGill Univ, Montreal, PQ H3A 2K6, Canada&amp;#xD;Univ Rennes 1, CNRS, UMR 6118, Geosci Rennes, F-35042 Rennes, France&amp;#xD;SRK Consulting Inc, Vancouver, BC V6E 3X2, Canada&amp;#xD;v.bense@uea.ac.uk&lt;/auth-address&gt;&lt;rec-number&gt;101&lt;/rec-number&gt;&lt;last-updated-date format="utc"&gt;1433473576&lt;/last-updated-date&gt;&lt;accession-num&gt;WOS:000328871100008&lt;/accession-num&gt;&lt;electronic-resource-num&gt;10.1016/j.earscirev.2013.09.008&lt;/electronic-resource-num&gt;&lt;volume&gt;127&lt;/volume&gt;&lt;/record&gt;&lt;/Cite&gt;&lt;/EndNote&gt;</w:instrText>
      </w:r>
      <w:r w:rsidR="00084CDD">
        <w:rPr>
          <w:color w:val="auto"/>
        </w:rPr>
        <w:fldChar w:fldCharType="separate"/>
      </w:r>
      <w:r w:rsidR="00EC33A1">
        <w:rPr>
          <w:noProof/>
          <w:color w:val="auto"/>
        </w:rPr>
        <w:t>(2013)</w:t>
      </w:r>
      <w:r w:rsidR="00084CDD">
        <w:rPr>
          <w:color w:val="auto"/>
        </w:rPr>
        <w:fldChar w:fldCharType="end"/>
      </w:r>
      <w:r>
        <w:rPr>
          <w:color w:val="auto"/>
        </w:rPr>
        <w:t>. Simplified versions of th</w:t>
      </w:r>
      <w:r w:rsidR="0008540C">
        <w:rPr>
          <w:color w:val="auto"/>
        </w:rPr>
        <w:t>eir findings</w:t>
      </w:r>
      <w:r>
        <w:rPr>
          <w:color w:val="auto"/>
        </w:rPr>
        <w:t xml:space="preserve"> (excluding references to field studies) are presented here.</w:t>
      </w:r>
      <w:r w:rsidR="002A081E">
        <w:rPr>
          <w:color w:val="auto"/>
        </w:rPr>
        <w:t xml:space="preserve"> </w:t>
      </w:r>
      <w:r>
        <w:rPr>
          <w:color w:val="auto"/>
        </w:rPr>
        <w:t>Key processes that may enhance fault zone permeability include particulate flow, fracturing and brecciation (</w:t>
      </w:r>
      <w:r w:rsidR="00084CDD">
        <w:rPr>
          <w:color w:val="auto"/>
          <w:highlight w:val="yellow"/>
        </w:rPr>
        <w:fldChar w:fldCharType="begin"/>
      </w:r>
      <w:r w:rsidR="006F188C">
        <w:rPr>
          <w:color w:val="auto"/>
        </w:rPr>
        <w:instrText xml:space="preserve"> REF _Ref422389001 \h </w:instrText>
      </w:r>
      <w:r w:rsidR="00084CDD">
        <w:rPr>
          <w:color w:val="auto"/>
          <w:highlight w:val="yellow"/>
        </w:rPr>
      </w:r>
      <w:r w:rsidR="00084CDD">
        <w:rPr>
          <w:color w:val="auto"/>
          <w:highlight w:val="yellow"/>
        </w:rPr>
        <w:fldChar w:fldCharType="separate"/>
      </w:r>
      <w:r w:rsidR="00C52E30">
        <w:t xml:space="preserve">Table </w:t>
      </w:r>
      <w:r w:rsidR="00C52E30">
        <w:rPr>
          <w:noProof/>
        </w:rPr>
        <w:t>8</w:t>
      </w:r>
      <w:r w:rsidR="00084CDD">
        <w:rPr>
          <w:color w:val="auto"/>
          <w:highlight w:val="yellow"/>
        </w:rPr>
        <w:fldChar w:fldCharType="end"/>
      </w:r>
      <w:r>
        <w:rPr>
          <w:color w:val="auto"/>
        </w:rPr>
        <w:t xml:space="preserve">). Particulate flow, which only occurs in unlithified rock, refers to the process of grains moving past one another. This process leads to rearrangement of the pore network and, depending upon the host rock type, either an increase or decrease in permeability. Fracturing, which may occur in all rock types, results from geomechanical stresses imposed by faulting; this is discussed in detail in Section 3.2.2. Brecciation, which may occur in all rock types, refers to the development </w:t>
      </w:r>
      <w:r w:rsidRPr="00A95876">
        <w:rPr>
          <w:color w:val="auto"/>
        </w:rPr>
        <w:t>of angular, coarse-grained fragments</w:t>
      </w:r>
      <w:r>
        <w:rPr>
          <w:color w:val="auto"/>
        </w:rPr>
        <w:t xml:space="preserve"> (</w:t>
      </w:r>
      <w:r w:rsidR="00C85DC3">
        <w:rPr>
          <w:color w:val="auto"/>
        </w:rPr>
        <w:t xml:space="preserve">i.e., </w:t>
      </w:r>
      <w:r>
        <w:rPr>
          <w:color w:val="auto"/>
        </w:rPr>
        <w:t xml:space="preserve">clasts) from </w:t>
      </w:r>
      <w:r w:rsidRPr="00A95876">
        <w:rPr>
          <w:color w:val="auto"/>
        </w:rPr>
        <w:t>high-density fracturing</w:t>
      </w:r>
      <w:r>
        <w:rPr>
          <w:color w:val="auto"/>
        </w:rPr>
        <w:t xml:space="preserve">. These clasts are typically </w:t>
      </w:r>
      <w:r w:rsidRPr="00A95876">
        <w:rPr>
          <w:color w:val="auto"/>
        </w:rPr>
        <w:t>embedded in a fine-grained matrix</w:t>
      </w:r>
      <w:r>
        <w:rPr>
          <w:color w:val="auto"/>
        </w:rPr>
        <w:t xml:space="preserve"> that accounts for less than </w:t>
      </w:r>
      <w:r w:rsidRPr="00A95876">
        <w:rPr>
          <w:color w:val="auto"/>
        </w:rPr>
        <w:t>30% of the total rock volume</w:t>
      </w:r>
      <w:r>
        <w:rPr>
          <w:color w:val="auto"/>
        </w:rPr>
        <w:t xml:space="preserve"> </w:t>
      </w:r>
      <w:r w:rsidR="00084CDD">
        <w:rPr>
          <w:color w:val="auto"/>
        </w:rPr>
        <w:fldChar w:fldCharType="begin"/>
      </w:r>
      <w:r w:rsidR="00EC33A1">
        <w:rPr>
          <w:color w:val="auto"/>
        </w:rPr>
        <w:instrText xml:space="preserve"> ADDIN EN.CITE &lt;EndNote&gt;&lt;Cite&gt;&lt;Author&gt;Bense&lt;/Author&gt;&lt;Year&gt;2013&lt;/Year&gt;&lt;IDText&gt;Fault zone hydrogeology&lt;/IDText&gt;&lt;DisplayText&gt;(Bense et al., 2013)&lt;/DisplayText&gt;&lt;record&gt;&lt;dates&gt;&lt;pub-dates&gt;&lt;date&gt;DEC 2013&lt;/date&gt;&lt;/pub-dates&gt;&lt;year&gt;2013&lt;/year&gt;&lt;/dates&gt;&lt;keywords&gt;&lt;keyword&gt;Fault zone&lt;/keyword&gt;&lt;keyword&gt;Hydrogeology&lt;/keyword&gt;&lt;keyword&gt;Structural geology&lt;/keyword&gt;&lt;keyword&gt;FLUID-FLOW PROPERTIES&lt;/keyword&gt;&lt;keyword&gt;RIO-GRANDE RIFT&lt;/keyword&gt;&lt;keyword&gt;POORLY LITHIFIED SEDIMENTS&lt;/keyword&gt;&lt;keyword&gt;SAN-ANDREAS FAULT&lt;/keyword&gt;&lt;keyword&gt;THICKNESS-DISPLACEMENT RELATIONSHIPS&lt;/keyword&gt;&lt;keyword&gt;SEGMENTED NORMAL FAULTS&lt;/keyword&gt;&lt;keyword&gt;ACTIVE NORMAL-FAULT&lt;/keyword&gt;&lt;keyword&gt;STRIKE-SLIP FAULTS&lt;/keyword&gt;&lt;keyword&gt;DEFORMATION BANDS&lt;/keyword&gt;&lt;keyword&gt;GROUNDWATER-FLOW&lt;/keyword&gt;&lt;/keywords&gt;&lt;isbn&gt;0012-8252&lt;/isbn&gt;&lt;work-type&gt;Article&lt;/work-type&gt;&lt;titles&gt;&lt;title&gt;Fault zone hydrogeology&lt;/title&gt;&lt;secondary-title&gt;Earth-Science Reviews&lt;/secondary-title&gt;&lt;/titles&gt;&lt;pages&gt;171-192&lt;/pages&gt;&lt;contributors&gt;&lt;authors&gt;&lt;author&gt;Bense, VF&lt;/author&gt;&lt;author&gt;Gleeson, T&lt;/author&gt;&lt;author&gt;Loveless, SE&lt;/author&gt;&lt;author&gt;Bour, O&lt;/author&gt;&lt;author&gt;Scibek, J&lt;/author&gt;&lt;/authors&gt;&lt;/contributors&gt;&lt;language&gt;English&lt;/language&gt;&lt;added-date format="utc"&gt;1433473576&lt;/added-date&gt;&lt;ref-type name="Journal Article"&gt;17&lt;/ref-type&gt;&lt;auth-address&gt;Bense, VF (reprint author), Univ E Anglia, Sch Environm Sci, Norwich NR4 7TJ, Norfolk, England&amp;#xD;Univ E Anglia, Sch Environm Sci, Norwich NR4 7TJ, Norfolk, England&amp;#xD;McGill Univ, Montreal, PQ H3A 2K6, Canada&amp;#xD;Univ Rennes 1, CNRS, UMR 6118, Geosci Rennes, F-35042 Rennes, France&amp;#xD;SRK Consulting Inc, Vancouver, BC V6E 3X2, Canada&amp;#xD;v.bense@uea.ac.uk&lt;/auth-address&gt;&lt;rec-number&gt;101&lt;/rec-number&gt;&lt;last-updated-date format="utc"&gt;1433473576&lt;/last-updated-date&gt;&lt;accession-num&gt;WOS:000328871100008&lt;/accession-num&gt;&lt;electronic-resource-num&gt;10.1016/j.earscirev.2013.09.008&lt;/electronic-resource-num&gt;&lt;volume&gt;127&lt;/volume&gt;&lt;/record&gt;&lt;/Cite&gt;&lt;/EndNote&gt;</w:instrText>
      </w:r>
      <w:r w:rsidR="00084CDD">
        <w:rPr>
          <w:color w:val="auto"/>
        </w:rPr>
        <w:fldChar w:fldCharType="separate"/>
      </w:r>
      <w:r w:rsidR="00EC33A1">
        <w:rPr>
          <w:noProof/>
          <w:color w:val="auto"/>
        </w:rPr>
        <w:t>(Bense et al., 2013)</w:t>
      </w:r>
      <w:r w:rsidR="00084CDD">
        <w:rPr>
          <w:color w:val="auto"/>
        </w:rPr>
        <w:fldChar w:fldCharType="end"/>
      </w:r>
      <w:r>
        <w:rPr>
          <w:color w:val="auto"/>
        </w:rPr>
        <w:t xml:space="preserve">. </w:t>
      </w:r>
    </w:p>
    <w:p w14:paraId="0D4ACB69" w14:textId="77777777" w:rsidR="007512E8" w:rsidRDefault="007512E8" w:rsidP="00995AC6">
      <w:pPr>
        <w:pStyle w:val="Body"/>
        <w:rPr>
          <w:color w:val="auto"/>
        </w:rPr>
      </w:pPr>
    </w:p>
    <w:p w14:paraId="096A2DA6" w14:textId="77777777" w:rsidR="00995AC6" w:rsidRPr="00572370" w:rsidRDefault="007512E8" w:rsidP="00EC33A1">
      <w:pPr>
        <w:pStyle w:val="Imagecaption"/>
        <w:keepNext/>
        <w:pBdr>
          <w:top w:val="none" w:sz="0" w:space="0" w:color="auto"/>
        </w:pBdr>
      </w:pPr>
      <w:bookmarkStart w:id="225" w:name="_Ref422389001"/>
      <w:bookmarkStart w:id="226" w:name="_Toc422322990"/>
      <w:bookmarkStart w:id="227" w:name="_Toc449696228"/>
      <w:r>
        <w:t xml:space="preserve">Table </w:t>
      </w:r>
      <w:r w:rsidR="00084CDD">
        <w:fldChar w:fldCharType="begin"/>
      </w:r>
      <w:r>
        <w:instrText xml:space="preserve"> SEQ Table \* ARABIC </w:instrText>
      </w:r>
      <w:r w:rsidR="00084CDD">
        <w:fldChar w:fldCharType="separate"/>
      </w:r>
      <w:r w:rsidR="00C52E30">
        <w:rPr>
          <w:noProof/>
        </w:rPr>
        <w:t>8</w:t>
      </w:r>
      <w:r w:rsidR="00084CDD">
        <w:fldChar w:fldCharType="end"/>
      </w:r>
      <w:bookmarkEnd w:id="225"/>
      <w:r w:rsidR="00995AC6">
        <w:t xml:space="preserve">. </w:t>
      </w:r>
      <w:r w:rsidR="00995AC6" w:rsidRPr="00572370">
        <w:t>Primary fault processes that enhance permeability</w:t>
      </w:r>
      <w:r w:rsidR="00E52566">
        <w:t xml:space="preserve"> [after Bense </w:t>
      </w:r>
      <w:r w:rsidR="00810442">
        <w:t xml:space="preserve">et al., </w:t>
      </w:r>
      <w:r w:rsidR="00084CDD">
        <w:fldChar w:fldCharType="begin"/>
      </w:r>
      <w:r w:rsidR="00EC33A1">
        <w:instrText xml:space="preserve"> ADDIN EN.CITE &lt;EndNote&gt;&lt;Cite ExcludeAuth="1"&gt;&lt;Author&gt;Bense&lt;/Author&gt;&lt;Year&gt;2013&lt;/Year&gt;&lt;IDText&gt;Fault zone hydrogeology&lt;/IDText&gt;&lt;DisplayText&gt;(2013)&lt;/DisplayText&gt;&lt;record&gt;&lt;dates&gt;&lt;pub-dates&gt;&lt;date&gt;DEC 2013&lt;/date&gt;&lt;/pub-dates&gt;&lt;year&gt;2013&lt;/year&gt;&lt;/dates&gt;&lt;keywords&gt;&lt;keyword&gt;Fault zone&lt;/keyword&gt;&lt;keyword&gt;Hydrogeology&lt;/keyword&gt;&lt;keyword&gt;Structural geology&lt;/keyword&gt;&lt;keyword&gt;FLUID-FLOW PROPERTIES&lt;/keyword&gt;&lt;keyword&gt;RIO-GRANDE RIFT&lt;/keyword&gt;&lt;keyword&gt;POORLY LITHIFIED SEDIMENTS&lt;/keyword&gt;&lt;keyword&gt;SAN-ANDREAS FAULT&lt;/keyword&gt;&lt;keyword&gt;THICKNESS-DISPLACEMENT RELATIONSHIPS&lt;/keyword&gt;&lt;keyword&gt;SEGMENTED NORMAL FAULTS&lt;/keyword&gt;&lt;keyword&gt;ACTIVE NORMAL-FAULT&lt;/keyword&gt;&lt;keyword&gt;STRIKE-SLIP FAULTS&lt;/keyword&gt;&lt;keyword&gt;DEFORMATION BANDS&lt;/keyword&gt;&lt;keyword&gt;GROUNDWATER-FLOW&lt;/keyword&gt;&lt;/keywords&gt;&lt;isbn&gt;0012-8252&lt;/isbn&gt;&lt;work-type&gt;Article&lt;/work-type&gt;&lt;titles&gt;&lt;title&gt;Fault zone hydrogeology&lt;/title&gt;&lt;secondary-title&gt;Earth-Science Reviews&lt;/secondary-title&gt;&lt;/titles&gt;&lt;pages&gt;171-192&lt;/pages&gt;&lt;contributors&gt;&lt;authors&gt;&lt;author&gt;Bense, VF&lt;/author&gt;&lt;author&gt;Gleeson, T&lt;/author&gt;&lt;author&gt;Loveless, SE&lt;/author&gt;&lt;author&gt;Bour, O&lt;/author&gt;&lt;author&gt;Scibek, J&lt;/author&gt;&lt;/authors&gt;&lt;/contributors&gt;&lt;language&gt;English&lt;/language&gt;&lt;added-date format="utc"&gt;1433473576&lt;/added-date&gt;&lt;ref-type name="Journal Article"&gt;17&lt;/ref-type&gt;&lt;auth-address&gt;Bense, VF (reprint author), Univ E Anglia, Sch Environm Sci, Norwich NR4 7TJ, Norfolk, England&amp;#xD;Univ E Anglia, Sch Environm Sci, Norwich NR4 7TJ, Norfolk, England&amp;#xD;McGill Univ, Montreal, PQ H3A 2K6, Canada&amp;#xD;Univ Rennes 1, CNRS, UMR 6118, Geosci Rennes, F-35042 Rennes, France&amp;#xD;SRK Consulting Inc, Vancouver, BC V6E 3X2, Canada&amp;#xD;v.bense@uea.ac.uk&lt;/auth-address&gt;&lt;rec-number&gt;101&lt;/rec-number&gt;&lt;last-updated-date format="utc"&gt;1433473576&lt;/last-updated-date&gt;&lt;accession-num&gt;WOS:000328871100008&lt;/accession-num&gt;&lt;electronic-resource-num&gt;10.1016/j.earscirev.2013.09.008&lt;/electronic-resource-num&gt;&lt;volume&gt;127&lt;/volume&gt;&lt;/record&gt;&lt;/Cite&gt;&lt;/EndNote&gt;</w:instrText>
      </w:r>
      <w:r w:rsidR="00084CDD">
        <w:fldChar w:fldCharType="separate"/>
      </w:r>
      <w:r w:rsidR="00EC33A1">
        <w:rPr>
          <w:noProof/>
        </w:rPr>
        <w:t>(2013)</w:t>
      </w:r>
      <w:r w:rsidR="00084CDD">
        <w:fldChar w:fldCharType="end"/>
      </w:r>
      <w:r w:rsidR="00E52566">
        <w:t>].</w:t>
      </w:r>
      <w:bookmarkEnd w:id="226"/>
      <w:bookmarkEnd w:id="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3544"/>
        <w:gridCol w:w="842"/>
        <w:gridCol w:w="842"/>
        <w:gridCol w:w="842"/>
        <w:gridCol w:w="842"/>
        <w:gridCol w:w="842"/>
      </w:tblGrid>
      <w:tr w:rsidR="00995AC6" w:rsidRPr="00523374" w14:paraId="2AB7930D" w14:textId="77777777" w:rsidTr="00523374">
        <w:trPr>
          <w:cantSplit/>
          <w:trHeight w:val="1531"/>
        </w:trPr>
        <w:tc>
          <w:tcPr>
            <w:tcW w:w="1526" w:type="dxa"/>
            <w:tcBorders>
              <w:top w:val="single" w:sz="4" w:space="0" w:color="auto"/>
              <w:bottom w:val="single" w:sz="4" w:space="0" w:color="auto"/>
            </w:tcBorders>
            <w:shd w:val="clear" w:color="auto" w:fill="F2F2F2" w:themeFill="background1" w:themeFillShade="F2"/>
            <w:vAlign w:val="bottom"/>
          </w:tcPr>
          <w:p w14:paraId="4965FD1D" w14:textId="77777777" w:rsidR="00995AC6" w:rsidRPr="00523374" w:rsidRDefault="00995AC6" w:rsidP="00995AC6">
            <w:pPr>
              <w:pStyle w:val="Body"/>
              <w:keepNext/>
              <w:spacing w:before="20" w:after="20" w:line="240" w:lineRule="auto"/>
              <w:rPr>
                <w:rFonts w:asciiTheme="majorHAnsi" w:hAnsiTheme="majorHAnsi"/>
                <w:color w:val="auto"/>
                <w:sz w:val="16"/>
              </w:rPr>
            </w:pPr>
            <w:r w:rsidRPr="00523374">
              <w:rPr>
                <w:rFonts w:asciiTheme="majorHAnsi" w:hAnsiTheme="majorHAnsi"/>
                <w:color w:val="auto"/>
                <w:sz w:val="16"/>
              </w:rPr>
              <w:t>Process</w:t>
            </w:r>
          </w:p>
        </w:tc>
        <w:tc>
          <w:tcPr>
            <w:tcW w:w="3544" w:type="dxa"/>
            <w:tcBorders>
              <w:top w:val="single" w:sz="4" w:space="0" w:color="auto"/>
              <w:bottom w:val="single" w:sz="4" w:space="0" w:color="auto"/>
            </w:tcBorders>
            <w:shd w:val="clear" w:color="auto" w:fill="F2F2F2" w:themeFill="background1" w:themeFillShade="F2"/>
            <w:vAlign w:val="bottom"/>
          </w:tcPr>
          <w:p w14:paraId="68AC2A22" w14:textId="77777777" w:rsidR="00995AC6" w:rsidRPr="00523374" w:rsidRDefault="00995AC6" w:rsidP="00995AC6">
            <w:pPr>
              <w:pStyle w:val="Body"/>
              <w:spacing w:before="20" w:after="20" w:line="240" w:lineRule="auto"/>
              <w:rPr>
                <w:rFonts w:asciiTheme="majorHAnsi" w:hAnsiTheme="majorHAnsi"/>
                <w:color w:val="auto"/>
                <w:sz w:val="16"/>
              </w:rPr>
            </w:pPr>
            <w:r w:rsidRPr="00523374">
              <w:rPr>
                <w:rFonts w:asciiTheme="majorHAnsi" w:hAnsiTheme="majorHAnsi"/>
                <w:color w:val="auto"/>
                <w:sz w:val="16"/>
              </w:rPr>
              <w:t>Product</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2FD94A12"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Unlithified to poorly lithified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3DFB67B6"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Siliciclastic sedimentary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70C67C6B"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Carbonate sedimentary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09A003C5"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Crystalline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5ABD4972"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Volcanic rock</w:t>
            </w:r>
          </w:p>
        </w:tc>
      </w:tr>
      <w:tr w:rsidR="00995AC6" w:rsidRPr="00E72A6C" w14:paraId="7C3FA835" w14:textId="77777777" w:rsidTr="00995AC6">
        <w:trPr>
          <w:trHeight w:val="397"/>
        </w:trPr>
        <w:tc>
          <w:tcPr>
            <w:tcW w:w="1526" w:type="dxa"/>
            <w:vAlign w:val="center"/>
          </w:tcPr>
          <w:p w14:paraId="5F911E21" w14:textId="77777777" w:rsidR="00995AC6" w:rsidRPr="00E72A6C" w:rsidRDefault="00995AC6" w:rsidP="00995AC6">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Particulate flow</w:t>
            </w:r>
          </w:p>
        </w:tc>
        <w:tc>
          <w:tcPr>
            <w:tcW w:w="3544" w:type="dxa"/>
            <w:vAlign w:val="center"/>
          </w:tcPr>
          <w:p w14:paraId="5D3DD1F8"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D</w:t>
            </w:r>
            <w:r>
              <w:rPr>
                <w:rFonts w:asciiTheme="majorHAnsi" w:hAnsiTheme="majorHAnsi"/>
                <w:color w:val="auto"/>
                <w:sz w:val="16"/>
              </w:rPr>
              <w:t>eformation bands,</w:t>
            </w:r>
            <w:r w:rsidRPr="00E72A6C">
              <w:rPr>
                <w:rFonts w:asciiTheme="majorHAnsi" w:hAnsiTheme="majorHAnsi"/>
                <w:color w:val="auto"/>
                <w:sz w:val="16"/>
              </w:rPr>
              <w:t xml:space="preserve"> sand smear</w:t>
            </w:r>
          </w:p>
        </w:tc>
        <w:tc>
          <w:tcPr>
            <w:tcW w:w="842" w:type="dxa"/>
            <w:vAlign w:val="center"/>
          </w:tcPr>
          <w:p w14:paraId="27AD0C35" w14:textId="77777777" w:rsidR="00995AC6" w:rsidRPr="00E72A6C" w:rsidRDefault="00995AC6" w:rsidP="00995AC6">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34BA236C" w14:textId="77777777" w:rsidR="00995AC6" w:rsidRPr="00E72A6C" w:rsidRDefault="00995AC6" w:rsidP="00995AC6">
            <w:pPr>
              <w:pStyle w:val="Body"/>
              <w:spacing w:before="20" w:after="20" w:line="240" w:lineRule="auto"/>
              <w:rPr>
                <w:rFonts w:asciiTheme="majorHAnsi" w:hAnsiTheme="majorHAnsi"/>
                <w:color w:val="auto"/>
                <w:sz w:val="16"/>
              </w:rPr>
            </w:pPr>
          </w:p>
        </w:tc>
        <w:tc>
          <w:tcPr>
            <w:tcW w:w="842" w:type="dxa"/>
            <w:vAlign w:val="center"/>
          </w:tcPr>
          <w:p w14:paraId="63EDBBBA" w14:textId="77777777" w:rsidR="00995AC6" w:rsidRPr="00E72A6C" w:rsidRDefault="00995AC6" w:rsidP="00995AC6">
            <w:pPr>
              <w:pStyle w:val="Body"/>
              <w:spacing w:before="20" w:after="20" w:line="240" w:lineRule="auto"/>
              <w:rPr>
                <w:rFonts w:asciiTheme="majorHAnsi" w:hAnsiTheme="majorHAnsi"/>
                <w:color w:val="auto"/>
                <w:sz w:val="16"/>
              </w:rPr>
            </w:pPr>
          </w:p>
        </w:tc>
        <w:tc>
          <w:tcPr>
            <w:tcW w:w="842" w:type="dxa"/>
            <w:vAlign w:val="center"/>
          </w:tcPr>
          <w:p w14:paraId="3247B214" w14:textId="77777777" w:rsidR="00995AC6" w:rsidRPr="00E72A6C" w:rsidRDefault="00995AC6" w:rsidP="00995AC6">
            <w:pPr>
              <w:pStyle w:val="Body"/>
              <w:spacing w:before="20" w:after="20" w:line="240" w:lineRule="auto"/>
              <w:rPr>
                <w:rFonts w:asciiTheme="majorHAnsi" w:hAnsiTheme="majorHAnsi"/>
                <w:color w:val="auto"/>
                <w:sz w:val="16"/>
              </w:rPr>
            </w:pPr>
          </w:p>
        </w:tc>
        <w:tc>
          <w:tcPr>
            <w:tcW w:w="842" w:type="dxa"/>
            <w:vAlign w:val="center"/>
          </w:tcPr>
          <w:p w14:paraId="03876523" w14:textId="77777777" w:rsidR="00995AC6" w:rsidRPr="00E72A6C" w:rsidRDefault="00995AC6" w:rsidP="00995AC6">
            <w:pPr>
              <w:pStyle w:val="Body"/>
              <w:spacing w:before="20" w:after="20" w:line="240" w:lineRule="auto"/>
              <w:rPr>
                <w:rFonts w:asciiTheme="majorHAnsi" w:hAnsiTheme="majorHAnsi"/>
                <w:color w:val="auto"/>
                <w:sz w:val="16"/>
              </w:rPr>
            </w:pPr>
          </w:p>
        </w:tc>
      </w:tr>
      <w:tr w:rsidR="00995AC6" w:rsidRPr="00E72A6C" w14:paraId="26BF5681" w14:textId="77777777" w:rsidTr="00995AC6">
        <w:trPr>
          <w:trHeight w:val="397"/>
        </w:trPr>
        <w:tc>
          <w:tcPr>
            <w:tcW w:w="1526" w:type="dxa"/>
            <w:vAlign w:val="center"/>
          </w:tcPr>
          <w:p w14:paraId="3124F7CF" w14:textId="77777777" w:rsidR="00995AC6" w:rsidRPr="00E72A6C" w:rsidRDefault="00995AC6" w:rsidP="00995AC6">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Fracturing</w:t>
            </w:r>
          </w:p>
        </w:tc>
        <w:tc>
          <w:tcPr>
            <w:tcW w:w="3544" w:type="dxa"/>
            <w:vAlign w:val="center"/>
          </w:tcPr>
          <w:p w14:paraId="72439218"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Shear fractures, joints</w:t>
            </w:r>
          </w:p>
        </w:tc>
        <w:tc>
          <w:tcPr>
            <w:tcW w:w="842" w:type="dxa"/>
            <w:vAlign w:val="center"/>
          </w:tcPr>
          <w:p w14:paraId="25489104"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vAlign w:val="center"/>
          </w:tcPr>
          <w:p w14:paraId="6BF00850"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vAlign w:val="center"/>
          </w:tcPr>
          <w:p w14:paraId="727BD84D" w14:textId="77777777" w:rsidR="00995AC6" w:rsidRPr="00E72A6C" w:rsidRDefault="00995AC6" w:rsidP="00995AC6">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1425E9E7" w14:textId="77777777" w:rsidR="00995AC6" w:rsidRPr="00E72A6C" w:rsidRDefault="00995AC6" w:rsidP="00995AC6">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0D8AF400" w14:textId="77777777" w:rsidR="00995AC6" w:rsidRPr="00E72A6C" w:rsidRDefault="00995AC6" w:rsidP="00995AC6">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r>
      <w:tr w:rsidR="00995AC6" w:rsidRPr="00E72A6C" w14:paraId="30E223C9" w14:textId="77777777" w:rsidTr="00995AC6">
        <w:trPr>
          <w:trHeight w:val="397"/>
        </w:trPr>
        <w:tc>
          <w:tcPr>
            <w:tcW w:w="1526" w:type="dxa"/>
            <w:tcBorders>
              <w:bottom w:val="single" w:sz="4" w:space="0" w:color="auto"/>
            </w:tcBorders>
            <w:vAlign w:val="center"/>
          </w:tcPr>
          <w:p w14:paraId="156656AD" w14:textId="77777777" w:rsidR="00995AC6" w:rsidRPr="00E72A6C" w:rsidRDefault="00995AC6" w:rsidP="00995AC6">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Brecciation</w:t>
            </w:r>
          </w:p>
        </w:tc>
        <w:tc>
          <w:tcPr>
            <w:tcW w:w="3544" w:type="dxa"/>
            <w:tcBorders>
              <w:bottom w:val="single" w:sz="4" w:space="0" w:color="auto"/>
            </w:tcBorders>
            <w:vAlign w:val="center"/>
          </w:tcPr>
          <w:p w14:paraId="1217ED16"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Breccias</w:t>
            </w:r>
          </w:p>
        </w:tc>
        <w:tc>
          <w:tcPr>
            <w:tcW w:w="842" w:type="dxa"/>
            <w:tcBorders>
              <w:bottom w:val="single" w:sz="4" w:space="0" w:color="auto"/>
            </w:tcBorders>
            <w:vAlign w:val="center"/>
          </w:tcPr>
          <w:p w14:paraId="3AEF2E59"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tcBorders>
              <w:bottom w:val="single" w:sz="4" w:space="0" w:color="auto"/>
            </w:tcBorders>
            <w:vAlign w:val="center"/>
          </w:tcPr>
          <w:p w14:paraId="04D1DF82"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tcBorders>
              <w:bottom w:val="single" w:sz="4" w:space="0" w:color="auto"/>
            </w:tcBorders>
            <w:vAlign w:val="center"/>
          </w:tcPr>
          <w:p w14:paraId="0278232C" w14:textId="77777777" w:rsidR="00995AC6" w:rsidRPr="00E72A6C" w:rsidRDefault="00995AC6" w:rsidP="00995AC6">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tcBorders>
              <w:bottom w:val="single" w:sz="4" w:space="0" w:color="auto"/>
            </w:tcBorders>
            <w:vAlign w:val="center"/>
          </w:tcPr>
          <w:p w14:paraId="55E9F127" w14:textId="77777777" w:rsidR="00995AC6" w:rsidRPr="00E72A6C" w:rsidRDefault="00995AC6" w:rsidP="00995AC6">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tcBorders>
              <w:bottom w:val="single" w:sz="4" w:space="0" w:color="auto"/>
            </w:tcBorders>
            <w:vAlign w:val="center"/>
          </w:tcPr>
          <w:p w14:paraId="0AD5386B" w14:textId="77777777" w:rsidR="00995AC6" w:rsidRPr="00E72A6C" w:rsidRDefault="00995AC6" w:rsidP="00995AC6">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r>
    </w:tbl>
    <w:p w14:paraId="6E83915C" w14:textId="77777777" w:rsidR="00995AC6" w:rsidRDefault="00995AC6" w:rsidP="00995AC6">
      <w:pPr>
        <w:pStyle w:val="Body"/>
      </w:pPr>
    </w:p>
    <w:p w14:paraId="486C713B" w14:textId="77777777" w:rsidR="003504F1" w:rsidRDefault="00995AC6" w:rsidP="00995AC6">
      <w:pPr>
        <w:pStyle w:val="Body"/>
      </w:pPr>
      <w:r>
        <w:rPr>
          <w:color w:val="auto"/>
        </w:rPr>
        <w:t xml:space="preserve">Key processes that may reduce fault zone permeability include particulate flow, phyllosilicate smearing, cataclasis and brecciation. </w:t>
      </w:r>
      <w:r w:rsidR="001A566D">
        <w:rPr>
          <w:color w:val="auto"/>
        </w:rPr>
        <w:t>Cataclasis refers to the fracturing and breakage of grains, resulting in a reduction in grain size (</w:t>
      </w:r>
      <w:r w:rsidR="00C85DC3">
        <w:rPr>
          <w:color w:val="auto"/>
        </w:rPr>
        <w:t xml:space="preserve">i.e., </w:t>
      </w:r>
      <w:r w:rsidR="001A566D">
        <w:rPr>
          <w:color w:val="auto"/>
        </w:rPr>
        <w:t xml:space="preserve">comminution). This results in a commensurate reduction in permeability. </w:t>
      </w:r>
      <w:r>
        <w:rPr>
          <w:color w:val="auto"/>
        </w:rPr>
        <w:t>Phylosilicate (</w:t>
      </w:r>
      <w:r w:rsidR="00C85DC3">
        <w:rPr>
          <w:color w:val="auto"/>
        </w:rPr>
        <w:t xml:space="preserve">i.e., </w:t>
      </w:r>
      <w:r>
        <w:rPr>
          <w:color w:val="auto"/>
        </w:rPr>
        <w:t>clay) smearing refers to the movement of clay grains due to shear stresses. This process typically occurs in unlithified and siliciclastic rocks and c</w:t>
      </w:r>
      <w:r w:rsidRPr="007959CF">
        <w:rPr>
          <w:color w:val="auto"/>
        </w:rPr>
        <w:t xml:space="preserve">lay smears often develop along fault zones </w:t>
      </w:r>
      <w:r>
        <w:rPr>
          <w:color w:val="auto"/>
        </w:rPr>
        <w:t xml:space="preserve">that intersect clay units </w:t>
      </w:r>
      <w:r w:rsidR="00084CDD">
        <w:rPr>
          <w:color w:val="auto"/>
        </w:rPr>
        <w:fldChar w:fldCharType="begin"/>
      </w:r>
      <w:r w:rsidR="009A5536">
        <w:rPr>
          <w:color w:val="auto"/>
        </w:rPr>
        <w:instrText xml:space="preserve"> ADDIN EN.CITE &lt;EndNote&gt;&lt;Cite&gt;&lt;Author&gt;Bense&lt;/Author&gt;&lt;Year&gt;2006&lt;/Year&gt;&lt;IDText&gt;Faults as conduit-barrier systems to fluid flow in siliciclastic sedimentary aquifers&lt;/IDText&gt;&lt;DisplayText&gt;(Bense and Person, 2006)&lt;/DisplayText&gt;&lt;record&gt;&lt;dates&gt;&lt;pub-dates&gt;&lt;date&gt;MAY 19 2006&lt;/date&gt;&lt;/pub-dates&gt;&lt;year&gt;2006&lt;/year&gt;&lt;/dates&gt;&lt;keywords&gt;&lt;keyword&gt;POORLY LITHIFIED SANDSTONES&lt;/keyword&gt;&lt;keyword&gt;DRIVEN GROUNDWATER-FLOW&lt;/keyword&gt;&lt;keyword&gt;VALLEY RIFT SYSTEM&lt;/keyword&gt;&lt;keyword&gt;RIO-GRANDE RIFT&lt;/keyword&gt;&lt;keyword&gt;YUCCA MOUNTAIN&lt;/keyword&gt;&lt;keyword&gt;SEISMIC INTERPRETATION&lt;/keyword&gt;&lt;keyword&gt;PERMEABILITY STRUCTURE&lt;/keyword&gt;&lt;keyword&gt;ZONE ARCHITECTURE&lt;/keyword&gt;&lt;keyword&gt;POROUS SANDSTONES&lt;/keyword&gt;&lt;keyword&gt;DEFORMATION BANDS&lt;/keyword&gt;&lt;/keywords&gt;&lt;isbn&gt;0043-1397&lt;/isbn&gt;&lt;work-type&gt;Article&lt;/work-type&gt;&lt;titles&gt;&lt;title&gt;Faults as conduit-barrier systems to fluid flow in siliciclastic sedimentary aquifers&lt;/title&gt;&lt;secondary-title&gt;Water Resources Research&lt;/secondary-title&gt;&lt;/titles&gt;&lt;number&gt;5&lt;/number&gt;&lt;contributors&gt;&lt;authors&gt;&lt;author&gt;Bense, VF&lt;/author&gt;&lt;author&gt;Person, MA&lt;/author&gt;&lt;/authors&gt;&lt;/contributors&gt;&lt;custom7&gt;ARTN W05421&lt;/custom7&gt;&lt;language&gt;English&lt;/language&gt;&lt;added-date format="utc"&gt;1433473272&lt;/added-date&gt;&lt;ref-type name="Journal Article"&gt;17&lt;/ref-type&gt;&lt;auth-address&gt;Bense, VF (reprint author), Indiana Univ, Dept Geol Sci, 1001 E 10th St, Bloomington, IN 47405 USA&amp;#xD;Indiana Univ, Dept Geol Sci, Bloomington, IN 47405 USA&lt;/auth-address&gt;&lt;rec-number&gt;99&lt;/rec-number&gt;&lt;last-updated-date format="utc"&gt;1433473272&lt;/last-updated-date&gt;&lt;accession-num&gt;WOS:000238016700002&lt;/accession-num&gt;&lt;electronic-resource-num&gt;10.1029/2005WR004480&lt;/electronic-resource-num&gt;&lt;volume&gt;42&lt;/volume&gt;&lt;/record&gt;&lt;/Cite&gt;&lt;/EndNote&gt;</w:instrText>
      </w:r>
      <w:r w:rsidR="00084CDD">
        <w:rPr>
          <w:color w:val="auto"/>
        </w:rPr>
        <w:fldChar w:fldCharType="separate"/>
      </w:r>
      <w:r w:rsidR="009A5536">
        <w:rPr>
          <w:noProof/>
          <w:color w:val="auto"/>
        </w:rPr>
        <w:t>(Bense and Person, 2006)</w:t>
      </w:r>
      <w:r w:rsidR="00084CDD">
        <w:rPr>
          <w:color w:val="auto"/>
        </w:rPr>
        <w:fldChar w:fldCharType="end"/>
      </w:r>
      <w:r>
        <w:rPr>
          <w:color w:val="auto"/>
        </w:rPr>
        <w:t>.</w:t>
      </w:r>
      <w:r>
        <w:t xml:space="preserve"> A range of metrics exist by which to quantify the degree of smear, which include the shale gouge </w:t>
      </w:r>
      <w:r w:rsidR="00084CDD">
        <w:fldChar w:fldCharType="begin"/>
      </w:r>
      <w:r w:rsidR="00BB207D">
        <w:instrText xml:space="preserve"> ADDIN EN.CITE &lt;EndNote&gt;&lt;Cite&gt;&lt;Author&gt;Yielding&lt;/Author&gt;&lt;Year&gt;1997&lt;/Year&gt;&lt;IDText&gt;Quantitative fault seal prediction&lt;/IDText&gt;&lt;DisplayText&gt;(Yielding et al., 1997)&lt;/DisplayText&gt;&lt;record&gt;&lt;dates&gt;&lt;pub-dates&gt;&lt;date&gt;JUN 1997&lt;/date&gt;&lt;/pub-dates&gt;&lt;year&gt;1997&lt;/year&gt;&lt;/dates&gt;&lt;keywords&gt;&lt;keyword&gt;DISPLACEMENT&lt;/keyword&gt;&lt;keyword&gt;THICKNESS&lt;/keyword&gt;&lt;keyword&gt;NIGERIA&lt;/keyword&gt;&lt;keyword&gt;FIELD&lt;/keyword&gt;&lt;keyword&gt;GOUGE&lt;/keyword&gt;&lt;keyword&gt;Geosciences, Multidisciplinary&lt;/keyword&gt;&lt;keyword&gt;ENERGY &amp;amp; FUELS&lt;/keyword&gt;&lt;keyword&gt;ENGINEERING, PETROLEUM&lt;/keyword&gt;&lt;keyword&gt;GEOSCIENCES, MULTIDISCIPLINARY&lt;/keyword&gt;&lt;keyword&gt;Geology&lt;/keyword&gt;&lt;/keywords&gt;&lt;isbn&gt;0149-1423&lt;/isbn&gt;&lt;work-type&gt;Article&lt;/work-type&gt;&lt;titles&gt;&lt;title&gt;Quantitative fault seal prediction&lt;/title&gt;&lt;secondary-title&gt;AAPG Bulletin-American Association of Petroleum Geologists&lt;/secondary-title&gt;&lt;/titles&gt;&lt;pages&gt;897-917&lt;/pages&gt;&lt;number&gt;6&lt;/number&gt;&lt;contributors&gt;&lt;authors&gt;&lt;author&gt;Yielding, G&lt;/author&gt;&lt;author&gt;Freeman, B&lt;/author&gt;&lt;author&gt;Needham, DT&lt;/author&gt;&lt;/authors&gt;&lt;/contributors&gt;&lt;language&gt;English&lt;/language&gt;&lt;added-date format="utc"&gt;1433908399&lt;/added-date&gt;&lt;ref-type name="Journal Article"&gt;17&lt;/ref-type&gt;&lt;auth-address&gt;Yielding, G (reprint author), BADLEY EARTH SCI LTD,N BECK HOUSE,N BECK LANE,SPILSBY PE23 5NB,LINCS,ENGLAND&lt;/auth-address&gt;&lt;rec-number&gt;247&lt;/rec-number&gt;&lt;last-updated-date format="utc"&gt;1436497897&lt;/last-updated-date&gt;&lt;accession-num&gt;WOS:A1997XD36800002&lt;/accession-num&gt;&lt;volume&gt;81&lt;/volume&gt;&lt;/record&gt;&lt;/Cite&gt;&lt;/EndNote&gt;</w:instrText>
      </w:r>
      <w:r w:rsidR="00084CDD">
        <w:fldChar w:fldCharType="separate"/>
      </w:r>
      <w:r w:rsidR="00BB207D">
        <w:rPr>
          <w:noProof/>
        </w:rPr>
        <w:t>(Yielding et al., 1997)</w:t>
      </w:r>
      <w:r w:rsidR="00084CDD">
        <w:fldChar w:fldCharType="end"/>
      </w:r>
      <w:r w:rsidR="00BB207D">
        <w:t xml:space="preserve">, </w:t>
      </w:r>
      <w:r>
        <w:t>clay shear p</w:t>
      </w:r>
      <w:r w:rsidR="000C223A">
        <w:t xml:space="preserve">otential </w:t>
      </w:r>
      <w:r w:rsidR="00084CDD">
        <w:fldChar w:fldCharType="begin"/>
      </w:r>
      <w:r w:rsidR="00837290">
        <w:instrText xml:space="preserve"> ADDIN EN.CITE &lt;EndNote&gt;&lt;Cite&gt;&lt;Author&gt;Fulljames&lt;/Author&gt;&lt;Year&gt;1997&lt;/Year&gt;&lt;IDText&gt;Fault seal processes- systematic analysis of fault seals over geological and production time scales &lt;/IDText&gt;&lt;DisplayText&gt;(Fulljames et al., 1997)&lt;/DisplayText&gt;&lt;record&gt;&lt;titles&gt;&lt;title&gt;Fault seal processes- systematic analysis of fault seals over geological and production time scales &lt;/title&gt;&lt;secondary-title&gt;Hydrocarbon Seals: Importance for Exploration and Production&lt;/secondary-title&gt;&lt;tertiary-title&gt;Norwegian Petroleum Society Special Publication 7&lt;/tertiary-title&gt;&lt;/titles&gt;&lt;pages&gt;51-59&lt;/pages&gt;&lt;contributors&gt;&lt;authors&gt;&lt;author&gt;Fulljames, J.R.&lt;/author&gt;&lt;author&gt;Zijerveld, L.J.J.&lt;/author&gt;&lt;author&gt;Franssen, R.C.M.W&lt;/author&gt;&lt;/authors&gt;&lt;/contributors&gt;&lt;added-date format="utc"&gt;1433476171&lt;/added-date&gt;&lt;pub-location&gt;Amsterdam; New York&lt;/pub-location&gt;&lt;ref-type name="Book Section"&gt;5&lt;/ref-type&gt;&lt;dates&gt;&lt;year&gt;1997&lt;/year&gt;&lt;/dates&gt;&lt;rec-number&gt;107&lt;/rec-number&gt;&lt;publisher&gt;Elsevier, Science&lt;/publisher&gt;&lt;last-updated-date format="utc"&gt;1433476643&lt;/last-updated-date&gt;&lt;contributors&gt;&lt;secondary-authors&gt;&lt;author&gt;Møller-Pedersen, P.&lt;/author&gt;&lt;author&gt;Koestler, A.G.&lt;/author&gt;&lt;/secondary-authors&gt;&lt;/contributors&gt;&lt;/record&gt;&lt;/Cite&gt;&lt;/EndNote&gt;</w:instrText>
      </w:r>
      <w:r w:rsidR="00084CDD">
        <w:fldChar w:fldCharType="separate"/>
      </w:r>
      <w:r w:rsidR="00837290">
        <w:rPr>
          <w:noProof/>
        </w:rPr>
        <w:t>(Fulljames et al., 1997)</w:t>
      </w:r>
      <w:r w:rsidR="00084CDD">
        <w:fldChar w:fldCharType="end"/>
      </w:r>
      <w:r>
        <w:t xml:space="preserve"> and shale smear factor </w:t>
      </w:r>
      <w:r w:rsidR="00084CDD">
        <w:fldChar w:fldCharType="begin"/>
      </w:r>
      <w:r w:rsidR="003F14A3">
        <w:instrText xml:space="preserve"> ADDIN EN.CITE &lt;EndNote&gt;&lt;Cite&gt;&lt;Author&gt;Lindsay&lt;/Author&gt;&lt;Year&gt;1993&lt;/Year&gt;&lt;IDText&gt;Outcrop studies of shale smears on fault surfaces&lt;/IDText&gt;&lt;DisplayText&gt;(Lindsay et al., 1993)&lt;/DisplayText&gt;&lt;record&gt;&lt;isbn&gt;1444303953&lt;/isbn&gt;&lt;titles&gt;&lt;title&gt;Outcrop studies of shale smears on fault surfaces&lt;/title&gt;&lt;secondary-title&gt;The geological modelling of hydrocarbon reservoirs and outcrop analogues&lt;/secondary-title&gt;&lt;/titles&gt;&lt;pages&gt;113-123&lt;/pages&gt;&lt;contributors&gt;&lt;authors&gt;&lt;author&gt;Lindsay, NG&lt;/author&gt;&lt;author&gt;Murphy, FC&lt;/author&gt;&lt;author&gt;Walsh, JJ&lt;/author&gt;&lt;author&gt;Watterson, J&lt;/author&gt;&lt;/authors&gt;&lt;/contributors&gt;&lt;added-date format="utc"&gt;1434099739&lt;/added-date&gt;&lt;ref-type name="Journal Article"&gt;17&lt;/ref-type&gt;&lt;dates&gt;&lt;year&gt;1993&lt;/year&gt;&lt;/dates&gt;&lt;rec-number&gt;288&lt;/rec-number&gt;&lt;last-updated-date format="utc"&gt;1434099739&lt;/last-updated-date&gt;&lt;/record&gt;&lt;/Cite&gt;&lt;/EndNote&gt;</w:instrText>
      </w:r>
      <w:r w:rsidR="00084CDD">
        <w:fldChar w:fldCharType="separate"/>
      </w:r>
      <w:r w:rsidR="003F14A3">
        <w:rPr>
          <w:noProof/>
        </w:rPr>
        <w:t>(Lindsay et al., 1993)</w:t>
      </w:r>
      <w:r w:rsidR="00084CDD">
        <w:fldChar w:fldCharType="end"/>
      </w:r>
      <w:r w:rsidR="003504F1">
        <w:t xml:space="preserve"> (</w:t>
      </w:r>
      <w:r w:rsidR="00102009">
        <w:fldChar w:fldCharType="begin"/>
      </w:r>
      <w:r w:rsidR="00102009">
        <w:instrText xml:space="preserve"> REF _Ref422389015 \h  \* MERGEFORMAT </w:instrText>
      </w:r>
      <w:r w:rsidR="00102009">
        <w:fldChar w:fldCharType="separate"/>
      </w:r>
      <w:r w:rsidR="00C52E30">
        <w:t xml:space="preserve">Figure </w:t>
      </w:r>
      <w:r w:rsidR="00C52E30">
        <w:rPr>
          <w:noProof/>
        </w:rPr>
        <w:t>45</w:t>
      </w:r>
      <w:r w:rsidR="00102009">
        <w:fldChar w:fldCharType="end"/>
      </w:r>
      <w:r w:rsidR="006F188C" w:rsidRPr="006F188C">
        <w:t>).</w:t>
      </w:r>
      <w:r w:rsidR="00166890">
        <w:t xml:space="preserve"> </w:t>
      </w:r>
      <w:r w:rsidR="00166890" w:rsidRPr="00BB207D">
        <w:t xml:space="preserve">Recently Pei et al. </w:t>
      </w:r>
      <w:r w:rsidR="00084CDD">
        <w:fldChar w:fldCharType="begin"/>
      </w:r>
      <w:r w:rsidR="00BB207D">
        <w:instrText xml:space="preserve"> ADDIN EN.CITE &lt;EndNote&gt;&lt;Cite ExcludeAuth="1"&gt;&lt;Author&gt;Pei&lt;/Author&gt;&lt;Year&gt;2015&lt;/Year&gt;&lt;IDText&gt;A review of fault sealing behaviour and its evaluation in siliciclastic rocks&lt;/IDText&gt;&lt;DisplayText&gt;(2015)&lt;/DisplayText&gt;&lt;record&gt;&lt;isbn&gt;0012-8252&lt;/isbn&gt;&lt;titles&gt;&lt;title&gt;A review of fault sealing behaviour and its evaluation in siliciclastic rocks&lt;/title&gt;&lt;secondary-title&gt;Earth-Science Reviews&lt;/secondary-title&gt;&lt;/titles&gt;&lt;contributors&gt;&lt;authors&gt;&lt;author&gt;Pei, Yangwen&lt;/author&gt;&lt;author&gt;Paton, Douglas A&lt;/author&gt;&lt;author&gt;Knipe, Rob J&lt;/author&gt;&lt;author&gt;Wu, Kongyou&lt;/author&gt;&lt;/authors&gt;&lt;/contributors&gt;&lt;added-date format="utc"&gt;1439529040&lt;/added-date&gt;&lt;ref-type name="Journal Article"&gt;17&lt;/ref-type&gt;&lt;dates&gt;&lt;year&gt;2015&lt;/year&gt;&lt;/dates&gt;&lt;rec-number&gt;1225&lt;/rec-number&gt;&lt;last-updated-date format="utc"&gt;1439529040&lt;/last-updated-date&gt;&lt;/record&gt;&lt;/Cite&gt;&lt;/EndNote&gt;</w:instrText>
      </w:r>
      <w:r w:rsidR="00084CDD">
        <w:fldChar w:fldCharType="separate"/>
      </w:r>
      <w:r w:rsidR="00BB207D">
        <w:rPr>
          <w:noProof/>
        </w:rPr>
        <w:t>(2015)</w:t>
      </w:r>
      <w:r w:rsidR="00084CDD">
        <w:fldChar w:fldCharType="end"/>
      </w:r>
      <w:r w:rsidR="00166890" w:rsidRPr="00BB207D">
        <w:t xml:space="preserve"> summarised</w:t>
      </w:r>
      <w:r w:rsidR="00166890" w:rsidRPr="00166890">
        <w:t xml:space="preserve"> these approaches, each of which are based on a ratio involving a combination of fault displacements and clay unit thicknesses.</w:t>
      </w:r>
    </w:p>
    <w:p w14:paraId="0340B330" w14:textId="77777777" w:rsidR="001A566D" w:rsidRDefault="001A566D" w:rsidP="00995AC6">
      <w:pPr>
        <w:pStyle w:val="Body"/>
      </w:pPr>
    </w:p>
    <w:p w14:paraId="6426E83D" w14:textId="77777777" w:rsidR="00166890" w:rsidRPr="00166890" w:rsidRDefault="00166890" w:rsidP="00166890">
      <w:pPr>
        <w:suppressAutoHyphens/>
        <w:autoSpaceDE w:val="0"/>
        <w:autoSpaceDN w:val="0"/>
        <w:adjustRightInd w:val="0"/>
        <w:spacing w:after="113" w:line="280" w:lineRule="atLeast"/>
        <w:jc w:val="center"/>
        <w:textAlignment w:val="center"/>
        <w:rPr>
          <w:rFonts w:ascii="Calibri" w:eastAsia="Times New Roman" w:hAnsi="Calibri" w:cs="Calibri"/>
          <w:sz w:val="18"/>
          <w:szCs w:val="18"/>
          <w:lang w:val="en-GB"/>
        </w:rPr>
      </w:pPr>
      <w:r w:rsidRPr="00166890">
        <w:rPr>
          <w:rFonts w:ascii="Calibri" w:eastAsia="Times New Roman" w:hAnsi="Calibri" w:cs="Calibri"/>
          <w:noProof/>
          <w:color w:val="000000"/>
          <w:sz w:val="18"/>
          <w:szCs w:val="18"/>
          <w:lang w:val="en-AU" w:eastAsia="en-AU"/>
        </w:rPr>
        <w:drawing>
          <wp:inline distT="0" distB="0" distL="0" distR="0" wp14:anchorId="4C73FEDA" wp14:editId="1904C771">
            <wp:extent cx="1872000" cy="1740169"/>
            <wp:effectExtent l="19050" t="0" r="0" b="0"/>
            <wp:docPr id="24" name="Picture 4" descr="Diagram and calculation of methods for estimation of fault seals (especi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 and calculation of methods for estimation of fault seals (especially ..."/>
                    <pic:cNvPicPr>
                      <a:picLocks noChangeAspect="1" noChangeArrowheads="1"/>
                    </pic:cNvPicPr>
                  </pic:nvPicPr>
                  <pic:blipFill>
                    <a:blip r:embed="rId86"/>
                    <a:srcRect r="49978" b="51117"/>
                    <a:stretch>
                      <a:fillRect/>
                    </a:stretch>
                  </pic:blipFill>
                  <pic:spPr bwMode="auto">
                    <a:xfrm>
                      <a:off x="0" y="0"/>
                      <a:ext cx="1872000" cy="1740169"/>
                    </a:xfrm>
                    <a:prstGeom prst="rect">
                      <a:avLst/>
                    </a:prstGeom>
                    <a:noFill/>
                    <a:ln w="9525">
                      <a:noFill/>
                      <a:miter lim="800000"/>
                      <a:headEnd/>
                      <a:tailEnd/>
                    </a:ln>
                  </pic:spPr>
                </pic:pic>
              </a:graphicData>
            </a:graphic>
          </wp:inline>
        </w:drawing>
      </w:r>
      <w:r w:rsidRPr="00166890">
        <w:rPr>
          <w:rFonts w:ascii="Calibri" w:eastAsia="Times New Roman" w:hAnsi="Calibri" w:cs="Calibri"/>
          <w:sz w:val="18"/>
          <w:szCs w:val="18"/>
          <w:lang w:val="en-GB"/>
        </w:rPr>
        <w:t xml:space="preserve">  </w:t>
      </w:r>
      <w:r w:rsidRPr="00166890">
        <w:rPr>
          <w:rFonts w:ascii="Calibri" w:eastAsia="Times New Roman" w:hAnsi="Calibri" w:cs="Calibri"/>
          <w:noProof/>
          <w:color w:val="000000"/>
          <w:sz w:val="18"/>
          <w:szCs w:val="18"/>
          <w:lang w:val="en-AU" w:eastAsia="en-AU"/>
        </w:rPr>
        <w:drawing>
          <wp:inline distT="0" distB="0" distL="0" distR="0" wp14:anchorId="6763F026" wp14:editId="0000C131">
            <wp:extent cx="1872000" cy="1740169"/>
            <wp:effectExtent l="19050" t="0" r="0" b="0"/>
            <wp:docPr id="54" name="Picture 4" descr="Diagram and calculation of methods for estimation of fault seals (especi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 and calculation of methods for estimation of fault seals (especially ..."/>
                    <pic:cNvPicPr>
                      <a:picLocks noChangeAspect="1" noChangeArrowheads="1"/>
                    </pic:cNvPicPr>
                  </pic:nvPicPr>
                  <pic:blipFill>
                    <a:blip r:embed="rId86"/>
                    <a:srcRect l="50040" b="51117"/>
                    <a:stretch>
                      <a:fillRect/>
                    </a:stretch>
                  </pic:blipFill>
                  <pic:spPr bwMode="auto">
                    <a:xfrm>
                      <a:off x="0" y="0"/>
                      <a:ext cx="1872000" cy="1740169"/>
                    </a:xfrm>
                    <a:prstGeom prst="rect">
                      <a:avLst/>
                    </a:prstGeom>
                    <a:noFill/>
                    <a:ln w="9525">
                      <a:noFill/>
                      <a:miter lim="800000"/>
                      <a:headEnd/>
                      <a:tailEnd/>
                    </a:ln>
                  </pic:spPr>
                </pic:pic>
              </a:graphicData>
            </a:graphic>
          </wp:inline>
        </w:drawing>
      </w:r>
      <w:r w:rsidRPr="00166890">
        <w:rPr>
          <w:rFonts w:ascii="Calibri" w:eastAsia="Times New Roman" w:hAnsi="Calibri" w:cs="Calibri"/>
          <w:sz w:val="18"/>
          <w:szCs w:val="18"/>
          <w:lang w:val="en-GB"/>
        </w:rPr>
        <w:t xml:space="preserve">  </w:t>
      </w:r>
      <w:r w:rsidRPr="00166890">
        <w:rPr>
          <w:rFonts w:ascii="Calibri" w:eastAsia="Times New Roman" w:hAnsi="Calibri" w:cs="Calibri"/>
          <w:noProof/>
          <w:color w:val="000000"/>
          <w:sz w:val="18"/>
          <w:szCs w:val="18"/>
          <w:lang w:val="en-AU" w:eastAsia="en-AU"/>
        </w:rPr>
        <w:drawing>
          <wp:inline distT="0" distB="0" distL="0" distR="0" wp14:anchorId="3800310B" wp14:editId="7A664E55">
            <wp:extent cx="1771200" cy="1722313"/>
            <wp:effectExtent l="19050" t="0" r="450" b="0"/>
            <wp:docPr id="68" name="Picture 4" descr="Diagram and calculation of methods for estimation of fault seals (especi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 and calculation of methods for estimation of fault seals (especially ..."/>
                    <pic:cNvPicPr>
                      <a:picLocks noChangeAspect="1" noChangeArrowheads="1"/>
                    </pic:cNvPicPr>
                  </pic:nvPicPr>
                  <pic:blipFill>
                    <a:blip r:embed="rId86"/>
                    <a:srcRect t="49041" r="50040"/>
                    <a:stretch>
                      <a:fillRect/>
                    </a:stretch>
                  </pic:blipFill>
                  <pic:spPr bwMode="auto">
                    <a:xfrm>
                      <a:off x="0" y="0"/>
                      <a:ext cx="1771200" cy="1722313"/>
                    </a:xfrm>
                    <a:prstGeom prst="rect">
                      <a:avLst/>
                    </a:prstGeom>
                    <a:noFill/>
                    <a:ln w="9525">
                      <a:noFill/>
                      <a:miter lim="800000"/>
                      <a:headEnd/>
                      <a:tailEnd/>
                    </a:ln>
                  </pic:spPr>
                </pic:pic>
              </a:graphicData>
            </a:graphic>
          </wp:inline>
        </w:drawing>
      </w:r>
    </w:p>
    <w:p w14:paraId="43A86805" w14:textId="77777777" w:rsidR="003504F1" w:rsidRDefault="007512E8" w:rsidP="007512E8">
      <w:pPr>
        <w:pStyle w:val="Imagecaption"/>
      </w:pPr>
      <w:bookmarkStart w:id="228" w:name="_Ref422389015"/>
      <w:bookmarkStart w:id="229" w:name="_Toc422323056"/>
      <w:bookmarkStart w:id="230" w:name="_Toc449696335"/>
      <w:r>
        <w:t xml:space="preserve">Figure </w:t>
      </w:r>
      <w:r w:rsidR="00084CDD">
        <w:fldChar w:fldCharType="begin"/>
      </w:r>
      <w:r w:rsidR="00144B4F">
        <w:instrText xml:space="preserve"> SEQ Figure \* ARABIC </w:instrText>
      </w:r>
      <w:r w:rsidR="00084CDD">
        <w:fldChar w:fldCharType="separate"/>
      </w:r>
      <w:r w:rsidR="00C52E30">
        <w:rPr>
          <w:noProof/>
        </w:rPr>
        <w:t>45</w:t>
      </w:r>
      <w:r w:rsidR="00084CDD">
        <w:rPr>
          <w:noProof/>
        </w:rPr>
        <w:fldChar w:fldCharType="end"/>
      </w:r>
      <w:bookmarkEnd w:id="228"/>
      <w:r>
        <w:t>.</w:t>
      </w:r>
      <w:r w:rsidR="003504F1">
        <w:t xml:space="preserve"> </w:t>
      </w:r>
      <w:r w:rsidR="00C410F6" w:rsidRPr="00C410F6">
        <w:t xml:space="preserve">Common approaches to the estimation of fault zone clay content and permeability, including (a) clay shear potential </w:t>
      </w:r>
      <w:r w:rsidR="00084CDD">
        <w:fldChar w:fldCharType="begin"/>
      </w:r>
      <w:r w:rsidR="00BB207D">
        <w:instrText xml:space="preserve"> ADDIN EN.CITE &lt;EndNote&gt;&lt;Cite&gt;&lt;Author&gt;Fulljames&lt;/Author&gt;&lt;Year&gt;1997&lt;/Year&gt;&lt;IDText&gt;Fault seal processes- systematic analysis of fault seals over geological and production time scales &lt;/IDText&gt;&lt;DisplayText&gt;(Fulljames et al., 1997)&lt;/DisplayText&gt;&lt;record&gt;&lt;titles&gt;&lt;title&gt;Fault seal processes- systematic analysis of fault seals over geological and production time scales &lt;/title&gt;&lt;secondary-title&gt;Hydrocarbon Seals: Importance for Exploration and Production&lt;/secondary-title&gt;&lt;tertiary-title&gt;Norwegian Petroleum Society Special Publication 7&lt;/tertiary-title&gt;&lt;/titles&gt;&lt;pages&gt;51-59&lt;/pages&gt;&lt;contributors&gt;&lt;authors&gt;&lt;author&gt;Fulljames, J.R.&lt;/author&gt;&lt;author&gt;Zijerveld, L.J.J.&lt;/author&gt;&lt;author&gt;Franssen, R.C.M.W&lt;/author&gt;&lt;/authors&gt;&lt;/contributors&gt;&lt;added-date format="utc"&gt;1433476171&lt;/added-date&gt;&lt;pub-location&gt;Amsterdam; New York&lt;/pub-location&gt;&lt;ref-type name="Book Section"&gt;5&lt;/ref-type&gt;&lt;dates&gt;&lt;year&gt;1997&lt;/year&gt;&lt;/dates&gt;&lt;rec-number&gt;107&lt;/rec-number&gt;&lt;publisher&gt;Elsevier, Science&lt;/publisher&gt;&lt;last-updated-date format="utc"&gt;1433476643&lt;/last-updated-date&gt;&lt;contributors&gt;&lt;secondary-authors&gt;&lt;author&gt;Møller-Pedersen, P.&lt;/author&gt;&lt;author&gt;Koestler, A.G.&lt;/author&gt;&lt;/secondary-authors&gt;&lt;/contributors&gt;&lt;/record&gt;&lt;/Cite&gt;&lt;/EndNote&gt;</w:instrText>
      </w:r>
      <w:r w:rsidR="00084CDD">
        <w:fldChar w:fldCharType="separate"/>
      </w:r>
      <w:r w:rsidR="00BB207D">
        <w:rPr>
          <w:noProof/>
        </w:rPr>
        <w:t>(Fulljames et al., 1997)</w:t>
      </w:r>
      <w:r w:rsidR="00084CDD">
        <w:fldChar w:fldCharType="end"/>
      </w:r>
      <w:r w:rsidR="00C410F6" w:rsidRPr="00C410F6">
        <w:t xml:space="preserve">, (b) shale smear factor </w:t>
      </w:r>
      <w:r w:rsidR="00084CDD">
        <w:fldChar w:fldCharType="begin"/>
      </w:r>
      <w:r w:rsidR="00BB207D">
        <w:instrText xml:space="preserve"> ADDIN EN.CITE &lt;EndNote&gt;&lt;Cite&gt;&lt;Author&gt;Lindsay&lt;/Author&gt;&lt;Year&gt;1993&lt;/Year&gt;&lt;IDText&gt;Outcrop studies of shale smears on fault surfaces&lt;/IDText&gt;&lt;DisplayText&gt;(Lindsay et al., 1993)&lt;/DisplayText&gt;&lt;record&gt;&lt;isbn&gt;1444303953&lt;/isbn&gt;&lt;titles&gt;&lt;title&gt;Outcrop studies of shale smears on fault surfaces&lt;/title&gt;&lt;secondary-title&gt;The geological modelling of hydrocarbon reservoirs and outcrop analogues&lt;/secondary-title&gt;&lt;/titles&gt;&lt;pages&gt;113-123&lt;/pages&gt;&lt;contributors&gt;&lt;authors&gt;&lt;author&gt;Lindsay, NG&lt;/author&gt;&lt;author&gt;Murphy, FC&lt;/author&gt;&lt;author&gt;Walsh, JJ&lt;/author&gt;&lt;author&gt;Watterson, J&lt;/author&gt;&lt;/authors&gt;&lt;/contributors&gt;&lt;added-date format="utc"&gt;1434099739&lt;/added-date&gt;&lt;ref-type name="Journal Article"&gt;17&lt;/ref-type&gt;&lt;dates&gt;&lt;year&gt;1993&lt;/year&gt;&lt;/dates&gt;&lt;rec-number&gt;288&lt;/rec-number&gt;&lt;last-updated-date format="utc"&gt;1434099739&lt;/last-updated-date&gt;&lt;/record&gt;&lt;/Cite&gt;&lt;/EndNote&gt;</w:instrText>
      </w:r>
      <w:r w:rsidR="00084CDD">
        <w:fldChar w:fldCharType="separate"/>
      </w:r>
      <w:r w:rsidR="00BB207D">
        <w:rPr>
          <w:noProof/>
        </w:rPr>
        <w:t>(Lindsay et al., 1993)</w:t>
      </w:r>
      <w:r w:rsidR="00084CDD">
        <w:fldChar w:fldCharType="end"/>
      </w:r>
      <w:r w:rsidR="00BB207D">
        <w:t xml:space="preserve"> </w:t>
      </w:r>
      <w:r w:rsidR="00C410F6" w:rsidRPr="00C410F6">
        <w:t xml:space="preserve">and (c) shale gouge ratio </w:t>
      </w:r>
      <w:r w:rsidR="00084CDD">
        <w:fldChar w:fldCharType="begin"/>
      </w:r>
      <w:r w:rsidR="00BB207D">
        <w:instrText xml:space="preserve"> ADDIN EN.CITE &lt;EndNote&gt;&lt;Cite&gt;&lt;Author&gt;Yielding&lt;/Author&gt;&lt;Year&gt;1997&lt;/Year&gt;&lt;IDText&gt;Quantitative fault seal prediction&lt;/IDText&gt;&lt;DisplayText&gt;(Yielding et al., 1997)&lt;/DisplayText&gt;&lt;record&gt;&lt;dates&gt;&lt;pub-dates&gt;&lt;date&gt;JUN 1997&lt;/date&gt;&lt;/pub-dates&gt;&lt;year&gt;1997&lt;/year&gt;&lt;/dates&gt;&lt;keywords&gt;&lt;keyword&gt;DISPLACEMENT&lt;/keyword&gt;&lt;keyword&gt;THICKNESS&lt;/keyword&gt;&lt;keyword&gt;NIGERIA&lt;/keyword&gt;&lt;keyword&gt;FIELD&lt;/keyword&gt;&lt;keyword&gt;GOUGE&lt;/keyword&gt;&lt;keyword&gt;Geosciences, Multidisciplinary&lt;/keyword&gt;&lt;keyword&gt;ENERGY &amp;amp; FUELS&lt;/keyword&gt;&lt;keyword&gt;ENGINEERING, PETROLEUM&lt;/keyword&gt;&lt;keyword&gt;GEOSCIENCES, MULTIDISCIPLINARY&lt;/keyword&gt;&lt;keyword&gt;Geology&lt;/keyword&gt;&lt;/keywords&gt;&lt;isbn&gt;0149-1423&lt;/isbn&gt;&lt;work-type&gt;Article&lt;/work-type&gt;&lt;titles&gt;&lt;title&gt;Quantitative fault seal prediction&lt;/title&gt;&lt;secondary-title&gt;AAPG Bulletin-American Association of Petroleum Geologists&lt;/secondary-title&gt;&lt;/titles&gt;&lt;pages&gt;897-917&lt;/pages&gt;&lt;number&gt;6&lt;/number&gt;&lt;contributors&gt;&lt;authors&gt;&lt;author&gt;Yielding, G&lt;/author&gt;&lt;author&gt;Freeman, B&lt;/author&gt;&lt;author&gt;Needham, DT&lt;/author&gt;&lt;/authors&gt;&lt;/contributors&gt;&lt;language&gt;English&lt;/language&gt;&lt;added-date format="utc"&gt;1433908399&lt;/added-date&gt;&lt;ref-type name="Journal Article"&gt;17&lt;/ref-type&gt;&lt;auth-address&gt;Yielding, G (reprint author), BADLEY EARTH SCI LTD,N BECK HOUSE,N BECK LANE,SPILSBY PE23 5NB,LINCS,ENGLAND&lt;/auth-address&gt;&lt;rec-number&gt;247&lt;/rec-number&gt;&lt;last-updated-date format="utc"&gt;1436497897&lt;/last-updated-date&gt;&lt;accession-num&gt;WOS:A1997XD36800002&lt;/accession-num&gt;&lt;volume&gt;81&lt;/volume&gt;&lt;/record&gt;&lt;/Cite&gt;&lt;/EndNote&gt;</w:instrText>
      </w:r>
      <w:r w:rsidR="00084CDD">
        <w:fldChar w:fldCharType="separate"/>
      </w:r>
      <w:r w:rsidR="00BB207D">
        <w:rPr>
          <w:noProof/>
        </w:rPr>
        <w:t>(Yielding et al., 1997)</w:t>
      </w:r>
      <w:r w:rsidR="00084CDD">
        <w:fldChar w:fldCharType="end"/>
      </w:r>
      <w:r w:rsidR="00BB207D">
        <w:t xml:space="preserve"> </w:t>
      </w:r>
      <w:r w:rsidR="00084CDD">
        <w:fldChar w:fldCharType="begin"/>
      </w:r>
      <w:r w:rsidR="00BB207D">
        <w:instrText xml:space="preserve"> ADDIN EN.CITE &lt;EndNote&gt;&lt;Cite&gt;&lt;Author&gt;Pei&lt;/Author&gt;&lt;Year&gt;2015&lt;/Year&gt;&lt;IDText&gt;A review of fault sealing behaviour and its evaluation in siliciclastic rocks&lt;/IDText&gt;&lt;DisplayText&gt;(Pei et al., 2015)&lt;/DisplayText&gt;&lt;record&gt;&lt;isbn&gt;0012-8252&lt;/isbn&gt;&lt;titles&gt;&lt;title&gt;A review of fault sealing behaviour and its evaluation in siliciclastic rocks&lt;/title&gt;&lt;secondary-title&gt;Earth-Science Reviews&lt;/secondary-title&gt;&lt;/titles&gt;&lt;contributors&gt;&lt;authors&gt;&lt;author&gt;Pei, Yangwen&lt;/author&gt;&lt;author&gt;Paton, Douglas A&lt;/author&gt;&lt;author&gt;Knipe, Rob J&lt;/author&gt;&lt;author&gt;Wu, Kongyou&lt;/author&gt;&lt;/authors&gt;&lt;/contributors&gt;&lt;added-date format="utc"&gt;1439529040&lt;/added-date&gt;&lt;ref-type name="Journal Article"&gt;17&lt;/ref-type&gt;&lt;dates&gt;&lt;year&gt;2015&lt;/year&gt;&lt;/dates&gt;&lt;rec-number&gt;1225&lt;/rec-number&gt;&lt;last-updated-date format="utc"&gt;1439529040&lt;/last-updated-date&gt;&lt;/record&gt;&lt;/Cite&gt;&lt;/EndNote&gt;</w:instrText>
      </w:r>
      <w:r w:rsidR="00084CDD">
        <w:fldChar w:fldCharType="separate"/>
      </w:r>
      <w:r w:rsidR="00BB207D">
        <w:rPr>
          <w:noProof/>
        </w:rPr>
        <w:t>(Pei et al., 2015)</w:t>
      </w:r>
      <w:r w:rsidR="00084CDD">
        <w:fldChar w:fldCharType="end"/>
      </w:r>
      <w:r w:rsidR="00C410F6" w:rsidRPr="00C410F6">
        <w:t>.</w:t>
      </w:r>
      <w:bookmarkEnd w:id="229"/>
      <w:bookmarkEnd w:id="230"/>
    </w:p>
    <w:p w14:paraId="2EAB5BF6" w14:textId="77777777" w:rsidR="003504F1" w:rsidRDefault="003504F1" w:rsidP="003504F1">
      <w:pPr>
        <w:pStyle w:val="Imagecaption"/>
        <w:keepNext/>
      </w:pPr>
    </w:p>
    <w:p w14:paraId="7EF3C587" w14:textId="77777777" w:rsidR="00995AC6" w:rsidRDefault="00995AC6" w:rsidP="00995AC6">
      <w:pPr>
        <w:pStyle w:val="Body"/>
        <w:rPr>
          <w:color w:val="auto"/>
        </w:rPr>
      </w:pPr>
    </w:p>
    <w:p w14:paraId="68EDD216" w14:textId="77777777" w:rsidR="00995AC6" w:rsidRPr="00572370" w:rsidRDefault="007512E8" w:rsidP="007512E8">
      <w:pPr>
        <w:pStyle w:val="Imagecaption"/>
        <w:keepNext/>
        <w:pBdr>
          <w:top w:val="none" w:sz="0" w:space="0" w:color="auto"/>
        </w:pBdr>
      </w:pPr>
      <w:bookmarkStart w:id="231" w:name="_Toc422322991"/>
      <w:bookmarkStart w:id="232" w:name="_Toc449696229"/>
      <w:r>
        <w:t xml:space="preserve">Table </w:t>
      </w:r>
      <w:r w:rsidR="00084CDD">
        <w:fldChar w:fldCharType="begin"/>
      </w:r>
      <w:r>
        <w:instrText xml:space="preserve"> SEQ Table \* ARABIC </w:instrText>
      </w:r>
      <w:r w:rsidR="00084CDD">
        <w:fldChar w:fldCharType="separate"/>
      </w:r>
      <w:r w:rsidR="00C52E30">
        <w:rPr>
          <w:noProof/>
        </w:rPr>
        <w:t>9</w:t>
      </w:r>
      <w:r w:rsidR="00084CDD">
        <w:fldChar w:fldCharType="end"/>
      </w:r>
      <w:r w:rsidR="00995AC6">
        <w:t xml:space="preserve">. </w:t>
      </w:r>
      <w:r w:rsidR="00995AC6" w:rsidRPr="00572370">
        <w:t>Primary fault processes that reduce permeability</w:t>
      </w:r>
      <w:r w:rsidR="00E52566">
        <w:t xml:space="preserve"> [after Bense </w:t>
      </w:r>
      <w:r w:rsidR="00810442">
        <w:t xml:space="preserve">et al., </w:t>
      </w:r>
      <w:r w:rsidR="00084CDD">
        <w:fldChar w:fldCharType="begin"/>
      </w:r>
      <w:r w:rsidR="00EC33A1">
        <w:instrText xml:space="preserve"> ADDIN EN.CITE &lt;EndNote&gt;&lt;Cite ExcludeAuth="1"&gt;&lt;Author&gt;Bense&lt;/Author&gt;&lt;Year&gt;2013&lt;/Year&gt;&lt;IDText&gt;Fault zone hydrogeology&lt;/IDText&gt;&lt;DisplayText&gt;(2013)&lt;/DisplayText&gt;&lt;record&gt;&lt;dates&gt;&lt;pub-dates&gt;&lt;date&gt;DEC 2013&lt;/date&gt;&lt;/pub-dates&gt;&lt;year&gt;2013&lt;/year&gt;&lt;/dates&gt;&lt;keywords&gt;&lt;keyword&gt;Fault zone&lt;/keyword&gt;&lt;keyword&gt;Hydrogeology&lt;/keyword&gt;&lt;keyword&gt;Structural geology&lt;/keyword&gt;&lt;keyword&gt;FLUID-FLOW PROPERTIES&lt;/keyword&gt;&lt;keyword&gt;RIO-GRANDE RIFT&lt;/keyword&gt;&lt;keyword&gt;POORLY LITHIFIED SEDIMENTS&lt;/keyword&gt;&lt;keyword&gt;SAN-ANDREAS FAULT&lt;/keyword&gt;&lt;keyword&gt;THICKNESS-DISPLACEMENT RELATIONSHIPS&lt;/keyword&gt;&lt;keyword&gt;SEGMENTED NORMAL FAULTS&lt;/keyword&gt;&lt;keyword&gt;ACTIVE NORMAL-FAULT&lt;/keyword&gt;&lt;keyword&gt;STRIKE-SLIP FAULTS&lt;/keyword&gt;&lt;keyword&gt;DEFORMATION BANDS&lt;/keyword&gt;&lt;keyword&gt;GROUNDWATER-FLOW&lt;/keyword&gt;&lt;/keywords&gt;&lt;isbn&gt;0012-8252&lt;/isbn&gt;&lt;work-type&gt;Article&lt;/work-type&gt;&lt;titles&gt;&lt;title&gt;Fault zone hydrogeology&lt;/title&gt;&lt;secondary-title&gt;Earth-Science Reviews&lt;/secondary-title&gt;&lt;/titles&gt;&lt;pages&gt;171-192&lt;/pages&gt;&lt;contributors&gt;&lt;authors&gt;&lt;author&gt;Bense, VF&lt;/author&gt;&lt;author&gt;Gleeson, T&lt;/author&gt;&lt;author&gt;Loveless, SE&lt;/author&gt;&lt;author&gt;Bour, O&lt;/author&gt;&lt;author&gt;Scibek, J&lt;/author&gt;&lt;/authors&gt;&lt;/contributors&gt;&lt;language&gt;English&lt;/language&gt;&lt;added-date format="utc"&gt;1433473576&lt;/added-date&gt;&lt;ref-type name="Journal Article"&gt;17&lt;/ref-type&gt;&lt;auth-address&gt;Bense, VF (reprint author), Univ E Anglia, Sch Environm Sci, Norwich NR4 7TJ, Norfolk, England&amp;#xD;Univ E Anglia, Sch Environm Sci, Norwich NR4 7TJ, Norfolk, England&amp;#xD;McGill Univ, Montreal, PQ H3A 2K6, Canada&amp;#xD;Univ Rennes 1, CNRS, UMR 6118, Geosci Rennes, F-35042 Rennes, France&amp;#xD;SRK Consulting Inc, Vancouver, BC V6E 3X2, Canada&amp;#xD;v.bense@uea.ac.uk&lt;/auth-address&gt;&lt;rec-number&gt;101&lt;/rec-number&gt;&lt;last-updated-date format="utc"&gt;1433473576&lt;/last-updated-date&gt;&lt;accession-num&gt;WOS:000328871100008&lt;/accession-num&gt;&lt;electronic-resource-num&gt;10.1016/j.earscirev.2013.09.008&lt;/electronic-resource-num&gt;&lt;volume&gt;127&lt;/volume&gt;&lt;/record&gt;&lt;/Cite&gt;&lt;/EndNote&gt;</w:instrText>
      </w:r>
      <w:r w:rsidR="00084CDD">
        <w:fldChar w:fldCharType="separate"/>
      </w:r>
      <w:r w:rsidR="00EC33A1">
        <w:rPr>
          <w:noProof/>
        </w:rPr>
        <w:t>(2013)</w:t>
      </w:r>
      <w:r w:rsidR="00084CDD">
        <w:fldChar w:fldCharType="end"/>
      </w:r>
      <w:r w:rsidR="00E52566">
        <w:t>].</w:t>
      </w:r>
      <w:bookmarkEnd w:id="231"/>
      <w:bookmarkEnd w:id="2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3261"/>
        <w:gridCol w:w="842"/>
        <w:gridCol w:w="842"/>
        <w:gridCol w:w="842"/>
        <w:gridCol w:w="842"/>
        <w:gridCol w:w="842"/>
      </w:tblGrid>
      <w:tr w:rsidR="00995AC6" w:rsidRPr="00523374" w14:paraId="70D2E891" w14:textId="77777777" w:rsidTr="00523374">
        <w:trPr>
          <w:cantSplit/>
          <w:trHeight w:val="1531"/>
        </w:trPr>
        <w:tc>
          <w:tcPr>
            <w:tcW w:w="1809" w:type="dxa"/>
            <w:tcBorders>
              <w:top w:val="single" w:sz="4" w:space="0" w:color="auto"/>
              <w:bottom w:val="single" w:sz="4" w:space="0" w:color="auto"/>
            </w:tcBorders>
            <w:shd w:val="clear" w:color="auto" w:fill="F2F2F2" w:themeFill="background1" w:themeFillShade="F2"/>
            <w:vAlign w:val="bottom"/>
          </w:tcPr>
          <w:p w14:paraId="06A1948D" w14:textId="77777777" w:rsidR="00995AC6" w:rsidRPr="00523374" w:rsidRDefault="00995AC6" w:rsidP="00995AC6">
            <w:pPr>
              <w:pStyle w:val="Body"/>
              <w:keepNext/>
              <w:spacing w:before="20" w:after="20" w:line="240" w:lineRule="auto"/>
              <w:rPr>
                <w:rFonts w:asciiTheme="majorHAnsi" w:hAnsiTheme="majorHAnsi"/>
                <w:color w:val="auto"/>
                <w:sz w:val="16"/>
              </w:rPr>
            </w:pPr>
            <w:r w:rsidRPr="00523374">
              <w:rPr>
                <w:rFonts w:asciiTheme="majorHAnsi" w:hAnsiTheme="majorHAnsi"/>
                <w:color w:val="auto"/>
                <w:sz w:val="16"/>
              </w:rPr>
              <w:t>Process</w:t>
            </w:r>
          </w:p>
        </w:tc>
        <w:tc>
          <w:tcPr>
            <w:tcW w:w="3261" w:type="dxa"/>
            <w:tcBorders>
              <w:top w:val="single" w:sz="4" w:space="0" w:color="auto"/>
              <w:bottom w:val="single" w:sz="4" w:space="0" w:color="auto"/>
            </w:tcBorders>
            <w:shd w:val="clear" w:color="auto" w:fill="F2F2F2" w:themeFill="background1" w:themeFillShade="F2"/>
            <w:vAlign w:val="bottom"/>
          </w:tcPr>
          <w:p w14:paraId="7FCC90AD" w14:textId="77777777" w:rsidR="00995AC6" w:rsidRPr="00523374" w:rsidRDefault="00995AC6" w:rsidP="00995AC6">
            <w:pPr>
              <w:pStyle w:val="Body"/>
              <w:spacing w:before="20" w:after="20" w:line="240" w:lineRule="auto"/>
              <w:rPr>
                <w:rFonts w:asciiTheme="majorHAnsi" w:hAnsiTheme="majorHAnsi"/>
                <w:color w:val="auto"/>
                <w:sz w:val="16"/>
              </w:rPr>
            </w:pPr>
            <w:r w:rsidRPr="00523374">
              <w:rPr>
                <w:rFonts w:asciiTheme="majorHAnsi" w:hAnsiTheme="majorHAnsi"/>
                <w:color w:val="auto"/>
                <w:sz w:val="16"/>
              </w:rPr>
              <w:t>Product</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65D74A89"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Unlithified to poorly lithified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0F535632"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Siliciclastic sedimentary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0B1E6946"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Carbonate sedimentary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28B9633F"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Crystalline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6B211FEE"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Volcanic rock</w:t>
            </w:r>
          </w:p>
        </w:tc>
      </w:tr>
      <w:tr w:rsidR="00995AC6" w:rsidRPr="00E72A6C" w14:paraId="6C0CBDE6" w14:textId="77777777" w:rsidTr="00995AC6">
        <w:trPr>
          <w:trHeight w:val="397"/>
        </w:trPr>
        <w:tc>
          <w:tcPr>
            <w:tcW w:w="1809" w:type="dxa"/>
            <w:vAlign w:val="center"/>
          </w:tcPr>
          <w:p w14:paraId="6630ED4C" w14:textId="77777777" w:rsidR="00995AC6" w:rsidRPr="00E72A6C" w:rsidRDefault="00995AC6" w:rsidP="002A081E">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Particulate flow</w:t>
            </w:r>
          </w:p>
        </w:tc>
        <w:tc>
          <w:tcPr>
            <w:tcW w:w="3261" w:type="dxa"/>
            <w:vAlign w:val="center"/>
          </w:tcPr>
          <w:p w14:paraId="7E0C68BA"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Sediment mixing, dilation</w:t>
            </w:r>
          </w:p>
        </w:tc>
        <w:tc>
          <w:tcPr>
            <w:tcW w:w="842" w:type="dxa"/>
            <w:vAlign w:val="center"/>
          </w:tcPr>
          <w:p w14:paraId="3D1AABE5" w14:textId="77777777" w:rsidR="00995AC6" w:rsidRPr="00E72A6C" w:rsidRDefault="00995AC6" w:rsidP="002A081E">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434141A3"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397FF510"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7CE94166"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1B7ED70D" w14:textId="77777777" w:rsidR="00995AC6" w:rsidRPr="00E72A6C" w:rsidRDefault="00995AC6" w:rsidP="002A081E">
            <w:pPr>
              <w:pStyle w:val="Body"/>
              <w:spacing w:before="20" w:after="20" w:line="240" w:lineRule="auto"/>
              <w:rPr>
                <w:rFonts w:asciiTheme="majorHAnsi" w:hAnsiTheme="majorHAnsi"/>
                <w:color w:val="auto"/>
                <w:sz w:val="16"/>
              </w:rPr>
            </w:pPr>
          </w:p>
        </w:tc>
      </w:tr>
      <w:tr w:rsidR="00995AC6" w:rsidRPr="00E72A6C" w14:paraId="464C9EFB" w14:textId="77777777" w:rsidTr="00995AC6">
        <w:trPr>
          <w:trHeight w:val="397"/>
        </w:trPr>
        <w:tc>
          <w:tcPr>
            <w:tcW w:w="1809" w:type="dxa"/>
            <w:vAlign w:val="center"/>
          </w:tcPr>
          <w:p w14:paraId="3FDE18E4" w14:textId="77777777" w:rsidR="00995AC6" w:rsidRPr="00E72A6C" w:rsidRDefault="00995AC6" w:rsidP="002A081E">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Phyl</w:t>
            </w:r>
            <w:r>
              <w:rPr>
                <w:rFonts w:asciiTheme="majorHAnsi" w:hAnsiTheme="majorHAnsi"/>
                <w:color w:val="auto"/>
                <w:sz w:val="16"/>
              </w:rPr>
              <w:t>l</w:t>
            </w:r>
            <w:r w:rsidRPr="00E72A6C">
              <w:rPr>
                <w:rFonts w:asciiTheme="majorHAnsi" w:hAnsiTheme="majorHAnsi"/>
                <w:color w:val="auto"/>
                <w:sz w:val="16"/>
              </w:rPr>
              <w:t>osilicate smearing</w:t>
            </w:r>
          </w:p>
        </w:tc>
        <w:tc>
          <w:tcPr>
            <w:tcW w:w="3261" w:type="dxa"/>
            <w:vAlign w:val="center"/>
          </w:tcPr>
          <w:p w14:paraId="466DB1E1" w14:textId="77777777" w:rsidR="00995AC6" w:rsidRPr="00E72A6C" w:rsidRDefault="00995AC6" w:rsidP="002A081E">
            <w:pPr>
              <w:pStyle w:val="Body"/>
              <w:spacing w:before="20" w:after="20" w:line="240" w:lineRule="auto"/>
              <w:rPr>
                <w:rFonts w:asciiTheme="majorHAnsi" w:hAnsiTheme="majorHAnsi"/>
                <w:color w:val="auto"/>
                <w:sz w:val="16"/>
              </w:rPr>
            </w:pPr>
            <w:r>
              <w:rPr>
                <w:rFonts w:asciiTheme="majorHAnsi" w:hAnsiTheme="majorHAnsi"/>
                <w:color w:val="auto"/>
                <w:sz w:val="16"/>
              </w:rPr>
              <w:t>Phylosilicate bands</w:t>
            </w:r>
          </w:p>
        </w:tc>
        <w:tc>
          <w:tcPr>
            <w:tcW w:w="842" w:type="dxa"/>
            <w:vAlign w:val="center"/>
          </w:tcPr>
          <w:p w14:paraId="794DD06A"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vAlign w:val="center"/>
          </w:tcPr>
          <w:p w14:paraId="39415DE1" w14:textId="77777777" w:rsidR="00995AC6" w:rsidRPr="00E72A6C" w:rsidRDefault="00995AC6" w:rsidP="002A081E">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1BBB65D2"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7F3DDE09"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037BFAAE" w14:textId="77777777" w:rsidR="00995AC6" w:rsidRPr="00E72A6C" w:rsidRDefault="00995AC6" w:rsidP="002A081E">
            <w:pPr>
              <w:pStyle w:val="Body"/>
              <w:spacing w:before="20" w:after="20" w:line="240" w:lineRule="auto"/>
              <w:rPr>
                <w:rFonts w:asciiTheme="majorHAnsi" w:hAnsiTheme="majorHAnsi"/>
                <w:color w:val="auto"/>
                <w:sz w:val="16"/>
              </w:rPr>
            </w:pPr>
          </w:p>
        </w:tc>
      </w:tr>
      <w:tr w:rsidR="00995AC6" w:rsidRPr="00E72A6C" w14:paraId="054665C9" w14:textId="77777777" w:rsidTr="00995AC6">
        <w:trPr>
          <w:trHeight w:val="397"/>
        </w:trPr>
        <w:tc>
          <w:tcPr>
            <w:tcW w:w="1809" w:type="dxa"/>
            <w:vAlign w:val="center"/>
          </w:tcPr>
          <w:p w14:paraId="047BDEC0" w14:textId="77777777" w:rsidR="00995AC6" w:rsidRPr="00E72A6C" w:rsidRDefault="00995AC6" w:rsidP="002A081E">
            <w:pPr>
              <w:pStyle w:val="Body"/>
              <w:keepNext/>
              <w:spacing w:before="20" w:after="20" w:line="240" w:lineRule="auto"/>
              <w:rPr>
                <w:rFonts w:asciiTheme="majorHAnsi" w:hAnsiTheme="majorHAnsi"/>
                <w:color w:val="auto"/>
                <w:sz w:val="16"/>
              </w:rPr>
            </w:pPr>
          </w:p>
        </w:tc>
        <w:tc>
          <w:tcPr>
            <w:tcW w:w="3261" w:type="dxa"/>
            <w:vAlign w:val="center"/>
          </w:tcPr>
          <w:p w14:paraId="1F1D1DE1"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Clay smearing</w:t>
            </w:r>
          </w:p>
        </w:tc>
        <w:tc>
          <w:tcPr>
            <w:tcW w:w="842" w:type="dxa"/>
            <w:vAlign w:val="center"/>
          </w:tcPr>
          <w:p w14:paraId="3B100812" w14:textId="77777777" w:rsidR="00995AC6" w:rsidRPr="00E72A6C" w:rsidRDefault="00995AC6" w:rsidP="002A081E">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71127161" w14:textId="77777777" w:rsidR="00995AC6" w:rsidRPr="00E72A6C" w:rsidRDefault="00995AC6" w:rsidP="002A081E">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6B948415"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vAlign w:val="center"/>
          </w:tcPr>
          <w:p w14:paraId="3B9BFE8F"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6A818133" w14:textId="77777777" w:rsidR="00995AC6" w:rsidRPr="00E72A6C" w:rsidRDefault="00995AC6" w:rsidP="002A081E">
            <w:pPr>
              <w:pStyle w:val="Body"/>
              <w:spacing w:before="20" w:after="20" w:line="240" w:lineRule="auto"/>
              <w:rPr>
                <w:rFonts w:asciiTheme="majorHAnsi" w:hAnsiTheme="majorHAnsi"/>
                <w:color w:val="auto"/>
                <w:sz w:val="16"/>
              </w:rPr>
            </w:pPr>
          </w:p>
        </w:tc>
      </w:tr>
      <w:tr w:rsidR="00995AC6" w:rsidRPr="00E72A6C" w14:paraId="7C805070" w14:textId="77777777" w:rsidTr="00995AC6">
        <w:trPr>
          <w:trHeight w:val="397"/>
        </w:trPr>
        <w:tc>
          <w:tcPr>
            <w:tcW w:w="1809" w:type="dxa"/>
            <w:vAlign w:val="center"/>
          </w:tcPr>
          <w:p w14:paraId="78BB84D7" w14:textId="77777777" w:rsidR="00995AC6" w:rsidRPr="00E72A6C" w:rsidRDefault="00995AC6" w:rsidP="002A081E">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Cataclasis</w:t>
            </w:r>
          </w:p>
        </w:tc>
        <w:tc>
          <w:tcPr>
            <w:tcW w:w="3261" w:type="dxa"/>
            <w:vAlign w:val="center"/>
          </w:tcPr>
          <w:p w14:paraId="4CE42E7B"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Deformation bands</w:t>
            </w:r>
          </w:p>
        </w:tc>
        <w:tc>
          <w:tcPr>
            <w:tcW w:w="842" w:type="dxa"/>
            <w:vAlign w:val="center"/>
          </w:tcPr>
          <w:p w14:paraId="68D8009E"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vAlign w:val="center"/>
          </w:tcPr>
          <w:p w14:paraId="419CA8BB" w14:textId="77777777" w:rsidR="00995AC6" w:rsidRPr="00E72A6C" w:rsidRDefault="00995AC6" w:rsidP="002A081E">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3201E706"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c>
          <w:tcPr>
            <w:tcW w:w="842" w:type="dxa"/>
            <w:vAlign w:val="center"/>
          </w:tcPr>
          <w:p w14:paraId="0E08A9E6"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7D6A926D" w14:textId="77777777" w:rsidR="00995AC6" w:rsidRPr="00E72A6C" w:rsidRDefault="00995AC6" w:rsidP="002A081E">
            <w:pPr>
              <w:pStyle w:val="Body"/>
              <w:spacing w:before="20" w:after="20" w:line="240" w:lineRule="auto"/>
              <w:rPr>
                <w:rFonts w:asciiTheme="majorHAnsi" w:hAnsiTheme="majorHAnsi"/>
                <w:color w:val="auto"/>
                <w:sz w:val="16"/>
              </w:rPr>
            </w:pPr>
          </w:p>
        </w:tc>
      </w:tr>
      <w:tr w:rsidR="00995AC6" w:rsidRPr="00E72A6C" w14:paraId="3BB111CC" w14:textId="77777777" w:rsidTr="00995AC6">
        <w:trPr>
          <w:trHeight w:val="397"/>
        </w:trPr>
        <w:tc>
          <w:tcPr>
            <w:tcW w:w="1809" w:type="dxa"/>
            <w:vAlign w:val="center"/>
          </w:tcPr>
          <w:p w14:paraId="619AC7CE" w14:textId="77777777" w:rsidR="00995AC6" w:rsidRPr="00E72A6C" w:rsidRDefault="00995AC6" w:rsidP="002A081E">
            <w:pPr>
              <w:pStyle w:val="Body"/>
              <w:keepNext/>
              <w:spacing w:before="20" w:after="20" w:line="240" w:lineRule="auto"/>
              <w:rPr>
                <w:rFonts w:asciiTheme="majorHAnsi" w:hAnsiTheme="majorHAnsi"/>
                <w:color w:val="auto"/>
                <w:sz w:val="16"/>
              </w:rPr>
            </w:pPr>
          </w:p>
        </w:tc>
        <w:tc>
          <w:tcPr>
            <w:tcW w:w="3261" w:type="dxa"/>
            <w:vAlign w:val="center"/>
          </w:tcPr>
          <w:p w14:paraId="09F01211" w14:textId="77777777" w:rsidR="00995AC6" w:rsidRPr="00E72A6C" w:rsidRDefault="00995AC6" w:rsidP="002A081E">
            <w:pPr>
              <w:pStyle w:val="Body"/>
              <w:spacing w:before="20" w:after="20" w:line="240" w:lineRule="auto"/>
              <w:rPr>
                <w:rFonts w:asciiTheme="majorHAnsi" w:hAnsiTheme="majorHAnsi"/>
                <w:color w:val="auto"/>
                <w:sz w:val="16"/>
              </w:rPr>
            </w:pPr>
            <w:r>
              <w:rPr>
                <w:rFonts w:asciiTheme="majorHAnsi" w:hAnsiTheme="majorHAnsi"/>
                <w:color w:val="auto"/>
                <w:sz w:val="16"/>
              </w:rPr>
              <w:t>C</w:t>
            </w:r>
            <w:r w:rsidRPr="00E72A6C">
              <w:rPr>
                <w:rFonts w:asciiTheme="majorHAnsi" w:hAnsiTheme="majorHAnsi"/>
                <w:color w:val="auto"/>
                <w:sz w:val="16"/>
              </w:rPr>
              <w:t>ataclasite, ultracataclasite</w:t>
            </w:r>
          </w:p>
        </w:tc>
        <w:tc>
          <w:tcPr>
            <w:tcW w:w="842" w:type="dxa"/>
            <w:vAlign w:val="center"/>
          </w:tcPr>
          <w:p w14:paraId="59F1BCB0"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vAlign w:val="center"/>
          </w:tcPr>
          <w:p w14:paraId="29E093B7" w14:textId="77777777" w:rsidR="00995AC6" w:rsidRPr="00E72A6C" w:rsidRDefault="00995AC6" w:rsidP="002A081E">
            <w:pPr>
              <w:pStyle w:val="Body"/>
              <w:spacing w:before="20" w:after="20" w:line="240" w:lineRule="auto"/>
              <w:rPr>
                <w:rFonts w:asciiTheme="majorHAnsi" w:hAnsiTheme="majorHAnsi"/>
                <w:b/>
                <w:color w:val="auto"/>
                <w:sz w:val="16"/>
              </w:rPr>
            </w:pPr>
            <w:r w:rsidRPr="00E72A6C">
              <w:rPr>
                <w:rFonts w:asciiTheme="majorHAnsi" w:hAnsiTheme="majorHAnsi"/>
                <w:b/>
                <w:color w:val="auto"/>
                <w:sz w:val="16"/>
              </w:rPr>
              <w:t>common</w:t>
            </w:r>
          </w:p>
        </w:tc>
        <w:tc>
          <w:tcPr>
            <w:tcW w:w="842" w:type="dxa"/>
            <w:vAlign w:val="center"/>
          </w:tcPr>
          <w:p w14:paraId="278F9CE9"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b/>
                <w:color w:val="auto"/>
                <w:sz w:val="16"/>
              </w:rPr>
              <w:t>common</w:t>
            </w:r>
          </w:p>
        </w:tc>
        <w:tc>
          <w:tcPr>
            <w:tcW w:w="842" w:type="dxa"/>
            <w:vAlign w:val="center"/>
          </w:tcPr>
          <w:p w14:paraId="4B8370C8"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b/>
                <w:color w:val="auto"/>
                <w:sz w:val="16"/>
              </w:rPr>
              <w:t>common</w:t>
            </w:r>
          </w:p>
        </w:tc>
        <w:tc>
          <w:tcPr>
            <w:tcW w:w="842" w:type="dxa"/>
            <w:vAlign w:val="center"/>
          </w:tcPr>
          <w:p w14:paraId="0C8A9634"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possible</w:t>
            </w:r>
          </w:p>
        </w:tc>
      </w:tr>
      <w:tr w:rsidR="00995AC6" w:rsidRPr="00E72A6C" w14:paraId="23BF85B9" w14:textId="77777777" w:rsidTr="00995AC6">
        <w:trPr>
          <w:trHeight w:val="397"/>
        </w:trPr>
        <w:tc>
          <w:tcPr>
            <w:tcW w:w="1809" w:type="dxa"/>
            <w:tcBorders>
              <w:bottom w:val="single" w:sz="4" w:space="0" w:color="auto"/>
            </w:tcBorders>
            <w:vAlign w:val="center"/>
          </w:tcPr>
          <w:p w14:paraId="13048ED6" w14:textId="77777777" w:rsidR="00995AC6" w:rsidRPr="00E72A6C" w:rsidRDefault="00995AC6" w:rsidP="002A081E">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Brecciation</w:t>
            </w:r>
            <w:r>
              <w:rPr>
                <w:rFonts w:asciiTheme="majorHAnsi" w:hAnsiTheme="majorHAnsi"/>
                <w:color w:val="auto"/>
                <w:sz w:val="16"/>
              </w:rPr>
              <w:t>,</w:t>
            </w:r>
            <w:r w:rsidRPr="00E72A6C">
              <w:rPr>
                <w:rFonts w:asciiTheme="majorHAnsi" w:hAnsiTheme="majorHAnsi"/>
                <w:color w:val="auto"/>
                <w:sz w:val="16"/>
              </w:rPr>
              <w:t xml:space="preserve"> cataclasis</w:t>
            </w:r>
          </w:p>
        </w:tc>
        <w:tc>
          <w:tcPr>
            <w:tcW w:w="3261" w:type="dxa"/>
            <w:tcBorders>
              <w:bottom w:val="single" w:sz="4" w:space="0" w:color="auto"/>
            </w:tcBorders>
            <w:vAlign w:val="center"/>
          </w:tcPr>
          <w:p w14:paraId="30E86569"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color w:val="auto"/>
                <w:sz w:val="16"/>
              </w:rPr>
              <w:t>Fault gouges</w:t>
            </w:r>
          </w:p>
        </w:tc>
        <w:tc>
          <w:tcPr>
            <w:tcW w:w="842" w:type="dxa"/>
            <w:tcBorders>
              <w:bottom w:val="single" w:sz="4" w:space="0" w:color="auto"/>
            </w:tcBorders>
            <w:vAlign w:val="center"/>
          </w:tcPr>
          <w:p w14:paraId="5E87336D" w14:textId="77777777" w:rsidR="00995AC6" w:rsidRPr="00E72A6C" w:rsidRDefault="00995AC6" w:rsidP="002A081E">
            <w:pPr>
              <w:pStyle w:val="Body"/>
              <w:spacing w:before="20" w:after="20" w:line="240" w:lineRule="auto"/>
              <w:rPr>
                <w:rFonts w:asciiTheme="majorHAnsi" w:hAnsiTheme="majorHAnsi"/>
                <w:color w:val="auto"/>
                <w:sz w:val="16"/>
              </w:rPr>
            </w:pPr>
          </w:p>
        </w:tc>
        <w:tc>
          <w:tcPr>
            <w:tcW w:w="842" w:type="dxa"/>
            <w:tcBorders>
              <w:bottom w:val="single" w:sz="4" w:space="0" w:color="auto"/>
            </w:tcBorders>
            <w:vAlign w:val="center"/>
          </w:tcPr>
          <w:p w14:paraId="03CCC4FA"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b/>
                <w:color w:val="auto"/>
                <w:sz w:val="16"/>
              </w:rPr>
              <w:t>common</w:t>
            </w:r>
          </w:p>
        </w:tc>
        <w:tc>
          <w:tcPr>
            <w:tcW w:w="842" w:type="dxa"/>
            <w:tcBorders>
              <w:bottom w:val="single" w:sz="4" w:space="0" w:color="auto"/>
            </w:tcBorders>
            <w:vAlign w:val="center"/>
          </w:tcPr>
          <w:p w14:paraId="61AD5F45"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b/>
                <w:color w:val="auto"/>
                <w:sz w:val="16"/>
              </w:rPr>
              <w:t>common</w:t>
            </w:r>
          </w:p>
        </w:tc>
        <w:tc>
          <w:tcPr>
            <w:tcW w:w="842" w:type="dxa"/>
            <w:tcBorders>
              <w:bottom w:val="single" w:sz="4" w:space="0" w:color="auto"/>
            </w:tcBorders>
            <w:vAlign w:val="center"/>
          </w:tcPr>
          <w:p w14:paraId="532CB999"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b/>
                <w:color w:val="auto"/>
                <w:sz w:val="16"/>
              </w:rPr>
              <w:t>common</w:t>
            </w:r>
          </w:p>
        </w:tc>
        <w:tc>
          <w:tcPr>
            <w:tcW w:w="842" w:type="dxa"/>
            <w:tcBorders>
              <w:bottom w:val="single" w:sz="4" w:space="0" w:color="auto"/>
            </w:tcBorders>
            <w:vAlign w:val="center"/>
          </w:tcPr>
          <w:p w14:paraId="75D9131F" w14:textId="77777777" w:rsidR="00995AC6" w:rsidRPr="00E72A6C" w:rsidRDefault="00995AC6" w:rsidP="002A081E">
            <w:pPr>
              <w:pStyle w:val="Body"/>
              <w:spacing w:before="20" w:after="20" w:line="240" w:lineRule="auto"/>
              <w:rPr>
                <w:rFonts w:asciiTheme="majorHAnsi" w:hAnsiTheme="majorHAnsi"/>
                <w:color w:val="auto"/>
                <w:sz w:val="16"/>
              </w:rPr>
            </w:pPr>
            <w:r w:rsidRPr="00E72A6C">
              <w:rPr>
                <w:rFonts w:asciiTheme="majorHAnsi" w:hAnsiTheme="majorHAnsi"/>
                <w:b/>
                <w:color w:val="auto"/>
                <w:sz w:val="16"/>
              </w:rPr>
              <w:t>common</w:t>
            </w:r>
          </w:p>
        </w:tc>
      </w:tr>
    </w:tbl>
    <w:p w14:paraId="0579CE9F" w14:textId="77777777" w:rsidR="00995AC6" w:rsidRDefault="00995AC6" w:rsidP="00995AC6">
      <w:pPr>
        <w:pStyle w:val="Body"/>
      </w:pPr>
    </w:p>
    <w:p w14:paraId="2CF85705" w14:textId="77777777" w:rsidR="00995AC6" w:rsidRDefault="00995AC6" w:rsidP="00995AC6">
      <w:pPr>
        <w:pStyle w:val="Body"/>
        <w:rPr>
          <w:color w:val="auto"/>
        </w:rPr>
      </w:pPr>
      <w:r>
        <w:rPr>
          <w:color w:val="auto"/>
        </w:rPr>
        <w:t>Secondary processes that alter fault zone permeability include dissolution and cementation, pressure solution, sediment infilling and fault in-growth. Fluid flow in carbonate sedimentary rocks can lead to the formation of dissolution features. Subsequent precipitation of minerals results in the cementation of such features, which can reduce rock permeability. Pressure solution refers to the enhanced dissolution of minerals by external (</w:t>
      </w:r>
      <w:r w:rsidR="00AA5ABA">
        <w:rPr>
          <w:color w:val="auto"/>
        </w:rPr>
        <w:t xml:space="preserve">e.g., </w:t>
      </w:r>
      <w:r>
        <w:rPr>
          <w:color w:val="auto"/>
        </w:rPr>
        <w:t xml:space="preserve">geomechanical) stresses. This can result in the presence of insoluble clay minerals in the absence of calcite, thus reducing rock permeability. </w:t>
      </w:r>
    </w:p>
    <w:p w14:paraId="4E2F2991" w14:textId="77777777" w:rsidR="00B9544F" w:rsidRPr="00B9544F" w:rsidRDefault="00B9544F" w:rsidP="00995AC6">
      <w:pPr>
        <w:pStyle w:val="Body"/>
        <w:rPr>
          <w:color w:val="auto"/>
        </w:rPr>
      </w:pPr>
    </w:p>
    <w:p w14:paraId="025A75D9" w14:textId="77777777" w:rsidR="00995AC6" w:rsidRPr="00572370" w:rsidRDefault="007512E8" w:rsidP="007512E8">
      <w:pPr>
        <w:pStyle w:val="Imagecaption"/>
        <w:keepNext/>
        <w:pBdr>
          <w:top w:val="none" w:sz="0" w:space="0" w:color="auto"/>
        </w:pBdr>
      </w:pPr>
      <w:bookmarkStart w:id="233" w:name="_Toc422322992"/>
      <w:bookmarkStart w:id="234" w:name="_Toc449696230"/>
      <w:r>
        <w:t xml:space="preserve">Table </w:t>
      </w:r>
      <w:r w:rsidR="00084CDD">
        <w:fldChar w:fldCharType="begin"/>
      </w:r>
      <w:r>
        <w:instrText xml:space="preserve"> SEQ Table \* ARABIC </w:instrText>
      </w:r>
      <w:r w:rsidR="00084CDD">
        <w:fldChar w:fldCharType="separate"/>
      </w:r>
      <w:r w:rsidR="00C52E30">
        <w:rPr>
          <w:noProof/>
        </w:rPr>
        <w:t>10</w:t>
      </w:r>
      <w:r w:rsidR="00084CDD">
        <w:fldChar w:fldCharType="end"/>
      </w:r>
      <w:r>
        <w:t>.</w:t>
      </w:r>
      <w:r w:rsidR="00995AC6" w:rsidRPr="00572370">
        <w:t xml:space="preserve"> Secondary fault processes that either enhance or reduce permeability</w:t>
      </w:r>
      <w:r w:rsidR="00E52566">
        <w:t xml:space="preserve"> [after Bense </w:t>
      </w:r>
      <w:r w:rsidR="00810442">
        <w:t xml:space="preserve">et al., </w:t>
      </w:r>
      <w:r w:rsidR="00084CDD">
        <w:fldChar w:fldCharType="begin"/>
      </w:r>
      <w:r w:rsidR="00EC33A1">
        <w:instrText xml:space="preserve"> ADDIN EN.CITE &lt;EndNote&gt;&lt;Cite ExcludeAuth="1"&gt;&lt;Author&gt;Bense&lt;/Author&gt;&lt;Year&gt;2013&lt;/Year&gt;&lt;IDText&gt;Fault zone hydrogeology&lt;/IDText&gt;&lt;DisplayText&gt;(2013)&lt;/DisplayText&gt;&lt;record&gt;&lt;dates&gt;&lt;pub-dates&gt;&lt;date&gt;DEC 2013&lt;/date&gt;&lt;/pub-dates&gt;&lt;year&gt;2013&lt;/year&gt;&lt;/dates&gt;&lt;keywords&gt;&lt;keyword&gt;Fault zone&lt;/keyword&gt;&lt;keyword&gt;Hydrogeology&lt;/keyword&gt;&lt;keyword&gt;Structural geology&lt;/keyword&gt;&lt;keyword&gt;FLUID-FLOW PROPERTIES&lt;/keyword&gt;&lt;keyword&gt;RIO-GRANDE RIFT&lt;/keyword&gt;&lt;keyword&gt;POORLY LITHIFIED SEDIMENTS&lt;/keyword&gt;&lt;keyword&gt;SAN-ANDREAS FAULT&lt;/keyword&gt;&lt;keyword&gt;THICKNESS-DISPLACEMENT RELATIONSHIPS&lt;/keyword&gt;&lt;keyword&gt;SEGMENTED NORMAL FAULTS&lt;/keyword&gt;&lt;keyword&gt;ACTIVE NORMAL-FAULT&lt;/keyword&gt;&lt;keyword&gt;STRIKE-SLIP FAULTS&lt;/keyword&gt;&lt;keyword&gt;DEFORMATION BANDS&lt;/keyword&gt;&lt;keyword&gt;GROUNDWATER-FLOW&lt;/keyword&gt;&lt;/keywords&gt;&lt;isbn&gt;0012-8252&lt;/isbn&gt;&lt;work-type&gt;Article&lt;/work-type&gt;&lt;titles&gt;&lt;title&gt;Fault zone hydrogeology&lt;/title&gt;&lt;secondary-title&gt;Earth-Science Reviews&lt;/secondary-title&gt;&lt;/titles&gt;&lt;pages&gt;171-192&lt;/pages&gt;&lt;contributors&gt;&lt;authors&gt;&lt;author&gt;Bense, VF&lt;/author&gt;&lt;author&gt;Gleeson, T&lt;/author&gt;&lt;author&gt;Loveless, SE&lt;/author&gt;&lt;author&gt;Bour, O&lt;/author&gt;&lt;author&gt;Scibek, J&lt;/author&gt;&lt;/authors&gt;&lt;/contributors&gt;&lt;language&gt;English&lt;/language&gt;&lt;added-date format="utc"&gt;1433473576&lt;/added-date&gt;&lt;ref-type name="Journal Article"&gt;17&lt;/ref-type&gt;&lt;auth-address&gt;Bense, VF (reprint author), Univ E Anglia, Sch Environm Sci, Norwich NR4 7TJ, Norfolk, England&amp;#xD;Univ E Anglia, Sch Environm Sci, Norwich NR4 7TJ, Norfolk, England&amp;#xD;McGill Univ, Montreal, PQ H3A 2K6, Canada&amp;#xD;Univ Rennes 1, CNRS, UMR 6118, Geosci Rennes, F-35042 Rennes, France&amp;#xD;SRK Consulting Inc, Vancouver, BC V6E 3X2, Canada&amp;#xD;v.bense@uea.ac.uk&lt;/auth-address&gt;&lt;rec-number&gt;101&lt;/rec-number&gt;&lt;last-updated-date format="utc"&gt;1433473576&lt;/last-updated-date&gt;&lt;accession-num&gt;WOS:000328871100008&lt;/accession-num&gt;&lt;electronic-resource-num&gt;10.1016/j.earscirev.2013.09.008&lt;/electronic-resource-num&gt;&lt;volume&gt;127&lt;/volume&gt;&lt;/record&gt;&lt;/Cite&gt;&lt;/EndNote&gt;</w:instrText>
      </w:r>
      <w:r w:rsidR="00084CDD">
        <w:fldChar w:fldCharType="separate"/>
      </w:r>
      <w:r w:rsidR="00EC33A1">
        <w:rPr>
          <w:noProof/>
        </w:rPr>
        <w:t>(2013)</w:t>
      </w:r>
      <w:r w:rsidR="00084CDD">
        <w:fldChar w:fldCharType="end"/>
      </w:r>
      <w:r w:rsidR="00E52566">
        <w:t>].</w:t>
      </w:r>
      <w:bookmarkEnd w:id="233"/>
      <w:bookmarkEnd w:id="2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2977"/>
        <w:gridCol w:w="842"/>
        <w:gridCol w:w="842"/>
        <w:gridCol w:w="842"/>
        <w:gridCol w:w="842"/>
        <w:gridCol w:w="842"/>
      </w:tblGrid>
      <w:tr w:rsidR="00995AC6" w:rsidRPr="00523374" w14:paraId="2339B07F" w14:textId="77777777" w:rsidTr="00523374">
        <w:trPr>
          <w:cantSplit/>
          <w:trHeight w:val="1531"/>
        </w:trPr>
        <w:tc>
          <w:tcPr>
            <w:tcW w:w="2093" w:type="dxa"/>
            <w:tcBorders>
              <w:top w:val="single" w:sz="4" w:space="0" w:color="auto"/>
              <w:bottom w:val="single" w:sz="4" w:space="0" w:color="auto"/>
            </w:tcBorders>
            <w:shd w:val="clear" w:color="auto" w:fill="F2F2F2" w:themeFill="background1" w:themeFillShade="F2"/>
            <w:vAlign w:val="bottom"/>
          </w:tcPr>
          <w:p w14:paraId="6367B4F6" w14:textId="77777777" w:rsidR="00995AC6" w:rsidRPr="00523374" w:rsidRDefault="00995AC6" w:rsidP="00995AC6">
            <w:pPr>
              <w:pStyle w:val="Body"/>
              <w:keepNext/>
              <w:spacing w:before="20" w:after="20" w:line="240" w:lineRule="auto"/>
              <w:rPr>
                <w:rFonts w:asciiTheme="majorHAnsi" w:hAnsiTheme="majorHAnsi"/>
                <w:color w:val="auto"/>
                <w:sz w:val="16"/>
              </w:rPr>
            </w:pPr>
            <w:r w:rsidRPr="00523374">
              <w:rPr>
                <w:rFonts w:asciiTheme="majorHAnsi" w:hAnsiTheme="majorHAnsi"/>
                <w:color w:val="auto"/>
                <w:sz w:val="16"/>
              </w:rPr>
              <w:t>Process</w:t>
            </w:r>
          </w:p>
        </w:tc>
        <w:tc>
          <w:tcPr>
            <w:tcW w:w="2977" w:type="dxa"/>
            <w:tcBorders>
              <w:top w:val="single" w:sz="4" w:space="0" w:color="auto"/>
              <w:bottom w:val="single" w:sz="4" w:space="0" w:color="auto"/>
            </w:tcBorders>
            <w:shd w:val="clear" w:color="auto" w:fill="F2F2F2" w:themeFill="background1" w:themeFillShade="F2"/>
            <w:vAlign w:val="bottom"/>
          </w:tcPr>
          <w:p w14:paraId="1C9624E0" w14:textId="77777777" w:rsidR="00995AC6" w:rsidRPr="00523374" w:rsidRDefault="00995AC6" w:rsidP="00995AC6">
            <w:pPr>
              <w:pStyle w:val="Body"/>
              <w:spacing w:before="20" w:after="20" w:line="240" w:lineRule="auto"/>
              <w:rPr>
                <w:rFonts w:asciiTheme="majorHAnsi" w:hAnsiTheme="majorHAnsi"/>
                <w:color w:val="auto"/>
                <w:sz w:val="16"/>
              </w:rPr>
            </w:pPr>
            <w:r w:rsidRPr="00523374">
              <w:rPr>
                <w:rFonts w:asciiTheme="majorHAnsi" w:hAnsiTheme="majorHAnsi"/>
                <w:color w:val="auto"/>
                <w:sz w:val="16"/>
              </w:rPr>
              <w:t>Product</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4711783F"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Unlithified to poorly lithified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043EDEAF"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Siliciclastic sedimentary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7AF19239"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Carbonate sedimentary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20838CD2"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Crystalline rock</w:t>
            </w:r>
          </w:p>
        </w:tc>
        <w:tc>
          <w:tcPr>
            <w:tcW w:w="842" w:type="dxa"/>
            <w:tcBorders>
              <w:top w:val="single" w:sz="4" w:space="0" w:color="auto"/>
              <w:bottom w:val="single" w:sz="4" w:space="0" w:color="auto"/>
            </w:tcBorders>
            <w:shd w:val="clear" w:color="auto" w:fill="F2F2F2" w:themeFill="background1" w:themeFillShade="F2"/>
            <w:textDirection w:val="btLr"/>
            <w:vAlign w:val="center"/>
          </w:tcPr>
          <w:p w14:paraId="71BE0E5B" w14:textId="77777777" w:rsidR="00995AC6" w:rsidRPr="00523374" w:rsidRDefault="00995AC6" w:rsidP="00995AC6">
            <w:pPr>
              <w:pStyle w:val="Body"/>
              <w:spacing w:before="20" w:after="20" w:line="240" w:lineRule="auto"/>
              <w:ind w:left="113" w:right="113"/>
              <w:rPr>
                <w:rFonts w:asciiTheme="majorHAnsi" w:hAnsiTheme="majorHAnsi"/>
                <w:color w:val="auto"/>
                <w:sz w:val="16"/>
              </w:rPr>
            </w:pPr>
            <w:r w:rsidRPr="00523374">
              <w:rPr>
                <w:rFonts w:asciiTheme="majorHAnsi" w:hAnsiTheme="majorHAnsi"/>
                <w:color w:val="auto"/>
                <w:sz w:val="16"/>
              </w:rPr>
              <w:t>Volcanic rock</w:t>
            </w:r>
          </w:p>
        </w:tc>
      </w:tr>
      <w:tr w:rsidR="00995AC6" w:rsidRPr="00E72A6C" w14:paraId="536AA8F3" w14:textId="77777777" w:rsidTr="00995AC6">
        <w:trPr>
          <w:trHeight w:val="397"/>
        </w:trPr>
        <w:tc>
          <w:tcPr>
            <w:tcW w:w="2093" w:type="dxa"/>
            <w:vAlign w:val="center"/>
          </w:tcPr>
          <w:p w14:paraId="7734C04A" w14:textId="77777777" w:rsidR="00995AC6" w:rsidRPr="00E72A6C" w:rsidRDefault="00995AC6" w:rsidP="00995AC6">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Dissolution and cementation</w:t>
            </w:r>
          </w:p>
        </w:tc>
        <w:tc>
          <w:tcPr>
            <w:tcW w:w="2977" w:type="dxa"/>
            <w:vAlign w:val="center"/>
          </w:tcPr>
          <w:p w14:paraId="3DC1D403"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 xml:space="preserve">Solution cavities, incomplete </w:t>
            </w:r>
            <w:r>
              <w:rPr>
                <w:rFonts w:asciiTheme="majorHAnsi" w:hAnsiTheme="majorHAnsi"/>
                <w:color w:val="auto"/>
                <w:sz w:val="16"/>
              </w:rPr>
              <w:t>precipitation</w:t>
            </w:r>
          </w:p>
        </w:tc>
        <w:tc>
          <w:tcPr>
            <w:tcW w:w="842" w:type="dxa"/>
            <w:vAlign w:val="center"/>
          </w:tcPr>
          <w:p w14:paraId="4FEF5E1E"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2CFA755F"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1F759A80"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7DB4E3EF"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1F9933F3" w14:textId="77777777" w:rsidR="00995AC6" w:rsidRPr="00AD0970" w:rsidRDefault="00995AC6" w:rsidP="00995AC6">
            <w:pPr>
              <w:pStyle w:val="Body"/>
              <w:spacing w:before="20" w:after="20" w:line="240" w:lineRule="auto"/>
              <w:rPr>
                <w:rFonts w:asciiTheme="majorHAnsi" w:hAnsiTheme="majorHAnsi"/>
                <w:color w:val="auto"/>
                <w:sz w:val="16"/>
              </w:rPr>
            </w:pPr>
          </w:p>
        </w:tc>
      </w:tr>
      <w:tr w:rsidR="00995AC6" w:rsidRPr="00E72A6C" w14:paraId="598A7E7B" w14:textId="77777777" w:rsidTr="00995AC6">
        <w:trPr>
          <w:trHeight w:val="397"/>
        </w:trPr>
        <w:tc>
          <w:tcPr>
            <w:tcW w:w="2093" w:type="dxa"/>
            <w:vAlign w:val="center"/>
          </w:tcPr>
          <w:p w14:paraId="3DE04A8B" w14:textId="77777777" w:rsidR="00995AC6" w:rsidRPr="00E72A6C" w:rsidRDefault="00995AC6" w:rsidP="00995AC6">
            <w:pPr>
              <w:pStyle w:val="Body"/>
              <w:keepNext/>
              <w:spacing w:before="20" w:after="20" w:line="240" w:lineRule="auto"/>
              <w:rPr>
                <w:rFonts w:asciiTheme="majorHAnsi" w:hAnsiTheme="majorHAnsi"/>
                <w:color w:val="auto"/>
                <w:sz w:val="16"/>
              </w:rPr>
            </w:pPr>
          </w:p>
        </w:tc>
        <w:tc>
          <w:tcPr>
            <w:tcW w:w="2977" w:type="dxa"/>
            <w:vAlign w:val="center"/>
          </w:tcPr>
          <w:p w14:paraId="60988F49" w14:textId="77777777" w:rsidR="00995AC6" w:rsidRPr="00E72A6C" w:rsidRDefault="00995AC6" w:rsidP="00995AC6">
            <w:pPr>
              <w:pStyle w:val="Body"/>
              <w:spacing w:before="20" w:after="20" w:line="240" w:lineRule="auto"/>
              <w:rPr>
                <w:rFonts w:asciiTheme="majorHAnsi" w:hAnsiTheme="majorHAnsi"/>
                <w:color w:val="auto"/>
                <w:sz w:val="16"/>
              </w:rPr>
            </w:pPr>
            <w:r>
              <w:rPr>
                <w:rFonts w:asciiTheme="majorHAnsi" w:hAnsiTheme="majorHAnsi"/>
                <w:color w:val="auto"/>
                <w:sz w:val="16"/>
              </w:rPr>
              <w:t>Crack-seal veins or breccias</w:t>
            </w:r>
          </w:p>
        </w:tc>
        <w:tc>
          <w:tcPr>
            <w:tcW w:w="842" w:type="dxa"/>
            <w:vAlign w:val="center"/>
          </w:tcPr>
          <w:p w14:paraId="57BDC6B9"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267D93EE"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3AA0DA71"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47E8F7BE"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4F7513EE" w14:textId="77777777" w:rsidR="00995AC6" w:rsidRPr="00AD0970" w:rsidRDefault="00995AC6" w:rsidP="00995AC6">
            <w:pPr>
              <w:pStyle w:val="Body"/>
              <w:spacing w:before="20" w:after="20" w:line="240" w:lineRule="auto"/>
              <w:rPr>
                <w:rFonts w:asciiTheme="majorHAnsi" w:hAnsiTheme="majorHAnsi"/>
                <w:color w:val="auto"/>
                <w:sz w:val="16"/>
              </w:rPr>
            </w:pPr>
          </w:p>
        </w:tc>
      </w:tr>
      <w:tr w:rsidR="00995AC6" w:rsidRPr="00E72A6C" w14:paraId="064C0419" w14:textId="77777777" w:rsidTr="00995AC6">
        <w:trPr>
          <w:trHeight w:val="397"/>
        </w:trPr>
        <w:tc>
          <w:tcPr>
            <w:tcW w:w="2093" w:type="dxa"/>
            <w:vAlign w:val="center"/>
          </w:tcPr>
          <w:p w14:paraId="3123198A" w14:textId="77777777" w:rsidR="00995AC6" w:rsidRPr="00E72A6C" w:rsidRDefault="00995AC6" w:rsidP="00995AC6">
            <w:pPr>
              <w:pStyle w:val="Body"/>
              <w:keepNext/>
              <w:spacing w:before="20" w:after="20" w:line="240" w:lineRule="auto"/>
              <w:rPr>
                <w:rFonts w:asciiTheme="majorHAnsi" w:hAnsiTheme="majorHAnsi"/>
                <w:color w:val="auto"/>
                <w:sz w:val="16"/>
              </w:rPr>
            </w:pPr>
          </w:p>
        </w:tc>
        <w:tc>
          <w:tcPr>
            <w:tcW w:w="2977" w:type="dxa"/>
            <w:vAlign w:val="center"/>
          </w:tcPr>
          <w:p w14:paraId="2A978958" w14:textId="77777777" w:rsidR="00995AC6" w:rsidRDefault="00995AC6" w:rsidP="00995AC6">
            <w:pPr>
              <w:pStyle w:val="Body"/>
              <w:spacing w:before="20" w:after="20" w:line="240" w:lineRule="auto"/>
              <w:rPr>
                <w:rFonts w:asciiTheme="majorHAnsi" w:hAnsiTheme="majorHAnsi"/>
                <w:color w:val="auto"/>
                <w:sz w:val="16"/>
              </w:rPr>
            </w:pPr>
            <w:r>
              <w:rPr>
                <w:rFonts w:asciiTheme="majorHAnsi" w:hAnsiTheme="majorHAnsi"/>
                <w:color w:val="auto"/>
                <w:sz w:val="16"/>
              </w:rPr>
              <w:t xml:space="preserve">Veins, concretions and </w:t>
            </w:r>
            <w:r w:rsidRPr="00E72A6C">
              <w:rPr>
                <w:rFonts w:asciiTheme="majorHAnsi" w:hAnsiTheme="majorHAnsi"/>
                <w:color w:val="auto"/>
                <w:sz w:val="16"/>
              </w:rPr>
              <w:t>localised precipitation</w:t>
            </w:r>
          </w:p>
        </w:tc>
        <w:tc>
          <w:tcPr>
            <w:tcW w:w="842" w:type="dxa"/>
            <w:vAlign w:val="center"/>
          </w:tcPr>
          <w:p w14:paraId="127CB004"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possible</w:t>
            </w:r>
          </w:p>
        </w:tc>
        <w:tc>
          <w:tcPr>
            <w:tcW w:w="842" w:type="dxa"/>
            <w:vAlign w:val="center"/>
          </w:tcPr>
          <w:p w14:paraId="54794206"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4AE6BF57"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11473A4F"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7494AA09"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r>
      <w:tr w:rsidR="00995AC6" w:rsidRPr="00E72A6C" w14:paraId="6F9F96E4" w14:textId="77777777" w:rsidTr="00995AC6">
        <w:trPr>
          <w:trHeight w:val="397"/>
        </w:trPr>
        <w:tc>
          <w:tcPr>
            <w:tcW w:w="2093" w:type="dxa"/>
            <w:vAlign w:val="center"/>
          </w:tcPr>
          <w:p w14:paraId="2D45EB0E" w14:textId="77777777" w:rsidR="00995AC6" w:rsidRPr="00E72A6C" w:rsidRDefault="00995AC6" w:rsidP="00995AC6">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Pressure solution</w:t>
            </w:r>
          </w:p>
        </w:tc>
        <w:tc>
          <w:tcPr>
            <w:tcW w:w="2977" w:type="dxa"/>
            <w:vAlign w:val="center"/>
          </w:tcPr>
          <w:p w14:paraId="6E5745DC"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Solution bands</w:t>
            </w:r>
          </w:p>
        </w:tc>
        <w:tc>
          <w:tcPr>
            <w:tcW w:w="842" w:type="dxa"/>
            <w:vAlign w:val="center"/>
          </w:tcPr>
          <w:p w14:paraId="251FF798"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566A40A2"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possible</w:t>
            </w:r>
          </w:p>
        </w:tc>
        <w:tc>
          <w:tcPr>
            <w:tcW w:w="842" w:type="dxa"/>
            <w:vAlign w:val="center"/>
          </w:tcPr>
          <w:p w14:paraId="453E6C74"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06D383AC"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7B6F15AD" w14:textId="77777777" w:rsidR="00995AC6" w:rsidRPr="00AD0970" w:rsidRDefault="00995AC6" w:rsidP="00995AC6">
            <w:pPr>
              <w:pStyle w:val="Body"/>
              <w:spacing w:before="20" w:after="20" w:line="240" w:lineRule="auto"/>
              <w:rPr>
                <w:rFonts w:asciiTheme="majorHAnsi" w:hAnsiTheme="majorHAnsi"/>
                <w:color w:val="auto"/>
                <w:sz w:val="16"/>
              </w:rPr>
            </w:pPr>
          </w:p>
        </w:tc>
      </w:tr>
      <w:tr w:rsidR="00995AC6" w:rsidRPr="00E72A6C" w14:paraId="14463F9B" w14:textId="77777777" w:rsidTr="002A081E">
        <w:trPr>
          <w:trHeight w:val="397"/>
        </w:trPr>
        <w:tc>
          <w:tcPr>
            <w:tcW w:w="2093" w:type="dxa"/>
            <w:vAlign w:val="center"/>
          </w:tcPr>
          <w:p w14:paraId="586C8B35" w14:textId="77777777" w:rsidR="00995AC6" w:rsidRPr="00E72A6C" w:rsidRDefault="00995AC6" w:rsidP="00995AC6">
            <w:pPr>
              <w:pStyle w:val="Body"/>
              <w:keepNext/>
              <w:spacing w:before="20" w:after="20" w:line="240" w:lineRule="auto"/>
              <w:rPr>
                <w:rFonts w:asciiTheme="majorHAnsi" w:hAnsiTheme="majorHAnsi"/>
                <w:color w:val="auto"/>
                <w:sz w:val="16"/>
              </w:rPr>
            </w:pPr>
          </w:p>
        </w:tc>
        <w:tc>
          <w:tcPr>
            <w:tcW w:w="2977" w:type="dxa"/>
            <w:vAlign w:val="center"/>
          </w:tcPr>
          <w:p w14:paraId="57255D20" w14:textId="77777777" w:rsidR="00995AC6" w:rsidRPr="00E72A6C" w:rsidRDefault="00995AC6" w:rsidP="00995AC6">
            <w:pPr>
              <w:pStyle w:val="Body"/>
              <w:spacing w:before="20" w:after="20" w:line="240" w:lineRule="auto"/>
              <w:rPr>
                <w:rFonts w:asciiTheme="majorHAnsi" w:hAnsiTheme="majorHAnsi"/>
                <w:color w:val="auto"/>
                <w:sz w:val="16"/>
              </w:rPr>
            </w:pPr>
            <w:r>
              <w:rPr>
                <w:rFonts w:asciiTheme="majorHAnsi" w:hAnsiTheme="majorHAnsi"/>
                <w:color w:val="auto"/>
                <w:sz w:val="16"/>
              </w:rPr>
              <w:t>Stylolites</w:t>
            </w:r>
          </w:p>
        </w:tc>
        <w:tc>
          <w:tcPr>
            <w:tcW w:w="842" w:type="dxa"/>
            <w:vAlign w:val="center"/>
          </w:tcPr>
          <w:p w14:paraId="4F726B8B"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739481F1"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234A0193"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vAlign w:val="center"/>
          </w:tcPr>
          <w:p w14:paraId="692B242A"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vAlign w:val="center"/>
          </w:tcPr>
          <w:p w14:paraId="37174F34" w14:textId="77777777" w:rsidR="00995AC6" w:rsidRPr="00AD0970" w:rsidRDefault="00995AC6" w:rsidP="00995AC6">
            <w:pPr>
              <w:pStyle w:val="Body"/>
              <w:spacing w:before="20" w:after="20" w:line="240" w:lineRule="auto"/>
              <w:rPr>
                <w:rFonts w:asciiTheme="majorHAnsi" w:hAnsiTheme="majorHAnsi"/>
                <w:color w:val="auto"/>
                <w:sz w:val="16"/>
              </w:rPr>
            </w:pPr>
          </w:p>
        </w:tc>
      </w:tr>
      <w:tr w:rsidR="00995AC6" w:rsidRPr="00E72A6C" w14:paraId="0A2F7A58" w14:textId="77777777" w:rsidTr="002A081E">
        <w:trPr>
          <w:trHeight w:val="397"/>
        </w:trPr>
        <w:tc>
          <w:tcPr>
            <w:tcW w:w="2093" w:type="dxa"/>
            <w:tcBorders>
              <w:bottom w:val="single" w:sz="4" w:space="0" w:color="auto"/>
            </w:tcBorders>
            <w:vAlign w:val="center"/>
          </w:tcPr>
          <w:p w14:paraId="6602DC3F" w14:textId="77777777" w:rsidR="00995AC6" w:rsidRPr="00E72A6C" w:rsidRDefault="00995AC6" w:rsidP="00995AC6">
            <w:pPr>
              <w:pStyle w:val="Body"/>
              <w:keepNext/>
              <w:spacing w:before="20" w:after="20" w:line="240" w:lineRule="auto"/>
              <w:rPr>
                <w:rFonts w:asciiTheme="majorHAnsi" w:hAnsiTheme="majorHAnsi"/>
                <w:color w:val="auto"/>
                <w:sz w:val="16"/>
              </w:rPr>
            </w:pPr>
            <w:r w:rsidRPr="00E72A6C">
              <w:rPr>
                <w:rFonts w:asciiTheme="majorHAnsi" w:hAnsiTheme="majorHAnsi"/>
                <w:color w:val="auto"/>
                <w:sz w:val="16"/>
              </w:rPr>
              <w:t>Sediment infilling</w:t>
            </w:r>
          </w:p>
        </w:tc>
        <w:tc>
          <w:tcPr>
            <w:tcW w:w="2977" w:type="dxa"/>
            <w:tcBorders>
              <w:bottom w:val="single" w:sz="4" w:space="0" w:color="auto"/>
            </w:tcBorders>
            <w:vAlign w:val="center"/>
          </w:tcPr>
          <w:p w14:paraId="16C84CE8" w14:textId="77777777" w:rsidR="00995AC6" w:rsidRPr="00E72A6C" w:rsidRDefault="00995AC6" w:rsidP="00995AC6">
            <w:pPr>
              <w:pStyle w:val="Body"/>
              <w:spacing w:before="20" w:after="20" w:line="240" w:lineRule="auto"/>
              <w:rPr>
                <w:rFonts w:asciiTheme="majorHAnsi" w:hAnsiTheme="majorHAnsi"/>
                <w:color w:val="auto"/>
                <w:sz w:val="16"/>
              </w:rPr>
            </w:pPr>
            <w:r w:rsidRPr="00E72A6C">
              <w:rPr>
                <w:rFonts w:asciiTheme="majorHAnsi" w:hAnsiTheme="majorHAnsi"/>
                <w:color w:val="auto"/>
                <w:sz w:val="16"/>
              </w:rPr>
              <w:t>Sediment infill</w:t>
            </w:r>
          </w:p>
        </w:tc>
        <w:tc>
          <w:tcPr>
            <w:tcW w:w="842" w:type="dxa"/>
            <w:tcBorders>
              <w:bottom w:val="single" w:sz="4" w:space="0" w:color="auto"/>
            </w:tcBorders>
            <w:vAlign w:val="center"/>
          </w:tcPr>
          <w:p w14:paraId="1D3B28F7"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tcBorders>
              <w:bottom w:val="single" w:sz="4" w:space="0" w:color="auto"/>
            </w:tcBorders>
            <w:vAlign w:val="center"/>
          </w:tcPr>
          <w:p w14:paraId="019F468E"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tcBorders>
              <w:bottom w:val="single" w:sz="4" w:space="0" w:color="auto"/>
            </w:tcBorders>
            <w:vAlign w:val="center"/>
          </w:tcPr>
          <w:p w14:paraId="56625940" w14:textId="77777777" w:rsidR="00995AC6" w:rsidRPr="00AD0970" w:rsidRDefault="00995AC6" w:rsidP="00995AC6">
            <w:pPr>
              <w:pStyle w:val="Body"/>
              <w:spacing w:before="20" w:after="20" w:line="240" w:lineRule="auto"/>
              <w:rPr>
                <w:rFonts w:asciiTheme="majorHAnsi" w:hAnsiTheme="majorHAnsi"/>
                <w:color w:val="auto"/>
                <w:sz w:val="16"/>
              </w:rPr>
            </w:pPr>
            <w:r w:rsidRPr="00AD0970">
              <w:rPr>
                <w:rFonts w:asciiTheme="majorHAnsi" w:hAnsiTheme="majorHAnsi"/>
                <w:color w:val="auto"/>
                <w:sz w:val="16"/>
              </w:rPr>
              <w:t>common</w:t>
            </w:r>
          </w:p>
        </w:tc>
        <w:tc>
          <w:tcPr>
            <w:tcW w:w="842" w:type="dxa"/>
            <w:tcBorders>
              <w:bottom w:val="single" w:sz="4" w:space="0" w:color="auto"/>
            </w:tcBorders>
            <w:vAlign w:val="center"/>
          </w:tcPr>
          <w:p w14:paraId="1606D7C7" w14:textId="77777777" w:rsidR="00995AC6" w:rsidRPr="00AD0970" w:rsidRDefault="00995AC6" w:rsidP="00995AC6">
            <w:pPr>
              <w:pStyle w:val="Body"/>
              <w:spacing w:before="20" w:after="20" w:line="240" w:lineRule="auto"/>
              <w:rPr>
                <w:rFonts w:asciiTheme="majorHAnsi" w:hAnsiTheme="majorHAnsi"/>
                <w:color w:val="auto"/>
                <w:sz w:val="16"/>
              </w:rPr>
            </w:pPr>
          </w:p>
        </w:tc>
        <w:tc>
          <w:tcPr>
            <w:tcW w:w="842" w:type="dxa"/>
            <w:tcBorders>
              <w:bottom w:val="single" w:sz="4" w:space="0" w:color="auto"/>
            </w:tcBorders>
            <w:vAlign w:val="center"/>
          </w:tcPr>
          <w:p w14:paraId="1F909EF9" w14:textId="77777777" w:rsidR="00995AC6" w:rsidRPr="00AD0970" w:rsidRDefault="00995AC6" w:rsidP="00995AC6">
            <w:pPr>
              <w:pStyle w:val="Body"/>
              <w:spacing w:before="20" w:after="20" w:line="240" w:lineRule="auto"/>
              <w:rPr>
                <w:rFonts w:asciiTheme="majorHAnsi" w:hAnsiTheme="majorHAnsi"/>
                <w:color w:val="auto"/>
                <w:sz w:val="16"/>
              </w:rPr>
            </w:pPr>
          </w:p>
        </w:tc>
      </w:tr>
    </w:tbl>
    <w:p w14:paraId="5A754B2C" w14:textId="77777777" w:rsidR="00995AC6" w:rsidRDefault="00995AC6" w:rsidP="00995AC6">
      <w:pPr>
        <w:pStyle w:val="Body"/>
        <w:rPr>
          <w:color w:val="auto"/>
        </w:rPr>
      </w:pPr>
    </w:p>
    <w:p w14:paraId="60D1C294" w14:textId="5BD30E9E" w:rsidR="00E31912" w:rsidRDefault="00E31912" w:rsidP="00E31912">
      <w:pPr>
        <w:pStyle w:val="Body"/>
      </w:pPr>
      <w:r>
        <w:t xml:space="preserve">Bense </w:t>
      </w:r>
      <w:r w:rsidR="00810442">
        <w:t xml:space="preserve">et al. </w:t>
      </w:r>
      <w:r w:rsidR="00084CDD">
        <w:fldChar w:fldCharType="begin">
          <w:fldData xml:space="preserve">PEVuZE5vdGU+PENpdGUgRXhjbHVkZUF1dGg9IjEiPjxBdXRob3I+QmVuc2U8L0F1dGhvcj48WWVh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</w:fldData>
        </w:fldChar>
      </w:r>
      <w:r>
        <w:instrText xml:space="preserve"> ADDIN EN.CITE </w:instrText>
      </w:r>
      <w:r w:rsidR="00084CDD">
        <w:fldChar w:fldCharType="begin">
          <w:fldData xml:space="preserve">PEVuZE5vdGU+PENpdGUgRXhjbHVkZUF1dGg9IjEiPjxBdXRob3I+QmVuc2U8L0F1dGhvcj48WWVh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</w:fldData>
        </w:fldChar>
      </w:r>
      <w:r>
        <w:instrText xml:space="preserve"> ADDIN EN.CITE.DATA </w:instrText>
      </w:r>
      <w:r w:rsidR="00084CDD">
        <w:fldChar w:fldCharType="end"/>
      </w:r>
      <w:r w:rsidR="00084CDD">
        <w:fldChar w:fldCharType="separate"/>
      </w:r>
      <w:r>
        <w:rPr>
          <w:noProof/>
        </w:rPr>
        <w:t>(2003)</w:t>
      </w:r>
      <w:r w:rsidR="00084CDD">
        <w:fldChar w:fldCharType="end"/>
      </w:r>
      <w:r w:rsidR="00C410F6" w:rsidRPr="00C410F6">
        <w:t xml:space="preserve"> characterised the hydraulic properties of a shallow fault zone in unconsolidated sediments of the Roer Valley Rift System, The Netherlands. Outcrop, core and image analysis techniques were used to estimate the spatial distribution of hydraulic conductivity in the fault </w:t>
      </w:r>
      <w:r w:rsidR="00B13331">
        <w:t>core</w:t>
      </w:r>
      <w:r w:rsidR="00C410F6" w:rsidRPr="00C410F6">
        <w:t xml:space="preserve"> and damage zone respectively. Constant head permeameter testing of core samples indicated that hydraulic conductivity increased linearly from 16 m.d</w:t>
      </w:r>
      <w:r w:rsidR="00E713C3" w:rsidRPr="00E713C3">
        <w:rPr>
          <w:vertAlign w:val="superscript"/>
        </w:rPr>
        <w:t>-1</w:t>
      </w:r>
      <w:r w:rsidR="00C410F6" w:rsidRPr="00C410F6">
        <w:t xml:space="preserve"> at the fault core to 19 m.d</w:t>
      </w:r>
      <w:r w:rsidR="00E713C3" w:rsidRPr="00E713C3">
        <w:rPr>
          <w:vertAlign w:val="superscript"/>
        </w:rPr>
        <w:t>-1</w:t>
      </w:r>
      <w:r w:rsidR="00C410F6" w:rsidRPr="00C410F6">
        <w:t xml:space="preserve"> in the damage zone (Figure 38). Hydraulic conductivity then decreased with distance from the fault, with protolith values ranging from 5–12 m.d</w:t>
      </w:r>
      <w:r w:rsidR="00E713C3" w:rsidRPr="00E713C3">
        <w:rPr>
          <w:vertAlign w:val="superscript"/>
        </w:rPr>
        <w:t>-1</w:t>
      </w:r>
      <w:r w:rsidR="00C410F6" w:rsidRPr="00C410F6">
        <w:t>. From independent image analysis, clay smearing, grain-scale mixing, and iron-oxide precipitation were identif</w:t>
      </w:r>
      <w:r w:rsidR="00C410F6">
        <w:t>ie</w:t>
      </w:r>
      <w:r w:rsidR="00C410F6" w:rsidRPr="00C410F6">
        <w:t xml:space="preserve">d as mechanisms by which hydraulic conductivity may be reduced in the fault core. Conversely, particulate flows were identified as hydraulic conductivity–enhancing mechanisms. </w:t>
      </w:r>
    </w:p>
    <w:p w14:paraId="6A22A1AC" w14:textId="77777777" w:rsidR="00C410F6" w:rsidRDefault="00C410F6" w:rsidP="00E31912">
      <w:pPr>
        <w:pStyle w:val="Body"/>
      </w:pPr>
    </w:p>
    <w:p w14:paraId="4DA131A1" w14:textId="77777777" w:rsidR="00105B4C" w:rsidRPr="00C410F6" w:rsidRDefault="00105B4C" w:rsidP="00C410F6">
      <w:pPr>
        <w:suppressAutoHyphens/>
        <w:autoSpaceDE w:val="0"/>
        <w:autoSpaceDN w:val="0"/>
        <w:adjustRightInd w:val="0"/>
        <w:spacing w:after="113" w:line="280" w:lineRule="atLeast"/>
        <w:jc w:val="center"/>
        <w:textAlignment w:val="center"/>
        <w:rPr>
          <w:rFonts w:ascii="Calibri" w:eastAsia="Times New Roman" w:hAnsi="Calibri" w:cs="Calibri"/>
          <w:sz w:val="18"/>
          <w:szCs w:val="18"/>
          <w:lang w:val="en-GB"/>
        </w:rPr>
      </w:pPr>
      <w:r>
        <w:rPr>
          <w:rFonts w:ascii="Calibri" w:eastAsia="Times New Roman" w:hAnsi="Calibri" w:cs="Calibri"/>
          <w:noProof/>
          <w:sz w:val="18"/>
          <w:szCs w:val="18"/>
          <w:lang w:val="en-AU" w:eastAsia="en-AU"/>
        </w:rPr>
        <w:drawing>
          <wp:inline distT="0" distB="0" distL="0" distR="0" wp14:anchorId="41D80A9D" wp14:editId="09D02660">
            <wp:extent cx="4284092" cy="3904735"/>
            <wp:effectExtent l="0" t="0" r="2540" b="635"/>
            <wp:docPr id="8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7"/>
                    <a:srcRect l="36582" t="16029" r="10261" b="53150"/>
                    <a:stretch>
                      <a:fillRect/>
                    </a:stretch>
                  </pic:blipFill>
                  <pic:spPr bwMode="auto">
                    <a:xfrm>
                      <a:off x="0" y="0"/>
                      <a:ext cx="4287936" cy="3908239"/>
                    </a:xfrm>
                    <a:prstGeom prst="rect">
                      <a:avLst/>
                    </a:prstGeom>
                    <a:noFill/>
                    <a:ln w="9525">
                      <a:noFill/>
                      <a:miter lim="800000"/>
                      <a:headEnd/>
                      <a:tailEnd/>
                    </a:ln>
                  </pic:spPr>
                </pic:pic>
              </a:graphicData>
            </a:graphic>
          </wp:inline>
        </w:drawing>
      </w:r>
    </w:p>
    <w:p w14:paraId="3BF9C7C7" w14:textId="77777777" w:rsidR="00C410F6" w:rsidRPr="00C410F6" w:rsidRDefault="00C410F6" w:rsidP="007F1009">
      <w:pPr>
        <w:pStyle w:val="Imagecaption"/>
        <w:rPr>
          <w:rFonts w:eastAsia="Times New Roman"/>
        </w:rPr>
      </w:pPr>
      <w:bookmarkStart w:id="235" w:name="_Ref427230627"/>
      <w:bookmarkStart w:id="236" w:name="_Toc449696336"/>
      <w:r w:rsidRPr="00C410F6">
        <w:rPr>
          <w:rFonts w:eastAsia="Times New Roman"/>
        </w:rPr>
        <w:t xml:space="preserve">Figure </w:t>
      </w:r>
      <w:r w:rsidR="00084CDD" w:rsidRPr="00C410F6">
        <w:rPr>
          <w:rFonts w:eastAsia="Times New Roman"/>
        </w:rPr>
        <w:fldChar w:fldCharType="begin"/>
      </w:r>
      <w:r w:rsidRPr="00C410F6">
        <w:rPr>
          <w:rFonts w:eastAsia="Times New Roman"/>
        </w:rPr>
        <w:instrText xml:space="preserve"> SEQ Figure \* ARABIC </w:instrText>
      </w:r>
      <w:r w:rsidR="00084CDD" w:rsidRPr="00C410F6">
        <w:rPr>
          <w:rFonts w:eastAsia="Times New Roman"/>
        </w:rPr>
        <w:fldChar w:fldCharType="separate"/>
      </w:r>
      <w:r w:rsidR="00C52E30">
        <w:rPr>
          <w:rFonts w:eastAsia="Times New Roman"/>
          <w:noProof/>
        </w:rPr>
        <w:t>46</w:t>
      </w:r>
      <w:r w:rsidR="00084CDD" w:rsidRPr="00C410F6">
        <w:rPr>
          <w:rFonts w:eastAsia="Times New Roman"/>
        </w:rPr>
        <w:fldChar w:fldCharType="end"/>
      </w:r>
      <w:bookmarkEnd w:id="235"/>
      <w:r w:rsidRPr="00C410F6">
        <w:rPr>
          <w:rFonts w:eastAsia="Times New Roman"/>
        </w:rPr>
        <w:t xml:space="preserve">. Constant head permeameter-based estimates of hydraulic conductivity of fault core, damage and protolith zones of the Geleen Fault Zone, part of the Roer Valley Rift System, The Netherlands </w:t>
      </w:r>
      <w:r w:rsidR="00084CDD" w:rsidRPr="00C410F6">
        <w:rPr>
          <w:rFonts w:eastAsia="Times New Roman"/>
        </w:rPr>
        <w:fldChar w:fldCharType="begin">
          <w:fldData xml:space="preserve">PEVuZE5vdGU+PENpdGU+PEF1dGhvcj5CZW5zZTwvQXV0aG9yPjxZZWFyPjIwMDM8L1llYXI+PElE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</w:fldData>
        </w:fldChar>
      </w:r>
      <w:r w:rsidRPr="00C410F6">
        <w:rPr>
          <w:rFonts w:eastAsia="Times New Roman"/>
        </w:rPr>
        <w:instrText xml:space="preserve"> ADDIN EN.CITE </w:instrText>
      </w:r>
      <w:r w:rsidR="00084CDD" w:rsidRPr="00C410F6">
        <w:rPr>
          <w:rFonts w:eastAsia="Times New Roman"/>
        </w:rPr>
        <w:fldChar w:fldCharType="begin">
          <w:fldData xml:space="preserve">PEVuZE5vdGU+PENpdGU+PEF1dGhvcj5CZW5zZTwvQXV0aG9yPjxZZWFyPjIwMDM8L1llYXI+PElE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</w:fldData>
        </w:fldChar>
      </w:r>
      <w:r w:rsidRPr="00C410F6">
        <w:rPr>
          <w:rFonts w:eastAsia="Times New Roman"/>
        </w:rPr>
        <w:instrText xml:space="preserve"> ADDIN EN.CITE.DATA </w:instrText>
      </w:r>
      <w:r w:rsidR="00084CDD" w:rsidRPr="00C410F6">
        <w:rPr>
          <w:rFonts w:eastAsia="Times New Roman"/>
        </w:rPr>
      </w:r>
      <w:r w:rsidR="00084CDD" w:rsidRPr="00C410F6">
        <w:rPr>
          <w:rFonts w:eastAsia="Times New Roman"/>
        </w:rPr>
        <w:fldChar w:fldCharType="end"/>
      </w:r>
      <w:r w:rsidR="00084CDD" w:rsidRPr="00C410F6">
        <w:rPr>
          <w:rFonts w:eastAsia="Times New Roman"/>
        </w:rPr>
      </w:r>
      <w:r w:rsidR="00084CDD" w:rsidRPr="00C410F6">
        <w:rPr>
          <w:rFonts w:eastAsia="Times New Roman"/>
        </w:rPr>
        <w:fldChar w:fldCharType="separate"/>
      </w:r>
      <w:r w:rsidRPr="00C410F6">
        <w:rPr>
          <w:rFonts w:eastAsia="Times New Roman"/>
          <w:noProof/>
        </w:rPr>
        <w:t>(Bense et al., 2003)</w:t>
      </w:r>
      <w:r w:rsidR="00084CDD" w:rsidRPr="00C410F6">
        <w:rPr>
          <w:rFonts w:eastAsia="Times New Roman"/>
        </w:rPr>
        <w:fldChar w:fldCharType="end"/>
      </w:r>
      <w:r w:rsidRPr="00C410F6">
        <w:rPr>
          <w:rFonts w:eastAsia="Times New Roman"/>
        </w:rPr>
        <w:t>.</w:t>
      </w:r>
      <w:bookmarkEnd w:id="236"/>
    </w:p>
    <w:p w14:paraId="7871F269" w14:textId="77777777" w:rsidR="00C410F6" w:rsidRDefault="00C410F6" w:rsidP="00E31912">
      <w:pPr>
        <w:pStyle w:val="Body"/>
      </w:pPr>
    </w:p>
    <w:p w14:paraId="466D8D2C" w14:textId="11C807EC" w:rsidR="00E31912" w:rsidRDefault="00E31912" w:rsidP="00E31912">
      <w:pPr>
        <w:pStyle w:val="Body"/>
      </w:pPr>
      <w:r>
        <w:t xml:space="preserve">Bense and Person </w:t>
      </w:r>
      <w:r w:rsidR="00084CDD">
        <w:fldChar w:fldCharType="begin"/>
      </w:r>
      <w:r w:rsidR="009A5536">
        <w:instrText xml:space="preserve"> ADDIN EN.CITE &lt;EndNote&gt;&lt;Cite ExcludeAuth="1"&gt;&lt;Author&gt;Bense&lt;/Author&gt;&lt;Year&gt;2006&lt;/Year&gt;&lt;IDText&gt;Faults as conduit-barrier systems to fluid flow in siliciclastic sedimentary aquifers&lt;/IDText&gt;&lt;DisplayText&gt;(2006)&lt;/DisplayText&gt;&lt;record&gt;&lt;dates&gt;&lt;pub-dates&gt;&lt;date&gt;MAY 19 2006&lt;/date&gt;&lt;/pub-dates&gt;&lt;year&gt;2006&lt;/year&gt;&lt;/dates&gt;&lt;keywords&gt;&lt;keyword&gt;POORLY LITHIFIED SANDSTONES&lt;/keyword&gt;&lt;keyword&gt;DRIVEN GROUNDWATER-FLOW&lt;/keyword&gt;&lt;keyword&gt;VALLEY RIFT SYSTEM&lt;/keyword&gt;&lt;keyword&gt;RIO-GRANDE RIFT&lt;/keyword&gt;&lt;keyword&gt;YUCCA MOUNTAIN&lt;/keyword&gt;&lt;keyword&gt;SEISMIC INTERPRETATION&lt;/keyword&gt;&lt;keyword&gt;PERMEABILITY STRUCTURE&lt;/keyword&gt;&lt;keyword&gt;ZONE ARCHITECTURE&lt;/keyword&gt;&lt;keyword&gt;POROUS SANDSTONES&lt;/keyword&gt;&lt;keyword&gt;DEFORMATION BANDS&lt;/keyword&gt;&lt;/keywords&gt;&lt;isbn&gt;0043-1397&lt;/isbn&gt;&lt;work-type&gt;Article&lt;/work-type&gt;&lt;titles&gt;&lt;title&gt;Faults as conduit-barrier systems to fluid flow in siliciclastic sedimentary aquifers&lt;/title&gt;&lt;secondary-title&gt;Water Resources Research&lt;/secondary-title&gt;&lt;/titles&gt;&lt;number&gt;5&lt;/number&gt;&lt;contributors&gt;&lt;authors&gt;&lt;author&gt;Bense, VF&lt;/author&gt;&lt;author&gt;Person, MA&lt;/author&gt;&lt;/authors&gt;&lt;/contributors&gt;&lt;custom7&gt;ARTN W05421&lt;/custom7&gt;&lt;language&gt;English&lt;/language&gt;&lt;added-date format="utc"&gt;1433473272&lt;/added-date&gt;&lt;ref-type name="Journal Article"&gt;17&lt;/ref-type&gt;&lt;auth-address&gt;Bense, VF (reprint author), Indiana Univ, Dept Geol Sci, 1001 E 10th St, Bloomington, IN 47405 USA&amp;#xD;Indiana Univ, Dept Geol Sci, Bloomington, IN 47405 USA&lt;/auth-address&gt;&lt;rec-number&gt;99&lt;/rec-number&gt;&lt;last-updated-date format="utc"&gt;1433473272&lt;/last-updated-date&gt;&lt;accession-num&gt;WOS:000238016700002&lt;/accession-num&gt;&lt;electronic-resource-num&gt;10.1029/2005WR004480&lt;/electronic-resource-num&gt;&lt;volume&gt;42&lt;/volume&gt;&lt;/record&gt;&lt;/Cite&gt;&lt;/EndNote&gt;</w:instrText>
      </w:r>
      <w:r w:rsidR="00084CDD">
        <w:fldChar w:fldCharType="separate"/>
      </w:r>
      <w:r w:rsidR="009A5536">
        <w:rPr>
          <w:noProof/>
        </w:rPr>
        <w:t>(2006)</w:t>
      </w:r>
      <w:r w:rsidR="00084CDD">
        <w:fldChar w:fldCharType="end"/>
      </w:r>
      <w:r>
        <w:t xml:space="preserve"> presented an algorithm to predict fault zone width, lithological heterogeneity and hydraulic anisotropy in siliciclastic sediments, based upon the degree of fault throw and the clay content of the host lithology. </w:t>
      </w:r>
      <w:r w:rsidR="009F7281">
        <w:t xml:space="preserve">The vertical permeability of the fault zone was calculated using a harmonic mean while horizontal permeability was calculated using an arithmetic mean. </w:t>
      </w:r>
      <w:r>
        <w:t xml:space="preserve">Using numerical groundwater flow models, they showed that strong hydraulic anisotropy in a fault zone can cause a fault to form a barrier to </w:t>
      </w:r>
      <w:r w:rsidR="00B13331">
        <w:t>cross-fault</w:t>
      </w:r>
      <w:r>
        <w:t xml:space="preserve"> flow while simultaneously acting as a conduit for </w:t>
      </w:r>
      <w:r w:rsidR="00B13331">
        <w:t>along-fault</w:t>
      </w:r>
      <w:r>
        <w:t xml:space="preserve"> flow</w:t>
      </w:r>
      <w:r w:rsidR="00B13331">
        <w:t>, including vertical flow</w:t>
      </w:r>
      <w:r>
        <w:t>.</w:t>
      </w:r>
    </w:p>
    <w:p w14:paraId="73CDA188" w14:textId="77777777" w:rsidR="00E31912" w:rsidRPr="001139BD" w:rsidRDefault="00E31912" w:rsidP="00E31912">
      <w:pPr>
        <w:pStyle w:val="Body"/>
        <w:rPr>
          <w:color w:val="auto"/>
        </w:rPr>
      </w:pPr>
      <w:r w:rsidRPr="001C2989">
        <w:rPr>
          <w:color w:val="auto"/>
        </w:rPr>
        <w:t xml:space="preserve">Myers </w:t>
      </w:r>
      <w:r w:rsidR="00084CDD">
        <w:rPr>
          <w:color w:val="auto"/>
        </w:rPr>
        <w:fldChar w:fldCharType="begin"/>
      </w:r>
      <w:r w:rsidR="002A081E">
        <w:rPr>
          <w:color w:val="auto"/>
        </w:rPr>
        <w:instrText xml:space="preserve"> ADDIN EN.CITE &lt;EndNote&gt;&lt;Cite ExcludeAuth="1"&gt;&lt;Author&gt;Myers&lt;/Author&gt;&lt;Year&gt;1999&lt;/Year&gt;&lt;IDText&gt;Structure and hydraulics of brittle faults in sandstone&lt;/IDText&gt;&lt;DisplayText&gt;(1999)&lt;/DisplayText&gt;&lt;record&gt;&lt;titles&gt;&lt;title&gt;Structure and hydraulics of brittle faults in sandstone&lt;/title&gt;&lt;/titles&gt;&lt;contributors&gt;&lt;authors&gt;&lt;author&gt;Myers, Rodrick Dane&lt;/author&gt;&lt;/authors&gt;&lt;/contributors&gt;&lt;added-date format="utc"&gt;1434099869&lt;/added-date&gt;&lt;ref-type name="Thesis"&gt;32&lt;/ref-type&gt;&lt;dates&gt;&lt;year&gt;1999&lt;/year&gt;&lt;/dates&gt;&lt;rec-number&gt;289&lt;/rec-number&gt;&lt;publisher&gt;Stanford University&lt;/publisher&gt;&lt;last-updated-date format="utc"&gt;1434099869&lt;/last-updated-date&gt;&lt;/record&gt;&lt;/Cite&gt;&lt;/EndNote&gt;</w:instrText>
      </w:r>
      <w:r w:rsidR="00084CDD">
        <w:rPr>
          <w:color w:val="auto"/>
        </w:rPr>
        <w:fldChar w:fldCharType="separate"/>
      </w:r>
      <w:r w:rsidR="002A081E">
        <w:rPr>
          <w:noProof/>
          <w:color w:val="auto"/>
        </w:rPr>
        <w:t>(1999)</w:t>
      </w:r>
      <w:r w:rsidR="00084CDD">
        <w:rPr>
          <w:color w:val="auto"/>
        </w:rPr>
        <w:fldChar w:fldCharType="end"/>
      </w:r>
      <w:r>
        <w:rPr>
          <w:color w:val="auto"/>
        </w:rPr>
        <w:t xml:space="preserve"> first considered the use of power averaging methods </w:t>
      </w:r>
      <w:r w:rsidR="00084CDD">
        <w:rPr>
          <w:color w:val="auto"/>
        </w:rPr>
        <w:fldChar w:fldCharType="begin"/>
      </w:r>
      <w:r w:rsidR="002A081E">
        <w:rPr>
          <w:color w:val="auto"/>
        </w:rPr>
        <w:instrText xml:space="preserve"> ADDIN EN.CITE &lt;EndNote&gt;&lt;Cite&gt;&lt;Author&gt;Deutsch&lt;/Author&gt;&lt;Year&gt;1989&lt;/Year&gt;&lt;IDText&gt;Calculating Effective Absolute Permeability in Sandstone/Shale Sequences&lt;/IDText&gt;&lt;DisplayText&gt;(Deutsch, 1989)&lt;/DisplayText&gt;&lt;record&gt;&lt;dates&gt;&lt;pub-dates&gt;&lt;date&gt;1989/9/1/&lt;/date&gt;&lt;/pub-dates&gt;&lt;year&gt;1989&lt;/year&gt;&lt;/dates&gt;&lt;titles&gt;&lt;title&gt;Calculating Effective Absolute Permeability in Sandstone/Shale Sequences&lt;/title&gt;&lt;secondary-title&gt;SPE Formation Evaluation&lt;/secondary-title&gt;&lt;alt-title&gt;SPE-17264-PA&lt;/alt-title&gt;&lt;/titles&gt;&lt;number&gt;3&lt;/number&gt;&lt;contributors&gt;&lt;authors&gt;&lt;author&gt;Deutsch, Clayton&lt;/author&gt;&lt;/authors&gt;&lt;/contributors&gt;&lt;added-date format="utc"&gt;1433900162&lt;/added-date&gt;&lt;ref-type name="Journal Article"&gt;17&lt;/ref-type&gt;&lt;rec-number&gt;220&lt;/rec-number&gt;&lt;last-updated-date format="utc"&gt;1433906639&lt;/last-updated-date&gt;&lt;electronic-resource-num&gt;10.2118/17264-PA&lt;/electronic-resource-num&gt;&lt;volume&gt;4&lt;/volume&gt;&lt;/record&gt;&lt;/Cite&gt;&lt;/EndNote&gt;</w:instrText>
      </w:r>
      <w:r w:rsidR="00084CDD">
        <w:rPr>
          <w:color w:val="auto"/>
        </w:rPr>
        <w:fldChar w:fldCharType="separate"/>
      </w:r>
      <w:r w:rsidR="002A081E">
        <w:rPr>
          <w:noProof/>
          <w:color w:val="auto"/>
        </w:rPr>
        <w:t>(Deutsch, 1989)</w:t>
      </w:r>
      <w:r w:rsidR="00084CDD">
        <w:rPr>
          <w:color w:val="auto"/>
        </w:rPr>
        <w:fldChar w:fldCharType="end"/>
      </w:r>
      <w:r>
        <w:rPr>
          <w:color w:val="auto"/>
        </w:rPr>
        <w:t xml:space="preserve"> to characterise faulted permeability averaged over a given volume </w:t>
      </w:r>
      <w:r w:rsidR="00084CDD">
        <w:rPr>
          <w:color w:val="auto"/>
        </w:rPr>
        <w:fldChar w:fldCharType="begin"/>
      </w:r>
      <w:r w:rsidR="001B05EA">
        <w:rPr>
          <w:color w:val="auto"/>
        </w:rPr>
        <w:instrText xml:space="preserve"> ADDIN EN.CITE &lt;EndNote&gt;&lt;Cite&gt;&lt;Author&gt;Flodin&lt;/Author&gt;&lt;Year&gt;2004&lt;/Year&gt;&lt;IDText&gt;Upscaled models of flow and transport in faulted sandstone: boundary condition effects and explicit fracture modelling&lt;/IDText&gt;&lt;DisplayText&gt;(Flodin et al., 2004)&lt;/DisplayText&gt;&lt;record&gt;&lt;dates&gt;&lt;pub-dates&gt;&lt;date&gt;MAY 2004&lt;/date&gt;&lt;/pub-dates&gt;&lt;year&gt;2004&lt;/year&gt;&lt;/dates&gt;&lt;keywords&gt;&lt;keyword&gt;faults&lt;/keyword&gt;&lt;keyword&gt;fractures&lt;/keyword&gt;&lt;keyword&gt;permeability&lt;/keyword&gt;&lt;keyword&gt;upscaling&lt;/keyword&gt;&lt;keyword&gt;boundary conditions&lt;/keyword&gt;&lt;keyword&gt;HETEROGENEOUS POROUS-MEDIA&lt;/keyword&gt;&lt;keyword&gt;PERMEABILITY TENSORS&lt;/keyword&gt;&lt;keyword&gt;SIMULATION-MODELS&lt;/keyword&gt;&lt;keyword&gt;EOLIAN SANDSTONE&lt;/keyword&gt;&lt;keyword&gt;FLUID-FLOW&lt;/keyword&gt;&lt;keyword&gt;REPRESENTATION&lt;/keyword&gt;&lt;keyword&gt;RESERVOIRS&lt;/keyword&gt;&lt;keyword&gt;EVOLUTION&lt;/keyword&gt;&lt;keyword&gt;SHEARING&lt;/keyword&gt;&lt;keyword&gt;ZONES&lt;/keyword&gt;&lt;keyword&gt;Geosciences, Multidisciplinary&lt;/keyword&gt;&lt;keyword&gt;ENGINEERING, PETROLEUM&lt;/keyword&gt;&lt;keyword&gt;GEOSCIENCES, MULTIDISCIPLINARY&lt;/keyword&gt;&lt;keyword&gt;Geology&lt;/keyword&gt;&lt;/keywords&gt;&lt;isbn&gt;1354-0793&lt;/isbn&gt;&lt;work-type&gt;Article&lt;/work-type&gt;&lt;titles&gt;&lt;title&gt;Upscaled models of flow and transport in faulted sandstone: boundary condition effects and explicit fracture modelling&lt;/title&gt;&lt;secondary-title&gt;Petroleum Geoscience&lt;/secondary-title&gt;&lt;/titles&gt;&lt;pages&gt;173-181&lt;/pages&gt;&lt;number&gt;2&lt;/number&gt;&lt;contributors&gt;&lt;authors&gt;&lt;author&gt;Flodin, EA&lt;/author&gt;&lt;author&gt;Durlofsky, LJ&lt;/author&gt;&lt;author&gt;Aydin, A&lt;/author&gt;&lt;/authors&gt;&lt;/contributors&gt;&lt;language&gt;English&lt;/language&gt;&lt;added-date format="utc"&gt;1433908505&lt;/added-date&gt;&lt;ref-type name="Journal Article"&gt;17&lt;/ref-type&gt;&lt;auth-address&gt;Flodin, EA (reprint author), Chevron Texaco Energy Technol Co, POB 6019, San Ramon, CA 94583 USA&amp;#xD;Stanford Univ, Dept Geol &amp;amp; Environm Sci, Stanford, CA 94305 USA&amp;#xD;Stanford Univ, Dept Petr Engn, Stanford, CA 94305 USA&lt;/auth-address&gt;&lt;rec-number&gt;248&lt;/rec-number&gt;&lt;last-updated-date format="utc"&gt;1433908505&lt;/last-updated-date&gt;&lt;accession-num&gt;WOS:000222016200008&lt;/accession-num&gt;&lt;electronic-resource-num&gt;10.1144/1354-079303-587&lt;/electronic-resource-num&gt;&lt;volume&gt;10&lt;/volume&gt;&lt;/record&gt;&lt;/Cite&gt;&lt;/EndNote&gt;</w:instrText>
      </w:r>
      <w:r w:rsidR="00084CDD">
        <w:rPr>
          <w:color w:val="auto"/>
        </w:rPr>
        <w:fldChar w:fldCharType="separate"/>
      </w:r>
      <w:r w:rsidR="001B05EA">
        <w:rPr>
          <w:noProof/>
          <w:color w:val="auto"/>
        </w:rPr>
        <w:t>(Flodin et al., 2004)</w:t>
      </w:r>
      <w:r w:rsidR="00084CDD">
        <w:rPr>
          <w:color w:val="auto"/>
        </w:rPr>
        <w:fldChar w:fldCharType="end"/>
      </w:r>
      <w:r>
        <w:rPr>
          <w:color w:val="auto"/>
        </w:rPr>
        <w:t>. In this approach, the faulted permeability is calculated as the sum of the volume</w:t>
      </w:r>
      <w:r w:rsidR="009F7281">
        <w:rPr>
          <w:color w:val="auto"/>
        </w:rPr>
        <w:t>–</w:t>
      </w:r>
      <w:r>
        <w:rPr>
          <w:color w:val="auto"/>
        </w:rPr>
        <w:t>permeability products for host rock, fault rock and joints, all raised to the power 1/</w:t>
      </w:r>
      <w:r w:rsidRPr="009F7281">
        <w:rPr>
          <w:i/>
          <w:color w:val="auto"/>
        </w:rPr>
        <w:t>ω</w:t>
      </w:r>
      <w:r>
        <w:rPr>
          <w:color w:val="auto"/>
        </w:rPr>
        <w:t>.</w:t>
      </w:r>
    </w:p>
    <w:p w14:paraId="32BAC25D" w14:textId="77777777" w:rsidR="00E31912" w:rsidRPr="001139BD" w:rsidRDefault="00E31912" w:rsidP="00E31912">
      <w:pPr>
        <w:pStyle w:val="Body"/>
        <w:rPr>
          <w:color w:val="C00000"/>
        </w:rPr>
      </w:pPr>
    </w:p>
    <w:p w14:paraId="41BF2940" w14:textId="77777777" w:rsidR="00E31912" w:rsidRPr="007537CE" w:rsidRDefault="00E31912" w:rsidP="00E31912">
      <w:pPr>
        <w:pStyle w:val="Body"/>
        <w:keepNext/>
        <w:rPr>
          <w:b/>
          <w:color w:val="auto"/>
        </w:rPr>
      </w:pPr>
      <w:r w:rsidRPr="007537CE">
        <w:rPr>
          <w:b/>
          <w:color w:val="auto"/>
        </w:rPr>
        <w:t>Representation of faults in models</w:t>
      </w:r>
    </w:p>
    <w:p w14:paraId="5D9E5051" w14:textId="0274B34B" w:rsidR="00E31912" w:rsidRDefault="00E31912" w:rsidP="00E31912">
      <w:pPr>
        <w:pStyle w:val="Body"/>
        <w:rPr>
          <w:color w:val="auto"/>
        </w:rPr>
      </w:pPr>
      <w:r w:rsidRPr="00E16378">
        <w:rPr>
          <w:color w:val="auto"/>
        </w:rPr>
        <w:t xml:space="preserve">The </w:t>
      </w:r>
      <w:r>
        <w:rPr>
          <w:color w:val="auto"/>
        </w:rPr>
        <w:t xml:space="preserve">representation of faults in groundwater flow models </w:t>
      </w:r>
      <w:r w:rsidR="0008540C">
        <w:rPr>
          <w:color w:val="auto"/>
        </w:rPr>
        <w:t xml:space="preserve">for CSG-related impact assessments </w:t>
      </w:r>
      <w:r>
        <w:rPr>
          <w:color w:val="auto"/>
        </w:rPr>
        <w:t>is rare</w:t>
      </w:r>
      <w:r w:rsidR="009F7281">
        <w:rPr>
          <w:color w:val="auto"/>
        </w:rPr>
        <w:t xml:space="preserve">; for example, only three </w:t>
      </w:r>
      <w:r w:rsidR="007A7D20">
        <w:rPr>
          <w:color w:val="auto"/>
        </w:rPr>
        <w:t xml:space="preserve">out of </w:t>
      </w:r>
      <w:r w:rsidR="009F7281">
        <w:rPr>
          <w:color w:val="auto"/>
        </w:rPr>
        <w:t xml:space="preserve">the </w:t>
      </w:r>
      <w:r w:rsidR="00603703">
        <w:rPr>
          <w:color w:val="auto"/>
        </w:rPr>
        <w:t xml:space="preserve">10 </w:t>
      </w:r>
      <w:r w:rsidR="009F7281">
        <w:rPr>
          <w:color w:val="auto"/>
        </w:rPr>
        <w:t xml:space="preserve">case studies reviewed herein (Section </w:t>
      </w:r>
      <w:r w:rsidR="00084CDD">
        <w:rPr>
          <w:color w:val="auto"/>
        </w:rPr>
        <w:fldChar w:fldCharType="begin"/>
      </w:r>
      <w:r w:rsidR="009F7281">
        <w:rPr>
          <w:color w:val="auto"/>
        </w:rPr>
        <w:instrText xml:space="preserve"> REF _Ref422750870 \r \h </w:instrText>
      </w:r>
      <w:r w:rsidR="00084CDD">
        <w:rPr>
          <w:color w:val="auto"/>
        </w:rPr>
      </w:r>
      <w:r w:rsidR="00084CDD">
        <w:rPr>
          <w:color w:val="auto"/>
        </w:rPr>
        <w:fldChar w:fldCharType="separate"/>
      </w:r>
      <w:r w:rsidR="00C52E30">
        <w:rPr>
          <w:color w:val="auto"/>
        </w:rPr>
        <w:t>4</w:t>
      </w:r>
      <w:r w:rsidR="00084CDD">
        <w:rPr>
          <w:color w:val="auto"/>
        </w:rPr>
        <w:fldChar w:fldCharType="end"/>
      </w:r>
      <w:r w:rsidR="009F7281">
        <w:rPr>
          <w:color w:val="auto"/>
        </w:rPr>
        <w:t>) featured representations of faults</w:t>
      </w:r>
      <w:r>
        <w:rPr>
          <w:color w:val="auto"/>
        </w:rPr>
        <w:t xml:space="preserve">. </w:t>
      </w:r>
      <w:r w:rsidR="007A7D20">
        <w:rPr>
          <w:color w:val="auto"/>
        </w:rPr>
        <w:t xml:space="preserve">Further exceptions include the study of Janardhanan and Moore (2015) </w:t>
      </w:r>
      <w:r w:rsidR="007A7D20" w:rsidRPr="00A07A7C">
        <w:rPr>
          <w:color w:val="auto"/>
        </w:rPr>
        <w:t xml:space="preserve">who </w:t>
      </w:r>
      <w:r w:rsidR="00340D8E" w:rsidRPr="00A45100">
        <w:rPr>
          <w:color w:val="auto"/>
        </w:rPr>
        <w:t xml:space="preserve">used the FAULTSIM </w:t>
      </w:r>
      <w:r w:rsidR="003D0503" w:rsidRPr="00B70F2E">
        <w:rPr>
          <w:color w:val="auto"/>
        </w:rPr>
        <w:t>utility</w:t>
      </w:r>
      <w:r w:rsidR="00340D8E" w:rsidRPr="00A45100">
        <w:rPr>
          <w:color w:val="auto"/>
        </w:rPr>
        <w:t xml:space="preserve"> of PEST to simulate the effect of faults </w:t>
      </w:r>
      <w:r w:rsidR="00A91691" w:rsidRPr="00A45100">
        <w:rPr>
          <w:color w:val="auto"/>
        </w:rPr>
        <w:t xml:space="preserve">on the groundwater head change and dilution impacts associated with injection of </w:t>
      </w:r>
      <w:r w:rsidR="00A91691">
        <w:rPr>
          <w:color w:val="auto"/>
        </w:rPr>
        <w:t>reverse osmosis-</w:t>
      </w:r>
      <w:r w:rsidR="00A91691" w:rsidRPr="00A45100">
        <w:rPr>
          <w:color w:val="auto"/>
        </w:rPr>
        <w:t xml:space="preserve">treated </w:t>
      </w:r>
      <w:r w:rsidR="00A91691">
        <w:rPr>
          <w:color w:val="auto"/>
        </w:rPr>
        <w:t xml:space="preserve">CSG </w:t>
      </w:r>
      <w:r w:rsidR="00A91691" w:rsidRPr="00A45100">
        <w:rPr>
          <w:color w:val="auto"/>
        </w:rPr>
        <w:t xml:space="preserve">produced water. </w:t>
      </w:r>
      <w:r w:rsidRPr="00A07A7C">
        <w:rPr>
          <w:color w:val="auto"/>
        </w:rPr>
        <w:t xml:space="preserve">Conversely, the simulation and parameterisation of faults in </w:t>
      </w:r>
      <w:r w:rsidRPr="001465BE">
        <w:rPr>
          <w:color w:val="auto"/>
        </w:rPr>
        <w:t>reservoir models has been an active research topic since 1990 [</w:t>
      </w:r>
      <w:r w:rsidR="00AA5ABA">
        <w:rPr>
          <w:color w:val="auto"/>
        </w:rPr>
        <w:t xml:space="preserve">e.g., </w:t>
      </w:r>
      <w:r w:rsidRPr="001465BE">
        <w:rPr>
          <w:color w:val="auto"/>
        </w:rPr>
        <w:t xml:space="preserve">Bentley and Barry (1991); Acharya </w:t>
      </w:r>
      <w:r w:rsidR="00810442">
        <w:rPr>
          <w:color w:val="auto"/>
        </w:rPr>
        <w:t xml:space="preserve">et al., </w:t>
      </w:r>
      <w:r w:rsidRPr="001465BE">
        <w:rPr>
          <w:color w:val="auto"/>
        </w:rPr>
        <w:t xml:space="preserve">(1997); Fisher and Knipe (1998, 2001), Knai and Knipe (1998); Manzocchi </w:t>
      </w:r>
      <w:r w:rsidR="00810442">
        <w:rPr>
          <w:color w:val="auto"/>
        </w:rPr>
        <w:t xml:space="preserve">et al., </w:t>
      </w:r>
      <w:r w:rsidRPr="001465BE">
        <w:rPr>
          <w:color w:val="auto"/>
        </w:rPr>
        <w:t xml:space="preserve">(1998); Walsh </w:t>
      </w:r>
      <w:r w:rsidR="00810442">
        <w:rPr>
          <w:color w:val="auto"/>
        </w:rPr>
        <w:t xml:space="preserve">et al., </w:t>
      </w:r>
      <w:r w:rsidRPr="001465BE">
        <w:rPr>
          <w:color w:val="auto"/>
        </w:rPr>
        <w:t xml:space="preserve">(1998)]. Manzocchi </w:t>
      </w:r>
      <w:r w:rsidR="00810442">
        <w:rPr>
          <w:color w:val="auto"/>
        </w:rPr>
        <w:t xml:space="preserve">et al. </w:t>
      </w:r>
      <w:r w:rsidR="00084CDD" w:rsidRPr="001465BE">
        <w:rPr>
          <w:color w:val="auto"/>
        </w:rPr>
        <w:fldChar w:fldCharType="begin"/>
      </w:r>
      <w:r w:rsidRPr="001465BE">
        <w:rPr>
          <w:color w:val="auto"/>
        </w:rPr>
        <w:instrText xml:space="preserve"> ADDIN EN.CITE &lt;EndNote&gt;&lt;Cite ExcludeAuth="1"&gt;&lt;Author&gt;Manzocchi&lt;/Author&gt;&lt;Year&gt;1999&lt;/Year&gt;&lt;IDText&gt;Fault transmissibility multipliers for flow simulation models&lt;/IDText&gt;&lt;DisplayText&gt;(1999)&lt;/DisplayText&gt;&lt;record&gt;&lt;dates&gt;&lt;pub-dates&gt;&lt;date&gt;FEB 1999&lt;/date&gt;&lt;/pub-dates&gt;&lt;year&gt;1999&lt;/year&gt;&lt;/dates&gt;&lt;keywords&gt;&lt;keyword&gt;fault (geology)&lt;/keyword&gt;&lt;keyword&gt;permeability&lt;/keyword&gt;&lt;keyword&gt;scale up&lt;/keyword&gt;&lt;keyword&gt;flow model&lt;/keyword&gt;&lt;keyword&gt;reservoir model&lt;/keyword&gt;&lt;keyword&gt;THICKNESS-DISPLACEMENT RELATIONSHIPS&lt;/keyword&gt;&lt;keyword&gt;DEFORMATION ZONES&lt;/keyword&gt;&lt;keyword&gt;SEALS&lt;/keyword&gt;&lt;keyword&gt;HETEROGENEITY&lt;/keyword&gt;&lt;keyword&gt;PERMEABILITY&lt;/keyword&gt;&lt;keyword&gt;SANDSTONES&lt;/keyword&gt;&lt;/keywords&gt;&lt;isbn&gt;1354-0793&lt;/isbn&gt;&lt;work-type&gt;Article&lt;/work-type&gt;&lt;titles&gt;&lt;title&gt;Fault transmissibility multipliers for flow simulation models&lt;/title&gt;&lt;secondary-title&gt;Petroleum Geoscience&lt;/secondary-title&gt;&lt;/titles&gt;&lt;pages&gt;53-63&lt;/pages&gt;&lt;number&gt;1&lt;/number&gt;&lt;contributors&gt;&lt;authors&gt;&lt;author&gt;Manzocchi, T&lt;/author&gt;&lt;author&gt;Walsh, JJ&lt;/author&gt;&lt;author&gt;Nell, P&lt;/author&gt;&lt;author&gt;Yielding, G&lt;/author&gt;&lt;/authors&gt;&lt;/contributors&gt;&lt;language&gt;English&lt;/language&gt;&lt;added-date format="utc"&gt;1433476714&lt;/added-date&gt;&lt;ref-type name="Journal Article"&gt;17&lt;/ref-type&gt;&lt;auth-address&gt;Manzocchi, T (reprint author), Univ Liverpool, Dept Earth Sci, Fault Anal Grp, Liverpool L69 3BX, Merseyside, England&amp;#xD;Univ Liverpool, Dept Earth Sci, Fault Anal Grp, Liverpool L69 3BX, Merseyside, England&amp;#xD;Badley Earth Sci Ltd, Spilsby PE23 5NB, Lincs, England&lt;/auth-address&gt;&lt;rec-number&gt;108&lt;/rec-number&gt;&lt;last-updated-date format="utc"&gt;1433476714&lt;/last-updated-date&gt;&lt;accession-num&gt;WOS:000079500300007&lt;/accession-num&gt;&lt;electronic-resource-num&gt;10.1144/petgeo.5.1.53&lt;/electronic-resource-num&gt;&lt;volume&gt;5&lt;/volume&gt;&lt;/record&gt;&lt;/Cite&gt;&lt;/EndNote&gt;</w:instrText>
      </w:r>
      <w:r w:rsidR="00084CDD" w:rsidRPr="001465BE">
        <w:rPr>
          <w:color w:val="auto"/>
        </w:rPr>
        <w:fldChar w:fldCharType="separate"/>
      </w:r>
      <w:r w:rsidRPr="001465BE">
        <w:rPr>
          <w:noProof/>
          <w:color w:val="auto"/>
        </w:rPr>
        <w:t>(1999)</w:t>
      </w:r>
      <w:r w:rsidR="00084CDD" w:rsidRPr="001465BE">
        <w:rPr>
          <w:color w:val="auto"/>
        </w:rPr>
        <w:fldChar w:fldCharType="end"/>
      </w:r>
      <w:r>
        <w:rPr>
          <w:color w:val="auto"/>
        </w:rPr>
        <w:t xml:space="preserve"> derived</w:t>
      </w:r>
      <w:r>
        <w:t xml:space="preserve"> an </w:t>
      </w:r>
      <w:r w:rsidRPr="00D45740">
        <w:t xml:space="preserve">analytical approach incorporating the shale gauge </w:t>
      </w:r>
      <w:r w:rsidR="009E6571" w:rsidRPr="00D45740">
        <w:t>ratio</w:t>
      </w:r>
      <w:r w:rsidR="0008705A">
        <w:t xml:space="preserve"> </w:t>
      </w:r>
      <w:r w:rsidR="00084CDD" w:rsidRPr="00D45740">
        <w:fldChar w:fldCharType="begin"/>
      </w:r>
      <w:r w:rsidR="00333DD8">
        <w:instrText xml:space="preserve"> ADDIN EN.CITE &lt;EndNote&gt;&lt;Cite&gt;&lt;Author&gt;Yielding&lt;/Author&gt;&lt;Year&gt;1997&lt;/Year&gt;&lt;IDText&gt;Quantitative fault seal prediction&lt;/IDText&gt;&lt;DisplayText&gt;(Yielding et al., 1997)&lt;/DisplayText&gt;&lt;record&gt;&lt;dates&gt;&lt;pub-dates&gt;&lt;date&gt;JUN 1997&lt;/date&gt;&lt;/pub-dates&gt;&lt;year&gt;1997&lt;/year&gt;&lt;/dates&gt;&lt;keywords&gt;&lt;keyword&gt;DISPLACEMENT&lt;/keyword&gt;&lt;keyword&gt;THICKNESS&lt;/keyword&gt;&lt;keyword&gt;NIGERIA&lt;/keyword&gt;&lt;keyword&gt;FIELD&lt;/keyword&gt;&lt;keyword&gt;GOUGE&lt;/keyword&gt;&lt;keyword&gt;Geosciences, Multidisciplinary&lt;/keyword&gt;&lt;keyword&gt;ENERGY &amp;amp; FUELS&lt;/keyword&gt;&lt;keyword&gt;ENGINEERING, PETROLEUM&lt;/keyword&gt;&lt;keyword&gt;GEOSCIENCES, MULTIDISCIPLINARY&lt;/keyword&gt;&lt;keyword&gt;Geology&lt;/keyword&gt;&lt;/keywords&gt;&lt;isbn&gt;0149-1423&lt;/isbn&gt;&lt;work-type&gt;Article&lt;/work-type&gt;&lt;titles&gt;&lt;title&gt;Quantitative fault seal prediction&lt;/title&gt;&lt;secondary-title&gt;Aapg Bulletin-American Association of Petroleum Geologists&lt;/secondary-title&gt;&lt;/titles&gt;&lt;pages&gt;897-917&lt;/pages&gt;&lt;number&gt;6&lt;/number&gt;&lt;contributors&gt;&lt;authors&gt;&lt;author&gt;Yielding, G&lt;/author&gt;&lt;author&gt;Freeman, B&lt;/author&gt;&lt;author&gt;Needham, DT&lt;/author&gt;&lt;/authors&gt;&lt;/contributors&gt;&lt;language&gt;English&lt;/language&gt;&lt;added-date format="utc"&gt;1433908399&lt;/added-date&gt;&lt;ref-type name="Journal Article"&gt;17&lt;/ref-type&gt;&lt;auth-address&gt;Yielding, G (reprint author), BADLEY EARTH SCI LTD,N BECK HOUSE,N BECK LANE,SPILSBY PE23 5NB,LINCS,ENGLAND&lt;/auth-address&gt;&lt;rec-number&gt;247&lt;/rec-number&gt;&lt;last-updated-date format="utc"&gt;1433908399&lt;/last-updated-date&gt;&lt;accession-num&gt;WOS:A1997XD36800002&lt;/accession-num&gt;&lt;volume&gt;81&lt;/volume&gt;&lt;/record&gt;&lt;/Cite&gt;&lt;/EndNote&gt;</w:instrText>
      </w:r>
      <w:r w:rsidR="00084CDD" w:rsidRPr="00D45740">
        <w:fldChar w:fldCharType="end"/>
      </w:r>
      <w:r w:rsidR="00333DD8">
        <w:t>(</w:t>
      </w:r>
      <w:r w:rsidR="00333DD8" w:rsidRPr="002C6458">
        <w:rPr>
          <w:color w:val="auto"/>
        </w:rPr>
        <w:t>Yielding et al</w:t>
      </w:r>
      <w:r w:rsidR="00E713C3" w:rsidRPr="002C6458">
        <w:rPr>
          <w:color w:val="auto"/>
        </w:rPr>
        <w:t>., 1997) (</w:t>
      </w:r>
      <w:r w:rsidR="00102009">
        <w:fldChar w:fldCharType="begin"/>
      </w:r>
      <w:r w:rsidR="00102009">
        <w:instrText xml:space="preserve"> REF _Ref422389015 \h  \* MERGEFORMAT </w:instrText>
      </w:r>
      <w:r w:rsidR="00102009">
        <w:fldChar w:fldCharType="separate"/>
      </w:r>
      <w:r w:rsidR="00C52E30" w:rsidRPr="00C52E30">
        <w:rPr>
          <w:color w:val="auto"/>
        </w:rPr>
        <w:t xml:space="preserve">Figure </w:t>
      </w:r>
      <w:r w:rsidR="00C52E30" w:rsidRPr="00C52E30">
        <w:rPr>
          <w:noProof/>
          <w:color w:val="auto"/>
        </w:rPr>
        <w:t>45</w:t>
      </w:r>
      <w:r w:rsidR="00102009">
        <w:fldChar w:fldCharType="end"/>
      </w:r>
      <w:r w:rsidR="009F7281" w:rsidRPr="002C6458">
        <w:rPr>
          <w:color w:val="auto"/>
        </w:rPr>
        <w:t>a)</w:t>
      </w:r>
      <w:r w:rsidR="009F7281" w:rsidRPr="0008705A">
        <w:t xml:space="preserve"> </w:t>
      </w:r>
      <w:r w:rsidRPr="0008705A">
        <w:t>to</w:t>
      </w:r>
      <w:r w:rsidRPr="00D45740">
        <w:t xml:space="preserve"> derive</w:t>
      </w:r>
      <w:r>
        <w:t xml:space="preserve"> transmissibility multipliers for use in reservoir simulation models. Manzocchi </w:t>
      </w:r>
      <w:r w:rsidR="00810442">
        <w:t xml:space="preserve">et al. </w:t>
      </w:r>
      <w:r w:rsidR="00084CDD">
        <w:fldChar w:fldCharType="begin"/>
      </w:r>
      <w:r w:rsidR="004F70BD">
        <w:instrText xml:space="preserve"> ADDIN EN.CITE &lt;EndNote&gt;&lt;Cite ExcludeAuth="1"&gt;&lt;Author&gt;Manzocchi&lt;/Author&gt;&lt;Year&gt;2002&lt;/Year&gt;&lt;IDText&gt;The representation of two phase fault-rock properties in flow simulation models&lt;/IDText&gt;&lt;DisplayText&gt;(2002)&lt;/DisplayText&gt;&lt;record&gt;&lt;dates&gt;&lt;pub-dates&gt;&lt;date&gt;MAY 2002&lt;/date&gt;&lt;/pub-dates&gt;&lt;year&gt;2002&lt;/year&gt;&lt;/dates&gt;&lt;keywords&gt;&lt;keyword&gt;fault (geology)&lt;/keyword&gt;&lt;keyword&gt;relative permeability&lt;/keyword&gt;&lt;keyword&gt;capillary pressure&lt;/keyword&gt;&lt;keyword&gt;flow model&lt;/keyword&gt;&lt;keyword&gt;PERMEABILITY&lt;/keyword&gt;&lt;keyword&gt;SANDSTONES&lt;/keyword&gt;&lt;keyword&gt;PREDICTION&lt;/keyword&gt;&lt;keyword&gt;ENTRAPMENT&lt;/keyword&gt;&lt;keyword&gt;POROSITY&lt;/keyword&gt;&lt;keyword&gt;MEDIA&lt;/keyword&gt;&lt;/keywords&gt;&lt;isbn&gt;1354-0793&lt;/isbn&gt;&lt;work-type&gt;Article&lt;/work-type&gt;&lt;titles&gt;&lt;title&gt;The representation of two phase fault-rock properties in flow simulation models&lt;/title&gt;&lt;secondary-title&gt;Petroleum Geoscience&lt;/secondary-title&gt;&lt;/titles&gt;&lt;pages&gt;119-132&lt;/pages&gt;&lt;number&gt;2&lt;/number&gt;&lt;contributors&gt;&lt;authors&gt;&lt;author&gt;Manzocchi, T&lt;/author&gt;&lt;author&gt;Heath, AE&lt;/author&gt;&lt;author&gt;Walsh, JJ&lt;/author&gt;&lt;author&gt;Childs, C&lt;/author&gt;&lt;/authors&gt;&lt;/contributors&gt;&lt;language&gt;English&lt;/language&gt;&lt;added-date format="utc"&gt;1433476755&lt;/added-date&gt;&lt;ref-type name="Journal Article"&gt;17&lt;/ref-type&gt;&lt;auth-address&gt;Manzocchi, T (reprint author), Natl Univ Ireland Univ Coll Dublin, Dept Geol, Fault Anal Grp, Dublin 4, Ireland&amp;#xD;Natl Univ Ireland Univ Coll Dublin, Dept Geol, Fault Anal Grp, Dublin 4, Ireland&amp;#xD;Univ Liverpool, Dept Earth Sci, Fault Anal Grp, Liverpool L69 3BX, Merseyside, England&lt;/auth-address&gt;&lt;rec-number&gt;109&lt;/rec-number&gt;&lt;last-updated-date format="utc"&gt;1433476755&lt;/last-updated-date&gt;&lt;accession-num&gt;WOS:000175848400003&lt;/accession-num&gt;&lt;electronic-resource-num&gt;10.1144/petgeo.8.2.119&lt;/electronic-resource-num&gt;&lt;volume&gt;8&lt;/volume&gt;&lt;/record&gt;&lt;/Cite&gt;&lt;/EndNote&gt;</w:instrText>
      </w:r>
      <w:r w:rsidR="00084CDD">
        <w:fldChar w:fldCharType="separate"/>
      </w:r>
      <w:r w:rsidR="004F70BD">
        <w:rPr>
          <w:noProof/>
        </w:rPr>
        <w:t>(2002)</w:t>
      </w:r>
      <w:r w:rsidR="00084CDD">
        <w:fldChar w:fldCharType="end"/>
      </w:r>
      <w:r>
        <w:t xml:space="preserve"> further developed this approach to represent dual phase (</w:t>
      </w:r>
      <w:r w:rsidR="00C85DC3">
        <w:t xml:space="preserve">i.e., </w:t>
      </w:r>
      <w:r>
        <w:t xml:space="preserve">water and oil) properties for both faults and host rock. Use of transmissibility </w:t>
      </w:r>
      <w:r w:rsidRPr="001465BE">
        <w:rPr>
          <w:color w:val="auto"/>
        </w:rPr>
        <w:t>multipliers is now the industry standard approach to represent</w:t>
      </w:r>
      <w:r w:rsidR="00561854">
        <w:rPr>
          <w:color w:val="auto"/>
        </w:rPr>
        <w:t>i</w:t>
      </w:r>
      <w:r w:rsidRPr="001465BE">
        <w:rPr>
          <w:color w:val="auto"/>
        </w:rPr>
        <w:t xml:space="preserve">ng faults in reservoir models (Manzocchi </w:t>
      </w:r>
      <w:r w:rsidR="00810442">
        <w:rPr>
          <w:color w:val="auto"/>
        </w:rPr>
        <w:t xml:space="preserve">et al., </w:t>
      </w:r>
      <w:r w:rsidRPr="001465BE">
        <w:rPr>
          <w:color w:val="auto"/>
        </w:rPr>
        <w:t>2010).</w:t>
      </w:r>
    </w:p>
    <w:p w14:paraId="1D7C2BFD" w14:textId="77777777" w:rsidR="00E31912" w:rsidRDefault="00E31912" w:rsidP="00E31912">
      <w:pPr>
        <w:pStyle w:val="Body"/>
      </w:pPr>
      <w:r w:rsidRPr="001465BE">
        <w:rPr>
          <w:color w:val="auto"/>
        </w:rPr>
        <w:t xml:space="preserve">In addition to considering the single phase permeability of faults when calculating transmissibility multipliers, Fisher and Jolley (2007) suggested that the capillary pressure and relative permeability of fault rocks may also be significant. Examples of this approach include Fisher and Knipe (2001), Manzocchi </w:t>
      </w:r>
      <w:r w:rsidR="00810442">
        <w:rPr>
          <w:color w:val="auto"/>
        </w:rPr>
        <w:t xml:space="preserve">et al. </w:t>
      </w:r>
      <w:r w:rsidRPr="001465BE">
        <w:rPr>
          <w:color w:val="auto"/>
        </w:rPr>
        <w:t>(2002)</w:t>
      </w:r>
      <w:r w:rsidR="0008540C">
        <w:rPr>
          <w:color w:val="auto"/>
        </w:rPr>
        <w:t>,</w:t>
      </w:r>
      <w:r w:rsidRPr="001465BE">
        <w:rPr>
          <w:color w:val="auto"/>
        </w:rPr>
        <w:t xml:space="preserve"> Rivenaes and Dart (2002), Al-Busafi </w:t>
      </w:r>
      <w:r w:rsidR="00810442">
        <w:rPr>
          <w:color w:val="auto"/>
        </w:rPr>
        <w:t xml:space="preserve">et al. </w:t>
      </w:r>
      <w:r w:rsidRPr="001465BE">
        <w:rPr>
          <w:color w:val="auto"/>
        </w:rPr>
        <w:t xml:space="preserve">(2005), Al-Hinai </w:t>
      </w:r>
      <w:r w:rsidR="00810442">
        <w:rPr>
          <w:color w:val="auto"/>
        </w:rPr>
        <w:t xml:space="preserve">et al. </w:t>
      </w:r>
      <w:r w:rsidRPr="001465BE">
        <w:rPr>
          <w:color w:val="auto"/>
        </w:rPr>
        <w:t xml:space="preserve">(2006), and Ziljstra </w:t>
      </w:r>
      <w:r w:rsidR="00810442">
        <w:rPr>
          <w:color w:val="auto"/>
        </w:rPr>
        <w:t xml:space="preserve">et al. </w:t>
      </w:r>
      <w:r w:rsidRPr="001465BE">
        <w:rPr>
          <w:color w:val="auto"/>
        </w:rPr>
        <w:t xml:space="preserve">(2007). </w:t>
      </w:r>
      <w:r>
        <w:t xml:space="preserve">The effects of fault reactivation on shear stress, and therefore fluid flow, in the context of hydrocarbon reservoirs were examined using numerical models by Zhang </w:t>
      </w:r>
      <w:r w:rsidR="00810442">
        <w:t xml:space="preserve">et al. </w:t>
      </w:r>
      <w:r w:rsidR="00084CDD">
        <w:fldChar w:fldCharType="begin">
          <w:fldData xml:space="preserve">PEVuZE5vdGU+PENpdGUgRXhjbHVkZUF1dGg9IjEiPjxBdXRob3I+Wmhhbmc8L0F1dGhvcj48WWVh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</w:fldData>
        </w:fldChar>
      </w:r>
      <w:r w:rsidR="004F70BD">
        <w:instrText xml:space="preserve"> ADDIN EN.CITE </w:instrText>
      </w:r>
      <w:r w:rsidR="00084CDD">
        <w:fldChar w:fldCharType="begin">
          <w:fldData xml:space="preserve">PEVuZE5vdGU+PENpdGUgRXhjbHVkZUF1dGg9IjEiPjxBdXRob3I+Wmhhbmc8L0F1dGhvcj48WWVh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</w:fldData>
        </w:fldChar>
      </w:r>
      <w:r w:rsidR="004F70BD">
        <w:instrText xml:space="preserve"> ADDIN EN.CITE.DATA </w:instrText>
      </w:r>
      <w:r w:rsidR="00084CDD">
        <w:fldChar w:fldCharType="end"/>
      </w:r>
      <w:r w:rsidR="00084CDD">
        <w:fldChar w:fldCharType="separate"/>
      </w:r>
      <w:r w:rsidR="004F70BD">
        <w:rPr>
          <w:noProof/>
        </w:rPr>
        <w:t>(2009; 2011)</w:t>
      </w:r>
      <w:r w:rsidR="00084CDD">
        <w:fldChar w:fldCharType="end"/>
      </w:r>
      <w:r>
        <w:t xml:space="preserve">. TerHeege </w:t>
      </w:r>
      <w:r w:rsidR="00810442">
        <w:t xml:space="preserve">et al. </w:t>
      </w:r>
      <w:r w:rsidR="00084CDD">
        <w:fldChar w:fldCharType="begin"/>
      </w:r>
      <w:r w:rsidR="004F70BD">
        <w:instrText xml:space="preserve"> ADDIN EN.CITE &lt;EndNote&gt;&lt;Cite ExcludeAuth="1"&gt;&lt;Author&gt;TerHeege&lt;/Author&gt;&lt;Year&gt;2013&lt;/Year&gt;&lt;IDText&gt;Constraints on the Sealing Capacity of Faults with Clay Smears from Discrete Element Models Validated by Laboratory Experiments&lt;/IDText&gt;&lt;DisplayText&gt;(2013)&lt;/DisplayText&gt;&lt;record&gt;&lt;dates&gt;&lt;pub-dates&gt;&lt;date&gt;MAY 2013&lt;/date&gt;&lt;/pub-dates&gt;&lt;year&gt;2013&lt;/year&gt;&lt;/dates&gt;&lt;keywords&gt;&lt;keyword&gt;Oil and gas&lt;/keyword&gt;&lt;keyword&gt;Fault sealing&lt;/keyword&gt;&lt;keyword&gt;Clay smears&lt;/keyword&gt;&lt;keyword&gt;Discrete element modeling&lt;/keyword&gt;&lt;keyword&gt;Direct shear experiments&lt;/keyword&gt;&lt;keyword&gt;NORTHERN NORTH-SEA&lt;/keyword&gt;&lt;keyword&gt;FLUID-FLOW&lt;/keyword&gt;&lt;keyword&gt;HYDROCARBON MIGRATION&lt;/keyword&gt;&lt;keyword&gt;PARTICLE MODEL&lt;/keyword&gt;&lt;keyword&gt;PERMEABILITY&lt;/keyword&gt;&lt;keyword&gt;SEDIMENTS&lt;/keyword&gt;&lt;keyword&gt;ROCK&lt;/keyword&gt;&lt;/keywords&gt;&lt;isbn&gt;0723-2632&lt;/isbn&gt;&lt;work-type&gt;Article&lt;/work-type&gt;&lt;titles&gt;&lt;title&gt;Constraints on the Sealing Capacity of Faults with Clay Smears from Discrete Element Models Validated by Laboratory Experiments&lt;/title&gt;&lt;secondary-title&gt;Rock Mechanics and Rock Engineering&lt;/secondary-title&gt;&lt;/titles&gt;&lt;pages&gt;465-478&lt;/pages&gt;&lt;number&gt;3&lt;/number&gt;&lt;contributors&gt;&lt;authors&gt;&lt;author&gt;TerHeege, JH&lt;/author&gt;&lt;author&gt;Wassing, BBT&lt;/author&gt;&lt;author&gt;Orlic, B&lt;/author&gt;&lt;author&gt;Giger, SB&lt;/author&gt;&lt;author&gt;Clennell, MB&lt;/author&gt;&lt;/authors&gt;&lt;/contributors&gt;&lt;language&gt;English&lt;/language&gt;&lt;added-date format="utc"&gt;1433477200&lt;/added-date&gt;&lt;ref-type name="Journal Article"&gt;17&lt;/ref-type&gt;&lt;auth-address&gt;TerHeege, JH (reprint author), TNO Geol Survey Netherlands, POB 80015, NL-3508 TA Utrecht, Netherlands&amp;#xD;TNO Geol Survey Netherlands, NL-3508 TA Utrecht, Netherlands&amp;#xD;NAGRA, CH-5430 Wettingen, Switzerland&amp;#xD;CSIRO Earth Sci &amp;amp; Resource Engn, Kensington, WA 6151, Australia&amp;#xD;jan.terheege@tno.nl&lt;/auth-address&gt;&lt;rec-number&gt;115&lt;/rec-number&gt;&lt;last-updated-date format="utc"&gt;1433477200&lt;/last-updated-date&gt;&lt;accession-num&gt;WOS:000317685000005&lt;/accession-num&gt;&lt;electronic-resource-num&gt;10.1007/s00603-013-0383-x&lt;/electronic-resource-num&gt;&lt;volume&gt;46&lt;/volume&gt;&lt;/record&gt;&lt;/Cite&gt;&lt;/EndNote&gt;</w:instrText>
      </w:r>
      <w:r w:rsidR="00084CDD">
        <w:fldChar w:fldCharType="separate"/>
      </w:r>
      <w:r w:rsidR="004F70BD">
        <w:rPr>
          <w:noProof/>
        </w:rPr>
        <w:t>(2013)</w:t>
      </w:r>
      <w:r w:rsidR="00084CDD">
        <w:fldChar w:fldCharType="end"/>
      </w:r>
      <w:r>
        <w:t xml:space="preserve"> examined the sealing capacity of faults in siliciclastic sediments using a two-dimensional discrete element model informed by laboratory sandbox experimentation. A vertical clay smear structure representing a fault zone was vertically displaced by applying normal and/or shear stresses. The fault host rock simulated was a layered combination of sandstone and mudstone. A reduction in integrity of the smear structure was observed with increasing shear magnitude. Their results suggest that</w:t>
      </w:r>
      <w:r w:rsidR="00D02C4F">
        <w:t xml:space="preserve"> </w:t>
      </w:r>
      <w:r>
        <w:t>the sealing capacity of clay smears persist even where large fault displacements occur.</w:t>
      </w:r>
      <w:r w:rsidR="00D02C4F">
        <w:t xml:space="preserve"> This may be due to other permeability-reducing processes such as cataclasis. In such cases, shale gouge ratio approaches are well-suited, as these are able to account implicitly for the effects of such processes.</w:t>
      </w:r>
    </w:p>
    <w:p w14:paraId="3FB0465A" w14:textId="77777777" w:rsidR="00AB445B" w:rsidRDefault="00E31912" w:rsidP="00AB445B">
      <w:pPr>
        <w:pStyle w:val="Body"/>
        <w:rPr>
          <w:color w:val="auto"/>
        </w:rPr>
      </w:pPr>
      <w:r>
        <w:rPr>
          <w:color w:val="auto"/>
        </w:rPr>
        <w:t>An a</w:t>
      </w:r>
      <w:r w:rsidRPr="005D22F5">
        <w:rPr>
          <w:color w:val="auto"/>
        </w:rPr>
        <w:t xml:space="preserve">lternative three-dimensional approach to fault representation in reservoir models was proposed by Tveranger </w:t>
      </w:r>
      <w:r w:rsidR="00810442">
        <w:rPr>
          <w:color w:val="auto"/>
        </w:rPr>
        <w:t xml:space="preserve">et al. </w:t>
      </w:r>
      <w:r w:rsidRPr="005D22F5">
        <w:rPr>
          <w:color w:val="auto"/>
        </w:rPr>
        <w:t xml:space="preserve">(2005) and Braathen </w:t>
      </w:r>
      <w:r w:rsidR="00810442">
        <w:rPr>
          <w:color w:val="auto"/>
        </w:rPr>
        <w:t xml:space="preserve">et al. </w:t>
      </w:r>
      <w:r w:rsidRPr="005D22F5">
        <w:rPr>
          <w:color w:val="auto"/>
        </w:rPr>
        <w:t xml:space="preserve">(2009) and subsequently demonstrated by Fredman </w:t>
      </w:r>
      <w:r w:rsidR="00810442">
        <w:rPr>
          <w:color w:val="auto"/>
        </w:rPr>
        <w:t xml:space="preserve">et al. </w:t>
      </w:r>
      <w:r w:rsidRPr="005D22F5">
        <w:rPr>
          <w:color w:val="auto"/>
        </w:rPr>
        <w:t xml:space="preserve">(2007, 2008), Soleng </w:t>
      </w:r>
      <w:r w:rsidR="00810442">
        <w:rPr>
          <w:color w:val="auto"/>
        </w:rPr>
        <w:t xml:space="preserve">et al. </w:t>
      </w:r>
      <w:r w:rsidRPr="005D22F5">
        <w:rPr>
          <w:color w:val="auto"/>
        </w:rPr>
        <w:t xml:space="preserve">(2007) and Fachri </w:t>
      </w:r>
      <w:r w:rsidR="00810442">
        <w:rPr>
          <w:color w:val="auto"/>
        </w:rPr>
        <w:t xml:space="preserve">et al. </w:t>
      </w:r>
      <w:r w:rsidRPr="005D22F5">
        <w:rPr>
          <w:color w:val="auto"/>
        </w:rPr>
        <w:t xml:space="preserve">(2011, 2013). In this approach, the fault zone is represented explicitly and is discretised to allow for heterogeneity in hydraulic properties (Fachri </w:t>
      </w:r>
      <w:r w:rsidR="00810442">
        <w:rPr>
          <w:color w:val="auto"/>
        </w:rPr>
        <w:t xml:space="preserve">et al., </w:t>
      </w:r>
      <w:r w:rsidRPr="005D22F5">
        <w:rPr>
          <w:color w:val="auto"/>
        </w:rPr>
        <w:t>2013).</w:t>
      </w:r>
      <w:r w:rsidR="00C73ECB">
        <w:rPr>
          <w:color w:val="auto"/>
        </w:rPr>
        <w:t xml:space="preserve"> A similar approach was undertaken by </w:t>
      </w:r>
      <w:r w:rsidR="00C73ECB" w:rsidRPr="0081359A">
        <w:rPr>
          <w:color w:val="auto"/>
        </w:rPr>
        <w:t xml:space="preserve">Wellmann et al. </w:t>
      </w:r>
      <w:r w:rsidR="00084CDD">
        <w:rPr>
          <w:color w:val="auto"/>
        </w:rPr>
        <w:fldChar w:fldCharType="begin"/>
      </w:r>
      <w:r w:rsidR="0081359A">
        <w:rPr>
          <w:color w:val="auto"/>
        </w:rPr>
        <w:instrText xml:space="preserve"> ADDIN EN.CITE &lt;EndNote&gt;&lt;Cite ExcludeAuth="1"&gt;&lt;Author&gt;Wellmann&lt;/Author&gt;&lt;Year&gt;2014&lt;/Year&gt;&lt;IDText&gt;Integrating structural geological data into the inverse modelling framework of iTOUGH2&lt;/IDText&gt;&lt;DisplayText&gt;(2014)&lt;/DisplayText&gt;&lt;record&gt;&lt;isbn&gt;0098-3004&lt;/isbn&gt;&lt;titles&gt;&lt;title&gt;Integrating structural geological data into the inverse modelling framework of iTOUGH2&lt;/title&gt;&lt;secondary-title&gt;Computers &amp;amp; Geosciences&lt;/secondary-title&gt;&lt;/titles&gt;&lt;pages&gt;95-109&lt;/pages&gt;&lt;contributors&gt;&lt;authors&gt;&lt;author&gt;Wellmann, J Florian&lt;/author&gt;&lt;author&gt;Finsterle, Stefan&lt;/author&gt;&lt;author&gt;Croucher, Adrian&lt;/author&gt;&lt;/authors&gt;&lt;/contributors&gt;&lt;added-date format="utc"&gt;1441340097&lt;/added-date&gt;&lt;ref-type name="Journal Article"&gt;17&lt;/ref-type&gt;&lt;dates&gt;&lt;year&gt;2014&lt;/year&gt;&lt;/dates&gt;&lt;rec-number&gt;1239&lt;/rec-number&gt;&lt;last-updated-date format="utc"&gt;1441340097&lt;/last-updated-date&gt;&lt;volume&gt;65&lt;/volume&gt;&lt;/record&gt;&lt;/Cite&gt;&lt;/EndNote&gt;</w:instrText>
      </w:r>
      <w:r w:rsidR="00084CDD">
        <w:rPr>
          <w:color w:val="auto"/>
        </w:rPr>
        <w:fldChar w:fldCharType="separate"/>
      </w:r>
      <w:r w:rsidR="0081359A">
        <w:rPr>
          <w:noProof/>
          <w:color w:val="auto"/>
        </w:rPr>
        <w:t>(2014)</w:t>
      </w:r>
      <w:r w:rsidR="00084CDD">
        <w:rPr>
          <w:color w:val="auto"/>
        </w:rPr>
        <w:fldChar w:fldCharType="end"/>
      </w:r>
      <w:r w:rsidR="0081359A">
        <w:rPr>
          <w:color w:val="auto"/>
        </w:rPr>
        <w:t xml:space="preserve">, </w:t>
      </w:r>
      <w:r w:rsidR="00C73ECB">
        <w:rPr>
          <w:color w:val="auto"/>
        </w:rPr>
        <w:t>who developed 2-D vertical cross-sectional models of a CO</w:t>
      </w:r>
      <w:r w:rsidR="00C73ECB">
        <w:rPr>
          <w:color w:val="auto"/>
          <w:vertAlign w:val="subscript"/>
        </w:rPr>
        <w:t>2</w:t>
      </w:r>
      <w:r w:rsidR="00C73ECB">
        <w:rPr>
          <w:color w:val="auto"/>
        </w:rPr>
        <w:t xml:space="preserve"> reservoir featuring a seal that had been breached by a geological fault. Uncertainties associated with various aspects of the groundwater flow system conceptualisation were quantified, including the location and thickness of the fault zone as well as the dimensions of both the reservoir and seal. Numerous numerical models were then created in order to test the sensitivity of predictions of CO</w:t>
      </w:r>
      <w:r w:rsidR="00C73ECB">
        <w:rPr>
          <w:color w:val="auto"/>
          <w:vertAlign w:val="subscript"/>
        </w:rPr>
        <w:t>2</w:t>
      </w:r>
      <w:r w:rsidR="00C73ECB">
        <w:rPr>
          <w:color w:val="auto"/>
        </w:rPr>
        <w:t xml:space="preserve"> leakage via the fault. Predictions were found to be most sensitive to </w:t>
      </w:r>
      <w:r w:rsidR="0081359A">
        <w:rPr>
          <w:color w:val="auto"/>
        </w:rPr>
        <w:t>the location of the top of the fault and to the dimensions of the CO</w:t>
      </w:r>
      <w:r w:rsidR="0081359A">
        <w:rPr>
          <w:color w:val="auto"/>
          <w:vertAlign w:val="subscript"/>
        </w:rPr>
        <w:t>2</w:t>
      </w:r>
      <w:r w:rsidR="0081359A" w:rsidRPr="0081359A">
        <w:rPr>
          <w:color w:val="auto"/>
        </w:rPr>
        <w:t xml:space="preserve"> </w:t>
      </w:r>
      <w:r w:rsidR="0081359A">
        <w:rPr>
          <w:color w:val="auto"/>
        </w:rPr>
        <w:t>reservoir top.</w:t>
      </w:r>
      <w:r w:rsidR="00E4629E">
        <w:rPr>
          <w:color w:val="auto"/>
        </w:rPr>
        <w:t xml:space="preserve"> </w:t>
      </w:r>
      <w:r w:rsidR="00545D3F">
        <w:rPr>
          <w:color w:val="auto"/>
        </w:rPr>
        <w:t>Other</w:t>
      </w:r>
      <w:r w:rsidR="00E4629E">
        <w:rPr>
          <w:color w:val="auto"/>
        </w:rPr>
        <w:t xml:space="preserve"> </w:t>
      </w:r>
      <w:r w:rsidR="00AB445B">
        <w:rPr>
          <w:color w:val="auto"/>
        </w:rPr>
        <w:t>modelling studies of CO</w:t>
      </w:r>
      <w:r w:rsidR="00AB445B">
        <w:rPr>
          <w:color w:val="auto"/>
          <w:vertAlign w:val="subscript"/>
        </w:rPr>
        <w:t>2</w:t>
      </w:r>
      <w:r w:rsidR="00AB445B">
        <w:rPr>
          <w:color w:val="auto"/>
        </w:rPr>
        <w:t xml:space="preserve"> flow across geological faults were summarised recently by Celia et al. </w:t>
      </w:r>
      <w:r w:rsidR="00084CDD">
        <w:rPr>
          <w:color w:val="auto"/>
        </w:rPr>
        <w:fldChar w:fldCharType="begin"/>
      </w:r>
      <w:r w:rsidR="00AB445B">
        <w:rPr>
          <w:color w:val="auto"/>
        </w:rPr>
        <w:instrText xml:space="preserve"> ADDIN EN.CITE &lt;EndNote&gt;&lt;Cite ExcludeAuth="1"&gt;&lt;Author&gt;Celia&lt;/Author&gt;&lt;Year&gt;2015&lt;/Year&gt;&lt;IDText&gt;Status of CO2 storage in deep saline aquifers with emphasis on modeling approaches and practical simulations&lt;/IDText&gt;&lt;DisplayText&gt;(2015)&lt;/DisplayText&gt;&lt;record&gt;&lt;isbn&gt;1944-7973&lt;/isbn&gt;&lt;titles&gt;&lt;title&gt;Status of CO2 storage in deep saline aquifers with emphasis on modeling approaches and practical simulations&lt;/title&gt;&lt;secondary-title&gt;Water Resources Research&lt;/secondary-title&gt;&lt;/titles&gt;&lt;contributors&gt;&lt;authors&gt;&lt;author&gt;Celia, MA&lt;/author&gt;&lt;author&gt;Bachu, S&lt;/author&gt;&lt;author&gt;Nordbotten, JM&lt;/author&gt;&lt;author&gt;Bandilla, KW&lt;/author&gt;&lt;/authors&gt;&lt;/contributors&gt;&lt;added-date format="utc"&gt;1441341922&lt;/added-date&gt;&lt;ref-type name="Journal Article"&gt;17&lt;/ref-type&gt;&lt;dates&gt;&lt;year&gt;2015&lt;/year&gt;&lt;/dates&gt;&lt;rec-number&gt;1240&lt;/rec-number&gt;&lt;last-updated-date format="utc"&gt;1441341922&lt;/last-updated-date&gt;&lt;/record&gt;&lt;/Cite&gt;&lt;/EndNote&gt;</w:instrText>
      </w:r>
      <w:r w:rsidR="00084CDD">
        <w:rPr>
          <w:color w:val="auto"/>
        </w:rPr>
        <w:fldChar w:fldCharType="separate"/>
      </w:r>
      <w:r w:rsidR="00AB445B">
        <w:rPr>
          <w:noProof/>
          <w:color w:val="auto"/>
        </w:rPr>
        <w:t>(2015)</w:t>
      </w:r>
      <w:r w:rsidR="00084CDD">
        <w:rPr>
          <w:color w:val="auto"/>
        </w:rPr>
        <w:fldChar w:fldCharType="end"/>
      </w:r>
      <w:r w:rsidR="00E4629E">
        <w:rPr>
          <w:color w:val="auto"/>
        </w:rPr>
        <w:t>, including</w:t>
      </w:r>
      <w:r w:rsidR="00AB445B">
        <w:rPr>
          <w:color w:val="auto"/>
        </w:rPr>
        <w:t xml:space="preserve"> works by </w:t>
      </w:r>
      <w:r w:rsidR="00AB445B" w:rsidRPr="00333DD8">
        <w:rPr>
          <w:color w:val="auto"/>
        </w:rPr>
        <w:t xml:space="preserve">Pruess </w:t>
      </w:r>
      <w:r w:rsidR="00084CDD">
        <w:rPr>
          <w:color w:val="auto"/>
        </w:rPr>
        <w:fldChar w:fldCharType="begin"/>
      </w:r>
      <w:r w:rsidR="00333DD8">
        <w:rPr>
          <w:color w:val="auto"/>
        </w:rPr>
        <w:instrText xml:space="preserve"> ADDIN EN.CITE &lt;EndNote&gt;&lt;Cite ExcludeAuth="1"&gt;&lt;Author&gt;Pruess&lt;/Author&gt;&lt;Year&gt;2005&lt;/Year&gt;&lt;IDText&gt;Numerical studies of fluid leakage from a geologic disposal reservoir for CO2 show self‐limiting feedback between fluid flow and heat transfer&lt;/IDText&gt;&lt;DisplayText&gt;(2005; 2008)&lt;/DisplayText&gt;&lt;record&gt;&lt;isbn&gt;1944-8007&lt;/isbn&gt;&lt;titles&gt;&lt;title&gt;Numerical studies of fluid leakage from a geologic disposal reservoir for CO2 show self‐limiting feedback between fluid flow and heat transfer&lt;/title&gt;&lt;secondary-title&gt;Geophysical research letters&lt;/secondary-title&gt;&lt;/titles&gt;&lt;number&gt;14&lt;/number&gt;&lt;contributors&gt;&lt;authors&gt;&lt;author&gt;Pruess, Karsten&lt;/author&gt;&lt;/authors&gt;&lt;/contributors&gt;&lt;added-date format="utc"&gt;1441344380&lt;/added-date&gt;&lt;ref-type name="Journal Article"&gt;17&lt;/ref-type&gt;&lt;dates&gt;&lt;year&gt;2005&lt;/year&gt;&lt;/dates&gt;&lt;rec-number&gt;1242&lt;/rec-number&gt;&lt;last-updated-date format="utc"&gt;1441344380&lt;/last-updated-date&gt;&lt;volume&gt;32&lt;/volume&gt;&lt;/record&gt;&lt;/Cite&gt;&lt;Cite ExcludeAuth="1"&gt;&lt;Author&gt;Pruess&lt;/Author&gt;&lt;Year&gt;2008&lt;/Year&gt;&lt;IDText&gt;On CO2 fluid flow and heat transfer behavior in the subsurface, following leakage from a geologic storage reservoir&lt;/IDText&gt;&lt;record&gt;&lt;isbn&gt;0943-0105&lt;/isbn&gt;&lt;titles&gt;&lt;title&gt;On CO2 fluid flow and heat transfer behavior in the subsurface, following leakage from a geologic storage reservoir&lt;/title&gt;&lt;secondary-title&gt;Environmental Geology&lt;/secondary-title&gt;&lt;/titles&gt;&lt;pages&gt;1677-1686&lt;/pages&gt;&lt;number&gt;8&lt;/number&gt;&lt;contributors&gt;&lt;authors&gt;&lt;author&gt;Pruess, Karsten&lt;/author&gt;&lt;/authors&gt;&lt;/contributors&gt;&lt;added-date format="utc"&gt;1441344367&lt;/added-date&gt;&lt;ref-type name="Journal Article"&gt;17&lt;/ref-type&gt;&lt;dates&gt;&lt;year&gt;2008&lt;/year&gt;&lt;/dates&gt;&lt;rec-number&gt;1241&lt;/rec-number&gt;&lt;last-updated-date format="utc"&gt;1441344367&lt;/last-updated-date&gt;&lt;volume&gt;54&lt;/volume&gt;&lt;/record&gt;&lt;/Cite&gt;&lt;/EndNote&gt;</w:instrText>
      </w:r>
      <w:r w:rsidR="00084CDD">
        <w:rPr>
          <w:color w:val="auto"/>
        </w:rPr>
        <w:fldChar w:fldCharType="separate"/>
      </w:r>
      <w:r w:rsidR="00333DD8">
        <w:rPr>
          <w:noProof/>
          <w:color w:val="auto"/>
        </w:rPr>
        <w:t>(2005; 2008)</w:t>
      </w:r>
      <w:r w:rsidR="00084CDD">
        <w:rPr>
          <w:color w:val="auto"/>
        </w:rPr>
        <w:fldChar w:fldCharType="end"/>
      </w:r>
      <w:r w:rsidR="00AB445B" w:rsidRPr="00333DD8">
        <w:rPr>
          <w:color w:val="auto"/>
        </w:rPr>
        <w:t xml:space="preserve"> and Kang et al. </w:t>
      </w:r>
      <w:r w:rsidR="00084CDD">
        <w:rPr>
          <w:color w:val="auto"/>
        </w:rPr>
        <w:fldChar w:fldCharType="begin"/>
      </w:r>
      <w:r w:rsidR="00333DD8">
        <w:rPr>
          <w:color w:val="auto"/>
        </w:rPr>
        <w:instrText xml:space="preserve"> ADDIN EN.CITE &lt;EndNote&gt;&lt;Cite ExcludeAuth="1"&gt;&lt;Author&gt;Kang&lt;/Author&gt;&lt;Year&gt;2014&lt;/Year&gt;&lt;IDText&gt;Analytical solutions for two‐phase subsurface flow to a leaky fault considering vertical flow effects and fault properties&lt;/IDText&gt;&lt;DisplayText&gt;(2014)&lt;/DisplayText&gt;&lt;record&gt;&lt;isbn&gt;1944-7973&lt;/isbn&gt;&lt;titles&gt;&lt;title&gt;Analytical solutions for two‐phase subsurface flow to a leaky fault considering vertical flow effects and fault properties&lt;/title&gt;&lt;secondary-title&gt;Water Resources Research&lt;/secondary-title&gt;&lt;/titles&gt;&lt;pages&gt;3536-3552&lt;/pages&gt;&lt;number&gt;4&lt;/number&gt;&lt;contributors&gt;&lt;authors&gt;&lt;author&gt;Kang, Mary&lt;/author&gt;&lt;author&gt;Nordbotten, Jan M&lt;/author&gt;&lt;author&gt;Doster, Florian&lt;/author&gt;&lt;author&gt;Celia, Michael A&lt;/author&gt;&lt;/authors&gt;&lt;/contributors&gt;&lt;added-date format="utc"&gt;1441344389&lt;/added-date&gt;&lt;ref-type name="Journal Article"&gt;17&lt;/ref-type&gt;&lt;dates&gt;&lt;year&gt;2014&lt;/year&gt;&lt;/dates&gt;&lt;rec-number&gt;1243&lt;/rec-number&gt;&lt;last-updated-date format="utc"&gt;1441344389&lt;/last-updated-date&gt;&lt;volume&gt;50&lt;/volume&gt;&lt;/record&gt;&lt;/Cite&gt;&lt;/EndNote&gt;</w:instrText>
      </w:r>
      <w:r w:rsidR="00084CDD">
        <w:rPr>
          <w:color w:val="auto"/>
        </w:rPr>
        <w:fldChar w:fldCharType="separate"/>
      </w:r>
      <w:r w:rsidR="00333DD8">
        <w:rPr>
          <w:noProof/>
          <w:color w:val="auto"/>
        </w:rPr>
        <w:t>(2014)</w:t>
      </w:r>
      <w:r w:rsidR="00084CDD">
        <w:rPr>
          <w:color w:val="auto"/>
        </w:rPr>
        <w:fldChar w:fldCharType="end"/>
      </w:r>
      <w:r w:rsidR="00AB445B" w:rsidRPr="00333DD8">
        <w:rPr>
          <w:color w:val="auto"/>
        </w:rPr>
        <w:t>.</w:t>
      </w:r>
      <w:r w:rsidR="00AB445B">
        <w:rPr>
          <w:color w:val="auto"/>
        </w:rPr>
        <w:t xml:space="preserve"> </w:t>
      </w:r>
    </w:p>
    <w:p w14:paraId="6887C26F" w14:textId="5A1F767B" w:rsidR="00E31912" w:rsidRDefault="00E31912" w:rsidP="00E31912">
      <w:pPr>
        <w:pStyle w:val="Body"/>
      </w:pPr>
      <w:r>
        <w:t xml:space="preserve">In addition to representations of fault core permeability (which are primarily a function of damaged siliciclastic sediments), fault damage zones are often extensively fractured and require alternative approaches. For example, Caine and Forster </w:t>
      </w:r>
      <w:r w:rsidR="00084CDD">
        <w:fldChar w:fldCharType="begin"/>
      </w:r>
      <w:r w:rsidR="0023497B">
        <w:instrText xml:space="preserve"> ADDIN EN.CITE &lt;EndNote&gt;&lt;Cite ExcludeAuth="1"&gt;&lt;Author&gt;Caine&lt;/Author&gt;&lt;Year&gt;1999&lt;/Year&gt;&lt;IDText&gt;Fault Zone Architecture and Fluid Flow: Insights From Field Data and Numerical Modeling&lt;/IDText&gt;&lt;DisplayText&gt;(1999)&lt;/DisplayText&gt;&lt;record&gt;&lt;titles&gt;&lt;title&gt;Fault Zone Architecture and Fluid Flow: Insights From Field Data and Numerical Modeling&lt;/title&gt;&lt;secondary-title&gt;Faults and Subsurface Fluid Flow in the Shallow Crust&lt;/secondary-title&gt;&lt;tertiary-title&gt;Geophysical Monograph&lt;/tertiary-title&gt;&lt;/titles&gt;&lt;pages&gt;101-127&lt;/pages&gt;&lt;number&gt;113&lt;/number&gt;&lt;contributors&gt;&lt;authors&gt;&lt;author&gt;Caine, Jonathan Saul&lt;/author&gt;&lt;author&gt;Forster, Craig B.&lt;/author&gt;&lt;/authors&gt;&lt;/contributors&gt;&lt;added-date format="utc"&gt;1433473828&lt;/added-date&gt;&lt;pub-location&gt;Washington, D.C.&lt;/pub-location&gt;&lt;ref-type name="Book Section"&gt;5&lt;/ref-type&gt;&lt;dates&gt;&lt;year&gt;1999&lt;/year&gt;&lt;/dates&gt;&lt;rec-number&gt;102&lt;/rec-number&gt;&lt;publisher&gt;American Geophysical Union&lt;/publisher&gt;&lt;last-updated-date format="utc"&gt;1433476643&lt;/last-updated-date&gt;&lt;contributors&gt;&lt;secondary-authors&gt;&lt;author&gt;Haneberg, William C.&lt;/author&gt;&lt;/secondary-authors&gt;&lt;/contributors&gt;&lt;/record&gt;&lt;/Cite&gt;&lt;/EndNote&gt;</w:instrText>
      </w:r>
      <w:r w:rsidR="00084CDD">
        <w:fldChar w:fldCharType="separate"/>
      </w:r>
      <w:r w:rsidR="0023497B">
        <w:rPr>
          <w:noProof/>
        </w:rPr>
        <w:t>(1999)</w:t>
      </w:r>
      <w:r w:rsidR="00084CDD">
        <w:fldChar w:fldCharType="end"/>
      </w:r>
      <w:r>
        <w:t xml:space="preserve"> developed numerical geological models of each permeability structure in order to simulate groundwater flow dynamics. Fault damage zones </w:t>
      </w:r>
      <w:r w:rsidR="00B13331" w:rsidRPr="00B13331">
        <w:t>were represented by fracture sets and</w:t>
      </w:r>
      <w:r w:rsidR="00B13331">
        <w:t xml:space="preserve"> </w:t>
      </w:r>
      <w:r>
        <w:t xml:space="preserve">were generated stochastically using </w:t>
      </w:r>
      <w:r w:rsidRPr="00B13331">
        <w:t xml:space="preserve">FRACMAN </w:t>
      </w:r>
      <w:r w:rsidR="00084CDD" w:rsidRPr="00B13331">
        <w:fldChar w:fldCharType="begin"/>
      </w:r>
      <w:r w:rsidR="00DD7015" w:rsidRPr="00B13331">
        <w:instrText xml:space="preserve"> ADDIN EN.CITE &lt;EndNote&gt;&lt;Cite&gt;&lt;Author&gt;Dershowitz&lt;/Author&gt;&lt;Year&gt;1999&lt;/Year&gt;&lt;IDText&gt;User documentation for FracMan&lt;/IDText&gt;&lt;DisplayText&gt;(Dershowitz et al., 1999)&lt;/DisplayText&gt;&lt;record&gt;&lt;titles&gt;&lt;title&gt;User documentation for FracMan&lt;/title&gt;&lt;secondary-title&gt;Seattle: Golder Associates&lt;/secondary-title&gt;&lt;/titles&gt;&lt;contributors&gt;&lt;authors&gt;&lt;author&gt;Dershowitz, W&lt;/author&gt;&lt;author&gt;Lee, G&lt;/author&gt;&lt;author&gt;Geier, J&lt;/author&gt;&lt;author&gt;Foxford, T&lt;/author&gt;&lt;author&gt;LaPointe, P&lt;/author&gt;&lt;author&gt;Thomas, A&lt;/author&gt;&lt;/authors&gt;&lt;/contributors&gt;&lt;added-date format="utc"&gt;1434101224&lt;/added-date&gt;&lt;ref-type name="Journal Article"&gt;17&lt;/ref-type&gt;&lt;dates&gt;&lt;year&gt;1999&lt;/year&gt;&lt;/dates&gt;&lt;rec-number&gt;297&lt;/rec-number&gt;&lt;last-updated-date format="utc"&gt;1434101224&lt;/last-updated-date&gt;&lt;/record&gt;&lt;/Cite&gt;&lt;/EndNote&gt;</w:instrText>
      </w:r>
      <w:r w:rsidR="00084CDD" w:rsidRPr="00B13331">
        <w:fldChar w:fldCharType="separate"/>
      </w:r>
      <w:r w:rsidR="00DD7015" w:rsidRPr="00B13331">
        <w:t>(Dershowitz et al., 1999)</w:t>
      </w:r>
      <w:r w:rsidR="00084CDD" w:rsidRPr="00B13331">
        <w:fldChar w:fldCharType="end"/>
      </w:r>
      <w:r>
        <w:t>.</w:t>
      </w:r>
    </w:p>
    <w:p w14:paraId="3B3B1110" w14:textId="77777777" w:rsidR="00091FAE" w:rsidRDefault="00091FAE" w:rsidP="00E8296A">
      <w:pPr>
        <w:pStyle w:val="Body"/>
      </w:pPr>
    </w:p>
    <w:p w14:paraId="640A6C80" w14:textId="77777777" w:rsidR="00995AC6" w:rsidRPr="00995AC6" w:rsidRDefault="00995AC6" w:rsidP="00AB445B">
      <w:pPr>
        <w:pStyle w:val="Body"/>
        <w:keepNext/>
        <w:rPr>
          <w:b/>
        </w:rPr>
      </w:pPr>
      <w:r w:rsidRPr="00995AC6">
        <w:rPr>
          <w:b/>
        </w:rPr>
        <w:t>Implementation</w:t>
      </w:r>
      <w:r w:rsidR="005D22F5">
        <w:rPr>
          <w:b/>
        </w:rPr>
        <w:t>s</w:t>
      </w:r>
    </w:p>
    <w:p w14:paraId="7EF15498" w14:textId="09AA4CF5" w:rsidR="008C338F" w:rsidRDefault="003504F1" w:rsidP="008C338F">
      <w:pPr>
        <w:pStyle w:val="Body"/>
        <w:rPr>
          <w:color w:val="auto"/>
        </w:rPr>
      </w:pPr>
      <w:r w:rsidRPr="00E16378">
        <w:rPr>
          <w:color w:val="auto"/>
        </w:rPr>
        <w:t>TransGen</w:t>
      </w:r>
      <w:r w:rsidR="001C2989">
        <w:rPr>
          <w:color w:val="auto"/>
        </w:rPr>
        <w:t xml:space="preserve"> </w:t>
      </w:r>
      <w:r w:rsidRPr="00E16378">
        <w:rPr>
          <w:color w:val="auto"/>
        </w:rPr>
        <w:t xml:space="preserve">was the first commercial </w:t>
      </w:r>
      <w:r w:rsidR="00E16378">
        <w:rPr>
          <w:color w:val="auto"/>
        </w:rPr>
        <w:t xml:space="preserve">reservoir modelling software </w:t>
      </w:r>
      <w:r w:rsidRPr="00E16378">
        <w:rPr>
          <w:color w:val="auto"/>
        </w:rPr>
        <w:t xml:space="preserve">to </w:t>
      </w:r>
      <w:r w:rsidR="00E16378">
        <w:rPr>
          <w:color w:val="auto"/>
        </w:rPr>
        <w:t xml:space="preserve">include </w:t>
      </w:r>
      <w:r w:rsidRPr="00E16378">
        <w:rPr>
          <w:color w:val="auto"/>
        </w:rPr>
        <w:t xml:space="preserve">the calculation of transmissibility multipliers for all </w:t>
      </w:r>
      <w:r w:rsidR="00E16378">
        <w:rPr>
          <w:color w:val="auto"/>
        </w:rPr>
        <w:t xml:space="preserve">model cells located </w:t>
      </w:r>
      <w:r w:rsidRPr="00E16378">
        <w:rPr>
          <w:color w:val="auto"/>
        </w:rPr>
        <w:t>adjacent to faults</w:t>
      </w:r>
      <w:r w:rsidR="00E16378" w:rsidRPr="00E16378">
        <w:rPr>
          <w:color w:val="auto"/>
        </w:rPr>
        <w:t xml:space="preserve">. </w:t>
      </w:r>
      <w:r w:rsidRPr="00E16378">
        <w:rPr>
          <w:color w:val="auto"/>
        </w:rPr>
        <w:t>Since then</w:t>
      </w:r>
      <w:r w:rsidR="00E16378">
        <w:rPr>
          <w:color w:val="auto"/>
        </w:rPr>
        <w:t>,</w:t>
      </w:r>
      <w:r w:rsidRPr="00E16378">
        <w:rPr>
          <w:color w:val="auto"/>
        </w:rPr>
        <w:t xml:space="preserve"> industry</w:t>
      </w:r>
      <w:r w:rsidR="00E16378">
        <w:rPr>
          <w:color w:val="auto"/>
        </w:rPr>
        <w:t xml:space="preserve"> </w:t>
      </w:r>
      <w:r w:rsidRPr="00E16378">
        <w:rPr>
          <w:color w:val="auto"/>
        </w:rPr>
        <w:t xml:space="preserve">standard software packages </w:t>
      </w:r>
      <w:r w:rsidR="00E16378">
        <w:rPr>
          <w:color w:val="auto"/>
        </w:rPr>
        <w:t xml:space="preserve">such as </w:t>
      </w:r>
      <w:r w:rsidRPr="00E16378">
        <w:rPr>
          <w:color w:val="auto"/>
        </w:rPr>
        <w:t xml:space="preserve">TrapTester, PETREL, </w:t>
      </w:r>
      <w:r w:rsidR="001C2989">
        <w:rPr>
          <w:color w:val="auto"/>
        </w:rPr>
        <w:t xml:space="preserve">TEMPEST </w:t>
      </w:r>
      <w:r w:rsidRPr="00E16378">
        <w:rPr>
          <w:color w:val="auto"/>
        </w:rPr>
        <w:t>RMS</w:t>
      </w:r>
      <w:r w:rsidR="00E16378">
        <w:rPr>
          <w:color w:val="auto"/>
        </w:rPr>
        <w:t xml:space="preserve"> and </w:t>
      </w:r>
      <w:r w:rsidRPr="00E16378">
        <w:rPr>
          <w:color w:val="auto"/>
        </w:rPr>
        <w:t>ECLIPSE</w:t>
      </w:r>
      <w:r w:rsidR="00D142D1">
        <w:rPr>
          <w:color w:val="auto"/>
        </w:rPr>
        <w:t xml:space="preserve"> </w:t>
      </w:r>
      <w:r w:rsidR="00084CDD">
        <w:rPr>
          <w:color w:val="auto"/>
        </w:rPr>
        <w:fldChar w:fldCharType="begin"/>
      </w:r>
      <w:r w:rsidR="00DD7015">
        <w:rPr>
          <w:color w:val="auto"/>
        </w:rPr>
        <w:instrText xml:space="preserve"> ADDIN EN.CITE &lt;EndNote&gt;&lt;Cite&gt;&lt;Author&gt;Schlumberger&lt;/Author&gt;&lt;Year&gt;2011&lt;/Year&gt;&lt;IDText&gt;Manual for ECLIPSE Reservoir Simulation Software&lt;/IDText&gt;&lt;DisplayText&gt;(Schlumberger, 2011)&lt;/DisplayText&gt;&lt;record&gt;&lt;titles&gt;&lt;title&gt;Manual for ECLIPSE Reservoir Simulation Software&lt;/title&gt;&lt;/titles&gt;&lt;contributors&gt;&lt;authors&gt;&lt;author&gt;Schlumberger&lt;/author&gt;&lt;/authors&gt;&lt;/contributors&gt;&lt;added-date format="utc"&gt;1434095289&lt;/added-date&gt;&lt;pub-location&gt;Houston, Texas, USA&lt;/pub-location&gt;&lt;ref-type name="Generic"&gt;13&lt;/ref-type&gt;&lt;dates&gt;&lt;year&gt;2011&lt;/year&gt;&lt;/dates&gt;&lt;rec-number&gt;1186&lt;/rec-number&gt;&lt;last-updated-date format="utc"&gt;1434095352&lt;/last-updated-date&gt;&lt;/record&gt;&lt;/Cite&gt;&lt;/EndNote&gt;</w:instrText>
      </w:r>
      <w:r w:rsidR="00084CDD">
        <w:rPr>
          <w:color w:val="auto"/>
        </w:rPr>
        <w:fldChar w:fldCharType="separate"/>
      </w:r>
      <w:r w:rsidR="00DD7015">
        <w:rPr>
          <w:noProof/>
          <w:color w:val="auto"/>
        </w:rPr>
        <w:t>(Schlumberger, 2011)</w:t>
      </w:r>
      <w:r w:rsidR="00084CDD">
        <w:rPr>
          <w:color w:val="auto"/>
        </w:rPr>
        <w:fldChar w:fldCharType="end"/>
      </w:r>
      <w:r w:rsidRPr="00E16378">
        <w:rPr>
          <w:color w:val="auto"/>
        </w:rPr>
        <w:t xml:space="preserve"> </w:t>
      </w:r>
      <w:r w:rsidR="00E16378">
        <w:rPr>
          <w:color w:val="auto"/>
        </w:rPr>
        <w:t xml:space="preserve">have added the ability to calculate </w:t>
      </w:r>
      <w:r w:rsidRPr="00E16378">
        <w:rPr>
          <w:color w:val="auto"/>
        </w:rPr>
        <w:t xml:space="preserve">transmissibility multipliers </w:t>
      </w:r>
      <w:r w:rsidR="00E16378">
        <w:rPr>
          <w:color w:val="auto"/>
        </w:rPr>
        <w:t xml:space="preserve">from </w:t>
      </w:r>
      <w:r w:rsidRPr="00E16378">
        <w:rPr>
          <w:color w:val="auto"/>
        </w:rPr>
        <w:t xml:space="preserve">fault </w:t>
      </w:r>
      <w:r w:rsidR="00BC20C6" w:rsidRPr="00E16378">
        <w:rPr>
          <w:color w:val="auto"/>
        </w:rPr>
        <w:t>zone</w:t>
      </w:r>
      <w:r w:rsidRPr="00E16378">
        <w:rPr>
          <w:color w:val="auto"/>
        </w:rPr>
        <w:t xml:space="preserve"> thickness</w:t>
      </w:r>
      <w:r w:rsidR="00E16378">
        <w:rPr>
          <w:color w:val="auto"/>
        </w:rPr>
        <w:t xml:space="preserve">, </w:t>
      </w:r>
      <w:r w:rsidRPr="00E16378">
        <w:rPr>
          <w:color w:val="auto"/>
        </w:rPr>
        <w:t>permeability and clay distribution</w:t>
      </w:r>
      <w:r w:rsidR="00E16378" w:rsidRPr="00E16378">
        <w:rPr>
          <w:color w:val="auto"/>
        </w:rPr>
        <w:t xml:space="preserve"> </w:t>
      </w:r>
      <w:r w:rsidR="00084CDD">
        <w:rPr>
          <w:color w:val="auto"/>
        </w:rPr>
        <w:fldChar w:fldCharType="begin"/>
      </w:r>
      <w:r w:rsidR="009F0544">
        <w:rPr>
          <w:color w:val="auto"/>
        </w:rPr>
        <w:instrText xml:space="preserve"> ADDIN EN.CITE &lt;EndNote&gt;&lt;Cite&gt;&lt;Author&gt;Fisher&lt;/Author&gt;&lt;Year&gt;2007&lt;/Year&gt;&lt;IDText&gt;Treatment of faults in production simulation models&lt;/IDText&gt;&lt;DisplayText&gt;(Fisher and Jolley, 2007)&lt;/DisplayText&gt;&lt;record&gt;&lt;isbn&gt;0305-8719&lt;/isbn&gt;&lt;titles&gt;&lt;title&gt;Treatment of faults in production simulation models&lt;/title&gt;&lt;secondary-title&gt;Geological Society, London, Special Publications&lt;/secondary-title&gt;&lt;/titles&gt;&lt;pages&gt;219-233&lt;/pages&gt;&lt;number&gt;1&lt;/number&gt;&lt;contributors&gt;&lt;authors&gt;&lt;author&gt;Fisher, QJ&lt;/author&gt;&lt;author&gt;Jolley, SJ&lt;/author&gt;&lt;/authors&gt;&lt;/contributors&gt;&lt;added-date format="utc"&gt;1434100008&lt;/added-date&gt;&lt;ref-type name="Journal Article"&gt;17&lt;/ref-type&gt;&lt;dates&gt;&lt;year&gt;2007&lt;/year&gt;&lt;/dates&gt;&lt;rec-number&gt;290&lt;/rec-number&gt;&lt;last-updated-date format="utc"&gt;1434100008&lt;/last-updated-date&gt;&lt;volume&gt;292&lt;/volume&gt;&lt;/record&gt;&lt;/Cite&gt;&lt;/EndNote&gt;</w:instrText>
      </w:r>
      <w:r w:rsidR="00084CDD">
        <w:rPr>
          <w:color w:val="auto"/>
        </w:rPr>
        <w:fldChar w:fldCharType="separate"/>
      </w:r>
      <w:r w:rsidR="009F0544">
        <w:rPr>
          <w:noProof/>
          <w:color w:val="auto"/>
        </w:rPr>
        <w:t>(Fisher and Jolley, 2007)</w:t>
      </w:r>
      <w:r w:rsidR="00084CDD">
        <w:rPr>
          <w:color w:val="auto"/>
        </w:rPr>
        <w:fldChar w:fldCharType="end"/>
      </w:r>
      <w:r w:rsidR="00E16378" w:rsidRPr="00E16378">
        <w:rPr>
          <w:color w:val="auto"/>
        </w:rPr>
        <w:t xml:space="preserve">. </w:t>
      </w:r>
      <w:r w:rsidR="008C338F" w:rsidRPr="008C338F">
        <w:rPr>
          <w:color w:val="auto"/>
        </w:rPr>
        <w:t>FAULTSIM (</w:t>
      </w:r>
      <w:r w:rsidR="008C338F">
        <w:rPr>
          <w:color w:val="auto"/>
        </w:rPr>
        <w:t>Doherty, unpublished</w:t>
      </w:r>
      <w:r w:rsidR="00255E0B">
        <w:rPr>
          <w:color w:val="auto"/>
        </w:rPr>
        <w:t xml:space="preserve">; </w:t>
      </w:r>
      <w:r w:rsidR="00B15022">
        <w:rPr>
          <w:color w:val="auto"/>
        </w:rPr>
        <w:t>Janardhanan</w:t>
      </w:r>
      <w:r w:rsidR="00255E0B">
        <w:rPr>
          <w:color w:val="auto"/>
        </w:rPr>
        <w:t xml:space="preserve"> and Moore, 2015</w:t>
      </w:r>
      <w:r w:rsidR="008C338F">
        <w:rPr>
          <w:color w:val="auto"/>
        </w:rPr>
        <w:t>) implemented</w:t>
      </w:r>
      <w:r w:rsidR="008C338F" w:rsidRPr="008C338F">
        <w:rPr>
          <w:color w:val="auto"/>
        </w:rPr>
        <w:t xml:space="preserve"> the approach of Bense and Person (2006) to calculate the permeability of fault zones based on throw, fault core thickness, damage zone thickness, and two anisotropic power coefficients.</w:t>
      </w:r>
      <w:r w:rsidR="008C338F">
        <w:rPr>
          <w:color w:val="auto"/>
        </w:rPr>
        <w:t xml:space="preserve"> FAULTSIM was recently used by the Queensland Office of Groundwater Impact Assessment to investigate the effects of faults on groundwater flow in the </w:t>
      </w:r>
      <w:r w:rsidR="008C338F" w:rsidRPr="00FA2767">
        <w:rPr>
          <w:color w:val="auto"/>
        </w:rPr>
        <w:t xml:space="preserve">Surat Basin (See Section </w:t>
      </w:r>
      <w:r w:rsidR="00102009">
        <w:fldChar w:fldCharType="begin"/>
      </w:r>
      <w:r w:rsidR="00102009">
        <w:instrText xml:space="preserve"> REF _Ref421888021 \r \h  \* MERGEFORMAT </w:instrText>
      </w:r>
      <w:r w:rsidR="00102009">
        <w:fldChar w:fldCharType="separate"/>
      </w:r>
      <w:r w:rsidR="00C52E30" w:rsidRPr="00C52E30">
        <w:rPr>
          <w:color w:val="auto"/>
        </w:rPr>
        <w:t>4.1.1</w:t>
      </w:r>
      <w:r w:rsidR="00102009">
        <w:fldChar w:fldCharType="end"/>
      </w:r>
      <w:r w:rsidR="008C338F" w:rsidRPr="00FA2767">
        <w:rPr>
          <w:color w:val="auto"/>
        </w:rPr>
        <w:t xml:space="preserve"> for details)</w:t>
      </w:r>
      <w:r w:rsidR="003E68A8">
        <w:rPr>
          <w:color w:val="auto"/>
        </w:rPr>
        <w:t>. FAULTSIM was previously used by Janardhanan and Moore (2015) in an assessment of risks associated with a large-scale CSG reinjection scheme</w:t>
      </w:r>
      <w:r w:rsidR="008C338F" w:rsidRPr="00FA2767">
        <w:rPr>
          <w:color w:val="auto"/>
        </w:rPr>
        <w:t>.</w:t>
      </w:r>
    </w:p>
    <w:p w14:paraId="0B475338" w14:textId="77777777" w:rsidR="00E8296A" w:rsidRDefault="00E8296A" w:rsidP="00CB7B2D">
      <w:pPr>
        <w:pStyle w:val="Heading3"/>
      </w:pPr>
      <w:bookmarkStart w:id="237" w:name="_Toc449696820"/>
      <w:r>
        <w:t>Fractured media</w:t>
      </w:r>
      <w:bookmarkEnd w:id="237"/>
    </w:p>
    <w:p w14:paraId="4A503288" w14:textId="77777777" w:rsidR="005F15E5" w:rsidRPr="005F15E5" w:rsidRDefault="00D26E7A" w:rsidP="003A6A70">
      <w:pPr>
        <w:pStyle w:val="Body"/>
        <w:rPr>
          <w:color w:val="auto"/>
        </w:rPr>
      </w:pPr>
      <w:r w:rsidRPr="00D26E7A">
        <w:rPr>
          <w:color w:val="auto"/>
        </w:rPr>
        <w:t xml:space="preserve">Fractures are </w:t>
      </w:r>
      <w:r>
        <w:rPr>
          <w:color w:val="auto"/>
        </w:rPr>
        <w:t xml:space="preserve">defined as the geometric </w:t>
      </w:r>
      <w:r w:rsidRPr="00D26E7A">
        <w:rPr>
          <w:color w:val="auto"/>
        </w:rPr>
        <w:t xml:space="preserve">planes </w:t>
      </w:r>
      <w:r>
        <w:rPr>
          <w:color w:val="auto"/>
        </w:rPr>
        <w:t xml:space="preserve">in lithified media </w:t>
      </w:r>
      <w:r w:rsidRPr="00D26E7A">
        <w:rPr>
          <w:color w:val="auto"/>
        </w:rPr>
        <w:t>along which stress has caused partial loss of</w:t>
      </w:r>
      <w:r>
        <w:rPr>
          <w:color w:val="auto"/>
        </w:rPr>
        <w:t xml:space="preserve"> </w:t>
      </w:r>
      <w:r w:rsidRPr="00D26E7A">
        <w:rPr>
          <w:color w:val="auto"/>
        </w:rPr>
        <w:t>cohesion</w:t>
      </w:r>
      <w:r>
        <w:rPr>
          <w:color w:val="auto"/>
        </w:rPr>
        <w:t>, resulting in a void</w:t>
      </w:r>
      <w:r w:rsidRPr="00D26E7A">
        <w:rPr>
          <w:color w:val="auto"/>
        </w:rPr>
        <w:t xml:space="preserve"> </w:t>
      </w:r>
      <w:r>
        <w:rPr>
          <w:color w:val="auto"/>
        </w:rPr>
        <w:t xml:space="preserve">space </w:t>
      </w:r>
      <w:r w:rsidR="00084CDD">
        <w:rPr>
          <w:color w:val="auto"/>
        </w:rPr>
        <w:fldChar w:fldCharType="begin"/>
      </w:r>
      <w:r w:rsidR="00B86833">
        <w:rPr>
          <w:color w:val="auto"/>
        </w:rPr>
        <w:instrText xml:space="preserve"> ADDIN EN.CITE &lt;EndNote&gt;&lt;Cite&gt;&lt;Author&gt;Cook&lt;/Author&gt;&lt;Year&gt;2003&lt;/Year&gt;&lt;IDText&gt;A guide to regional groundwater flow in fractured rock aquifers&lt;/IDText&gt;&lt;DisplayText&gt;(Cook, 2003)&lt;/DisplayText&gt;&lt;record&gt;&lt;keywords&gt;&lt;keyword&gt;Groundwater -- Australia&lt;/keyword&gt;&lt;keyword&gt;Aquifers -- Australia&lt;/keyword&gt;&lt;keyword&gt;Water chemistry -- Australia&lt;/keyword&gt;&lt;keyword&gt;Electronic books&lt;/keyword&gt;&lt;/keywords&gt;&lt;titles&gt;&lt;title&gt;A guide to regional groundwater flow in fractured rock aquifers&lt;/title&gt;&lt;/titles&gt;&lt;contributors&gt;&lt;authors&gt;&lt;author&gt;Cook, P. G.&lt;/author&gt;&lt;/authors&gt;&lt;/contributors&gt;&lt;added-date format="utc"&gt;1433486345&lt;/added-date&gt;&lt;pub-location&gt;Henley Beach, S. Aust.&lt;/pub-location&gt;&lt;ref-type name="Book"&gt;6&lt;/ref-type&gt;&lt;dates&gt;&lt;year&gt;2003&lt;/year&gt;&lt;/dates&gt;&lt;rec-number&gt;123&lt;/rec-number&gt;&lt;publisher&gt;Henley Beach, S. Aust. : Seaview Press&lt;/publisher&gt;&lt;last-updated-date format="utc"&gt;1433487186&lt;/last-updated-date&gt;&lt;contributors&gt;&lt;secondary-authors&gt;&lt;author&gt;Csiro Land and Water&lt;/author&gt;&lt;/secondary-authors&gt;&lt;/contributors&gt;&lt;/record&gt;&lt;/Cite&gt;&lt;/EndNote&gt;</w:instrText>
      </w:r>
      <w:r w:rsidR="00084CDD">
        <w:rPr>
          <w:color w:val="auto"/>
        </w:rPr>
        <w:fldChar w:fldCharType="separate"/>
      </w:r>
      <w:r w:rsidR="00B86833">
        <w:rPr>
          <w:noProof/>
          <w:color w:val="auto"/>
        </w:rPr>
        <w:t>(Cook, 2003)</w:t>
      </w:r>
      <w:r w:rsidR="00084CDD">
        <w:rPr>
          <w:color w:val="auto"/>
        </w:rPr>
        <w:fldChar w:fldCharType="end"/>
      </w:r>
      <w:r w:rsidRPr="00D26E7A">
        <w:rPr>
          <w:color w:val="auto"/>
        </w:rPr>
        <w:t>.</w:t>
      </w:r>
      <w:r>
        <w:rPr>
          <w:color w:val="auto"/>
        </w:rPr>
        <w:t xml:space="preserve"> </w:t>
      </w:r>
      <w:r w:rsidR="00642A75">
        <w:rPr>
          <w:color w:val="auto"/>
        </w:rPr>
        <w:t>Fractures may occur in impermeable rock (</w:t>
      </w:r>
      <w:r w:rsidR="00C85DC3">
        <w:rPr>
          <w:color w:val="auto"/>
        </w:rPr>
        <w:t xml:space="preserve">i.e., </w:t>
      </w:r>
      <w:r w:rsidR="00642A75">
        <w:rPr>
          <w:color w:val="auto"/>
        </w:rPr>
        <w:t>a single domain system) or in permeable rock (</w:t>
      </w:r>
      <w:r w:rsidR="00C85DC3">
        <w:rPr>
          <w:color w:val="auto"/>
        </w:rPr>
        <w:t xml:space="preserve">i.e., </w:t>
      </w:r>
      <w:r w:rsidR="00642A75">
        <w:rPr>
          <w:color w:val="auto"/>
        </w:rPr>
        <w:t xml:space="preserve">a dual domain system). </w:t>
      </w:r>
      <w:r w:rsidR="00C5220D">
        <w:rPr>
          <w:color w:val="auto"/>
        </w:rPr>
        <w:t>Background reviews on</w:t>
      </w:r>
      <w:r w:rsidR="003A6A70" w:rsidRPr="009D57C9">
        <w:rPr>
          <w:color w:val="auto"/>
        </w:rPr>
        <w:t xml:space="preserve"> </w:t>
      </w:r>
      <w:r w:rsidR="003A6A70">
        <w:rPr>
          <w:color w:val="auto"/>
        </w:rPr>
        <w:t xml:space="preserve">groundwater </w:t>
      </w:r>
      <w:r w:rsidR="003A6A70" w:rsidRPr="009D57C9">
        <w:rPr>
          <w:color w:val="auto"/>
        </w:rPr>
        <w:t xml:space="preserve">flow through </w:t>
      </w:r>
      <w:r w:rsidR="003A6A70">
        <w:rPr>
          <w:color w:val="auto"/>
        </w:rPr>
        <w:t xml:space="preserve">fractured </w:t>
      </w:r>
      <w:r w:rsidR="003A6A70" w:rsidRPr="009D57C9">
        <w:rPr>
          <w:color w:val="auto"/>
        </w:rPr>
        <w:t xml:space="preserve">porous media </w:t>
      </w:r>
      <w:r w:rsidR="00C5220D">
        <w:rPr>
          <w:color w:val="auto"/>
        </w:rPr>
        <w:t>are available from</w:t>
      </w:r>
      <w:r w:rsidR="003A6A70" w:rsidRPr="009D57C9">
        <w:rPr>
          <w:color w:val="auto"/>
        </w:rPr>
        <w:t xml:space="preserve"> </w:t>
      </w:r>
      <w:r w:rsidR="00C5220D">
        <w:rPr>
          <w:color w:val="auto"/>
        </w:rPr>
        <w:t xml:space="preserve">Ababou (1991), Berkowitz (2002), </w:t>
      </w:r>
      <w:r w:rsidR="003A6A70" w:rsidRPr="009D57C9">
        <w:rPr>
          <w:color w:val="auto"/>
        </w:rPr>
        <w:t xml:space="preserve">Cook </w:t>
      </w:r>
      <w:r w:rsidR="00084CDD">
        <w:rPr>
          <w:color w:val="auto"/>
        </w:rPr>
        <w:fldChar w:fldCharType="begin"/>
      </w:r>
      <w:r w:rsidR="00B86833">
        <w:rPr>
          <w:color w:val="auto"/>
        </w:rPr>
        <w:instrText xml:space="preserve"> ADDIN EN.CITE &lt;EndNote&gt;&lt;Cite ExcludeAuth="1"&gt;&lt;Author&gt;Cook&lt;/Author&gt;&lt;Year&gt;2003&lt;/Year&gt;&lt;IDText&gt;A guide to regional groundwater flow in fractured rock aquifers&lt;/IDText&gt;&lt;DisplayText&gt;(2003)&lt;/DisplayText&gt;&lt;record&gt;&lt;keywords&gt;&lt;keyword&gt;Groundwater -- Australia&lt;/keyword&gt;&lt;keyword&gt;Aquifers -- Australia&lt;/keyword&gt;&lt;keyword&gt;Water chemistry -- Australia&lt;/keyword&gt;&lt;keyword&gt;Electronic books&lt;/keyword&gt;&lt;/keywords&gt;&lt;titles&gt;&lt;title&gt;A guide to regional groundwater flow in fractured rock aquifers&lt;/title&gt;&lt;/titles&gt;&lt;contributors&gt;&lt;authors&gt;&lt;author&gt;Cook, P. G.&lt;/author&gt;&lt;/authors&gt;&lt;/contributors&gt;&lt;added-date format="utc"&gt;1433486345&lt;/added-date&gt;&lt;pub-location&gt;Henley Beach, S. Aust.&lt;/pub-location&gt;&lt;ref-type name="Book"&gt;6&lt;/ref-type&gt;&lt;dates&gt;&lt;year&gt;2003&lt;/year&gt;&lt;/dates&gt;&lt;rec-number&gt;123&lt;/rec-number&gt;&lt;publisher&gt;Henley Beach, S. Aust. : Seaview Press&lt;/publisher&gt;&lt;last-updated-date format="utc"&gt;1433487186&lt;/last-updated-date&gt;&lt;contributors&gt;&lt;secondary-authors&gt;&lt;author&gt;Csiro Land and Water&lt;/author&gt;&lt;/secondary-authors&gt;&lt;/contributors&gt;&lt;/record&gt;&lt;/Cite&gt;&lt;/EndNote&gt;</w:instrText>
      </w:r>
      <w:r w:rsidR="00084CDD">
        <w:rPr>
          <w:color w:val="auto"/>
        </w:rPr>
        <w:fldChar w:fldCharType="separate"/>
      </w:r>
      <w:r w:rsidR="00B86833">
        <w:rPr>
          <w:noProof/>
          <w:color w:val="auto"/>
        </w:rPr>
        <w:t>(2003)</w:t>
      </w:r>
      <w:r w:rsidR="00084CDD">
        <w:rPr>
          <w:color w:val="auto"/>
        </w:rPr>
        <w:fldChar w:fldCharType="end"/>
      </w:r>
      <w:r w:rsidR="009E6571">
        <w:rPr>
          <w:color w:val="auto"/>
        </w:rPr>
        <w:t xml:space="preserve"> and Hsieh et al. </w:t>
      </w:r>
      <w:r w:rsidR="00084CDD">
        <w:rPr>
          <w:color w:val="auto"/>
        </w:rPr>
        <w:fldChar w:fldCharType="begin"/>
      </w:r>
      <w:r w:rsidR="009E6571">
        <w:rPr>
          <w:color w:val="auto"/>
        </w:rPr>
        <w:instrText xml:space="preserve"> ADDIN EN.CITE &lt;EndNote&gt;&lt;Cite ExcludeAuth="1"&gt;&lt;Author&gt;Hsieh&lt;/Author&gt;&lt;Year&gt;2001&lt;/Year&gt;&lt;IDText&gt;Conceptual models of flow and transport in the fractured vadose zone&lt;/IDText&gt;&lt;DisplayText&gt;(2001)&lt;/DisplayText&gt;&lt;record&gt;&lt;titles&gt;&lt;title&gt;Conceptual models of flow and transport in the fractured vadose zone&lt;/title&gt;&lt;/titles&gt;&lt;pages&gt;52&lt;/pages&gt;&lt;contributors&gt;&lt;authors&gt;&lt;author&gt;Hsieh, PA&lt;/author&gt;&lt;author&gt;Bahr, JM&lt;/author&gt;&lt;author&gt;Doe, TW&lt;/author&gt;&lt;author&gt;Flint, AL&lt;/author&gt;&lt;author&gt;Gee, G&lt;/author&gt;&lt;author&gt;Gelhar, LW&lt;/author&gt;&lt;author&gt;Solomon, DK&lt;/author&gt;&lt;author&gt;van Genuchten, M&lt;/author&gt;&lt;author&gt;Wheatcraft, SW&lt;/author&gt;&lt;/authors&gt;&lt;/contributors&gt;&lt;added-date format="utc"&gt;1434955762&lt;/added-date&gt;&lt;pub-location&gt;Washington, DC, USA&lt;/pub-location&gt;&lt;ref-type name="Generic"&gt;13&lt;/ref-type&gt;&lt;dates&gt;&lt;year&gt;2001&lt;/year&gt;&lt;/dates&gt;&lt;rec-number&gt;1204&lt;/rec-number&gt;&lt;publisher&gt;National Academy Press&lt;/publisher&gt;&lt;last-updated-date format="utc"&gt;1434956014&lt;/last-updated-date&gt;&lt;/record&gt;&lt;/Cite&gt;&lt;/EndNote&gt;</w:instrText>
      </w:r>
      <w:r w:rsidR="00084CDD">
        <w:rPr>
          <w:color w:val="auto"/>
        </w:rPr>
        <w:fldChar w:fldCharType="separate"/>
      </w:r>
      <w:r w:rsidR="009E6571">
        <w:rPr>
          <w:noProof/>
          <w:color w:val="auto"/>
        </w:rPr>
        <w:t>(2001)</w:t>
      </w:r>
      <w:r w:rsidR="00084CDD">
        <w:rPr>
          <w:color w:val="auto"/>
        </w:rPr>
        <w:fldChar w:fldCharType="end"/>
      </w:r>
      <w:r w:rsidR="003A6A70" w:rsidRPr="009D57C9">
        <w:rPr>
          <w:color w:val="auto"/>
        </w:rPr>
        <w:t xml:space="preserve">. </w:t>
      </w:r>
      <w:r w:rsidR="00C5220D">
        <w:rPr>
          <w:color w:val="auto"/>
        </w:rPr>
        <w:t xml:space="preserve">Diodato (1994) provides an overview of fracture flow models. A review of permeability evolution (as a result of mechanical, chemical or thermal processes) models for fractured porous media is available from Ma (2015). </w:t>
      </w:r>
      <w:r>
        <w:rPr>
          <w:color w:val="auto"/>
        </w:rPr>
        <w:t xml:space="preserve">Approximations of </w:t>
      </w:r>
      <w:r w:rsidR="005F15E5" w:rsidRPr="005F15E5">
        <w:rPr>
          <w:color w:val="auto"/>
        </w:rPr>
        <w:t xml:space="preserve">groundwater flow in fractured </w:t>
      </w:r>
      <w:r>
        <w:rPr>
          <w:color w:val="auto"/>
        </w:rPr>
        <w:t>media</w:t>
      </w:r>
      <w:r w:rsidR="005F15E5" w:rsidRPr="005F15E5">
        <w:rPr>
          <w:color w:val="auto"/>
        </w:rPr>
        <w:t xml:space="preserve"> usually assume that</w:t>
      </w:r>
      <w:r w:rsidR="005F15E5">
        <w:rPr>
          <w:color w:val="auto"/>
        </w:rPr>
        <w:t xml:space="preserve"> </w:t>
      </w:r>
      <w:r w:rsidR="005F15E5" w:rsidRPr="005F15E5">
        <w:rPr>
          <w:color w:val="auto"/>
        </w:rPr>
        <w:t>fractures are planar and parallel</w:t>
      </w:r>
      <w:r>
        <w:rPr>
          <w:color w:val="auto"/>
        </w:rPr>
        <w:t>. M</w:t>
      </w:r>
      <w:r w:rsidR="005F15E5" w:rsidRPr="005F15E5">
        <w:rPr>
          <w:color w:val="auto"/>
        </w:rPr>
        <w:t xml:space="preserve">any </w:t>
      </w:r>
      <w:r>
        <w:rPr>
          <w:color w:val="auto"/>
        </w:rPr>
        <w:t xml:space="preserve">approaches </w:t>
      </w:r>
      <w:r w:rsidR="005F15E5" w:rsidRPr="005F15E5">
        <w:rPr>
          <w:color w:val="auto"/>
        </w:rPr>
        <w:t>also assume that fracture</w:t>
      </w:r>
      <w:r w:rsidR="0082320D">
        <w:rPr>
          <w:color w:val="auto"/>
        </w:rPr>
        <w:t xml:space="preserve"> characteristic</w:t>
      </w:r>
      <w:r w:rsidR="005F15E5" w:rsidRPr="005F15E5">
        <w:rPr>
          <w:color w:val="auto"/>
        </w:rPr>
        <w:t>s are</w:t>
      </w:r>
      <w:r w:rsidR="005F15E5">
        <w:rPr>
          <w:color w:val="auto"/>
        </w:rPr>
        <w:t xml:space="preserve"> </w:t>
      </w:r>
      <w:r w:rsidR="005F15E5" w:rsidRPr="005F15E5">
        <w:rPr>
          <w:color w:val="auto"/>
        </w:rPr>
        <w:t>identical. While these assu</w:t>
      </w:r>
      <w:r>
        <w:rPr>
          <w:color w:val="auto"/>
        </w:rPr>
        <w:t>mptions are unlikely to be true</w:t>
      </w:r>
      <w:r w:rsidR="0082320D">
        <w:rPr>
          <w:color w:val="auto"/>
        </w:rPr>
        <w:t xml:space="preserve"> in the real world</w:t>
      </w:r>
      <w:r w:rsidR="005F15E5" w:rsidRPr="005F15E5">
        <w:rPr>
          <w:color w:val="auto"/>
        </w:rPr>
        <w:t>, they</w:t>
      </w:r>
      <w:r w:rsidR="005F15E5">
        <w:rPr>
          <w:color w:val="auto"/>
        </w:rPr>
        <w:t xml:space="preserve"> </w:t>
      </w:r>
      <w:r>
        <w:rPr>
          <w:color w:val="auto"/>
        </w:rPr>
        <w:t xml:space="preserve">do </w:t>
      </w:r>
      <w:r w:rsidR="005F15E5" w:rsidRPr="005F15E5">
        <w:rPr>
          <w:color w:val="auto"/>
        </w:rPr>
        <w:t xml:space="preserve">provide a useful starting point for understanding </w:t>
      </w:r>
      <w:r>
        <w:rPr>
          <w:color w:val="auto"/>
        </w:rPr>
        <w:t xml:space="preserve">the dynamics of </w:t>
      </w:r>
      <w:r w:rsidRPr="005F15E5">
        <w:rPr>
          <w:color w:val="auto"/>
        </w:rPr>
        <w:t xml:space="preserve">groundwater </w:t>
      </w:r>
      <w:r>
        <w:rPr>
          <w:color w:val="auto"/>
        </w:rPr>
        <w:t xml:space="preserve">flow through </w:t>
      </w:r>
      <w:r w:rsidR="005F15E5">
        <w:rPr>
          <w:color w:val="auto"/>
        </w:rPr>
        <w:t xml:space="preserve">fractured rocks </w:t>
      </w:r>
      <w:r w:rsidR="00084CDD">
        <w:rPr>
          <w:color w:val="auto"/>
        </w:rPr>
        <w:fldChar w:fldCharType="begin"/>
      </w:r>
      <w:r w:rsidR="00B86833">
        <w:rPr>
          <w:color w:val="auto"/>
        </w:rPr>
        <w:instrText xml:space="preserve"> ADDIN EN.CITE &lt;EndNote&gt;&lt;Cite&gt;&lt;Author&gt;Cook&lt;/Author&gt;&lt;Year&gt;2003&lt;/Year&gt;&lt;IDText&gt;A guide to regional groundwater flow in fractured rock aquifers&lt;/IDText&gt;&lt;DisplayText&gt;(Cook, 2003)&lt;/DisplayText&gt;&lt;record&gt;&lt;keywords&gt;&lt;keyword&gt;Groundwater -- Australia&lt;/keyword&gt;&lt;keyword&gt;Aquifers -- Australia&lt;/keyword&gt;&lt;keyword&gt;Water chemistry -- Australia&lt;/keyword&gt;&lt;keyword&gt;Electronic books&lt;/keyword&gt;&lt;/keywords&gt;&lt;titles&gt;&lt;title&gt;A guide to regional groundwater flow in fractured rock aquifers&lt;/title&gt;&lt;/titles&gt;&lt;contributors&gt;&lt;authors&gt;&lt;author&gt;Cook, P. G.&lt;/author&gt;&lt;/authors&gt;&lt;/contributors&gt;&lt;added-date format="utc"&gt;1433486345&lt;/added-date&gt;&lt;pub-location&gt;Henley Beach, S. Aust.&lt;/pub-location&gt;&lt;ref-type name="Book"&gt;6&lt;/ref-type&gt;&lt;dates&gt;&lt;year&gt;2003&lt;/year&gt;&lt;/dates&gt;&lt;rec-number&gt;123&lt;/rec-number&gt;&lt;publisher&gt;Henley Beach, S. Aust. : Seaview Press&lt;/publisher&gt;&lt;last-updated-date format="utc"&gt;1433487186&lt;/last-updated-date&gt;&lt;contributors&gt;&lt;secondary-authors&gt;&lt;author&gt;Csiro Land and Water&lt;/author&gt;&lt;/secondary-authors&gt;&lt;/contributors&gt;&lt;/record&gt;&lt;/Cite&gt;&lt;/EndNote&gt;</w:instrText>
      </w:r>
      <w:r w:rsidR="00084CDD">
        <w:rPr>
          <w:color w:val="auto"/>
        </w:rPr>
        <w:fldChar w:fldCharType="separate"/>
      </w:r>
      <w:r w:rsidR="00B86833">
        <w:rPr>
          <w:noProof/>
          <w:color w:val="auto"/>
        </w:rPr>
        <w:t>(Cook, 2003)</w:t>
      </w:r>
      <w:r w:rsidR="00084CDD">
        <w:rPr>
          <w:color w:val="auto"/>
        </w:rPr>
        <w:fldChar w:fldCharType="end"/>
      </w:r>
      <w:r w:rsidR="005F15E5">
        <w:rPr>
          <w:color w:val="auto"/>
        </w:rPr>
        <w:t>.</w:t>
      </w:r>
    </w:p>
    <w:p w14:paraId="01AF652D" w14:textId="16B5A2D6" w:rsidR="001273F2" w:rsidRDefault="00FB18DA" w:rsidP="001273F2">
      <w:pPr>
        <w:pStyle w:val="Body"/>
        <w:rPr>
          <w:color w:val="auto"/>
        </w:rPr>
      </w:pPr>
      <w:r w:rsidRPr="00FB18DA">
        <w:rPr>
          <w:color w:val="auto"/>
        </w:rPr>
        <w:t xml:space="preserve">The </w:t>
      </w:r>
      <w:r>
        <w:rPr>
          <w:color w:val="auto"/>
        </w:rPr>
        <w:t xml:space="preserve">hydraulic conductivity </w:t>
      </w:r>
      <w:r w:rsidR="001273F2">
        <w:rPr>
          <w:color w:val="auto"/>
        </w:rPr>
        <w:t>(</w:t>
      </w:r>
      <w:r w:rsidR="001273F2" w:rsidRPr="00FB18DA">
        <w:rPr>
          <w:i/>
          <w:color w:val="auto"/>
        </w:rPr>
        <w:t>K</w:t>
      </w:r>
      <w:r w:rsidR="001273F2" w:rsidRPr="00FB18DA">
        <w:rPr>
          <w:i/>
          <w:color w:val="auto"/>
          <w:vertAlign w:val="subscript"/>
        </w:rPr>
        <w:t>f</w:t>
      </w:r>
      <w:r w:rsidR="001273F2">
        <w:rPr>
          <w:color w:val="auto"/>
        </w:rPr>
        <w:t xml:space="preserve">) </w:t>
      </w:r>
      <w:r w:rsidR="00003192">
        <w:rPr>
          <w:color w:val="auto"/>
        </w:rPr>
        <w:t>[L.T</w:t>
      </w:r>
      <w:r w:rsidR="00003192" w:rsidRPr="00003192">
        <w:rPr>
          <w:color w:val="auto"/>
          <w:vertAlign w:val="superscript"/>
        </w:rPr>
        <w:t>-1</w:t>
      </w:r>
      <w:r w:rsidR="00003192">
        <w:rPr>
          <w:color w:val="auto"/>
        </w:rPr>
        <w:t xml:space="preserve">] </w:t>
      </w:r>
      <w:r>
        <w:rPr>
          <w:color w:val="auto"/>
        </w:rPr>
        <w:t xml:space="preserve">of a single fracture </w:t>
      </w:r>
      <w:r w:rsidR="001273F2">
        <w:rPr>
          <w:color w:val="auto"/>
        </w:rPr>
        <w:t xml:space="preserve">located in impervious rock </w:t>
      </w:r>
      <w:r w:rsidR="00E52566">
        <w:rPr>
          <w:color w:val="auto"/>
        </w:rPr>
        <w:t>can be calculated as: [</w:t>
      </w:r>
      <w:r w:rsidR="008360B0">
        <w:rPr>
          <w:color w:val="auto"/>
        </w:rPr>
        <w:t xml:space="preserve">for a </w:t>
      </w:r>
      <w:r>
        <w:rPr>
          <w:color w:val="auto"/>
        </w:rPr>
        <w:t xml:space="preserve">derivation </w:t>
      </w:r>
      <w:r w:rsidR="00B13331">
        <w:rPr>
          <w:color w:val="auto"/>
        </w:rPr>
        <w:t xml:space="preserve">of </w:t>
      </w:r>
      <w:r w:rsidR="008360B0">
        <w:rPr>
          <w:color w:val="auto"/>
        </w:rPr>
        <w:t xml:space="preserve">the </w:t>
      </w:r>
      <w:r>
        <w:rPr>
          <w:color w:val="auto"/>
        </w:rPr>
        <w:t>equation</w:t>
      </w:r>
      <w:r w:rsidR="008360B0">
        <w:rPr>
          <w:color w:val="auto"/>
        </w:rPr>
        <w:t xml:space="preserve"> from first principles, see</w:t>
      </w:r>
      <w:r>
        <w:rPr>
          <w:color w:val="auto"/>
        </w:rPr>
        <w:t xml:space="preserve"> </w:t>
      </w:r>
      <w:r w:rsidR="00084CDD">
        <w:rPr>
          <w:color w:val="auto"/>
        </w:rPr>
        <w:fldChar w:fldCharType="begin"/>
      </w:r>
      <w:r w:rsidR="00121FAD">
        <w:rPr>
          <w:color w:val="auto"/>
        </w:rPr>
        <w:instrText xml:space="preserve"> ADDIN EN.CITE &lt;EndNote&gt;&lt;Cite&gt;&lt;Author&gt;Bear&lt;/Author&gt;&lt;Year&gt;1993&lt;/Year&gt;&lt;IDText&gt;Flow and contaminant transport in fractured rock&lt;/IDText&gt;&lt;DisplayText&gt;(Bear et al., 1993)&lt;/DisplayText&gt;&lt;record&gt;&lt;titles&gt;&lt;title&gt;Flow and contaminant transport in fractured rock&lt;/title&gt;&lt;/titles&gt;&lt;contributors&gt;&lt;authors&gt;&lt;author&gt;Bear, Jacob&lt;/author&gt;&lt;author&gt;Tsang, Chin-Fu&lt;/author&gt;&lt;author&gt;de Marsily, Ghislain&lt;/author&gt;&lt;/authors&gt;&lt;/contributors&gt;&lt;added-date format="utc"&gt;1433484922&lt;/added-date&gt;&lt;pub-location&gt;San Diego; London&lt;/pub-location&gt;&lt;ref-type name="Book"&gt;6&lt;/ref-type&gt;&lt;dates&gt;&lt;year&gt;1993&lt;/year&gt;&lt;/dates&gt;&lt;rec-number&gt;120&lt;/rec-number&gt;&lt;publisher&gt;Academic Press&lt;/publisher&gt;&lt;last-updated-date format="utc"&gt;1433485691&lt;/last-updated-date&gt;&lt;/record&gt;&lt;/Cite&gt;&lt;/EndNote&gt;</w:instrText>
      </w:r>
      <w:r w:rsidR="00084CDD">
        <w:rPr>
          <w:color w:val="auto"/>
        </w:rPr>
        <w:fldChar w:fldCharType="separate"/>
      </w:r>
      <w:r w:rsidR="00121FAD">
        <w:rPr>
          <w:noProof/>
          <w:color w:val="auto"/>
        </w:rPr>
        <w:t>(Bear et al., 1993)</w:t>
      </w:r>
      <w:r w:rsidR="00084CDD">
        <w:rPr>
          <w:color w:val="auto"/>
        </w:rPr>
        <w:fldChar w:fldCharType="end"/>
      </w:r>
      <w:r w:rsidR="00E52566">
        <w:rPr>
          <w:color w:val="auto"/>
        </w:rPr>
        <w:t>]</w:t>
      </w:r>
    </w:p>
    <w:p w14:paraId="40C913B0" w14:textId="01DBD4AE" w:rsidR="00FB18DA" w:rsidRDefault="001273F2" w:rsidP="001273F2">
      <w:pPr>
        <w:pStyle w:val="Body"/>
        <w:tabs>
          <w:tab w:val="center" w:pos="4536"/>
          <w:tab w:val="right" w:pos="9072"/>
        </w:tabs>
        <w:rPr>
          <w:color w:val="auto"/>
        </w:rPr>
      </w:pPr>
      <w:r>
        <w:rPr>
          <w:color w:val="auto"/>
        </w:rPr>
        <w:tab/>
      </w:r>
      <m:oMath>
        <m:sSub>
          <m:sSubPr>
            <m:ctrlPr>
              <w:rPr>
                <w:rFonts w:ascii="Cambria Math" w:hAnsi="Cambria Math"/>
                <w:i/>
                <w:color w:val="auto"/>
              </w:rPr>
            </m:ctrlPr>
          </m:sSubPr>
          <m:e>
            <m:r>
              <w:rPr>
                <w:rFonts w:ascii="Cambria Math" w:hAnsi="Cambria Math"/>
                <w:color w:val="auto"/>
              </w:rPr>
              <m:t>K</m:t>
            </m:r>
          </m:e>
          <m:sub>
            <m:r>
              <w:rPr>
                <w:rFonts w:ascii="Cambria Math" w:hAnsi="Cambria Math"/>
                <w:color w:val="auto"/>
              </w:rPr>
              <m:t>f</m:t>
            </m:r>
          </m:sub>
        </m:sSub>
        <m:r>
          <w:rPr>
            <w:rFonts w:ascii="Cambria Math" w:hAnsi="Cambria Math"/>
            <w:color w:val="auto"/>
          </w:rPr>
          <m:t>=</m:t>
        </m:r>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num>
          <m:den>
            <m:r>
              <w:rPr>
                <w:rFonts w:ascii="Cambria Math" w:hAnsi="Cambria Math"/>
                <w:color w:val="auto"/>
              </w:rPr>
              <m:t>12</m:t>
            </m:r>
          </m:den>
        </m:f>
        <m:f>
          <m:fPr>
            <m:ctrlPr>
              <w:rPr>
                <w:rFonts w:ascii="Cambria Math" w:hAnsi="Cambria Math"/>
                <w:i/>
                <w:color w:val="auto"/>
              </w:rPr>
            </m:ctrlPr>
          </m:fPr>
          <m:num>
            <m:r>
              <w:rPr>
                <w:rFonts w:ascii="Cambria Math" w:hAnsi="Cambria Math"/>
                <w:color w:val="auto"/>
              </w:rPr>
              <m:t>ρg</m:t>
            </m:r>
          </m:num>
          <m:den>
            <m:r>
              <w:rPr>
                <w:rFonts w:ascii="Cambria Math" w:hAnsi="Cambria Math"/>
                <w:color w:val="auto"/>
              </w:rPr>
              <m:t>μ</m:t>
            </m:r>
          </m:den>
        </m:f>
      </m:oMath>
      <w:r>
        <w:rPr>
          <w:color w:val="auto"/>
        </w:rPr>
        <w:tab/>
        <w:t>(</w:t>
      </w:r>
      <w:r w:rsidR="005A7C64">
        <w:rPr>
          <w:color w:val="auto"/>
        </w:rPr>
        <w:t>6</w:t>
      </w:r>
      <w:r w:rsidRPr="0032201E">
        <w:t>)</w:t>
      </w:r>
    </w:p>
    <w:p w14:paraId="7D052472" w14:textId="77777777" w:rsidR="001273F2" w:rsidRDefault="002C3690" w:rsidP="001273F2">
      <w:pPr>
        <w:pStyle w:val="Body"/>
        <w:rPr>
          <w:color w:val="auto"/>
        </w:rPr>
      </w:pPr>
      <w:r>
        <w:rPr>
          <w:color w:val="auto"/>
        </w:rPr>
        <w:t xml:space="preserve">where </w:t>
      </w:r>
      <w:r>
        <w:rPr>
          <w:i/>
          <w:color w:val="auto"/>
        </w:rPr>
        <w:t>b</w:t>
      </w:r>
      <w:r>
        <w:rPr>
          <w:color w:val="auto"/>
        </w:rPr>
        <w:t xml:space="preserve"> = fracture aperture [L], </w:t>
      </w:r>
      <w:r w:rsidR="0082320D" w:rsidRPr="0082320D">
        <w:rPr>
          <w:i/>
          <w:color w:val="auto"/>
        </w:rPr>
        <w:t>ρ</w:t>
      </w:r>
      <w:r w:rsidRPr="0082320D">
        <w:rPr>
          <w:i/>
          <w:color w:val="auto"/>
        </w:rPr>
        <w:t xml:space="preserve"> </w:t>
      </w:r>
      <w:r>
        <w:rPr>
          <w:color w:val="auto"/>
        </w:rPr>
        <w:t>= density of water [M.L</w:t>
      </w:r>
      <w:r>
        <w:rPr>
          <w:color w:val="auto"/>
          <w:vertAlign w:val="superscript"/>
        </w:rPr>
        <w:t>-3</w:t>
      </w:r>
      <w:r>
        <w:rPr>
          <w:color w:val="auto"/>
        </w:rPr>
        <w:t xml:space="preserve">], </w:t>
      </w:r>
      <w:r>
        <w:rPr>
          <w:i/>
          <w:color w:val="auto"/>
        </w:rPr>
        <w:t xml:space="preserve">g </w:t>
      </w:r>
      <w:r>
        <w:rPr>
          <w:color w:val="auto"/>
        </w:rPr>
        <w:t>= gravitational acceleration [L.T</w:t>
      </w:r>
      <w:r>
        <w:rPr>
          <w:color w:val="auto"/>
          <w:vertAlign w:val="superscript"/>
        </w:rPr>
        <w:t>-2</w:t>
      </w:r>
      <w:r>
        <w:rPr>
          <w:color w:val="auto"/>
        </w:rPr>
        <w:t xml:space="preserve">] and </w:t>
      </w:r>
      <w:r w:rsidR="0082320D" w:rsidRPr="0082320D">
        <w:rPr>
          <w:i/>
          <w:color w:val="auto"/>
        </w:rPr>
        <w:t>µ</w:t>
      </w:r>
      <w:r>
        <w:rPr>
          <w:color w:val="auto"/>
        </w:rPr>
        <w:t xml:space="preserve"> = viscosity of water [M.L</w:t>
      </w:r>
      <w:r>
        <w:rPr>
          <w:color w:val="auto"/>
          <w:vertAlign w:val="superscript"/>
        </w:rPr>
        <w:t>-1</w:t>
      </w:r>
      <w:r>
        <w:rPr>
          <w:color w:val="auto"/>
        </w:rPr>
        <w:t>.T</w:t>
      </w:r>
      <w:r>
        <w:rPr>
          <w:color w:val="auto"/>
          <w:vertAlign w:val="superscript"/>
        </w:rPr>
        <w:t>-1</w:t>
      </w:r>
      <w:r>
        <w:rPr>
          <w:color w:val="auto"/>
        </w:rPr>
        <w:t xml:space="preserve">]. </w:t>
      </w:r>
      <w:r w:rsidR="00FB18DA">
        <w:rPr>
          <w:color w:val="auto"/>
        </w:rPr>
        <w:t xml:space="preserve">Similarly, the </w:t>
      </w:r>
      <w:r>
        <w:rPr>
          <w:color w:val="auto"/>
        </w:rPr>
        <w:t xml:space="preserve">transmissivity </w:t>
      </w:r>
      <w:r w:rsidR="001273F2">
        <w:rPr>
          <w:color w:val="auto"/>
        </w:rPr>
        <w:t>(</w:t>
      </w:r>
      <w:r w:rsidR="001273F2" w:rsidRPr="002C3690">
        <w:rPr>
          <w:i/>
          <w:color w:val="auto"/>
        </w:rPr>
        <w:t>T</w:t>
      </w:r>
      <w:r w:rsidR="001273F2" w:rsidRPr="002C3690">
        <w:rPr>
          <w:i/>
          <w:color w:val="auto"/>
          <w:vertAlign w:val="subscript"/>
        </w:rPr>
        <w:t>f</w:t>
      </w:r>
      <w:r w:rsidR="001273F2">
        <w:rPr>
          <w:color w:val="auto"/>
        </w:rPr>
        <w:t xml:space="preserve">) </w:t>
      </w:r>
      <w:r w:rsidR="00FB18DA">
        <w:rPr>
          <w:color w:val="auto"/>
        </w:rPr>
        <w:t xml:space="preserve">a single fracture </w:t>
      </w:r>
      <w:r w:rsidR="001273F2">
        <w:rPr>
          <w:color w:val="auto"/>
        </w:rPr>
        <w:t xml:space="preserve">located in impervious rock </w:t>
      </w:r>
      <w:r w:rsidR="00FB18DA">
        <w:rPr>
          <w:color w:val="auto"/>
        </w:rPr>
        <w:t>can be calculated as</w:t>
      </w:r>
      <w:r w:rsidR="00003192">
        <w:rPr>
          <w:color w:val="auto"/>
        </w:rPr>
        <w:t xml:space="preserve"> </w:t>
      </w:r>
      <w:r w:rsidR="00084CDD">
        <w:rPr>
          <w:color w:val="auto"/>
        </w:rPr>
        <w:fldChar w:fldCharType="begin"/>
      </w:r>
      <w:r w:rsidR="00121FAD">
        <w:rPr>
          <w:color w:val="auto"/>
        </w:rPr>
        <w:instrText xml:space="preserve"> ADDIN EN.CITE &lt;EndNote&gt;&lt;Cite&gt;&lt;Author&gt;Bear&lt;/Author&gt;&lt;Year&gt;1993&lt;/Year&gt;&lt;IDText&gt;Flow and contaminant transport in fractured rock&lt;/IDText&gt;&lt;DisplayText&gt;(Bear et al., 1993)&lt;/DisplayText&gt;&lt;record&gt;&lt;titles&gt;&lt;title&gt;Flow and contaminant transport in fractured rock&lt;/title&gt;&lt;/titles&gt;&lt;contributors&gt;&lt;authors&gt;&lt;author&gt;Bear, Jacob&lt;/author&gt;&lt;author&gt;Tsang, Chin-Fu&lt;/author&gt;&lt;author&gt;de Marsily, Ghislain&lt;/author&gt;&lt;/authors&gt;&lt;/contributors&gt;&lt;added-date format="utc"&gt;1433484922&lt;/added-date&gt;&lt;pub-location&gt;San Diego; London&lt;/pub-location&gt;&lt;ref-type name="Book"&gt;6&lt;/ref-type&gt;&lt;dates&gt;&lt;year&gt;1993&lt;/year&gt;&lt;/dates&gt;&lt;rec-number&gt;120&lt;/rec-number&gt;&lt;publisher&gt;Academic Press&lt;/publisher&gt;&lt;last-updated-date format="utc"&gt;1433485691&lt;/last-updated-date&gt;&lt;/record&gt;&lt;/Cite&gt;&lt;/EndNote&gt;</w:instrText>
      </w:r>
      <w:r w:rsidR="00084CDD">
        <w:rPr>
          <w:color w:val="auto"/>
        </w:rPr>
        <w:fldChar w:fldCharType="separate"/>
      </w:r>
      <w:r w:rsidR="00121FAD">
        <w:rPr>
          <w:noProof/>
          <w:color w:val="auto"/>
        </w:rPr>
        <w:t>(Bear et al., 1993)</w:t>
      </w:r>
      <w:r w:rsidR="00084CDD">
        <w:rPr>
          <w:color w:val="auto"/>
        </w:rPr>
        <w:fldChar w:fldCharType="end"/>
      </w:r>
      <w:r w:rsidR="00FB18DA">
        <w:rPr>
          <w:color w:val="auto"/>
        </w:rPr>
        <w:t>:</w:t>
      </w:r>
    </w:p>
    <w:p w14:paraId="495434A1" w14:textId="697AC956" w:rsidR="00FB18DA" w:rsidRDefault="001273F2" w:rsidP="001273F2">
      <w:pPr>
        <w:pStyle w:val="Body"/>
        <w:tabs>
          <w:tab w:val="center" w:pos="4536"/>
          <w:tab w:val="right" w:pos="9072"/>
        </w:tabs>
        <w:rPr>
          <w:color w:val="auto"/>
        </w:rPr>
      </w:pPr>
      <w:r>
        <w:rPr>
          <w:color w:val="auto"/>
        </w:rPr>
        <w:tab/>
      </w:r>
      <m:oMath>
        <m:sSub>
          <m:sSubPr>
            <m:ctrlPr>
              <w:rPr>
                <w:rFonts w:ascii="Cambria Math" w:hAnsi="Cambria Math"/>
                <w:i/>
                <w:color w:val="auto"/>
              </w:rPr>
            </m:ctrlPr>
          </m:sSubPr>
          <m:e>
            <m:r>
              <w:rPr>
                <w:rFonts w:ascii="Cambria Math" w:hAnsi="Cambria Math"/>
                <w:color w:val="auto"/>
              </w:rPr>
              <m:t>T</m:t>
            </m:r>
          </m:e>
          <m:sub>
            <m:r>
              <w:rPr>
                <w:rFonts w:ascii="Cambria Math" w:hAnsi="Cambria Math"/>
                <w:color w:val="auto"/>
              </w:rPr>
              <m:t>f</m:t>
            </m:r>
          </m:sub>
        </m:sSub>
        <m:r>
          <w:rPr>
            <w:rFonts w:ascii="Cambria Math" w:hAnsi="Cambria Math"/>
            <w:color w:val="auto"/>
          </w:rPr>
          <m:t>=</m:t>
        </m:r>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3</m:t>
                </m:r>
              </m:sup>
            </m:sSup>
          </m:num>
          <m:den>
            <m:r>
              <w:rPr>
                <w:rFonts w:ascii="Cambria Math" w:hAnsi="Cambria Math"/>
                <w:color w:val="auto"/>
              </w:rPr>
              <m:t>12</m:t>
            </m:r>
          </m:den>
        </m:f>
        <m:f>
          <m:fPr>
            <m:ctrlPr>
              <w:rPr>
                <w:rFonts w:ascii="Cambria Math" w:hAnsi="Cambria Math"/>
                <w:i/>
                <w:color w:val="auto"/>
              </w:rPr>
            </m:ctrlPr>
          </m:fPr>
          <m:num>
            <m:r>
              <w:rPr>
                <w:rFonts w:ascii="Cambria Math" w:hAnsi="Cambria Math"/>
                <w:color w:val="auto"/>
              </w:rPr>
              <m:t>ρg</m:t>
            </m:r>
          </m:num>
          <m:den>
            <m:r>
              <w:rPr>
                <w:rFonts w:ascii="Cambria Math" w:hAnsi="Cambria Math"/>
                <w:color w:val="auto"/>
              </w:rPr>
              <m:t>μ</m:t>
            </m:r>
          </m:den>
        </m:f>
      </m:oMath>
      <w:r>
        <w:rPr>
          <w:color w:val="auto"/>
        </w:rPr>
        <w:tab/>
        <w:t>(</w:t>
      </w:r>
      <w:r w:rsidR="005A7C64">
        <w:rPr>
          <w:color w:val="auto"/>
        </w:rPr>
        <w:t>7</w:t>
      </w:r>
      <w:r>
        <w:rPr>
          <w:color w:val="auto"/>
        </w:rPr>
        <w:t>)</w:t>
      </w:r>
    </w:p>
    <w:p w14:paraId="3E73F136" w14:textId="77777777" w:rsidR="001273F2" w:rsidRDefault="002C3690" w:rsidP="001273F2">
      <w:pPr>
        <w:pStyle w:val="Body"/>
        <w:rPr>
          <w:color w:val="auto"/>
        </w:rPr>
      </w:pPr>
      <w:r>
        <w:rPr>
          <w:color w:val="auto"/>
        </w:rPr>
        <w:t xml:space="preserve">In order to estimate </w:t>
      </w:r>
      <w:r w:rsidR="001273F2">
        <w:rPr>
          <w:color w:val="auto"/>
        </w:rPr>
        <w:t xml:space="preserve">a </w:t>
      </w:r>
      <w:r w:rsidR="00003192">
        <w:rPr>
          <w:color w:val="auto"/>
        </w:rPr>
        <w:t xml:space="preserve">specific discharge </w:t>
      </w:r>
      <w:r w:rsidR="001273F2">
        <w:rPr>
          <w:color w:val="auto"/>
        </w:rPr>
        <w:t>rate (</w:t>
      </w:r>
      <w:r w:rsidR="00003192" w:rsidRPr="00003192">
        <w:rPr>
          <w:i/>
          <w:color w:val="auto"/>
        </w:rPr>
        <w:t>q</w:t>
      </w:r>
      <w:r w:rsidR="001273F2">
        <w:rPr>
          <w:color w:val="auto"/>
        </w:rPr>
        <w:t>)</w:t>
      </w:r>
      <w:r w:rsidR="00003192">
        <w:rPr>
          <w:color w:val="auto"/>
        </w:rPr>
        <w:t xml:space="preserve"> [L.T</w:t>
      </w:r>
      <w:r w:rsidR="00003192" w:rsidRPr="00003192">
        <w:rPr>
          <w:color w:val="auto"/>
          <w:vertAlign w:val="superscript"/>
        </w:rPr>
        <w:t>-1</w:t>
      </w:r>
      <w:r w:rsidR="00003192">
        <w:rPr>
          <w:color w:val="auto"/>
        </w:rPr>
        <w:t>]</w:t>
      </w:r>
      <w:r w:rsidR="001273F2">
        <w:rPr>
          <w:color w:val="auto"/>
        </w:rPr>
        <w:t xml:space="preserve">, </w:t>
      </w:r>
      <w:r>
        <w:rPr>
          <w:color w:val="auto"/>
        </w:rPr>
        <w:t xml:space="preserve">a network of fractures </w:t>
      </w:r>
      <w:r w:rsidR="001273F2">
        <w:rPr>
          <w:color w:val="auto"/>
        </w:rPr>
        <w:t xml:space="preserve">can be conceived </w:t>
      </w:r>
      <w:r>
        <w:rPr>
          <w:color w:val="auto"/>
        </w:rPr>
        <w:t>as a parallel set</w:t>
      </w:r>
      <w:r w:rsidR="001273F2">
        <w:rPr>
          <w:color w:val="auto"/>
        </w:rPr>
        <w:t xml:space="preserve"> of identical single fractures. Therefore</w:t>
      </w:r>
      <w:r>
        <w:rPr>
          <w:color w:val="auto"/>
        </w:rPr>
        <w:t xml:space="preserve">, the latter equation can be scaled linearly </w:t>
      </w:r>
      <w:r w:rsidR="001273F2">
        <w:rPr>
          <w:color w:val="auto"/>
        </w:rPr>
        <w:t>by the number of fractures (</w:t>
      </w:r>
      <w:r w:rsidR="00170F90">
        <w:rPr>
          <w:i/>
          <w:color w:val="auto"/>
        </w:rPr>
        <w:t>N</w:t>
      </w:r>
      <w:r w:rsidR="001273F2">
        <w:rPr>
          <w:color w:val="auto"/>
        </w:rPr>
        <w:t>) and by the hydraulic gradient (</w:t>
      </w:r>
      <w:r w:rsidR="001273F2">
        <w:rPr>
          <w:i/>
          <w:color w:val="auto"/>
        </w:rPr>
        <w:t>i</w:t>
      </w:r>
      <w:r w:rsidR="001273F2">
        <w:rPr>
          <w:color w:val="auto"/>
        </w:rPr>
        <w:t>)</w:t>
      </w:r>
      <w:r w:rsidR="00003192">
        <w:rPr>
          <w:color w:val="auto"/>
        </w:rPr>
        <w:t xml:space="preserve"> </w:t>
      </w:r>
      <w:r w:rsidR="00084CDD">
        <w:rPr>
          <w:color w:val="auto"/>
        </w:rPr>
        <w:fldChar w:fldCharType="begin"/>
      </w:r>
      <w:r w:rsidR="00121FAD">
        <w:rPr>
          <w:color w:val="auto"/>
        </w:rPr>
        <w:instrText xml:space="preserve"> ADDIN EN.CITE &lt;EndNote&gt;&lt;Cite&gt;&lt;Author&gt;Bear&lt;/Author&gt;&lt;Year&gt;1993&lt;/Year&gt;&lt;IDText&gt;Flow and contaminant transport in fractured rock&lt;/IDText&gt;&lt;DisplayText&gt;(Bear et al., 1993)&lt;/DisplayText&gt;&lt;record&gt;&lt;titles&gt;&lt;title&gt;Flow and contaminant transport in fractured rock&lt;/title&gt;&lt;/titles&gt;&lt;contributors&gt;&lt;authors&gt;&lt;author&gt;Bear, Jacob&lt;/author&gt;&lt;author&gt;Tsang, Chin-Fu&lt;/author&gt;&lt;author&gt;de Marsily, Ghislain&lt;/author&gt;&lt;/authors&gt;&lt;/contributors&gt;&lt;added-date format="utc"&gt;1433484922&lt;/added-date&gt;&lt;pub-location&gt;San Diego; London&lt;/pub-location&gt;&lt;ref-type name="Book"&gt;6&lt;/ref-type&gt;&lt;dates&gt;&lt;year&gt;1993&lt;/year&gt;&lt;/dates&gt;&lt;rec-number&gt;120&lt;/rec-number&gt;&lt;publisher&gt;Academic Press&lt;/publisher&gt;&lt;last-updated-date format="utc"&gt;1433485691&lt;/last-updated-date&gt;&lt;/record&gt;&lt;/Cite&gt;&lt;/EndNote&gt;</w:instrText>
      </w:r>
      <w:r w:rsidR="00084CDD">
        <w:rPr>
          <w:color w:val="auto"/>
        </w:rPr>
        <w:fldChar w:fldCharType="separate"/>
      </w:r>
      <w:r w:rsidR="00121FAD">
        <w:rPr>
          <w:noProof/>
          <w:color w:val="auto"/>
        </w:rPr>
        <w:t>(Bear et al., 1993)</w:t>
      </w:r>
      <w:r w:rsidR="00084CDD">
        <w:rPr>
          <w:color w:val="auto"/>
        </w:rPr>
        <w:fldChar w:fldCharType="end"/>
      </w:r>
      <w:r w:rsidR="001273F2">
        <w:rPr>
          <w:color w:val="auto"/>
        </w:rPr>
        <w:t>:</w:t>
      </w:r>
    </w:p>
    <w:p w14:paraId="00F96D9A" w14:textId="268AD5F1" w:rsidR="001273F2" w:rsidRDefault="001273F2" w:rsidP="001273F2">
      <w:pPr>
        <w:pStyle w:val="Body"/>
        <w:tabs>
          <w:tab w:val="center" w:pos="4536"/>
          <w:tab w:val="right" w:pos="9072"/>
        </w:tabs>
        <w:rPr>
          <w:color w:val="auto"/>
        </w:rPr>
      </w:pPr>
      <w:r>
        <w:rPr>
          <w:color w:val="auto"/>
        </w:rPr>
        <w:tab/>
      </w:r>
      <m:oMath>
        <m:r>
          <w:rPr>
            <w:rFonts w:ascii="Cambria Math" w:hAnsi="Cambria Math"/>
            <w:color w:val="auto"/>
          </w:rPr>
          <m:t>q=N</m:t>
        </m:r>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3</m:t>
                </m:r>
              </m:sup>
            </m:sSup>
          </m:num>
          <m:den>
            <m:r>
              <w:rPr>
                <w:rFonts w:ascii="Cambria Math" w:hAnsi="Cambria Math"/>
                <w:color w:val="auto"/>
              </w:rPr>
              <m:t>12</m:t>
            </m:r>
          </m:den>
        </m:f>
        <m:f>
          <m:fPr>
            <m:ctrlPr>
              <w:rPr>
                <w:rFonts w:ascii="Cambria Math" w:hAnsi="Cambria Math"/>
                <w:i/>
                <w:color w:val="auto"/>
              </w:rPr>
            </m:ctrlPr>
          </m:fPr>
          <m:num>
            <m:r>
              <w:rPr>
                <w:rFonts w:ascii="Cambria Math" w:hAnsi="Cambria Math"/>
                <w:color w:val="auto"/>
              </w:rPr>
              <m:t>ρg</m:t>
            </m:r>
          </m:num>
          <m:den>
            <m:r>
              <w:rPr>
                <w:rFonts w:ascii="Cambria Math" w:hAnsi="Cambria Math"/>
                <w:color w:val="auto"/>
              </w:rPr>
              <m:t>μ</m:t>
            </m:r>
          </m:den>
        </m:f>
        <m:r>
          <w:rPr>
            <w:rFonts w:ascii="Cambria Math" w:hAnsi="Cambria Math"/>
            <w:color w:val="auto"/>
          </w:rPr>
          <m:t>i</m:t>
        </m:r>
      </m:oMath>
      <w:r>
        <w:rPr>
          <w:color w:val="auto"/>
        </w:rPr>
        <w:tab/>
        <w:t>(</w:t>
      </w:r>
      <w:r w:rsidR="005A7C64">
        <w:rPr>
          <w:color w:val="auto"/>
        </w:rPr>
        <w:t>8</w:t>
      </w:r>
      <w:r>
        <w:rPr>
          <w:color w:val="auto"/>
        </w:rPr>
        <w:t>)</w:t>
      </w:r>
    </w:p>
    <w:p w14:paraId="7BEE5D45" w14:textId="77777777" w:rsidR="001273F2" w:rsidRDefault="001273F2" w:rsidP="007537CE">
      <w:pPr>
        <w:pStyle w:val="Body"/>
        <w:rPr>
          <w:color w:val="auto"/>
        </w:rPr>
      </w:pPr>
      <w:r>
        <w:rPr>
          <w:color w:val="auto"/>
        </w:rPr>
        <w:t xml:space="preserve">This approach can be further developed </w:t>
      </w:r>
      <w:r w:rsidR="00170F90">
        <w:rPr>
          <w:color w:val="auto"/>
        </w:rPr>
        <w:t xml:space="preserve">for a network of </w:t>
      </w:r>
      <w:r w:rsidR="00003192">
        <w:rPr>
          <w:color w:val="auto"/>
        </w:rPr>
        <w:t>fractures of varying apertures and spacings</w:t>
      </w:r>
      <w:r w:rsidR="00FA2767">
        <w:rPr>
          <w:color w:val="auto"/>
        </w:rPr>
        <w:t xml:space="preserve"> </w:t>
      </w:r>
      <w:r w:rsidR="00084CDD">
        <w:rPr>
          <w:color w:val="auto"/>
        </w:rPr>
        <w:fldChar w:fldCharType="begin"/>
      </w:r>
      <w:r w:rsidR="009754DE">
        <w:rPr>
          <w:color w:val="auto"/>
        </w:rPr>
        <w:instrText xml:space="preserve"> ADDIN EN.CITE &lt;EndNote&gt;&lt;Cite&gt;&lt;Author&gt;Ababou&lt;/Author&gt;&lt;Year&gt;1991&lt;/Year&gt;&lt;IDText&gt;Approaches to large scale unsaturated flow in heterogeneous, stratified, and fractured geologic media&lt;/IDText&gt;&lt;DisplayText&gt;(Ababou, 1991)&lt;/DisplayText&gt;&lt;record&gt;&lt;keywords&gt;&lt;keyword&gt;Environmental Geology&lt;/keyword&gt;&lt;keyword&gt;Fractured Materials&lt;/keyword&gt;&lt;keyword&gt;Ground Water&lt;/keyword&gt;&lt;keyword&gt;Heterogeneous Materials&lt;/keyword&gt;&lt;keyword&gt;Hydrogeology&lt;/keyword&gt;&lt;keyword&gt;Isotopes&lt;/keyword&gt;&lt;keyword&gt;Layered Materials&lt;/keyword&gt;&lt;keyword&gt;Models&lt;/keyword&gt;&lt;keyword&gt;Movement&lt;/keyword&gt;&lt;keyword&gt;Nevada&lt;/keyword&gt;&lt;keyword&gt;Nye County Nevada&lt;/keyword&gt;&lt;keyword&gt;Pollution&lt;/keyword&gt;&lt;keyword&gt;Radioactive Waste&lt;/keyword&gt;&lt;keyword&gt;Transport&lt;/keyword&gt;&lt;keyword&gt;United States&lt;/keyword&gt;&lt;keyword&gt;Unsaturated Zone&lt;/keyword&gt;&lt;keyword&gt;Yucca Mountain&lt;/keyword&gt;&lt;/keywords&gt;&lt;isbn&gt;0278-1670&lt;/isbn&gt;&lt;titles&gt;&lt;title&gt;Approaches to large scale unsaturated flow in heterogeneous, stratified, and fractured geologic media&lt;/title&gt;&lt;/titles&gt;&lt;contributors&gt;&lt;authors&gt;&lt;author&gt;Ababou, Rachid&lt;/author&gt;&lt;/authors&gt;&lt;/contributors&gt;&lt;added-date format="utc"&gt;1433485677&lt;/added-date&gt;&lt;pub-location&gt;Washington, DC&lt;/pub-location&gt;&lt;ref-type name="Generic"&gt;13&lt;/ref-type&gt;&lt;dates&gt;&lt;year&gt;1991&lt;/year&gt;&lt;/dates&gt;&lt;rec-number&gt;121&lt;/rec-number&gt;&lt;publisher&gt;Washington, DC, United States: U. S. Nuclear Regulatory Commission, Office of Nuclear Regulatory Research&lt;/publisher&gt;&lt;last-updated-date format="utc"&gt;1433830492&lt;/last-updated-date&gt;&lt;/record&gt;&lt;/Cite&gt;&lt;/EndNote&gt;</w:instrText>
      </w:r>
      <w:r w:rsidR="00084CDD">
        <w:rPr>
          <w:color w:val="auto"/>
        </w:rPr>
        <w:fldChar w:fldCharType="separate"/>
      </w:r>
      <w:r w:rsidR="009754DE">
        <w:rPr>
          <w:noProof/>
          <w:color w:val="auto"/>
        </w:rPr>
        <w:t>(Ababou, 1991)</w:t>
      </w:r>
      <w:r w:rsidR="00084CDD">
        <w:rPr>
          <w:color w:val="auto"/>
        </w:rPr>
        <w:fldChar w:fldCharType="end"/>
      </w:r>
      <w:r w:rsidR="00FA2767">
        <w:rPr>
          <w:color w:val="auto"/>
        </w:rPr>
        <w:t>:</w:t>
      </w:r>
    </w:p>
    <w:p w14:paraId="027D2658" w14:textId="373E4609" w:rsidR="00003192" w:rsidRDefault="00003192" w:rsidP="00003192">
      <w:pPr>
        <w:pStyle w:val="Body"/>
        <w:tabs>
          <w:tab w:val="center" w:pos="4536"/>
          <w:tab w:val="right" w:pos="9072"/>
        </w:tabs>
        <w:rPr>
          <w:color w:val="auto"/>
        </w:rPr>
      </w:pPr>
      <w:r>
        <w:rPr>
          <w:color w:val="auto"/>
        </w:rPr>
        <w:tab/>
      </w:r>
      <m:oMath>
        <m:acc>
          <m:accPr>
            <m:ctrlPr>
              <w:rPr>
                <w:rFonts w:ascii="Cambria Math" w:hAnsi="Cambria Math"/>
                <w:i/>
                <w:color w:val="auto"/>
              </w:rPr>
            </m:ctrlPr>
          </m:accPr>
          <m:e>
            <m:r>
              <w:rPr>
                <w:rFonts w:ascii="Cambria Math" w:hAnsi="Cambria Math"/>
                <w:color w:val="auto"/>
              </w:rPr>
              <m:t>q</m:t>
            </m:r>
          </m:e>
        </m:acc>
        <m:r>
          <w:rPr>
            <w:rFonts w:ascii="Cambria Math" w:hAnsi="Cambria Math"/>
            <w:color w:val="auto"/>
          </w:rPr>
          <m:t>=</m:t>
        </m:r>
        <m:f>
          <m:fPr>
            <m:ctrlPr>
              <w:rPr>
                <w:rFonts w:ascii="Cambria Math" w:hAnsi="Cambria Math"/>
                <w:i/>
                <w:color w:val="auto"/>
              </w:rPr>
            </m:ctrlPr>
          </m:fPr>
          <m:num>
            <m:nary>
              <m:naryPr>
                <m:chr m:val="∑"/>
                <m:limLoc m:val="undOvr"/>
                <m:subHide m:val="1"/>
                <m:supHide m:val="1"/>
                <m:ctrlPr>
                  <w:rPr>
                    <w:rFonts w:ascii="Cambria Math" w:hAnsi="Cambria Math"/>
                    <w:i/>
                    <w:color w:val="auto"/>
                  </w:rPr>
                </m:ctrlPr>
              </m:naryPr>
              <m:sub/>
              <m:sup/>
              <m:e>
                <m:sSup>
                  <m:sSupPr>
                    <m:ctrlPr>
                      <w:rPr>
                        <w:rFonts w:ascii="Cambria Math" w:hAnsi="Cambria Math"/>
                        <w:i/>
                        <w:color w:val="auto"/>
                      </w:rPr>
                    </m:ctrlPr>
                  </m:sSupPr>
                  <m:e>
                    <m:sSub>
                      <m:sSubPr>
                        <m:ctrlPr>
                          <w:rPr>
                            <w:rFonts w:ascii="Cambria Math" w:hAnsi="Cambria Math"/>
                            <w:i/>
                            <w:color w:val="auto"/>
                          </w:rPr>
                        </m:ctrlPr>
                      </m:sSubPr>
                      <m:e>
                        <m:r>
                          <w:rPr>
                            <w:rFonts w:ascii="Cambria Math" w:hAnsi="Cambria Math"/>
                            <w:color w:val="auto"/>
                          </w:rPr>
                          <m:t>b</m:t>
                        </m:r>
                      </m:e>
                      <m:sub>
                        <m:r>
                          <w:rPr>
                            <w:rFonts w:ascii="Cambria Math" w:hAnsi="Cambria Math"/>
                            <w:color w:val="auto"/>
                          </w:rPr>
                          <m:t>k</m:t>
                        </m:r>
                      </m:sub>
                    </m:sSub>
                  </m:e>
                  <m:sup>
                    <m:r>
                      <w:rPr>
                        <w:rFonts w:ascii="Cambria Math" w:hAnsi="Cambria Math"/>
                        <w:color w:val="auto"/>
                      </w:rPr>
                      <m:t>3</m:t>
                    </m:r>
                  </m:sup>
                </m:sSup>
              </m:e>
            </m:nary>
          </m:num>
          <m:den>
            <m:nary>
              <m:naryPr>
                <m:chr m:val="∑"/>
                <m:limLoc m:val="undOvr"/>
                <m:subHide m:val="1"/>
                <m:supHide m:val="1"/>
                <m:ctrlPr>
                  <w:rPr>
                    <w:rFonts w:ascii="Cambria Math" w:hAnsi="Cambria Math"/>
                    <w:i/>
                    <w:color w:val="auto"/>
                  </w:rPr>
                </m:ctrlPr>
              </m:naryPr>
              <m:sub/>
              <m:sup/>
              <m:e>
                <m:sSub>
                  <m:sSubPr>
                    <m:ctrlPr>
                      <w:rPr>
                        <w:rFonts w:ascii="Cambria Math" w:hAnsi="Cambria Math"/>
                        <w:i/>
                        <w:color w:val="auto"/>
                      </w:rPr>
                    </m:ctrlPr>
                  </m:sSubPr>
                  <m:e>
                    <m:r>
                      <w:rPr>
                        <w:rFonts w:ascii="Cambria Math" w:hAnsi="Cambria Math"/>
                        <w:color w:val="auto"/>
                      </w:rPr>
                      <m:t>l</m:t>
                    </m:r>
                  </m:e>
                  <m:sub>
                    <m:r>
                      <w:rPr>
                        <w:rFonts w:ascii="Cambria Math" w:hAnsi="Cambria Math"/>
                        <w:color w:val="auto"/>
                      </w:rPr>
                      <m:t>k</m:t>
                    </m:r>
                  </m:sub>
                </m:sSub>
              </m:e>
            </m:nary>
          </m:den>
        </m:f>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12</m:t>
            </m:r>
          </m:den>
        </m:f>
        <m:f>
          <m:fPr>
            <m:ctrlPr>
              <w:rPr>
                <w:rFonts w:ascii="Cambria Math" w:hAnsi="Cambria Math"/>
                <w:i/>
                <w:color w:val="auto"/>
              </w:rPr>
            </m:ctrlPr>
          </m:fPr>
          <m:num>
            <m:r>
              <w:rPr>
                <w:rFonts w:ascii="Cambria Math" w:hAnsi="Cambria Math"/>
                <w:color w:val="auto"/>
              </w:rPr>
              <m:t>ρg</m:t>
            </m:r>
          </m:num>
          <m:den>
            <m:r>
              <w:rPr>
                <w:rFonts w:ascii="Cambria Math" w:hAnsi="Cambria Math"/>
                <w:color w:val="auto"/>
              </w:rPr>
              <m:t>μ</m:t>
            </m:r>
          </m:den>
        </m:f>
        <m:r>
          <w:rPr>
            <w:rFonts w:ascii="Cambria Math" w:hAnsi="Cambria Math"/>
            <w:color w:val="auto"/>
          </w:rPr>
          <m:t>i</m:t>
        </m:r>
      </m:oMath>
      <w:r>
        <w:rPr>
          <w:color w:val="auto"/>
        </w:rPr>
        <w:tab/>
        <w:t>(</w:t>
      </w:r>
      <w:r w:rsidR="005A7C64">
        <w:rPr>
          <w:color w:val="auto"/>
        </w:rPr>
        <w:t>9</w:t>
      </w:r>
      <w:r>
        <w:rPr>
          <w:color w:val="auto"/>
        </w:rPr>
        <w:t>)</w:t>
      </w:r>
    </w:p>
    <w:p w14:paraId="1634A9CE" w14:textId="77777777" w:rsidR="001273F2" w:rsidRPr="00170F90" w:rsidRDefault="00003192" w:rsidP="007537CE">
      <w:pPr>
        <w:pStyle w:val="Body"/>
        <w:rPr>
          <w:color w:val="C00000"/>
        </w:rPr>
      </w:pPr>
      <w:r>
        <w:rPr>
          <w:color w:val="auto"/>
        </w:rPr>
        <w:t xml:space="preserve">where </w:t>
      </w:r>
      <m:oMath>
        <m:acc>
          <m:accPr>
            <m:ctrlPr>
              <w:rPr>
                <w:rFonts w:ascii="Cambria Math" w:hAnsi="Cambria Math"/>
                <w:i/>
                <w:color w:val="auto"/>
              </w:rPr>
            </m:ctrlPr>
          </m:accPr>
          <m:e>
            <m:r>
              <w:rPr>
                <w:rFonts w:ascii="Cambria Math" w:hAnsi="Cambria Math"/>
                <w:color w:val="auto"/>
              </w:rPr>
              <m:t>q</m:t>
            </m:r>
          </m:e>
        </m:acc>
      </m:oMath>
      <w:r>
        <w:rPr>
          <w:color w:val="auto"/>
        </w:rPr>
        <w:t xml:space="preserve"> is the mean specific discharge rate [L.T</w:t>
      </w:r>
      <w:r w:rsidRPr="00003192">
        <w:rPr>
          <w:color w:val="auto"/>
          <w:vertAlign w:val="superscript"/>
        </w:rPr>
        <w:t>-1</w:t>
      </w:r>
      <w:r>
        <w:rPr>
          <w:color w:val="auto"/>
        </w:rPr>
        <w:t xml:space="preserve">], </w:t>
      </w:r>
      <w:r w:rsidR="00170F90">
        <w:rPr>
          <w:color w:val="auto"/>
        </w:rPr>
        <w:t xml:space="preserve">and for a network of </w:t>
      </w:r>
      <w:r w:rsidR="00170F90">
        <w:rPr>
          <w:i/>
          <w:color w:val="auto"/>
        </w:rPr>
        <w:t>k</w:t>
      </w:r>
      <w:r w:rsidR="00170F90">
        <w:rPr>
          <w:color w:val="auto"/>
        </w:rPr>
        <w:t>=1...</w:t>
      </w:r>
      <w:r w:rsidR="00170F90">
        <w:rPr>
          <w:i/>
          <w:color w:val="auto"/>
        </w:rPr>
        <w:t>N</w:t>
      </w:r>
      <w:r w:rsidR="00170F90">
        <w:rPr>
          <w:color w:val="auto"/>
        </w:rPr>
        <w:t xml:space="preserve"> fractures, each with aperture </w:t>
      </w:r>
      <w:r w:rsidR="00170F90">
        <w:rPr>
          <w:i/>
          <w:color w:val="auto"/>
        </w:rPr>
        <w:t>b</w:t>
      </w:r>
      <w:r w:rsidR="00170F90">
        <w:rPr>
          <w:i/>
          <w:color w:val="auto"/>
          <w:vertAlign w:val="subscript"/>
        </w:rPr>
        <w:t>k</w:t>
      </w:r>
      <w:r w:rsidR="00170F90">
        <w:rPr>
          <w:color w:val="auto"/>
        </w:rPr>
        <w:t xml:space="preserve"> and spacing </w:t>
      </w:r>
      <w:r w:rsidR="00170F90">
        <w:rPr>
          <w:i/>
          <w:color w:val="auto"/>
        </w:rPr>
        <w:t>l</w:t>
      </w:r>
      <w:r w:rsidR="00170F90">
        <w:rPr>
          <w:i/>
          <w:color w:val="auto"/>
          <w:vertAlign w:val="subscript"/>
        </w:rPr>
        <w:t>k</w:t>
      </w:r>
      <w:r w:rsidR="00170F90">
        <w:rPr>
          <w:color w:val="auto"/>
        </w:rPr>
        <w:t>. Based on principles of superposition, additional expressions can be derived for orthogonal fracture networks. Similarly, expressions can be derived for networks featuring fractures of arbitrary orientation. It has been shown that the latter formulation is a generalisation of the</w:t>
      </w:r>
      <w:r w:rsidR="006D38E0">
        <w:rPr>
          <w:color w:val="auto"/>
        </w:rPr>
        <w:t xml:space="preserve"> </w:t>
      </w:r>
      <w:r w:rsidR="00170F90">
        <w:rPr>
          <w:color w:val="auto"/>
        </w:rPr>
        <w:t>Kozeny-Carman relationship.</w:t>
      </w:r>
      <w:r w:rsidR="00FA2767">
        <w:rPr>
          <w:color w:val="auto"/>
        </w:rPr>
        <w:t xml:space="preserve"> </w:t>
      </w:r>
    </w:p>
    <w:p w14:paraId="7D630147" w14:textId="77777777" w:rsidR="00262AB4" w:rsidRDefault="0082320D" w:rsidP="00262AB4">
      <w:pPr>
        <w:pStyle w:val="Body"/>
        <w:rPr>
          <w:color w:val="auto"/>
        </w:rPr>
      </w:pPr>
      <w:r>
        <w:t>A</w:t>
      </w:r>
      <w:r w:rsidR="00AD4D45" w:rsidRPr="00C9274B">
        <w:t>pproaches to characterising fluid flow and solute transport in fractured media</w:t>
      </w:r>
      <w:r w:rsidR="00AD4D45">
        <w:t xml:space="preserve"> </w:t>
      </w:r>
      <w:r>
        <w:t xml:space="preserve">have often been grouped </w:t>
      </w:r>
      <w:r w:rsidR="003A6A70">
        <w:rPr>
          <w:color w:val="auto"/>
        </w:rPr>
        <w:t xml:space="preserve">into </w:t>
      </w:r>
      <w:r w:rsidR="009E6571">
        <w:rPr>
          <w:color w:val="auto"/>
        </w:rPr>
        <w:t xml:space="preserve">three </w:t>
      </w:r>
      <w:r w:rsidR="003A6A70">
        <w:rPr>
          <w:color w:val="auto"/>
        </w:rPr>
        <w:t>categories</w:t>
      </w:r>
      <w:r w:rsidR="00A025AC">
        <w:rPr>
          <w:color w:val="auto"/>
        </w:rPr>
        <w:t>:</w:t>
      </w:r>
      <w:r w:rsidR="003A6A70">
        <w:rPr>
          <w:color w:val="auto"/>
        </w:rPr>
        <w:t xml:space="preserve"> (1) equivalent porous media</w:t>
      </w:r>
      <w:r w:rsidR="00A025AC">
        <w:rPr>
          <w:color w:val="auto"/>
        </w:rPr>
        <w:t xml:space="preserve"> approaches</w:t>
      </w:r>
      <w:r w:rsidR="003A6A70">
        <w:rPr>
          <w:color w:val="auto"/>
        </w:rPr>
        <w:t xml:space="preserve">; (2) dual </w:t>
      </w:r>
      <w:r w:rsidR="00A025AC">
        <w:rPr>
          <w:color w:val="auto"/>
        </w:rPr>
        <w:t xml:space="preserve">domain approaches; (3) discrete fracture networks. </w:t>
      </w:r>
      <w:r w:rsidR="009E6571">
        <w:rPr>
          <w:color w:val="auto"/>
        </w:rPr>
        <w:t xml:space="preserve">Altman et al. </w:t>
      </w:r>
      <w:r w:rsidR="00084CDD">
        <w:rPr>
          <w:color w:val="auto"/>
        </w:rPr>
        <w:fldChar w:fldCharType="begin"/>
      </w:r>
      <w:r w:rsidR="009E6571">
        <w:rPr>
          <w:color w:val="auto"/>
        </w:rPr>
        <w:instrText xml:space="preserve"> ADDIN EN.CITE &lt;EndNote&gt;&lt;Cite ExcludeAuth="1"&gt;&lt;Author&gt;Altman&lt;/Author&gt;&lt;Year&gt;1996&lt;/Year&gt;&lt;IDText&gt;Flow calculations for Yucca Mountain groundwater travel time (GWTT-95)&lt;/IDText&gt;&lt;DisplayText&gt;(1996)&lt;/DisplayText&gt;&lt;record&gt;&lt;titles&gt;&lt;title&gt;Flow calculations for Yucca Mountain groundwater travel time (GWTT-95)&lt;/title&gt;&lt;/titles&gt;&lt;contributors&gt;&lt;authors&gt;&lt;author&gt;Altman, Susan J&lt;/author&gt;&lt;author&gt;Arnold, BW&lt;/author&gt;&lt;author&gt;Barnard, RW&lt;/author&gt;&lt;author&gt;Barr, GE&lt;/author&gt;&lt;author&gt;Ho, CK&lt;/author&gt;&lt;author&gt;McKenna, SA&lt;/author&gt;&lt;author&gt;Eaton, RR&lt;/author&gt;&lt;/authors&gt;&lt;/contributors&gt;&lt;added-date format="utc"&gt;1434344452&lt;/added-date&gt;&lt;ref-type name="Report"&gt;27&lt;/ref-type&gt;&lt;dates&gt;&lt;year&gt;1996&lt;/year&gt;&lt;/dates&gt;&lt;rec-number&gt;309&lt;/rec-number&gt;&lt;publisher&gt;Sandia National Labs., Albuquerque, NM (United States)&lt;/publisher&gt;&lt;last-updated-date format="utc"&gt;1434344452&lt;/last-updated-date&gt;&lt;/record&gt;&lt;/Cite&gt;&lt;/EndNote&gt;</w:instrText>
      </w:r>
      <w:r w:rsidR="00084CDD">
        <w:rPr>
          <w:color w:val="auto"/>
        </w:rPr>
        <w:fldChar w:fldCharType="separate"/>
      </w:r>
      <w:r w:rsidR="009E6571">
        <w:rPr>
          <w:noProof/>
          <w:color w:val="auto"/>
        </w:rPr>
        <w:t>(1996)</w:t>
      </w:r>
      <w:r w:rsidR="00084CDD">
        <w:rPr>
          <w:color w:val="auto"/>
        </w:rPr>
        <w:fldChar w:fldCharType="end"/>
      </w:r>
      <w:r w:rsidR="009E6571">
        <w:rPr>
          <w:color w:val="auto"/>
        </w:rPr>
        <w:t xml:space="preserve"> </w:t>
      </w:r>
      <w:r w:rsidR="00EF6183">
        <w:rPr>
          <w:color w:val="auto"/>
        </w:rPr>
        <w:t xml:space="preserve">further </w:t>
      </w:r>
      <w:r w:rsidR="009E6571">
        <w:rPr>
          <w:color w:val="auto"/>
        </w:rPr>
        <w:t xml:space="preserve">divided each category </w:t>
      </w:r>
      <w:r w:rsidR="00EF6183">
        <w:rPr>
          <w:color w:val="auto"/>
        </w:rPr>
        <w:t>into two sub-categories (</w:t>
      </w:r>
      <w:r w:rsidR="00084CDD">
        <w:rPr>
          <w:color w:val="auto"/>
        </w:rPr>
        <w:fldChar w:fldCharType="begin"/>
      </w:r>
      <w:r w:rsidR="00A12398">
        <w:rPr>
          <w:color w:val="auto"/>
        </w:rPr>
        <w:instrText xml:space="preserve"> REF _Ref436836505 \h </w:instrText>
      </w:r>
      <w:r w:rsidR="00084CDD">
        <w:rPr>
          <w:color w:val="auto"/>
        </w:rPr>
      </w:r>
      <w:r w:rsidR="00084CDD">
        <w:rPr>
          <w:color w:val="auto"/>
        </w:rPr>
        <w:fldChar w:fldCharType="separate"/>
      </w:r>
      <w:r w:rsidR="00C52E30">
        <w:t xml:space="preserve">Figure </w:t>
      </w:r>
      <w:r w:rsidR="00C52E30">
        <w:rPr>
          <w:noProof/>
        </w:rPr>
        <w:t>11</w:t>
      </w:r>
      <w:r w:rsidR="00084CDD">
        <w:rPr>
          <w:color w:val="auto"/>
        </w:rPr>
        <w:fldChar w:fldCharType="end"/>
      </w:r>
      <w:r w:rsidR="00EF6183">
        <w:rPr>
          <w:color w:val="auto"/>
        </w:rPr>
        <w:t xml:space="preserve">). </w:t>
      </w:r>
      <w:r w:rsidR="0086358F">
        <w:rPr>
          <w:color w:val="auto"/>
        </w:rPr>
        <w:t>The</w:t>
      </w:r>
      <w:r w:rsidR="00EF6183">
        <w:rPr>
          <w:color w:val="auto"/>
        </w:rPr>
        <w:t xml:space="preserve"> three key categories </w:t>
      </w:r>
      <w:r w:rsidR="00A025AC">
        <w:rPr>
          <w:color w:val="auto"/>
        </w:rPr>
        <w:t>are now described</w:t>
      </w:r>
      <w:r w:rsidR="0086358F">
        <w:rPr>
          <w:color w:val="auto"/>
        </w:rPr>
        <w:t>.</w:t>
      </w:r>
    </w:p>
    <w:p w14:paraId="5A34EF89" w14:textId="77777777" w:rsidR="00A12398" w:rsidRDefault="00A12398" w:rsidP="00E31912">
      <w:pPr>
        <w:pStyle w:val="Body"/>
        <w:keepNext/>
        <w:rPr>
          <w:b/>
          <w:color w:val="auto"/>
        </w:rPr>
      </w:pPr>
    </w:p>
    <w:p w14:paraId="3BD64698" w14:textId="77777777" w:rsidR="00E31912" w:rsidRPr="007537CE" w:rsidRDefault="00E31912" w:rsidP="00E31912">
      <w:pPr>
        <w:pStyle w:val="Body"/>
        <w:keepNext/>
        <w:rPr>
          <w:b/>
          <w:color w:val="auto"/>
        </w:rPr>
      </w:pPr>
      <w:r w:rsidRPr="007537CE">
        <w:rPr>
          <w:b/>
          <w:color w:val="auto"/>
        </w:rPr>
        <w:t>Equivalent porous media approaches</w:t>
      </w:r>
    </w:p>
    <w:p w14:paraId="265EF74F" w14:textId="77777777" w:rsidR="00E31912" w:rsidRPr="00262AB4" w:rsidRDefault="00E31912" w:rsidP="00E31912">
      <w:pPr>
        <w:pStyle w:val="Body"/>
        <w:rPr>
          <w:b/>
          <w:color w:val="C00000"/>
        </w:rPr>
      </w:pPr>
      <w:r>
        <w:t xml:space="preserve">Equivalent porous media approaches involve the representation of combined matrix and fracture flow using a single representative medium. This is the simplest approach and features the lowest data requirements; therefore, it is most suitable for regional-scale applications of steady-state flow </w:t>
      </w:r>
      <w:r w:rsidR="00084CDD">
        <w:fldChar w:fldCharType="begin"/>
      </w:r>
      <w:r w:rsidR="00B86833">
        <w:instrText xml:space="preserve"> ADDIN EN.CITE &lt;EndNote&gt;&lt;Cite&gt;&lt;Author&gt;Cook&lt;/Author&gt;&lt;Year&gt;2003&lt;/Year&gt;&lt;IDText&gt;A guide to regional groundwater flow in fractured rock aquifers&lt;/IDText&gt;&lt;DisplayText&gt;(Cook, 2003)&lt;/DisplayText&gt;&lt;record&gt;&lt;keywords&gt;&lt;keyword&gt;Groundwater -- Australia&lt;/keyword&gt;&lt;keyword&gt;Aquifers -- Australia&lt;/keyword&gt;&lt;keyword&gt;Water chemistry -- Australia&lt;/keyword&gt;&lt;keyword&gt;Electronic books&lt;/keyword&gt;&lt;/keywords&gt;&lt;titles&gt;&lt;title&gt;A guide to regional groundwater flow in fractured rock aquifers&lt;/title&gt;&lt;/titles&gt;&lt;contributors&gt;&lt;authors&gt;&lt;author&gt;Cook, P. G.&lt;/author&gt;&lt;/authors&gt;&lt;/contributors&gt;&lt;added-date format="utc"&gt;1433486345&lt;/added-date&gt;&lt;pub-location&gt;Henley Beach, S. Aust.&lt;/pub-location&gt;&lt;ref-type name="Book"&gt;6&lt;/ref-type&gt;&lt;dates&gt;&lt;year&gt;2003&lt;/year&gt;&lt;/dates&gt;&lt;rec-number&gt;123&lt;/rec-number&gt;&lt;publisher&gt;Henley Beach, S. Aust. : Seaview Press&lt;/publisher&gt;&lt;last-updated-date format="utc"&gt;1433487186&lt;/last-updated-date&gt;&lt;contributors&gt;&lt;secondary-authors&gt;&lt;author&gt;Csiro Land and Water&lt;/author&gt;&lt;/secondary-authors&gt;&lt;/contributors&gt;&lt;/record&gt;&lt;/Cite&gt;&lt;/EndNote&gt;</w:instrText>
      </w:r>
      <w:r w:rsidR="00084CDD">
        <w:fldChar w:fldCharType="separate"/>
      </w:r>
      <w:r w:rsidR="00B86833">
        <w:rPr>
          <w:noProof/>
        </w:rPr>
        <w:t>(Cook, 2003)</w:t>
      </w:r>
      <w:r w:rsidR="00084CDD">
        <w:fldChar w:fldCharType="end"/>
      </w:r>
      <w:r>
        <w:t xml:space="preserve">. More highly fractured zones can be simulated using model cells featuring increased hydraulic conductivity and porosity. The primary limitation of the approach is the difficulty in defining the size of the REV used for simulation. Example applications of equivalent porous media approaches include </w:t>
      </w:r>
      <w:r w:rsidRPr="00A025AC">
        <w:t xml:space="preserve">Long </w:t>
      </w:r>
      <w:r w:rsidR="00810442">
        <w:t xml:space="preserve">et al. </w:t>
      </w:r>
      <w:r w:rsidR="00084CDD">
        <w:fldChar w:fldCharType="begin"/>
      </w:r>
      <w:r w:rsidR="00810442">
        <w:instrText xml:space="preserve"> ADDIN EN.CITE &lt;EndNote&gt;&lt;Cite ExcludeAuth="1"&gt;&lt;Author&gt;LONG&lt;/Author&gt;&lt;Year&gt;1982&lt;/Year&gt;&lt;IDText&gt;Porous Media Equivalents for Networks of Discontinuous Fractures&lt;/IDText&gt;&lt;DisplayText&gt;(1982)&lt;/DisplayText&gt;&lt;record&gt;&lt;dates&gt;&lt;pub-dates&gt;&lt;date&gt;1982&lt;/date&gt;&lt;/pub-dates&gt;&lt;year&gt;1982&lt;/year&gt;&lt;/dates&gt;&lt;isbn&gt;0043-1397&lt;/isbn&gt;&lt;work-type&gt;Article&lt;/work-type&gt;&lt;titles&gt;&lt;title&gt;Porous Media Equivalents for Networks of Discontinuous Fractures&lt;/title&gt;&lt;secondary-title&gt;Water Resources Research&lt;/secondary-title&gt;&lt;/titles&gt;&lt;pages&gt;645-658&lt;/pages&gt;&lt;number&gt;3&lt;/number&gt;&lt;contributors&gt;&lt;authors&gt;&lt;author&gt;LONG, JCS&lt;/author&gt;&lt;author&gt;REMER, JS&lt;/author&gt;&lt;author&gt;WILSON, CR&lt;/author&gt;&lt;author&gt;WITHERSPOON, PA&lt;/author&gt;&lt;/authors&gt;&lt;/contributors&gt;&lt;language&gt;English&lt;/language&gt;&lt;added-date format="utc"&gt;1433490455&lt;/added-date&gt;&lt;ref-type name="Journal Article"&gt;17&lt;/ref-type&gt;&lt;auth-address&gt;LONG, JCS (reprint author), UNIV CALIF BERKELEY LAWRENCE BERKELEY LAB,BERKELEY,CA 94720, USA&lt;/auth-address&gt;&lt;rec-number&gt;134&lt;/rec-number&gt;&lt;last-updated-date format="utc"&gt;1433490455&lt;/last-updated-date&gt;&lt;accession-num&gt;WOS:A1982NT27000020&lt;/accession-num&gt;&lt;electronic-resource-num&gt;10.1029/WR018i003p00645&lt;/electronic-resource-num&gt;&lt;volume&gt;18&lt;/volume&gt;&lt;/record&gt;&lt;/Cite&gt;&lt;/EndNote&gt;</w:instrText>
      </w:r>
      <w:r w:rsidR="00084CDD">
        <w:fldChar w:fldCharType="separate"/>
      </w:r>
      <w:r w:rsidR="00810442">
        <w:rPr>
          <w:noProof/>
        </w:rPr>
        <w:t>(1982)</w:t>
      </w:r>
      <w:r w:rsidR="00084CDD">
        <w:fldChar w:fldCharType="end"/>
      </w:r>
      <w:r>
        <w:t>, who</w:t>
      </w:r>
      <w:r w:rsidRPr="00A025AC">
        <w:t xml:space="preserve"> used a stochastic approach to generate two dimensional fracture set realisations, from which effective parameters were estimated using numerical groundwater flow simulations. Andersson and Dverstorp </w:t>
      </w:r>
      <w:r w:rsidR="00084CDD">
        <w:fldChar w:fldCharType="begin"/>
      </w:r>
      <w:r w:rsidR="00C97A18">
        <w:instrText xml:space="preserve"> ADDIN EN.CITE &lt;EndNote&gt;&lt;Cite ExcludeAuth="1"&gt;&lt;Author&gt;ANDERSSON&lt;/Author&gt;&lt;Year&gt;1987&lt;/Year&gt;&lt;IDText&gt;CONDITIONAL SIMULATIONS OF FLUID-FLOW IN 3-DIMENSIONAL NETWORKS OF DISCRETE FRACTURES&lt;/IDText&gt;&lt;DisplayText&gt;(1987)&lt;/DisplayText&gt;&lt;record&gt;&lt;dates&gt;&lt;pub-dates&gt;&lt;date&gt;OCT 1987&lt;/date&gt;&lt;/pub-dates&gt;&lt;year&gt;1987&lt;/year&gt;&lt;/dates&gt;&lt;isbn&gt;0043-1397&lt;/isbn&gt;&lt;work-type&gt;Article&lt;/work-type&gt;&lt;titles&gt;&lt;title&gt;CONDITIONAL SIMULATIONS OF FLUID-FLOW IN 3-DIMENSIONAL NETWORKS OF DISCRETE FRACTURES&lt;/title&gt;&lt;secondary-title&gt;Water Resources Research&lt;/secondary-title&gt;&lt;/titles&gt;&lt;pages&gt;1876-1886&lt;/pages&gt;&lt;number&gt;10&lt;/number&gt;&lt;contributors&gt;&lt;authors&gt;&lt;author&gt;ANDERSSON, J&lt;/author&gt;&lt;author&gt;DVERSTORP, B&lt;/author&gt;&lt;/authors&gt;&lt;/contributors&gt;&lt;language&gt;English&lt;/language&gt;&lt;added-date format="utc"&gt;1433485918&lt;/added-date&gt;&lt;ref-type name="Journal Article"&gt;17&lt;/ref-type&gt;&lt;auth-address&gt;ANDERSSON, J (reprint author), ROYAL INST TECHNOL,HYDRAUL ENGN,S-10044 STOCKHOLM 70,SWEDEN&lt;/auth-address&gt;&lt;rec-number&gt;122&lt;/rec-number&gt;&lt;last-updated-date format="utc"&gt;1433820122&lt;/last-updated-date&gt;&lt;accession-num&gt;WOS:A1987K702800009&lt;/accession-num&gt;&lt;electronic-resource-num&gt;10.1029/WR023i010p01876&lt;/electronic-resource-num&gt;&lt;volume&gt;23&lt;/volume&gt;&lt;/record&gt;&lt;/Cite&gt;&lt;/EndNote&gt;</w:instrText>
      </w:r>
      <w:r w:rsidR="00084CDD">
        <w:fldChar w:fldCharType="separate"/>
      </w:r>
      <w:r w:rsidR="00C97A18">
        <w:rPr>
          <w:noProof/>
        </w:rPr>
        <w:t>(1987)</w:t>
      </w:r>
      <w:r w:rsidR="00084CDD">
        <w:fldChar w:fldCharType="end"/>
      </w:r>
      <w:r w:rsidRPr="00A025AC">
        <w:t xml:space="preserve"> used the same methodology to generate three-dimensional realisations and examined the effects of fracture radii and density on flow through a discrete fracture network. Dverstorp and Andersson </w:t>
      </w:r>
      <w:r w:rsidR="00084CDD">
        <w:fldChar w:fldCharType="begin"/>
      </w:r>
      <w:r w:rsidR="00C97A18">
        <w:instrText xml:space="preserve"> ADDIN EN.CITE &lt;EndNote&gt;&lt;Cite ExcludeAuth="1"&gt;&lt;Author&gt;Dverstorp&lt;/Author&gt;&lt;Year&gt;1989&lt;/Year&gt;&lt;IDText&gt;Application of the Discrete Fracture Network Concept With Field Data - Possibilities of Model Calibration and Validation&lt;/IDText&gt;&lt;DisplayText&gt;(1989)&lt;/DisplayText&gt;&lt;record&gt;&lt;dates&gt;&lt;pub-dates&gt;&lt;date&gt;MAR 1989&lt;/date&gt;&lt;/pub-dates&gt;&lt;year&gt;1989&lt;/year&gt;&lt;/dates&gt;&lt;isbn&gt;0043-1397&lt;/isbn&gt;&lt;work-type&gt;Article&lt;/work-type&gt;&lt;titles&gt;&lt;title&gt;Application of the Discrete Fracture Network Concept With Field Data - Possibilities of Model Calibration and Validation&lt;/title&gt;&lt;secondary-title&gt;Water Resources Research&lt;/secondary-title&gt;&lt;/titles&gt;&lt;pages&gt;540-550&lt;/pages&gt;&lt;number&gt;3&lt;/number&gt;&lt;contributors&gt;&lt;authors&gt;&lt;author&gt;Dverstorp, B&lt;/author&gt;&lt;author&gt;Andersson, J&lt;/author&gt;&lt;/authors&gt;&lt;/contributors&gt;&lt;language&gt;English&lt;/language&gt;&lt;added-date format="utc"&gt;1433488401&lt;/added-date&gt;&lt;ref-type name="Journal Article"&gt;17&lt;/ref-type&gt;&lt;auth-address&gt;DVERSTORP, B (reprint author), ROYAL INST TECHNOL,S-10044 STOCKHOLM 70,SWEDEN&lt;/auth-address&gt;&lt;rec-number&gt;127&lt;/rec-number&gt;&lt;last-updated-date format="utc"&gt;1433488401&lt;/last-updated-date&gt;&lt;accession-num&gt;WOS:A1989T538600019&lt;/accession-num&gt;&lt;electronic-resource-num&gt;10.1029/WR025i003p00540&lt;/electronic-resource-num&gt;&lt;volume&gt;25&lt;/volume&gt;&lt;/record&gt;&lt;/Cite&gt;&lt;/EndNote&gt;</w:instrText>
      </w:r>
      <w:r w:rsidR="00084CDD">
        <w:fldChar w:fldCharType="separate"/>
      </w:r>
      <w:r w:rsidR="00C97A18">
        <w:rPr>
          <w:noProof/>
        </w:rPr>
        <w:t>(1989)</w:t>
      </w:r>
      <w:r w:rsidR="00084CDD">
        <w:fldChar w:fldCharType="end"/>
      </w:r>
      <w:r w:rsidRPr="00A025AC">
        <w:t xml:space="preserve"> continued this approach to simulate water inflow to a mine tunnel in Stripa, Sweden</w:t>
      </w:r>
      <w:r>
        <w:t xml:space="preserve"> and compared m</w:t>
      </w:r>
      <w:r w:rsidRPr="00A025AC">
        <w:t>odelled results to observed mine water inflows.</w:t>
      </w:r>
      <w:r w:rsidR="00042057">
        <w:t xml:space="preserve"> </w:t>
      </w:r>
    </w:p>
    <w:p w14:paraId="24424D1F" w14:textId="77777777" w:rsidR="009F7281" w:rsidRDefault="009F7281" w:rsidP="00E31912">
      <w:pPr>
        <w:pStyle w:val="Body"/>
        <w:keepNext/>
        <w:rPr>
          <w:b/>
          <w:color w:val="auto"/>
        </w:rPr>
      </w:pPr>
    </w:p>
    <w:p w14:paraId="1E955350" w14:textId="77777777" w:rsidR="00E31912" w:rsidRPr="007537CE" w:rsidRDefault="00E31912" w:rsidP="00E31912">
      <w:pPr>
        <w:pStyle w:val="Body"/>
        <w:keepNext/>
        <w:rPr>
          <w:b/>
          <w:color w:val="auto"/>
        </w:rPr>
      </w:pPr>
      <w:r w:rsidRPr="007537CE">
        <w:rPr>
          <w:b/>
          <w:color w:val="auto"/>
        </w:rPr>
        <w:t>Dual domain approaches</w:t>
      </w:r>
    </w:p>
    <w:p w14:paraId="61A9EE9D" w14:textId="77777777" w:rsidR="00E31912" w:rsidRDefault="00E31912" w:rsidP="00E31912">
      <w:pPr>
        <w:pStyle w:val="Body"/>
      </w:pPr>
      <w:r>
        <w:t>Dual domain approaches involve the discretisation of the rock matrix and fractures as two separate flow domains (</w:t>
      </w:r>
      <w:r w:rsidR="00084CDD">
        <w:fldChar w:fldCharType="begin"/>
      </w:r>
      <w:r w:rsidR="00A12398">
        <w:instrText xml:space="preserve"> REF _Ref436836523 \h </w:instrText>
      </w:r>
      <w:r w:rsidR="00084CDD">
        <w:fldChar w:fldCharType="separate"/>
      </w:r>
      <w:r w:rsidR="00C52E30">
        <w:t xml:space="preserve">Figure </w:t>
      </w:r>
      <w:r w:rsidR="00C52E30">
        <w:rPr>
          <w:noProof/>
        </w:rPr>
        <w:t>12</w:t>
      </w:r>
      <w:r w:rsidR="00084CDD">
        <w:fldChar w:fldCharType="end"/>
      </w:r>
      <w:r>
        <w:t xml:space="preserve">). Within each of the two domains, bulk groundwater flow is simulated using equivalent hydraulic properties. The interaction between the matrix and fracture domains is typically implemented using a transfer rate coefficient. Gerke and van Genuchten </w:t>
      </w:r>
      <w:r w:rsidR="00084CDD">
        <w:fldChar w:fldCharType="begin">
          <w:fldData xml:space="preserve">PEVuZE5vdGU+PENpdGUgRXhjbHVkZUF1dGg9IjEiPjxBdXRob3I+R2Vya2U8L0F1dGhvcj48WWVh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</w:fldData>
        </w:fldChar>
      </w:r>
      <w:r>
        <w:instrText xml:space="preserve"> ADDIN EN.CITE </w:instrText>
      </w:r>
      <w:r w:rsidR="00084CDD">
        <w:fldChar w:fldCharType="begin">
          <w:fldData xml:space="preserve">PEVuZE5vdGU+PENpdGUgRXhjbHVkZUF1dGg9IjEiPjxBdXRob3I+R2Vya2U8L0F1dGhvcj48WWVh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</w:fldData>
        </w:fldChar>
      </w:r>
      <w:r>
        <w:instrText xml:space="preserve"> ADDIN EN.CITE.DATA </w:instrText>
      </w:r>
      <w:r w:rsidR="00084CDD">
        <w:fldChar w:fldCharType="end"/>
      </w:r>
      <w:r w:rsidR="00084CDD">
        <w:fldChar w:fldCharType="separate"/>
      </w:r>
      <w:r>
        <w:rPr>
          <w:noProof/>
        </w:rPr>
        <w:t>(1993a; 1993b)</w:t>
      </w:r>
      <w:r w:rsidR="00084CDD">
        <w:fldChar w:fldCharType="end"/>
      </w:r>
      <w:r>
        <w:t xml:space="preserve"> derived a physically-based transfer rate coefficient for dual porosity models, based on rock geometry and hydraulic conductivity. While the primary limitation of this approach is the difficulty in defining the rate coefficient, this approach is also limited by the ability to define the REV for both the matrix and fracture domains </w:t>
      </w:r>
      <w:r w:rsidR="00084CDD">
        <w:fldChar w:fldCharType="begin"/>
      </w:r>
      <w:r w:rsidR="00B86833">
        <w:instrText xml:space="preserve"> ADDIN EN.CITE &lt;EndNote&gt;&lt;Cite&gt;&lt;Author&gt;Cook&lt;/Author&gt;&lt;Year&gt;2003&lt;/Year&gt;&lt;IDText&gt;A guide to regional groundwater flow in fractured rock aquifers&lt;/IDText&gt;&lt;DisplayText&gt;(Cook, 2003)&lt;/DisplayText&gt;&lt;record&gt;&lt;keywords&gt;&lt;keyword&gt;Groundwater -- Australia&lt;/keyword&gt;&lt;keyword&gt;Aquifers -- Australia&lt;/keyword&gt;&lt;keyword&gt;Water chemistry -- Australia&lt;/keyword&gt;&lt;keyword&gt;Electronic books&lt;/keyword&gt;&lt;/keywords&gt;&lt;titles&gt;&lt;title&gt;A guide to regional groundwater flow in fractured rock aquifers&lt;/title&gt;&lt;/titles&gt;&lt;contributors&gt;&lt;authors&gt;&lt;author&gt;Cook, P. G.&lt;/author&gt;&lt;/authors&gt;&lt;/contributors&gt;&lt;added-date format="utc"&gt;1433486345&lt;/added-date&gt;&lt;pub-location&gt;Henley Beach, S. Aust.&lt;/pub-location&gt;&lt;ref-type name="Book"&gt;6&lt;/ref-type&gt;&lt;dates&gt;&lt;year&gt;2003&lt;/year&gt;&lt;/dates&gt;&lt;rec-number&gt;123&lt;/rec-number&gt;&lt;publisher&gt;Henley Beach, S. Aust. : Seaview Press&lt;/publisher&gt;&lt;last-updated-date format="utc"&gt;1433487186&lt;/last-updated-date&gt;&lt;contributors&gt;&lt;secondary-authors&gt;&lt;author&gt;Csiro Land and Water&lt;/author&gt;&lt;/secondary-authors&gt;&lt;/contributors&gt;&lt;/record&gt;&lt;/Cite&gt;&lt;/EndNote&gt;</w:instrText>
      </w:r>
      <w:r w:rsidR="00084CDD">
        <w:fldChar w:fldCharType="separate"/>
      </w:r>
      <w:r w:rsidR="00B86833">
        <w:rPr>
          <w:noProof/>
        </w:rPr>
        <w:t>(Cook, 2003)</w:t>
      </w:r>
      <w:r w:rsidR="00084CDD">
        <w:fldChar w:fldCharType="end"/>
      </w:r>
      <w:r>
        <w:t xml:space="preserve">. Examples of dual domain approaches include Dershowitz and Miller </w:t>
      </w:r>
      <w:r w:rsidR="00084CDD">
        <w:fldChar w:fldCharType="begin"/>
      </w:r>
      <w:r w:rsidR="00800592">
        <w:instrText xml:space="preserve"> ADDIN EN.CITE &lt;EndNote&gt;&lt;Cite ExcludeAuth="1"&gt;&lt;Author&gt;Dershowitz&lt;/Author&gt;&lt;Year&gt;1995&lt;/Year&gt;&lt;IDText&gt;Dual porosity fracture flow and transport&lt;/IDText&gt;&lt;DisplayText&gt;(1995)&lt;/DisplayText&gt;&lt;record&gt;&lt;dates&gt;&lt;pub-dates&gt;&lt;date&gt;JUN 1 1995&lt;/date&gt;&lt;/pub-dates&gt;&lt;year&gt;1995&lt;/year&gt;&lt;/dates&gt;&lt;keywords&gt;&lt;keyword&gt;POROUS-MEDIA&lt;/keyword&gt;&lt;keyword&gt;NETWORKS&lt;/keyword&gt;&lt;keyword&gt;FLUID&lt;/keyword&gt;&lt;keyword&gt;MODEL&lt;/keyword&gt;&lt;/keywords&gt;&lt;isbn&gt;0094-8276&lt;/isbn&gt;&lt;work-type&gt;Article&lt;/work-type&gt;&lt;titles&gt;&lt;title&gt;Dual porosity fracture flow and transport&lt;/title&gt;&lt;secondary-title&gt;Geophysical Research Letters&lt;/secondary-title&gt;&lt;/titles&gt;&lt;pages&gt;1441-1444&lt;/pages&gt;&lt;number&gt;11&lt;/number&gt;&lt;contributors&gt;&lt;authors&gt;&lt;author&gt;Dershowitz, W&lt;/author&gt;&lt;author&gt;Miller, I&lt;/author&gt;&lt;/authors&gt;&lt;/contributors&gt;&lt;language&gt;English&lt;/language&gt;&lt;added-date format="utc"&gt;1433488261&lt;/added-date&gt;&lt;ref-type name="Journal Article"&gt;17&lt;/ref-type&gt;&lt;auth-address&gt;DERSHOWITZ, W (reprint author), GOLDER ASSOCIATES INC,4104 148TH AVE NE,REDMOND,WA 98052, USA&lt;/auth-address&gt;&lt;rec-number&gt;126&lt;/rec-number&gt;&lt;last-updated-date format="utc"&gt;1433488261&lt;/last-updated-date&gt;&lt;accession-num&gt;WOS:A1995RB55000032&lt;/accession-num&gt;&lt;electronic-resource-num&gt;10.1029/95GL01099&lt;/electronic-resource-num&gt;&lt;volume&gt;22&lt;/volume&gt;&lt;/record&gt;&lt;/Cite&gt;&lt;/EndNote&gt;</w:instrText>
      </w:r>
      <w:r w:rsidR="00084CDD">
        <w:fldChar w:fldCharType="separate"/>
      </w:r>
      <w:r w:rsidR="00800592">
        <w:rPr>
          <w:noProof/>
        </w:rPr>
        <w:t>(1995)</w:t>
      </w:r>
      <w:r w:rsidR="00084CDD">
        <w:fldChar w:fldCharType="end"/>
      </w:r>
      <w:r>
        <w:t xml:space="preserve">, who derived a dual porosity, single permeability approach to groundwater water flow and solute transport in fractured rock. Flow from the rock matrix to fractures was represented by an equivalent flux, calculated as a Darcian flux scaled by a geometric shape factor. </w:t>
      </w:r>
      <w:r w:rsidRPr="00C9274B">
        <w:t xml:space="preserve">Therrien and Sudicky </w:t>
      </w:r>
      <w:r w:rsidR="00084CDD">
        <w:fldChar w:fldCharType="begin"/>
      </w:r>
      <w:r w:rsidR="0032201E">
        <w:instrText xml:space="preserve"> ADDIN EN.CITE &lt;EndNote&gt;&lt;Cite ExcludeAuth="1"&gt;&lt;Author&gt;Therrien&lt;/Author&gt;&lt;Year&gt;1996&lt;/Year&gt;&lt;IDText&gt;Three-dimensional analysis of variably-saturated flow and solute transport in discretely-fractured porous media&lt;/IDText&gt;&lt;DisplayText&gt;(1996)&lt;/DisplayText&gt;&lt;record&gt;&lt;dates&gt;&lt;pub-dates&gt;&lt;date&gt;JUN 1996&lt;/date&gt;&lt;/pub-dates&gt;&lt;year&gt;1996&lt;/year&gt;&lt;/dates&gt;&lt;keywords&gt;&lt;keyword&gt;TRANSFORM GALERKIN TECHNIQUE&lt;/keyword&gt;&lt;keyword&gt;FINITE-ELEMENT TECHNIQUES&lt;/keyword&gt;&lt;keyword&gt;MASS-TRANSPORT&lt;/keyword&gt;&lt;keyword&gt;HYDRAULIC CONDUCTIVITY&lt;/keyword&gt;&lt;keyword&gt;CONTAMINANT TRANSPORT&lt;/keyword&gt;&lt;keyword&gt;NUMERICAL-SOLUTION&lt;/keyword&gt;&lt;keyword&gt;UNSATURATED FLOW&lt;/keyword&gt;&lt;keyword&gt;GROUNDWATER-FLOW&lt;/keyword&gt;&lt;keyword&gt;POROSITY MEDIA&lt;/keyword&gt;&lt;keyword&gt;WATER-FLOW&lt;/keyword&gt;&lt;/keywords&gt;&lt;isbn&gt;0169-7722&lt;/isbn&gt;&lt;work-type&gt;Article&lt;/work-type&gt;&lt;titles&gt;&lt;title&gt;Three-dimensional analysis of variably-saturated flow and solute transport in discretely-fractured porous media&lt;/title&gt;&lt;secondary-title&gt;Journal of Contaminant Hydrology&lt;/secondary-title&gt;&lt;/titles&gt;&lt;pages&gt;1-44&lt;/pages&gt;&lt;number&gt;1-2&lt;/number&gt;&lt;contributors&gt;&lt;authors&gt;&lt;author&gt;Therrien, R&lt;/author&gt;&lt;author&gt;Sudicky, EA&lt;/author&gt;&lt;/authors&gt;&lt;/contributors&gt;&lt;language&gt;English&lt;/language&gt;&lt;added-date format="utc"&gt;1433490945&lt;/added-date&gt;&lt;ref-type name="Journal Article"&gt;17&lt;/ref-type&gt;&lt;auth-address&gt;UNIV WATERLOO,WATERLOO CTR GROUNDWATER RES,WATERLOO,ON N2L 3G1,CANADA&lt;/auth-address&gt;&lt;rec-number&gt;139&lt;/rec-number&gt;&lt;last-updated-date format="utc"&gt;1433490945&lt;/last-updated-date&gt;&lt;accession-num&gt;WOS:A1996UT18800001&lt;/accession-num&gt;&lt;electronic-resource-num&gt;10.1016/0169-7722(95)00088-7&lt;/electronic-resource-num&gt;&lt;volume&gt;23&lt;/volume&gt;&lt;/record&gt;&lt;/Cite&gt;&lt;/EndNote&gt;</w:instrText>
      </w:r>
      <w:r w:rsidR="00084CDD">
        <w:fldChar w:fldCharType="separate"/>
      </w:r>
      <w:r w:rsidR="0032201E">
        <w:rPr>
          <w:noProof/>
        </w:rPr>
        <w:t>(1996)</w:t>
      </w:r>
      <w:r w:rsidR="00084CDD">
        <w:fldChar w:fldCharType="end"/>
      </w:r>
      <w:r w:rsidRPr="00C9274B">
        <w:t xml:space="preserve"> developed a numerical solution to unsaturated flow and solute transport through fracture</w:t>
      </w:r>
      <w:r>
        <w:t>d</w:t>
      </w:r>
      <w:r w:rsidRPr="00C9274B">
        <w:t xml:space="preserve"> rock in which the rock matrix was represented in three dimensions while fractures were represented in two dimensions.</w:t>
      </w:r>
      <w:r>
        <w:t xml:space="preserve"> </w:t>
      </w:r>
      <w:r w:rsidRPr="00C9274B">
        <w:t xml:space="preserve">Sarda </w:t>
      </w:r>
      <w:r w:rsidR="00810442">
        <w:t>et al.</w:t>
      </w:r>
      <w:r w:rsidR="00972AA6">
        <w:t xml:space="preserve"> </w:t>
      </w:r>
      <w:r w:rsidR="009F7281">
        <w:t>(2002)</w:t>
      </w:r>
      <w:r w:rsidRPr="00C9274B">
        <w:t xml:space="preserve"> </w:t>
      </w:r>
      <w:r>
        <w:t xml:space="preserve">used a </w:t>
      </w:r>
      <w:r w:rsidRPr="00C9274B">
        <w:t>dual porosity approach</w:t>
      </w:r>
      <w:r>
        <w:t xml:space="preserve"> to </w:t>
      </w:r>
      <w:r w:rsidRPr="00C9274B">
        <w:t>simulate fracture networks and matrix–fracture exchanges using a minimum number of model cells. Matrix geometry was determined using a training image approach featuring an image processing algorithm.</w:t>
      </w:r>
      <w:r w:rsidR="002B73CF">
        <w:t xml:space="preserve"> </w:t>
      </w:r>
    </w:p>
    <w:p w14:paraId="4F33F2F9" w14:textId="77777777" w:rsidR="00262AB4" w:rsidRPr="00262AB4" w:rsidRDefault="00262AB4" w:rsidP="00E8296A">
      <w:pPr>
        <w:pStyle w:val="Body"/>
        <w:rPr>
          <w:b/>
          <w:color w:val="C00000"/>
        </w:rPr>
      </w:pPr>
    </w:p>
    <w:p w14:paraId="16FD108D" w14:textId="77777777" w:rsidR="00262AB4" w:rsidRPr="007537CE" w:rsidRDefault="00262AB4" w:rsidP="00E8296A">
      <w:pPr>
        <w:pStyle w:val="Body"/>
        <w:rPr>
          <w:b/>
          <w:color w:val="auto"/>
        </w:rPr>
      </w:pPr>
      <w:r w:rsidRPr="007537CE">
        <w:rPr>
          <w:b/>
          <w:color w:val="auto"/>
        </w:rPr>
        <w:t xml:space="preserve">Discrete </w:t>
      </w:r>
      <w:r w:rsidR="003A6A70">
        <w:rPr>
          <w:b/>
          <w:color w:val="auto"/>
        </w:rPr>
        <w:t>f</w:t>
      </w:r>
      <w:r w:rsidRPr="007537CE">
        <w:rPr>
          <w:b/>
          <w:color w:val="auto"/>
        </w:rPr>
        <w:t>racture network</w:t>
      </w:r>
      <w:r w:rsidR="00A025AC">
        <w:rPr>
          <w:b/>
          <w:color w:val="auto"/>
        </w:rPr>
        <w:t>s</w:t>
      </w:r>
    </w:p>
    <w:p w14:paraId="688997F1" w14:textId="1F0A1BDE" w:rsidR="007041C2" w:rsidRPr="008831A0" w:rsidRDefault="00240966" w:rsidP="007041C2">
      <w:pPr>
        <w:pStyle w:val="Body"/>
      </w:pPr>
      <w:r>
        <w:t xml:space="preserve">Discrete fracture network </w:t>
      </w:r>
      <w:r w:rsidR="00A025AC">
        <w:t xml:space="preserve">(DFN) </w:t>
      </w:r>
      <w:r>
        <w:t xml:space="preserve">approaches involve the explicit simulation of fracture networks, typically using stochastic realisations featuring simplified geometries. This is the most complex approach and requires a high level of fracture </w:t>
      </w:r>
      <w:r w:rsidR="00AD4D45">
        <w:t xml:space="preserve">set </w:t>
      </w:r>
      <w:r>
        <w:t>characterisation</w:t>
      </w:r>
      <w:r w:rsidR="00643942">
        <w:t>.</w:t>
      </w:r>
      <w:r>
        <w:t xml:space="preserve"> </w:t>
      </w:r>
      <w:r w:rsidR="00643942">
        <w:t>I</w:t>
      </w:r>
      <w:r w:rsidR="00643942" w:rsidRPr="00643942">
        <w:t xml:space="preserve">mage log testing </w:t>
      </w:r>
      <w:r w:rsidR="00643942">
        <w:t>is an available t</w:t>
      </w:r>
      <w:r w:rsidR="00643942" w:rsidRPr="00643942">
        <w:t>echnique for assessing near wellbore fracture density, fracture aperture, and fracture orientation. Examples of image log techniques include borehole video camera</w:t>
      </w:r>
      <w:r w:rsidR="00643942">
        <w:t xml:space="preserve"> (</w:t>
      </w:r>
      <w:r w:rsidR="00EA2F62">
        <w:t>Overbey et al., 1988</w:t>
      </w:r>
      <w:r w:rsidR="00643942">
        <w:t>)</w:t>
      </w:r>
      <w:r w:rsidR="00643942" w:rsidRPr="00643942">
        <w:t>, acoustic formation image technology</w:t>
      </w:r>
      <w:r w:rsidR="00643942">
        <w:t xml:space="preserve"> (</w:t>
      </w:r>
      <w:r w:rsidR="00404513" w:rsidRPr="00404513">
        <w:rPr>
          <w:szCs w:val="24"/>
        </w:rPr>
        <w:t>McLean and McNamara</w:t>
      </w:r>
      <w:r w:rsidR="00404513">
        <w:rPr>
          <w:szCs w:val="24"/>
        </w:rPr>
        <w:t>,</w:t>
      </w:r>
      <w:r w:rsidR="00404513" w:rsidRPr="00404513">
        <w:rPr>
          <w:szCs w:val="24"/>
        </w:rPr>
        <w:t xml:space="preserve"> 2010</w:t>
      </w:r>
      <w:r w:rsidR="00643942">
        <w:t>)</w:t>
      </w:r>
      <w:r w:rsidR="00643942" w:rsidRPr="00643942">
        <w:t>, and resistivity image</w:t>
      </w:r>
      <w:r w:rsidR="00643942">
        <w:t xml:space="preserve"> or </w:t>
      </w:r>
      <w:r w:rsidR="00643942" w:rsidRPr="00643942">
        <w:t>formation micro-image logs</w:t>
      </w:r>
      <w:r w:rsidR="00643942">
        <w:t xml:space="preserve"> (</w:t>
      </w:r>
      <w:r w:rsidR="00EA2F62" w:rsidRPr="00EA2F62">
        <w:rPr>
          <w:szCs w:val="24"/>
        </w:rPr>
        <w:t>Kalathingal P and Kuchinski R</w:t>
      </w:r>
      <w:r w:rsidR="00EA2F62">
        <w:rPr>
          <w:szCs w:val="24"/>
        </w:rPr>
        <w:t>,</w:t>
      </w:r>
      <w:r w:rsidR="00EA2F62" w:rsidRPr="00EA2F62">
        <w:rPr>
          <w:szCs w:val="24"/>
        </w:rPr>
        <w:t xml:space="preserve"> 2010</w:t>
      </w:r>
      <w:r w:rsidR="00643942">
        <w:t>).</w:t>
      </w:r>
      <w:r w:rsidR="00EA2F62">
        <w:t xml:space="preserve"> </w:t>
      </w:r>
      <w:r w:rsidR="00A025AC">
        <w:t>D</w:t>
      </w:r>
      <w:r w:rsidR="00D61ACF">
        <w:t>FN approaches h</w:t>
      </w:r>
      <w:r w:rsidR="00A025AC">
        <w:t xml:space="preserve">ave been applied to nuclear waste disposal </w:t>
      </w:r>
      <w:r w:rsidR="00084CDD">
        <w:fldChar w:fldCharType="begin"/>
      </w:r>
      <w:r w:rsidR="000E3DB6">
        <w:instrText xml:space="preserve"> ADDIN EN.CITE &lt;EndNote&gt;&lt;Cite&gt;&lt;Author&gt;Herbert&lt;/Author&gt;&lt;Year&gt;1996&lt;/Year&gt;&lt;IDText&gt;Modelling approaches for discrete fracture network flow analysis &lt;/IDText&gt;&lt;DisplayText&gt;(Herbert, 1996)&lt;/DisplayText&gt;&lt;record&gt;&lt;titles&gt;&lt;title&gt;Modelling approaches for discrete fracture network flow analysis &lt;/title&gt;&lt;secondary-title&gt;Coupled Thermo-Hydro-Mechanical Processes of Fractured Media&lt;/secondary-title&gt;&lt;tertiary-title&gt;Developments in Geotechnical Engineering vol. 79&lt;/tertiary-title&gt;&lt;/titles&gt;&lt;pages&gt;213-229&lt;/pages&gt;&lt;contributors&gt;&lt;authors&gt;&lt;author&gt;Herbert, A.W.&lt;/author&gt;&lt;/authors&gt;&lt;/contributors&gt;&lt;added-date format="utc"&gt;1433489094&lt;/added-date&gt;&lt;pub-location&gt;Amsterdam; New York&lt;/pub-location&gt;&lt;ref-type name="Book Section"&gt;5&lt;/ref-type&gt;&lt;dates&gt;&lt;year&gt;1996&lt;/year&gt;&lt;/dates&gt;&lt;rec-number&gt;130&lt;/rec-number&gt;&lt;publisher&gt;Elsevier&lt;/publisher&gt;&lt;last-updated-date format="utc"&gt;1433491194&lt;/last-updated-date&gt;&lt;contributors&gt;&lt;secondary-authors&gt;&lt;author&gt;Stephansson, O.&lt;/author&gt;&lt;author&gt;Jing, L.&lt;/author&gt;&lt;author&gt;Tsang, C-F.&lt;/author&gt;&lt;/secondary-authors&gt;&lt;/contributors&gt;&lt;/record&gt;&lt;/Cite&gt;&lt;/EndNote&gt;</w:instrText>
      </w:r>
      <w:r w:rsidR="00084CDD">
        <w:fldChar w:fldCharType="separate"/>
      </w:r>
      <w:r w:rsidR="000E3DB6">
        <w:rPr>
          <w:noProof/>
        </w:rPr>
        <w:t>(Herbert, 1996)</w:t>
      </w:r>
      <w:r w:rsidR="00084CDD">
        <w:fldChar w:fldCharType="end"/>
      </w:r>
      <w:r w:rsidR="00A025AC">
        <w:t xml:space="preserve">, multiphase flow </w:t>
      </w:r>
      <w:r w:rsidR="00084CDD">
        <w:fldChar w:fldCharType="begin"/>
      </w:r>
      <w:r w:rsidR="000E3DB6">
        <w:instrText xml:space="preserve"> ADDIN EN.CITE &lt;EndNote&gt;&lt;Cite&gt;&lt;Author&gt;Kim&lt;/Author&gt;&lt;Year&gt;2000&lt;/Year&gt;&lt;IDText&gt;Finite element, discrete-fracture model for multiphase flow in porous media&lt;/IDText&gt;&lt;DisplayText&gt;(Kim and Deo, 2000)&lt;/DisplayText&gt;&lt;record&gt;&lt;dates&gt;&lt;pub-dates&gt;&lt;date&gt;JUN 2000&lt;/date&gt;&lt;/pub-dates&gt;&lt;year&gt;2000&lt;/year&gt;&lt;/dates&gt;&lt;isbn&gt;0001-1541&lt;/isbn&gt;&lt;work-type&gt;Article&lt;/work-type&gt;&lt;titles&gt;&lt;title&gt;Finite element, discrete-fracture model for multiphase flow in porous media&lt;/title&gt;&lt;secondary-title&gt;Aiche Journal&lt;/secondary-title&gt;&lt;/titles&gt;&lt;pages&gt;1120-1130&lt;/pages&gt;&lt;number&gt;6&lt;/number&gt;&lt;contributors&gt;&lt;authors&gt;&lt;author&gt;Kim, JG&lt;/author&gt;&lt;author&gt;Deo, MD&lt;/author&gt;&lt;/authors&gt;&lt;/contributors&gt;&lt;language&gt;English&lt;/language&gt;&lt;added-date format="utc"&gt;1433490015&lt;/added-date&gt;&lt;ref-type name="Journal Article"&gt;17&lt;/ref-type&gt;&lt;auth-address&gt;Deo, MD (reprint author), Univ Utah, Dept Chem &amp;amp; Fuels Engn, Salt Lake City, UT 84112 USA&amp;#xD;Univ Utah, Dept Chem &amp;amp; Fuels Engn, Salt Lake City, UT 84112 USA&lt;/auth-address&gt;&lt;rec-number&gt;131&lt;/rec-number&gt;&lt;last-updated-date format="utc"&gt;1433490015&lt;/last-updated-date&gt;&lt;accession-num&gt;WOS:000087668300003&lt;/accession-num&gt;&lt;electronic-resource-num&gt;10.1002/aic.690460604&lt;/electronic-resource-num&gt;&lt;volume&gt;46&lt;/volume&gt;&lt;/record&gt;&lt;/Cite&gt;&lt;/EndNote&gt;</w:instrText>
      </w:r>
      <w:r w:rsidR="00084CDD">
        <w:fldChar w:fldCharType="separate"/>
      </w:r>
      <w:r w:rsidR="000E3DB6">
        <w:rPr>
          <w:noProof/>
        </w:rPr>
        <w:t>(Kim and Deo, 2000)</w:t>
      </w:r>
      <w:r w:rsidR="00084CDD">
        <w:fldChar w:fldCharType="end"/>
      </w:r>
      <w:r w:rsidR="007537CE" w:rsidRPr="00C9274B">
        <w:t xml:space="preserve"> </w:t>
      </w:r>
      <w:r w:rsidR="00A025AC">
        <w:t xml:space="preserve">and gas flow </w:t>
      </w:r>
      <w:r w:rsidR="00084CDD">
        <w:fldChar w:fldCharType="begin"/>
      </w:r>
      <w:r w:rsidR="00963D0D">
        <w:instrText xml:space="preserve"> ADDIN EN.CITE &lt;EndNote&gt;&lt;Cite&gt;&lt;Author&gt;Basquet&lt;/Author&gt;&lt;Year&gt;2003&lt;/Year&gt;&lt;IDText&gt;Gas Flow Simulation in Discrete Fracture Network Models&lt;/IDText&gt;&lt;DisplayText&gt;(Basquet et al., 2003)&lt;/DisplayText&gt;&lt;record&gt;&lt;urls&gt;&lt;related-urls&gt;&lt;url&gt;https://www.onepetro.org:443/download/conference-paper/SPE-79708-MS?id=conference-paper%2FSPE-79708-MS&lt;/url&gt;&lt;/related-urls&gt;&lt;/urls&gt;&lt;titles&gt;&lt;title&gt;Gas Flow Simulation in Discrete Fracture Network Models&lt;/title&gt;&lt;/titles&gt;&lt;contributors&gt;&lt;authors&gt;&lt;author&gt;Basquet, Remy&lt;/author&gt;&lt;author&gt;Jeannin, Laurent&lt;/author&gt;&lt;author&gt;Lange, Arnaud&lt;/author&gt;&lt;author&gt;Bourbiaux, Bernard&lt;/author&gt;&lt;author&gt;Sarda, Sylvain&lt;/author&gt;&lt;/authors&gt;&lt;/contributors&gt;&lt;added-date format="utc"&gt;1433899914&lt;/added-date&gt;&lt;ref-type name="Conference Paper"&gt;47&lt;/ref-type&gt;&lt;dates&gt;&lt;year&gt;2003&lt;/year&gt;&lt;/dates&gt;&lt;rec-number&gt;218&lt;/rec-number&gt;&lt;publisher&gt;Society of Petroleum Engineers&lt;/publisher&gt;&lt;last-updated-date format="utc"&gt;1433907071&lt;/last-updated-date&gt;&lt;electronic-resource-num&gt;10.2118/79708-MS&lt;/electronic-resource-num&gt;&lt;/record&gt;&lt;/Cite&gt;&lt;/EndNote&gt;</w:instrText>
      </w:r>
      <w:r w:rsidR="00084CDD">
        <w:fldChar w:fldCharType="separate"/>
      </w:r>
      <w:r w:rsidR="00963D0D">
        <w:rPr>
          <w:noProof/>
        </w:rPr>
        <w:t>(Basquet et al., 2003)</w:t>
      </w:r>
      <w:r w:rsidR="00084CDD">
        <w:fldChar w:fldCharType="end"/>
      </w:r>
      <w:r w:rsidR="00A025AC">
        <w:t xml:space="preserve">. Recent developments include the generation of DFNs using connectivity metrics </w:t>
      </w:r>
      <w:r w:rsidR="00084CDD">
        <w:fldChar w:fldCharType="begin"/>
      </w:r>
      <w:r w:rsidR="00963D0D">
        <w:instrText xml:space="preserve"> ADDIN EN.CITE &lt;EndNote&gt;&lt;Cite&gt;&lt;Author&gt;Xu&lt;/Author&gt;&lt;Year&gt;2006&lt;/Year&gt;&lt;IDText&gt;A connectivity index for discrete fracture networks&lt;/IDText&gt;&lt;DisplayText&gt;(Xu et al., 2006)&lt;/DisplayText&gt;&lt;record&gt;&lt;dates&gt;&lt;pub-dates&gt;&lt;date&gt;DEC 2006&lt;/date&gt;&lt;/pub-dates&gt;&lt;year&gt;2006&lt;/year&gt;&lt;/dates&gt;&lt;keywords&gt;&lt;keyword&gt;connectivity index&lt;/keyword&gt;&lt;keyword&gt;marked point process&lt;/keyword&gt;&lt;keyword&gt;discrete fracture model&lt;/keyword&gt;&lt;keyword&gt;rock fracture system&lt;/keyword&gt;&lt;keyword&gt;rock mass flow property classification&lt;/keyword&gt;&lt;keyword&gt;percolation&lt;/keyword&gt;&lt;keyword&gt;ROCK MASSES&lt;/keyword&gt;&lt;keyword&gt;PERCOLATION&lt;/keyword&gt;&lt;keyword&gt;SYSTEMS&lt;/keyword&gt;&lt;keyword&gt;MEDIA&lt;/keyword&gt;&lt;keyword&gt;DISCONTINUITIES&lt;/keyword&gt;&lt;/keywords&gt;&lt;isbn&gt;0882-8121&lt;/isbn&gt;&lt;work-type&gt;Article&lt;/work-type&gt;&lt;titles&gt;&lt;title&gt;A connectivity index for discrete fracture networks&lt;/title&gt;&lt;secondary-title&gt;Mathematical Geology&lt;/secondary-title&gt;&lt;/titles&gt;&lt;pages&gt;611-634&lt;/pages&gt;&lt;number&gt;5&lt;/number&gt;&lt;contributors&gt;&lt;authors&gt;&lt;author&gt;Xu, C&lt;/author&gt;&lt;author&gt;Dowd, PA&lt;/author&gt;&lt;author&gt;Mardia, KV&lt;/author&gt;&lt;author&gt;Fowell, RJ&lt;/author&gt;&lt;/authors&gt;&lt;/contributors&gt;&lt;language&gt;English&lt;/language&gt;&lt;added-date format="utc"&gt;1433490983&lt;/added-date&gt;&lt;ref-type name="Journal Article"&gt;17&lt;/ref-type&gt;&lt;auth-address&gt;Xu, C (reprint author), Univ Leeds, Dept Min &amp;amp; Mineral Engn, Leeds LS2 9JT, W Yorkshire, England&amp;#xD;Univ Leeds, Dept Min &amp;amp; Mineral Engn, Leeds LS2 9JT, W Yorkshire, England&amp;#xD;Univ Adelaide, Fac Engn Comp &amp;amp; Math Sci, Adelaide, SA 5005, Australia&amp;#xD;Univ Leeds, Dept Stat, Leeds LS2 9JT, W Yorkshire, England&amp;#xD;c.xu@leeds.ac.uk&lt;/auth-address&gt;&lt;rec-number&gt;140&lt;/rec-number&gt;&lt;last-updated-date format="utc"&gt;1433490983&lt;/last-updated-date&gt;&lt;accession-num&gt;WOS:000242854000005&lt;/accession-num&gt;&lt;electronic-resource-num&gt;10.1007/s11004-006-9029-9&lt;/electronic-resource-num&gt;&lt;volume&gt;38&lt;/volume&gt;&lt;/record&gt;&lt;/Cite&gt;&lt;/EndNote&gt;</w:instrText>
      </w:r>
      <w:r w:rsidR="00084CDD">
        <w:fldChar w:fldCharType="separate"/>
      </w:r>
      <w:r w:rsidR="00963D0D">
        <w:rPr>
          <w:noProof/>
        </w:rPr>
        <w:t>(Xu et al., 2006)</w:t>
      </w:r>
      <w:r w:rsidR="00084CDD">
        <w:fldChar w:fldCharType="end"/>
      </w:r>
      <w:r w:rsidR="007537CE" w:rsidRPr="00C9274B">
        <w:t xml:space="preserve"> </w:t>
      </w:r>
      <w:r w:rsidR="00A025AC">
        <w:t xml:space="preserve">and </w:t>
      </w:r>
      <w:r w:rsidR="00BC5A2F">
        <w:t>multiple point simulation</w:t>
      </w:r>
      <w:r w:rsidR="00A025AC">
        <w:t xml:space="preserve"> </w:t>
      </w:r>
      <w:r w:rsidR="00084CDD">
        <w:fldChar w:fldCharType="begin"/>
      </w:r>
      <w:r w:rsidR="00E52566">
        <w:instrText xml:space="preserve"> ADDIN EN.CITE &lt;EndNote&gt;&lt;Cite&gt;&lt;Author&gt;Liu&lt;/Author&gt;&lt;Year&gt;2009&lt;/Year&gt;&lt;IDText&gt;Multiple-point statistical prediction on fracture networks at Yucca Mountain&lt;/IDText&gt;&lt;DisplayText&gt;(Liu et al., 2009)&lt;/DisplayText&gt;&lt;record&gt;&lt;dates&gt;&lt;pub-dates&gt;&lt;date&gt;MAY 2009&lt;/date&gt;&lt;/pub-dates&gt;&lt;year&gt;2009&lt;/year&gt;&lt;/dates&gt;&lt;keywords&gt;&lt;keyword&gt;Multiple-point-statistics&lt;/keyword&gt;&lt;keyword&gt;Fracture network&lt;/keyword&gt;&lt;keyword&gt;Seepage&lt;/keyword&gt;&lt;keyword&gt;Nuclear waste repository&lt;/keyword&gt;&lt;keyword&gt;Yucca Mountain&lt;/keyword&gt;&lt;keyword&gt;ROCK MASSES&lt;/keyword&gt;&lt;keyword&gt;SIMULATION&lt;/keyword&gt;&lt;keyword&gt;SEEPAGE&lt;/keyword&gt;&lt;/keywords&gt;&lt;isbn&gt;0943-0105&lt;/isbn&gt;&lt;work-type&gt;Article&lt;/work-type&gt;&lt;titles&gt;&lt;title&gt;Multiple-point statistical prediction on fracture networks at Yucca Mountain&lt;/title&gt;&lt;secondary-title&gt;Environmental Geology&lt;/secondary-title&gt;&lt;/titles&gt;&lt;pages&gt;1361-1370&lt;/pages&gt;&lt;number&gt;6&lt;/number&gt;&lt;contributors&gt;&lt;authors&gt;&lt;author&gt;Liu, XY&lt;/author&gt;&lt;author&gt;Zhang, CY&lt;/author&gt;&lt;author&gt;Liu, QS&lt;/author&gt;&lt;author&gt;Birkholzer, J&lt;/author&gt;&lt;/authors&gt;&lt;/contributors&gt;&lt;language&gt;English&lt;/language&gt;&lt;added-date format="utc"&gt;1433490379&lt;/added-date&gt;&lt;ref-type name="Journal Article"&gt;17&lt;/ref-type&gt;&lt;auth-address&gt;Zhang, CY (reprint author), Chinese Acad Sci, State Key Lab Geomech &amp;amp; Geotech Engn, Inst Rock &amp;amp; Soil Mech, Xiaohongshan 12, Wuhan 430071, Hubei, Peoples R China&amp;#xD;Chinese Acad Sci, State Key Lab Geomech &amp;amp; Geotech Engn, Inst Rock &amp;amp; Soil Mech, Wuhan 430071, Hubei, Peoples R China&amp;#xD;Univ Calif Berkeley, Lawrence Berkeley Lab, Div Earth Sci, Berkeley, CA 94720 USA&lt;/auth-address&gt;&lt;rec-number&gt;133&lt;/rec-number&gt;&lt;last-updated-date format="utc"&gt;1433490379&lt;/last-updated-date&gt;&lt;accession-num&gt;WOS:000265622900012&lt;/accession-num&gt;&lt;electronic-resource-num&gt;10.1007/s00254-008-1623-3&lt;/electronic-resource-num&gt;&lt;volume&gt;57&lt;/volume&gt;&lt;/record&gt;&lt;/Cite&gt;&lt;/EndNote&gt;</w:instrText>
      </w:r>
      <w:r w:rsidR="00084CDD">
        <w:fldChar w:fldCharType="separate"/>
      </w:r>
      <w:r w:rsidR="00E52566">
        <w:rPr>
          <w:noProof/>
        </w:rPr>
        <w:t>(Liu et al., 2009)</w:t>
      </w:r>
      <w:r w:rsidR="00084CDD">
        <w:fldChar w:fldCharType="end"/>
      </w:r>
      <w:r w:rsidR="00A025AC">
        <w:t xml:space="preserve">, the use of Monte Carlo sampling to parameterise DFNs </w:t>
      </w:r>
      <w:r w:rsidR="00084CDD">
        <w:fldChar w:fldCharType="begin"/>
      </w:r>
      <w:r w:rsidR="003F4E33">
        <w:instrText xml:space="preserve"> ADDIN EN.CITE &lt;EndNote&gt;&lt;Cite&gt;&lt;Author&gt;Erhel&lt;/Author&gt;&lt;Year&gt;2009&lt;/Year&gt;&lt;IDText&gt;FLOW SIMULATION IN THREE-DIMENSIONAL DISCRETE FRACTURE NETWORKS&lt;/IDText&gt;&lt;DisplayText&gt;(Erhel et al., 2009)&lt;/DisplayText&gt;&lt;record&gt;&lt;dates&gt;&lt;pub-dates&gt;&lt;date&gt;2009&lt;/date&gt;&lt;/pub-dates&gt;&lt;year&gt;2009&lt;/year&gt;&lt;/dates&gt;&lt;keywords&gt;&lt;keyword&gt;discrete fracture network (DFN)&lt;/keyword&gt;&lt;keyword&gt;mesh generation&lt;/keyword&gt;&lt;keyword&gt;mixed hybrid finite element method (MHFE)&lt;/keyword&gt;&lt;keyword&gt;LENGTH DISTRIBUTION&lt;/keyword&gt;&lt;keyword&gt;POROUS-MEDIA&lt;/keyword&gt;&lt;keyword&gt;HYDRAULIC-PROPERTIES&lt;/keyword&gt;&lt;keyword&gt;FAULT NETWORKS&lt;/keyword&gt;&lt;keyword&gt;ELEMENT METHOD&lt;/keyword&gt;&lt;keyword&gt;MIXED METHODS&lt;/keyword&gt;&lt;keyword&gt;MODEL&lt;/keyword&gt;&lt;keyword&gt;CONNECTIVITY&lt;/keyword&gt;&lt;keyword&gt;EQUATIONS&lt;/keyword&gt;&lt;keyword&gt;TRANSPORT&lt;/keyword&gt;&lt;/keywords&gt;&lt;isbn&gt;1064-8275&lt;/isbn&gt;&lt;work-type&gt;Article&lt;/work-type&gt;&lt;titles&gt;&lt;title&gt;FLOW SIMULATION IN THREE-DIMENSIONAL DISCRETE FRACTURE NETWORKS&lt;/title&gt;&lt;secondary-title&gt;Siam Journal on Scientific Computing&lt;/secondary-title&gt;&lt;/titles&gt;&lt;pages&gt;2688-2705&lt;/pages&gt;&lt;number&gt;4&lt;/number&gt;&lt;contributors&gt;&lt;authors&gt;&lt;author&gt;Erhel, J&lt;/author&gt;&lt;author&gt;De Dreuzy, JR&lt;/author&gt;&lt;author&gt;Poirriez, B&lt;/author&gt;&lt;/authors&gt;&lt;/contributors&gt;&lt;language&gt;English&lt;/language&gt;&lt;added-date format="utc"&gt;1433488611&lt;/added-date&gt;&lt;ref-type name="Journal Article"&gt;17&lt;/ref-type&gt;&lt;auth-address&gt;Erhel, J (reprint author), INRIA, F-35042 Rennes, France&amp;#xD;INRIA, F-35042 Rennes, France&amp;#xD;Univ Rennes 1, UMR CNRS 6118, F-35042 Rennes, France&amp;#xD;Jocelyne.Erhel@inria.fr&lt;/auth-address&gt;&lt;rec-number&gt;129&lt;/rec-number&gt;&lt;last-updated-date format="utc"&gt;1433488611&lt;/last-updated-date&gt;&lt;accession-num&gt;WOS:000268859500013&lt;/accession-num&gt;&lt;electronic-resource-num&gt;10.1137/080729244&lt;/electronic-resource-num&gt;&lt;volume&gt;31&lt;/volume&gt;&lt;/record&gt;&lt;/Cite&gt;&lt;/EndNote&gt;</w:instrText>
      </w:r>
      <w:r w:rsidR="00084CDD">
        <w:fldChar w:fldCharType="separate"/>
      </w:r>
      <w:r w:rsidR="003F4E33">
        <w:rPr>
          <w:noProof/>
        </w:rPr>
        <w:t>(Erhel et al., 2009)</w:t>
      </w:r>
      <w:r w:rsidR="00084CDD">
        <w:fldChar w:fldCharType="end"/>
      </w:r>
      <w:r w:rsidR="00A025AC">
        <w:t xml:space="preserve">, as well as the </w:t>
      </w:r>
      <w:r w:rsidR="00A025AC" w:rsidRPr="008831A0">
        <w:t xml:space="preserve">representation of heterogeneous fractures within DFNs </w:t>
      </w:r>
      <w:r w:rsidR="00084CDD" w:rsidRPr="00CD3824">
        <w:fldChar w:fldCharType="begin"/>
      </w:r>
      <w:r w:rsidR="003F4E33" w:rsidRPr="008831A0">
        <w:instrText xml:space="preserve"> ADDIN EN.CITE &lt;EndNote&gt;&lt;Cite&gt;&lt;Author&gt;de Dreuzy&lt;/Author&gt;&lt;Year&gt;2012&lt;/Year&gt;&lt;IDText&gt;Influence of fracture scale heterogeneity on the flow properties of three-dimensional discrete fracture networks (DFN)&lt;/IDText&gt;&lt;DisplayText&gt;(de Dreuzy et al., 2012)&lt;/DisplayText&gt;&lt;record&gt;&lt;dates&gt;&lt;pub-dates&gt;&lt;date&gt;NOV 16 2012&lt;/date&gt;&lt;/pub-dates&gt;&lt;year&gt;2012&lt;/year&gt;&lt;/dates&gt;&lt;keywords&gt;&lt;keyword&gt;HYBRID MORTAR METHOD&lt;/keyword&gt;&lt;keyword&gt;FLUID-FLOW&lt;/keyword&gt;&lt;keyword&gt;HYDRAULIC-PROPERTIES&lt;/keyword&gt;&lt;keyword&gt;ROUGH FRACTURES&lt;/keyword&gt;&lt;keyword&gt;NUMERICAL-SIMULATION&lt;/keyword&gt;&lt;keyword&gt;SURFACE-ROUGHNESS&lt;/keyword&gt;&lt;keyword&gt;SHAPED FRACTURES&lt;/keyword&gt;&lt;keyword&gt;NORMAL STRESS&lt;/keyword&gt;&lt;keyword&gt;POROUS-MEDIA&lt;/keyword&gt;&lt;keyword&gt;SOLVING FLOW&lt;/keyword&gt;&lt;/keywords&gt;&lt;isbn&gt;2169-9313&lt;/isbn&gt;&lt;work-type&gt;Article&lt;/work-type&gt;&lt;titles&gt;&lt;title&gt;Influence of fracture scale heterogeneity on the flow properties of three-dimensional discrete fracture networks (DFN)&lt;/title&gt;&lt;secondary-title&gt;Journal of Geophysical Research-Solid Earth&lt;/secondary-title&gt;&lt;/titles&gt;&lt;contributors&gt;&lt;authors&gt;&lt;author&gt;de Dreuzy, JR&lt;/author&gt;&lt;author&gt;Meheust, Y&lt;/author&gt;&lt;author&gt;Pichot, G&lt;/author&gt;&lt;/authors&gt;&lt;/contributors&gt;&lt;custom7&gt;ARTN B11207&lt;/custom7&gt;&lt;language&gt;English&lt;/language&gt;&lt;added-date format="utc"&gt;1433487161&lt;/added-date&gt;&lt;ref-type name="Journal Article"&gt;17&lt;/ref-type&gt;&lt;auth-address&gt;de Dreuzy, JR (reprint author), Univ Rennes 1, CNRS, UMR 6118, Campus Beaulieu, FR-35042 Rennes, France&amp;#xD;Univ Rennes 1, CNRS, UMR 6118, FR-35042 Rennes, France&amp;#xD;CSIC, Inst Environm Anal &amp;amp; Water Studies, Barcelona, Spain&amp;#xD;Univ Rennes 1, INRIA, IRISA, FR-35042 Rennes, France&amp;#xD;jean-raynald.de-dreuzy@univ-rennes1.fr&lt;/auth-address&gt;&lt;rec-number&gt;125&lt;/rec-number&gt;&lt;last-updated-date format="utc"&gt;1433487161&lt;/last-updated-date&gt;&lt;accession-num&gt;WOS:000311257200002&lt;/accession-num&gt;&lt;electronic-resource-num&gt;10.1029/2012JB009461&lt;/electronic-resource-num&gt;&lt;volume&gt;117&lt;/volume&gt;&lt;/record&gt;&lt;/Cite&gt;&lt;/EndNote&gt;</w:instrText>
      </w:r>
      <w:r w:rsidR="00084CDD" w:rsidRPr="00CD3824">
        <w:fldChar w:fldCharType="separate"/>
      </w:r>
      <w:r w:rsidR="003F4E33" w:rsidRPr="00A45100">
        <w:t>(de Dreuzy et al., 2012)</w:t>
      </w:r>
      <w:r w:rsidR="00084CDD" w:rsidRPr="00CD3824">
        <w:fldChar w:fldCharType="end"/>
      </w:r>
      <w:r w:rsidR="00A025AC" w:rsidRPr="008831A0">
        <w:t>.</w:t>
      </w:r>
      <w:r w:rsidR="007041C2" w:rsidRPr="008831A0">
        <w:t xml:space="preserve"> Elmouttie and Poropat (201</w:t>
      </w:r>
      <w:r w:rsidR="008831A0">
        <w:t>2</w:t>
      </w:r>
      <w:r w:rsidR="007041C2" w:rsidRPr="008831A0">
        <w:t xml:space="preserve">) </w:t>
      </w:r>
      <w:r w:rsidR="007041C2" w:rsidRPr="00A45100">
        <w:t>presented a new method based on Monte-Carlo simulations of DFN geometry using more realistic and general representations of fractures combined with a robust polyhedral modelling algorithm.</w:t>
      </w:r>
    </w:p>
    <w:p w14:paraId="5178EA03" w14:textId="77777777" w:rsidR="007537CE" w:rsidRPr="007537CE" w:rsidRDefault="008E2FFD" w:rsidP="00D93725">
      <w:pPr>
        <w:pStyle w:val="Heading2"/>
      </w:pPr>
      <w:bookmarkStart w:id="238" w:name="_Toc449696821"/>
      <w:r w:rsidRPr="007537CE">
        <w:t>Summary</w:t>
      </w:r>
      <w:bookmarkEnd w:id="238"/>
      <w:r w:rsidRPr="007537CE">
        <w:t xml:space="preserve"> </w:t>
      </w:r>
    </w:p>
    <w:p w14:paraId="3C32644C" w14:textId="1818D994" w:rsidR="00D93725" w:rsidRDefault="000D4344" w:rsidP="008E2FFD">
      <w:pPr>
        <w:pStyle w:val="Body"/>
        <w:rPr>
          <w:color w:val="auto"/>
        </w:rPr>
      </w:pPr>
      <w:r>
        <w:rPr>
          <w:color w:val="auto"/>
        </w:rPr>
        <w:t xml:space="preserve">With regards to the upscaling of hydraulic properties for use in groundwater flow models, a range of approaches have been </w:t>
      </w:r>
      <w:r w:rsidR="00F2705D">
        <w:rPr>
          <w:color w:val="auto"/>
        </w:rPr>
        <w:t>identified</w:t>
      </w:r>
      <w:r>
        <w:rPr>
          <w:color w:val="auto"/>
        </w:rPr>
        <w:t xml:space="preserve">. These may be classified into methods that involve reconstruction </w:t>
      </w:r>
      <w:r w:rsidR="0082320D">
        <w:rPr>
          <w:color w:val="auto"/>
        </w:rPr>
        <w:t xml:space="preserve">of geological heterogeneity (facies) followed by assigning representative hydraulic properties to the different facies </w:t>
      </w:r>
      <w:r>
        <w:rPr>
          <w:color w:val="auto"/>
        </w:rPr>
        <w:t xml:space="preserve">[e.g., </w:t>
      </w:r>
      <w:r w:rsidR="0082320D">
        <w:rPr>
          <w:color w:val="auto"/>
        </w:rPr>
        <w:t xml:space="preserve">de Marsily et al., 2005 ; </w:t>
      </w:r>
      <w:r>
        <w:rPr>
          <w:color w:val="auto"/>
        </w:rPr>
        <w:t>Falivene et al.</w:t>
      </w:r>
      <w:r w:rsidR="00C131F4">
        <w:rPr>
          <w:color w:val="auto"/>
        </w:rPr>
        <w:t>,</w:t>
      </w:r>
      <w:r>
        <w:rPr>
          <w:color w:val="auto"/>
        </w:rPr>
        <w:t xml:space="preserve"> </w:t>
      </w:r>
      <w:r w:rsidR="00084CDD">
        <w:rPr>
          <w:color w:val="auto"/>
        </w:rPr>
        <w:fldChar w:fldCharType="begin">
          <w:fldData xml:space="preserve">PEVuZE5vdGU+PENpdGUgRXhjbHVkZUF1dGg9IjEiPjxBdXRob3I+RmFsaXZlbmU8L0F1dGhvcj48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</w:fldData>
        </w:fldChar>
      </w:r>
      <w:r>
        <w:rPr>
          <w:color w:val="auto"/>
        </w:rPr>
        <w:instrText xml:space="preserve"> ADDIN EN.CITE </w:instrText>
      </w:r>
      <w:r w:rsidR="00084CDD">
        <w:rPr>
          <w:color w:val="auto"/>
        </w:rPr>
        <w:fldChar w:fldCharType="begin">
          <w:fldData xml:space="preserve">PEVuZE5vdGU+PENpdGUgRXhjbHVkZUF1dGg9IjEiPjxBdXRob3I+RmFsaXZlbmU8L0F1dGhvcj48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</w:fldData>
        </w:fldChar>
      </w:r>
      <w:r>
        <w:rPr>
          <w:color w:val="auto"/>
        </w:rPr>
        <w:instrText xml:space="preserve"> ADDIN EN.CITE.DATA </w:instrText>
      </w:r>
      <w:r w:rsidR="00084CDD">
        <w:rPr>
          <w:color w:val="auto"/>
        </w:rPr>
      </w:r>
      <w:r w:rsidR="00084CDD">
        <w:rPr>
          <w:color w:val="auto"/>
        </w:rPr>
        <w:fldChar w:fldCharType="end"/>
      </w:r>
      <w:r w:rsidR="00084CDD">
        <w:rPr>
          <w:color w:val="auto"/>
        </w:rPr>
      </w:r>
      <w:r w:rsidR="00084CDD">
        <w:rPr>
          <w:color w:val="auto"/>
        </w:rPr>
        <w:fldChar w:fldCharType="separate"/>
      </w:r>
      <w:r>
        <w:rPr>
          <w:noProof/>
          <w:color w:val="auto"/>
        </w:rPr>
        <w:t>(2007)</w:t>
      </w:r>
      <w:r w:rsidR="00084CDD">
        <w:rPr>
          <w:color w:val="auto"/>
        </w:rPr>
        <w:fldChar w:fldCharType="end"/>
      </w:r>
      <w:r>
        <w:rPr>
          <w:color w:val="auto"/>
        </w:rPr>
        <w:t xml:space="preserve">] and those that </w:t>
      </w:r>
      <w:r w:rsidR="0082320D">
        <w:rPr>
          <w:color w:val="auto"/>
        </w:rPr>
        <w:t>reconstruct the heterogeneity of the flow property of interest directly</w:t>
      </w:r>
      <w:r>
        <w:rPr>
          <w:color w:val="auto"/>
        </w:rPr>
        <w:t xml:space="preserve"> [e.g., Renard and de Marsily </w:t>
      </w:r>
      <w:r w:rsidR="00084CDD">
        <w:rPr>
          <w:color w:val="auto"/>
        </w:rPr>
        <w:fldChar w:fldCharType="begin"/>
      </w:r>
      <w:r>
        <w:rPr>
          <w:color w:val="auto"/>
        </w:rPr>
        <w:instrText xml:space="preserve"> ADDIN EN.CITE &lt;EndNote&gt;&lt;Cite ExcludeAuth="1"&gt;&lt;Author&gt;Renard&lt;/Author&gt;&lt;Year&gt;1997&lt;/Year&gt;&lt;IDText&gt;Calculating equivalent permeability: A review&lt;/IDText&gt;&lt;DisplayText&gt;(1997)&lt;/DisplayText&gt;&lt;record&gt;&lt;dates&gt;&lt;pub-dates&gt;&lt;date&gt;OCT-DEC 1997&lt;/date&gt;&lt;/pub-dates&gt;&lt;year&gt;1997&lt;/year&gt;&lt;/dates&gt;&lt;keywords&gt;&lt;keyword&gt;heterogeneous porous medium&lt;/keyword&gt;&lt;keyword&gt;monophasic flow&lt;/keyword&gt;&lt;keyword&gt;equivalent permeability&lt;/keyword&gt;&lt;keyword&gt;upscaling techniques&lt;/keyword&gt;&lt;keyword&gt;HETEROGENEOUS POROUS-MEDIA&lt;/keyword&gt;&lt;keyword&gt;EFFECTIVE HYDRAULIC CONDUCTIVITY&lt;/keyword&gt;&lt;keyword&gt;NUMERICAL SPECTRAL APPROACH&lt;/keyword&gt;&lt;keyword&gt;GRID BLOCK PERMEABILITY&lt;/keyword&gt;&lt;keyword&gt;STOCHASTIC-ANALYSIS&lt;/keyword&gt;&lt;keyword&gt;GROUNDWATER-FLOW&lt;/keyword&gt;&lt;keyword&gt;STEADY-STATE&lt;/keyword&gt;&lt;keyword&gt;SCALE&lt;/keyword&gt;&lt;keyword&gt;TENSOR&lt;/keyword&gt;&lt;keyword&gt;RENORMALIZATION&lt;/keyword&gt;&lt;/keywords&gt;&lt;isbn&gt;0309-1708&lt;/isbn&gt;&lt;work-type&gt;Review&lt;/work-type&gt;&lt;titles&gt;&lt;title&gt;Calculating equivalent permeability: A review&lt;/title&gt;&lt;secondary-title&gt;Advances in Water Resources&lt;/secondary-title&gt;&lt;/titles&gt;&lt;pages&gt;253-278&lt;/pages&gt;&lt;number&gt;5-6&lt;/number&gt;&lt;contributors&gt;&lt;authors&gt;&lt;author&gt;Renard, P&lt;/author&gt;&lt;author&gt;deMarsily, G&lt;/author&gt;&lt;/authors&gt;&lt;/contributors&gt;&lt;language&gt;English&lt;/language&gt;&lt;added-date format="utc"&gt;1433833538&lt;/added-date&gt;&lt;ref-type name="Journal Article"&gt;17&lt;/ref-type&gt;&lt;auth-address&gt;Renard, P (reprint author), ECOLE MINES PARIS,CTR INFORMAT GEOL,35 RUE ST HONORE,F-77305 FONTAINEBLEAU,FRANCE&lt;/auth-address&gt;&lt;rec-number&gt;188&lt;/rec-number&gt;&lt;last-updated-date format="utc"&gt;1433833538&lt;/last-updated-date&gt;&lt;accession-num&gt;WOS:A1997WN49200002&lt;/accession-num&gt;&lt;electronic-resource-num&gt;10.1016/S0309-1708(96)00050-4&lt;/electronic-resource-num&gt;&lt;volume&gt;20&lt;/volume&gt;&lt;/record&gt;&lt;/Cite&gt;&lt;/EndNote&gt;</w:instrText>
      </w:r>
      <w:r w:rsidR="00084CDD">
        <w:rPr>
          <w:color w:val="auto"/>
        </w:rPr>
        <w:fldChar w:fldCharType="separate"/>
      </w:r>
      <w:r>
        <w:rPr>
          <w:noProof/>
          <w:color w:val="auto"/>
        </w:rPr>
        <w:t>(1997)</w:t>
      </w:r>
      <w:r w:rsidR="00084CDD">
        <w:rPr>
          <w:color w:val="auto"/>
        </w:rPr>
        <w:fldChar w:fldCharType="end"/>
      </w:r>
      <w:r>
        <w:rPr>
          <w:color w:val="auto"/>
        </w:rPr>
        <w:t xml:space="preserve">]. The latter category includes conceptually simpler approaches which, through the upscaling process, attempt to preserve either a statistical characterisation or a rate of groundwater flow. Statistical characterisation typically involves the use of an appropriate mean type. Darcy Law-based approaches involve the imposition of a steady state groundwater flow problem on a sample volume, which is typically solved numerically. </w:t>
      </w:r>
      <w:r w:rsidR="0043101F">
        <w:rPr>
          <w:color w:val="auto"/>
        </w:rPr>
        <w:t>A third, less commonly used approach involves the preservation of connectivity metrics through the upscaling process.</w:t>
      </w:r>
    </w:p>
    <w:p w14:paraId="743E7E0A" w14:textId="77777777" w:rsidR="0043101F" w:rsidRDefault="000B065E" w:rsidP="008E2FFD">
      <w:pPr>
        <w:pStyle w:val="Body"/>
        <w:rPr>
          <w:color w:val="auto"/>
        </w:rPr>
      </w:pPr>
      <w:r>
        <w:rPr>
          <w:color w:val="auto"/>
        </w:rPr>
        <w:t>M</w:t>
      </w:r>
      <w:r w:rsidR="0043101F">
        <w:rPr>
          <w:color w:val="auto"/>
        </w:rPr>
        <w:t xml:space="preserve">ethods </w:t>
      </w:r>
      <w:r>
        <w:rPr>
          <w:color w:val="auto"/>
        </w:rPr>
        <w:t xml:space="preserve">of spatial interpolation </w:t>
      </w:r>
      <w:r w:rsidR="0043101F">
        <w:rPr>
          <w:color w:val="auto"/>
        </w:rPr>
        <w:t xml:space="preserve">vary in complexity, depending upon how spatial variability is described. The simplest approach involves random sampling of a probability distribution to generate a spatial distribution of facies. </w:t>
      </w:r>
      <w:r w:rsidR="00BC5A2F">
        <w:rPr>
          <w:color w:val="auto"/>
        </w:rPr>
        <w:t xml:space="preserve">This approach requires the identification of an appropriate statistical distribution; e.g., from expert elicitation. </w:t>
      </w:r>
      <w:r w:rsidR="0043101F">
        <w:rPr>
          <w:color w:val="auto"/>
        </w:rPr>
        <w:t>Traditional two-point geostatistical approaches use the first two statistical moments</w:t>
      </w:r>
      <w:r w:rsidR="00BC5A2F">
        <w:rPr>
          <w:color w:val="auto"/>
        </w:rPr>
        <w:t xml:space="preserve"> (i.e. mean and variance) and variogram models to characterise spatial variability. This approach requires a sufficient spatial distribution of observations to fit a variogram model. Two-point geostatistical approaches are typically used to generate multiGaussian parameter fields, which are appropriate for the characterisation of smoothly varying properties. Multiple</w:t>
      </w:r>
      <w:r w:rsidR="0082320D">
        <w:rPr>
          <w:color w:val="auto"/>
        </w:rPr>
        <w:t>-</w:t>
      </w:r>
      <w:r w:rsidR="00BC5A2F">
        <w:rPr>
          <w:color w:val="auto"/>
        </w:rPr>
        <w:t xml:space="preserve">point </w:t>
      </w:r>
      <w:r w:rsidR="00492948">
        <w:rPr>
          <w:color w:val="auto"/>
        </w:rPr>
        <w:t>s</w:t>
      </w:r>
      <w:r w:rsidR="0082320D">
        <w:rPr>
          <w:color w:val="auto"/>
        </w:rPr>
        <w:t>tatistical</w:t>
      </w:r>
      <w:r w:rsidR="00492948">
        <w:rPr>
          <w:color w:val="auto"/>
        </w:rPr>
        <w:t xml:space="preserve"> </w:t>
      </w:r>
      <w:r w:rsidR="00BC5A2F">
        <w:rPr>
          <w:color w:val="auto"/>
        </w:rPr>
        <w:t xml:space="preserve">methods use training images as a basis from which to generate stochastic realisations. Training images are typically informed by outcrop exposures, geophysical data, or depositional modelling. This approach requires the identification of an appropriate training image and </w:t>
      </w:r>
      <w:r w:rsidR="0082320D">
        <w:t xml:space="preserve">allows reconstruction of much more realistic geological structures such as channel-like features </w:t>
      </w:r>
      <w:r w:rsidR="00BC5A2F">
        <w:rPr>
          <w:color w:val="auto"/>
        </w:rPr>
        <w:t>o</w:t>
      </w:r>
      <w:r w:rsidR="0082320D">
        <w:rPr>
          <w:color w:val="auto"/>
        </w:rPr>
        <w:t>r</w:t>
      </w:r>
      <w:r w:rsidR="00BC5A2F">
        <w:rPr>
          <w:color w:val="auto"/>
        </w:rPr>
        <w:t xml:space="preserve"> discrete changes in hydraulic properties. </w:t>
      </w:r>
      <w:r w:rsidR="00492948">
        <w:rPr>
          <w:color w:val="auto"/>
        </w:rPr>
        <w:t>Transition probability-based methods use probability distributions in a sequential Markov chain approach to generate spatial distributions of multiple facies. These approaches require a sufficient spatial distribution of observations to identify the transition probability distributions.</w:t>
      </w:r>
    </w:p>
    <w:p w14:paraId="1C763BF2" w14:textId="58B20D7C" w:rsidR="00492948" w:rsidRDefault="00492948" w:rsidP="008E2FFD">
      <w:pPr>
        <w:pStyle w:val="Body"/>
        <w:rPr>
          <w:color w:val="auto"/>
        </w:rPr>
      </w:pPr>
      <w:r>
        <w:rPr>
          <w:color w:val="auto"/>
        </w:rPr>
        <w:t xml:space="preserve">The representation of geological faults in groundwater flow models is not commonly undertaken. Representations are typically limited to the simulation of faults as barriers to </w:t>
      </w:r>
      <w:r w:rsidR="00F2705D">
        <w:rPr>
          <w:color w:val="auto"/>
        </w:rPr>
        <w:t>cross-fault</w:t>
      </w:r>
      <w:r>
        <w:rPr>
          <w:color w:val="auto"/>
        </w:rPr>
        <w:t xml:space="preserve"> groundwater flow. This is achieved by reducing inter-cell hydraulic conductivity parameters. In comparison, the effects of geological faults on groundwater flow are commonly simulated in reservoir models using the transmissibility multiplier approach first derived by </w:t>
      </w:r>
      <w:r w:rsidRPr="001465BE">
        <w:rPr>
          <w:color w:val="auto"/>
        </w:rPr>
        <w:t xml:space="preserve">Manzocchi </w:t>
      </w:r>
      <w:r>
        <w:rPr>
          <w:color w:val="auto"/>
        </w:rPr>
        <w:t xml:space="preserve">et al. </w:t>
      </w:r>
      <w:r w:rsidR="00084CDD" w:rsidRPr="001465BE">
        <w:rPr>
          <w:color w:val="auto"/>
        </w:rPr>
        <w:fldChar w:fldCharType="begin"/>
      </w:r>
      <w:r w:rsidRPr="001465BE">
        <w:rPr>
          <w:color w:val="auto"/>
        </w:rPr>
        <w:instrText xml:space="preserve"> ADDIN EN.CITE &lt;EndNote&gt;&lt;Cite ExcludeAuth="1"&gt;&lt;Author&gt;Manzocchi&lt;/Author&gt;&lt;Year&gt;1999&lt;/Year&gt;&lt;IDText&gt;Fault transmissibility multipliers for flow simulation models&lt;/IDText&gt;&lt;DisplayText&gt;(1999)&lt;/DisplayText&gt;&lt;record&gt;&lt;dates&gt;&lt;pub-dates&gt;&lt;date&gt;FEB 1999&lt;/date&gt;&lt;/pub-dates&gt;&lt;year&gt;1999&lt;/year&gt;&lt;/dates&gt;&lt;keywords&gt;&lt;keyword&gt;fault (geology)&lt;/keyword&gt;&lt;keyword&gt;permeability&lt;/keyword&gt;&lt;keyword&gt;scale up&lt;/keyword&gt;&lt;keyword&gt;flow model&lt;/keyword&gt;&lt;keyword&gt;reservoir model&lt;/keyword&gt;&lt;keyword&gt;THICKNESS-DISPLACEMENT RELATIONSHIPS&lt;/keyword&gt;&lt;keyword&gt;DEFORMATION ZONES&lt;/keyword&gt;&lt;keyword&gt;SEALS&lt;/keyword&gt;&lt;keyword&gt;HETEROGENEITY&lt;/keyword&gt;&lt;keyword&gt;PERMEABILITY&lt;/keyword&gt;&lt;keyword&gt;SANDSTONES&lt;/keyword&gt;&lt;/keywords&gt;&lt;isbn&gt;1354-0793&lt;/isbn&gt;&lt;work-type&gt;Article&lt;/work-type&gt;&lt;titles&gt;&lt;title&gt;Fault transmissibility multipliers for flow simulation models&lt;/title&gt;&lt;secondary-title&gt;Petroleum Geoscience&lt;/secondary-title&gt;&lt;/titles&gt;&lt;pages&gt;53-63&lt;/pages&gt;&lt;number&gt;1&lt;/number&gt;&lt;contributors&gt;&lt;authors&gt;&lt;author&gt;Manzocchi, T&lt;/author&gt;&lt;author&gt;Walsh, JJ&lt;/author&gt;&lt;author&gt;Nell, P&lt;/author&gt;&lt;author&gt;Yielding, G&lt;/author&gt;&lt;/authors&gt;&lt;/contributors&gt;&lt;language&gt;English&lt;/language&gt;&lt;added-date format="utc"&gt;1433476714&lt;/added-date&gt;&lt;ref-type name="Journal Article"&gt;17&lt;/ref-type&gt;&lt;auth-address&gt;Manzocchi, T (reprint author), Univ Liverpool, Dept Earth Sci, Fault Anal Grp, Liverpool L69 3BX, Merseyside, England&amp;#xD;Univ Liverpool, Dept Earth Sci, Fault Anal Grp, Liverpool L69 3BX, Merseyside, England&amp;#xD;Badley Earth Sci Ltd, Spilsby PE23 5NB, Lincs, England&lt;/auth-address&gt;&lt;rec-number&gt;108&lt;/rec-number&gt;&lt;last-updated-date format="utc"&gt;1433476714&lt;/last-updated-date&gt;&lt;accession-num&gt;WOS:000079500300007&lt;/accession-num&gt;&lt;electronic-resource-num&gt;10.1144/petgeo.5.1.53&lt;/electronic-resource-num&gt;&lt;volume&gt;5&lt;/volume&gt;&lt;/record&gt;&lt;/Cite&gt;&lt;/EndNote&gt;</w:instrText>
      </w:r>
      <w:r w:rsidR="00084CDD" w:rsidRPr="001465BE">
        <w:rPr>
          <w:color w:val="auto"/>
        </w:rPr>
        <w:fldChar w:fldCharType="separate"/>
      </w:r>
      <w:r w:rsidRPr="001465BE">
        <w:rPr>
          <w:noProof/>
          <w:color w:val="auto"/>
        </w:rPr>
        <w:t>(1999)</w:t>
      </w:r>
      <w:r w:rsidR="00084CDD" w:rsidRPr="001465BE">
        <w:rPr>
          <w:color w:val="auto"/>
        </w:rPr>
        <w:fldChar w:fldCharType="end"/>
      </w:r>
      <w:r>
        <w:rPr>
          <w:color w:val="auto"/>
        </w:rPr>
        <w:t xml:space="preserve">. </w:t>
      </w:r>
      <w:r w:rsidR="00561854">
        <w:rPr>
          <w:color w:val="auto"/>
        </w:rPr>
        <w:t>This approach requires quantification of the degree of fault displacement and the shale gauge ratio. The latter metric is commonly used to characterise the alteration of fault zone hydraulic properties. More complex approaches to the representation of faults include the consideration of the effects of multiphase flow on fault hydraulic properties or the explicit simulation of fault zone heterogeneity. Discrete fracture network models have also been used to represent the damage zone beyond the fault core.</w:t>
      </w:r>
      <w:r w:rsidR="00E94D19">
        <w:rPr>
          <w:color w:val="auto"/>
        </w:rPr>
        <w:t xml:space="preserve"> In a CSG impact assessment context</w:t>
      </w:r>
      <w:r w:rsidR="00D5550C">
        <w:rPr>
          <w:color w:val="auto"/>
        </w:rPr>
        <w:t>, very few published studies have implemented faults in their groundwater models; to date only the FAULTSIM utility of PEST has seem some applications (Janardhanan and Moore, 2015; Moore et al., 2014</w:t>
      </w:r>
      <w:r w:rsidR="0068287F">
        <w:rPr>
          <w:color w:val="auto"/>
        </w:rPr>
        <w:t>b</w:t>
      </w:r>
      <w:r w:rsidR="00D5550C">
        <w:rPr>
          <w:color w:val="auto"/>
        </w:rPr>
        <w:t xml:space="preserve">). </w:t>
      </w:r>
    </w:p>
    <w:p w14:paraId="7EE6858E" w14:textId="77777777" w:rsidR="00561854" w:rsidRPr="000D4344" w:rsidRDefault="00561854" w:rsidP="008E2FFD">
      <w:pPr>
        <w:pStyle w:val="Body"/>
        <w:rPr>
          <w:color w:val="auto"/>
        </w:rPr>
      </w:pPr>
      <w:r>
        <w:rPr>
          <w:color w:val="auto"/>
        </w:rPr>
        <w:t xml:space="preserve">Groundwater flow through fractured porous media has </w:t>
      </w:r>
      <w:r w:rsidR="0082320D">
        <w:rPr>
          <w:color w:val="auto"/>
        </w:rPr>
        <w:t xml:space="preserve">commonly </w:t>
      </w:r>
      <w:r>
        <w:rPr>
          <w:color w:val="auto"/>
        </w:rPr>
        <w:t>been simulated using three approaches. The simplest method represents combined fracture and matrix flow using an equivalent porous medium.</w:t>
      </w:r>
      <w:r w:rsidR="000C2CED">
        <w:rPr>
          <w:color w:val="auto"/>
        </w:rPr>
        <w:t xml:space="preserve"> This approach requires the characterisation of bulk flow properties, which may be estimated from hydraulic or environmental tracer testing. Of moderate complexity are dual domain approaches, which simulate flow in fractured and matrix domains separately. Flow between the two domains is typically simulated using a transfer rate coefficient. This approach requires the characterisation of the two flow domains. The parameterisation of rate transfer coefficient requires characterisation of fracture geometry, either from outcrop or core data. The most complex approach to representing groundwater flow in fractured porous media is the use of discrete fracture networks. These require the characterisation of fractures at the REV scale in order to generate stochastic realisations of fracture sets. Observations include fracture geometry, orientation, and spatial density.</w:t>
      </w:r>
    </w:p>
    <w:p w14:paraId="6C9EA633" w14:textId="77777777" w:rsidR="00E8296A" w:rsidRDefault="00E8296A" w:rsidP="00E8296A">
      <w:pPr>
        <w:pStyle w:val="Body"/>
      </w:pPr>
      <w:r>
        <w:t> </w:t>
      </w:r>
    </w:p>
    <w:p w14:paraId="1D5AD80F" w14:textId="77777777" w:rsidR="00FA2767" w:rsidRDefault="00FA2767">
      <w:pPr>
        <w:rPr>
          <w:rFonts w:ascii="Calibri-Bold" w:hAnsi="Calibri-Bold" w:cs="Calibri-Bold"/>
          <w:b/>
          <w:bCs/>
          <w:color w:val="00AEEF"/>
          <w:sz w:val="48"/>
          <w:szCs w:val="48"/>
          <w:lang w:val="en-GB"/>
        </w:rPr>
      </w:pPr>
      <w:r>
        <w:br w:type="page"/>
      </w:r>
    </w:p>
    <w:p w14:paraId="411F6FB8" w14:textId="77777777" w:rsidR="00E8296A" w:rsidRDefault="00E8296A" w:rsidP="00FA2767">
      <w:pPr>
        <w:pStyle w:val="Heading1"/>
      </w:pPr>
      <w:bookmarkStart w:id="239" w:name="_Ref422750870"/>
      <w:bookmarkStart w:id="240" w:name="_Toc449696822"/>
      <w:r>
        <w:t>Groundwater flow modelling of coal seam gas-related activities in Australia</w:t>
      </w:r>
      <w:bookmarkEnd w:id="239"/>
      <w:bookmarkEnd w:id="240"/>
    </w:p>
    <w:p w14:paraId="6E0DCF7D" w14:textId="09D31B2D" w:rsidR="0032201E" w:rsidRPr="0032201E" w:rsidRDefault="0032201E" w:rsidP="00475872">
      <w:pPr>
        <w:pStyle w:val="Body"/>
      </w:pPr>
      <w:r w:rsidRPr="0032201E">
        <w:t xml:space="preserve">Reservoir and groundwater flow models have been used in Australia to estimate the impacts of coal seam gas production in a number of published studies, primarily Environmental Impact Statements. These publications have </w:t>
      </w:r>
      <w:r w:rsidR="007765FD">
        <w:t xml:space="preserve">informed </w:t>
      </w:r>
      <w:r w:rsidR="0043454B">
        <w:t>our</w:t>
      </w:r>
      <w:r w:rsidR="007765FD">
        <w:t xml:space="preserve"> analysis of </w:t>
      </w:r>
      <w:r w:rsidRPr="0032201E">
        <w:t xml:space="preserve">the </w:t>
      </w:r>
      <w:r w:rsidR="001A6384">
        <w:t xml:space="preserve">current commonly used </w:t>
      </w:r>
      <w:r w:rsidRPr="0032201E">
        <w:t>approaches to upscal</w:t>
      </w:r>
      <w:r w:rsidR="001A6384">
        <w:t>ing</w:t>
      </w:r>
      <w:r w:rsidRPr="0032201E">
        <w:t xml:space="preserve"> parameters, to perform</w:t>
      </w:r>
      <w:r w:rsidR="00AE7DD1">
        <w:t>ing</w:t>
      </w:r>
      <w:r w:rsidRPr="0032201E">
        <w:t xml:space="preserve"> spatial interpolation, and to represent</w:t>
      </w:r>
      <w:r w:rsidR="00AE7DD1">
        <w:t>ing</w:t>
      </w:r>
      <w:r w:rsidRPr="0032201E">
        <w:t xml:space="preserve"> faults and fractures. Model features salient to these approaches include model spatial extent and discretisation resolution. Processes by which geological layers are converted to hydrostratigraphic units (HSUs) and by which HSUs are subsequently converted to numerical model layers will also be discussed</w:t>
      </w:r>
      <w:r w:rsidR="0043454B">
        <w:t xml:space="preserve"> in the subsequent sections; published studies have been arranged per major basin, i.e. Surat Basin (Section </w:t>
      </w:r>
      <w:r w:rsidR="0043454B">
        <w:fldChar w:fldCharType="begin"/>
      </w:r>
      <w:r w:rsidR="0043454B">
        <w:instrText xml:space="preserve"> REF _Ref445983682 \r \h </w:instrText>
      </w:r>
      <w:r w:rsidR="0043454B">
        <w:fldChar w:fldCharType="separate"/>
      </w:r>
      <w:r w:rsidR="00C52E30">
        <w:t>4.1</w:t>
      </w:r>
      <w:r w:rsidR="0043454B">
        <w:fldChar w:fldCharType="end"/>
      </w:r>
      <w:r w:rsidR="0043454B">
        <w:t xml:space="preserve">), Bowen Basin (Section </w:t>
      </w:r>
      <w:r w:rsidR="0043454B">
        <w:fldChar w:fldCharType="begin"/>
      </w:r>
      <w:r w:rsidR="0043454B">
        <w:instrText xml:space="preserve"> REF _Ref445983692 \r \h </w:instrText>
      </w:r>
      <w:r w:rsidR="0043454B">
        <w:fldChar w:fldCharType="separate"/>
      </w:r>
      <w:r w:rsidR="00C52E30">
        <w:t>4.2</w:t>
      </w:r>
      <w:r w:rsidR="0043454B">
        <w:fldChar w:fldCharType="end"/>
      </w:r>
      <w:r w:rsidR="0043454B">
        <w:t xml:space="preserve">), Gunnedah Basin (Section </w:t>
      </w:r>
      <w:r w:rsidR="0043454B">
        <w:fldChar w:fldCharType="begin"/>
      </w:r>
      <w:r w:rsidR="0043454B">
        <w:instrText xml:space="preserve"> REF _Ref445983700 \r \h </w:instrText>
      </w:r>
      <w:r w:rsidR="0043454B">
        <w:fldChar w:fldCharType="separate"/>
      </w:r>
      <w:r w:rsidR="00C52E30">
        <w:t>4.3</w:t>
      </w:r>
      <w:r w:rsidR="0043454B">
        <w:fldChar w:fldCharType="end"/>
      </w:r>
      <w:r w:rsidR="0043454B">
        <w:t xml:space="preserve">), and Gippsland Basin (Section </w:t>
      </w:r>
      <w:r w:rsidR="0043454B">
        <w:fldChar w:fldCharType="begin"/>
      </w:r>
      <w:r w:rsidR="0043454B">
        <w:instrText xml:space="preserve"> REF _Ref445983705 \r \h </w:instrText>
      </w:r>
      <w:r w:rsidR="0043454B">
        <w:fldChar w:fldCharType="separate"/>
      </w:r>
      <w:r w:rsidR="00C52E30">
        <w:t>4.4</w:t>
      </w:r>
      <w:r w:rsidR="0043454B">
        <w:fldChar w:fldCharType="end"/>
      </w:r>
      <w:r w:rsidR="0043454B">
        <w:t>)</w:t>
      </w:r>
      <w:r w:rsidRPr="0032201E">
        <w:t>. The data sources for hydraulic property values and ranges will be highlighted, including the scale of support. Methods used to represent CSG extraction from the coal resource and how such models are linked with regional scale groundwater flow models will also be examined.</w:t>
      </w:r>
      <w:r w:rsidR="005A2033">
        <w:t xml:space="preserve"> </w:t>
      </w:r>
      <w:r w:rsidR="00195632">
        <w:t>The representation of g</w:t>
      </w:r>
      <w:r w:rsidR="006C4A2B">
        <w:t xml:space="preserve">eological faults </w:t>
      </w:r>
      <w:r w:rsidR="00195632">
        <w:t>is</w:t>
      </w:r>
      <w:r w:rsidR="006C4A2B">
        <w:t xml:space="preserve"> discussed </w:t>
      </w:r>
      <w:r w:rsidR="00195632">
        <w:t xml:space="preserve">only </w:t>
      </w:r>
      <w:r w:rsidR="006C4A2B">
        <w:t>in those cases where these were explicitly included in groundwater flow modelling.</w:t>
      </w:r>
      <w:r w:rsidR="00CA0BC7">
        <w:t xml:space="preserve"> A final summary </w:t>
      </w:r>
      <w:r w:rsidR="0082200D">
        <w:t xml:space="preserve">of the analysis of </w:t>
      </w:r>
      <w:r w:rsidR="0082200D" w:rsidRPr="0032201E">
        <w:t xml:space="preserve">ten CSG impact studies involving groundwater flow models </w:t>
      </w:r>
      <w:r w:rsidR="0082200D">
        <w:t xml:space="preserve">is provided in Section </w:t>
      </w:r>
      <w:r w:rsidR="0082200D">
        <w:fldChar w:fldCharType="begin"/>
      </w:r>
      <w:r w:rsidR="0082200D">
        <w:instrText xml:space="preserve"> REF _Ref445984510 \r \h </w:instrText>
      </w:r>
      <w:r w:rsidR="0082200D">
        <w:fldChar w:fldCharType="separate"/>
      </w:r>
      <w:r w:rsidR="00C52E30">
        <w:t>4.5</w:t>
      </w:r>
      <w:r w:rsidR="0082200D">
        <w:fldChar w:fldCharType="end"/>
      </w:r>
      <w:r w:rsidR="0082200D">
        <w:t>.</w:t>
      </w:r>
    </w:p>
    <w:p w14:paraId="22DDF2F6" w14:textId="77777777" w:rsidR="0032201E" w:rsidRDefault="0032201E" w:rsidP="0032201E">
      <w:pPr>
        <w:pStyle w:val="Heading2"/>
      </w:pPr>
      <w:bookmarkStart w:id="241" w:name="_Ref445983682"/>
      <w:bookmarkStart w:id="242" w:name="_Toc449696823"/>
      <w:r w:rsidRPr="0032201E">
        <w:t>Surat Basin</w:t>
      </w:r>
      <w:bookmarkEnd w:id="241"/>
      <w:bookmarkEnd w:id="242"/>
    </w:p>
    <w:p w14:paraId="37BE8748" w14:textId="77777777" w:rsidR="0032201E" w:rsidRPr="0032201E" w:rsidRDefault="0032201E" w:rsidP="0032201E">
      <w:pPr>
        <w:pStyle w:val="Heading3"/>
      </w:pPr>
      <w:bookmarkStart w:id="243" w:name="_Ref421888021"/>
      <w:bookmarkStart w:id="244" w:name="_Ref421892443"/>
      <w:bookmarkStart w:id="245" w:name="_Toc449696824"/>
      <w:r w:rsidRPr="0032201E">
        <w:t>QWC / OGIA</w:t>
      </w:r>
      <w:bookmarkEnd w:id="243"/>
      <w:bookmarkEnd w:id="244"/>
      <w:bookmarkEnd w:id="245"/>
    </w:p>
    <w:p w14:paraId="2358ACAD" w14:textId="77777777" w:rsidR="0032201E" w:rsidRPr="0032201E" w:rsidRDefault="0032201E" w:rsidP="00475872">
      <w:pPr>
        <w:pStyle w:val="Body"/>
      </w:pPr>
      <w:r w:rsidRPr="0032201E">
        <w:t xml:space="preserve">In 2011 the Queensland Water Commission (QWC) commissioned GHD and Watermark Numerical Computing to develop a numerical model of groundwater flow in the Surat Cumulative Management Area (CMA) in order to estimate the potential cumulative impacts of multiple coal seam gas operation applications. Initial model development was undertaken and reported by GHD </w:t>
      </w:r>
      <w:r w:rsidR="00084CDD" w:rsidRPr="0032201E">
        <w:fldChar w:fldCharType="begin"/>
      </w:r>
      <w:r w:rsidRPr="0032201E">
        <w:instrText xml:space="preserve"> ADDIN EN.CITE &lt;EndNote&gt;&lt;Cite ExcludeAuth="1"&gt;&lt;Author&gt;GHD&lt;/Author&gt;&lt;Year&gt;2011&lt;/Year&gt;&lt;IDText&gt;Report for QWC17-10 Stage 2: Surat Cumulative Management Area Groundwater Model Report (Draft)&lt;/IDText&gt;&lt;DisplayText&gt;(2011)&lt;/DisplayText&gt;&lt;record&gt;&lt;titles&gt;&lt;title&gt;Report for QWC17-10 Stage 2: Surat Cumulative Management Area Groundwater Model Report (Draft)&lt;/title&gt;&lt;/titles&gt;&lt;pages&gt;92; appendices&lt;/pages&gt;&lt;contributors&gt;&lt;authors&gt;&lt;author&gt;GHD&lt;/author&gt;&lt;/authors&gt;&lt;/contributors&gt;&lt;added-date format="utc"&gt;1433232926&lt;/added-date&gt;&lt;pub-location&gt;Brisbane, Queensland&lt;/pub-location&gt;&lt;ref-type name="Report"&gt;27&lt;/ref-type&gt;&lt;dates&gt;&lt;year&gt;2011&lt;/year&gt;&lt;/dates&gt;&lt;rec-number&gt;71&lt;/rec-number&gt;&lt;last-updated-date format="utc"&gt;1433233151&lt;/last-updated-date&gt;&lt;/record&gt;&lt;/Cite&gt;&lt;/EndNote&gt;</w:instrText>
      </w:r>
      <w:r w:rsidR="00084CDD" w:rsidRPr="0032201E">
        <w:fldChar w:fldCharType="separate"/>
      </w:r>
      <w:r w:rsidRPr="0032201E">
        <w:rPr>
          <w:noProof/>
        </w:rPr>
        <w:t>(2011)</w:t>
      </w:r>
      <w:r w:rsidR="00084CDD" w:rsidRPr="0032201E">
        <w:fldChar w:fldCharType="end"/>
      </w:r>
      <w:r w:rsidRPr="0032201E">
        <w:t xml:space="preserve"> with further uncertainty analysis and predictive model runs undertaken and reported by Watermark Numerical Computing (2012).  Summaries of the model design and main outputs were presented in the Surat Cumulative Management Area (CMA) Underground Water Impact Report </w:t>
      </w:r>
      <w:r w:rsidR="00084CDD" w:rsidRPr="0032201E">
        <w:fldChar w:fldCharType="begin"/>
      </w:r>
      <w:r w:rsidRPr="0032201E">
        <w:instrText xml:space="preserve"> ADDIN EN.CITE &lt;EndNote&gt;&lt;Cite&gt;&lt;Author&gt;QWC&lt;/Author&gt;&lt;Year&gt;2012&lt;/Year&gt;&lt;IDText&gt;Underground water impact report for the Surat cumulative management area&lt;/IDText&gt;&lt;DisplayText&gt;(QWC, 2012)&lt;/DisplayText&gt;&lt;record&gt;&lt;contributors&gt;&lt;tertiary-authors&gt;&lt;author&gt;Queensland Water Commission&lt;/author&gt;&lt;/tertiary-authors&gt;&lt;/contributors&gt;&lt;urls&gt;&lt;related-urls&gt;&lt;url&gt;https://www.dnrm.qld.gov.au/ogia/surat-underground-water-impact-report&lt;/url&gt;&lt;/related-urls&gt;&lt;/urls&gt;&lt;titles&gt;&lt;title&gt;Underground water impact report for the Surat cumulative management area&lt;/title&gt;&lt;/titles&gt;&lt;pages&gt;xvi, 99, 107 pages&lt;/pages&gt;&lt;contributors&gt;&lt;authors&gt;&lt;author&gt;QWC&lt;/author&gt;&lt;/authors&gt;&lt;/contributors&gt;&lt;added-date format="utc"&gt;1433389003&lt;/added-date&gt;&lt;pub-location&gt;Brisbane&lt;/pub-location&gt;&lt;ref-type name="Report"&gt;27&lt;/ref-type&gt;&lt;dates&gt;&lt;year&gt;2012&lt;/year&gt;&lt;/dates&gt;&lt;rec-number&gt;75&lt;/rec-number&gt;&lt;last-updated-date format="utc"&gt;1433898098&lt;/last-updated-date&gt;&lt;/record&gt;&lt;/Cite&gt;&lt;/EndNote&gt;</w:instrText>
      </w:r>
      <w:r w:rsidR="00084CDD" w:rsidRPr="0032201E">
        <w:fldChar w:fldCharType="separate"/>
      </w:r>
      <w:r w:rsidRPr="0032201E">
        <w:rPr>
          <w:noProof/>
        </w:rPr>
        <w:t>(QWC, 2012)</w:t>
      </w:r>
      <w:r w:rsidR="00084CDD" w:rsidRPr="0032201E">
        <w:fldChar w:fldCharType="end"/>
      </w:r>
      <w:r w:rsidRPr="0032201E">
        <w:t>.  A transient MODFLOW-2005 finite difference model was developed in which a spatial extent of approximately 660</w:t>
      </w:r>
      <w:r w:rsidR="00056615">
        <w:t xml:space="preserve"> × </w:t>
      </w:r>
      <w:r w:rsidRPr="0032201E">
        <w:t>550 km was discretised into 441 rows and 365 columns using uniform cell dimensions of 1500 m</w:t>
      </w:r>
      <w:r w:rsidR="00056615">
        <w:t xml:space="preserve"> × </w:t>
      </w:r>
      <w:r w:rsidRPr="0032201E">
        <w:t xml:space="preserve">1500 m. The model featured 19 layers and a mixture of specified flux and hydraulic head-dependent boundary conditions. Model layer geometries were developed from a hydrostratigraphic model developed using the geological modelling package MINEX.  </w:t>
      </w:r>
    </w:p>
    <w:p w14:paraId="1BE52252" w14:textId="0748BBC7" w:rsidR="0032201E" w:rsidRPr="0032201E" w:rsidRDefault="0032201E" w:rsidP="00475872">
      <w:pPr>
        <w:pStyle w:val="Body"/>
      </w:pPr>
      <w:r w:rsidRPr="0032201E">
        <w:t>Model layers were assigned on a one-to-one basis</w:t>
      </w:r>
      <w:r w:rsidR="00367B59">
        <w:t xml:space="preserve"> (i.e., direct translation from geological unit to hydrostratigraphic unit)</w:t>
      </w:r>
      <w:r w:rsidRPr="0032201E">
        <w:t>, with the exception of the uppermost layer and layers 7 to 11 (</w:t>
      </w:r>
      <w:r w:rsidR="00102009">
        <w:fldChar w:fldCharType="begin"/>
      </w:r>
      <w:r w:rsidR="00102009">
        <w:instrText xml:space="preserve"> REF _Ref422387794 \h  \* MERGEFORMAT </w:instrText>
      </w:r>
      <w:r w:rsidR="00102009">
        <w:fldChar w:fldCharType="separate"/>
      </w:r>
      <w:r w:rsidR="00C52E30" w:rsidRPr="00C52E30">
        <w:rPr>
          <w:rStyle w:val="BodyChar"/>
        </w:rPr>
        <w:t>Table 11</w:t>
      </w:r>
      <w:r w:rsidR="00102009">
        <w:fldChar w:fldCharType="end"/>
      </w:r>
      <w:r w:rsidRPr="0032201E">
        <w:t xml:space="preserve">). </w:t>
      </w:r>
      <w:r w:rsidR="00972AA6">
        <w:t xml:space="preserve">This approach allows </w:t>
      </w:r>
      <w:r w:rsidR="00972AA6" w:rsidRPr="00972AA6">
        <w:t>impact</w:t>
      </w:r>
      <w:r w:rsidR="00972AA6">
        <w:t>s</w:t>
      </w:r>
      <w:r w:rsidR="00972AA6" w:rsidRPr="00972AA6">
        <w:t xml:space="preserve"> from a single </w:t>
      </w:r>
      <w:r w:rsidR="00972AA6">
        <w:t xml:space="preserve">aquitard or from </w:t>
      </w:r>
      <w:r w:rsidR="00972AA6" w:rsidRPr="00972AA6">
        <w:t>a series of aquitards to be analysed in detail.</w:t>
      </w:r>
      <w:r w:rsidR="00972AA6">
        <w:t xml:space="preserve"> </w:t>
      </w:r>
      <w:r w:rsidRPr="0032201E">
        <w:t>The uppermost layer was used to represent either the Condamine Alluvium, other alluvial deposits, or Main Range Volcanics, depending upon cell location. A minimum thickness of five metres was specified for layer 1. The Springbok Sandstone was sub-discretised into two layers (7–8) according to a 67:33 ratio. This was in accordance with field observations that the lower third of the Springbok Sandstone is characterised by markedly lower permeability tha</w:t>
      </w:r>
      <w:r w:rsidR="00F2705D">
        <w:t>n</w:t>
      </w:r>
      <w:r w:rsidRPr="0032201E">
        <w:t xml:space="preserve"> in the upper two thirds of the unit.  The Walloon Coal Measures were sub-discretised using three model layers (9–11). The middle of these three layers represented the productive portion of the Walloon Coal Measures while the overlying and underlying layers represent mudstone aquitards </w:t>
      </w:r>
      <w:r w:rsidR="00084CDD" w:rsidRPr="0032201E">
        <w:fldChar w:fldCharType="begin"/>
      </w:r>
      <w:r w:rsidRPr="0032201E">
        <w:instrText xml:space="preserve"> ADDIN EN.CITE &lt;EndNote&gt;&lt;Cite&gt;&lt;Author&gt;QWC&lt;/Author&gt;&lt;Year&gt;2012&lt;/Year&gt;&lt;IDText&gt;Underground water impact report for the Surat cumulative management area&lt;/IDText&gt;&lt;DisplayText&gt;(QWC, 2012)&lt;/DisplayText&gt;&lt;record&gt;&lt;contributors&gt;&lt;tertiary-authors&gt;&lt;author&gt;Queensland Water Commission&lt;/author&gt;&lt;/tertiary-authors&gt;&lt;/contributors&gt;&lt;urls&gt;&lt;related-urls&gt;&lt;url&gt;https://www.dnrm.qld.gov.au/ogia/surat-underground-water-impact-report&lt;/url&gt;&lt;/related-urls&gt;&lt;/urls&gt;&lt;titles&gt;&lt;title&gt;Underground water impact report for the Surat cumulative management area&lt;/title&gt;&lt;/titles&gt;&lt;pages&gt;xvi, 99, 107 pages&lt;/pages&gt;&lt;contributors&gt;&lt;authors&gt;&lt;author&gt;QWC&lt;/author&gt;&lt;/authors&gt;&lt;/contributors&gt;&lt;added-date format="utc"&gt;1433389003&lt;/added-date&gt;&lt;pub-location&gt;Brisbane&lt;/pub-location&gt;&lt;ref-type name="Report"&gt;27&lt;/ref-type&gt;&lt;dates&gt;&lt;year&gt;2012&lt;/year&gt;&lt;/dates&gt;&lt;rec-number&gt;75&lt;/rec-number&gt;&lt;last-updated-date format="utc"&gt;1433898098&lt;/last-updated-date&gt;&lt;/record&gt;&lt;/Cite&gt;&lt;/EndNote&gt;</w:instrText>
      </w:r>
      <w:r w:rsidR="00084CDD" w:rsidRPr="0032201E">
        <w:fldChar w:fldCharType="separate"/>
      </w:r>
      <w:r w:rsidRPr="0032201E">
        <w:rPr>
          <w:noProof/>
        </w:rPr>
        <w:t>(QWC, 2012)</w:t>
      </w:r>
      <w:r w:rsidR="00084CDD" w:rsidRPr="0032201E">
        <w:fldChar w:fldCharType="end"/>
      </w:r>
      <w:r w:rsidRPr="0032201E">
        <w:t xml:space="preserve">. </w:t>
      </w:r>
    </w:p>
    <w:p w14:paraId="4062637A"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198F284C" w14:textId="77777777" w:rsidR="0032201E" w:rsidRPr="0032201E" w:rsidRDefault="00E47452" w:rsidP="00E47452">
      <w:pPr>
        <w:pStyle w:val="Imagecaption"/>
        <w:keepNext/>
        <w:pBdr>
          <w:top w:val="none" w:sz="0" w:space="0" w:color="auto"/>
        </w:pBdr>
      </w:pPr>
      <w:bookmarkStart w:id="246" w:name="_Ref422387794"/>
      <w:bookmarkStart w:id="247" w:name="_Toc449696231"/>
      <w:r>
        <w:t xml:space="preserve">Table </w:t>
      </w:r>
      <w:r w:rsidR="00084CDD">
        <w:fldChar w:fldCharType="begin"/>
      </w:r>
      <w:r w:rsidR="00144B4F">
        <w:instrText xml:space="preserve"> SEQ Table \* ARABIC </w:instrText>
      </w:r>
      <w:r w:rsidR="00084CDD">
        <w:fldChar w:fldCharType="separate"/>
      </w:r>
      <w:r w:rsidR="00C52E30">
        <w:rPr>
          <w:noProof/>
        </w:rPr>
        <w:t>11</w:t>
      </w:r>
      <w:r w:rsidR="00084CDD">
        <w:rPr>
          <w:noProof/>
        </w:rPr>
        <w:fldChar w:fldCharType="end"/>
      </w:r>
      <w:bookmarkEnd w:id="246"/>
      <w:r>
        <w:t xml:space="preserve">. </w:t>
      </w:r>
      <w:r w:rsidR="005A2033">
        <w:t>Summary of geological units, hydrostratigraphic units and groundwater flow model layers represented in OGIA Surat Basin groundwater flow model.</w:t>
      </w:r>
      <w:bookmarkEnd w:id="247"/>
    </w:p>
    <w:tbl>
      <w:tblPr>
        <w:tblW w:w="5053" w:type="pct"/>
        <w:tblLook w:val="04A0" w:firstRow="1" w:lastRow="0" w:firstColumn="1" w:lastColumn="0" w:noHBand="0" w:noVBand="1"/>
      </w:tblPr>
      <w:tblGrid>
        <w:gridCol w:w="3611"/>
        <w:gridCol w:w="1834"/>
        <w:gridCol w:w="1836"/>
        <w:gridCol w:w="1835"/>
      </w:tblGrid>
      <w:tr w:rsidR="0032201E" w:rsidRPr="0032201E" w14:paraId="5DD148B5" w14:textId="77777777" w:rsidTr="0032201E">
        <w:trPr>
          <w:trHeight w:val="264"/>
        </w:trPr>
        <w:tc>
          <w:tcPr>
            <w:tcW w:w="1948" w:type="pct"/>
            <w:vMerge w:val="restart"/>
            <w:tcBorders>
              <w:top w:val="single" w:sz="4" w:space="0" w:color="auto"/>
              <w:left w:val="nil"/>
              <w:bottom w:val="single" w:sz="4" w:space="0" w:color="auto"/>
              <w:right w:val="nil"/>
            </w:tcBorders>
            <w:shd w:val="clear" w:color="auto" w:fill="auto"/>
            <w:noWrap/>
            <w:vAlign w:val="center"/>
            <w:hideMark/>
          </w:tcPr>
          <w:p w14:paraId="2409B17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2035" w:type="pct"/>
            <w:gridSpan w:val="2"/>
            <w:tcBorders>
              <w:top w:val="single" w:sz="4" w:space="0" w:color="auto"/>
              <w:left w:val="nil"/>
              <w:right w:val="nil"/>
            </w:tcBorders>
            <w:shd w:val="clear" w:color="auto" w:fill="auto"/>
            <w:vAlign w:val="center"/>
          </w:tcPr>
          <w:p w14:paraId="22E920F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Hydrostratigraphic unit</w:t>
            </w:r>
          </w:p>
        </w:tc>
        <w:tc>
          <w:tcPr>
            <w:tcW w:w="1018" w:type="pct"/>
            <w:vMerge w:val="restart"/>
            <w:tcBorders>
              <w:top w:val="single" w:sz="4" w:space="0" w:color="auto"/>
              <w:left w:val="nil"/>
              <w:right w:val="nil"/>
            </w:tcBorders>
            <w:shd w:val="clear" w:color="auto" w:fill="auto"/>
            <w:vAlign w:val="center"/>
          </w:tcPr>
          <w:p w14:paraId="64A30A5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Model layer</w:t>
            </w:r>
          </w:p>
        </w:tc>
      </w:tr>
      <w:tr w:rsidR="0032201E" w:rsidRPr="0032201E" w14:paraId="7FE04DCD" w14:textId="77777777" w:rsidTr="0032201E">
        <w:trPr>
          <w:trHeight w:val="264"/>
        </w:trPr>
        <w:tc>
          <w:tcPr>
            <w:tcW w:w="1948" w:type="pct"/>
            <w:vMerge/>
            <w:tcBorders>
              <w:top w:val="single" w:sz="4" w:space="0" w:color="auto"/>
              <w:left w:val="nil"/>
              <w:bottom w:val="single" w:sz="4" w:space="0" w:color="auto"/>
              <w:right w:val="nil"/>
            </w:tcBorders>
            <w:shd w:val="clear" w:color="auto" w:fill="auto"/>
            <w:noWrap/>
            <w:vAlign w:val="bottom"/>
            <w:hideMark/>
          </w:tcPr>
          <w:p w14:paraId="40DF271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017" w:type="pct"/>
            <w:tcBorders>
              <w:left w:val="nil"/>
              <w:bottom w:val="single" w:sz="4" w:space="0" w:color="auto"/>
              <w:right w:val="nil"/>
            </w:tcBorders>
            <w:shd w:val="clear" w:color="auto" w:fill="auto"/>
            <w:vAlign w:val="center"/>
          </w:tcPr>
          <w:p w14:paraId="4BEA6C7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1018" w:type="pct"/>
            <w:tcBorders>
              <w:left w:val="nil"/>
              <w:bottom w:val="single" w:sz="4" w:space="0" w:color="auto"/>
              <w:right w:val="nil"/>
            </w:tcBorders>
            <w:shd w:val="clear" w:color="auto" w:fill="auto"/>
            <w:vAlign w:val="center"/>
          </w:tcPr>
          <w:p w14:paraId="7B4F573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aquitard</w:t>
            </w:r>
          </w:p>
        </w:tc>
        <w:tc>
          <w:tcPr>
            <w:tcW w:w="1018" w:type="pct"/>
            <w:vMerge/>
            <w:tcBorders>
              <w:left w:val="nil"/>
              <w:bottom w:val="single" w:sz="4" w:space="0" w:color="auto"/>
              <w:right w:val="nil"/>
            </w:tcBorders>
            <w:shd w:val="clear" w:color="auto" w:fill="auto"/>
            <w:vAlign w:val="bottom"/>
          </w:tcPr>
          <w:p w14:paraId="2DD2825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r>
      <w:tr w:rsidR="0032201E" w:rsidRPr="0032201E" w14:paraId="549F8D81" w14:textId="77777777" w:rsidTr="00C410F6">
        <w:trPr>
          <w:trHeight w:val="264"/>
        </w:trPr>
        <w:tc>
          <w:tcPr>
            <w:tcW w:w="1948" w:type="pct"/>
            <w:tcBorders>
              <w:top w:val="single" w:sz="4" w:space="0" w:color="auto"/>
              <w:left w:val="nil"/>
              <w:right w:val="nil"/>
            </w:tcBorders>
            <w:shd w:val="clear" w:color="auto" w:fill="F2F2F2" w:themeFill="background2" w:themeFillShade="F2"/>
            <w:noWrap/>
            <w:vAlign w:val="bottom"/>
            <w:hideMark/>
          </w:tcPr>
          <w:p w14:paraId="5B15A2C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Condamine Alluvium / Main Range Volcanics</w:t>
            </w:r>
          </w:p>
        </w:tc>
        <w:tc>
          <w:tcPr>
            <w:tcW w:w="1017" w:type="pct"/>
            <w:tcBorders>
              <w:top w:val="single" w:sz="4" w:space="0" w:color="auto"/>
              <w:left w:val="nil"/>
              <w:right w:val="nil"/>
            </w:tcBorders>
            <w:shd w:val="clear" w:color="auto" w:fill="F2F2F2" w:themeFill="background2" w:themeFillShade="F2"/>
          </w:tcPr>
          <w:p w14:paraId="6812054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top w:val="single" w:sz="4" w:space="0" w:color="auto"/>
              <w:left w:val="nil"/>
              <w:right w:val="nil"/>
            </w:tcBorders>
            <w:shd w:val="clear" w:color="auto" w:fill="F2F2F2" w:themeFill="background2" w:themeFillShade="F2"/>
          </w:tcPr>
          <w:p w14:paraId="1660767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top w:val="single" w:sz="4" w:space="0" w:color="auto"/>
              <w:left w:val="nil"/>
              <w:right w:val="nil"/>
            </w:tcBorders>
            <w:shd w:val="clear" w:color="auto" w:fill="F2F2F2" w:themeFill="background2" w:themeFillShade="F2"/>
            <w:vAlign w:val="bottom"/>
          </w:tcPr>
          <w:p w14:paraId="0DAD83A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r>
      <w:tr w:rsidR="0032201E" w:rsidRPr="0032201E" w14:paraId="1287DB8B" w14:textId="77777777" w:rsidTr="0032201E">
        <w:trPr>
          <w:trHeight w:val="264"/>
        </w:trPr>
        <w:tc>
          <w:tcPr>
            <w:tcW w:w="1948" w:type="pct"/>
            <w:tcBorders>
              <w:left w:val="nil"/>
              <w:right w:val="nil"/>
            </w:tcBorders>
            <w:shd w:val="clear" w:color="auto" w:fill="auto"/>
            <w:noWrap/>
            <w:vAlign w:val="bottom"/>
            <w:hideMark/>
          </w:tcPr>
          <w:p w14:paraId="08047BC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Rolling Downs Group</w:t>
            </w:r>
          </w:p>
        </w:tc>
        <w:tc>
          <w:tcPr>
            <w:tcW w:w="1017" w:type="pct"/>
            <w:tcBorders>
              <w:left w:val="nil"/>
              <w:right w:val="nil"/>
            </w:tcBorders>
            <w:shd w:val="clear" w:color="auto" w:fill="auto"/>
          </w:tcPr>
          <w:p w14:paraId="2F0D936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36DCB7E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auto"/>
            <w:vAlign w:val="bottom"/>
          </w:tcPr>
          <w:p w14:paraId="4C87D87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w:t>
            </w:r>
          </w:p>
        </w:tc>
      </w:tr>
      <w:tr w:rsidR="0032201E" w:rsidRPr="0032201E" w14:paraId="11672321" w14:textId="77777777" w:rsidTr="00C410F6">
        <w:trPr>
          <w:trHeight w:val="264"/>
        </w:trPr>
        <w:tc>
          <w:tcPr>
            <w:tcW w:w="1948" w:type="pct"/>
            <w:tcBorders>
              <w:left w:val="nil"/>
              <w:right w:val="nil"/>
            </w:tcBorders>
            <w:shd w:val="clear" w:color="auto" w:fill="F2F2F2" w:themeFill="background2" w:themeFillShade="F2"/>
            <w:noWrap/>
            <w:vAlign w:val="bottom"/>
            <w:hideMark/>
          </w:tcPr>
          <w:p w14:paraId="00FE319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Bungil Formation / Mooga Sandstone</w:t>
            </w:r>
          </w:p>
        </w:tc>
        <w:tc>
          <w:tcPr>
            <w:tcW w:w="1017" w:type="pct"/>
            <w:tcBorders>
              <w:left w:val="nil"/>
              <w:right w:val="nil"/>
            </w:tcBorders>
            <w:shd w:val="clear" w:color="auto" w:fill="F2F2F2" w:themeFill="background2" w:themeFillShade="F2"/>
          </w:tcPr>
          <w:p w14:paraId="32C0923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F2F2F2" w:themeFill="background2" w:themeFillShade="F2"/>
          </w:tcPr>
          <w:p w14:paraId="20B6429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0B2479F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w:t>
            </w:r>
          </w:p>
        </w:tc>
      </w:tr>
      <w:tr w:rsidR="0032201E" w:rsidRPr="0032201E" w14:paraId="7FE0F3CA" w14:textId="77777777" w:rsidTr="0032201E">
        <w:trPr>
          <w:trHeight w:val="264"/>
        </w:trPr>
        <w:tc>
          <w:tcPr>
            <w:tcW w:w="1948" w:type="pct"/>
            <w:tcBorders>
              <w:left w:val="nil"/>
              <w:right w:val="nil"/>
            </w:tcBorders>
            <w:shd w:val="clear" w:color="auto" w:fill="auto"/>
            <w:noWrap/>
            <w:vAlign w:val="bottom"/>
            <w:hideMark/>
          </w:tcPr>
          <w:p w14:paraId="3CBB5B87"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Orallo Formation</w:t>
            </w:r>
          </w:p>
        </w:tc>
        <w:tc>
          <w:tcPr>
            <w:tcW w:w="1017" w:type="pct"/>
            <w:tcBorders>
              <w:left w:val="nil"/>
              <w:right w:val="nil"/>
            </w:tcBorders>
            <w:shd w:val="clear" w:color="auto" w:fill="auto"/>
          </w:tcPr>
          <w:p w14:paraId="7AB3248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458CD5A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auto"/>
            <w:vAlign w:val="bottom"/>
          </w:tcPr>
          <w:p w14:paraId="46ECA77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4</w:t>
            </w:r>
          </w:p>
        </w:tc>
      </w:tr>
      <w:tr w:rsidR="0032201E" w:rsidRPr="0032201E" w14:paraId="71AD8A78" w14:textId="77777777" w:rsidTr="00C410F6">
        <w:trPr>
          <w:trHeight w:val="264"/>
        </w:trPr>
        <w:tc>
          <w:tcPr>
            <w:tcW w:w="1948" w:type="pct"/>
            <w:tcBorders>
              <w:left w:val="nil"/>
              <w:right w:val="nil"/>
            </w:tcBorders>
            <w:shd w:val="clear" w:color="auto" w:fill="F2F2F2" w:themeFill="background2" w:themeFillShade="F2"/>
            <w:noWrap/>
            <w:vAlign w:val="bottom"/>
            <w:hideMark/>
          </w:tcPr>
          <w:p w14:paraId="73F586B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Gubberamunda Sandstone</w:t>
            </w:r>
          </w:p>
        </w:tc>
        <w:tc>
          <w:tcPr>
            <w:tcW w:w="1017" w:type="pct"/>
            <w:tcBorders>
              <w:left w:val="nil"/>
              <w:right w:val="nil"/>
            </w:tcBorders>
            <w:shd w:val="clear" w:color="auto" w:fill="F2F2F2" w:themeFill="background2" w:themeFillShade="F2"/>
          </w:tcPr>
          <w:p w14:paraId="2D3EF25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F2F2F2" w:themeFill="background2" w:themeFillShade="F2"/>
          </w:tcPr>
          <w:p w14:paraId="62E3491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4479047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5</w:t>
            </w:r>
          </w:p>
        </w:tc>
      </w:tr>
      <w:tr w:rsidR="0032201E" w:rsidRPr="0032201E" w14:paraId="767BEFF6" w14:textId="77777777" w:rsidTr="0032201E">
        <w:trPr>
          <w:trHeight w:val="264"/>
        </w:trPr>
        <w:tc>
          <w:tcPr>
            <w:tcW w:w="1948" w:type="pct"/>
            <w:tcBorders>
              <w:left w:val="nil"/>
              <w:right w:val="nil"/>
            </w:tcBorders>
            <w:shd w:val="clear" w:color="auto" w:fill="auto"/>
            <w:noWrap/>
            <w:vAlign w:val="bottom"/>
            <w:hideMark/>
          </w:tcPr>
          <w:p w14:paraId="29A608B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Westbourne Formation</w:t>
            </w:r>
          </w:p>
        </w:tc>
        <w:tc>
          <w:tcPr>
            <w:tcW w:w="1017" w:type="pct"/>
            <w:tcBorders>
              <w:left w:val="nil"/>
              <w:right w:val="nil"/>
            </w:tcBorders>
            <w:shd w:val="clear" w:color="auto" w:fill="auto"/>
          </w:tcPr>
          <w:p w14:paraId="61AA314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5931128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auto"/>
            <w:vAlign w:val="bottom"/>
          </w:tcPr>
          <w:p w14:paraId="4A9FFB6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6</w:t>
            </w:r>
          </w:p>
        </w:tc>
      </w:tr>
      <w:tr w:rsidR="0032201E" w:rsidRPr="0032201E" w14:paraId="0A72AB7F" w14:textId="77777777" w:rsidTr="00C410F6">
        <w:trPr>
          <w:trHeight w:val="264"/>
        </w:trPr>
        <w:tc>
          <w:tcPr>
            <w:tcW w:w="1948" w:type="pct"/>
            <w:tcBorders>
              <w:left w:val="nil"/>
              <w:right w:val="nil"/>
            </w:tcBorders>
            <w:shd w:val="clear" w:color="auto" w:fill="F2F2F2" w:themeFill="background2" w:themeFillShade="F2"/>
            <w:noWrap/>
            <w:vAlign w:val="bottom"/>
            <w:hideMark/>
          </w:tcPr>
          <w:p w14:paraId="0BB198E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Springbok Sandstone (upper)</w:t>
            </w:r>
          </w:p>
        </w:tc>
        <w:tc>
          <w:tcPr>
            <w:tcW w:w="1017" w:type="pct"/>
            <w:tcBorders>
              <w:left w:val="nil"/>
              <w:right w:val="nil"/>
            </w:tcBorders>
            <w:shd w:val="clear" w:color="auto" w:fill="F2F2F2" w:themeFill="background2" w:themeFillShade="F2"/>
          </w:tcPr>
          <w:p w14:paraId="37434BA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F2F2F2" w:themeFill="background2" w:themeFillShade="F2"/>
          </w:tcPr>
          <w:p w14:paraId="2BBA23E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1F01284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7</w:t>
            </w:r>
          </w:p>
        </w:tc>
      </w:tr>
      <w:tr w:rsidR="0032201E" w:rsidRPr="0032201E" w14:paraId="1C178F51" w14:textId="77777777" w:rsidTr="00C410F6">
        <w:trPr>
          <w:trHeight w:val="264"/>
        </w:trPr>
        <w:tc>
          <w:tcPr>
            <w:tcW w:w="1948" w:type="pct"/>
            <w:tcBorders>
              <w:left w:val="nil"/>
              <w:right w:val="nil"/>
            </w:tcBorders>
            <w:shd w:val="clear" w:color="auto" w:fill="F2F2F2" w:themeFill="background2" w:themeFillShade="F2"/>
            <w:noWrap/>
            <w:vAlign w:val="bottom"/>
            <w:hideMark/>
          </w:tcPr>
          <w:p w14:paraId="6C29E51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Springbok Sandstone (lower)</w:t>
            </w:r>
          </w:p>
        </w:tc>
        <w:tc>
          <w:tcPr>
            <w:tcW w:w="1017" w:type="pct"/>
            <w:tcBorders>
              <w:left w:val="nil"/>
              <w:right w:val="nil"/>
            </w:tcBorders>
            <w:shd w:val="clear" w:color="auto" w:fill="F2F2F2" w:themeFill="background2" w:themeFillShade="F2"/>
          </w:tcPr>
          <w:p w14:paraId="1E46F89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F2F2F2" w:themeFill="background2" w:themeFillShade="F2"/>
          </w:tcPr>
          <w:p w14:paraId="23BC03F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7EF1C4C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8</w:t>
            </w:r>
          </w:p>
        </w:tc>
      </w:tr>
      <w:tr w:rsidR="0032201E" w:rsidRPr="0032201E" w14:paraId="60CE4F1B" w14:textId="77777777" w:rsidTr="0032201E">
        <w:trPr>
          <w:trHeight w:val="264"/>
        </w:trPr>
        <w:tc>
          <w:tcPr>
            <w:tcW w:w="1948" w:type="pct"/>
            <w:tcBorders>
              <w:left w:val="nil"/>
              <w:right w:val="nil"/>
            </w:tcBorders>
            <w:shd w:val="clear" w:color="auto" w:fill="auto"/>
            <w:noWrap/>
            <w:vAlign w:val="bottom"/>
            <w:hideMark/>
          </w:tcPr>
          <w:p w14:paraId="4EE1DBB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Walloon Coal Measures (upper aquitard)</w:t>
            </w:r>
          </w:p>
        </w:tc>
        <w:tc>
          <w:tcPr>
            <w:tcW w:w="1017" w:type="pct"/>
            <w:tcBorders>
              <w:left w:val="nil"/>
              <w:right w:val="nil"/>
            </w:tcBorders>
            <w:shd w:val="clear" w:color="auto" w:fill="auto"/>
          </w:tcPr>
          <w:p w14:paraId="49B795C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22FB103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018" w:type="pct"/>
            <w:tcBorders>
              <w:left w:val="nil"/>
              <w:right w:val="nil"/>
            </w:tcBorders>
            <w:shd w:val="clear" w:color="auto" w:fill="auto"/>
            <w:vAlign w:val="bottom"/>
          </w:tcPr>
          <w:p w14:paraId="14AA356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9</w:t>
            </w:r>
          </w:p>
        </w:tc>
      </w:tr>
      <w:tr w:rsidR="0032201E" w:rsidRPr="0032201E" w14:paraId="21C42B9E" w14:textId="77777777" w:rsidTr="00C410F6">
        <w:trPr>
          <w:trHeight w:val="264"/>
        </w:trPr>
        <w:tc>
          <w:tcPr>
            <w:tcW w:w="1948" w:type="pct"/>
            <w:tcBorders>
              <w:left w:val="nil"/>
              <w:right w:val="nil"/>
            </w:tcBorders>
            <w:shd w:val="clear" w:color="auto" w:fill="F2F2F2" w:themeFill="background2" w:themeFillShade="F2"/>
            <w:noWrap/>
            <w:vAlign w:val="bottom"/>
            <w:hideMark/>
          </w:tcPr>
          <w:p w14:paraId="65BDB797"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Walloon Coal Measures (coal seams)</w:t>
            </w:r>
          </w:p>
        </w:tc>
        <w:tc>
          <w:tcPr>
            <w:tcW w:w="1017" w:type="pct"/>
            <w:tcBorders>
              <w:left w:val="nil"/>
              <w:right w:val="nil"/>
            </w:tcBorders>
            <w:shd w:val="clear" w:color="auto" w:fill="F2F2F2" w:themeFill="background2" w:themeFillShade="F2"/>
          </w:tcPr>
          <w:p w14:paraId="3A39149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018" w:type="pct"/>
            <w:tcBorders>
              <w:left w:val="nil"/>
              <w:right w:val="nil"/>
            </w:tcBorders>
            <w:shd w:val="clear" w:color="auto" w:fill="F2F2F2" w:themeFill="background2" w:themeFillShade="F2"/>
          </w:tcPr>
          <w:p w14:paraId="3AD6CA0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5D124A9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10</w:t>
            </w:r>
          </w:p>
        </w:tc>
      </w:tr>
      <w:tr w:rsidR="0032201E" w:rsidRPr="0032201E" w14:paraId="261C21DC" w14:textId="77777777" w:rsidTr="0032201E">
        <w:trPr>
          <w:trHeight w:val="264"/>
        </w:trPr>
        <w:tc>
          <w:tcPr>
            <w:tcW w:w="1948" w:type="pct"/>
            <w:tcBorders>
              <w:left w:val="nil"/>
              <w:right w:val="nil"/>
            </w:tcBorders>
            <w:shd w:val="clear" w:color="auto" w:fill="auto"/>
            <w:noWrap/>
            <w:vAlign w:val="bottom"/>
            <w:hideMark/>
          </w:tcPr>
          <w:p w14:paraId="7DCA1F0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Walloon Coal Measures (lower aquitard)</w:t>
            </w:r>
          </w:p>
        </w:tc>
        <w:tc>
          <w:tcPr>
            <w:tcW w:w="1017" w:type="pct"/>
            <w:tcBorders>
              <w:left w:val="nil"/>
              <w:right w:val="nil"/>
            </w:tcBorders>
            <w:shd w:val="clear" w:color="auto" w:fill="auto"/>
          </w:tcPr>
          <w:p w14:paraId="4E15D03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35E2E66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018" w:type="pct"/>
            <w:tcBorders>
              <w:left w:val="nil"/>
              <w:right w:val="nil"/>
            </w:tcBorders>
            <w:shd w:val="clear" w:color="auto" w:fill="auto"/>
            <w:vAlign w:val="bottom"/>
          </w:tcPr>
          <w:p w14:paraId="5CAE4F1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11</w:t>
            </w:r>
          </w:p>
        </w:tc>
      </w:tr>
      <w:tr w:rsidR="0032201E" w:rsidRPr="0032201E" w14:paraId="2B98E4AB" w14:textId="77777777" w:rsidTr="00C410F6">
        <w:trPr>
          <w:trHeight w:val="264"/>
        </w:trPr>
        <w:tc>
          <w:tcPr>
            <w:tcW w:w="1948" w:type="pct"/>
            <w:tcBorders>
              <w:left w:val="nil"/>
              <w:right w:val="nil"/>
            </w:tcBorders>
            <w:shd w:val="clear" w:color="auto" w:fill="F2F2F2" w:themeFill="background2" w:themeFillShade="F2"/>
            <w:noWrap/>
            <w:vAlign w:val="bottom"/>
            <w:hideMark/>
          </w:tcPr>
          <w:p w14:paraId="204BB0D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Hutton Sandstone / Marburg Sandstone</w:t>
            </w:r>
          </w:p>
        </w:tc>
        <w:tc>
          <w:tcPr>
            <w:tcW w:w="1017" w:type="pct"/>
            <w:tcBorders>
              <w:left w:val="nil"/>
              <w:right w:val="nil"/>
            </w:tcBorders>
            <w:shd w:val="clear" w:color="auto" w:fill="F2F2F2" w:themeFill="background2" w:themeFillShade="F2"/>
          </w:tcPr>
          <w:p w14:paraId="12CCF41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F2F2F2" w:themeFill="background2" w:themeFillShade="F2"/>
          </w:tcPr>
          <w:p w14:paraId="5BBDD09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1BF89C8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12</w:t>
            </w:r>
          </w:p>
        </w:tc>
      </w:tr>
      <w:tr w:rsidR="0032201E" w:rsidRPr="0032201E" w14:paraId="71F36033" w14:textId="77777777" w:rsidTr="0032201E">
        <w:trPr>
          <w:trHeight w:val="264"/>
        </w:trPr>
        <w:tc>
          <w:tcPr>
            <w:tcW w:w="1948" w:type="pct"/>
            <w:tcBorders>
              <w:left w:val="nil"/>
              <w:right w:val="nil"/>
            </w:tcBorders>
            <w:shd w:val="clear" w:color="auto" w:fill="auto"/>
            <w:noWrap/>
            <w:vAlign w:val="bottom"/>
            <w:hideMark/>
          </w:tcPr>
          <w:p w14:paraId="23894BD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Evergreen Formation</w:t>
            </w:r>
          </w:p>
        </w:tc>
        <w:tc>
          <w:tcPr>
            <w:tcW w:w="1017" w:type="pct"/>
            <w:tcBorders>
              <w:left w:val="nil"/>
              <w:right w:val="nil"/>
            </w:tcBorders>
            <w:shd w:val="clear" w:color="auto" w:fill="auto"/>
          </w:tcPr>
          <w:p w14:paraId="65302BA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0407CC1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auto"/>
            <w:vAlign w:val="bottom"/>
          </w:tcPr>
          <w:p w14:paraId="3A2D2BB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13</w:t>
            </w:r>
          </w:p>
        </w:tc>
      </w:tr>
      <w:tr w:rsidR="0032201E" w:rsidRPr="0032201E" w14:paraId="4113B8E3" w14:textId="77777777" w:rsidTr="00C410F6">
        <w:trPr>
          <w:trHeight w:val="264"/>
        </w:trPr>
        <w:tc>
          <w:tcPr>
            <w:tcW w:w="1948" w:type="pct"/>
            <w:tcBorders>
              <w:left w:val="nil"/>
              <w:bottom w:val="nil"/>
              <w:right w:val="nil"/>
            </w:tcBorders>
            <w:shd w:val="clear" w:color="auto" w:fill="F2F2F2" w:themeFill="background2" w:themeFillShade="F2"/>
            <w:noWrap/>
            <w:vAlign w:val="bottom"/>
            <w:hideMark/>
          </w:tcPr>
          <w:p w14:paraId="20BE785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Precipice Sandstone</w:t>
            </w:r>
          </w:p>
        </w:tc>
        <w:tc>
          <w:tcPr>
            <w:tcW w:w="1017" w:type="pct"/>
            <w:tcBorders>
              <w:left w:val="nil"/>
              <w:right w:val="nil"/>
            </w:tcBorders>
            <w:shd w:val="clear" w:color="auto" w:fill="F2F2F2" w:themeFill="background2" w:themeFillShade="F2"/>
          </w:tcPr>
          <w:p w14:paraId="461C811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F2F2F2" w:themeFill="background2" w:themeFillShade="F2"/>
          </w:tcPr>
          <w:p w14:paraId="4E91527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38160D9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14</w:t>
            </w:r>
          </w:p>
        </w:tc>
      </w:tr>
      <w:tr w:rsidR="0032201E" w:rsidRPr="0032201E" w14:paraId="414C2D23" w14:textId="77777777" w:rsidTr="0032201E">
        <w:trPr>
          <w:trHeight w:val="264"/>
        </w:trPr>
        <w:tc>
          <w:tcPr>
            <w:tcW w:w="1948" w:type="pct"/>
            <w:tcBorders>
              <w:left w:val="nil"/>
              <w:bottom w:val="nil"/>
              <w:right w:val="nil"/>
            </w:tcBorders>
            <w:shd w:val="clear" w:color="auto" w:fill="auto"/>
            <w:noWrap/>
            <w:vAlign w:val="bottom"/>
            <w:hideMark/>
          </w:tcPr>
          <w:p w14:paraId="2CA8B94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Moolayember Formation</w:t>
            </w:r>
          </w:p>
        </w:tc>
        <w:tc>
          <w:tcPr>
            <w:tcW w:w="1017" w:type="pct"/>
            <w:tcBorders>
              <w:left w:val="nil"/>
              <w:right w:val="nil"/>
            </w:tcBorders>
            <w:shd w:val="clear" w:color="auto" w:fill="auto"/>
          </w:tcPr>
          <w:p w14:paraId="5FD99AD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3A15D1B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auto"/>
            <w:vAlign w:val="bottom"/>
          </w:tcPr>
          <w:p w14:paraId="721C433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r>
      <w:tr w:rsidR="0032201E" w:rsidRPr="0032201E" w14:paraId="37907326" w14:textId="77777777" w:rsidTr="00C410F6">
        <w:trPr>
          <w:trHeight w:val="264"/>
        </w:trPr>
        <w:tc>
          <w:tcPr>
            <w:tcW w:w="1948" w:type="pct"/>
            <w:tcBorders>
              <w:left w:val="nil"/>
              <w:bottom w:val="nil"/>
              <w:right w:val="nil"/>
            </w:tcBorders>
            <w:shd w:val="clear" w:color="auto" w:fill="F2F2F2" w:themeFill="background2" w:themeFillShade="F2"/>
            <w:noWrap/>
            <w:vAlign w:val="bottom"/>
            <w:hideMark/>
          </w:tcPr>
          <w:p w14:paraId="226C778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Clematis Sandstone / Showgrounds Sandstone</w:t>
            </w:r>
          </w:p>
        </w:tc>
        <w:tc>
          <w:tcPr>
            <w:tcW w:w="1017" w:type="pct"/>
            <w:tcBorders>
              <w:left w:val="nil"/>
              <w:right w:val="nil"/>
            </w:tcBorders>
            <w:shd w:val="clear" w:color="auto" w:fill="F2F2F2" w:themeFill="background2" w:themeFillShade="F2"/>
          </w:tcPr>
          <w:p w14:paraId="36331BE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F2F2F2" w:themeFill="background2" w:themeFillShade="F2"/>
          </w:tcPr>
          <w:p w14:paraId="61C2A29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F2F2F2" w:themeFill="background2" w:themeFillShade="F2"/>
            <w:vAlign w:val="bottom"/>
          </w:tcPr>
          <w:p w14:paraId="02E5739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16</w:t>
            </w:r>
          </w:p>
        </w:tc>
      </w:tr>
      <w:tr w:rsidR="0032201E" w:rsidRPr="0032201E" w14:paraId="334C2B4C" w14:textId="77777777" w:rsidTr="0032201E">
        <w:trPr>
          <w:trHeight w:val="264"/>
        </w:trPr>
        <w:tc>
          <w:tcPr>
            <w:tcW w:w="1948" w:type="pct"/>
            <w:tcBorders>
              <w:left w:val="nil"/>
              <w:bottom w:val="nil"/>
              <w:right w:val="nil"/>
            </w:tcBorders>
            <w:shd w:val="clear" w:color="auto" w:fill="auto"/>
            <w:noWrap/>
            <w:vAlign w:val="bottom"/>
            <w:hideMark/>
          </w:tcPr>
          <w:p w14:paraId="3B9E45F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Rewan Group</w:t>
            </w:r>
          </w:p>
        </w:tc>
        <w:tc>
          <w:tcPr>
            <w:tcW w:w="1017" w:type="pct"/>
            <w:tcBorders>
              <w:left w:val="nil"/>
              <w:right w:val="nil"/>
            </w:tcBorders>
            <w:shd w:val="clear" w:color="auto" w:fill="auto"/>
          </w:tcPr>
          <w:p w14:paraId="41EFA27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8" w:type="pct"/>
            <w:tcBorders>
              <w:left w:val="nil"/>
              <w:right w:val="nil"/>
            </w:tcBorders>
            <w:shd w:val="clear" w:color="auto" w:fill="auto"/>
          </w:tcPr>
          <w:p w14:paraId="2138D23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right w:val="nil"/>
            </w:tcBorders>
            <w:shd w:val="clear" w:color="auto" w:fill="auto"/>
            <w:vAlign w:val="bottom"/>
          </w:tcPr>
          <w:p w14:paraId="1BE4CAF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17</w:t>
            </w:r>
          </w:p>
        </w:tc>
      </w:tr>
      <w:tr w:rsidR="0032201E" w:rsidRPr="0032201E" w14:paraId="1CA33ED5" w14:textId="77777777" w:rsidTr="00C410F6">
        <w:trPr>
          <w:trHeight w:val="264"/>
        </w:trPr>
        <w:tc>
          <w:tcPr>
            <w:tcW w:w="1948" w:type="pct"/>
            <w:tcBorders>
              <w:top w:val="nil"/>
              <w:left w:val="nil"/>
              <w:bottom w:val="nil"/>
              <w:right w:val="nil"/>
            </w:tcBorders>
            <w:shd w:val="clear" w:color="auto" w:fill="F2F2F2" w:themeFill="background2" w:themeFillShade="F2"/>
            <w:noWrap/>
            <w:vAlign w:val="bottom"/>
            <w:hideMark/>
          </w:tcPr>
          <w:p w14:paraId="0C25BEDB"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Bandanna Formation</w:t>
            </w:r>
          </w:p>
        </w:tc>
        <w:tc>
          <w:tcPr>
            <w:tcW w:w="1017" w:type="pct"/>
            <w:tcBorders>
              <w:left w:val="nil"/>
              <w:right w:val="nil"/>
            </w:tcBorders>
            <w:shd w:val="clear" w:color="auto" w:fill="F2F2F2" w:themeFill="background2" w:themeFillShade="F2"/>
          </w:tcPr>
          <w:p w14:paraId="1F178C8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r w:rsidRPr="0032201E">
              <w:rPr>
                <w:rFonts w:ascii="Calibri" w:hAnsi="Calibri" w:cs="Calibri"/>
                <w:color w:val="000000"/>
                <w:sz w:val="18"/>
                <w:szCs w:val="18"/>
                <w:lang w:val="en-GB" w:eastAsia="en-AU"/>
              </w:rPr>
              <w:t>CSG reservoir</w:t>
            </w:r>
          </w:p>
        </w:tc>
        <w:tc>
          <w:tcPr>
            <w:tcW w:w="1018" w:type="pct"/>
            <w:tcBorders>
              <w:left w:val="nil"/>
              <w:right w:val="nil"/>
            </w:tcBorders>
            <w:shd w:val="clear" w:color="auto" w:fill="F2F2F2" w:themeFill="background2" w:themeFillShade="F2"/>
          </w:tcPr>
          <w:p w14:paraId="6577275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p>
        </w:tc>
        <w:tc>
          <w:tcPr>
            <w:tcW w:w="1018" w:type="pct"/>
            <w:tcBorders>
              <w:left w:val="nil"/>
              <w:right w:val="nil"/>
            </w:tcBorders>
            <w:shd w:val="clear" w:color="auto" w:fill="F2F2F2" w:themeFill="background2" w:themeFillShade="F2"/>
            <w:vAlign w:val="bottom"/>
          </w:tcPr>
          <w:p w14:paraId="272DA1C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18</w:t>
            </w:r>
          </w:p>
        </w:tc>
      </w:tr>
      <w:tr w:rsidR="0032201E" w:rsidRPr="0032201E" w14:paraId="2D8BC10B" w14:textId="77777777" w:rsidTr="0032201E">
        <w:trPr>
          <w:trHeight w:val="264"/>
        </w:trPr>
        <w:tc>
          <w:tcPr>
            <w:tcW w:w="1948" w:type="pct"/>
            <w:tcBorders>
              <w:top w:val="nil"/>
              <w:left w:val="nil"/>
              <w:bottom w:val="single" w:sz="4" w:space="0" w:color="auto"/>
              <w:right w:val="nil"/>
            </w:tcBorders>
            <w:shd w:val="clear" w:color="auto" w:fill="auto"/>
            <w:noWrap/>
            <w:vAlign w:val="bottom"/>
            <w:hideMark/>
          </w:tcPr>
          <w:p w14:paraId="3DAE436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Permian sediments</w:t>
            </w:r>
          </w:p>
        </w:tc>
        <w:tc>
          <w:tcPr>
            <w:tcW w:w="1017" w:type="pct"/>
            <w:tcBorders>
              <w:left w:val="nil"/>
              <w:bottom w:val="single" w:sz="4" w:space="0" w:color="auto"/>
              <w:right w:val="nil"/>
            </w:tcBorders>
            <w:shd w:val="clear" w:color="auto" w:fill="auto"/>
          </w:tcPr>
          <w:p w14:paraId="615D827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r w:rsidRPr="0032201E">
              <w:rPr>
                <w:rFonts w:ascii="Calibri" w:hAnsi="Calibri" w:cs="Calibri"/>
                <w:color w:val="000000"/>
                <w:sz w:val="18"/>
                <w:szCs w:val="18"/>
                <w:lang w:val="en-GB" w:eastAsia="en-AU"/>
              </w:rPr>
              <w:sym w:font="Wingdings" w:char="F0FC"/>
            </w:r>
          </w:p>
        </w:tc>
        <w:tc>
          <w:tcPr>
            <w:tcW w:w="1018" w:type="pct"/>
            <w:tcBorders>
              <w:left w:val="nil"/>
              <w:bottom w:val="single" w:sz="4" w:space="0" w:color="auto"/>
              <w:right w:val="nil"/>
            </w:tcBorders>
            <w:shd w:val="clear" w:color="auto" w:fill="auto"/>
          </w:tcPr>
          <w:p w14:paraId="5B62EF3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p>
        </w:tc>
        <w:tc>
          <w:tcPr>
            <w:tcW w:w="1018" w:type="pct"/>
            <w:tcBorders>
              <w:left w:val="nil"/>
              <w:bottom w:val="single" w:sz="4" w:space="0" w:color="auto"/>
              <w:right w:val="nil"/>
            </w:tcBorders>
            <w:shd w:val="clear" w:color="auto" w:fill="auto"/>
            <w:vAlign w:val="bottom"/>
          </w:tcPr>
          <w:p w14:paraId="7D7FDE9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19</w:t>
            </w:r>
          </w:p>
        </w:tc>
      </w:tr>
    </w:tbl>
    <w:p w14:paraId="657989A7"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02A2B087" w14:textId="77777777" w:rsidR="0032201E" w:rsidRPr="0032201E" w:rsidRDefault="0032201E" w:rsidP="00475872">
      <w:pPr>
        <w:pStyle w:val="Body"/>
      </w:pPr>
      <w:r w:rsidRPr="0032201E">
        <w:t xml:space="preserve">GHD </w:t>
      </w:r>
      <w:r w:rsidR="00084CDD" w:rsidRPr="0032201E">
        <w:fldChar w:fldCharType="begin"/>
      </w:r>
      <w:r w:rsidRPr="0032201E">
        <w:instrText xml:space="preserve"> ADDIN EN.CITE &lt;EndNote&gt;&lt;Cite ExcludeAuth="1"&gt;&lt;Author&gt;GHD&lt;/Author&gt;&lt;Year&gt;2011&lt;/Year&gt;&lt;IDText&gt;Report for QWC17-10 Stage 2: Surat Cumulative Management Area Groundwater Model Report (Draft)&lt;/IDText&gt;&lt;DisplayText&gt;(2011)&lt;/DisplayText&gt;&lt;record&gt;&lt;titles&gt;&lt;title&gt;Report for QWC17-10 Stage 2: Surat Cumulative Management Area Groundwater Model Report (Draft)&lt;/title&gt;&lt;/titles&gt;&lt;pages&gt;92; appendices&lt;/pages&gt;&lt;contributors&gt;&lt;authors&gt;&lt;author&gt;GHD&lt;/author&gt;&lt;/authors&gt;&lt;/contributors&gt;&lt;added-date format="utc"&gt;1433232926&lt;/added-date&gt;&lt;pub-location&gt;Brisbane, Queensland&lt;/pub-location&gt;&lt;ref-type name="Report"&gt;27&lt;/ref-type&gt;&lt;dates&gt;&lt;year&gt;2011&lt;/year&gt;&lt;/dates&gt;&lt;rec-number&gt;71&lt;/rec-number&gt;&lt;last-updated-date format="utc"&gt;1433233151&lt;/last-updated-date&gt;&lt;/record&gt;&lt;/Cite&gt;&lt;/EndNote&gt;</w:instrText>
      </w:r>
      <w:r w:rsidR="00084CDD" w:rsidRPr="0032201E">
        <w:fldChar w:fldCharType="separate"/>
      </w:r>
      <w:r w:rsidRPr="0032201E">
        <w:rPr>
          <w:noProof/>
        </w:rPr>
        <w:t>(2011)</w:t>
      </w:r>
      <w:r w:rsidR="00084CDD" w:rsidRPr="0032201E">
        <w:fldChar w:fldCharType="end"/>
      </w:r>
      <w:r w:rsidRPr="0032201E">
        <w:t xml:space="preserve"> reported hydraulic conductivity (</w:t>
      </w:r>
      <w:r w:rsidRPr="0032201E">
        <w:rPr>
          <w:i/>
        </w:rPr>
        <w:t>K</w:t>
      </w:r>
      <w:r w:rsidRPr="0032201E">
        <w:t>) values separately for assigned aquifer and aquitard model layers. Horizontal hydraulic conductivity (</w:t>
      </w:r>
      <w:r w:rsidRPr="0032201E">
        <w:rPr>
          <w:i/>
        </w:rPr>
        <w:t>K</w:t>
      </w:r>
      <w:r w:rsidRPr="0032201E">
        <w:rPr>
          <w:i/>
          <w:vertAlign w:val="subscript"/>
        </w:rPr>
        <w:t>h</w:t>
      </w:r>
      <w:r w:rsidRPr="0032201E">
        <w:rPr>
          <w:i/>
        </w:rPr>
        <w:t>)</w:t>
      </w:r>
      <w:r w:rsidRPr="0032201E">
        <w:t xml:space="preserve"> values were reported for the former while vertical hydraulic conductivity (</w:t>
      </w:r>
      <w:r w:rsidRPr="0032201E">
        <w:rPr>
          <w:i/>
        </w:rPr>
        <w:t>K</w:t>
      </w:r>
      <w:r w:rsidRPr="0032201E">
        <w:rPr>
          <w:i/>
          <w:vertAlign w:val="subscript"/>
        </w:rPr>
        <w:t>v</w:t>
      </w:r>
      <w:r w:rsidRPr="0032201E">
        <w:t xml:space="preserve">) values were reported for the latter. “Secondary” </w:t>
      </w:r>
      <w:r w:rsidRPr="0032201E">
        <w:rPr>
          <w:i/>
        </w:rPr>
        <w:t>K</w:t>
      </w:r>
      <w:r w:rsidRPr="0032201E">
        <w:t xml:space="preserve"> values (</w:t>
      </w:r>
      <w:r w:rsidR="00AA5ABA">
        <w:t xml:space="preserve">e.g., </w:t>
      </w:r>
      <w:r w:rsidRPr="0032201E">
        <w:rPr>
          <w:i/>
        </w:rPr>
        <w:t>K</w:t>
      </w:r>
      <w:r w:rsidRPr="0032201E">
        <w:rPr>
          <w:i/>
          <w:vertAlign w:val="subscript"/>
        </w:rPr>
        <w:t>h</w:t>
      </w:r>
      <w:r w:rsidRPr="0032201E">
        <w:t xml:space="preserve"> values for aquitard layers) were calculated using anisotropy scalars.</w:t>
      </w:r>
    </w:p>
    <w:p w14:paraId="365ACAE3" w14:textId="77777777" w:rsidR="0032201E" w:rsidRPr="0032201E" w:rsidRDefault="0032201E" w:rsidP="00475872">
      <w:pPr>
        <w:pStyle w:val="Body"/>
      </w:pPr>
      <w:r w:rsidRPr="0032201E">
        <w:t xml:space="preserve">Initial pre-calibration </w:t>
      </w:r>
      <w:r w:rsidRPr="0032201E">
        <w:rPr>
          <w:i/>
        </w:rPr>
        <w:t>K</w:t>
      </w:r>
      <w:r w:rsidRPr="0032201E">
        <w:rPr>
          <w:i/>
          <w:vertAlign w:val="subscript"/>
        </w:rPr>
        <w:t>h</w:t>
      </w:r>
      <w:r w:rsidRPr="0032201E">
        <w:t xml:space="preserve"> values were obtained from a number of sources. For the majority of model aquifer layers (</w:t>
      </w:r>
      <w:r w:rsidR="00C85DC3">
        <w:t xml:space="preserve">i.e., </w:t>
      </w:r>
      <w:r w:rsidRPr="0032201E">
        <w:t xml:space="preserve">3, 5, 7, 8, 12), single values were derived from a review of previous Surat Basin models </w:t>
      </w:r>
      <w:r w:rsidR="00084CDD" w:rsidRPr="0032201E">
        <w:fldChar w:fldCharType="begin"/>
      </w:r>
      <w:r w:rsidRPr="0032201E">
        <w:instrText xml:space="preserve"> ADDIN EN.CITE &lt;EndNote&gt;&lt;Cite&gt;&lt;Author&gt;USQ&lt;/Author&gt;&lt;Year&gt;2011&lt;/Year&gt;&lt;IDText&gt;Preliminary Assessment of Cumulative Drawdown Impacts in the Surat basin Associated with the Coal Seam Gas Indusstry: Investigation of parameters and features for a regional model of Surat Basin Coal Seam Gas Developments&lt;/IDText&gt;&lt;DisplayText&gt;(USQ, 2011)&lt;/DisplayText&gt;&lt;record&gt;&lt;contributors&gt;&lt;tertiary-authors&gt;&lt;author&gt;University of Southern Queensland&lt;/author&gt;&lt;/tertiary-authors&gt;&lt;/contributors&gt;&lt;titles&gt;&lt;title&gt;Preliminary Assessment of Cumulative Drawdown Impacts in the Surat basin Associated with the Coal Seam Gas Indusstry: Investigation of parameters and features for a regional model of Surat Basin Coal Seam Gas Developments&lt;/title&gt;&lt;/titles&gt;&lt;pages&gt;ii, 44&lt;/pages&gt;&lt;contributors&gt;&lt;authors&gt;&lt;author&gt;USQ&lt;/author&gt;&lt;/authors&gt;&lt;/contributors&gt;&lt;added-date format="utc"&gt;1433397595&lt;/added-date&gt;&lt;pub-location&gt;Toowoomba, Queensland&lt;/pub-location&gt;&lt;ref-type name="Report"&gt;27&lt;/ref-type&gt;&lt;dates&gt;&lt;year&gt;2011&lt;/year&gt;&lt;/dates&gt;&lt;rec-number&gt;82&lt;/rec-number&gt;&lt;last-updated-date format="utc"&gt;1433898196&lt;/last-updated-date&gt;&lt;/record&gt;&lt;/Cite&gt;&lt;/EndNote&gt;</w:instrText>
      </w:r>
      <w:r w:rsidR="00084CDD" w:rsidRPr="0032201E">
        <w:fldChar w:fldCharType="separate"/>
      </w:r>
      <w:r w:rsidRPr="0032201E">
        <w:rPr>
          <w:noProof/>
        </w:rPr>
        <w:t>(USQ, 2011)</w:t>
      </w:r>
      <w:r w:rsidR="00084CDD" w:rsidRPr="0032201E">
        <w:fldChar w:fldCharType="end"/>
      </w:r>
      <w:r w:rsidRPr="0032201E">
        <w:t>. For the productive seam of the Walloon Coal Measures and for all aquifer layers underlying the Hutton Sandstone (</w:t>
      </w:r>
      <w:r w:rsidR="00C85DC3">
        <w:t xml:space="preserve">i.e., </w:t>
      </w:r>
      <w:r w:rsidRPr="0032201E">
        <w:t xml:space="preserve">model layers 10 and 14, 16, 18), values were assigned on a cell-by-cell basis using empirical functions of depth in order to account for overburden pressure effects. For the horizontal </w:t>
      </w:r>
      <w:r w:rsidRPr="0032201E">
        <w:rPr>
          <w:i/>
        </w:rPr>
        <w:t>K</w:t>
      </w:r>
      <w:r w:rsidRPr="0032201E">
        <w:t xml:space="preserve"> of the Main Range Volcanics (model layer 2), a median value obtained from all available hydraulic pumping test results for this unit was used. For the Condamine Alluvium and for other alluvial units (model layers 1 and 3), hydraulic conductivities were obtained from a prior model of the Condamine Alluvium aquifer. </w:t>
      </w:r>
    </w:p>
    <w:p w14:paraId="542647E0" w14:textId="77777777" w:rsidR="0032201E" w:rsidRPr="0032201E" w:rsidRDefault="0032201E" w:rsidP="00475872">
      <w:pPr>
        <w:pStyle w:val="Body"/>
      </w:pPr>
      <w:r w:rsidRPr="0032201E">
        <w:t xml:space="preserve">Similarly, initial pre-calibration </w:t>
      </w:r>
      <w:r w:rsidRPr="0032201E">
        <w:rPr>
          <w:i/>
        </w:rPr>
        <w:t>K</w:t>
      </w:r>
      <w:r w:rsidRPr="0032201E">
        <w:rPr>
          <w:i/>
          <w:vertAlign w:val="subscript"/>
        </w:rPr>
        <w:t>v</w:t>
      </w:r>
      <w:r w:rsidRPr="0032201E">
        <w:t xml:space="preserve"> values were also obtained from a number of sources. For the majority of model aquitard layers (2, 4, 6, 13, 15), values were derived from a review of Surat Basin models </w:t>
      </w:r>
      <w:r w:rsidR="00084CDD" w:rsidRPr="0032201E">
        <w:fldChar w:fldCharType="begin"/>
      </w:r>
      <w:r w:rsidRPr="0032201E">
        <w:instrText xml:space="preserve"> ADDIN EN.CITE &lt;EndNote&gt;&lt;Cite&gt;&lt;Author&gt;USQ&lt;/Author&gt;&lt;Year&gt;2011&lt;/Year&gt;&lt;IDText&gt;Preliminary Assessment of Cumulative Drawdown Impacts in the Surat basin Associated with the Coal Seam Gas Indusstry: Investigation of parameters and features for a regional model of Surat Basin Coal Seam Gas Developments&lt;/IDText&gt;&lt;DisplayText&gt;(USQ, 2011)&lt;/DisplayText&gt;&lt;record&gt;&lt;contributors&gt;&lt;tertiary-authors&gt;&lt;author&gt;University of Southern Queensland&lt;/author&gt;&lt;/tertiary-authors&gt;&lt;/contributors&gt;&lt;titles&gt;&lt;title&gt;Preliminary Assessment of Cumulative Drawdown Impacts in the Surat basin Associated with the Coal Seam Gas Indusstry: Investigation of parameters and features for a regional model of Surat Basin Coal Seam Gas Developments&lt;/title&gt;&lt;/titles&gt;&lt;pages&gt;ii, 44&lt;/pages&gt;&lt;contributors&gt;&lt;authors&gt;&lt;author&gt;USQ&lt;/author&gt;&lt;/authors&gt;&lt;/contributors&gt;&lt;added-date format="utc"&gt;1433397595&lt;/added-date&gt;&lt;pub-location&gt;Toowoomba, Queensland&lt;/pub-location&gt;&lt;ref-type name="Report"&gt;27&lt;/ref-type&gt;&lt;dates&gt;&lt;year&gt;2011&lt;/year&gt;&lt;/dates&gt;&lt;rec-number&gt;82&lt;/rec-number&gt;&lt;last-updated-date format="utc"&gt;1433898196&lt;/last-updated-date&gt;&lt;/record&gt;&lt;/Cite&gt;&lt;/EndNote&gt;</w:instrText>
      </w:r>
      <w:r w:rsidR="00084CDD" w:rsidRPr="0032201E">
        <w:fldChar w:fldCharType="separate"/>
      </w:r>
      <w:r w:rsidRPr="0032201E">
        <w:rPr>
          <w:noProof/>
        </w:rPr>
        <w:t>(USQ, 2011)</w:t>
      </w:r>
      <w:r w:rsidR="00084CDD" w:rsidRPr="0032201E">
        <w:fldChar w:fldCharType="end"/>
      </w:r>
      <w:r w:rsidRPr="0032201E">
        <w:t xml:space="preserve">. For the aquitard units of the Walloon Coal Measures, values were assigned on a cell-by-cell basis using empirical functions of depth in order to account for overburden pressure effects. </w:t>
      </w:r>
      <w:r w:rsidRPr="0032201E">
        <w:rPr>
          <w:i/>
        </w:rPr>
        <w:t>K</w:t>
      </w:r>
      <w:r w:rsidRPr="0032201E">
        <w:rPr>
          <w:i/>
          <w:vertAlign w:val="subscript"/>
        </w:rPr>
        <w:t>v</w:t>
      </w:r>
      <w:r w:rsidRPr="0032201E">
        <w:t xml:space="preserve"> values of the Rewan Group (17) and pre-Bandanna units (19) were obtained from prior </w:t>
      </w:r>
      <w:r w:rsidRPr="009A5536">
        <w:t xml:space="preserve">modelling of the Bowen Basin by Santos </w:t>
      </w:r>
      <w:r w:rsidR="00084CDD">
        <w:fldChar w:fldCharType="begin"/>
      </w:r>
      <w:r w:rsidR="009A5536">
        <w:instrText xml:space="preserve"> ADDIN EN.CITE &lt;EndNote&gt;&lt;Cite ExcludeAuth="1"&gt;&lt;Author&gt;Santos&lt;/Author&gt;&lt;Year&gt;2010&lt;/Year&gt;&lt;IDText&gt;Bowen Basin groundwater modelling report&lt;/IDText&gt;&lt;DisplayText&gt;(2010)&lt;/DisplayText&gt;&lt;record&gt;&lt;titles&gt;&lt;title&gt;Bowen Basin groundwater modelling report&lt;/title&gt;&lt;/titles&gt;&lt;contributors&gt;&lt;authors&gt;&lt;author&gt;Santos&lt;/author&gt;&lt;/authors&gt;&lt;/contributors&gt;&lt;edition&gt;draft report&lt;/edition&gt;&lt;added-date format="utc"&gt;1434974511&lt;/added-date&gt;&lt;ref-type name="Generic"&gt;13&lt;/ref-type&gt;&lt;dates&gt;&lt;year&gt;2010&lt;/year&gt;&lt;/dates&gt;&lt;rec-number&gt;1205&lt;/rec-number&gt;&lt;last-updated-date format="utc"&gt;1434974531&lt;/last-updated-date&gt;&lt;/record&gt;&lt;/Cite&gt;&lt;/EndNote&gt;</w:instrText>
      </w:r>
      <w:r w:rsidR="00084CDD">
        <w:fldChar w:fldCharType="separate"/>
      </w:r>
      <w:r w:rsidR="009A5536">
        <w:rPr>
          <w:noProof/>
        </w:rPr>
        <w:t>(2010)</w:t>
      </w:r>
      <w:r w:rsidR="00084CDD">
        <w:fldChar w:fldCharType="end"/>
      </w:r>
      <w:r w:rsidRPr="009A5536">
        <w:t>.</w:t>
      </w:r>
      <w:r w:rsidRPr="0032201E">
        <w:t xml:space="preserve"> </w:t>
      </w:r>
    </w:p>
    <w:p w14:paraId="5BA02BF3" w14:textId="77777777" w:rsidR="0032201E" w:rsidRPr="0032201E" w:rsidRDefault="0032201E" w:rsidP="00475872">
      <w:pPr>
        <w:pStyle w:val="Body"/>
      </w:pPr>
      <w:r w:rsidRPr="0032201E">
        <w:t>Acceptable hydraulic conductivity ranges for model inversion purposes were defined based on the 5</w:t>
      </w:r>
      <w:r w:rsidRPr="0032201E">
        <w:rPr>
          <w:vertAlign w:val="superscript"/>
        </w:rPr>
        <w:t>th</w:t>
      </w:r>
      <w:r w:rsidRPr="0032201E">
        <w:t xml:space="preserve"> and 95</w:t>
      </w:r>
      <w:r w:rsidRPr="0032201E">
        <w:rPr>
          <w:vertAlign w:val="superscript"/>
        </w:rPr>
        <w:t>th</w:t>
      </w:r>
      <w:r w:rsidRPr="0032201E">
        <w:t xml:space="preserve"> percentiles of the available observed data. Results from over 13 000 drill stem tests were obtained from the Queensland Petroleum Exploration Database and more than 1000 pump test records were obtained from the DNRM groundwater database </w:t>
      </w:r>
      <w:r w:rsidR="00084CDD" w:rsidRPr="0032201E">
        <w:fldChar w:fldCharType="begin"/>
      </w:r>
      <w:r w:rsidRPr="0032201E">
        <w:instrText xml:space="preserve"> ADDIN EN.CITE &lt;EndNote&gt;&lt;Cite&gt;&lt;Author&gt;QWC&lt;/Author&gt;&lt;Year&gt;2012&lt;/Year&gt;&lt;IDText&gt;Underground water impact report for the Surat cumulative management area&lt;/IDText&gt;&lt;DisplayText&gt;(QWC, 2012)&lt;/DisplayText&gt;&lt;record&gt;&lt;contributors&gt;&lt;tertiary-authors&gt;&lt;author&gt;Queensland Water Commission&lt;/author&gt;&lt;/tertiary-authors&gt;&lt;/contributors&gt;&lt;urls&gt;&lt;related-urls&gt;&lt;url&gt;https://www.dnrm.qld.gov.au/ogia/surat-underground-water-impact-report&lt;/url&gt;&lt;/related-urls&gt;&lt;/urls&gt;&lt;titles&gt;&lt;title&gt;Underground water impact report for the Surat cumulative management area&lt;/title&gt;&lt;/titles&gt;&lt;pages&gt;xvi, 99, 107 pages&lt;/pages&gt;&lt;contributors&gt;&lt;authors&gt;&lt;author&gt;QWC&lt;/author&gt;&lt;/authors&gt;&lt;/contributors&gt;&lt;added-date format="utc"&gt;1433389003&lt;/added-date&gt;&lt;pub-location&gt;Brisbane&lt;/pub-location&gt;&lt;ref-type name="Report"&gt;27&lt;/ref-type&gt;&lt;dates&gt;&lt;year&gt;2012&lt;/year&gt;&lt;/dates&gt;&lt;rec-number&gt;75&lt;/rec-number&gt;&lt;last-updated-date format="utc"&gt;1433898098&lt;/last-updated-date&gt;&lt;/record&gt;&lt;/Cite&gt;&lt;/EndNote&gt;</w:instrText>
      </w:r>
      <w:r w:rsidR="00084CDD" w:rsidRPr="0032201E">
        <w:fldChar w:fldCharType="separate"/>
      </w:r>
      <w:r w:rsidRPr="0032201E">
        <w:rPr>
          <w:noProof/>
        </w:rPr>
        <w:t>(QWC, 2012)</w:t>
      </w:r>
      <w:r w:rsidR="00084CDD" w:rsidRPr="0032201E">
        <w:fldChar w:fldCharType="end"/>
      </w:r>
      <w:r w:rsidRPr="0032201E">
        <w:t xml:space="preserve">.  Aquifer </w:t>
      </w:r>
      <w:r w:rsidRPr="0032201E">
        <w:rPr>
          <w:i/>
        </w:rPr>
        <w:t>K</w:t>
      </w:r>
      <w:r w:rsidRPr="0032201E">
        <w:rPr>
          <w:i/>
          <w:vertAlign w:val="subscript"/>
        </w:rPr>
        <w:t>h</w:t>
      </w:r>
      <w:r w:rsidRPr="0032201E">
        <w:t xml:space="preserve"> values and aquitard </w:t>
      </w:r>
      <w:r w:rsidRPr="0032201E">
        <w:rPr>
          <w:i/>
        </w:rPr>
        <w:t>K</w:t>
      </w:r>
      <w:r w:rsidRPr="0032201E">
        <w:rPr>
          <w:i/>
          <w:vertAlign w:val="subscript"/>
        </w:rPr>
        <w:t>v</w:t>
      </w:r>
      <w:r w:rsidRPr="0032201E">
        <w:t xml:space="preserve"> values were adjusted through inverse modelling and were typically allowed to vary over three to five orders of magnitude. Anisotropy scalars were also calculated through inverse modelling, during which they were typically allowed to vary over three or four orders of magnitude. </w:t>
      </w:r>
    </w:p>
    <w:p w14:paraId="2AC2DF5F" w14:textId="093D3F60" w:rsidR="0032201E" w:rsidRPr="0032201E" w:rsidRDefault="0032201E" w:rsidP="00475872">
      <w:pPr>
        <w:pStyle w:val="Body"/>
      </w:pPr>
      <w:r w:rsidRPr="0032201E">
        <w:t>Specific storage and specific yield values for the Walloon Coal Measures only were estimated through calibration of a transient sub-model of the operational Kogan North / Daandine CSG borefield. Storage values were allowed to vary across a wide range of values between the minimum anticipated specific storage (</w:t>
      </w:r>
      <w:r w:rsidR="00C85DC3">
        <w:t xml:space="preserve">i.e., </w:t>
      </w:r>
      <w:r w:rsidRPr="0032201E">
        <w:t>5</w:t>
      </w:r>
      <w:r w:rsidR="00056615">
        <w:t xml:space="preserve"> × </w:t>
      </w:r>
      <w:r w:rsidRPr="0032201E">
        <w:t>10</w:t>
      </w:r>
      <w:r w:rsidRPr="0032201E">
        <w:rPr>
          <w:vertAlign w:val="superscript"/>
        </w:rPr>
        <w:t>-6</w:t>
      </w:r>
      <w:r w:rsidRPr="0032201E">
        <w:t xml:space="preserve"> m</w:t>
      </w:r>
      <w:r w:rsidRPr="0032201E">
        <w:rPr>
          <w:vertAlign w:val="superscript"/>
        </w:rPr>
        <w:t>-1</w:t>
      </w:r>
      <w:r w:rsidRPr="0032201E">
        <w:t xml:space="preserve"> for most layers) and the maximum anticipated specific yield (</w:t>
      </w:r>
      <w:r w:rsidR="00C85DC3">
        <w:t xml:space="preserve">i.e., </w:t>
      </w:r>
      <w:r w:rsidRPr="0032201E">
        <w:t xml:space="preserve">0.01 – 0.1 in most layers). This reflects the fact that semi-confined conditions can occur in units that are not </w:t>
      </w:r>
      <w:r w:rsidR="00F2705D">
        <w:t>present at outcrop. Available</w:t>
      </w:r>
      <w:r w:rsidRPr="0032201E">
        <w:t xml:space="preserve"> time series data of hydraulic head were considered to be </w:t>
      </w:r>
      <w:r w:rsidR="00F2705D">
        <w:t>insufficient</w:t>
      </w:r>
      <w:r w:rsidRPr="0032201E">
        <w:t xml:space="preserve"> to </w:t>
      </w:r>
      <w:r w:rsidR="00367B59" w:rsidRPr="00367B59">
        <w:t xml:space="preserve">reliably estimate storage </w:t>
      </w:r>
      <w:r w:rsidR="00367B59">
        <w:t xml:space="preserve">parameters </w:t>
      </w:r>
      <w:r w:rsidR="00367B59" w:rsidRPr="00367B59">
        <w:t>through inverse modelling</w:t>
      </w:r>
      <w:r w:rsidR="00367B59">
        <w:t xml:space="preserve">. </w:t>
      </w:r>
      <w:r w:rsidRPr="0032201E">
        <w:t xml:space="preserve">Storage parameters for the remaining model layers excluding the Walloon Coal Measures were therefore </w:t>
      </w:r>
      <w:r w:rsidR="00367B59">
        <w:t xml:space="preserve">unconstrained </w:t>
      </w:r>
      <w:r w:rsidRPr="0032201E">
        <w:t xml:space="preserve">for predictive modelling purposes.  The effects of this assumption on predictions were tested via the subsequent uncertainty analysis work </w:t>
      </w:r>
      <w:r w:rsidR="00084CDD" w:rsidRPr="0032201E">
        <w:fldChar w:fldCharType="begin"/>
      </w:r>
      <w:r w:rsidRPr="0032201E">
        <w:instrText xml:space="preserve"> ADDIN EN.CITE &lt;EndNote&gt;&lt;Cite&gt;&lt;Author&gt;Watermark Numerical Computing&lt;/Author&gt;&lt;Year&gt;2012&lt;/Year&gt;&lt;IDText&gt;Predictive uncertainty of the regional-scale groundwater flow model for the Surat Cumulative Management Area&lt;/IDText&gt;&lt;DisplayText&gt;(Watermark Numerical Computing, 2012)&lt;/DisplayText&gt;&lt;record&gt;&lt;titles&gt;&lt;title&gt;Predictive uncertainty of the regional-scale groundwater flow model for the Surat Cumulative Management Area&lt;/title&gt;&lt;/titles&gt;&lt;contributors&gt;&lt;authors&gt;&lt;author&gt;Watermark Numerical Computing,&lt;/author&gt;&lt;/authors&gt;&lt;/contributors&gt;&lt;added-date format="utc"&gt;1434100143&lt;/added-date&gt;&lt;ref-type name="Generic"&gt;13&lt;/ref-type&gt;&lt;dates&gt;&lt;year&gt;2012&lt;/year&gt;&lt;/dates&gt;&lt;rec-number&gt;1191&lt;/rec-number&gt;&lt;publisher&gt;prepared by Watermark Numerical Computing for the Queensland Water Commission&lt;/publisher&gt;&lt;last-updated-date format="utc"&gt;1434100270&lt;/last-updated-date&gt;&lt;/record&gt;&lt;/Cite&gt;&lt;/EndNote&gt;</w:instrText>
      </w:r>
      <w:r w:rsidR="00084CDD" w:rsidRPr="0032201E">
        <w:fldChar w:fldCharType="separate"/>
      </w:r>
      <w:r w:rsidRPr="0032201E">
        <w:rPr>
          <w:noProof/>
        </w:rPr>
        <w:t>(Watermark Numerical Computing, 2012)</w:t>
      </w:r>
      <w:r w:rsidR="00084CDD" w:rsidRPr="0032201E">
        <w:fldChar w:fldCharType="end"/>
      </w:r>
      <w:r w:rsidRPr="0032201E">
        <w:t>.</w:t>
      </w:r>
    </w:p>
    <w:p w14:paraId="11000E0A" w14:textId="77777777" w:rsidR="0032201E" w:rsidRPr="0032201E" w:rsidRDefault="0032201E" w:rsidP="00475872">
      <w:pPr>
        <w:pStyle w:val="Body"/>
      </w:pPr>
      <w:r w:rsidRPr="0032201E">
        <w:t>Structural features such as geological faults were not explicitly represented in the model or subsequent uncertainty analyses; hence, it is not possible to differentiate the impacts of faults from other contributors to regional scale parameter uncertainty.</w:t>
      </w:r>
    </w:p>
    <w:p w14:paraId="4A2756E5" w14:textId="77777777" w:rsidR="0032201E" w:rsidRPr="0032201E" w:rsidRDefault="0032201E" w:rsidP="00475872">
      <w:pPr>
        <w:pStyle w:val="Body"/>
      </w:pPr>
      <w:r w:rsidRPr="0032201E">
        <w:t>Coal seam gas extraction was simulated using a hydraulic head-dependent (</w:t>
      </w:r>
      <w:r w:rsidR="00C85DC3">
        <w:t xml:space="preserve">i.e., </w:t>
      </w:r>
      <w:r w:rsidRPr="0032201E">
        <w:t>Cauchy) boundary condition, implemented using the MODFLOW Evapotranspiration package. For a given model cell, this approach removes water at a specified maximum rate when the hydraulic head in the cell is at or above a specified (upper) elevation. When the hydraulic head is below a second specified (lower) elevation then zero flux is applied. When the cell hydraulic head is located between the two nominated elevations then the extraction flux is calculated as a linear function of position between the two specified elevations. Maximum extraction fluxes were obtained from each of the four coal seam gas development applicants. Lower specified elevations (</w:t>
      </w:r>
      <w:r w:rsidR="00C85DC3">
        <w:t xml:space="preserve">i.e., </w:t>
      </w:r>
      <w:r w:rsidRPr="0032201E">
        <w:t>target hydraulic heads) were specified as 20 – 40 m above the productive portion of the Walloon Coal Measures (</w:t>
      </w:r>
      <w:r w:rsidR="00C85DC3">
        <w:t xml:space="preserve">i.e., </w:t>
      </w:r>
      <w:r w:rsidRPr="0032201E">
        <w:t>model layer 10) depending on the depth to the top of coal measures, based on advice received from the relevant CSG companies.</w:t>
      </w:r>
    </w:p>
    <w:p w14:paraId="623D710C" w14:textId="77777777" w:rsidR="0032201E" w:rsidRPr="0032201E" w:rsidRDefault="0032201E" w:rsidP="00475872">
      <w:pPr>
        <w:pStyle w:val="Body"/>
      </w:pPr>
      <w:r w:rsidRPr="0032201E">
        <w:t xml:space="preserve">From 2012 onward, OGIA has continued to develop the Surat CMA groundwater flow model and other related models through a range of research projects </w:t>
      </w:r>
      <w:r w:rsidR="00084CDD" w:rsidRPr="0032201E">
        <w:fldChar w:fldCharType="begin"/>
      </w:r>
      <w:r w:rsidRPr="0032201E">
        <w:instrText xml:space="preserve"> ADDIN EN.CITE &lt;EndNote&gt;&lt;Cite&gt;&lt;Author&gt;OGIA&lt;/Author&gt;&lt;Year&gt;2013&lt;/Year&gt;&lt;IDText&gt;Annual Report 2013 for the Surat Underground Water Impact Report&lt;/IDText&gt;&lt;DisplayText&gt;(OGIA, 2013; 2014)&lt;/DisplayText&gt;&lt;record&gt;&lt;contributors&gt;&lt;tertiary-authors&gt;&lt;author&gt;State of Queensland&lt;/author&gt;&lt;/tertiary-authors&gt;&lt;/contributors&gt;&lt;titles&gt;&lt;title&gt;Annual Report 2013 for the Surat Underground Water Impact Report&lt;/title&gt;&lt;/titles&gt;&lt;pages&gt;iv, 21 p.&lt;/pages&gt;&lt;contributors&gt;&lt;authors&gt;&lt;author&gt;OGIA&lt;/author&gt;&lt;/authors&gt;&lt;/contributors&gt;&lt;added-date format="utc"&gt;1433233302&lt;/added-date&gt;&lt;pub-location&gt;Brisbane, Queensland&lt;/pub-location&gt;&lt;ref-type name="Report"&gt;27&lt;/ref-type&gt;&lt;dates&gt;&lt;year&gt;2013&lt;/year&gt;&lt;/dates&gt;&lt;rec-number&gt;73&lt;/rec-number&gt;&lt;publisher&gt;Office of Groundwater Impact Assessment, of the Department of Natural Resources and Mines (Queensland)&lt;/publisher&gt;&lt;last-updated-date format="utc"&gt;1433898330&lt;/last-updated-date&gt;&lt;/record&gt;&lt;/Cite&gt;&lt;Cite&gt;&lt;Author&gt;OGIA&lt;/Author&gt;&lt;Year&gt;2014&lt;/Year&gt;&lt;IDText&gt;Annual Report 2014 for the Surat Underground Water Impact Report&lt;/IDText&gt;&lt;record&gt;&lt;contributors&gt;&lt;tertiary-authors&gt;&lt;author&gt;State of Queensland&lt;/author&gt;&lt;/tertiary-authors&gt;&lt;/contributors&gt;&lt;titles&gt;&lt;title&gt;Annual Report 2014 for the Surat Underground Water Impact Report&lt;/title&gt;&lt;/titles&gt;&lt;pages&gt;v, 18 pp.&lt;/pages&gt;&lt;contributors&gt;&lt;authors&gt;&lt;author&gt;OGIA&lt;/author&gt;&lt;/authors&gt;&lt;/contributors&gt;&lt;added-date format="utc"&gt;1433388478&lt;/added-date&gt;&lt;pub-location&gt;Brisbane&lt;/pub-location&gt;&lt;ref-type name="Report"&gt;27&lt;/ref-type&gt;&lt;dates&gt;&lt;year&gt;2014&lt;/year&gt;&lt;/dates&gt;&lt;rec-number&gt;74&lt;/rec-number&gt;&lt;publisher&gt;Office of Groundwater Impact Assessment, of the Department of Natural Resources and Mines (Queensland)&lt;/publisher&gt;&lt;last-updated-date format="utc"&gt;1433898314&lt;/last-updated-date&gt;&lt;/record&gt;&lt;/Cite&gt;&lt;/EndNote&gt;</w:instrText>
      </w:r>
      <w:r w:rsidR="00084CDD" w:rsidRPr="0032201E">
        <w:fldChar w:fldCharType="separate"/>
      </w:r>
      <w:r w:rsidRPr="0032201E">
        <w:rPr>
          <w:noProof/>
        </w:rPr>
        <w:t>(OGIA, 2013; 2014)</w:t>
      </w:r>
      <w:r w:rsidR="00084CDD" w:rsidRPr="0032201E">
        <w:fldChar w:fldCharType="end"/>
      </w:r>
      <w:r w:rsidRPr="0032201E">
        <w:t xml:space="preserve">. A new geological model of the Surat CMA has been developed based on reinterpretation of existing data as well as the inclusion of lithological and downhole geophysical data from over 3500 CSG bores. This revised geological model includes explicit representation of major fault systems present within the basin. </w:t>
      </w:r>
    </w:p>
    <w:p w14:paraId="6A26BBBD" w14:textId="77777777" w:rsidR="0032201E" w:rsidRPr="0032201E" w:rsidRDefault="0032201E" w:rsidP="00475872">
      <w:pPr>
        <w:pStyle w:val="Body"/>
      </w:pPr>
      <w:r w:rsidRPr="0032201E">
        <w:t xml:space="preserve">The Surat CMA groundwater flow model itself is in the process of being extensively revised based on the revised geological model but also incorporating a number of other improvements which are briefly described below. One significant change has been the conversion of the model from the MODFLOW–2005 platform to MODFLOW–USG. While the former code used a finite difference scheme to solve the groundwater flow equation on a rectilinear grid, the latter code uses a control volume finite difference formulation on unstructured grids </w:t>
      </w:r>
      <w:r w:rsidR="00084CDD">
        <w:fldChar w:fldCharType="begin"/>
      </w:r>
      <w:r w:rsidR="00B86833">
        <w:instrText xml:space="preserve"> ADDIN EN.CITE &lt;EndNote&gt;&lt;Cite&gt;&lt;Author&gt;Panday&lt;/Author&gt;&lt;Year&gt;2013&lt;/Year&gt;&lt;IDText&gt;MODFLOW–USG version 1: An unstructured grid version of MODFLOW for simulating groundwater flow and tightly coupled processes using a control volume finite-difference formulation&lt;/IDText&gt;&lt;DisplayText&gt;(Panday et al., 2013)&lt;/DisplayText&gt;&lt;record&gt;&lt;isbn&gt;2328-7055&lt;/isbn&gt;&lt;titles&gt;&lt;title&gt;MODFLOW–USG version 1: An unstructured grid version of MODFLOW for simulating groundwater flow and tightly coupled processes using a control volume finite-difference formulation&lt;/title&gt;&lt;/titles&gt;&lt;contributors&gt;&lt;authors&gt;&lt;author&gt;Panday, Sorab&lt;/author&gt;&lt;author&gt;Langevin, Christian D&lt;/author&gt;&lt;author&gt;Niswonger, Richard G&lt;/author&gt;&lt;author&gt;Ibaraki, Motomu&lt;/author&gt;&lt;author&gt;Hughes, Joseph D&lt;/author&gt;&lt;/authors&gt;&lt;/contributors&gt;&lt;added-date format="utc"&gt;1434605783&lt;/added-date&gt;&lt;ref-type name="Report"&gt;27&lt;/ref-type&gt;&lt;dates&gt;&lt;year&gt;2013&lt;/year&gt;&lt;/dates&gt;&lt;rec-number&gt;354&lt;/rec-number&gt;&lt;publisher&gt;US Geological Survey&lt;/publisher&gt;&lt;last-updated-date format="utc"&gt;1434605783&lt;/last-updated-date&gt;&lt;/record&gt;&lt;/Cite&gt;&lt;/EndNote&gt;</w:instrText>
      </w:r>
      <w:r w:rsidR="00084CDD">
        <w:fldChar w:fldCharType="separate"/>
      </w:r>
      <w:r w:rsidR="00B86833">
        <w:rPr>
          <w:noProof/>
        </w:rPr>
        <w:t>(Panday et al., 2013)</w:t>
      </w:r>
      <w:r w:rsidR="00084CDD">
        <w:fldChar w:fldCharType="end"/>
      </w:r>
      <w:r w:rsidRPr="0032201E">
        <w:t xml:space="preserve">. The latter approach enables greater flexibility in local grid refinement and is well suited to the simulation of discontinuous hydrostratigraphic units. </w:t>
      </w:r>
    </w:p>
    <w:p w14:paraId="6AFD2E74" w14:textId="77777777" w:rsidR="0032201E" w:rsidRPr="0032201E" w:rsidRDefault="0032201E" w:rsidP="00475872">
      <w:pPr>
        <w:pStyle w:val="Body"/>
      </w:pPr>
      <w:r w:rsidRPr="0032201E">
        <w:t>Significant effort is also being expended to more accurately represent the local scale physics of CSG extraction in the Surat CMA model (OGIA 2015, pers. comm.) including, but not limited to, the following four points.</w:t>
      </w:r>
    </w:p>
    <w:p w14:paraId="0DEC0E75" w14:textId="77777777" w:rsidR="0032201E" w:rsidRPr="0032201E" w:rsidRDefault="0032201E" w:rsidP="006724E3">
      <w:pPr>
        <w:numPr>
          <w:ilvl w:val="0"/>
          <w:numId w:val="48"/>
        </w:num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32201E">
        <w:rPr>
          <w:rFonts w:ascii="Calibri" w:hAnsi="Calibri" w:cs="Calibri"/>
          <w:color w:val="000000"/>
          <w:sz w:val="18"/>
          <w:szCs w:val="18"/>
          <w:lang w:val="en-GB"/>
        </w:rPr>
        <w:t xml:space="preserve">Changes in coal seam permeability and storage coefficients due to desaturation during CSG extraction will be approximated using a modified Richards equation framework that employs a CSG-specific van Genuchten </w:t>
      </w:r>
      <w:r w:rsidR="00084CDD" w:rsidRPr="0032201E">
        <w:rPr>
          <w:rFonts w:ascii="Calibri" w:hAnsi="Calibri" w:cs="Calibri"/>
          <w:color w:val="000000"/>
          <w:sz w:val="18"/>
          <w:szCs w:val="18"/>
          <w:lang w:val="en-GB"/>
        </w:rPr>
        <w:fldChar w:fldCharType="begin"/>
      </w:r>
      <w:r w:rsidRPr="0032201E">
        <w:rPr>
          <w:rFonts w:ascii="Calibri" w:hAnsi="Calibri" w:cs="Calibri"/>
          <w:color w:val="000000"/>
          <w:sz w:val="18"/>
          <w:szCs w:val="18"/>
          <w:lang w:val="en-GB"/>
        </w:rPr>
        <w:instrText xml:space="preserve"> ADDIN EN.CITE &lt;EndNote&gt;&lt;Cite ExcludeAuth="1"&gt;&lt;Author&gt;Van Genuchten&lt;/Author&gt;&lt;Year&gt;1980&lt;/Year&gt;&lt;IDText&gt;A closed-form equation for predicting the hydraulic conductivity of unsaturated soils&lt;/IDText&gt;&lt;DisplayText&gt;(1980)&lt;/DisplayText&gt;&lt;record&gt;&lt;isbn&gt;0361-5995&lt;/isbn&gt;&lt;titles&gt;&lt;title&gt;A closed-form equation for predicting the hydraulic conductivity of unsaturated soils&lt;/title&gt;&lt;secondary-title&gt;Soil science society of America journal&lt;/secondary-title&gt;&lt;/titles&gt;&lt;pages&gt;892-898&lt;/pages&gt;&lt;number&gt;5&lt;/number&gt;&lt;contributors&gt;&lt;authors&gt;&lt;author&gt;Van Genuchten, M Th&lt;/author&gt;&lt;/authors&gt;&lt;/contributors&gt;&lt;added-date format="utc"&gt;1434100323&lt;/added-date&gt;&lt;ref-type name="Journal Article"&gt;17&lt;/ref-type&gt;&lt;dates&gt;&lt;year&gt;1980&lt;/year&gt;&lt;/dates&gt;&lt;rec-number&gt;291&lt;/rec-number&gt;&lt;last-updated-date format="utc"&gt;1434100323&lt;/last-updated-date&gt;&lt;volume&gt;44&lt;/volume&gt;&lt;/record&gt;&lt;/Cite&gt;&lt;/EndNote&gt;</w:instrText>
      </w:r>
      <w:r w:rsidR="00084CDD" w:rsidRPr="0032201E">
        <w:rPr>
          <w:rFonts w:ascii="Calibri" w:hAnsi="Calibri" w:cs="Calibri"/>
          <w:color w:val="000000"/>
          <w:sz w:val="18"/>
          <w:szCs w:val="18"/>
          <w:lang w:val="en-GB"/>
        </w:rPr>
        <w:fldChar w:fldCharType="separate"/>
      </w:r>
      <w:r w:rsidRPr="0032201E">
        <w:rPr>
          <w:rFonts w:ascii="Calibri" w:hAnsi="Calibri" w:cs="Calibri"/>
          <w:noProof/>
          <w:color w:val="000000"/>
          <w:sz w:val="18"/>
          <w:szCs w:val="18"/>
          <w:lang w:val="en-GB"/>
        </w:rPr>
        <w:t>(1980)</w:t>
      </w:r>
      <w:r w:rsidR="00084CDD" w:rsidRPr="0032201E">
        <w:rPr>
          <w:rFonts w:ascii="Calibri" w:hAnsi="Calibri" w:cs="Calibri"/>
          <w:color w:val="000000"/>
          <w:sz w:val="18"/>
          <w:szCs w:val="18"/>
          <w:lang w:val="en-GB"/>
        </w:rPr>
        <w:fldChar w:fldCharType="end"/>
      </w:r>
      <w:r w:rsidRPr="0032201E">
        <w:rPr>
          <w:rFonts w:ascii="Calibri" w:hAnsi="Calibri" w:cs="Calibri"/>
          <w:color w:val="000000"/>
          <w:sz w:val="18"/>
          <w:szCs w:val="18"/>
          <w:lang w:val="en-GB"/>
        </w:rPr>
        <w:t xml:space="preserve"> function that can reflect saturation–pressure relationships observed in detailed CSG reservoir simulations </w:t>
      </w:r>
      <w:r w:rsidR="00084CDD" w:rsidRPr="0032201E">
        <w:rPr>
          <w:rFonts w:ascii="Calibri" w:hAnsi="Calibri" w:cs="Calibri"/>
          <w:color w:val="000000"/>
          <w:sz w:val="18"/>
          <w:szCs w:val="18"/>
          <w:lang w:val="en-GB"/>
        </w:rPr>
        <w:fldChar w:fldCharType="begin"/>
      </w:r>
      <w:r w:rsidRPr="0032201E">
        <w:rPr>
          <w:rFonts w:ascii="Calibri" w:hAnsi="Calibri" w:cs="Calibri"/>
          <w:color w:val="000000"/>
          <w:sz w:val="18"/>
          <w:szCs w:val="18"/>
          <w:lang w:val="en-GB"/>
        </w:rPr>
        <w:instrText xml:space="preserve"> ADDIN EN.CITE &lt;EndNote&gt;&lt;Cite&gt;&lt;Author&gt;Herckenrath&lt;/Author&gt;&lt;Year&gt;2015&lt;/Year&gt;&lt;IDText&gt;Incorporating the effect of gas in modelling the impact of CBM extraction on regional groundwater systems&lt;/IDText&gt;&lt;DisplayText&gt;(Herckenrath et al., 2015)&lt;/DisplayText&gt;&lt;record&gt;&lt;keywords&gt;&lt;keyword&gt;Coalbed Methane&lt;/keyword&gt;&lt;keyword&gt;Reservoir Model&lt;/keyword&gt;&lt;keyword&gt;Regional Groundwater Model&lt;/keyword&gt;&lt;keyword&gt;Multiphase Flow&lt;/keyword&gt;&lt;keyword&gt;Richards Equation&lt;/keyword&gt;&lt;/keywords&gt;&lt;isbn&gt;0022-1694&lt;/isbn&gt;&lt;titles&gt;&lt;title&gt;Incorporating the effect of gas in modelling the impact of CBM extraction on regional groundwater systems&lt;/title&gt;&lt;secondary-title&gt;Journal of Hydrology&lt;/secondary-title&gt;&lt;/titles&gt;&lt;pages&gt;587-601&lt;/pages&gt;&lt;contributors&gt;&lt;authors&gt;&lt;author&gt;Herckenrath, Daan&lt;/author&gt;&lt;author&gt;Doherty, John&lt;/author&gt;&lt;author&gt;Panday, Sorab&lt;/author&gt;&lt;/authors&gt;&lt;/contributors&gt;&lt;added-date format="utc"&gt;1433233195&lt;/added-date&gt;&lt;ref-type name="Journal Article"&gt;17&lt;/ref-type&gt;&lt;dates&gt;&lt;year&gt;2015&lt;/year&gt;&lt;/dates&gt;&lt;rec-number&gt;72&lt;/rec-number&gt;&lt;last-updated-date format="utc"&gt;1433233209&lt;/last-updated-date&gt;&lt;electronic-resource-num&gt;10.1016/j.jhydrol.2015.02.012&lt;/electronic-resource-num&gt;&lt;volume&gt;523&lt;/volume&gt;&lt;/record&gt;&lt;/Cite&gt;&lt;/EndNote&gt;</w:instrText>
      </w:r>
      <w:r w:rsidR="00084CDD" w:rsidRPr="0032201E">
        <w:rPr>
          <w:rFonts w:ascii="Calibri" w:hAnsi="Calibri" w:cs="Calibri"/>
          <w:color w:val="000000"/>
          <w:sz w:val="18"/>
          <w:szCs w:val="18"/>
          <w:lang w:val="en-GB"/>
        </w:rPr>
        <w:fldChar w:fldCharType="separate"/>
      </w:r>
      <w:r w:rsidRPr="0032201E">
        <w:rPr>
          <w:rFonts w:ascii="Calibri" w:hAnsi="Calibri" w:cs="Calibri"/>
          <w:noProof/>
          <w:color w:val="000000"/>
          <w:sz w:val="18"/>
          <w:szCs w:val="18"/>
          <w:lang w:val="en-GB"/>
        </w:rPr>
        <w:t>(Herckenrath et al., 2015)</w:t>
      </w:r>
      <w:r w:rsidR="00084CDD" w:rsidRPr="0032201E">
        <w:rPr>
          <w:rFonts w:ascii="Calibri" w:hAnsi="Calibri" w:cs="Calibri"/>
          <w:color w:val="000000"/>
          <w:sz w:val="18"/>
          <w:szCs w:val="18"/>
          <w:lang w:val="en-GB"/>
        </w:rPr>
        <w:fldChar w:fldCharType="end"/>
      </w:r>
      <w:r w:rsidRPr="0032201E">
        <w:rPr>
          <w:rFonts w:ascii="Calibri" w:hAnsi="Calibri" w:cs="Calibri"/>
          <w:color w:val="000000"/>
          <w:sz w:val="18"/>
          <w:szCs w:val="18"/>
          <w:lang w:val="en-GB"/>
        </w:rPr>
        <w:t>. The efficacy of this approach has been validated through comparison to hydraulic responses calculated using an ECLIPSE reservoir model.</w:t>
      </w:r>
    </w:p>
    <w:p w14:paraId="33F34ACA" w14:textId="77777777" w:rsidR="0032201E" w:rsidRPr="0032201E" w:rsidRDefault="0032201E" w:rsidP="006724E3">
      <w:pPr>
        <w:numPr>
          <w:ilvl w:val="0"/>
          <w:numId w:val="48"/>
        </w:num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32201E">
        <w:rPr>
          <w:rFonts w:ascii="Calibri" w:hAnsi="Calibri" w:cs="Calibri"/>
          <w:color w:val="000000"/>
          <w:sz w:val="18"/>
          <w:szCs w:val="18"/>
          <w:lang w:val="en-GB"/>
        </w:rPr>
        <w:t>Distinction will be made between coal and non-coal lithology within CSG reservoirs. This is achieved through lithological segregation in which coal and non-coal reservoir units are lumped together, after which these portions of the CSG reservoir are represented in a dual-porosity framework where coal acts as the mobile domain and the non-coal units as the immobile domain. This is an implementation of the general theory discussed in section 2.1.</w:t>
      </w:r>
    </w:p>
    <w:p w14:paraId="1788E846" w14:textId="77777777" w:rsidR="0032201E" w:rsidRPr="0032201E" w:rsidRDefault="0032201E" w:rsidP="006724E3">
      <w:pPr>
        <w:numPr>
          <w:ilvl w:val="0"/>
          <w:numId w:val="48"/>
        </w:num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32201E">
        <w:rPr>
          <w:rFonts w:ascii="Calibri" w:hAnsi="Calibri" w:cs="Calibri"/>
          <w:color w:val="000000"/>
          <w:sz w:val="18"/>
          <w:szCs w:val="18"/>
          <w:lang w:val="en-GB"/>
        </w:rPr>
        <w:t xml:space="preserve">Increases in the apparent permeability of upscaled coal measures immediately adjacent to CSG production bores will also be considered. At a regional scale, coal </w:t>
      </w:r>
      <w:r w:rsidR="00367B59">
        <w:rPr>
          <w:rFonts w:ascii="Calibri" w:hAnsi="Calibri" w:cs="Calibri"/>
          <w:color w:val="000000"/>
          <w:sz w:val="18"/>
          <w:szCs w:val="18"/>
          <w:lang w:val="en-GB"/>
        </w:rPr>
        <w:t xml:space="preserve">formations </w:t>
      </w:r>
      <w:r w:rsidRPr="0032201E">
        <w:rPr>
          <w:rFonts w:ascii="Calibri" w:hAnsi="Calibri" w:cs="Calibri"/>
          <w:color w:val="000000"/>
          <w:sz w:val="18"/>
          <w:szCs w:val="18"/>
          <w:lang w:val="en-GB"/>
        </w:rPr>
        <w:t xml:space="preserve">such as the Walloon Coal Measures are typically considered as low permeability units, as a result of </w:t>
      </w:r>
      <w:r w:rsidR="00367B59">
        <w:rPr>
          <w:rFonts w:ascii="Calibri" w:hAnsi="Calibri" w:cs="Calibri"/>
          <w:color w:val="000000"/>
          <w:sz w:val="18"/>
          <w:szCs w:val="18"/>
          <w:lang w:val="en-GB"/>
        </w:rPr>
        <w:t xml:space="preserve">limited </w:t>
      </w:r>
      <w:r w:rsidRPr="0032201E">
        <w:rPr>
          <w:rFonts w:ascii="Calibri" w:hAnsi="Calibri" w:cs="Calibri"/>
          <w:color w:val="000000"/>
          <w:sz w:val="18"/>
          <w:szCs w:val="18"/>
          <w:lang w:val="en-GB"/>
        </w:rPr>
        <w:t xml:space="preserve">lateral connectivity </w:t>
      </w:r>
      <w:r w:rsidR="00367B59">
        <w:rPr>
          <w:rFonts w:ascii="Calibri" w:hAnsi="Calibri" w:cs="Calibri"/>
          <w:color w:val="000000"/>
          <w:sz w:val="18"/>
          <w:szCs w:val="18"/>
          <w:lang w:val="en-GB"/>
        </w:rPr>
        <w:t>between</w:t>
      </w:r>
      <w:r w:rsidRPr="0032201E">
        <w:rPr>
          <w:rFonts w:ascii="Calibri" w:hAnsi="Calibri" w:cs="Calibri"/>
          <w:color w:val="000000"/>
          <w:sz w:val="18"/>
          <w:szCs w:val="18"/>
          <w:lang w:val="en-GB"/>
        </w:rPr>
        <w:t xml:space="preserve"> coal seams. CSG </w:t>
      </w:r>
      <w:r w:rsidR="00367B59">
        <w:rPr>
          <w:rFonts w:ascii="Calibri" w:hAnsi="Calibri" w:cs="Calibri"/>
          <w:color w:val="000000"/>
          <w:sz w:val="18"/>
          <w:szCs w:val="18"/>
          <w:lang w:val="en-GB"/>
        </w:rPr>
        <w:t xml:space="preserve">production </w:t>
      </w:r>
      <w:r w:rsidRPr="0032201E">
        <w:rPr>
          <w:rFonts w:ascii="Calibri" w:hAnsi="Calibri" w:cs="Calibri"/>
          <w:color w:val="000000"/>
          <w:sz w:val="18"/>
          <w:szCs w:val="18"/>
          <w:lang w:val="en-GB"/>
        </w:rPr>
        <w:t>well</w:t>
      </w:r>
      <w:r w:rsidR="00AE7DD1">
        <w:rPr>
          <w:rFonts w:ascii="Calibri" w:hAnsi="Calibri" w:cs="Calibri"/>
          <w:color w:val="000000"/>
          <w:sz w:val="18"/>
          <w:szCs w:val="18"/>
          <w:lang w:val="en-GB"/>
        </w:rPr>
        <w:t>s</w:t>
      </w:r>
      <w:r w:rsidR="00367B59">
        <w:rPr>
          <w:rFonts w:ascii="Calibri" w:hAnsi="Calibri" w:cs="Calibri"/>
          <w:color w:val="000000"/>
          <w:sz w:val="18"/>
          <w:szCs w:val="18"/>
          <w:lang w:val="en-GB"/>
        </w:rPr>
        <w:t xml:space="preserve"> are located in order to access </w:t>
      </w:r>
      <w:r w:rsidRPr="0032201E">
        <w:rPr>
          <w:rFonts w:ascii="Calibri" w:hAnsi="Calibri" w:cs="Calibri"/>
          <w:color w:val="000000"/>
          <w:sz w:val="18"/>
          <w:szCs w:val="18"/>
          <w:lang w:val="en-GB"/>
        </w:rPr>
        <w:t>coal seams preferentially. For this reason, hydraulic properties will be enhanced on a cell-by-cell basis. Similarly</w:t>
      </w:r>
      <w:r w:rsidR="00367B59">
        <w:rPr>
          <w:rFonts w:ascii="Calibri" w:hAnsi="Calibri" w:cs="Calibri"/>
          <w:color w:val="000000"/>
          <w:sz w:val="18"/>
          <w:szCs w:val="18"/>
          <w:lang w:val="en-GB"/>
        </w:rPr>
        <w:t>,</w:t>
      </w:r>
      <w:r w:rsidRPr="0032201E">
        <w:rPr>
          <w:rFonts w:ascii="Calibri" w:hAnsi="Calibri" w:cs="Calibri"/>
          <w:color w:val="000000"/>
          <w:sz w:val="18"/>
          <w:szCs w:val="18"/>
          <w:lang w:val="en-GB"/>
        </w:rPr>
        <w:t xml:space="preserve"> once wells are decommissioned, de-enhancement of such properties will be implemented.</w:t>
      </w:r>
    </w:p>
    <w:p w14:paraId="7A438471" w14:textId="77777777" w:rsidR="0032201E" w:rsidRPr="0032201E" w:rsidRDefault="0032201E" w:rsidP="006724E3">
      <w:pPr>
        <w:numPr>
          <w:ilvl w:val="0"/>
          <w:numId w:val="48"/>
        </w:num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32201E">
        <w:rPr>
          <w:rFonts w:ascii="Calibri" w:hAnsi="Calibri" w:cs="Calibri"/>
          <w:color w:val="000000"/>
          <w:sz w:val="18"/>
          <w:szCs w:val="18"/>
          <w:lang w:val="en-GB"/>
        </w:rPr>
        <w:t>The representation of CSG extraction using hydraulic head–dependent boundary conditions has been further developed. Rather than the MODFLOW Evaporation package used in the previous model, CSG extraction will be simulated using the Drain package parameterised using bottom-hole pressure information provided by the gas companies.  Furthermore three MODFLOW layers will also be used to represent the Walloon Coal Measure to accommodate large vertical gradients induced within the CSG reservoir due to the gas-filled nature of CSG wells. Vertical offsets of cell-centred nodes will also be applied that facilitate the representation of these vertical gradients more accurately while ensuring correct calculation of inter-layer conductances.</w:t>
      </w:r>
    </w:p>
    <w:p w14:paraId="0B3CDA0A" w14:textId="77777777" w:rsidR="0032201E" w:rsidRPr="0032201E" w:rsidRDefault="0032201E" w:rsidP="00475872">
      <w:pPr>
        <w:pStyle w:val="Body"/>
      </w:pPr>
      <w:r w:rsidRPr="0032201E">
        <w:t xml:space="preserve">Further improvements will also be applied in terms of the initial parameterisation of the model.  In particular, the transition probability-based stochastic parameter field generator T-PROGS </w:t>
      </w:r>
      <w:r w:rsidR="00084CDD" w:rsidRPr="0032201E">
        <w:fldChar w:fldCharType="begin"/>
      </w:r>
      <w:r w:rsidRPr="0032201E">
        <w:instrText xml:space="preserve"> ADDIN EN.CITE &lt;EndNote&gt;&lt;Cite&gt;&lt;Author&gt;Carle&lt;/Author&gt;&lt;Year&gt;1999&lt;/Year&gt;&lt;IDText&gt;T-PROGS: Transition probability geostatistical software&lt;/IDText&gt;&lt;DisplayText&gt;(Carle, 1999)&lt;/DisplayText&gt;&lt;record&gt;&lt;titles&gt;&lt;title&gt;T-PROGS: Transition probability geostatistical software&lt;/title&gt;&lt;/titles&gt;&lt;pages&gt;vi, 77&lt;/pages&gt;&lt;contributors&gt;&lt;authors&gt;&lt;author&gt;Carle, Steven F&lt;/author&gt;&lt;/authors&gt;&lt;/contributors&gt;&lt;added-date format="utc"&gt;1433900046&lt;/added-date&gt;&lt;pub-location&gt;California&lt;/pub-location&gt;&lt;ref-type name="Book"&gt;6&lt;/ref-type&gt;&lt;dates&gt;&lt;year&gt;1999&lt;/year&gt;&lt;/dates&gt;&lt;rec-number&gt;219&lt;/rec-number&gt;&lt;publisher&gt;University of California, Davis&lt;/publisher&gt;&lt;last-updated-date format="utc"&gt;1433903111&lt;/last-updated-date&gt;&lt;/record&gt;&lt;/Cite&gt;&lt;/EndNote&gt;</w:instrText>
      </w:r>
      <w:r w:rsidR="00084CDD" w:rsidRPr="0032201E">
        <w:fldChar w:fldCharType="separate"/>
      </w:r>
      <w:r w:rsidRPr="0032201E">
        <w:rPr>
          <w:noProof/>
        </w:rPr>
        <w:t>(Carle, 1999)</w:t>
      </w:r>
      <w:r w:rsidR="00084CDD" w:rsidRPr="0032201E">
        <w:fldChar w:fldCharType="end"/>
      </w:r>
      <w:r w:rsidRPr="0032201E">
        <w:t xml:space="preserve"> has been used to generate multiple realisations of lithology for individual stratigraphic units for over 350 sub-areas within the Surat Basin. Local models were developed for each of these sub-areas and for each stratigraphic unit present from the Gubberamunda Sandstone down to the Precipice Sandstone. A fine vertical discretization ranging from 0.1 m to 1.0 m was adopted to ensure the accurate simulation of the local connected-network generated by T-PROGS. For areas with borehole data lithological realisations were generated honouring local lithology proportions, empirical transition probabilities and local borehole lithologies. For areas without borehole data local proportions were generated stochastically based on the regional lithology dataset. These lithological realisations were subsequently populated by permeabilities obtained through stochastic permeability modelling that integrates all available data at all available scales, including petrophysical, core, drill stem test and pumping test data. The lithological realisations populated with permeability (referred to as numerical permeameters) are then subject to flow calculations which enable back-calculation of effective permeability in both the horizontal and vertical direction at a stratigraphic unit or formation scale. In addition to providing robust estimates of expected formation scale hydraulic conductivity values for all units present at the location of each of 350 permeameters this process also provides information on the stochasticity of these upscaled properties for use in subsequent model calibration and uncertainty analysis calculations.  One or more papers describing the parameterisation of the next generation of the OGIA regional groundwater model are currently in preparation.</w:t>
      </w:r>
    </w:p>
    <w:p w14:paraId="38857631" w14:textId="45875C60" w:rsidR="0032201E" w:rsidRPr="0032201E" w:rsidRDefault="0032201E" w:rsidP="00475872">
      <w:pPr>
        <w:pStyle w:val="Body"/>
      </w:pPr>
      <w:r w:rsidRPr="0032201E">
        <w:t>The effects of structural features on the propagation of CSG impacts at a regional scale will be examined through the inclusion of geological faults in the MODFLOW–USG model. Major faults, which are also represented in the geological model, will be represented explicitly in the model geometry and parameterisation</w:t>
      </w:r>
      <w:r w:rsidR="00367B59">
        <w:t xml:space="preserve"> (Keith Phillipson, OGIA, pers. comm. June 2015)</w:t>
      </w:r>
      <w:r w:rsidRPr="0032201E">
        <w:t>.  Minor sub-seismic faults will be represented stochastically as part of a calibration constrained uncertainty analysis.  Parameterisation of faults will be implemented using a custom</w:t>
      </w:r>
      <w:r w:rsidR="00255E0B">
        <w:t>ised</w:t>
      </w:r>
      <w:r w:rsidRPr="0032201E">
        <w:t xml:space="preserve"> FORTRAN code</w:t>
      </w:r>
      <w:r w:rsidR="00255E0B">
        <w:t xml:space="preserve"> (‘FAULTSIM</w:t>
      </w:r>
      <w:r w:rsidR="00B15022">
        <w:t>’; Doherty, unpublished; Janardhanan</w:t>
      </w:r>
      <w:r w:rsidR="00255E0B">
        <w:t xml:space="preserve"> and Moore, 2015)</w:t>
      </w:r>
      <w:r w:rsidRPr="0032201E">
        <w:t xml:space="preserve"> to modify hydraulic properties on a cell-by-cell basis based on anticipated fault throw magnitudes, the thicknesses of the fault core and damage zone, the scalar effect on both horizontal and vertical hydraulic conductivity, and the proportion of each model cell affected by faulting.</w:t>
      </w:r>
    </w:p>
    <w:p w14:paraId="7314175B" w14:textId="77777777" w:rsidR="0032201E" w:rsidRPr="0078307B" w:rsidRDefault="0032201E" w:rsidP="00475872">
      <w:pPr>
        <w:pStyle w:val="Body"/>
      </w:pPr>
      <w:r w:rsidRPr="0032201E">
        <w:t>Many of the improvements outlined above have resulted from and are under-pinned by results from a number of detai</w:t>
      </w:r>
      <w:r w:rsidR="00577D3A">
        <w:t>led local scale research models</w:t>
      </w:r>
      <w:r w:rsidRPr="0032201E">
        <w:t>.</w:t>
      </w:r>
      <w:r w:rsidR="00577D3A">
        <w:t xml:space="preserve"> </w:t>
      </w:r>
      <w:r w:rsidRPr="0032201E">
        <w:t xml:space="preserve">One such model </w:t>
      </w:r>
      <w:r w:rsidR="00261BAC">
        <w:t xml:space="preserve">has been developed for </w:t>
      </w:r>
      <w:r w:rsidRPr="0032201E">
        <w:t xml:space="preserve">the Talinga </w:t>
      </w:r>
      <w:r w:rsidR="00261BAC">
        <w:t xml:space="preserve">CSG borefield </w:t>
      </w:r>
      <w:r w:rsidRPr="0032201E">
        <w:t xml:space="preserve">area. </w:t>
      </w:r>
      <w:r w:rsidR="00261BAC">
        <w:t xml:space="preserve">An </w:t>
      </w:r>
      <w:r w:rsidRPr="0032201E">
        <w:t xml:space="preserve">ECLIPSE model </w:t>
      </w:r>
      <w:r w:rsidR="00261BAC">
        <w:t>was used to simulate</w:t>
      </w:r>
      <w:r w:rsidRPr="0032201E">
        <w:t xml:space="preserve"> </w:t>
      </w:r>
      <w:r w:rsidR="00261BAC">
        <w:t xml:space="preserve">fluid </w:t>
      </w:r>
      <w:r w:rsidRPr="0032201E">
        <w:t>flow processes in 294 layers spanning the vertical interval from the top of the Springbok Sandstone to the bottom of the Hutton Formation. Conditioned lithological realisations for the static Talinga model were generated using T-PROGS</w:t>
      </w:r>
      <w:r w:rsidR="00577D3A">
        <w:t>.</w:t>
      </w:r>
      <w:r w:rsidRPr="0032201E">
        <w:t xml:space="preserve"> </w:t>
      </w:r>
      <w:r w:rsidR="00577D3A">
        <w:t>D</w:t>
      </w:r>
      <w:r w:rsidRPr="0032201E">
        <w:t xml:space="preserve">ual phase flow equations </w:t>
      </w:r>
      <w:r w:rsidR="00577D3A">
        <w:t xml:space="preserve">were </w:t>
      </w:r>
      <w:r w:rsidRPr="0032201E">
        <w:t xml:space="preserve">solved using the ECLIPSE reservoir simulator. The model was history matched against water and gas production as well as observed drawdowns in the Springbok and Hutton sandstones before a detailed sensitivity analysis was undertaken. Model parameters that </w:t>
      </w:r>
      <w:r w:rsidR="00577D3A">
        <w:t>were</w:t>
      </w:r>
      <w:r w:rsidRPr="0032201E">
        <w:t xml:space="preserve"> investigated in the parametric sensitivity analysis include horizontal and vertical permeabilities, porosity and compressibility </w:t>
      </w:r>
      <w:r w:rsidR="00577D3A">
        <w:t>as well as</w:t>
      </w:r>
      <w:r w:rsidRPr="0032201E">
        <w:t xml:space="preserve"> diffusion coefficient</w:t>
      </w:r>
      <w:r w:rsidR="00577D3A">
        <w:t>s</w:t>
      </w:r>
      <w:r w:rsidRPr="0032201E">
        <w:t>, relative permeabilities and Langmuir isotherm</w:t>
      </w:r>
      <w:r w:rsidR="00577D3A">
        <w:t xml:space="preserve"> coefficients</w:t>
      </w:r>
      <w:r w:rsidRPr="0032201E">
        <w:t xml:space="preserve">. </w:t>
      </w:r>
      <w:r w:rsidR="00577D3A">
        <w:t>T</w:t>
      </w:r>
      <w:r w:rsidRPr="0032201E">
        <w:t>he</w:t>
      </w:r>
      <w:r w:rsidR="00577D3A">
        <w:t xml:space="preserve"> sensitivity of CSG impacts to the presence of structural features was also examined. Features tested included: (a) </w:t>
      </w:r>
      <w:r w:rsidRPr="0032201E">
        <w:t>a normal fault</w:t>
      </w:r>
      <w:r w:rsidR="00577D3A">
        <w:t xml:space="preserve">; (b) </w:t>
      </w:r>
      <w:r w:rsidRPr="0032201E">
        <w:t xml:space="preserve">an abandoned well </w:t>
      </w:r>
      <w:r w:rsidR="00577D3A">
        <w:t>that connected</w:t>
      </w:r>
      <w:r w:rsidRPr="0032201E">
        <w:t xml:space="preserve"> aquifer</w:t>
      </w:r>
      <w:r w:rsidR="00577D3A">
        <w:t>s</w:t>
      </w:r>
      <w:r w:rsidRPr="0032201E">
        <w:t xml:space="preserve"> with CSG</w:t>
      </w:r>
      <w:r w:rsidR="00577D3A">
        <w:t>-</w:t>
      </w:r>
      <w:r w:rsidRPr="0032201E">
        <w:t xml:space="preserve"> producing </w:t>
      </w:r>
      <w:r w:rsidR="00577D3A">
        <w:t>coal seams;</w:t>
      </w:r>
      <w:r w:rsidRPr="0032201E">
        <w:t xml:space="preserve"> and </w:t>
      </w:r>
      <w:r w:rsidR="00577D3A">
        <w:t xml:space="preserve">(c) a CSG </w:t>
      </w:r>
      <w:r w:rsidRPr="0032201E">
        <w:t xml:space="preserve">bore </w:t>
      </w:r>
      <w:r w:rsidR="00577D3A">
        <w:t>with sections screened in</w:t>
      </w:r>
      <w:r w:rsidRPr="0032201E">
        <w:t xml:space="preserve"> aquifer units</w:t>
      </w:r>
      <w:r w:rsidR="00577D3A">
        <w:t>,</w:t>
      </w:r>
      <w:r w:rsidRPr="0032201E">
        <w:t xml:space="preserve"> such as the Springbok Sandstone. Further studies are planned involving the Talinga reservoir model</w:t>
      </w:r>
      <w:r w:rsidR="00577D3A">
        <w:t>,</w:t>
      </w:r>
      <w:r w:rsidRPr="0032201E">
        <w:t xml:space="preserve"> including simulation of various normal fault settings (</w:t>
      </w:r>
      <w:r w:rsidR="00C85DC3">
        <w:t xml:space="preserve">i.e., </w:t>
      </w:r>
      <w:r w:rsidRPr="0032201E">
        <w:t xml:space="preserve">different fault throws and lengths) and stochastic parameterisation of fault core and damage zones. A detailed 158 layer MODFLOW-USG model of part of the Condamine Alluvium and adjacent QGC and Arrow CSG </w:t>
      </w:r>
      <w:r w:rsidR="00577D3A">
        <w:t>bore</w:t>
      </w:r>
      <w:r w:rsidRPr="0032201E">
        <w:t xml:space="preserve"> fields has also been developed.  This model was built to explore details of the effect of CSG extraction on the Condamine Alluvium that the </w:t>
      </w:r>
      <w:r w:rsidR="00577D3A">
        <w:t xml:space="preserve">regional scale </w:t>
      </w:r>
      <w:r w:rsidRPr="0032201E">
        <w:t xml:space="preserve">OGIA </w:t>
      </w:r>
      <w:r w:rsidR="00577D3A">
        <w:t xml:space="preserve">Surat CMA </w:t>
      </w:r>
      <w:r w:rsidRPr="0032201E">
        <w:t>model cannot explore.</w:t>
      </w:r>
      <w:r w:rsidR="00577D3A">
        <w:t xml:space="preserve"> </w:t>
      </w:r>
      <w:r w:rsidR="00577D3A" w:rsidRPr="0032201E">
        <w:t>One or more papers describing the Talinga sensitivity analysis work are currently in preparation.</w:t>
      </w:r>
    </w:p>
    <w:p w14:paraId="64D0EAED" w14:textId="77777777" w:rsidR="0032201E" w:rsidRPr="0032201E" w:rsidRDefault="0032201E" w:rsidP="00E47452">
      <w:pPr>
        <w:pStyle w:val="Heading3"/>
      </w:pPr>
      <w:bookmarkStart w:id="248" w:name="_Toc449696825"/>
      <w:r w:rsidRPr="0032201E">
        <w:t>Arrow Energy</w:t>
      </w:r>
      <w:bookmarkEnd w:id="248"/>
    </w:p>
    <w:p w14:paraId="3DD18374" w14:textId="4785C625" w:rsidR="0032201E" w:rsidRPr="0032201E" w:rsidRDefault="0032201E" w:rsidP="00475872">
      <w:pPr>
        <w:pStyle w:val="Body"/>
      </w:pPr>
      <w:r w:rsidRPr="0032201E">
        <w:t xml:space="preserve">As part of EIS requirements for the Surat Gas Project, Arrow Energy commissioned Schlumberger Water Services to develop a numerical groundwater flow model to provide estimates of CSG extraction impacts </w:t>
      </w:r>
      <w:r w:rsidR="00084CDD" w:rsidRPr="0032201E">
        <w:fldChar w:fldCharType="begin"/>
      </w:r>
      <w:r w:rsidRPr="0032201E">
        <w:instrText xml:space="preserve"> ADDIN EN.CITE &lt;EndNote&gt;&lt;Cite&gt;&lt;Author&gt;SWS&lt;/Author&gt;&lt;Year&gt;2012&lt;/Year&gt;&lt;IDText&gt;Namoi Catchment Water Study Independent Expert Final Study Report&lt;/IDText&gt;&lt;DisplayText&gt;(SWS, 2012)&lt;/DisplayText&gt;&lt;record&gt;&lt;contributors&gt;&lt;tertiary-authors&gt;&lt;author&gt;Schlumberger Water Services&lt;/author&gt;&lt;/tertiary-authors&gt;&lt;/contributors&gt;&lt;titles&gt;&lt;title&gt;Namoi Catchment Water Study Independent Expert Final Study Report&lt;/title&gt;&lt;/titles&gt;&lt;pages&gt;ix, 109&lt;/pages&gt;&lt;number&gt;50371/P4-R2 FINAL&lt;/number&gt;&lt;contributors&gt;&lt;authors&gt;&lt;author&gt;SWS&lt;/author&gt;&lt;/authors&gt;&lt;/contributors&gt;&lt;added-date format="utc"&gt;1433399679&lt;/added-date&gt;&lt;pub-location&gt;Perth, Western Australia&lt;/pub-location&gt;&lt;ref-type name="Report"&gt;27&lt;/ref-type&gt;&lt;dates&gt;&lt;year&gt;2012&lt;/year&gt;&lt;/dates&gt;&lt;rec-number&gt;85&lt;/rec-number&gt;&lt;last-updated-date format="utc"&gt;1433898395&lt;/last-updated-date&gt;&lt;/record&gt;&lt;/Cite&gt;&lt;/EndNote&gt;</w:instrText>
      </w:r>
      <w:r w:rsidR="00084CDD" w:rsidRPr="0032201E">
        <w:fldChar w:fldCharType="separate"/>
      </w:r>
      <w:r w:rsidRPr="0032201E">
        <w:rPr>
          <w:noProof/>
        </w:rPr>
        <w:t>(SWS, 2012)</w:t>
      </w:r>
      <w:r w:rsidR="00084CDD" w:rsidRPr="0032201E">
        <w:fldChar w:fldCharType="end"/>
      </w:r>
      <w:r w:rsidRPr="0032201E">
        <w:t>. Based on a PETREL geological model, a MODFLOW–2000 model was developed, covering a total area of 453</w:t>
      </w:r>
      <w:r w:rsidR="00056615">
        <w:t xml:space="preserve"> × </w:t>
      </w:r>
      <w:r w:rsidRPr="0032201E">
        <w:t>270 km. This was discretised using 1000 m</w:t>
      </w:r>
      <w:r w:rsidR="00056615">
        <w:t xml:space="preserve"> × </w:t>
      </w:r>
      <w:r w:rsidRPr="0032201E">
        <w:t xml:space="preserve">1000 m cells into 453 rows and 270 columns. The model featured 15 layers and a mixture of Neumann </w:t>
      </w:r>
      <w:r w:rsidR="00F2705D">
        <w:t>(</w:t>
      </w:r>
      <w:r w:rsidRPr="0032201E">
        <w:t>or flow</w:t>
      </w:r>
      <w:r w:rsidR="00F2705D">
        <w:t>)</w:t>
      </w:r>
      <w:r w:rsidRPr="0032201E">
        <w:t xml:space="preserve"> and Cauchy </w:t>
      </w:r>
      <w:r w:rsidR="00F2705D">
        <w:t>(</w:t>
      </w:r>
      <w:r w:rsidRPr="0032201E">
        <w:t>or head-dependent</w:t>
      </w:r>
      <w:r w:rsidR="00F2705D">
        <w:t>)</w:t>
      </w:r>
      <w:r w:rsidRPr="0032201E">
        <w:t xml:space="preserve"> flow boundary conditions. The discretisation of model layers is shown in </w:t>
      </w:r>
      <w:r w:rsidR="00102009">
        <w:fldChar w:fldCharType="begin"/>
      </w:r>
      <w:r w:rsidR="00102009">
        <w:instrText xml:space="preserve"> REF _Ref422387848 \h  \* MERGEFORMAT </w:instrText>
      </w:r>
      <w:r w:rsidR="00102009">
        <w:fldChar w:fldCharType="separate"/>
      </w:r>
      <w:r w:rsidR="00C52E30" w:rsidRPr="00C52E30">
        <w:rPr>
          <w:rStyle w:val="BodyChar"/>
        </w:rPr>
        <w:t>Table 12</w:t>
      </w:r>
      <w:r w:rsidR="00102009">
        <w:fldChar w:fldCharType="end"/>
      </w:r>
      <w:r w:rsidRPr="00475872">
        <w:t>.</w:t>
      </w:r>
      <w:r w:rsidRPr="0032201E">
        <w:t xml:space="preserve"> For this model, the Westbourne Formation represents the key aquitard that will affect the upward vertical propagation of hydraulic stresses</w:t>
      </w:r>
      <w:r w:rsidR="00F2705D">
        <w:t>,</w:t>
      </w:r>
      <w:r w:rsidRPr="0032201E">
        <w:t xml:space="preserve"> induced in the underlying coal seams by CSG production</w:t>
      </w:r>
      <w:r w:rsidR="00F2705D">
        <w:t>,</w:t>
      </w:r>
      <w:r w:rsidRPr="0032201E">
        <w:t xml:space="preserve"> to the Gubberamunda Sandstone and other overlying aquif</w:t>
      </w:r>
      <w:r w:rsidR="006724E3">
        <w:t xml:space="preserve">ers. Conversely, the </w:t>
      </w:r>
      <w:r w:rsidR="002702C8">
        <w:t xml:space="preserve">combined </w:t>
      </w:r>
      <w:r w:rsidR="006724E3">
        <w:t>Eurombah–</w:t>
      </w:r>
      <w:r w:rsidRPr="0032201E">
        <w:t>Durabilla Formation represents the key aquitard that will affect the downward vertical propagation of hydraulic impacts to the underlying Hutton Sandstone aquifer.</w:t>
      </w:r>
    </w:p>
    <w:p w14:paraId="29ACCE90" w14:textId="77777777" w:rsidR="0032201E" w:rsidRPr="0032201E" w:rsidRDefault="0032201E" w:rsidP="00475872">
      <w:pPr>
        <w:pStyle w:val="Body"/>
      </w:pPr>
      <w:r w:rsidRPr="0032201E">
        <w:t xml:space="preserve">Model layers were assigned on a one-to-one basis, with the exception of the Lower Cretaceous sequence (2) and the </w:t>
      </w:r>
      <w:r w:rsidRPr="0032201E">
        <w:rPr>
          <w:lang w:eastAsia="en-AU"/>
        </w:rPr>
        <w:t>Durabilla and Eurombah formations (12)</w:t>
      </w:r>
      <w:r w:rsidR="00B86833">
        <w:rPr>
          <w:lang w:eastAsia="en-AU"/>
        </w:rPr>
        <w:t xml:space="preserve">, which were both amalgamated as single </w:t>
      </w:r>
      <w:r w:rsidR="005A6237">
        <w:rPr>
          <w:lang w:eastAsia="en-AU"/>
        </w:rPr>
        <w:t xml:space="preserve">model </w:t>
      </w:r>
      <w:r w:rsidR="00B86833">
        <w:rPr>
          <w:lang w:eastAsia="en-AU"/>
        </w:rPr>
        <w:t>layer</w:t>
      </w:r>
      <w:r w:rsidR="005A6237">
        <w:rPr>
          <w:lang w:eastAsia="en-AU"/>
        </w:rPr>
        <w:t>s</w:t>
      </w:r>
      <w:r w:rsidRPr="0032201E">
        <w:t xml:space="preserve">. Hydraulic property ranges were informed by literature review of numerous published EIS and state agency documents. Horizontal to vertical hydraulic conductivity ratios based on rock type were obtained from literature. </w:t>
      </w:r>
      <w:r w:rsidR="005A6237">
        <w:t xml:space="preserve">Neither </w:t>
      </w:r>
      <w:r w:rsidRPr="0032201E">
        <w:t xml:space="preserve">spatial variability </w:t>
      </w:r>
      <w:r w:rsidR="005A6237">
        <w:t xml:space="preserve">nor depth-dependency </w:t>
      </w:r>
      <w:r w:rsidRPr="0032201E">
        <w:t xml:space="preserve">of hydraulic properties was considered; all model layers featured homogeneous hydraulic conductivity and specific storage values. The former parameters were anisotropic. Horizontal hydraulic conductivity values, </w:t>
      </w:r>
      <w:r w:rsidRPr="0032201E">
        <w:rPr>
          <w:i/>
        </w:rPr>
        <w:t>K</w:t>
      </w:r>
      <w:r w:rsidRPr="0032201E">
        <w:rPr>
          <w:i/>
          <w:vertAlign w:val="subscript"/>
        </w:rPr>
        <w:t xml:space="preserve">h </w:t>
      </w:r>
      <w:r w:rsidRPr="0032201E">
        <w:t xml:space="preserve">: </w:t>
      </w:r>
      <w:r w:rsidRPr="0032201E">
        <w:rPr>
          <w:i/>
        </w:rPr>
        <w:t>K</w:t>
      </w:r>
      <w:r w:rsidRPr="0032201E">
        <w:rPr>
          <w:i/>
          <w:vertAlign w:val="subscript"/>
        </w:rPr>
        <w:t>v</w:t>
      </w:r>
      <w:r w:rsidRPr="0032201E">
        <w:t xml:space="preserve"> ratios and specific storage values were estimated within specified ranges during model inversion. </w:t>
      </w:r>
    </w:p>
    <w:p w14:paraId="657D207C"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0C541B67" w14:textId="77777777" w:rsidR="0032201E" w:rsidRPr="00E47452" w:rsidRDefault="00E47452" w:rsidP="00E47452">
      <w:pPr>
        <w:pStyle w:val="Imagecaption"/>
        <w:keepNext/>
        <w:pBdr>
          <w:top w:val="none" w:sz="0" w:space="0" w:color="auto"/>
        </w:pBdr>
      </w:pPr>
      <w:bookmarkStart w:id="249" w:name="_Ref422387848"/>
      <w:bookmarkStart w:id="250" w:name="_Toc449696232"/>
      <w:r w:rsidRPr="00E47452">
        <w:t xml:space="preserve">Table </w:t>
      </w:r>
      <w:r w:rsidR="00084CDD">
        <w:fldChar w:fldCharType="begin"/>
      </w:r>
      <w:r w:rsidR="00144B4F">
        <w:instrText xml:space="preserve"> SEQ Table \* ARABIC </w:instrText>
      </w:r>
      <w:r w:rsidR="00084CDD">
        <w:fldChar w:fldCharType="separate"/>
      </w:r>
      <w:r w:rsidR="00C52E30">
        <w:rPr>
          <w:noProof/>
        </w:rPr>
        <w:t>12</w:t>
      </w:r>
      <w:r w:rsidR="00084CDD">
        <w:rPr>
          <w:noProof/>
        </w:rPr>
        <w:fldChar w:fldCharType="end"/>
      </w:r>
      <w:bookmarkEnd w:id="249"/>
      <w:r>
        <w:t xml:space="preserve">. </w:t>
      </w:r>
      <w:r w:rsidR="005A2033">
        <w:t>Summary of geological units, hydrostratigraphic units and groundwater flow model layers represented in Arrow Energy Surat Basin groundwater flow model.</w:t>
      </w:r>
      <w:bookmarkEnd w:id="250"/>
    </w:p>
    <w:tbl>
      <w:tblPr>
        <w:tblW w:w="4999" w:type="pct"/>
        <w:tblLook w:val="04A0" w:firstRow="1" w:lastRow="0" w:firstColumn="1" w:lastColumn="0" w:noHBand="0" w:noVBand="1"/>
      </w:tblPr>
      <w:tblGrid>
        <w:gridCol w:w="3413"/>
        <w:gridCol w:w="1869"/>
        <w:gridCol w:w="1869"/>
        <w:gridCol w:w="1867"/>
      </w:tblGrid>
      <w:tr w:rsidR="0032201E" w:rsidRPr="0032201E" w14:paraId="6BBE49A4" w14:textId="77777777" w:rsidTr="0032201E">
        <w:trPr>
          <w:trHeight w:val="257"/>
        </w:trPr>
        <w:tc>
          <w:tcPr>
            <w:tcW w:w="1893" w:type="pct"/>
            <w:vMerge w:val="restart"/>
            <w:tcBorders>
              <w:top w:val="single" w:sz="4" w:space="0" w:color="auto"/>
              <w:left w:val="nil"/>
              <w:right w:val="nil"/>
            </w:tcBorders>
            <w:shd w:val="clear" w:color="auto" w:fill="auto"/>
            <w:noWrap/>
            <w:vAlign w:val="center"/>
            <w:hideMark/>
          </w:tcPr>
          <w:p w14:paraId="11ABF68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2072" w:type="pct"/>
            <w:gridSpan w:val="2"/>
            <w:tcBorders>
              <w:top w:val="single" w:sz="4" w:space="0" w:color="auto"/>
              <w:left w:val="nil"/>
              <w:right w:val="nil"/>
            </w:tcBorders>
            <w:vAlign w:val="center"/>
          </w:tcPr>
          <w:p w14:paraId="0D1DE7D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Hydrostratigraphic unit</w:t>
            </w:r>
          </w:p>
        </w:tc>
        <w:tc>
          <w:tcPr>
            <w:tcW w:w="1036" w:type="pct"/>
            <w:vMerge w:val="restart"/>
            <w:tcBorders>
              <w:top w:val="single" w:sz="4" w:space="0" w:color="auto"/>
              <w:left w:val="nil"/>
              <w:right w:val="nil"/>
            </w:tcBorders>
            <w:vAlign w:val="center"/>
          </w:tcPr>
          <w:p w14:paraId="4F542FE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Model layer</w:t>
            </w:r>
          </w:p>
        </w:tc>
      </w:tr>
      <w:tr w:rsidR="0032201E" w:rsidRPr="0032201E" w14:paraId="4AF67F01" w14:textId="77777777" w:rsidTr="0032201E">
        <w:trPr>
          <w:trHeight w:val="256"/>
        </w:trPr>
        <w:tc>
          <w:tcPr>
            <w:tcW w:w="1893" w:type="pct"/>
            <w:vMerge/>
            <w:tcBorders>
              <w:left w:val="nil"/>
              <w:bottom w:val="single" w:sz="4" w:space="0" w:color="auto"/>
              <w:right w:val="nil"/>
            </w:tcBorders>
            <w:shd w:val="clear" w:color="auto" w:fill="auto"/>
            <w:noWrap/>
            <w:vAlign w:val="bottom"/>
            <w:hideMark/>
          </w:tcPr>
          <w:p w14:paraId="7E1C1687"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036" w:type="pct"/>
            <w:tcBorders>
              <w:left w:val="nil"/>
              <w:bottom w:val="single" w:sz="4" w:space="0" w:color="auto"/>
              <w:right w:val="nil"/>
            </w:tcBorders>
            <w:vAlign w:val="center"/>
          </w:tcPr>
          <w:p w14:paraId="1699464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1036" w:type="pct"/>
            <w:tcBorders>
              <w:left w:val="nil"/>
              <w:bottom w:val="single" w:sz="4" w:space="0" w:color="auto"/>
              <w:right w:val="nil"/>
            </w:tcBorders>
            <w:vAlign w:val="center"/>
          </w:tcPr>
          <w:p w14:paraId="112A212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aquitard</w:t>
            </w:r>
          </w:p>
        </w:tc>
        <w:tc>
          <w:tcPr>
            <w:tcW w:w="1036" w:type="pct"/>
            <w:vMerge/>
            <w:tcBorders>
              <w:left w:val="nil"/>
              <w:bottom w:val="single" w:sz="4" w:space="0" w:color="auto"/>
              <w:right w:val="nil"/>
            </w:tcBorders>
            <w:vAlign w:val="bottom"/>
          </w:tcPr>
          <w:p w14:paraId="1845DB3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r>
      <w:tr w:rsidR="0032201E" w:rsidRPr="0032201E" w14:paraId="3D19148D" w14:textId="77777777" w:rsidTr="00C410F6">
        <w:trPr>
          <w:trHeight w:val="264"/>
        </w:trPr>
        <w:tc>
          <w:tcPr>
            <w:tcW w:w="1893" w:type="pct"/>
            <w:tcBorders>
              <w:top w:val="single" w:sz="4" w:space="0" w:color="auto"/>
              <w:left w:val="nil"/>
              <w:bottom w:val="nil"/>
              <w:right w:val="nil"/>
            </w:tcBorders>
            <w:shd w:val="clear" w:color="auto" w:fill="F2F2F2" w:themeFill="background2" w:themeFillShade="F2"/>
            <w:noWrap/>
            <w:vAlign w:val="bottom"/>
            <w:hideMark/>
          </w:tcPr>
          <w:p w14:paraId="6D73168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Condamine Alluvium</w:t>
            </w:r>
          </w:p>
        </w:tc>
        <w:tc>
          <w:tcPr>
            <w:tcW w:w="1036" w:type="pct"/>
            <w:tcBorders>
              <w:top w:val="single" w:sz="4" w:space="0" w:color="auto"/>
              <w:left w:val="nil"/>
              <w:right w:val="nil"/>
            </w:tcBorders>
            <w:shd w:val="clear" w:color="auto" w:fill="F2F2F2" w:themeFill="background2" w:themeFillShade="F2"/>
          </w:tcPr>
          <w:p w14:paraId="7334896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top w:val="single" w:sz="4" w:space="0" w:color="auto"/>
              <w:left w:val="nil"/>
              <w:right w:val="nil"/>
            </w:tcBorders>
            <w:shd w:val="clear" w:color="auto" w:fill="F2F2F2" w:themeFill="background2" w:themeFillShade="F2"/>
          </w:tcPr>
          <w:p w14:paraId="4188AD4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top w:val="single" w:sz="4" w:space="0" w:color="auto"/>
              <w:left w:val="nil"/>
              <w:right w:val="nil"/>
            </w:tcBorders>
            <w:shd w:val="clear" w:color="auto" w:fill="F2F2F2" w:themeFill="background2" w:themeFillShade="F2"/>
            <w:vAlign w:val="bottom"/>
          </w:tcPr>
          <w:p w14:paraId="336B794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r>
      <w:tr w:rsidR="0032201E" w:rsidRPr="0032201E" w14:paraId="1486B5AC" w14:textId="77777777" w:rsidTr="0032201E">
        <w:trPr>
          <w:trHeight w:val="264"/>
        </w:trPr>
        <w:tc>
          <w:tcPr>
            <w:tcW w:w="1893" w:type="pct"/>
            <w:tcBorders>
              <w:top w:val="nil"/>
              <w:left w:val="nil"/>
              <w:bottom w:val="nil"/>
              <w:right w:val="nil"/>
            </w:tcBorders>
            <w:shd w:val="clear" w:color="auto" w:fill="auto"/>
            <w:noWrap/>
            <w:vAlign w:val="bottom"/>
            <w:hideMark/>
          </w:tcPr>
          <w:p w14:paraId="06364B0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Lower Cretaceous sequence</w:t>
            </w:r>
          </w:p>
        </w:tc>
        <w:tc>
          <w:tcPr>
            <w:tcW w:w="1036" w:type="pct"/>
            <w:tcBorders>
              <w:left w:val="nil"/>
              <w:right w:val="nil"/>
            </w:tcBorders>
          </w:tcPr>
          <w:p w14:paraId="6BEA05C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tcPr>
          <w:p w14:paraId="0BED0EF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vAlign w:val="bottom"/>
          </w:tcPr>
          <w:p w14:paraId="2063176F"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w:t>
            </w:r>
          </w:p>
        </w:tc>
      </w:tr>
      <w:tr w:rsidR="0032201E" w:rsidRPr="0032201E" w14:paraId="62312BB5" w14:textId="77777777" w:rsidTr="00C410F6">
        <w:trPr>
          <w:trHeight w:val="264"/>
        </w:trPr>
        <w:tc>
          <w:tcPr>
            <w:tcW w:w="1893" w:type="pct"/>
            <w:tcBorders>
              <w:top w:val="nil"/>
              <w:left w:val="nil"/>
              <w:bottom w:val="nil"/>
              <w:right w:val="nil"/>
            </w:tcBorders>
            <w:shd w:val="clear" w:color="auto" w:fill="F2F2F2" w:themeFill="background2" w:themeFillShade="F2"/>
            <w:noWrap/>
            <w:vAlign w:val="bottom"/>
            <w:hideMark/>
          </w:tcPr>
          <w:p w14:paraId="0EF451B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Mooga Sandstone</w:t>
            </w:r>
          </w:p>
        </w:tc>
        <w:tc>
          <w:tcPr>
            <w:tcW w:w="1036" w:type="pct"/>
            <w:tcBorders>
              <w:left w:val="nil"/>
              <w:right w:val="nil"/>
            </w:tcBorders>
            <w:shd w:val="clear" w:color="auto" w:fill="F2F2F2" w:themeFill="background2" w:themeFillShade="F2"/>
          </w:tcPr>
          <w:p w14:paraId="4DF099B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shd w:val="clear" w:color="auto" w:fill="F2F2F2" w:themeFill="background2" w:themeFillShade="F2"/>
          </w:tcPr>
          <w:p w14:paraId="224634C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shd w:val="clear" w:color="auto" w:fill="F2F2F2" w:themeFill="background2" w:themeFillShade="F2"/>
            <w:vAlign w:val="bottom"/>
          </w:tcPr>
          <w:p w14:paraId="7A63D00B"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w:t>
            </w:r>
          </w:p>
        </w:tc>
      </w:tr>
      <w:tr w:rsidR="0032201E" w:rsidRPr="0032201E" w14:paraId="2116D6B0" w14:textId="77777777" w:rsidTr="00C410F6">
        <w:trPr>
          <w:trHeight w:val="264"/>
        </w:trPr>
        <w:tc>
          <w:tcPr>
            <w:tcW w:w="1893" w:type="pct"/>
            <w:tcBorders>
              <w:top w:val="nil"/>
              <w:left w:val="nil"/>
              <w:bottom w:val="nil"/>
              <w:right w:val="nil"/>
            </w:tcBorders>
            <w:shd w:val="clear" w:color="auto" w:fill="F2F2F2" w:themeFill="background2" w:themeFillShade="F2"/>
            <w:noWrap/>
            <w:vAlign w:val="bottom"/>
            <w:hideMark/>
          </w:tcPr>
          <w:p w14:paraId="1366A66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Orallo Formation</w:t>
            </w:r>
          </w:p>
        </w:tc>
        <w:tc>
          <w:tcPr>
            <w:tcW w:w="1036" w:type="pct"/>
            <w:tcBorders>
              <w:left w:val="nil"/>
              <w:right w:val="nil"/>
            </w:tcBorders>
            <w:shd w:val="clear" w:color="auto" w:fill="F2F2F2" w:themeFill="background2" w:themeFillShade="F2"/>
          </w:tcPr>
          <w:p w14:paraId="6409B91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shd w:val="clear" w:color="auto" w:fill="F2F2F2" w:themeFill="background2" w:themeFillShade="F2"/>
          </w:tcPr>
          <w:p w14:paraId="640EB01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shd w:val="clear" w:color="auto" w:fill="F2F2F2" w:themeFill="background2" w:themeFillShade="F2"/>
            <w:vAlign w:val="bottom"/>
          </w:tcPr>
          <w:p w14:paraId="22869BE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4</w:t>
            </w:r>
          </w:p>
        </w:tc>
      </w:tr>
      <w:tr w:rsidR="0032201E" w:rsidRPr="0032201E" w14:paraId="30540E5F" w14:textId="77777777" w:rsidTr="00C410F6">
        <w:trPr>
          <w:trHeight w:val="264"/>
        </w:trPr>
        <w:tc>
          <w:tcPr>
            <w:tcW w:w="1893" w:type="pct"/>
            <w:tcBorders>
              <w:top w:val="nil"/>
              <w:left w:val="nil"/>
              <w:bottom w:val="nil"/>
              <w:right w:val="nil"/>
            </w:tcBorders>
            <w:shd w:val="clear" w:color="auto" w:fill="F2F2F2" w:themeFill="background2" w:themeFillShade="F2"/>
            <w:noWrap/>
            <w:vAlign w:val="bottom"/>
            <w:hideMark/>
          </w:tcPr>
          <w:p w14:paraId="0436F08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Gubberamunda Sandstone</w:t>
            </w:r>
          </w:p>
        </w:tc>
        <w:tc>
          <w:tcPr>
            <w:tcW w:w="1036" w:type="pct"/>
            <w:tcBorders>
              <w:left w:val="nil"/>
              <w:right w:val="nil"/>
            </w:tcBorders>
            <w:shd w:val="clear" w:color="auto" w:fill="F2F2F2" w:themeFill="background2" w:themeFillShade="F2"/>
          </w:tcPr>
          <w:p w14:paraId="4AB58B8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shd w:val="clear" w:color="auto" w:fill="F2F2F2" w:themeFill="background2" w:themeFillShade="F2"/>
          </w:tcPr>
          <w:p w14:paraId="31B5E3B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shd w:val="clear" w:color="auto" w:fill="F2F2F2" w:themeFill="background2" w:themeFillShade="F2"/>
            <w:vAlign w:val="bottom"/>
          </w:tcPr>
          <w:p w14:paraId="29EE26D2"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5</w:t>
            </w:r>
          </w:p>
        </w:tc>
      </w:tr>
      <w:tr w:rsidR="0032201E" w:rsidRPr="0032201E" w14:paraId="1397FEE2" w14:textId="77777777" w:rsidTr="0032201E">
        <w:trPr>
          <w:trHeight w:val="264"/>
        </w:trPr>
        <w:tc>
          <w:tcPr>
            <w:tcW w:w="1893" w:type="pct"/>
            <w:tcBorders>
              <w:top w:val="nil"/>
              <w:left w:val="nil"/>
              <w:bottom w:val="nil"/>
              <w:right w:val="nil"/>
            </w:tcBorders>
            <w:shd w:val="clear" w:color="auto" w:fill="auto"/>
            <w:noWrap/>
            <w:vAlign w:val="bottom"/>
            <w:hideMark/>
          </w:tcPr>
          <w:p w14:paraId="23B8225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Westbourne Formation</w:t>
            </w:r>
          </w:p>
        </w:tc>
        <w:tc>
          <w:tcPr>
            <w:tcW w:w="1036" w:type="pct"/>
            <w:tcBorders>
              <w:left w:val="nil"/>
              <w:right w:val="nil"/>
            </w:tcBorders>
          </w:tcPr>
          <w:p w14:paraId="6A091BB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tcPr>
          <w:p w14:paraId="7A78643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vAlign w:val="bottom"/>
          </w:tcPr>
          <w:p w14:paraId="77A86E2F"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6</w:t>
            </w:r>
          </w:p>
        </w:tc>
      </w:tr>
      <w:tr w:rsidR="0032201E" w:rsidRPr="0032201E" w14:paraId="0122A1F9" w14:textId="77777777" w:rsidTr="00C410F6">
        <w:trPr>
          <w:trHeight w:val="264"/>
        </w:trPr>
        <w:tc>
          <w:tcPr>
            <w:tcW w:w="1893" w:type="pct"/>
            <w:tcBorders>
              <w:top w:val="nil"/>
              <w:left w:val="nil"/>
              <w:bottom w:val="nil"/>
              <w:right w:val="nil"/>
            </w:tcBorders>
            <w:shd w:val="clear" w:color="auto" w:fill="F2F2F2" w:themeFill="background2" w:themeFillShade="F2"/>
            <w:noWrap/>
            <w:vAlign w:val="bottom"/>
            <w:hideMark/>
          </w:tcPr>
          <w:p w14:paraId="4919D6A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Springbok Sandstone</w:t>
            </w:r>
          </w:p>
        </w:tc>
        <w:tc>
          <w:tcPr>
            <w:tcW w:w="1036" w:type="pct"/>
            <w:tcBorders>
              <w:left w:val="nil"/>
              <w:right w:val="nil"/>
            </w:tcBorders>
            <w:shd w:val="clear" w:color="auto" w:fill="F2F2F2" w:themeFill="background2" w:themeFillShade="F2"/>
          </w:tcPr>
          <w:p w14:paraId="7F4D9BF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shd w:val="clear" w:color="auto" w:fill="F2F2F2" w:themeFill="background2" w:themeFillShade="F2"/>
          </w:tcPr>
          <w:p w14:paraId="5F661D6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shd w:val="clear" w:color="auto" w:fill="F2F2F2" w:themeFill="background2" w:themeFillShade="F2"/>
            <w:vAlign w:val="bottom"/>
          </w:tcPr>
          <w:p w14:paraId="6B824F2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7</w:t>
            </w:r>
          </w:p>
        </w:tc>
      </w:tr>
      <w:tr w:rsidR="0032201E" w:rsidRPr="0032201E" w14:paraId="0A1C706B" w14:textId="77777777" w:rsidTr="0032201E">
        <w:trPr>
          <w:trHeight w:val="264"/>
        </w:trPr>
        <w:tc>
          <w:tcPr>
            <w:tcW w:w="1893" w:type="pct"/>
            <w:tcBorders>
              <w:top w:val="nil"/>
              <w:left w:val="nil"/>
              <w:bottom w:val="nil"/>
              <w:right w:val="nil"/>
            </w:tcBorders>
            <w:shd w:val="clear" w:color="auto" w:fill="auto"/>
            <w:noWrap/>
            <w:vAlign w:val="bottom"/>
            <w:hideMark/>
          </w:tcPr>
          <w:p w14:paraId="28AC800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10 m thick shale</w:t>
            </w:r>
          </w:p>
        </w:tc>
        <w:tc>
          <w:tcPr>
            <w:tcW w:w="1036" w:type="pct"/>
            <w:tcBorders>
              <w:left w:val="nil"/>
              <w:right w:val="nil"/>
            </w:tcBorders>
          </w:tcPr>
          <w:p w14:paraId="7CB8A40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tcPr>
          <w:p w14:paraId="527A505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036" w:type="pct"/>
            <w:tcBorders>
              <w:left w:val="nil"/>
              <w:right w:val="nil"/>
            </w:tcBorders>
            <w:vAlign w:val="bottom"/>
          </w:tcPr>
          <w:p w14:paraId="3968F219"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8</w:t>
            </w:r>
          </w:p>
        </w:tc>
      </w:tr>
      <w:tr w:rsidR="0032201E" w:rsidRPr="0032201E" w14:paraId="39AF1410" w14:textId="77777777" w:rsidTr="00C410F6">
        <w:trPr>
          <w:trHeight w:val="264"/>
        </w:trPr>
        <w:tc>
          <w:tcPr>
            <w:tcW w:w="1893" w:type="pct"/>
            <w:tcBorders>
              <w:top w:val="nil"/>
              <w:left w:val="nil"/>
              <w:bottom w:val="nil"/>
              <w:right w:val="nil"/>
            </w:tcBorders>
            <w:shd w:val="clear" w:color="auto" w:fill="F2F2F2" w:themeFill="background2" w:themeFillShade="F2"/>
            <w:noWrap/>
            <w:vAlign w:val="bottom"/>
            <w:hideMark/>
          </w:tcPr>
          <w:p w14:paraId="0011695B"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Juandah Coal Measures</w:t>
            </w:r>
          </w:p>
        </w:tc>
        <w:tc>
          <w:tcPr>
            <w:tcW w:w="1036" w:type="pct"/>
            <w:tcBorders>
              <w:left w:val="nil"/>
              <w:right w:val="nil"/>
            </w:tcBorders>
            <w:shd w:val="clear" w:color="auto" w:fill="F2F2F2" w:themeFill="background2" w:themeFillShade="F2"/>
          </w:tcPr>
          <w:p w14:paraId="3703692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036" w:type="pct"/>
            <w:tcBorders>
              <w:left w:val="nil"/>
              <w:right w:val="nil"/>
            </w:tcBorders>
            <w:shd w:val="clear" w:color="auto" w:fill="F2F2F2" w:themeFill="background2" w:themeFillShade="F2"/>
          </w:tcPr>
          <w:p w14:paraId="18E6C82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shd w:val="clear" w:color="auto" w:fill="F2F2F2" w:themeFill="background2" w:themeFillShade="F2"/>
            <w:vAlign w:val="bottom"/>
          </w:tcPr>
          <w:p w14:paraId="689866D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9</w:t>
            </w:r>
          </w:p>
        </w:tc>
      </w:tr>
      <w:tr w:rsidR="0032201E" w:rsidRPr="0032201E" w14:paraId="30F0BD3B" w14:textId="77777777" w:rsidTr="0032201E">
        <w:trPr>
          <w:trHeight w:val="264"/>
        </w:trPr>
        <w:tc>
          <w:tcPr>
            <w:tcW w:w="1893" w:type="pct"/>
            <w:tcBorders>
              <w:top w:val="nil"/>
              <w:left w:val="nil"/>
              <w:bottom w:val="nil"/>
              <w:right w:val="nil"/>
            </w:tcBorders>
            <w:shd w:val="clear" w:color="auto" w:fill="auto"/>
            <w:noWrap/>
            <w:vAlign w:val="bottom"/>
            <w:hideMark/>
          </w:tcPr>
          <w:p w14:paraId="0CA1733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Tangalooma Sandstone</w:t>
            </w:r>
          </w:p>
        </w:tc>
        <w:tc>
          <w:tcPr>
            <w:tcW w:w="1036" w:type="pct"/>
            <w:tcBorders>
              <w:left w:val="nil"/>
              <w:right w:val="nil"/>
            </w:tcBorders>
          </w:tcPr>
          <w:p w14:paraId="28CEEBA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tcPr>
          <w:p w14:paraId="25339FF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036" w:type="pct"/>
            <w:tcBorders>
              <w:left w:val="nil"/>
              <w:right w:val="nil"/>
            </w:tcBorders>
            <w:vAlign w:val="bottom"/>
          </w:tcPr>
          <w:p w14:paraId="488BA97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10</w:t>
            </w:r>
          </w:p>
        </w:tc>
      </w:tr>
      <w:tr w:rsidR="0032201E" w:rsidRPr="0032201E" w14:paraId="268BD91B" w14:textId="77777777" w:rsidTr="00C410F6">
        <w:trPr>
          <w:trHeight w:val="264"/>
        </w:trPr>
        <w:tc>
          <w:tcPr>
            <w:tcW w:w="1893" w:type="pct"/>
            <w:tcBorders>
              <w:top w:val="nil"/>
              <w:left w:val="nil"/>
              <w:bottom w:val="nil"/>
              <w:right w:val="nil"/>
            </w:tcBorders>
            <w:shd w:val="clear" w:color="auto" w:fill="F2F2F2" w:themeFill="background2" w:themeFillShade="F2"/>
            <w:noWrap/>
            <w:vAlign w:val="bottom"/>
            <w:hideMark/>
          </w:tcPr>
          <w:p w14:paraId="1E983E1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Taroom Coal Measures </w:t>
            </w:r>
          </w:p>
        </w:tc>
        <w:tc>
          <w:tcPr>
            <w:tcW w:w="1036" w:type="pct"/>
            <w:tcBorders>
              <w:left w:val="nil"/>
              <w:right w:val="nil"/>
            </w:tcBorders>
            <w:shd w:val="clear" w:color="auto" w:fill="F2F2F2" w:themeFill="background2" w:themeFillShade="F2"/>
          </w:tcPr>
          <w:p w14:paraId="519331B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036" w:type="pct"/>
            <w:tcBorders>
              <w:left w:val="nil"/>
              <w:right w:val="nil"/>
            </w:tcBorders>
            <w:shd w:val="clear" w:color="auto" w:fill="F2F2F2" w:themeFill="background2" w:themeFillShade="F2"/>
          </w:tcPr>
          <w:p w14:paraId="16E794F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shd w:val="clear" w:color="auto" w:fill="F2F2F2" w:themeFill="background2" w:themeFillShade="F2"/>
            <w:vAlign w:val="bottom"/>
          </w:tcPr>
          <w:p w14:paraId="4D49E2BA"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11</w:t>
            </w:r>
          </w:p>
        </w:tc>
      </w:tr>
      <w:tr w:rsidR="0032201E" w:rsidRPr="0032201E" w14:paraId="14C9A62E" w14:textId="77777777" w:rsidTr="0032201E">
        <w:trPr>
          <w:trHeight w:val="264"/>
        </w:trPr>
        <w:tc>
          <w:tcPr>
            <w:tcW w:w="1893" w:type="pct"/>
            <w:tcBorders>
              <w:top w:val="nil"/>
              <w:left w:val="nil"/>
              <w:bottom w:val="nil"/>
              <w:right w:val="nil"/>
            </w:tcBorders>
            <w:shd w:val="clear" w:color="auto" w:fill="auto"/>
            <w:noWrap/>
            <w:vAlign w:val="bottom"/>
            <w:hideMark/>
          </w:tcPr>
          <w:p w14:paraId="5E14AAF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Durabilla Formation / Eurombah Formation</w:t>
            </w:r>
          </w:p>
        </w:tc>
        <w:tc>
          <w:tcPr>
            <w:tcW w:w="1036" w:type="pct"/>
            <w:tcBorders>
              <w:left w:val="nil"/>
              <w:right w:val="nil"/>
            </w:tcBorders>
          </w:tcPr>
          <w:p w14:paraId="59F07F0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tcPr>
          <w:p w14:paraId="7A45340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vAlign w:val="bottom"/>
          </w:tcPr>
          <w:p w14:paraId="4BEB1677"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12</w:t>
            </w:r>
          </w:p>
        </w:tc>
      </w:tr>
      <w:tr w:rsidR="0032201E" w:rsidRPr="0032201E" w14:paraId="66A65B46" w14:textId="77777777" w:rsidTr="00C410F6">
        <w:trPr>
          <w:trHeight w:val="264"/>
        </w:trPr>
        <w:tc>
          <w:tcPr>
            <w:tcW w:w="1893" w:type="pct"/>
            <w:tcBorders>
              <w:top w:val="nil"/>
              <w:left w:val="nil"/>
              <w:bottom w:val="nil"/>
              <w:right w:val="nil"/>
            </w:tcBorders>
            <w:shd w:val="clear" w:color="auto" w:fill="F2F2F2" w:themeFill="background2" w:themeFillShade="F2"/>
            <w:noWrap/>
            <w:vAlign w:val="bottom"/>
            <w:hideMark/>
          </w:tcPr>
          <w:p w14:paraId="16F8E91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Hutton Sandstone</w:t>
            </w:r>
          </w:p>
        </w:tc>
        <w:tc>
          <w:tcPr>
            <w:tcW w:w="1036" w:type="pct"/>
            <w:tcBorders>
              <w:left w:val="nil"/>
              <w:right w:val="nil"/>
            </w:tcBorders>
            <w:shd w:val="clear" w:color="auto" w:fill="F2F2F2" w:themeFill="background2" w:themeFillShade="F2"/>
          </w:tcPr>
          <w:p w14:paraId="6613AC1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shd w:val="clear" w:color="auto" w:fill="F2F2F2" w:themeFill="background2" w:themeFillShade="F2"/>
          </w:tcPr>
          <w:p w14:paraId="1BBCDA4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shd w:val="clear" w:color="auto" w:fill="F2F2F2" w:themeFill="background2" w:themeFillShade="F2"/>
            <w:vAlign w:val="bottom"/>
          </w:tcPr>
          <w:p w14:paraId="370F7272"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13</w:t>
            </w:r>
          </w:p>
        </w:tc>
      </w:tr>
      <w:tr w:rsidR="0032201E" w:rsidRPr="0032201E" w14:paraId="5CDF60A7" w14:textId="77777777" w:rsidTr="0032201E">
        <w:trPr>
          <w:trHeight w:val="264"/>
        </w:trPr>
        <w:tc>
          <w:tcPr>
            <w:tcW w:w="1893" w:type="pct"/>
            <w:tcBorders>
              <w:top w:val="nil"/>
              <w:left w:val="nil"/>
              <w:right w:val="nil"/>
            </w:tcBorders>
            <w:shd w:val="clear" w:color="auto" w:fill="auto"/>
            <w:noWrap/>
            <w:vAlign w:val="bottom"/>
            <w:hideMark/>
          </w:tcPr>
          <w:p w14:paraId="170880C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Evergreen Formation</w:t>
            </w:r>
          </w:p>
        </w:tc>
        <w:tc>
          <w:tcPr>
            <w:tcW w:w="1036" w:type="pct"/>
            <w:tcBorders>
              <w:left w:val="nil"/>
              <w:right w:val="nil"/>
            </w:tcBorders>
          </w:tcPr>
          <w:p w14:paraId="3C41C8F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right w:val="nil"/>
            </w:tcBorders>
          </w:tcPr>
          <w:p w14:paraId="42C7375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right w:val="nil"/>
            </w:tcBorders>
            <w:vAlign w:val="bottom"/>
          </w:tcPr>
          <w:p w14:paraId="6FA30AB9"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14</w:t>
            </w:r>
          </w:p>
        </w:tc>
      </w:tr>
      <w:tr w:rsidR="0032201E" w:rsidRPr="0032201E" w14:paraId="7DF31024" w14:textId="77777777" w:rsidTr="00C410F6">
        <w:trPr>
          <w:trHeight w:val="264"/>
        </w:trPr>
        <w:tc>
          <w:tcPr>
            <w:tcW w:w="1893" w:type="pct"/>
            <w:tcBorders>
              <w:top w:val="nil"/>
              <w:left w:val="nil"/>
              <w:bottom w:val="single" w:sz="4" w:space="0" w:color="auto"/>
              <w:right w:val="nil"/>
            </w:tcBorders>
            <w:shd w:val="clear" w:color="auto" w:fill="F2F2F2" w:themeFill="background2" w:themeFillShade="F2"/>
            <w:noWrap/>
            <w:vAlign w:val="bottom"/>
            <w:hideMark/>
          </w:tcPr>
          <w:p w14:paraId="008BD3D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Precipice Sandstone</w:t>
            </w:r>
          </w:p>
        </w:tc>
        <w:tc>
          <w:tcPr>
            <w:tcW w:w="1036" w:type="pct"/>
            <w:tcBorders>
              <w:left w:val="nil"/>
              <w:bottom w:val="single" w:sz="4" w:space="0" w:color="auto"/>
              <w:right w:val="nil"/>
            </w:tcBorders>
            <w:shd w:val="clear" w:color="auto" w:fill="F2F2F2" w:themeFill="background2" w:themeFillShade="F2"/>
          </w:tcPr>
          <w:p w14:paraId="0F4AAB8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36" w:type="pct"/>
            <w:tcBorders>
              <w:left w:val="nil"/>
              <w:bottom w:val="single" w:sz="4" w:space="0" w:color="auto"/>
              <w:right w:val="nil"/>
            </w:tcBorders>
            <w:shd w:val="clear" w:color="auto" w:fill="F2F2F2" w:themeFill="background2" w:themeFillShade="F2"/>
          </w:tcPr>
          <w:p w14:paraId="3EA364B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36" w:type="pct"/>
            <w:tcBorders>
              <w:left w:val="nil"/>
              <w:bottom w:val="single" w:sz="4" w:space="0" w:color="auto"/>
              <w:right w:val="nil"/>
            </w:tcBorders>
            <w:shd w:val="clear" w:color="auto" w:fill="F2F2F2" w:themeFill="background2" w:themeFillShade="F2"/>
            <w:vAlign w:val="bottom"/>
          </w:tcPr>
          <w:p w14:paraId="1D5C6DF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r>
    </w:tbl>
    <w:p w14:paraId="70BF217F"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6F74FF0B" w14:textId="77777777" w:rsidR="0032201E" w:rsidRPr="0032201E" w:rsidRDefault="0032201E" w:rsidP="00475872">
      <w:pPr>
        <w:pStyle w:val="Body"/>
      </w:pPr>
      <w:r w:rsidRPr="0032201E">
        <w:t>CSG production was simulated using the Multi-Node Well (MNW) package (Halford and Hanson 2002), which allows for extraction fluxes to be partitioned across model layers. This approach is commonly used for water bores that are screened across multiple hydrostratigraphic units. The proportion of extracted volume is calculated as a function of the transmissivity and hydraulic head in each HSU. In the present case, the MNW package was used to distribute CSG fluxes across the Juandah Coal Measures, Tangalooma Sandstone and Taroom Coal Measures (</w:t>
      </w:r>
      <w:r w:rsidR="00C85DC3">
        <w:t xml:space="preserve">i.e., </w:t>
      </w:r>
      <w:r w:rsidRPr="0032201E">
        <w:t>model layers 10–12).</w:t>
      </w:r>
    </w:p>
    <w:p w14:paraId="76693736" w14:textId="77777777" w:rsidR="0032201E" w:rsidRPr="0032201E" w:rsidRDefault="0032201E" w:rsidP="005072A9">
      <w:pPr>
        <w:pStyle w:val="Heading3"/>
      </w:pPr>
      <w:bookmarkStart w:id="251" w:name="_Toc449696826"/>
      <w:r w:rsidRPr="0032201E">
        <w:t>Origin Energy</w:t>
      </w:r>
      <w:bookmarkEnd w:id="251"/>
    </w:p>
    <w:p w14:paraId="3D781A50" w14:textId="5CB07B66" w:rsidR="0032201E" w:rsidRPr="0032201E" w:rsidRDefault="0032201E" w:rsidP="00475872">
      <w:pPr>
        <w:pStyle w:val="Body"/>
      </w:pPr>
      <w:r w:rsidRPr="0032201E">
        <w:t xml:space="preserve">As part of EIS requirements for the Australia Pacific Liquefied Natural Gas Project, Origin Energy commissioned Worley Parsons to develop a numerical groundwater flow model to provide estimates of CSG extraction impacts </w:t>
      </w:r>
      <w:r w:rsidR="00084CDD" w:rsidRPr="0032201E">
        <w:fldChar w:fldCharType="begin"/>
      </w:r>
      <w:r w:rsidR="000C1299">
        <w:instrText xml:space="preserve"> ADDIN EN.CITE &lt;EndNote&gt;&lt;Cite&gt;&lt;Author&gt;APLNG&lt;/Author&gt;&lt;Year&gt;2010&lt;/Year&gt;&lt;IDText&gt;Australia Pacific LNG Project : environmental impact statement&lt;/IDText&gt;&lt;DisplayText&gt;(APLNG, 2010a; 2010b)&lt;/DisplayText&gt;&lt;record&gt;&lt;urls&gt;&lt;related-urls&gt;&lt;url&gt;http://www.aplng.com.au/eis&lt;/url&gt;&lt;/related-urls&gt;&lt;/urls&gt;&lt;titles&gt;&lt;title&gt;Australia Pacific LNG Project : environmental impact statement&lt;/title&gt;&lt;/titles&gt;&lt;contributors&gt;&lt;authors&gt;&lt;author&gt;APLNG&lt;/author&gt;&lt;/authors&gt;&lt;/contributors&gt;&lt;added-date format="utc"&gt;1433389477&lt;/added-date&gt;&lt;pub-location&gt;Brisbane, Queensland&lt;/pub-location&gt;&lt;ref-type name="Report"&gt;27&lt;/ref-type&gt;&lt;dates&gt;&lt;year&gt;2010&lt;/year&gt;&lt;/dates&gt;&lt;rec-number&gt;76&lt;/rec-number&gt;&lt;publisher&gt;Australia Pacific LNG&lt;/publisher&gt;&lt;last-updated-date format="utc"&gt;1434100418&lt;/last-updated-date&gt;&lt;num-vols&gt;5&lt;/num-vols&gt;&lt;/record&gt;&lt;/Cite&gt;&lt;Cite&gt;&lt;Author&gt;APLNG&lt;/Author&gt;&lt;Year&gt;2010&lt;/Year&gt;&lt;IDText&gt;Surat Basin regional numerical groundwater flow model for the Australia Pacific LNG environmental impacts assessment methodology&lt;/IDText&gt;&lt;record&gt;&lt;titles&gt;&lt;title&gt;Surat Basin regional numerical groundwater flow model for the Australia Pacific LNG environmental impacts assessment methodology&lt;/title&gt;&lt;/titles&gt;&lt;pages&gt;118&lt;/pages&gt;&lt;number&gt;301001-00448-00-EN-REP-0270-Q-LNG01-15-RP-0015&lt;/number&gt;&lt;contributors&gt;&lt;authors&gt;&lt;author&gt;APLNG&lt;/author&gt;&lt;/authors&gt;&lt;/contributors&gt;&lt;added-date format="utc"&gt;1440483335&lt;/added-date&gt;&lt;ref-type name="Report"&gt;27&lt;/ref-type&gt;&lt;dates&gt;&lt;year&gt;2010&lt;/year&gt;&lt;/dates&gt;&lt;rec-number&gt;1232&lt;/rec-number&gt;&lt;last-updated-date format="utc"&gt;1440483417&lt;/last-updated-date&gt;&lt;/record&gt;&lt;/Cite&gt;&lt;/EndNote&gt;</w:instrText>
      </w:r>
      <w:r w:rsidR="00084CDD" w:rsidRPr="0032201E">
        <w:fldChar w:fldCharType="separate"/>
      </w:r>
      <w:r w:rsidR="000C1299">
        <w:rPr>
          <w:noProof/>
        </w:rPr>
        <w:t>(APLNG, 2010a; 2010b)</w:t>
      </w:r>
      <w:r w:rsidR="00084CDD" w:rsidRPr="0032201E">
        <w:fldChar w:fldCharType="end"/>
      </w:r>
      <w:r w:rsidRPr="0032201E">
        <w:t>. Based on a PETREL geological model, a FEFLOW model was developed, covering a total area of 172 740 km</w:t>
      </w:r>
      <w:r w:rsidRPr="0032201E">
        <w:rPr>
          <w:vertAlign w:val="superscript"/>
        </w:rPr>
        <w:t>2</w:t>
      </w:r>
      <w:r w:rsidRPr="0032201E">
        <w:t>. This was discretised using approximately 12 km–sized triangular cells. The solution mesh was refined using 6 km–sized cells within a 70 km buffer around CSG tenement areas. The solution mesh was further refined using 3</w:t>
      </w:r>
      <w:r w:rsidR="00056615">
        <w:t xml:space="preserve"> × </w:t>
      </w:r>
      <w:r w:rsidRPr="0032201E">
        <w:t>3 km</w:t>
      </w:r>
      <w:r w:rsidRPr="0032201E">
        <w:rPr>
          <w:vertAlign w:val="superscript"/>
        </w:rPr>
        <w:t>2</w:t>
      </w:r>
      <w:r w:rsidRPr="0032201E">
        <w:t xml:space="preserve">–sized cells within CSG tenement areas. The model featured 23 layers and a mixture of Neumann and Cauchy boundary conditions. The discretisation of model layers is </w:t>
      </w:r>
      <w:r w:rsidRPr="00475872">
        <w:t xml:space="preserve">shown in </w:t>
      </w:r>
      <w:r w:rsidR="00102009">
        <w:fldChar w:fldCharType="begin"/>
      </w:r>
      <w:r w:rsidR="00102009">
        <w:instrText xml:space="preserve"> REF _Ref422387886 \h  \* MERGEFORMAT </w:instrText>
      </w:r>
      <w:r w:rsidR="00102009">
        <w:fldChar w:fldCharType="separate"/>
      </w:r>
      <w:r w:rsidR="00C52E30" w:rsidRPr="00C52E30">
        <w:rPr>
          <w:rStyle w:val="BodyChar"/>
        </w:rPr>
        <w:t>Table 13</w:t>
      </w:r>
      <w:r w:rsidR="00102009">
        <w:fldChar w:fldCharType="end"/>
      </w:r>
      <w:r w:rsidRPr="00475872">
        <w:t>. For</w:t>
      </w:r>
      <w:r w:rsidRPr="0032201E">
        <w:t xml:space="preserve"> this model, the Westbourne Formation represents the key aquitard that will affect the upward vertical propagation of hydraulic stresses induced in the underlying coal seams by CSG production to the Gubberamunda Sandstone and other overlying aquifers. Conversely, the Eurombah Formation represents the key aquitard that will affect the downward vertical propagation of hydraulic impacts to the underlying Hutton Sandstone aquifer. </w:t>
      </w:r>
    </w:p>
    <w:p w14:paraId="4396471A" w14:textId="62F77C26" w:rsidR="00B1297B" w:rsidRDefault="0032201E" w:rsidP="00475872">
      <w:pPr>
        <w:pStyle w:val="Body"/>
      </w:pPr>
      <w:r w:rsidRPr="0032201E">
        <w:t xml:space="preserve">Model layers were assigned on a one-to-one basis, with the exception of the combined </w:t>
      </w:r>
      <w:r w:rsidRPr="0032201E">
        <w:rPr>
          <w:lang w:eastAsia="en-AU"/>
        </w:rPr>
        <w:t>Bungil Formation / Mooga Sandstone / Orallo Formation (3) and the Walloon Coal Measures (7–17) (</w:t>
      </w:r>
      <w:r w:rsidR="00102009">
        <w:fldChar w:fldCharType="begin"/>
      </w:r>
      <w:r w:rsidR="00102009">
        <w:instrText xml:space="preserve"> REF _Ref422387886 \h  \* MERGEFORMAT </w:instrText>
      </w:r>
      <w:r w:rsidR="00102009">
        <w:fldChar w:fldCharType="separate"/>
      </w:r>
      <w:r w:rsidR="00C52E30" w:rsidRPr="00C52E30">
        <w:rPr>
          <w:rStyle w:val="BodyChar"/>
        </w:rPr>
        <w:t>Table 13</w:t>
      </w:r>
      <w:r w:rsidR="00102009">
        <w:fldChar w:fldCharType="end"/>
      </w:r>
      <w:r w:rsidRPr="00475872">
        <w:t>)</w:t>
      </w:r>
      <w:r w:rsidRPr="0032201E">
        <w:t xml:space="preserve">. The latter unit, composed of an alternating sequence of coal seams and interburden layers, was discretised using 11 model layers. </w:t>
      </w:r>
      <w:r w:rsidR="00C237B8">
        <w:t>Horizontal h</w:t>
      </w:r>
      <w:r w:rsidRPr="0032201E">
        <w:t xml:space="preserve">ydraulic </w:t>
      </w:r>
      <w:r w:rsidR="00B1297B">
        <w:t xml:space="preserve">conductivity </w:t>
      </w:r>
      <w:r w:rsidR="00C237B8">
        <w:t>(</w:t>
      </w:r>
      <w:r w:rsidR="00C237B8" w:rsidRPr="00C237B8">
        <w:rPr>
          <w:i/>
        </w:rPr>
        <w:t>K</w:t>
      </w:r>
      <w:r w:rsidR="00C237B8" w:rsidRPr="00C237B8">
        <w:rPr>
          <w:i/>
          <w:vertAlign w:val="subscript"/>
        </w:rPr>
        <w:t>h</w:t>
      </w:r>
      <w:r w:rsidR="00C237B8">
        <w:t xml:space="preserve">) </w:t>
      </w:r>
      <w:r w:rsidRPr="0032201E">
        <w:t>values were</w:t>
      </w:r>
      <w:r w:rsidR="00B1297B">
        <w:t xml:space="preserve"> obtained through inverse modelling</w:t>
      </w:r>
      <w:r w:rsidR="00B14277">
        <w:t xml:space="preserve">, based on </w:t>
      </w:r>
      <w:r w:rsidR="00C237B8">
        <w:t xml:space="preserve">the </w:t>
      </w:r>
      <w:r w:rsidR="00606781">
        <w:t xml:space="preserve">matching </w:t>
      </w:r>
      <w:r w:rsidR="00C237B8">
        <w:t xml:space="preserve">of </w:t>
      </w:r>
      <w:r w:rsidR="00606781">
        <w:t xml:space="preserve">model outputs </w:t>
      </w:r>
      <w:r w:rsidR="00B14277">
        <w:t>to pre-development hydraulic heads, as well as to estimates of water production from reservoir modelling</w:t>
      </w:r>
      <w:r w:rsidR="00B1297B">
        <w:t xml:space="preserve">. </w:t>
      </w:r>
      <w:r w:rsidR="00C237B8">
        <w:t xml:space="preserve"> Vertical hydraulic conductivity values were subsequently calculated by assuming a</w:t>
      </w:r>
      <w:r w:rsidR="00C237B8" w:rsidRPr="00C237B8">
        <w:t>nisotropy ratios of 1:30 and 1:300 for</w:t>
      </w:r>
      <w:r w:rsidR="00C237B8">
        <w:t xml:space="preserve"> </w:t>
      </w:r>
      <w:r w:rsidR="00C237B8" w:rsidRPr="00C237B8">
        <w:t>aquifers and aquitards respectively</w:t>
      </w:r>
      <w:r w:rsidR="00C237B8">
        <w:t xml:space="preserve">. A quantitative basis for this assumption was not described by APLNG </w:t>
      </w:r>
      <w:r w:rsidR="00084CDD">
        <w:fldChar w:fldCharType="begin"/>
      </w:r>
      <w:r w:rsidR="000C1299">
        <w:instrText xml:space="preserve"> ADDIN EN.CITE &lt;EndNote&gt;&lt;Cite ExcludeAuth="1"&gt;&lt;Author&gt;APLNG&lt;/Author&gt;&lt;Year&gt;2010&lt;/Year&gt;&lt;IDText&gt;Australia Pacific LNG Project : Environmental Impact Statement&lt;/IDText&gt;&lt;DisplayText&gt;(2010a; 2010b)&lt;/DisplayText&gt;&lt;record&gt;&lt;urls&gt;&lt;related-urls&gt;&lt;url&gt;http://www.aplng.com.au/eis&lt;/url&gt;&lt;/related-urls&gt;&lt;/urls&gt;&lt;titles&gt;&lt;title&gt;Australia Pacific LNG Project : Environmental Impact Statement&lt;/title&gt;&lt;/titles&gt;&lt;contributors&gt;&lt;authors&gt;&lt;author&gt;APLNG&lt;/author&gt;&lt;/authors&gt;&lt;/contributors&gt;&lt;added-date format="utc"&gt;1433389477&lt;/added-date&gt;&lt;pub-location&gt;Brisbane, Queensland&lt;/pub-location&gt;&lt;ref-type name="Report"&gt;27&lt;/ref-type&gt;&lt;dates&gt;&lt;year&gt;2010&lt;/year&gt;&lt;/dates&gt;&lt;rec-number&gt;76&lt;/rec-number&gt;&lt;publisher&gt;Australia Pacific LNG&lt;/publisher&gt;&lt;last-updated-date format="utc"&gt;1436498110&lt;/last-updated-date&gt;&lt;num-vols&gt;5&lt;/num-vols&gt;&lt;/record&gt;&lt;/Cite&gt;&lt;Cite&gt;&lt;Author&gt;APLNG&lt;/Author&gt;&lt;Year&gt;2010&lt;/Year&gt;&lt;IDText&gt;Surat Basin regional numerical groundwater flow model for the Australia Pacific LNG environmental impacts assessment methodology&lt;/IDText&gt;&lt;record&gt;&lt;titles&gt;&lt;title&gt;Surat Basin regional numerical groundwater flow model for the Australia Pacific LNG environmental impacts assessment methodology&lt;/title&gt;&lt;/titles&gt;&lt;pages&gt;118&lt;/pages&gt;&lt;number&gt;301001-00448-00-EN-REP-0270-Q-LNG01-15-RP-0015&lt;/number&gt;&lt;contributors&gt;&lt;authors&gt;&lt;author&gt;APLNG&lt;/author&gt;&lt;/authors&gt;&lt;/contributors&gt;&lt;added-date format="utc"&gt;1440483335&lt;/added-date&gt;&lt;ref-type name="Report"&gt;27&lt;/ref-type&gt;&lt;dates&gt;&lt;year&gt;2010&lt;/year&gt;&lt;/dates&gt;&lt;rec-number&gt;1232&lt;/rec-number&gt;&lt;last-updated-date format="utc"&gt;1440483417&lt;/last-updated-date&gt;&lt;/record&gt;&lt;/Cite&gt;&lt;/EndNote&gt;</w:instrText>
      </w:r>
      <w:r w:rsidR="00084CDD">
        <w:fldChar w:fldCharType="separate"/>
      </w:r>
      <w:r w:rsidR="000C1299">
        <w:rPr>
          <w:noProof/>
        </w:rPr>
        <w:t>(2010a; 2010b)</w:t>
      </w:r>
      <w:r w:rsidR="00084CDD">
        <w:fldChar w:fldCharType="end"/>
      </w:r>
      <w:r w:rsidR="00C237B8">
        <w:t xml:space="preserve">. </w:t>
      </w:r>
      <w:r w:rsidR="00B14277">
        <w:t>I</w:t>
      </w:r>
      <w:r w:rsidR="00B1297B">
        <w:t xml:space="preserve">nitial </w:t>
      </w:r>
      <w:r w:rsidR="00C237B8" w:rsidRPr="00C237B8">
        <w:rPr>
          <w:i/>
        </w:rPr>
        <w:t>K</w:t>
      </w:r>
      <w:r w:rsidR="00C237B8" w:rsidRPr="00C237B8">
        <w:rPr>
          <w:i/>
          <w:vertAlign w:val="subscript"/>
        </w:rPr>
        <w:t>h</w:t>
      </w:r>
      <w:r w:rsidR="00B1297B">
        <w:t xml:space="preserve"> values</w:t>
      </w:r>
      <w:r w:rsidR="00F2705D">
        <w:t xml:space="preserve"> (</w:t>
      </w:r>
      <w:r w:rsidR="00B14277">
        <w:t>minima and maxima</w:t>
      </w:r>
      <w:r w:rsidR="00F2705D">
        <w:t>)</w:t>
      </w:r>
      <w:r w:rsidR="00B14277">
        <w:t xml:space="preserve"> </w:t>
      </w:r>
      <w:r w:rsidR="00606781">
        <w:t xml:space="preserve">used in </w:t>
      </w:r>
      <w:r w:rsidR="00B14277">
        <w:t xml:space="preserve">model inversion </w:t>
      </w:r>
      <w:r w:rsidR="00B1297B">
        <w:t>were based on a range of sources</w:t>
      </w:r>
      <w:r w:rsidR="00B14277">
        <w:t xml:space="preserve">. </w:t>
      </w:r>
      <w:r w:rsidR="00606781">
        <w:t xml:space="preserve">Initial values were calculated using the geometric mean of each range identified. Data sources </w:t>
      </w:r>
      <w:r w:rsidR="00B14277">
        <w:t xml:space="preserve">included </w:t>
      </w:r>
      <w:r w:rsidR="00B1297B" w:rsidRPr="00B1297B">
        <w:t xml:space="preserve">drill stem tests </w:t>
      </w:r>
      <w:r w:rsidR="00B1297B">
        <w:t>(</w:t>
      </w:r>
      <w:r w:rsidR="00B14277">
        <w:t xml:space="preserve">for </w:t>
      </w:r>
      <w:r w:rsidR="00B1297B" w:rsidRPr="00B1297B">
        <w:t xml:space="preserve">coal seams </w:t>
      </w:r>
      <w:r w:rsidR="00B1297B">
        <w:t xml:space="preserve">only), an </w:t>
      </w:r>
      <w:r w:rsidR="00B1297B" w:rsidRPr="00B1297B">
        <w:t>aquifer test conducted in the Precipice Sandstone</w:t>
      </w:r>
      <w:r w:rsidR="003E4BD6">
        <w:t>,</w:t>
      </w:r>
      <w:r w:rsidR="00B1297B" w:rsidRPr="00B1297B">
        <w:t xml:space="preserve"> </w:t>
      </w:r>
      <w:r w:rsidR="003E4BD6">
        <w:t xml:space="preserve">and previous numerical groundwater models, </w:t>
      </w:r>
      <w:r w:rsidR="00B1297B">
        <w:t>as well as</w:t>
      </w:r>
      <w:r w:rsidR="003E4BD6">
        <w:t xml:space="preserve"> the interpretation of downhole geophysical logs</w:t>
      </w:r>
      <w:r w:rsidR="00B1297B" w:rsidRPr="00B1297B">
        <w:t>.</w:t>
      </w:r>
      <w:r w:rsidR="00B1297B">
        <w:t xml:space="preserve"> </w:t>
      </w:r>
      <w:r w:rsidR="003E4BD6">
        <w:t xml:space="preserve">For the latter case, </w:t>
      </w:r>
      <w:r w:rsidR="003C171B">
        <w:t xml:space="preserve">the following relationship between </w:t>
      </w:r>
      <w:r w:rsidR="00C237B8" w:rsidRPr="00C237B8">
        <w:rPr>
          <w:i/>
        </w:rPr>
        <w:t>K</w:t>
      </w:r>
      <w:r w:rsidR="00C237B8" w:rsidRPr="00C237B8">
        <w:rPr>
          <w:i/>
          <w:vertAlign w:val="subscript"/>
        </w:rPr>
        <w:t>h</w:t>
      </w:r>
      <w:r w:rsidR="00C237B8">
        <w:rPr>
          <w:i/>
          <w:vertAlign w:val="subscript"/>
        </w:rPr>
        <w:t xml:space="preserve"> </w:t>
      </w:r>
      <w:r w:rsidR="003C171B">
        <w:t>(m.d</w:t>
      </w:r>
      <w:r w:rsidR="003C171B">
        <w:rPr>
          <w:vertAlign w:val="superscript"/>
        </w:rPr>
        <w:t>-1</w:t>
      </w:r>
      <w:r w:rsidR="003C171B">
        <w:t xml:space="preserve">) and </w:t>
      </w:r>
      <w:r w:rsidR="00B1297B">
        <w:t xml:space="preserve">gamma </w:t>
      </w:r>
      <w:r w:rsidR="003C171B">
        <w:t>ray counts (</w:t>
      </w:r>
      <w:r w:rsidR="003C171B" w:rsidRPr="003C171B">
        <w:rPr>
          <w:i/>
        </w:rPr>
        <w:t>γ</w:t>
      </w:r>
      <w:r w:rsidR="003E4BD6">
        <w:rPr>
          <w:i/>
        </w:rPr>
        <w:t>;</w:t>
      </w:r>
      <w:r w:rsidR="003C171B">
        <w:t xml:space="preserve"> API units) was established</w:t>
      </w:r>
      <w:r w:rsidR="003E4BD6">
        <w:t>, based on data obtained from up to fifteen locations</w:t>
      </w:r>
      <w:r w:rsidR="003C171B">
        <w:t xml:space="preserve">: </w:t>
      </w:r>
    </w:p>
    <w:p w14:paraId="77329AB1" w14:textId="02C643D3" w:rsidR="00FF5736" w:rsidRDefault="00FF5736" w:rsidP="00FF5736">
      <w:pPr>
        <w:pStyle w:val="Body"/>
        <w:tabs>
          <w:tab w:val="center" w:pos="4536"/>
          <w:tab w:val="right" w:pos="9072"/>
        </w:tabs>
        <w:rPr>
          <w:color w:val="auto"/>
        </w:rPr>
      </w:pPr>
      <w:r>
        <w:rPr>
          <w:color w:val="auto"/>
        </w:rPr>
        <w:tab/>
      </w:r>
      <m:oMath>
        <m:sSub>
          <m:sSubPr>
            <m:ctrlPr>
              <w:rPr>
                <w:rFonts w:ascii="Cambria Math" w:hAnsi="Cambria Math"/>
                <w:i/>
                <w:color w:val="auto"/>
              </w:rPr>
            </m:ctrlPr>
          </m:sSubPr>
          <m:e>
            <m:r>
              <w:rPr>
                <w:rFonts w:ascii="Cambria Math" w:hAnsi="Cambria Math"/>
                <w:color w:val="auto"/>
              </w:rPr>
              <m:t>K</m:t>
            </m:r>
          </m:e>
          <m:sub>
            <m:r>
              <w:rPr>
                <w:rFonts w:ascii="Cambria Math" w:hAnsi="Cambria Math"/>
                <w:color w:val="auto"/>
              </w:rPr>
              <m:t>h</m:t>
            </m:r>
          </m:sub>
        </m:sSub>
        <m:r>
          <w:rPr>
            <w:rFonts w:ascii="Cambria Math" w:hAnsi="Cambria Math"/>
            <w:color w:val="auto"/>
          </w:rPr>
          <m:t>=</m:t>
        </m:r>
        <m:r>
          <m:rPr>
            <m:sty m:val="p"/>
          </m:rPr>
          <w:rPr>
            <w:rFonts w:ascii="Cambria Math" w:hAnsi="Cambria Math"/>
            <w:color w:val="auto"/>
          </w:rPr>
          <m:t>exp⁡</m:t>
        </m:r>
        <m:d>
          <m:dPr>
            <m:ctrlPr>
              <w:rPr>
                <w:rFonts w:ascii="Cambria Math" w:hAnsi="Cambria Math"/>
                <w:i/>
                <w:color w:val="auto"/>
              </w:rPr>
            </m:ctrlPr>
          </m:dPr>
          <m:e>
            <m:r>
              <w:rPr>
                <w:rFonts w:ascii="Cambria Math" w:hAnsi="Cambria Math"/>
                <w:color w:val="auto"/>
              </w:rPr>
              <m:t>-</m:t>
            </m:r>
            <m:f>
              <m:fPr>
                <m:ctrlPr>
                  <w:rPr>
                    <w:rFonts w:ascii="Cambria Math" w:hAnsi="Cambria Math"/>
                    <w:i/>
                    <w:color w:val="auto"/>
                  </w:rPr>
                </m:ctrlPr>
              </m:fPr>
              <m:num>
                <m:r>
                  <w:rPr>
                    <w:rFonts w:ascii="Cambria Math" w:hAnsi="Cambria Math"/>
                    <w:color w:val="auto"/>
                  </w:rPr>
                  <m:t>γ+39.891</m:t>
                </m:r>
              </m:num>
              <m:den>
                <m:r>
                  <w:rPr>
                    <w:rFonts w:ascii="Cambria Math" w:hAnsi="Cambria Math"/>
                    <w:color w:val="auto"/>
                  </w:rPr>
                  <m:t>3.6771</m:t>
                </m:r>
              </m:den>
            </m:f>
          </m:e>
        </m:d>
      </m:oMath>
      <w:r>
        <w:rPr>
          <w:color w:val="auto"/>
        </w:rPr>
        <w:tab/>
        <w:t>(</w:t>
      </w:r>
      <w:r w:rsidR="005A7C64">
        <w:rPr>
          <w:color w:val="auto"/>
        </w:rPr>
        <w:t>10</w:t>
      </w:r>
      <w:r>
        <w:rPr>
          <w:color w:val="auto"/>
        </w:rPr>
        <w:t>)</w:t>
      </w:r>
    </w:p>
    <w:p w14:paraId="6B6567DE" w14:textId="77777777" w:rsidR="00B14277" w:rsidRDefault="00B14277" w:rsidP="00475872">
      <w:pPr>
        <w:pStyle w:val="Body"/>
      </w:pPr>
      <w:r>
        <w:t xml:space="preserve">While multiple downhole geophysical logs were used to estimate the statistical variability of hydraulic conductivity for each hydrostratigraphic unit, they were not used to characterise </w:t>
      </w:r>
      <w:r w:rsidR="0032201E" w:rsidRPr="0032201E">
        <w:t>spatial variability</w:t>
      </w:r>
      <w:r>
        <w:t>.</w:t>
      </w:r>
      <w:r w:rsidR="0032201E" w:rsidRPr="0032201E">
        <w:t xml:space="preserve"> </w:t>
      </w:r>
      <w:r>
        <w:t xml:space="preserve">Instead, </w:t>
      </w:r>
      <w:r w:rsidR="00CA2D0C" w:rsidRPr="0032201E">
        <w:t>homogeneous hydraulic conductivity values</w:t>
      </w:r>
      <w:r w:rsidR="00CA2D0C">
        <w:t xml:space="preserve"> were specified </w:t>
      </w:r>
      <w:r w:rsidR="00606781">
        <w:t>for all model layers</w:t>
      </w:r>
      <w:r w:rsidR="0032201E" w:rsidRPr="0032201E">
        <w:t>.</w:t>
      </w:r>
      <w:r w:rsidR="00C237B8">
        <w:t xml:space="preserve"> </w:t>
      </w:r>
      <w:r>
        <w:t>Similarly, uniform storage parameters (specific storage = 4</w:t>
      </w:r>
      <w:r w:rsidR="00CA2D0C">
        <w:t>.0</w:t>
      </w:r>
      <w:r w:rsidR="00056615">
        <w:t xml:space="preserve"> × </w:t>
      </w:r>
      <w:r>
        <w:t>10</w:t>
      </w:r>
      <w:r>
        <w:rPr>
          <w:vertAlign w:val="superscript"/>
        </w:rPr>
        <w:t xml:space="preserve">-6 </w:t>
      </w:r>
      <w:r>
        <w:t>m</w:t>
      </w:r>
      <w:r>
        <w:rPr>
          <w:vertAlign w:val="superscript"/>
        </w:rPr>
        <w:t>-1</w:t>
      </w:r>
      <w:r>
        <w:t>; specific yield = 0.03) were specified in all layers of the model. Th</w:t>
      </w:r>
      <w:r w:rsidR="00606781">
        <w:t>e</w:t>
      </w:r>
      <w:r>
        <w:t xml:space="preserve"> specific storage value was </w:t>
      </w:r>
      <w:r w:rsidRPr="00B14277">
        <w:t xml:space="preserve">based on </w:t>
      </w:r>
      <w:r>
        <w:t xml:space="preserve">a single hydraulic </w:t>
      </w:r>
      <w:r w:rsidRPr="00B14277">
        <w:t xml:space="preserve">test conducted </w:t>
      </w:r>
      <w:r>
        <w:t xml:space="preserve">on </w:t>
      </w:r>
      <w:r w:rsidRPr="00B14277">
        <w:t>the Precipice Sandstone at the Kogan Creek power station</w:t>
      </w:r>
      <w:r w:rsidR="00CA2D0C">
        <w:t xml:space="preserve">, as reported by AGE </w:t>
      </w:r>
      <w:r w:rsidR="00084CDD">
        <w:fldChar w:fldCharType="begin"/>
      </w:r>
      <w:r w:rsidR="00CA2D0C">
        <w:instrText xml:space="preserve"> ADDIN EN.CITE &lt;EndNote&gt;&lt;Cite ExcludeAuth="1"&gt;&lt;Author&gt;AGE Consultants&lt;/Author&gt;&lt;Year&gt;1999&lt;/Year&gt;&lt;IDText&gt;Pumping test analysis for Kogan Creek Power Station&lt;/IDText&gt;&lt;DisplayText&gt;(1999)&lt;/DisplayText&gt;&lt;record&gt;&lt;titles&gt;&lt;title&gt;Pumping test analysis for Kogan Creek Power Station&lt;/title&gt;&lt;/titles&gt;&lt;contributors&gt;&lt;authors&gt;&lt;author&gt;AGE Consultants,&lt;/author&gt;&lt;/authors&gt;&lt;/contributors&gt;&lt;added-date format="utc"&gt;1440481006&lt;/added-date&gt;&lt;ref-type name="Generic"&gt;13&lt;/ref-type&gt;&lt;dates&gt;&lt;year&gt;1999&lt;/year&gt;&lt;/dates&gt;&lt;rec-number&gt;1231&lt;/rec-number&gt;&lt;last-updated-date format="utc"&gt;1440481237&lt;/last-updated-date&gt;&lt;/record&gt;&lt;/Cite&gt;&lt;/EndNote&gt;</w:instrText>
      </w:r>
      <w:r w:rsidR="00084CDD">
        <w:fldChar w:fldCharType="separate"/>
      </w:r>
      <w:r w:rsidR="00CA2D0C">
        <w:rPr>
          <w:noProof/>
        </w:rPr>
        <w:t>(1999)</w:t>
      </w:r>
      <w:r w:rsidR="00084CDD">
        <w:fldChar w:fldCharType="end"/>
      </w:r>
      <w:r>
        <w:t>.</w:t>
      </w:r>
      <w:r w:rsidR="00CA2D0C">
        <w:t xml:space="preserve"> The source of the specific yield value used was not described by APLNG </w:t>
      </w:r>
      <w:r w:rsidR="00084CDD">
        <w:fldChar w:fldCharType="begin"/>
      </w:r>
      <w:r w:rsidR="000C1299">
        <w:instrText xml:space="preserve"> ADDIN EN.CITE &lt;EndNote&gt;&lt;Cite ExcludeAuth="1"&gt;&lt;Author&gt;APLNG&lt;/Author&gt;&lt;Year&gt;2010&lt;/Year&gt;&lt;IDText&gt;Australia Pacific LNG Project : Environmental Impact Statement&lt;/IDText&gt;&lt;DisplayText&gt;(2010a; 2010b)&lt;/DisplayText&gt;&lt;record&gt;&lt;urls&gt;&lt;related-urls&gt;&lt;url&gt;http://www.aplng.com.au/eis&lt;/url&gt;&lt;/related-urls&gt;&lt;/urls&gt;&lt;titles&gt;&lt;title&gt;Australia Pacific LNG Project : Environmental Impact Statement&lt;/title&gt;&lt;/titles&gt;&lt;contributors&gt;&lt;authors&gt;&lt;author&gt;APLNG&lt;/author&gt;&lt;/authors&gt;&lt;/contributors&gt;&lt;added-date format="utc"&gt;1433389477&lt;/added-date&gt;&lt;pub-location&gt;Brisbane, Queensland&lt;/pub-location&gt;&lt;ref-type name="Report"&gt;27&lt;/ref-type&gt;&lt;dates&gt;&lt;year&gt;2010&lt;/year&gt;&lt;/dates&gt;&lt;rec-number&gt;76&lt;/rec-number&gt;&lt;publisher&gt;Australia Pacific LNG&lt;/publisher&gt;&lt;last-updated-date format="utc"&gt;1436498110&lt;/last-updated-date&gt;&lt;num-vols&gt;5&lt;/num-vols&gt;&lt;/record&gt;&lt;/Cite&gt;&lt;Cite&gt;&lt;Author&gt;APLNG&lt;/Author&gt;&lt;Year&gt;2010&lt;/Year&gt;&lt;IDText&gt;Surat Basin regional numerical groundwater flow model for the Australia Pacific LNG environmental impacts assessment methodology&lt;/IDText&gt;&lt;record&gt;&lt;titles&gt;&lt;title&gt;Surat Basin regional numerical groundwater flow model for the Australia Pacific LNG environmental impacts assessment methodology&lt;/title&gt;&lt;/titles&gt;&lt;pages&gt;118&lt;/pages&gt;&lt;number&gt;301001-00448-00-EN-REP-0270-Q-LNG01-15-RP-0015&lt;/number&gt;&lt;contributors&gt;&lt;authors&gt;&lt;author&gt;APLNG&lt;/author&gt;&lt;/authors&gt;&lt;/contributors&gt;&lt;added-date format="utc"&gt;1440483335&lt;/added-date&gt;&lt;ref-type name="Report"&gt;27&lt;/ref-type&gt;&lt;dates&gt;&lt;year&gt;2010&lt;/year&gt;&lt;/dates&gt;&lt;rec-number&gt;1232&lt;/rec-number&gt;&lt;last-updated-date format="utc"&gt;1440483417&lt;/last-updated-date&gt;&lt;/record&gt;&lt;/Cite&gt;&lt;/EndNote&gt;</w:instrText>
      </w:r>
      <w:r w:rsidR="00084CDD">
        <w:fldChar w:fldCharType="separate"/>
      </w:r>
      <w:r w:rsidR="000C1299">
        <w:rPr>
          <w:noProof/>
        </w:rPr>
        <w:t>(2010a; 2010b)</w:t>
      </w:r>
      <w:r w:rsidR="00084CDD">
        <w:fldChar w:fldCharType="end"/>
      </w:r>
      <w:r w:rsidR="00CA2D0C">
        <w:t>.</w:t>
      </w:r>
    </w:p>
    <w:p w14:paraId="2C4E9B52"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32201E">
        <w:rPr>
          <w:rFonts w:ascii="Calibri" w:hAnsi="Calibri" w:cs="Calibri"/>
          <w:color w:val="000000"/>
          <w:sz w:val="18"/>
          <w:szCs w:val="18"/>
          <w:lang w:val="en-GB"/>
        </w:rPr>
        <w:t xml:space="preserve">  </w:t>
      </w:r>
    </w:p>
    <w:p w14:paraId="5EA97360"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25BC1ADE" w14:textId="77777777" w:rsidR="0032201E" w:rsidRPr="0032201E" w:rsidRDefault="00E47452" w:rsidP="00E47452">
      <w:pPr>
        <w:pStyle w:val="Imagecaption"/>
        <w:keepNext/>
        <w:pBdr>
          <w:top w:val="none" w:sz="0" w:space="0" w:color="auto"/>
        </w:pBdr>
      </w:pPr>
      <w:bookmarkStart w:id="252" w:name="_Ref422387886"/>
      <w:bookmarkStart w:id="253" w:name="_Toc449696233"/>
      <w:r>
        <w:t xml:space="preserve">Table </w:t>
      </w:r>
      <w:r w:rsidR="00084CDD">
        <w:fldChar w:fldCharType="begin"/>
      </w:r>
      <w:r w:rsidR="00144B4F">
        <w:instrText xml:space="preserve"> SEQ Table \* ARABIC </w:instrText>
      </w:r>
      <w:r w:rsidR="00084CDD">
        <w:fldChar w:fldCharType="separate"/>
      </w:r>
      <w:r w:rsidR="00C52E30">
        <w:rPr>
          <w:noProof/>
        </w:rPr>
        <w:t>13</w:t>
      </w:r>
      <w:r w:rsidR="00084CDD">
        <w:rPr>
          <w:noProof/>
        </w:rPr>
        <w:fldChar w:fldCharType="end"/>
      </w:r>
      <w:bookmarkEnd w:id="252"/>
      <w:r>
        <w:t xml:space="preserve">. </w:t>
      </w:r>
      <w:r w:rsidR="005A2033">
        <w:t>Summary of geological units, hydrostratigraphic units and groundwater flow model layers represented in Origin Energy Surat Basin groundwater flow model.</w:t>
      </w:r>
      <w:bookmarkEnd w:id="253"/>
    </w:p>
    <w:tbl>
      <w:tblPr>
        <w:tblW w:w="4999" w:type="pct"/>
        <w:tblLook w:val="04A0" w:firstRow="1" w:lastRow="0" w:firstColumn="1" w:lastColumn="0" w:noHBand="0" w:noVBand="1"/>
      </w:tblPr>
      <w:tblGrid>
        <w:gridCol w:w="4346"/>
        <w:gridCol w:w="1557"/>
        <w:gridCol w:w="1557"/>
        <w:gridCol w:w="1558"/>
      </w:tblGrid>
      <w:tr w:rsidR="0032201E" w:rsidRPr="0032201E" w14:paraId="0ED5ED20" w14:textId="77777777" w:rsidTr="0032201E">
        <w:trPr>
          <w:trHeight w:val="247"/>
        </w:trPr>
        <w:tc>
          <w:tcPr>
            <w:tcW w:w="2342" w:type="pct"/>
            <w:vMerge w:val="restart"/>
            <w:tcBorders>
              <w:top w:val="single" w:sz="4" w:space="0" w:color="auto"/>
              <w:left w:val="nil"/>
              <w:right w:val="nil"/>
            </w:tcBorders>
            <w:shd w:val="clear" w:color="auto" w:fill="auto"/>
            <w:noWrap/>
            <w:vAlign w:val="center"/>
            <w:hideMark/>
          </w:tcPr>
          <w:p w14:paraId="3C5F8D3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1772" w:type="pct"/>
            <w:gridSpan w:val="2"/>
            <w:tcBorders>
              <w:top w:val="single" w:sz="4" w:space="0" w:color="auto"/>
              <w:left w:val="nil"/>
              <w:right w:val="nil"/>
            </w:tcBorders>
            <w:vAlign w:val="center"/>
          </w:tcPr>
          <w:p w14:paraId="38B862C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Hydrostratigraphic unit type</w:t>
            </w:r>
          </w:p>
        </w:tc>
        <w:tc>
          <w:tcPr>
            <w:tcW w:w="886" w:type="pct"/>
            <w:vMerge w:val="restart"/>
            <w:tcBorders>
              <w:top w:val="single" w:sz="4" w:space="0" w:color="auto"/>
              <w:left w:val="nil"/>
              <w:right w:val="nil"/>
            </w:tcBorders>
            <w:vAlign w:val="center"/>
          </w:tcPr>
          <w:p w14:paraId="14B214D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Model layer</w:t>
            </w:r>
          </w:p>
        </w:tc>
      </w:tr>
      <w:tr w:rsidR="0032201E" w:rsidRPr="0032201E" w14:paraId="368E7BCE" w14:textId="77777777" w:rsidTr="0032201E">
        <w:trPr>
          <w:trHeight w:val="246"/>
        </w:trPr>
        <w:tc>
          <w:tcPr>
            <w:tcW w:w="2342" w:type="pct"/>
            <w:vMerge/>
            <w:tcBorders>
              <w:left w:val="nil"/>
              <w:bottom w:val="single" w:sz="4" w:space="0" w:color="auto"/>
              <w:right w:val="nil"/>
            </w:tcBorders>
            <w:shd w:val="clear" w:color="auto" w:fill="auto"/>
            <w:noWrap/>
            <w:vAlign w:val="bottom"/>
            <w:hideMark/>
          </w:tcPr>
          <w:p w14:paraId="3FF68B8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886" w:type="pct"/>
            <w:tcBorders>
              <w:left w:val="nil"/>
              <w:bottom w:val="single" w:sz="4" w:space="0" w:color="auto"/>
              <w:right w:val="nil"/>
            </w:tcBorders>
            <w:vAlign w:val="center"/>
          </w:tcPr>
          <w:p w14:paraId="705304D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886" w:type="pct"/>
            <w:tcBorders>
              <w:left w:val="nil"/>
              <w:bottom w:val="single" w:sz="4" w:space="0" w:color="auto"/>
              <w:right w:val="nil"/>
            </w:tcBorders>
            <w:vAlign w:val="center"/>
          </w:tcPr>
          <w:p w14:paraId="3BEDADA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aquitard</w:t>
            </w:r>
          </w:p>
        </w:tc>
        <w:tc>
          <w:tcPr>
            <w:tcW w:w="886" w:type="pct"/>
            <w:vMerge/>
            <w:tcBorders>
              <w:left w:val="nil"/>
              <w:bottom w:val="single" w:sz="4" w:space="0" w:color="auto"/>
              <w:right w:val="nil"/>
            </w:tcBorders>
            <w:vAlign w:val="bottom"/>
          </w:tcPr>
          <w:p w14:paraId="282BE21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r>
      <w:tr w:rsidR="0032201E" w:rsidRPr="0032201E" w14:paraId="2D4A99A8" w14:textId="77777777" w:rsidTr="00DE115D">
        <w:trPr>
          <w:trHeight w:val="264"/>
        </w:trPr>
        <w:tc>
          <w:tcPr>
            <w:tcW w:w="2342" w:type="pct"/>
            <w:tcBorders>
              <w:top w:val="single" w:sz="4" w:space="0" w:color="auto"/>
              <w:left w:val="nil"/>
              <w:bottom w:val="nil"/>
              <w:right w:val="nil"/>
            </w:tcBorders>
            <w:shd w:val="clear" w:color="auto" w:fill="F2F2F2" w:themeFill="background2" w:themeFillShade="F2"/>
            <w:noWrap/>
            <w:vAlign w:val="bottom"/>
            <w:hideMark/>
          </w:tcPr>
          <w:p w14:paraId="13305EB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Cenozoic alluvium</w:t>
            </w:r>
          </w:p>
        </w:tc>
        <w:tc>
          <w:tcPr>
            <w:tcW w:w="886" w:type="pct"/>
            <w:tcBorders>
              <w:top w:val="single" w:sz="4" w:space="0" w:color="auto"/>
              <w:left w:val="nil"/>
              <w:right w:val="nil"/>
            </w:tcBorders>
            <w:shd w:val="clear" w:color="auto" w:fill="F2F2F2" w:themeFill="background2" w:themeFillShade="F2"/>
          </w:tcPr>
          <w:p w14:paraId="41AD390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sym w:font="Wingdings" w:char="F0FC"/>
            </w:r>
          </w:p>
        </w:tc>
        <w:tc>
          <w:tcPr>
            <w:tcW w:w="886" w:type="pct"/>
            <w:tcBorders>
              <w:top w:val="single" w:sz="4" w:space="0" w:color="auto"/>
              <w:left w:val="nil"/>
              <w:right w:val="nil"/>
            </w:tcBorders>
            <w:shd w:val="clear" w:color="auto" w:fill="F2F2F2" w:themeFill="background2" w:themeFillShade="F2"/>
          </w:tcPr>
          <w:p w14:paraId="2D7209D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886" w:type="pct"/>
            <w:tcBorders>
              <w:top w:val="single" w:sz="4" w:space="0" w:color="auto"/>
              <w:left w:val="nil"/>
              <w:right w:val="nil"/>
            </w:tcBorders>
            <w:shd w:val="clear" w:color="auto" w:fill="F2F2F2" w:themeFill="background2" w:themeFillShade="F2"/>
            <w:vAlign w:val="bottom"/>
          </w:tcPr>
          <w:p w14:paraId="0AEFD1A7"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w:t>
            </w:r>
          </w:p>
        </w:tc>
      </w:tr>
      <w:tr w:rsidR="0032201E" w:rsidRPr="0032201E" w14:paraId="3676D31A" w14:textId="77777777" w:rsidTr="0032201E">
        <w:trPr>
          <w:trHeight w:val="264"/>
        </w:trPr>
        <w:tc>
          <w:tcPr>
            <w:tcW w:w="2342" w:type="pct"/>
            <w:tcBorders>
              <w:top w:val="nil"/>
              <w:left w:val="nil"/>
              <w:bottom w:val="nil"/>
              <w:right w:val="nil"/>
            </w:tcBorders>
            <w:shd w:val="clear" w:color="auto" w:fill="auto"/>
            <w:noWrap/>
            <w:vAlign w:val="bottom"/>
            <w:hideMark/>
          </w:tcPr>
          <w:p w14:paraId="21F59F6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Rolling Downs Group</w:t>
            </w:r>
          </w:p>
        </w:tc>
        <w:tc>
          <w:tcPr>
            <w:tcW w:w="886" w:type="pct"/>
            <w:tcBorders>
              <w:left w:val="nil"/>
              <w:right w:val="nil"/>
            </w:tcBorders>
          </w:tcPr>
          <w:p w14:paraId="66F0A59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390E02D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vAlign w:val="bottom"/>
          </w:tcPr>
          <w:p w14:paraId="698F387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w:t>
            </w:r>
          </w:p>
        </w:tc>
      </w:tr>
      <w:tr w:rsidR="0032201E" w:rsidRPr="0032201E" w14:paraId="6DC762E8"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078D4F0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Bungil Formation / Mooga Sandstone / Orallo Formation</w:t>
            </w:r>
          </w:p>
        </w:tc>
        <w:tc>
          <w:tcPr>
            <w:tcW w:w="886" w:type="pct"/>
            <w:tcBorders>
              <w:left w:val="nil"/>
              <w:right w:val="nil"/>
            </w:tcBorders>
            <w:shd w:val="clear" w:color="auto" w:fill="F2F2F2" w:themeFill="background2" w:themeFillShade="F2"/>
          </w:tcPr>
          <w:p w14:paraId="531EB84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5C90871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2F9B242B"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w:t>
            </w:r>
          </w:p>
        </w:tc>
      </w:tr>
      <w:tr w:rsidR="0032201E" w:rsidRPr="0032201E" w14:paraId="439E02F1"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152A3D9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Gubberamunda Sandstone</w:t>
            </w:r>
          </w:p>
        </w:tc>
        <w:tc>
          <w:tcPr>
            <w:tcW w:w="886" w:type="pct"/>
            <w:tcBorders>
              <w:left w:val="nil"/>
              <w:right w:val="nil"/>
            </w:tcBorders>
            <w:shd w:val="clear" w:color="auto" w:fill="F2F2F2" w:themeFill="background2" w:themeFillShade="F2"/>
          </w:tcPr>
          <w:p w14:paraId="1089A57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0B9EB23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62286B0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4</w:t>
            </w:r>
          </w:p>
        </w:tc>
      </w:tr>
      <w:tr w:rsidR="0032201E" w:rsidRPr="0032201E" w14:paraId="36535264" w14:textId="77777777" w:rsidTr="0032201E">
        <w:trPr>
          <w:trHeight w:val="264"/>
        </w:trPr>
        <w:tc>
          <w:tcPr>
            <w:tcW w:w="2342" w:type="pct"/>
            <w:tcBorders>
              <w:top w:val="nil"/>
              <w:left w:val="nil"/>
              <w:bottom w:val="nil"/>
              <w:right w:val="nil"/>
            </w:tcBorders>
            <w:shd w:val="clear" w:color="auto" w:fill="auto"/>
            <w:noWrap/>
            <w:vAlign w:val="bottom"/>
            <w:hideMark/>
          </w:tcPr>
          <w:p w14:paraId="1FE3C1E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Westbourne Formation</w:t>
            </w:r>
          </w:p>
        </w:tc>
        <w:tc>
          <w:tcPr>
            <w:tcW w:w="886" w:type="pct"/>
            <w:tcBorders>
              <w:left w:val="nil"/>
              <w:right w:val="nil"/>
            </w:tcBorders>
          </w:tcPr>
          <w:p w14:paraId="7F917E8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0BB0A85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vAlign w:val="bottom"/>
          </w:tcPr>
          <w:p w14:paraId="1336BF3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5</w:t>
            </w:r>
          </w:p>
        </w:tc>
      </w:tr>
      <w:tr w:rsidR="0032201E" w:rsidRPr="0032201E" w14:paraId="2BE6AB32"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358C87E4"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Springbok Sandstone</w:t>
            </w:r>
          </w:p>
        </w:tc>
        <w:tc>
          <w:tcPr>
            <w:tcW w:w="886" w:type="pct"/>
            <w:tcBorders>
              <w:left w:val="nil"/>
              <w:right w:val="nil"/>
            </w:tcBorders>
            <w:shd w:val="clear" w:color="auto" w:fill="F2F2F2" w:themeFill="background2" w:themeFillShade="F2"/>
          </w:tcPr>
          <w:p w14:paraId="6B460D3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7975090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19E972D2"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6</w:t>
            </w:r>
          </w:p>
        </w:tc>
      </w:tr>
      <w:tr w:rsidR="0032201E" w:rsidRPr="0032201E" w14:paraId="49474AB3" w14:textId="77777777" w:rsidTr="0032201E">
        <w:trPr>
          <w:trHeight w:val="264"/>
        </w:trPr>
        <w:tc>
          <w:tcPr>
            <w:tcW w:w="2342" w:type="pct"/>
            <w:tcBorders>
              <w:top w:val="nil"/>
              <w:left w:val="nil"/>
              <w:bottom w:val="nil"/>
              <w:right w:val="nil"/>
            </w:tcBorders>
            <w:shd w:val="clear" w:color="auto" w:fill="auto"/>
            <w:noWrap/>
            <w:vAlign w:val="bottom"/>
            <w:hideMark/>
          </w:tcPr>
          <w:p w14:paraId="4B426CE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(upper unit)</w:t>
            </w:r>
          </w:p>
        </w:tc>
        <w:tc>
          <w:tcPr>
            <w:tcW w:w="886" w:type="pct"/>
            <w:tcBorders>
              <w:left w:val="nil"/>
              <w:right w:val="nil"/>
            </w:tcBorders>
          </w:tcPr>
          <w:p w14:paraId="4E58247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267CE26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886" w:type="pct"/>
            <w:tcBorders>
              <w:left w:val="nil"/>
              <w:right w:val="nil"/>
            </w:tcBorders>
            <w:vAlign w:val="bottom"/>
          </w:tcPr>
          <w:p w14:paraId="20070B4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7</w:t>
            </w:r>
          </w:p>
        </w:tc>
      </w:tr>
      <w:tr w:rsidR="0032201E" w:rsidRPr="0032201E" w14:paraId="121D33FD"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4F09948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(Macalister coal seam)</w:t>
            </w:r>
          </w:p>
        </w:tc>
        <w:tc>
          <w:tcPr>
            <w:tcW w:w="886" w:type="pct"/>
            <w:tcBorders>
              <w:left w:val="nil"/>
              <w:right w:val="nil"/>
            </w:tcBorders>
            <w:shd w:val="clear" w:color="auto" w:fill="F2F2F2" w:themeFill="background2" w:themeFillShade="F2"/>
          </w:tcPr>
          <w:p w14:paraId="3D95227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886" w:type="pct"/>
            <w:tcBorders>
              <w:left w:val="nil"/>
              <w:right w:val="nil"/>
            </w:tcBorders>
            <w:shd w:val="clear" w:color="auto" w:fill="F2F2F2" w:themeFill="background2" w:themeFillShade="F2"/>
          </w:tcPr>
          <w:p w14:paraId="1D590ED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7C9C4558"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8</w:t>
            </w:r>
          </w:p>
        </w:tc>
      </w:tr>
      <w:tr w:rsidR="0032201E" w:rsidRPr="0032201E" w14:paraId="56887293" w14:textId="77777777" w:rsidTr="0032201E">
        <w:trPr>
          <w:trHeight w:val="264"/>
        </w:trPr>
        <w:tc>
          <w:tcPr>
            <w:tcW w:w="2342" w:type="pct"/>
            <w:tcBorders>
              <w:top w:val="nil"/>
              <w:left w:val="nil"/>
              <w:bottom w:val="nil"/>
              <w:right w:val="nil"/>
            </w:tcBorders>
            <w:shd w:val="clear" w:color="auto" w:fill="auto"/>
            <w:noWrap/>
            <w:vAlign w:val="bottom"/>
            <w:hideMark/>
          </w:tcPr>
          <w:p w14:paraId="05601D7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(Macalister mudstone)</w:t>
            </w:r>
          </w:p>
        </w:tc>
        <w:tc>
          <w:tcPr>
            <w:tcW w:w="886" w:type="pct"/>
            <w:tcBorders>
              <w:left w:val="nil"/>
              <w:right w:val="nil"/>
            </w:tcBorders>
          </w:tcPr>
          <w:p w14:paraId="5358478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7CBD27A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886" w:type="pct"/>
            <w:tcBorders>
              <w:left w:val="nil"/>
              <w:right w:val="nil"/>
            </w:tcBorders>
            <w:vAlign w:val="bottom"/>
          </w:tcPr>
          <w:p w14:paraId="7FA776E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9</w:t>
            </w:r>
          </w:p>
        </w:tc>
      </w:tr>
      <w:tr w:rsidR="0032201E" w:rsidRPr="0032201E" w14:paraId="6CCF3CA5"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4BA04D57"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(upper Juandah sandstone)</w:t>
            </w:r>
          </w:p>
        </w:tc>
        <w:tc>
          <w:tcPr>
            <w:tcW w:w="886" w:type="pct"/>
            <w:tcBorders>
              <w:left w:val="nil"/>
              <w:right w:val="nil"/>
            </w:tcBorders>
            <w:shd w:val="clear" w:color="auto" w:fill="F2F2F2" w:themeFill="background2" w:themeFillShade="F2"/>
          </w:tcPr>
          <w:p w14:paraId="5FC3D79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7731FB7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5389E97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10</w:t>
            </w:r>
          </w:p>
        </w:tc>
      </w:tr>
      <w:tr w:rsidR="0032201E" w:rsidRPr="0032201E" w14:paraId="32DCDFAB" w14:textId="77777777" w:rsidTr="0032201E">
        <w:trPr>
          <w:trHeight w:val="264"/>
        </w:trPr>
        <w:tc>
          <w:tcPr>
            <w:tcW w:w="2342" w:type="pct"/>
            <w:tcBorders>
              <w:top w:val="nil"/>
              <w:left w:val="nil"/>
              <w:bottom w:val="nil"/>
              <w:right w:val="nil"/>
            </w:tcBorders>
            <w:shd w:val="clear" w:color="auto" w:fill="auto"/>
            <w:noWrap/>
            <w:vAlign w:val="bottom"/>
            <w:hideMark/>
          </w:tcPr>
          <w:p w14:paraId="655676C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(lower Juandah mudstone)</w:t>
            </w:r>
          </w:p>
        </w:tc>
        <w:tc>
          <w:tcPr>
            <w:tcW w:w="886" w:type="pct"/>
            <w:tcBorders>
              <w:left w:val="nil"/>
              <w:right w:val="nil"/>
            </w:tcBorders>
          </w:tcPr>
          <w:p w14:paraId="4117C5C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480B251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886" w:type="pct"/>
            <w:tcBorders>
              <w:left w:val="nil"/>
              <w:right w:val="nil"/>
            </w:tcBorders>
            <w:vAlign w:val="bottom"/>
          </w:tcPr>
          <w:p w14:paraId="6E9A5C89"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11</w:t>
            </w:r>
          </w:p>
        </w:tc>
      </w:tr>
      <w:tr w:rsidR="0032201E" w:rsidRPr="0032201E" w14:paraId="1F11DAE2"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5E7D6C2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(lower Juandah coal seam)</w:t>
            </w:r>
          </w:p>
        </w:tc>
        <w:tc>
          <w:tcPr>
            <w:tcW w:w="886" w:type="pct"/>
            <w:tcBorders>
              <w:left w:val="nil"/>
              <w:right w:val="nil"/>
            </w:tcBorders>
            <w:shd w:val="clear" w:color="auto" w:fill="F2F2F2" w:themeFill="background2" w:themeFillShade="F2"/>
          </w:tcPr>
          <w:p w14:paraId="0CABD80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886" w:type="pct"/>
            <w:tcBorders>
              <w:left w:val="nil"/>
              <w:right w:val="nil"/>
            </w:tcBorders>
            <w:shd w:val="clear" w:color="auto" w:fill="F2F2F2" w:themeFill="background2" w:themeFillShade="F2"/>
          </w:tcPr>
          <w:p w14:paraId="378AA08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5C3CAEF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12</w:t>
            </w:r>
          </w:p>
        </w:tc>
      </w:tr>
      <w:tr w:rsidR="0032201E" w:rsidRPr="0032201E" w14:paraId="50557E4D" w14:textId="77777777" w:rsidTr="0032201E">
        <w:trPr>
          <w:trHeight w:val="264"/>
        </w:trPr>
        <w:tc>
          <w:tcPr>
            <w:tcW w:w="2342" w:type="pct"/>
            <w:tcBorders>
              <w:top w:val="nil"/>
              <w:left w:val="nil"/>
              <w:bottom w:val="nil"/>
              <w:right w:val="nil"/>
            </w:tcBorders>
            <w:shd w:val="clear" w:color="auto" w:fill="auto"/>
            <w:noWrap/>
            <w:vAlign w:val="bottom"/>
            <w:hideMark/>
          </w:tcPr>
          <w:p w14:paraId="0B06C1B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(lower Juandah mudstone)</w:t>
            </w:r>
          </w:p>
        </w:tc>
        <w:tc>
          <w:tcPr>
            <w:tcW w:w="886" w:type="pct"/>
            <w:tcBorders>
              <w:left w:val="nil"/>
              <w:right w:val="nil"/>
            </w:tcBorders>
          </w:tcPr>
          <w:p w14:paraId="1D41F9A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071408D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886" w:type="pct"/>
            <w:tcBorders>
              <w:left w:val="nil"/>
              <w:right w:val="nil"/>
            </w:tcBorders>
            <w:vAlign w:val="bottom"/>
          </w:tcPr>
          <w:p w14:paraId="26A2D86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13</w:t>
            </w:r>
          </w:p>
        </w:tc>
      </w:tr>
      <w:tr w:rsidR="0032201E" w:rsidRPr="0032201E" w14:paraId="1E70BC0F"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7ADB2C5B"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(Tangalooma Sandstone)</w:t>
            </w:r>
          </w:p>
        </w:tc>
        <w:tc>
          <w:tcPr>
            <w:tcW w:w="886" w:type="pct"/>
            <w:tcBorders>
              <w:left w:val="nil"/>
              <w:right w:val="nil"/>
            </w:tcBorders>
            <w:shd w:val="clear" w:color="auto" w:fill="F2F2F2" w:themeFill="background2" w:themeFillShade="F2"/>
          </w:tcPr>
          <w:p w14:paraId="45419DD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0151017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1BB2338F"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14</w:t>
            </w:r>
          </w:p>
        </w:tc>
      </w:tr>
      <w:tr w:rsidR="0032201E" w:rsidRPr="0032201E" w14:paraId="37AABF7D" w14:textId="77777777" w:rsidTr="0032201E">
        <w:trPr>
          <w:trHeight w:val="264"/>
        </w:trPr>
        <w:tc>
          <w:tcPr>
            <w:tcW w:w="2342" w:type="pct"/>
            <w:tcBorders>
              <w:top w:val="nil"/>
              <w:left w:val="nil"/>
              <w:bottom w:val="nil"/>
              <w:right w:val="nil"/>
            </w:tcBorders>
            <w:shd w:val="clear" w:color="auto" w:fill="auto"/>
            <w:noWrap/>
            <w:vAlign w:val="bottom"/>
            <w:hideMark/>
          </w:tcPr>
          <w:p w14:paraId="65EB58E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(upper Taroom mudstone)</w:t>
            </w:r>
          </w:p>
        </w:tc>
        <w:tc>
          <w:tcPr>
            <w:tcW w:w="886" w:type="pct"/>
            <w:tcBorders>
              <w:left w:val="nil"/>
              <w:right w:val="nil"/>
            </w:tcBorders>
          </w:tcPr>
          <w:p w14:paraId="10BDDEF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5F1F411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886" w:type="pct"/>
            <w:tcBorders>
              <w:left w:val="nil"/>
              <w:right w:val="nil"/>
            </w:tcBorders>
            <w:vAlign w:val="bottom"/>
          </w:tcPr>
          <w:p w14:paraId="4D119C6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r>
      <w:tr w:rsidR="0032201E" w:rsidRPr="0032201E" w14:paraId="78D2BF75"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2C80F99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WCM (Taroom Coal Measures)</w:t>
            </w:r>
          </w:p>
        </w:tc>
        <w:tc>
          <w:tcPr>
            <w:tcW w:w="886" w:type="pct"/>
            <w:tcBorders>
              <w:left w:val="nil"/>
              <w:right w:val="nil"/>
            </w:tcBorders>
            <w:shd w:val="clear" w:color="auto" w:fill="F2F2F2" w:themeFill="background2" w:themeFillShade="F2"/>
          </w:tcPr>
          <w:p w14:paraId="6AF43E9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886" w:type="pct"/>
            <w:tcBorders>
              <w:left w:val="nil"/>
              <w:right w:val="nil"/>
            </w:tcBorders>
            <w:shd w:val="clear" w:color="auto" w:fill="F2F2F2" w:themeFill="background2" w:themeFillShade="F2"/>
          </w:tcPr>
          <w:p w14:paraId="3712292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4EC1B893"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16</w:t>
            </w:r>
          </w:p>
        </w:tc>
      </w:tr>
      <w:tr w:rsidR="0032201E" w:rsidRPr="0032201E" w14:paraId="1B12FCEB" w14:textId="77777777" w:rsidTr="0032201E">
        <w:trPr>
          <w:trHeight w:val="264"/>
        </w:trPr>
        <w:tc>
          <w:tcPr>
            <w:tcW w:w="2342" w:type="pct"/>
            <w:tcBorders>
              <w:top w:val="nil"/>
              <w:left w:val="nil"/>
              <w:bottom w:val="nil"/>
              <w:right w:val="nil"/>
            </w:tcBorders>
            <w:shd w:val="clear" w:color="auto" w:fill="auto"/>
            <w:noWrap/>
            <w:vAlign w:val="bottom"/>
            <w:hideMark/>
          </w:tcPr>
          <w:p w14:paraId="4807E67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WCM (lower Taroom mudstone) </w:t>
            </w:r>
          </w:p>
        </w:tc>
        <w:tc>
          <w:tcPr>
            <w:tcW w:w="886" w:type="pct"/>
            <w:tcBorders>
              <w:left w:val="nil"/>
              <w:right w:val="nil"/>
            </w:tcBorders>
          </w:tcPr>
          <w:p w14:paraId="7221198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7ADE2A8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886" w:type="pct"/>
            <w:tcBorders>
              <w:left w:val="nil"/>
              <w:right w:val="nil"/>
            </w:tcBorders>
            <w:vAlign w:val="bottom"/>
          </w:tcPr>
          <w:p w14:paraId="3811B9D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17</w:t>
            </w:r>
          </w:p>
        </w:tc>
      </w:tr>
      <w:tr w:rsidR="0032201E" w:rsidRPr="0032201E" w14:paraId="5620237B" w14:textId="77777777" w:rsidTr="0032201E">
        <w:trPr>
          <w:trHeight w:val="264"/>
        </w:trPr>
        <w:tc>
          <w:tcPr>
            <w:tcW w:w="2342" w:type="pct"/>
            <w:tcBorders>
              <w:top w:val="nil"/>
              <w:left w:val="nil"/>
              <w:bottom w:val="nil"/>
              <w:right w:val="nil"/>
            </w:tcBorders>
            <w:shd w:val="clear" w:color="auto" w:fill="auto"/>
            <w:noWrap/>
            <w:vAlign w:val="bottom"/>
            <w:hideMark/>
          </w:tcPr>
          <w:p w14:paraId="427D835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Eurombah Formation</w:t>
            </w:r>
          </w:p>
        </w:tc>
        <w:tc>
          <w:tcPr>
            <w:tcW w:w="886" w:type="pct"/>
            <w:tcBorders>
              <w:left w:val="nil"/>
              <w:right w:val="nil"/>
            </w:tcBorders>
          </w:tcPr>
          <w:p w14:paraId="64253EE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03EB25F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vAlign w:val="bottom"/>
          </w:tcPr>
          <w:p w14:paraId="6F1D67B3"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18</w:t>
            </w:r>
          </w:p>
        </w:tc>
      </w:tr>
      <w:tr w:rsidR="0032201E" w:rsidRPr="0032201E" w14:paraId="24A946C4"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29FDFD6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Upper Hutton Sandstone</w:t>
            </w:r>
          </w:p>
        </w:tc>
        <w:tc>
          <w:tcPr>
            <w:tcW w:w="886" w:type="pct"/>
            <w:tcBorders>
              <w:left w:val="nil"/>
              <w:right w:val="nil"/>
            </w:tcBorders>
            <w:shd w:val="clear" w:color="auto" w:fill="F2F2F2" w:themeFill="background2" w:themeFillShade="F2"/>
          </w:tcPr>
          <w:p w14:paraId="0FF00CF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072E862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1EDD238B"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19</w:t>
            </w:r>
          </w:p>
        </w:tc>
      </w:tr>
      <w:tr w:rsidR="0032201E" w:rsidRPr="0032201E" w14:paraId="08134BCC"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0D0C9AA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Lower Hutton Sandstone</w:t>
            </w:r>
          </w:p>
        </w:tc>
        <w:tc>
          <w:tcPr>
            <w:tcW w:w="886" w:type="pct"/>
            <w:tcBorders>
              <w:left w:val="nil"/>
              <w:right w:val="nil"/>
            </w:tcBorders>
            <w:shd w:val="clear" w:color="auto" w:fill="F2F2F2" w:themeFill="background2" w:themeFillShade="F2"/>
          </w:tcPr>
          <w:p w14:paraId="3796D80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30E9938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0BCE655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20</w:t>
            </w:r>
          </w:p>
        </w:tc>
      </w:tr>
      <w:tr w:rsidR="0032201E" w:rsidRPr="0032201E" w14:paraId="5C8B8279" w14:textId="77777777" w:rsidTr="0032201E">
        <w:trPr>
          <w:trHeight w:val="264"/>
        </w:trPr>
        <w:tc>
          <w:tcPr>
            <w:tcW w:w="2342" w:type="pct"/>
            <w:tcBorders>
              <w:top w:val="nil"/>
              <w:left w:val="nil"/>
              <w:right w:val="nil"/>
            </w:tcBorders>
            <w:shd w:val="clear" w:color="auto" w:fill="auto"/>
            <w:noWrap/>
            <w:vAlign w:val="bottom"/>
            <w:hideMark/>
          </w:tcPr>
          <w:p w14:paraId="674F8EA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Evergreen Formation</w:t>
            </w:r>
          </w:p>
        </w:tc>
        <w:tc>
          <w:tcPr>
            <w:tcW w:w="886" w:type="pct"/>
            <w:tcBorders>
              <w:left w:val="nil"/>
              <w:right w:val="nil"/>
            </w:tcBorders>
          </w:tcPr>
          <w:p w14:paraId="721F6ED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tcPr>
          <w:p w14:paraId="3AEBD1F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vAlign w:val="bottom"/>
          </w:tcPr>
          <w:p w14:paraId="03E3FDC8"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21</w:t>
            </w:r>
          </w:p>
        </w:tc>
      </w:tr>
      <w:tr w:rsidR="0032201E" w:rsidRPr="0032201E" w14:paraId="1FBEE9EE" w14:textId="77777777" w:rsidTr="00DE115D">
        <w:trPr>
          <w:trHeight w:val="264"/>
        </w:trPr>
        <w:tc>
          <w:tcPr>
            <w:tcW w:w="2342" w:type="pct"/>
            <w:tcBorders>
              <w:top w:val="nil"/>
              <w:left w:val="nil"/>
              <w:bottom w:val="nil"/>
              <w:right w:val="nil"/>
            </w:tcBorders>
            <w:shd w:val="clear" w:color="auto" w:fill="F2F2F2" w:themeFill="background2" w:themeFillShade="F2"/>
            <w:noWrap/>
            <w:vAlign w:val="bottom"/>
            <w:hideMark/>
          </w:tcPr>
          <w:p w14:paraId="6F194B3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Precipice Sandstone</w:t>
            </w:r>
          </w:p>
        </w:tc>
        <w:tc>
          <w:tcPr>
            <w:tcW w:w="886" w:type="pct"/>
            <w:tcBorders>
              <w:left w:val="nil"/>
              <w:right w:val="nil"/>
            </w:tcBorders>
            <w:shd w:val="clear" w:color="auto" w:fill="F2F2F2" w:themeFill="background2" w:themeFillShade="F2"/>
          </w:tcPr>
          <w:p w14:paraId="3867BFC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right w:val="nil"/>
            </w:tcBorders>
            <w:shd w:val="clear" w:color="auto" w:fill="F2F2F2" w:themeFill="background2" w:themeFillShade="F2"/>
          </w:tcPr>
          <w:p w14:paraId="7F35B2C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right w:val="nil"/>
            </w:tcBorders>
            <w:shd w:val="clear" w:color="auto" w:fill="F2F2F2" w:themeFill="background2" w:themeFillShade="F2"/>
            <w:vAlign w:val="bottom"/>
          </w:tcPr>
          <w:p w14:paraId="4A184293"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22</w:t>
            </w:r>
          </w:p>
        </w:tc>
      </w:tr>
      <w:tr w:rsidR="0032201E" w:rsidRPr="0032201E" w14:paraId="08C418F6" w14:textId="77777777" w:rsidTr="0032201E">
        <w:trPr>
          <w:trHeight w:val="264"/>
        </w:trPr>
        <w:tc>
          <w:tcPr>
            <w:tcW w:w="2342" w:type="pct"/>
            <w:tcBorders>
              <w:top w:val="nil"/>
              <w:left w:val="nil"/>
              <w:bottom w:val="single" w:sz="4" w:space="0" w:color="auto"/>
              <w:right w:val="nil"/>
            </w:tcBorders>
            <w:shd w:val="clear" w:color="auto" w:fill="auto"/>
            <w:noWrap/>
            <w:vAlign w:val="bottom"/>
            <w:hideMark/>
          </w:tcPr>
          <w:p w14:paraId="7A2111D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Moolayember Formation</w:t>
            </w:r>
          </w:p>
        </w:tc>
        <w:tc>
          <w:tcPr>
            <w:tcW w:w="886" w:type="pct"/>
            <w:tcBorders>
              <w:left w:val="nil"/>
              <w:bottom w:val="single" w:sz="4" w:space="0" w:color="auto"/>
              <w:right w:val="nil"/>
            </w:tcBorders>
          </w:tcPr>
          <w:p w14:paraId="61B6891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886" w:type="pct"/>
            <w:tcBorders>
              <w:left w:val="nil"/>
              <w:bottom w:val="single" w:sz="4" w:space="0" w:color="auto"/>
              <w:right w:val="nil"/>
            </w:tcBorders>
          </w:tcPr>
          <w:p w14:paraId="32B75BA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886" w:type="pct"/>
            <w:tcBorders>
              <w:left w:val="nil"/>
              <w:bottom w:val="single" w:sz="4" w:space="0" w:color="auto"/>
              <w:right w:val="nil"/>
            </w:tcBorders>
            <w:vAlign w:val="bottom"/>
          </w:tcPr>
          <w:p w14:paraId="3F430282"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23</w:t>
            </w:r>
          </w:p>
        </w:tc>
      </w:tr>
    </w:tbl>
    <w:p w14:paraId="65FE3FC6"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sz w:val="18"/>
          <w:szCs w:val="18"/>
          <w:lang w:val="en-GB"/>
        </w:rPr>
      </w:pPr>
    </w:p>
    <w:p w14:paraId="65E187C9" w14:textId="77777777" w:rsidR="0032201E" w:rsidRPr="0032201E" w:rsidRDefault="0032201E" w:rsidP="00475872">
      <w:pPr>
        <w:pStyle w:val="Body"/>
      </w:pPr>
      <w:r w:rsidRPr="0032201E">
        <w:t xml:space="preserve">CSG production was </w:t>
      </w:r>
      <w:r w:rsidR="008D5C4E">
        <w:t>represented</w:t>
      </w:r>
      <w:r w:rsidRPr="0032201E">
        <w:t xml:space="preserve"> using a time-varying specified hydraulic head (</w:t>
      </w:r>
      <w:r w:rsidR="00C85DC3">
        <w:t xml:space="preserve">i.e., </w:t>
      </w:r>
      <w:r w:rsidRPr="0032201E">
        <w:t xml:space="preserve">Dirichlet) boundary condition. Transient hydraulic head values were calculated </w:t>
      </w:r>
      <w:r w:rsidRPr="0034131F">
        <w:rPr>
          <w:i/>
        </w:rPr>
        <w:t>a priori</w:t>
      </w:r>
      <w:r w:rsidRPr="0032201E">
        <w:t xml:space="preserve"> using the Theis (1935) analytical solution for radial 1-D drawdown in an isotropic homogeneous infinite aquifer. Calculated solutions were consistent with a final target pressure head of 35 metres above the top of coal seams (at which it is assumed that gas flow </w:t>
      </w:r>
      <w:r w:rsidR="000C1299">
        <w:t>commences</w:t>
      </w:r>
      <w:r w:rsidRPr="0032201E">
        <w:t>). Transient hydraulic head values were applied in the Macalister coal seam, lower Juandah coal seam and Taroom Coal Measures (</w:t>
      </w:r>
      <w:r w:rsidR="00C85DC3">
        <w:t xml:space="preserve">i.e., </w:t>
      </w:r>
      <w:r w:rsidRPr="0032201E">
        <w:t>model layers 8, 12 and 16).</w:t>
      </w:r>
    </w:p>
    <w:p w14:paraId="182329B3" w14:textId="77777777" w:rsidR="0032201E" w:rsidRPr="0032201E" w:rsidRDefault="0032201E" w:rsidP="005072A9">
      <w:pPr>
        <w:pStyle w:val="Heading3"/>
      </w:pPr>
      <w:bookmarkStart w:id="254" w:name="_Ref421799271"/>
      <w:bookmarkStart w:id="255" w:name="_Toc449696827"/>
      <w:r w:rsidRPr="0032201E">
        <w:t>Queensland Gas Company</w:t>
      </w:r>
      <w:bookmarkEnd w:id="254"/>
      <w:bookmarkEnd w:id="255"/>
    </w:p>
    <w:p w14:paraId="2613E351" w14:textId="0B24AB28" w:rsidR="003842BB" w:rsidRPr="0032201E" w:rsidRDefault="0032201E" w:rsidP="003842BB">
      <w:pPr>
        <w:pStyle w:val="Body"/>
      </w:pPr>
      <w:r w:rsidRPr="0032201E">
        <w:t xml:space="preserve">As part of EIS requirements for the Queensland Curtis Liquefied Natural Gas Project, the Queensland Gas Company commissioned Golder Associates to develop three numerical groundwater flow models to provide estimates of CSG extraction impacts </w:t>
      </w:r>
      <w:r w:rsidR="00084CDD" w:rsidRPr="0032201E">
        <w:fldChar w:fldCharType="begin"/>
      </w:r>
      <w:r w:rsidRPr="0032201E">
        <w:instrText xml:space="preserve"> ADDIN EN.CITE &lt;EndNote&gt;&lt;Cite&gt;&lt;Author&gt;QGC&lt;/Author&gt;&lt;Year&gt;2013&lt;/Year&gt;&lt;IDText&gt;Approval Conditions 49 to 64 Stage 3 CSG Water Monitoring and Management Plan&lt;/IDText&gt;&lt;DisplayText&gt;(QGC, 2013)&lt;/DisplayText&gt;&lt;record&gt;&lt;contributors&gt;&lt;tertiary-authors&gt;&lt;author&gt;QGC&lt;/author&gt;&lt;/tertiary-authors&gt;&lt;/contributors&gt;&lt;urls&gt;&lt;related-urls&gt;&lt;url&gt;http://www.qgc.com.au/ebooks/201409_QGC_Stage_3_WMMP/index.html#/1/&lt;/url&gt;&lt;/related-urls&gt;&lt;/urls&gt;&lt;titles&gt;&lt;title&gt;Approval Conditions 49 to 64 Stage 3 CSG Water Monitoring and Management Plan&lt;/title&gt;&lt;/titles&gt;&lt;pages&gt;334&lt;/pages&gt;&lt;contributors&gt;&lt;authors&gt;&lt;author&gt;QGC&lt;/author&gt;&lt;/authors&gt;&lt;/contributors&gt;&lt;added-date format="utc"&gt;1433393726&lt;/added-date&gt;&lt;pub-location&gt;Brisbane, Queensland&lt;/pub-location&gt;&lt;ref-type name="Report"&gt;27&lt;/ref-type&gt;&lt;dates&gt;&lt;year&gt;2013&lt;/year&gt;&lt;/dates&gt;&lt;rec-number&gt;77&lt;/rec-number&gt;&lt;last-updated-date format="utc"&gt;1433395780&lt;/last-updated-date&gt;&lt;/record&gt;&lt;/Cite&gt;&lt;/EndNote&gt;</w:instrText>
      </w:r>
      <w:r w:rsidR="00084CDD" w:rsidRPr="0032201E">
        <w:fldChar w:fldCharType="separate"/>
      </w:r>
      <w:r w:rsidRPr="0032201E">
        <w:rPr>
          <w:noProof/>
        </w:rPr>
        <w:t>(QGC, 2013)</w:t>
      </w:r>
      <w:r w:rsidR="00084CDD" w:rsidRPr="0032201E">
        <w:fldChar w:fldCharType="end"/>
      </w:r>
      <w:r w:rsidRPr="0032201E">
        <w:t>. The first two models (</w:t>
      </w:r>
      <w:r w:rsidR="00C85DC3">
        <w:t xml:space="preserve">i.e., </w:t>
      </w:r>
      <w:r w:rsidRPr="0032201E">
        <w:t xml:space="preserve">GEN1 and GEN2) were developed in 2009 and 2011 respectively using the MODFLOW </w:t>
      </w:r>
      <w:r w:rsidR="007765FD">
        <w:t>single phase</w:t>
      </w:r>
      <w:r w:rsidRPr="0032201E">
        <w:t xml:space="preserve"> flow simulation code. The most recent</w:t>
      </w:r>
      <w:r w:rsidR="007765FD">
        <w:t xml:space="preserve"> model</w:t>
      </w:r>
      <w:r w:rsidRPr="0032201E">
        <w:t xml:space="preserve"> (GEN3) was developed in 2013</w:t>
      </w:r>
      <w:r w:rsidR="007765FD">
        <w:t xml:space="preserve"> using the multi-phase flow </w:t>
      </w:r>
      <w:r w:rsidR="007765FD" w:rsidRPr="0032201E">
        <w:t xml:space="preserve">simulation </w:t>
      </w:r>
      <w:r w:rsidR="007765FD">
        <w:t>code ECLIPSE</w:t>
      </w:r>
      <w:r w:rsidRPr="0032201E">
        <w:t xml:space="preserve"> and incorporated improvements derived from prior modelling as well as from the Queensland Water Commission Surat Cumulative Management Area model.</w:t>
      </w:r>
      <w:r w:rsidR="003842BB">
        <w:t xml:space="preserve"> This work was complemented by a study undertaken by the CSIRO and Queensland Gas Company to look at the issue of predictive simulation errors arising from the combination of upscaling of hydraulic properties, and represe</w:t>
      </w:r>
      <w:r w:rsidR="00A07A7C">
        <w:t xml:space="preserve">ntation of dual phase processes  - occurring under conditions of CSG </w:t>
      </w:r>
      <w:r w:rsidR="003842BB">
        <w:t xml:space="preserve">extraction </w:t>
      </w:r>
      <w:r w:rsidR="00A07A7C">
        <w:t xml:space="preserve">- </w:t>
      </w:r>
      <w:r w:rsidR="003842BB">
        <w:t>with a single phase model (Moore et al., 2013).</w:t>
      </w:r>
    </w:p>
    <w:p w14:paraId="5936E364" w14:textId="684DFA0D" w:rsidR="0032201E" w:rsidRPr="0032201E" w:rsidRDefault="0032201E" w:rsidP="00475872">
      <w:pPr>
        <w:pStyle w:val="Body"/>
      </w:pPr>
      <w:r w:rsidRPr="0032201E">
        <w:t xml:space="preserve">Based on a PETREL geological model, </w:t>
      </w:r>
      <w:r w:rsidR="007765FD">
        <w:t>the GEN3</w:t>
      </w:r>
      <w:r w:rsidRPr="0032201E">
        <w:t xml:space="preserve"> model </w:t>
      </w:r>
      <w:r w:rsidR="007765FD">
        <w:t>covered</w:t>
      </w:r>
      <w:r w:rsidRPr="0032201E">
        <w:t xml:space="preserve"> a total area of 172 740 km</w:t>
      </w:r>
      <w:r w:rsidRPr="0032201E">
        <w:rPr>
          <w:vertAlign w:val="superscript"/>
        </w:rPr>
        <w:t>2</w:t>
      </w:r>
      <w:r w:rsidRPr="0032201E">
        <w:t>. This was discretised using 1500 m</w:t>
      </w:r>
      <w:r w:rsidR="00056615">
        <w:t xml:space="preserve"> × </w:t>
      </w:r>
      <w:r w:rsidRPr="0032201E">
        <w:t xml:space="preserve">1500 m cells into 243 rows and 245 columns. The model featured 21 layers and a mixture of Neumann and Cauchy boundary conditions. The discretisation of model layers is </w:t>
      </w:r>
      <w:r w:rsidRPr="005A2033">
        <w:rPr>
          <w:rStyle w:val="BodyChar"/>
        </w:rPr>
        <w:t xml:space="preserve">shown in </w:t>
      </w:r>
      <w:r w:rsidR="00102009">
        <w:fldChar w:fldCharType="begin"/>
      </w:r>
      <w:r w:rsidR="00102009">
        <w:instrText xml:space="preserve"> REF _Ref422743346 \h  \* MERGEFORMAT </w:instrText>
      </w:r>
      <w:r w:rsidR="00102009">
        <w:fldChar w:fldCharType="separate"/>
      </w:r>
      <w:r w:rsidR="00C52E30" w:rsidRPr="00C52E30">
        <w:rPr>
          <w:rStyle w:val="BodyChar"/>
        </w:rPr>
        <w:t>Table 14</w:t>
      </w:r>
      <w:r w:rsidR="00102009">
        <w:fldChar w:fldCharType="end"/>
      </w:r>
      <w:r w:rsidRPr="005A2033">
        <w:rPr>
          <w:rStyle w:val="BodyChar"/>
        </w:rPr>
        <w:t xml:space="preserve">. </w:t>
      </w:r>
      <w:r w:rsidR="00972AA6">
        <w:rPr>
          <w:rStyle w:val="BodyChar"/>
        </w:rPr>
        <w:t>T</w:t>
      </w:r>
      <w:r w:rsidRPr="0032201E">
        <w:t xml:space="preserve">he Westbourne Formation represents the key aquitard that will affect the upward vertical propagation of hydraulic stresses induced in the underlying coal seams by CSG production to the Gubberamunda Sandstone and other overlying aquifers. Conversely, the Eurombah Formation represents the key aquitard that will affect the downward vertical propagation of hydraulic impacts to the Hutton Sandstone aquifer. </w:t>
      </w:r>
    </w:p>
    <w:p w14:paraId="29BE654C"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C00000"/>
          <w:sz w:val="18"/>
          <w:szCs w:val="18"/>
          <w:lang w:val="en-GB"/>
        </w:rPr>
      </w:pPr>
    </w:p>
    <w:p w14:paraId="0840D2A7" w14:textId="77777777" w:rsidR="0032201E" w:rsidRPr="0032201E" w:rsidRDefault="00E47452" w:rsidP="00E47452">
      <w:pPr>
        <w:pStyle w:val="Imagecaption"/>
        <w:keepNext/>
        <w:pBdr>
          <w:top w:val="none" w:sz="0" w:space="0" w:color="auto"/>
        </w:pBdr>
      </w:pPr>
      <w:bookmarkStart w:id="256" w:name="_Ref422743346"/>
      <w:bookmarkStart w:id="257" w:name="_Toc449696234"/>
      <w:r>
        <w:t xml:space="preserve">Table </w:t>
      </w:r>
      <w:r w:rsidR="00084CDD">
        <w:fldChar w:fldCharType="begin"/>
      </w:r>
      <w:r w:rsidR="00144B4F">
        <w:instrText xml:space="preserve"> SEQ Table \* ARABIC </w:instrText>
      </w:r>
      <w:r w:rsidR="00084CDD">
        <w:fldChar w:fldCharType="separate"/>
      </w:r>
      <w:r w:rsidR="00C52E30">
        <w:rPr>
          <w:noProof/>
        </w:rPr>
        <w:t>14</w:t>
      </w:r>
      <w:r w:rsidR="00084CDD">
        <w:rPr>
          <w:noProof/>
        </w:rPr>
        <w:fldChar w:fldCharType="end"/>
      </w:r>
      <w:bookmarkEnd w:id="256"/>
      <w:r>
        <w:t xml:space="preserve">. </w:t>
      </w:r>
      <w:r w:rsidR="005A2033">
        <w:t>Summary of geological units, hydrostratigraphic units and groundwater flow model layers represented in QGC Surat Basin GEN3 groundwater flow model.</w:t>
      </w:r>
      <w:bookmarkEnd w:id="257"/>
    </w:p>
    <w:tbl>
      <w:tblPr>
        <w:tblW w:w="5000" w:type="pct"/>
        <w:tblLayout w:type="fixed"/>
        <w:tblLook w:val="04A0" w:firstRow="1" w:lastRow="0" w:firstColumn="1" w:lastColumn="0" w:noHBand="0" w:noVBand="1"/>
      </w:tblPr>
      <w:tblGrid>
        <w:gridCol w:w="3828"/>
        <w:gridCol w:w="1297"/>
        <w:gridCol w:w="1299"/>
        <w:gridCol w:w="20"/>
        <w:gridCol w:w="1279"/>
        <w:gridCol w:w="9"/>
        <w:gridCol w:w="1288"/>
      </w:tblGrid>
      <w:tr w:rsidR="0032201E" w:rsidRPr="0032201E" w14:paraId="098C332F" w14:textId="77777777" w:rsidTr="0032201E">
        <w:trPr>
          <w:trHeight w:val="257"/>
        </w:trPr>
        <w:tc>
          <w:tcPr>
            <w:tcW w:w="2122" w:type="pct"/>
            <w:vMerge w:val="restart"/>
            <w:tcBorders>
              <w:top w:val="single" w:sz="4" w:space="0" w:color="auto"/>
              <w:left w:val="nil"/>
              <w:right w:val="nil"/>
            </w:tcBorders>
            <w:shd w:val="clear" w:color="auto" w:fill="auto"/>
            <w:noWrap/>
            <w:vAlign w:val="center"/>
            <w:hideMark/>
          </w:tcPr>
          <w:p w14:paraId="39DE136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1450" w:type="pct"/>
            <w:gridSpan w:val="3"/>
            <w:tcBorders>
              <w:top w:val="single" w:sz="4" w:space="0" w:color="auto"/>
              <w:left w:val="nil"/>
              <w:right w:val="nil"/>
            </w:tcBorders>
            <w:vAlign w:val="center"/>
          </w:tcPr>
          <w:p w14:paraId="179C36B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Hydrostratigraphic unit</w:t>
            </w:r>
          </w:p>
        </w:tc>
        <w:tc>
          <w:tcPr>
            <w:tcW w:w="714" w:type="pct"/>
            <w:gridSpan w:val="2"/>
            <w:vMerge w:val="restart"/>
            <w:tcBorders>
              <w:top w:val="single" w:sz="4" w:space="0" w:color="auto"/>
              <w:left w:val="nil"/>
              <w:right w:val="nil"/>
            </w:tcBorders>
            <w:vAlign w:val="center"/>
          </w:tcPr>
          <w:p w14:paraId="5EEC809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Single porosity model layer</w:t>
            </w:r>
          </w:p>
        </w:tc>
        <w:tc>
          <w:tcPr>
            <w:tcW w:w="714" w:type="pct"/>
            <w:vMerge w:val="restart"/>
            <w:tcBorders>
              <w:top w:val="single" w:sz="4" w:space="0" w:color="auto"/>
              <w:left w:val="nil"/>
              <w:right w:val="nil"/>
            </w:tcBorders>
            <w:vAlign w:val="center"/>
          </w:tcPr>
          <w:p w14:paraId="320F21B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Dual porosity model layer</w:t>
            </w:r>
          </w:p>
        </w:tc>
      </w:tr>
      <w:tr w:rsidR="0032201E" w:rsidRPr="0032201E" w14:paraId="7C87EA35" w14:textId="77777777" w:rsidTr="0032201E">
        <w:trPr>
          <w:trHeight w:val="256"/>
        </w:trPr>
        <w:tc>
          <w:tcPr>
            <w:tcW w:w="2122" w:type="pct"/>
            <w:vMerge/>
            <w:tcBorders>
              <w:left w:val="nil"/>
              <w:bottom w:val="single" w:sz="4" w:space="0" w:color="auto"/>
              <w:right w:val="nil"/>
            </w:tcBorders>
            <w:shd w:val="clear" w:color="auto" w:fill="auto"/>
            <w:noWrap/>
            <w:vAlign w:val="bottom"/>
            <w:hideMark/>
          </w:tcPr>
          <w:p w14:paraId="6294482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9" w:type="pct"/>
            <w:tcBorders>
              <w:left w:val="nil"/>
              <w:bottom w:val="single" w:sz="4" w:space="0" w:color="auto"/>
              <w:right w:val="nil"/>
            </w:tcBorders>
            <w:vAlign w:val="center"/>
          </w:tcPr>
          <w:p w14:paraId="6DA19F5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731" w:type="pct"/>
            <w:gridSpan w:val="2"/>
            <w:tcBorders>
              <w:left w:val="nil"/>
              <w:bottom w:val="single" w:sz="4" w:space="0" w:color="auto"/>
              <w:right w:val="nil"/>
            </w:tcBorders>
            <w:vAlign w:val="center"/>
          </w:tcPr>
          <w:p w14:paraId="6C6BBBC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aquitard</w:t>
            </w:r>
          </w:p>
        </w:tc>
        <w:tc>
          <w:tcPr>
            <w:tcW w:w="714" w:type="pct"/>
            <w:gridSpan w:val="2"/>
            <w:vMerge/>
            <w:tcBorders>
              <w:left w:val="nil"/>
              <w:bottom w:val="single" w:sz="4" w:space="0" w:color="auto"/>
              <w:right w:val="nil"/>
            </w:tcBorders>
            <w:vAlign w:val="bottom"/>
          </w:tcPr>
          <w:p w14:paraId="7C0EB67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4" w:type="pct"/>
            <w:vMerge/>
            <w:tcBorders>
              <w:left w:val="nil"/>
              <w:bottom w:val="single" w:sz="4" w:space="0" w:color="auto"/>
              <w:right w:val="nil"/>
            </w:tcBorders>
            <w:vAlign w:val="bottom"/>
          </w:tcPr>
          <w:p w14:paraId="5B7A43C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r>
      <w:tr w:rsidR="0032201E" w:rsidRPr="0032201E" w14:paraId="0B7481A7"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0530F23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Cretaceous sediments</w:t>
            </w:r>
          </w:p>
        </w:tc>
        <w:tc>
          <w:tcPr>
            <w:tcW w:w="719" w:type="pct"/>
            <w:tcBorders>
              <w:left w:val="nil"/>
              <w:right w:val="nil"/>
            </w:tcBorders>
            <w:shd w:val="clear" w:color="auto" w:fill="F2F2F2" w:themeFill="background2" w:themeFillShade="F2"/>
          </w:tcPr>
          <w:p w14:paraId="41C7C38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27A4CC5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783FE537"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c>
          <w:tcPr>
            <w:tcW w:w="719" w:type="pct"/>
            <w:gridSpan w:val="2"/>
            <w:tcBorders>
              <w:left w:val="nil"/>
              <w:right w:val="nil"/>
            </w:tcBorders>
            <w:shd w:val="clear" w:color="auto" w:fill="F2F2F2" w:themeFill="background2" w:themeFillShade="F2"/>
            <w:vAlign w:val="bottom"/>
          </w:tcPr>
          <w:p w14:paraId="4649775A"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22</w:t>
            </w:r>
          </w:p>
        </w:tc>
      </w:tr>
      <w:tr w:rsidR="0032201E" w:rsidRPr="0032201E" w14:paraId="5B726DE1"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0F9EA1D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9" w:type="pct"/>
            <w:tcBorders>
              <w:left w:val="nil"/>
              <w:right w:val="nil"/>
            </w:tcBorders>
            <w:shd w:val="clear" w:color="auto" w:fill="F2F2F2" w:themeFill="background2" w:themeFillShade="F2"/>
          </w:tcPr>
          <w:p w14:paraId="53B4459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45DFB04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317AE452"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w:t>
            </w:r>
          </w:p>
        </w:tc>
        <w:tc>
          <w:tcPr>
            <w:tcW w:w="719" w:type="pct"/>
            <w:gridSpan w:val="2"/>
            <w:tcBorders>
              <w:left w:val="nil"/>
              <w:right w:val="nil"/>
            </w:tcBorders>
            <w:shd w:val="clear" w:color="auto" w:fill="F2F2F2" w:themeFill="background2" w:themeFillShade="F2"/>
            <w:vAlign w:val="bottom"/>
          </w:tcPr>
          <w:p w14:paraId="5295E4A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23</w:t>
            </w:r>
          </w:p>
        </w:tc>
      </w:tr>
      <w:tr w:rsidR="0032201E" w:rsidRPr="0032201E" w14:paraId="2F371ADA"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4FEE30F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9" w:type="pct"/>
            <w:tcBorders>
              <w:left w:val="nil"/>
              <w:right w:val="nil"/>
            </w:tcBorders>
            <w:shd w:val="clear" w:color="auto" w:fill="F2F2F2" w:themeFill="background2" w:themeFillShade="F2"/>
          </w:tcPr>
          <w:p w14:paraId="7FD8967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331067C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176A51E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w:t>
            </w:r>
          </w:p>
        </w:tc>
        <w:tc>
          <w:tcPr>
            <w:tcW w:w="719" w:type="pct"/>
            <w:gridSpan w:val="2"/>
            <w:tcBorders>
              <w:left w:val="nil"/>
              <w:right w:val="nil"/>
            </w:tcBorders>
            <w:shd w:val="clear" w:color="auto" w:fill="F2F2F2" w:themeFill="background2" w:themeFillShade="F2"/>
            <w:vAlign w:val="bottom"/>
          </w:tcPr>
          <w:p w14:paraId="64D3DFA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24</w:t>
            </w:r>
          </w:p>
        </w:tc>
      </w:tr>
      <w:tr w:rsidR="0032201E" w:rsidRPr="0032201E" w14:paraId="73E61281"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700DDE3B"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Gubberamunda Sandstone</w:t>
            </w:r>
          </w:p>
        </w:tc>
        <w:tc>
          <w:tcPr>
            <w:tcW w:w="719" w:type="pct"/>
            <w:tcBorders>
              <w:left w:val="nil"/>
              <w:right w:val="nil"/>
            </w:tcBorders>
            <w:shd w:val="clear" w:color="auto" w:fill="F2F2F2" w:themeFill="background2" w:themeFillShade="F2"/>
          </w:tcPr>
          <w:p w14:paraId="5F1370B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07D93E3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34344388"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4</w:t>
            </w:r>
          </w:p>
        </w:tc>
        <w:tc>
          <w:tcPr>
            <w:tcW w:w="719" w:type="pct"/>
            <w:gridSpan w:val="2"/>
            <w:tcBorders>
              <w:left w:val="nil"/>
              <w:right w:val="nil"/>
            </w:tcBorders>
            <w:shd w:val="clear" w:color="auto" w:fill="F2F2F2" w:themeFill="background2" w:themeFillShade="F2"/>
            <w:vAlign w:val="bottom"/>
          </w:tcPr>
          <w:p w14:paraId="540F8EC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25</w:t>
            </w:r>
          </w:p>
        </w:tc>
      </w:tr>
      <w:tr w:rsidR="0032201E" w:rsidRPr="0032201E" w14:paraId="4DA8627B" w14:textId="77777777" w:rsidTr="0032201E">
        <w:trPr>
          <w:trHeight w:val="264"/>
        </w:trPr>
        <w:tc>
          <w:tcPr>
            <w:tcW w:w="2122" w:type="pct"/>
            <w:tcBorders>
              <w:top w:val="nil"/>
              <w:left w:val="nil"/>
              <w:bottom w:val="nil"/>
              <w:right w:val="nil"/>
            </w:tcBorders>
            <w:shd w:val="clear" w:color="auto" w:fill="auto"/>
            <w:noWrap/>
            <w:vAlign w:val="bottom"/>
            <w:hideMark/>
          </w:tcPr>
          <w:p w14:paraId="5C60DC5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Westbourne Formation</w:t>
            </w:r>
          </w:p>
        </w:tc>
        <w:tc>
          <w:tcPr>
            <w:tcW w:w="719" w:type="pct"/>
            <w:tcBorders>
              <w:left w:val="nil"/>
              <w:right w:val="nil"/>
            </w:tcBorders>
          </w:tcPr>
          <w:p w14:paraId="0AF2E59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tcBorders>
              <w:left w:val="nil"/>
              <w:right w:val="nil"/>
            </w:tcBorders>
          </w:tcPr>
          <w:p w14:paraId="235E3A0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gridSpan w:val="2"/>
            <w:tcBorders>
              <w:left w:val="nil"/>
              <w:right w:val="nil"/>
            </w:tcBorders>
            <w:vAlign w:val="bottom"/>
          </w:tcPr>
          <w:p w14:paraId="70E5018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5</w:t>
            </w:r>
          </w:p>
        </w:tc>
        <w:tc>
          <w:tcPr>
            <w:tcW w:w="719" w:type="pct"/>
            <w:gridSpan w:val="2"/>
            <w:tcBorders>
              <w:left w:val="nil"/>
              <w:right w:val="nil"/>
            </w:tcBorders>
            <w:vAlign w:val="bottom"/>
          </w:tcPr>
          <w:p w14:paraId="1C78498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26</w:t>
            </w:r>
          </w:p>
        </w:tc>
      </w:tr>
      <w:tr w:rsidR="0032201E" w:rsidRPr="0032201E" w14:paraId="75ACF99A"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4FD6DE4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Springbok Sandstone</w:t>
            </w:r>
          </w:p>
        </w:tc>
        <w:tc>
          <w:tcPr>
            <w:tcW w:w="719" w:type="pct"/>
            <w:tcBorders>
              <w:left w:val="nil"/>
              <w:right w:val="nil"/>
            </w:tcBorders>
            <w:shd w:val="clear" w:color="auto" w:fill="F2F2F2" w:themeFill="background2" w:themeFillShade="F2"/>
          </w:tcPr>
          <w:p w14:paraId="011927B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3D15C25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06CC7CAA"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6</w:t>
            </w:r>
          </w:p>
        </w:tc>
        <w:tc>
          <w:tcPr>
            <w:tcW w:w="719" w:type="pct"/>
            <w:gridSpan w:val="2"/>
            <w:tcBorders>
              <w:left w:val="nil"/>
              <w:right w:val="nil"/>
            </w:tcBorders>
            <w:shd w:val="clear" w:color="auto" w:fill="F2F2F2" w:themeFill="background2" w:themeFillShade="F2"/>
            <w:vAlign w:val="bottom"/>
          </w:tcPr>
          <w:p w14:paraId="6DD73F86"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27</w:t>
            </w:r>
          </w:p>
        </w:tc>
      </w:tr>
      <w:tr w:rsidR="0032201E" w:rsidRPr="0032201E" w14:paraId="39D37E0D"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07F087F4"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9" w:type="pct"/>
            <w:tcBorders>
              <w:left w:val="nil"/>
              <w:right w:val="nil"/>
            </w:tcBorders>
            <w:shd w:val="clear" w:color="auto" w:fill="F2F2F2" w:themeFill="background2" w:themeFillShade="F2"/>
          </w:tcPr>
          <w:p w14:paraId="319C4A9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53E78B5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74D8FFF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7</w:t>
            </w:r>
          </w:p>
        </w:tc>
        <w:tc>
          <w:tcPr>
            <w:tcW w:w="719" w:type="pct"/>
            <w:gridSpan w:val="2"/>
            <w:tcBorders>
              <w:left w:val="nil"/>
              <w:right w:val="nil"/>
            </w:tcBorders>
            <w:shd w:val="clear" w:color="auto" w:fill="F2F2F2" w:themeFill="background2" w:themeFillShade="F2"/>
            <w:vAlign w:val="bottom"/>
          </w:tcPr>
          <w:p w14:paraId="43E16B0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28</w:t>
            </w:r>
          </w:p>
        </w:tc>
      </w:tr>
      <w:tr w:rsidR="0032201E" w:rsidRPr="0032201E" w14:paraId="6FDD29DE"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01978D6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9" w:type="pct"/>
            <w:tcBorders>
              <w:left w:val="nil"/>
              <w:right w:val="nil"/>
            </w:tcBorders>
            <w:shd w:val="clear" w:color="auto" w:fill="F2F2F2" w:themeFill="background2" w:themeFillShade="F2"/>
          </w:tcPr>
          <w:p w14:paraId="2E1818E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6D80657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71C205E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8</w:t>
            </w:r>
          </w:p>
        </w:tc>
        <w:tc>
          <w:tcPr>
            <w:tcW w:w="719" w:type="pct"/>
            <w:gridSpan w:val="2"/>
            <w:tcBorders>
              <w:left w:val="nil"/>
              <w:right w:val="nil"/>
            </w:tcBorders>
            <w:shd w:val="clear" w:color="auto" w:fill="F2F2F2" w:themeFill="background2" w:themeFillShade="F2"/>
            <w:vAlign w:val="bottom"/>
          </w:tcPr>
          <w:p w14:paraId="3B6A161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29</w:t>
            </w:r>
          </w:p>
        </w:tc>
      </w:tr>
      <w:tr w:rsidR="0032201E" w:rsidRPr="0032201E" w14:paraId="16244385"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129C237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9" w:type="pct"/>
            <w:tcBorders>
              <w:left w:val="nil"/>
              <w:right w:val="nil"/>
            </w:tcBorders>
            <w:shd w:val="clear" w:color="auto" w:fill="F2F2F2" w:themeFill="background2" w:themeFillShade="F2"/>
          </w:tcPr>
          <w:p w14:paraId="0B0A0D0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1BA1F21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2ED08F68"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9</w:t>
            </w:r>
          </w:p>
        </w:tc>
        <w:tc>
          <w:tcPr>
            <w:tcW w:w="719" w:type="pct"/>
            <w:gridSpan w:val="2"/>
            <w:tcBorders>
              <w:left w:val="nil"/>
              <w:right w:val="nil"/>
            </w:tcBorders>
            <w:shd w:val="clear" w:color="auto" w:fill="F2F2F2" w:themeFill="background2" w:themeFillShade="F2"/>
            <w:vAlign w:val="bottom"/>
          </w:tcPr>
          <w:p w14:paraId="121A4DB8"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30</w:t>
            </w:r>
          </w:p>
        </w:tc>
      </w:tr>
      <w:tr w:rsidR="0032201E" w:rsidRPr="0032201E" w14:paraId="72F3E00D"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083EF73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Juandah Coal Measures (upper)</w:t>
            </w:r>
          </w:p>
        </w:tc>
        <w:tc>
          <w:tcPr>
            <w:tcW w:w="719" w:type="pct"/>
            <w:tcBorders>
              <w:left w:val="nil"/>
              <w:right w:val="nil"/>
            </w:tcBorders>
            <w:shd w:val="clear" w:color="auto" w:fill="F2F2F2" w:themeFill="background2" w:themeFillShade="F2"/>
          </w:tcPr>
          <w:p w14:paraId="729EF82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720" w:type="pct"/>
            <w:tcBorders>
              <w:left w:val="nil"/>
              <w:right w:val="nil"/>
            </w:tcBorders>
            <w:shd w:val="clear" w:color="auto" w:fill="F2F2F2" w:themeFill="background2" w:themeFillShade="F2"/>
          </w:tcPr>
          <w:p w14:paraId="57A2138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7FD51B4E"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10</w:t>
            </w:r>
          </w:p>
        </w:tc>
        <w:tc>
          <w:tcPr>
            <w:tcW w:w="719" w:type="pct"/>
            <w:gridSpan w:val="2"/>
            <w:tcBorders>
              <w:left w:val="nil"/>
              <w:right w:val="nil"/>
            </w:tcBorders>
            <w:shd w:val="clear" w:color="auto" w:fill="F2F2F2" w:themeFill="background2" w:themeFillShade="F2"/>
            <w:vAlign w:val="bottom"/>
          </w:tcPr>
          <w:p w14:paraId="2D856EAE"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31</w:t>
            </w:r>
          </w:p>
        </w:tc>
      </w:tr>
      <w:tr w:rsidR="0032201E" w:rsidRPr="0032201E" w14:paraId="31E36D13" w14:textId="77777777" w:rsidTr="0032201E">
        <w:trPr>
          <w:trHeight w:val="264"/>
        </w:trPr>
        <w:tc>
          <w:tcPr>
            <w:tcW w:w="2122" w:type="pct"/>
            <w:tcBorders>
              <w:top w:val="nil"/>
              <w:left w:val="nil"/>
              <w:bottom w:val="nil"/>
              <w:right w:val="nil"/>
            </w:tcBorders>
            <w:shd w:val="clear" w:color="auto" w:fill="auto"/>
            <w:noWrap/>
            <w:vAlign w:val="bottom"/>
            <w:hideMark/>
          </w:tcPr>
          <w:p w14:paraId="10E7409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719" w:type="pct"/>
            <w:tcBorders>
              <w:left w:val="nil"/>
              <w:right w:val="nil"/>
            </w:tcBorders>
          </w:tcPr>
          <w:p w14:paraId="12A4DF9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tcBorders>
              <w:left w:val="nil"/>
              <w:right w:val="nil"/>
            </w:tcBorders>
          </w:tcPr>
          <w:p w14:paraId="5A230A7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720" w:type="pct"/>
            <w:gridSpan w:val="2"/>
            <w:tcBorders>
              <w:left w:val="nil"/>
              <w:right w:val="nil"/>
            </w:tcBorders>
            <w:vAlign w:val="bottom"/>
          </w:tcPr>
          <w:p w14:paraId="0D561456"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11</w:t>
            </w:r>
          </w:p>
        </w:tc>
        <w:tc>
          <w:tcPr>
            <w:tcW w:w="719" w:type="pct"/>
            <w:gridSpan w:val="2"/>
            <w:tcBorders>
              <w:left w:val="nil"/>
              <w:right w:val="nil"/>
            </w:tcBorders>
            <w:vAlign w:val="bottom"/>
          </w:tcPr>
          <w:p w14:paraId="3A56E03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32</w:t>
            </w:r>
          </w:p>
        </w:tc>
      </w:tr>
      <w:tr w:rsidR="0032201E" w:rsidRPr="0032201E" w14:paraId="2F538617"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7CDC515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Juandah Coal Measures (lower)</w:t>
            </w:r>
          </w:p>
        </w:tc>
        <w:tc>
          <w:tcPr>
            <w:tcW w:w="719" w:type="pct"/>
            <w:tcBorders>
              <w:left w:val="nil"/>
              <w:right w:val="nil"/>
            </w:tcBorders>
            <w:shd w:val="clear" w:color="auto" w:fill="F2F2F2" w:themeFill="background2" w:themeFillShade="F2"/>
          </w:tcPr>
          <w:p w14:paraId="2B2A1FF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720" w:type="pct"/>
            <w:tcBorders>
              <w:left w:val="nil"/>
              <w:right w:val="nil"/>
            </w:tcBorders>
            <w:shd w:val="clear" w:color="auto" w:fill="F2F2F2" w:themeFill="background2" w:themeFillShade="F2"/>
          </w:tcPr>
          <w:p w14:paraId="0A1A50E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2E9F8564"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12</w:t>
            </w:r>
          </w:p>
        </w:tc>
        <w:tc>
          <w:tcPr>
            <w:tcW w:w="719" w:type="pct"/>
            <w:gridSpan w:val="2"/>
            <w:tcBorders>
              <w:left w:val="nil"/>
              <w:right w:val="nil"/>
            </w:tcBorders>
            <w:shd w:val="clear" w:color="auto" w:fill="F2F2F2" w:themeFill="background2" w:themeFillShade="F2"/>
            <w:vAlign w:val="bottom"/>
          </w:tcPr>
          <w:p w14:paraId="38CD1962"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33</w:t>
            </w:r>
          </w:p>
        </w:tc>
      </w:tr>
      <w:tr w:rsidR="0032201E" w:rsidRPr="0032201E" w14:paraId="57165F15" w14:textId="77777777" w:rsidTr="0032201E">
        <w:trPr>
          <w:trHeight w:val="264"/>
        </w:trPr>
        <w:tc>
          <w:tcPr>
            <w:tcW w:w="2122" w:type="pct"/>
            <w:tcBorders>
              <w:top w:val="nil"/>
              <w:left w:val="nil"/>
              <w:bottom w:val="nil"/>
              <w:right w:val="nil"/>
            </w:tcBorders>
            <w:shd w:val="clear" w:color="auto" w:fill="auto"/>
            <w:noWrap/>
            <w:vAlign w:val="bottom"/>
            <w:hideMark/>
          </w:tcPr>
          <w:p w14:paraId="324BF0C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719" w:type="pct"/>
            <w:tcBorders>
              <w:left w:val="nil"/>
              <w:right w:val="nil"/>
            </w:tcBorders>
          </w:tcPr>
          <w:p w14:paraId="265FF22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tcBorders>
              <w:left w:val="nil"/>
              <w:right w:val="nil"/>
            </w:tcBorders>
          </w:tcPr>
          <w:p w14:paraId="49D8C9E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720" w:type="pct"/>
            <w:gridSpan w:val="2"/>
            <w:tcBorders>
              <w:left w:val="nil"/>
              <w:right w:val="nil"/>
            </w:tcBorders>
            <w:vAlign w:val="bottom"/>
          </w:tcPr>
          <w:p w14:paraId="1CC6B508"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13</w:t>
            </w:r>
          </w:p>
        </w:tc>
        <w:tc>
          <w:tcPr>
            <w:tcW w:w="719" w:type="pct"/>
            <w:gridSpan w:val="2"/>
            <w:tcBorders>
              <w:left w:val="nil"/>
              <w:right w:val="nil"/>
            </w:tcBorders>
            <w:vAlign w:val="bottom"/>
          </w:tcPr>
          <w:p w14:paraId="0E1BAF07"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34</w:t>
            </w:r>
          </w:p>
        </w:tc>
      </w:tr>
      <w:tr w:rsidR="0032201E" w:rsidRPr="0032201E" w14:paraId="561B0C9A"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104A83A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Tangalooma Sandstone / Taroom Coal Measures </w:t>
            </w:r>
          </w:p>
        </w:tc>
        <w:tc>
          <w:tcPr>
            <w:tcW w:w="719" w:type="pct"/>
            <w:tcBorders>
              <w:left w:val="nil"/>
              <w:right w:val="nil"/>
            </w:tcBorders>
            <w:shd w:val="clear" w:color="auto" w:fill="F2F2F2" w:themeFill="background2" w:themeFillShade="F2"/>
          </w:tcPr>
          <w:p w14:paraId="15AA053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720" w:type="pct"/>
            <w:tcBorders>
              <w:left w:val="nil"/>
              <w:right w:val="nil"/>
            </w:tcBorders>
            <w:shd w:val="clear" w:color="auto" w:fill="F2F2F2" w:themeFill="background2" w:themeFillShade="F2"/>
          </w:tcPr>
          <w:p w14:paraId="3696335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3B3C8B3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14</w:t>
            </w:r>
          </w:p>
        </w:tc>
        <w:tc>
          <w:tcPr>
            <w:tcW w:w="719" w:type="pct"/>
            <w:gridSpan w:val="2"/>
            <w:tcBorders>
              <w:left w:val="nil"/>
              <w:right w:val="nil"/>
            </w:tcBorders>
            <w:shd w:val="clear" w:color="auto" w:fill="F2F2F2" w:themeFill="background2" w:themeFillShade="F2"/>
            <w:vAlign w:val="bottom"/>
          </w:tcPr>
          <w:p w14:paraId="1CB49093"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35</w:t>
            </w:r>
          </w:p>
        </w:tc>
      </w:tr>
      <w:tr w:rsidR="0032201E" w:rsidRPr="0032201E" w14:paraId="0F15EB84" w14:textId="77777777" w:rsidTr="0032201E">
        <w:trPr>
          <w:trHeight w:val="264"/>
        </w:trPr>
        <w:tc>
          <w:tcPr>
            <w:tcW w:w="2122" w:type="pct"/>
            <w:tcBorders>
              <w:top w:val="nil"/>
              <w:left w:val="nil"/>
              <w:bottom w:val="nil"/>
              <w:right w:val="nil"/>
            </w:tcBorders>
            <w:shd w:val="clear" w:color="auto" w:fill="auto"/>
            <w:noWrap/>
            <w:vAlign w:val="bottom"/>
            <w:hideMark/>
          </w:tcPr>
          <w:p w14:paraId="66BF486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Eurombah Formation </w:t>
            </w:r>
          </w:p>
        </w:tc>
        <w:tc>
          <w:tcPr>
            <w:tcW w:w="719" w:type="pct"/>
            <w:tcBorders>
              <w:left w:val="nil"/>
              <w:right w:val="nil"/>
            </w:tcBorders>
          </w:tcPr>
          <w:p w14:paraId="534AB80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tcBorders>
              <w:left w:val="nil"/>
              <w:right w:val="nil"/>
            </w:tcBorders>
          </w:tcPr>
          <w:p w14:paraId="74826EA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gridSpan w:val="2"/>
            <w:tcBorders>
              <w:left w:val="nil"/>
              <w:right w:val="nil"/>
            </w:tcBorders>
            <w:vAlign w:val="bottom"/>
          </w:tcPr>
          <w:p w14:paraId="4ADC10E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c>
          <w:tcPr>
            <w:tcW w:w="719" w:type="pct"/>
            <w:gridSpan w:val="2"/>
            <w:tcBorders>
              <w:left w:val="nil"/>
              <w:right w:val="nil"/>
            </w:tcBorders>
            <w:vAlign w:val="bottom"/>
          </w:tcPr>
          <w:p w14:paraId="7780464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36</w:t>
            </w:r>
          </w:p>
        </w:tc>
      </w:tr>
      <w:tr w:rsidR="0032201E" w:rsidRPr="0032201E" w14:paraId="1A17805A" w14:textId="77777777" w:rsidTr="0032201E">
        <w:trPr>
          <w:trHeight w:val="264"/>
        </w:trPr>
        <w:tc>
          <w:tcPr>
            <w:tcW w:w="2122" w:type="pct"/>
            <w:tcBorders>
              <w:top w:val="nil"/>
              <w:left w:val="nil"/>
              <w:bottom w:val="nil"/>
              <w:right w:val="nil"/>
            </w:tcBorders>
            <w:shd w:val="clear" w:color="auto" w:fill="auto"/>
            <w:noWrap/>
            <w:vAlign w:val="bottom"/>
            <w:hideMark/>
          </w:tcPr>
          <w:p w14:paraId="56F8DE0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719" w:type="pct"/>
            <w:tcBorders>
              <w:left w:val="nil"/>
              <w:right w:val="nil"/>
            </w:tcBorders>
          </w:tcPr>
          <w:p w14:paraId="246A796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tcBorders>
              <w:left w:val="nil"/>
              <w:right w:val="nil"/>
            </w:tcBorders>
          </w:tcPr>
          <w:p w14:paraId="23C11DF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gridSpan w:val="2"/>
            <w:tcBorders>
              <w:left w:val="nil"/>
              <w:right w:val="nil"/>
            </w:tcBorders>
            <w:vAlign w:val="bottom"/>
          </w:tcPr>
          <w:p w14:paraId="42A8797B"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16</w:t>
            </w:r>
          </w:p>
        </w:tc>
        <w:tc>
          <w:tcPr>
            <w:tcW w:w="719" w:type="pct"/>
            <w:gridSpan w:val="2"/>
            <w:tcBorders>
              <w:left w:val="nil"/>
              <w:right w:val="nil"/>
            </w:tcBorders>
            <w:vAlign w:val="bottom"/>
          </w:tcPr>
          <w:p w14:paraId="54494637"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37</w:t>
            </w:r>
          </w:p>
        </w:tc>
      </w:tr>
      <w:tr w:rsidR="0032201E" w:rsidRPr="0032201E" w14:paraId="1A0EAE39"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12A3C46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Hutton Sandstone</w:t>
            </w:r>
          </w:p>
        </w:tc>
        <w:tc>
          <w:tcPr>
            <w:tcW w:w="719" w:type="pct"/>
            <w:tcBorders>
              <w:left w:val="nil"/>
              <w:right w:val="nil"/>
            </w:tcBorders>
            <w:shd w:val="clear" w:color="auto" w:fill="F2F2F2" w:themeFill="background2" w:themeFillShade="F2"/>
          </w:tcPr>
          <w:p w14:paraId="2FB276B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6C8209E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53C2A33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17</w:t>
            </w:r>
          </w:p>
        </w:tc>
        <w:tc>
          <w:tcPr>
            <w:tcW w:w="719" w:type="pct"/>
            <w:gridSpan w:val="2"/>
            <w:tcBorders>
              <w:left w:val="nil"/>
              <w:right w:val="nil"/>
            </w:tcBorders>
            <w:shd w:val="clear" w:color="auto" w:fill="F2F2F2" w:themeFill="background2" w:themeFillShade="F2"/>
            <w:vAlign w:val="bottom"/>
          </w:tcPr>
          <w:p w14:paraId="6CFBFC6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38</w:t>
            </w:r>
          </w:p>
        </w:tc>
      </w:tr>
      <w:tr w:rsidR="0032201E" w:rsidRPr="0032201E" w14:paraId="3B66F108" w14:textId="77777777" w:rsidTr="0032201E">
        <w:trPr>
          <w:trHeight w:val="264"/>
        </w:trPr>
        <w:tc>
          <w:tcPr>
            <w:tcW w:w="2122" w:type="pct"/>
            <w:tcBorders>
              <w:top w:val="nil"/>
              <w:left w:val="nil"/>
              <w:right w:val="nil"/>
            </w:tcBorders>
            <w:shd w:val="clear" w:color="auto" w:fill="auto"/>
            <w:noWrap/>
            <w:vAlign w:val="bottom"/>
            <w:hideMark/>
          </w:tcPr>
          <w:p w14:paraId="403E7A2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Evergreen Formation</w:t>
            </w:r>
          </w:p>
        </w:tc>
        <w:tc>
          <w:tcPr>
            <w:tcW w:w="719" w:type="pct"/>
            <w:tcBorders>
              <w:left w:val="nil"/>
              <w:right w:val="nil"/>
            </w:tcBorders>
          </w:tcPr>
          <w:p w14:paraId="37E1F66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tcBorders>
              <w:left w:val="nil"/>
              <w:right w:val="nil"/>
            </w:tcBorders>
          </w:tcPr>
          <w:p w14:paraId="72B6900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gridSpan w:val="2"/>
            <w:tcBorders>
              <w:left w:val="nil"/>
              <w:right w:val="nil"/>
            </w:tcBorders>
            <w:vAlign w:val="bottom"/>
          </w:tcPr>
          <w:p w14:paraId="60C048B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18</w:t>
            </w:r>
          </w:p>
        </w:tc>
        <w:tc>
          <w:tcPr>
            <w:tcW w:w="719" w:type="pct"/>
            <w:gridSpan w:val="2"/>
            <w:tcBorders>
              <w:left w:val="nil"/>
              <w:right w:val="nil"/>
            </w:tcBorders>
            <w:vAlign w:val="bottom"/>
          </w:tcPr>
          <w:p w14:paraId="4BB35F97"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39</w:t>
            </w:r>
          </w:p>
        </w:tc>
      </w:tr>
      <w:tr w:rsidR="0032201E" w:rsidRPr="0032201E" w14:paraId="7A0FFE90" w14:textId="77777777" w:rsidTr="00DE115D">
        <w:trPr>
          <w:trHeight w:val="264"/>
        </w:trPr>
        <w:tc>
          <w:tcPr>
            <w:tcW w:w="2122" w:type="pct"/>
            <w:tcBorders>
              <w:top w:val="nil"/>
              <w:left w:val="nil"/>
              <w:bottom w:val="nil"/>
              <w:right w:val="nil"/>
            </w:tcBorders>
            <w:shd w:val="clear" w:color="auto" w:fill="F2F2F2" w:themeFill="background2" w:themeFillShade="F2"/>
            <w:noWrap/>
            <w:vAlign w:val="bottom"/>
            <w:hideMark/>
          </w:tcPr>
          <w:p w14:paraId="77399D3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Precipice Sandstone</w:t>
            </w:r>
          </w:p>
        </w:tc>
        <w:tc>
          <w:tcPr>
            <w:tcW w:w="719" w:type="pct"/>
            <w:tcBorders>
              <w:left w:val="nil"/>
              <w:right w:val="nil"/>
            </w:tcBorders>
            <w:shd w:val="clear" w:color="auto" w:fill="F2F2F2" w:themeFill="background2" w:themeFillShade="F2"/>
          </w:tcPr>
          <w:p w14:paraId="7850401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720" w:type="pct"/>
            <w:tcBorders>
              <w:left w:val="nil"/>
              <w:right w:val="nil"/>
            </w:tcBorders>
            <w:shd w:val="clear" w:color="auto" w:fill="F2F2F2" w:themeFill="background2" w:themeFillShade="F2"/>
          </w:tcPr>
          <w:p w14:paraId="39B84DC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720" w:type="pct"/>
            <w:gridSpan w:val="2"/>
            <w:tcBorders>
              <w:left w:val="nil"/>
              <w:right w:val="nil"/>
            </w:tcBorders>
            <w:shd w:val="clear" w:color="auto" w:fill="F2F2F2" w:themeFill="background2" w:themeFillShade="F2"/>
            <w:vAlign w:val="bottom"/>
          </w:tcPr>
          <w:p w14:paraId="6E8DDDBB"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19</w:t>
            </w:r>
          </w:p>
        </w:tc>
        <w:tc>
          <w:tcPr>
            <w:tcW w:w="719" w:type="pct"/>
            <w:gridSpan w:val="2"/>
            <w:tcBorders>
              <w:left w:val="nil"/>
              <w:right w:val="nil"/>
            </w:tcBorders>
            <w:shd w:val="clear" w:color="auto" w:fill="F2F2F2" w:themeFill="background2" w:themeFillShade="F2"/>
            <w:vAlign w:val="bottom"/>
          </w:tcPr>
          <w:p w14:paraId="53803F7A"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40</w:t>
            </w:r>
          </w:p>
        </w:tc>
      </w:tr>
      <w:tr w:rsidR="0032201E" w:rsidRPr="009A5536" w14:paraId="34017A65" w14:textId="77777777" w:rsidTr="0032201E">
        <w:trPr>
          <w:trHeight w:val="264"/>
        </w:trPr>
        <w:tc>
          <w:tcPr>
            <w:tcW w:w="2122" w:type="pct"/>
            <w:tcBorders>
              <w:top w:val="nil"/>
              <w:left w:val="nil"/>
              <w:bottom w:val="nil"/>
              <w:right w:val="nil"/>
            </w:tcBorders>
            <w:shd w:val="clear" w:color="auto" w:fill="auto"/>
            <w:noWrap/>
            <w:vAlign w:val="bottom"/>
            <w:hideMark/>
          </w:tcPr>
          <w:p w14:paraId="52A5D2F2" w14:textId="77777777" w:rsidR="0032201E" w:rsidRPr="009A5536"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9A5536">
              <w:rPr>
                <w:rFonts w:ascii="Calibri" w:hAnsi="Calibri" w:cs="Calibri"/>
                <w:sz w:val="18"/>
                <w:szCs w:val="18"/>
                <w:lang w:val="en-GB" w:eastAsia="en-AU"/>
              </w:rPr>
              <w:t>Bowen Basin</w:t>
            </w:r>
          </w:p>
        </w:tc>
        <w:tc>
          <w:tcPr>
            <w:tcW w:w="719" w:type="pct"/>
            <w:tcBorders>
              <w:left w:val="nil"/>
              <w:right w:val="nil"/>
            </w:tcBorders>
            <w:shd w:val="clear" w:color="auto" w:fill="auto"/>
          </w:tcPr>
          <w:p w14:paraId="3E9A78D6" w14:textId="77777777" w:rsidR="0032201E" w:rsidRPr="009A5536"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720" w:type="pct"/>
            <w:tcBorders>
              <w:left w:val="nil"/>
              <w:right w:val="nil"/>
            </w:tcBorders>
            <w:shd w:val="clear" w:color="auto" w:fill="auto"/>
          </w:tcPr>
          <w:p w14:paraId="471A8B4C" w14:textId="77777777" w:rsidR="0032201E" w:rsidRPr="009A5536"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720" w:type="pct"/>
            <w:gridSpan w:val="2"/>
            <w:tcBorders>
              <w:left w:val="nil"/>
              <w:right w:val="nil"/>
            </w:tcBorders>
            <w:shd w:val="clear" w:color="auto" w:fill="auto"/>
            <w:vAlign w:val="bottom"/>
          </w:tcPr>
          <w:p w14:paraId="605ECF7B" w14:textId="77777777" w:rsidR="0032201E" w:rsidRPr="009A5536"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9A5536">
              <w:rPr>
                <w:rFonts w:ascii="Calibri" w:hAnsi="Calibri" w:cs="Calibri"/>
                <w:sz w:val="18"/>
                <w:szCs w:val="18"/>
                <w:lang w:val="en-GB" w:eastAsia="en-AU"/>
              </w:rPr>
              <w:t>20</w:t>
            </w:r>
          </w:p>
        </w:tc>
        <w:tc>
          <w:tcPr>
            <w:tcW w:w="719" w:type="pct"/>
            <w:gridSpan w:val="2"/>
            <w:tcBorders>
              <w:left w:val="nil"/>
              <w:right w:val="nil"/>
            </w:tcBorders>
            <w:shd w:val="clear" w:color="auto" w:fill="auto"/>
            <w:vAlign w:val="bottom"/>
          </w:tcPr>
          <w:p w14:paraId="304A789A" w14:textId="77777777" w:rsidR="0032201E" w:rsidRPr="009A5536"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9A5536">
              <w:rPr>
                <w:rFonts w:ascii="Calibri" w:hAnsi="Calibri" w:cs="Calibri"/>
                <w:sz w:val="18"/>
                <w:szCs w:val="18"/>
                <w:lang w:val="en-GB" w:eastAsia="en-AU"/>
              </w:rPr>
              <w:t>41</w:t>
            </w:r>
          </w:p>
        </w:tc>
      </w:tr>
      <w:tr w:rsidR="0032201E" w:rsidRPr="0032201E" w14:paraId="15C75166" w14:textId="77777777" w:rsidTr="0032201E">
        <w:trPr>
          <w:trHeight w:val="264"/>
        </w:trPr>
        <w:tc>
          <w:tcPr>
            <w:tcW w:w="2122" w:type="pct"/>
            <w:tcBorders>
              <w:top w:val="nil"/>
              <w:left w:val="nil"/>
              <w:bottom w:val="single" w:sz="4" w:space="0" w:color="auto"/>
              <w:right w:val="nil"/>
            </w:tcBorders>
            <w:shd w:val="clear" w:color="auto" w:fill="auto"/>
            <w:noWrap/>
            <w:vAlign w:val="bottom"/>
            <w:hideMark/>
          </w:tcPr>
          <w:p w14:paraId="37C1555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C00000"/>
                <w:sz w:val="18"/>
                <w:szCs w:val="18"/>
                <w:lang w:val="en-GB" w:eastAsia="en-AU"/>
              </w:rPr>
            </w:pPr>
          </w:p>
        </w:tc>
        <w:tc>
          <w:tcPr>
            <w:tcW w:w="719" w:type="pct"/>
            <w:tcBorders>
              <w:left w:val="nil"/>
              <w:bottom w:val="single" w:sz="4" w:space="0" w:color="auto"/>
              <w:right w:val="nil"/>
            </w:tcBorders>
            <w:shd w:val="clear" w:color="auto" w:fill="auto"/>
          </w:tcPr>
          <w:p w14:paraId="0EF41D5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p>
        </w:tc>
        <w:tc>
          <w:tcPr>
            <w:tcW w:w="720" w:type="pct"/>
            <w:tcBorders>
              <w:left w:val="nil"/>
              <w:bottom w:val="single" w:sz="4" w:space="0" w:color="auto"/>
              <w:right w:val="nil"/>
            </w:tcBorders>
            <w:shd w:val="clear" w:color="auto" w:fill="auto"/>
          </w:tcPr>
          <w:p w14:paraId="461541B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p>
        </w:tc>
        <w:tc>
          <w:tcPr>
            <w:tcW w:w="720" w:type="pct"/>
            <w:gridSpan w:val="2"/>
            <w:tcBorders>
              <w:left w:val="nil"/>
              <w:bottom w:val="single" w:sz="4" w:space="0" w:color="auto"/>
              <w:right w:val="nil"/>
            </w:tcBorders>
            <w:shd w:val="clear" w:color="auto" w:fill="auto"/>
            <w:vAlign w:val="bottom"/>
          </w:tcPr>
          <w:p w14:paraId="388686B5"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21</w:t>
            </w:r>
          </w:p>
        </w:tc>
        <w:tc>
          <w:tcPr>
            <w:tcW w:w="719" w:type="pct"/>
            <w:gridSpan w:val="2"/>
            <w:tcBorders>
              <w:left w:val="nil"/>
              <w:bottom w:val="single" w:sz="4" w:space="0" w:color="auto"/>
              <w:right w:val="nil"/>
            </w:tcBorders>
            <w:shd w:val="clear" w:color="auto" w:fill="auto"/>
            <w:vAlign w:val="bottom"/>
          </w:tcPr>
          <w:p w14:paraId="1BEAB24F"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42</w:t>
            </w:r>
          </w:p>
        </w:tc>
      </w:tr>
    </w:tbl>
    <w:p w14:paraId="1A8A8196"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C00000"/>
          <w:sz w:val="18"/>
          <w:szCs w:val="18"/>
          <w:lang w:val="en-GB"/>
        </w:rPr>
      </w:pPr>
    </w:p>
    <w:p w14:paraId="4E9A0E90" w14:textId="77777777" w:rsidR="0032201E" w:rsidRPr="0032201E" w:rsidRDefault="0032201E" w:rsidP="00475872">
      <w:pPr>
        <w:pStyle w:val="Body"/>
      </w:pPr>
      <w:r w:rsidRPr="0032201E">
        <w:t xml:space="preserve">For </w:t>
      </w:r>
      <w:r w:rsidR="007765FD">
        <w:t xml:space="preserve">the </w:t>
      </w:r>
      <w:r w:rsidRPr="0032201E">
        <w:rPr>
          <w:lang w:eastAsia="en-AU"/>
        </w:rPr>
        <w:t>Gubberamunda Sandstone, Westbourne Formation, Hutton Sandstone, Evergreen Formation and Precipice Sandstone units, m</w:t>
      </w:r>
      <w:r w:rsidRPr="0032201E">
        <w:t xml:space="preserve">odel layers were assigned on a one-to-one basis. Cretaceous sediments were discretised using three layers (1–3) and the Springbok Sandstone was discretised using four layers (6–9). The Walloon Coal Measures were discretised using five layers of alternating coal seams and interburden (10–14). The Eurombah Formation was discretised into two layers (15–16), as were the unidentified Bowen Basin units underlying the Precipice Sandstone. </w:t>
      </w:r>
      <w:r w:rsidR="00173ADB">
        <w:t>Using a dual porosity approach, a</w:t>
      </w:r>
      <w:r w:rsidRPr="0032201E">
        <w:t>ll model layers were assigned a second layer in order to simultaneously account for fractured (</w:t>
      </w:r>
      <w:r w:rsidR="00C85DC3">
        <w:t xml:space="preserve">i.e., </w:t>
      </w:r>
      <w:r w:rsidRPr="0032201E">
        <w:t>not matrix) flow in all hydrostratigraphic units.</w:t>
      </w:r>
    </w:p>
    <w:p w14:paraId="072D9790" w14:textId="561FF904" w:rsidR="00F431F9" w:rsidRDefault="00EC2A45" w:rsidP="00475872">
      <w:pPr>
        <w:pStyle w:val="Body"/>
      </w:pPr>
      <w:r w:rsidRPr="00EC2A45">
        <w:t xml:space="preserve">Hydraulic property values were informed by analysis of downhole geophysical logs. Eleven locations were used to estimate properties for the Precipice Sandstone and all deeper geological units, while 118 locations were used to estimate properties for the Gubberamunda Sandstone, Westbourne Formation and Springbok Sandstone. Hydraulic conductivity values were estimated from downhole petrophysical observations using the following approach. First, effective porosities were estimated from shale volumes identified in neutron- density and resistivity logs. Anomalous porosity values resulting from borehole casing and “coal shoulder” effects were subsequently removed, as were values judged to be unreasonably low. Using data from core analyses, exponential porosity-permeability relationships were identified for each formation. These relationships were subsequently used to convert the statistical distributions of porosities obtained from petrophysical logs to distributions of permeabilities, and then of hydraulic conductivities. A single representative horizontal permeability value for each layer was then calculated as the arithmetic mean of the relevant statistical distribution. Vertical permeability values were calculated using anisotropy ratios based on observed data </w:t>
      </w:r>
      <w:r w:rsidR="00F431F9">
        <w:t>(</w:t>
      </w:r>
      <w:r w:rsidR="00102009">
        <w:fldChar w:fldCharType="begin"/>
      </w:r>
      <w:r w:rsidR="00102009">
        <w:instrText xml:space="preserve"> REF _Ref422742661 \h  \* MERGEFORMAT </w:instrText>
      </w:r>
      <w:r w:rsidR="00102009">
        <w:fldChar w:fldCharType="separate"/>
      </w:r>
      <w:r w:rsidR="00C52E30" w:rsidRPr="00C52E30">
        <w:rPr>
          <w:rStyle w:val="BodyChar"/>
        </w:rPr>
        <w:t>Figure 47</w:t>
      </w:r>
      <w:r w:rsidR="00102009">
        <w:fldChar w:fldCharType="end"/>
      </w:r>
      <w:r w:rsidR="00F431F9">
        <w:t>)</w:t>
      </w:r>
      <w:r w:rsidR="0032201E" w:rsidRPr="0032201E">
        <w:t xml:space="preserve">. </w:t>
      </w:r>
    </w:p>
    <w:p w14:paraId="7B1C1C57" w14:textId="77777777" w:rsidR="00F431F9" w:rsidRDefault="00F431F9"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00783C2E" w14:textId="77777777" w:rsidR="00F431F9" w:rsidRDefault="00F431F9" w:rsidP="00F431F9">
      <w:pPr>
        <w:suppressAutoHyphens/>
        <w:autoSpaceDE w:val="0"/>
        <w:autoSpaceDN w:val="0"/>
        <w:adjustRightInd w:val="0"/>
        <w:spacing w:after="113" w:line="280" w:lineRule="atLeast"/>
        <w:jc w:val="center"/>
        <w:textAlignment w:val="center"/>
        <w:rPr>
          <w:rFonts w:ascii="Calibri" w:hAnsi="Calibri" w:cs="Calibri"/>
          <w:color w:val="000000"/>
          <w:sz w:val="18"/>
          <w:szCs w:val="18"/>
          <w:lang w:val="en-GB"/>
        </w:rPr>
      </w:pPr>
    </w:p>
    <w:p w14:paraId="1FA96CE1" w14:textId="77777777" w:rsidR="001C45E9" w:rsidRDefault="001C45E9" w:rsidP="001C45E9">
      <w:pPr>
        <w:suppressAutoHyphens/>
        <w:autoSpaceDE w:val="0"/>
        <w:autoSpaceDN w:val="0"/>
        <w:adjustRightInd w:val="0"/>
        <w:spacing w:after="113" w:line="280" w:lineRule="atLeast"/>
        <w:jc w:val="center"/>
        <w:textAlignment w:val="center"/>
        <w:rPr>
          <w:rFonts w:ascii="Calibri" w:hAnsi="Calibri" w:cs="Calibri"/>
          <w:color w:val="000000"/>
          <w:sz w:val="18"/>
          <w:szCs w:val="18"/>
          <w:lang w:val="en-GB"/>
        </w:rPr>
      </w:pPr>
      <w:r>
        <w:rPr>
          <w:rFonts w:ascii="Calibri" w:hAnsi="Calibri" w:cs="Calibri"/>
          <w:noProof/>
          <w:color w:val="000000"/>
          <w:sz w:val="18"/>
          <w:szCs w:val="18"/>
          <w:lang w:val="en-AU" w:eastAsia="en-AU"/>
        </w:rPr>
        <w:drawing>
          <wp:inline distT="0" distB="0" distL="0" distR="0" wp14:anchorId="072E0B76" wp14:editId="0C7A6FE2">
            <wp:extent cx="5814934" cy="3452446"/>
            <wp:effectExtent l="19050" t="0" r="0" b="0"/>
            <wp:docPr id="8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a:srcRect l="15347" t="25749" r="20842" b="50359"/>
                    <a:stretch>
                      <a:fillRect/>
                    </a:stretch>
                  </pic:blipFill>
                  <pic:spPr bwMode="auto">
                    <a:xfrm>
                      <a:off x="0" y="0"/>
                      <a:ext cx="5817822" cy="3454161"/>
                    </a:xfrm>
                    <a:prstGeom prst="rect">
                      <a:avLst/>
                    </a:prstGeom>
                    <a:noFill/>
                    <a:ln w="9525">
                      <a:noFill/>
                      <a:miter lim="800000"/>
                      <a:headEnd/>
                      <a:tailEnd/>
                    </a:ln>
                  </pic:spPr>
                </pic:pic>
              </a:graphicData>
            </a:graphic>
          </wp:inline>
        </w:drawing>
      </w:r>
    </w:p>
    <w:p w14:paraId="41C2C81C" w14:textId="77777777" w:rsidR="00F431F9" w:rsidRPr="00B868E6" w:rsidRDefault="00F431F9" w:rsidP="00F431F9">
      <w:pPr>
        <w:pStyle w:val="Imagecaption"/>
        <w:rPr>
          <w:sz w:val="18"/>
          <w:szCs w:val="18"/>
        </w:rPr>
      </w:pPr>
      <w:bookmarkStart w:id="258" w:name="_Ref422742661"/>
      <w:bookmarkStart w:id="259" w:name="_Toc449696337"/>
      <w:r w:rsidRPr="00B868E6">
        <w:t xml:space="preserve">Figure </w:t>
      </w:r>
      <w:r w:rsidR="00084CDD" w:rsidRPr="00B868E6">
        <w:fldChar w:fldCharType="begin"/>
      </w:r>
      <w:r w:rsidR="00144B4F" w:rsidRPr="00B868E6">
        <w:instrText xml:space="preserve"> SEQ Figure \* ARABIC </w:instrText>
      </w:r>
      <w:r w:rsidR="00084CDD" w:rsidRPr="00B868E6">
        <w:fldChar w:fldCharType="separate"/>
      </w:r>
      <w:r w:rsidR="00C52E30">
        <w:rPr>
          <w:noProof/>
        </w:rPr>
        <w:t>47</w:t>
      </w:r>
      <w:r w:rsidR="00084CDD" w:rsidRPr="00B868E6">
        <w:rPr>
          <w:noProof/>
        </w:rPr>
        <w:fldChar w:fldCharType="end"/>
      </w:r>
      <w:bookmarkEnd w:id="258"/>
      <w:r w:rsidRPr="00B868E6">
        <w:t>. Core scale horizontal and vertical permeability for various Surat Basin geological units</w:t>
      </w:r>
      <w:r w:rsidR="001C45E9" w:rsidRPr="00B868E6">
        <w:t xml:space="preserve"> </w:t>
      </w:r>
      <w:r w:rsidR="00CD1326" w:rsidRPr="00B868E6">
        <w:t>(QGC 2013)</w:t>
      </w:r>
      <w:r w:rsidRPr="00B868E6">
        <w:t>. Coloured lines indicate various anisotropy ratios.</w:t>
      </w:r>
      <w:bookmarkEnd w:id="259"/>
    </w:p>
    <w:p w14:paraId="6883AD61" w14:textId="77777777" w:rsidR="00F431F9" w:rsidRPr="00B868E6" w:rsidRDefault="00F431F9"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1E9F443F" w14:textId="77777777" w:rsidR="00DE115D" w:rsidRPr="00475872" w:rsidRDefault="00EC2A45" w:rsidP="0078307B">
      <w:pPr>
        <w:suppressAutoHyphens/>
        <w:autoSpaceDE w:val="0"/>
        <w:autoSpaceDN w:val="0"/>
        <w:adjustRightInd w:val="0"/>
        <w:spacing w:after="113" w:line="280" w:lineRule="atLeast"/>
        <w:textAlignment w:val="center"/>
        <w:rPr>
          <w:rStyle w:val="BodyChar"/>
        </w:rPr>
      </w:pPr>
      <w:r w:rsidRPr="00EC2A45">
        <w:rPr>
          <w:rFonts w:ascii="Calibri" w:hAnsi="Calibri" w:cs="Calibri"/>
          <w:color w:val="000000"/>
          <w:sz w:val="18"/>
          <w:szCs w:val="18"/>
          <w:lang w:val="en-GB"/>
        </w:rPr>
        <w:t xml:space="preserve">Hydraulic conductivity and storage parameter values were subsequently adjusted during model inversion. As the GEN3 model was a steady state model of hydraulic equilibrium prior to CSG development, CSG extraction was not simulated in the model. Similarly, storage parameters were not required; however these are described by QGC (2013), since the GEN3 model is intended to be used in future in a predictive (i.e. transient) context. Confined and unconfined storage parameter values were sourced </w:t>
      </w:r>
      <w:r w:rsidRPr="00993884">
        <w:rPr>
          <w:rFonts w:ascii="Calibri" w:hAnsi="Calibri" w:cs="Calibri"/>
          <w:color w:val="000000"/>
          <w:sz w:val="18"/>
          <w:szCs w:val="18"/>
          <w:lang w:val="en-GB"/>
        </w:rPr>
        <w:t xml:space="preserve">from QWC (2012) and </w:t>
      </w:r>
      <w:r w:rsidR="00DA1389">
        <w:rPr>
          <w:rFonts w:ascii="Calibri" w:hAnsi="Calibri" w:cs="Calibri"/>
          <w:color w:val="000000"/>
          <w:sz w:val="18"/>
          <w:szCs w:val="18"/>
          <w:lang w:val="en-GB"/>
        </w:rPr>
        <w:t>GABCC (1998)</w:t>
      </w:r>
      <w:r w:rsidR="00993884">
        <w:rPr>
          <w:rFonts w:ascii="Calibri" w:hAnsi="Calibri" w:cs="Calibri"/>
          <w:color w:val="000000"/>
          <w:sz w:val="18"/>
          <w:szCs w:val="18"/>
          <w:lang w:val="en-GB"/>
        </w:rPr>
        <w:t xml:space="preserve">. </w:t>
      </w:r>
      <w:r w:rsidRPr="00EC2A45">
        <w:rPr>
          <w:rFonts w:ascii="Calibri" w:hAnsi="Calibri" w:cs="Calibri"/>
          <w:color w:val="000000"/>
          <w:sz w:val="18"/>
          <w:szCs w:val="18"/>
          <w:lang w:val="en-GB"/>
        </w:rPr>
        <w:t xml:space="preserve">It is also noted that, under confined conditions, specific storage values cannot be specified directly when using the ECLIPSE modelling code; instead, these are calculated from rock and fluid compressibility and </w:t>
      </w:r>
      <w:r w:rsidR="00993884">
        <w:rPr>
          <w:rFonts w:ascii="Calibri" w:hAnsi="Calibri" w:cs="Calibri"/>
          <w:color w:val="000000"/>
          <w:sz w:val="18"/>
          <w:szCs w:val="18"/>
          <w:lang w:val="en-GB"/>
        </w:rPr>
        <w:t xml:space="preserve">rock </w:t>
      </w:r>
      <w:r w:rsidRPr="00EC2A45">
        <w:rPr>
          <w:rFonts w:ascii="Calibri" w:hAnsi="Calibri" w:cs="Calibri"/>
          <w:color w:val="000000"/>
          <w:sz w:val="18"/>
          <w:szCs w:val="18"/>
          <w:lang w:val="en-GB"/>
        </w:rPr>
        <w:t>porosity values.</w:t>
      </w:r>
    </w:p>
    <w:p w14:paraId="5F09EED7" w14:textId="77777777" w:rsidR="0032201E" w:rsidRPr="0032201E" w:rsidRDefault="0032201E" w:rsidP="00E47452">
      <w:pPr>
        <w:pStyle w:val="Heading3"/>
      </w:pPr>
      <w:bookmarkStart w:id="260" w:name="_Toc449696828"/>
      <w:r w:rsidRPr="0032201E">
        <w:t>Santos</w:t>
      </w:r>
      <w:bookmarkEnd w:id="260"/>
    </w:p>
    <w:p w14:paraId="1B1C92A9" w14:textId="08E0431C" w:rsidR="0032201E" w:rsidRDefault="0032201E" w:rsidP="00475872">
      <w:pPr>
        <w:pStyle w:val="Body"/>
      </w:pPr>
      <w:r w:rsidRPr="0032201E">
        <w:t xml:space="preserve">As part of EIS requirements for the Gladstone Liquefied Natural Gas Project, Santos commissioned Matrix Plus Consulting to develop a numerical groundwater flow model to provide estimates of CSG extraction impacts </w:t>
      </w:r>
      <w:r w:rsidR="00084CDD" w:rsidRPr="0032201E">
        <w:fldChar w:fldCharType="begin"/>
      </w:r>
      <w:r w:rsidRPr="0032201E">
        <w:instrText xml:space="preserve"> ADDIN EN.CITE &lt;EndNote&gt;&lt;Cite&gt;&lt;Author&gt;Matrix Plus&lt;/Author&gt;&lt;Year&gt;2009&lt;/Year&gt;&lt;IDText&gt;Groundwater (Deep Aquifer Modelling) for SANTOS GLNG Environmental Impact Statement&lt;/IDText&gt;&lt;DisplayText&gt;(Matrix Plus, 2009)&lt;/DisplayText&gt;&lt;record&gt;&lt;titles&gt;&lt;title&gt;Groundwater (Deep Aquifer Modelling) for SANTOS GLNG Environmental Impact Statement&lt;/title&gt;&lt;/titles&gt;&lt;pages&gt;iv, 76, appendices&lt;/pages&gt;&lt;contributors&gt;&lt;authors&gt;&lt;author&gt;Matrix Plus,&lt;/author&gt;&lt;/authors&gt;&lt;/contributors&gt;&lt;added-date format="utc"&gt;1433395793&lt;/added-date&gt;&lt;pub-location&gt;Brisbane, Queensland&lt;/pub-location&gt;&lt;ref-type name="Report"&gt;27&lt;/ref-type&gt;&lt;dates&gt;&lt;year&gt;2009&lt;/year&gt;&lt;/dates&gt;&lt;rec-number&gt;78&lt;/rec-number&gt;&lt;last-updated-date format="utc"&gt;1433898600&lt;/last-updated-date&gt;&lt;/record&gt;&lt;/Cite&gt;&lt;/EndNote&gt;</w:instrText>
      </w:r>
      <w:r w:rsidR="00084CDD" w:rsidRPr="0032201E">
        <w:fldChar w:fldCharType="separate"/>
      </w:r>
      <w:r w:rsidRPr="0032201E">
        <w:rPr>
          <w:noProof/>
        </w:rPr>
        <w:t>(Matrix Plus, 2009)</w:t>
      </w:r>
      <w:r w:rsidR="00084CDD" w:rsidRPr="0032201E">
        <w:fldChar w:fldCharType="end"/>
      </w:r>
      <w:r w:rsidRPr="0032201E">
        <w:t>. A MODFLOW-96 model was developed for the Comet Ridge gas field, covering a total area of 289</w:t>
      </w:r>
      <w:r w:rsidR="00056615">
        <w:t xml:space="preserve"> × </w:t>
      </w:r>
      <w:r w:rsidRPr="0032201E">
        <w:t>289 km. This was discretised using minimum cell widths of 1350 m</w:t>
      </w:r>
      <w:r w:rsidRPr="0032201E">
        <w:rPr>
          <w:vertAlign w:val="superscript"/>
        </w:rPr>
        <w:t>2</w:t>
      </w:r>
      <w:r w:rsidRPr="0032201E">
        <w:t xml:space="preserve">. The model featured three layers and a mixture of Neumann and Cauchy boundary conditions. The discretisation of model layers is shown </w:t>
      </w:r>
      <w:r w:rsidRPr="00475872">
        <w:t xml:space="preserve">in </w:t>
      </w:r>
      <w:r w:rsidR="00102009">
        <w:fldChar w:fldCharType="begin"/>
      </w:r>
      <w:r w:rsidR="00102009">
        <w:instrText xml:space="preserve"> REF _Ref422387998 \h  \* MERGEFORMAT </w:instrText>
      </w:r>
      <w:r w:rsidR="00102009">
        <w:fldChar w:fldCharType="separate"/>
      </w:r>
      <w:r w:rsidR="00C52E30" w:rsidRPr="00C52E30">
        <w:rPr>
          <w:rStyle w:val="BodyChar"/>
        </w:rPr>
        <w:t>Table 15</w:t>
      </w:r>
      <w:r w:rsidR="00102009">
        <w:fldChar w:fldCharType="end"/>
      </w:r>
      <w:r w:rsidRPr="0032201E">
        <w:t xml:space="preserve">. A uniform thickness of 100 m was specified for model layers 1 and 3. For this model the Triassic sequence, which contains the Rewan Formation, represents the key aquitard that will affect the upward vertical propagation of hydraulic stresses induced in the underlying coal seams by CSG production to the overlying Precipice Sandstone aquifer. </w:t>
      </w:r>
    </w:p>
    <w:p w14:paraId="32332E18" w14:textId="77777777" w:rsidR="00E47452" w:rsidRPr="0032201E" w:rsidRDefault="00E47452"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707C1A3E" w14:textId="77777777" w:rsidR="0032201E" w:rsidRPr="0032201E" w:rsidRDefault="00E47452" w:rsidP="00E47452">
      <w:pPr>
        <w:pStyle w:val="Imagecaption"/>
        <w:keepNext/>
        <w:pBdr>
          <w:top w:val="none" w:sz="0" w:space="0" w:color="auto"/>
        </w:pBdr>
      </w:pPr>
      <w:bookmarkStart w:id="261" w:name="_Ref422387998"/>
      <w:bookmarkStart w:id="262" w:name="_Toc449696235"/>
      <w:r>
        <w:t xml:space="preserve">Table </w:t>
      </w:r>
      <w:r w:rsidR="00084CDD">
        <w:fldChar w:fldCharType="begin"/>
      </w:r>
      <w:r w:rsidR="00144B4F">
        <w:instrText xml:space="preserve"> SEQ Table \* ARABIC </w:instrText>
      </w:r>
      <w:r w:rsidR="00084CDD">
        <w:fldChar w:fldCharType="separate"/>
      </w:r>
      <w:r w:rsidR="00C52E30">
        <w:rPr>
          <w:noProof/>
        </w:rPr>
        <w:t>15</w:t>
      </w:r>
      <w:r w:rsidR="00084CDD">
        <w:rPr>
          <w:noProof/>
        </w:rPr>
        <w:fldChar w:fldCharType="end"/>
      </w:r>
      <w:bookmarkEnd w:id="261"/>
      <w:r>
        <w:t xml:space="preserve">. </w:t>
      </w:r>
      <w:r w:rsidR="005A2033">
        <w:t>Summary of geological units, hydrostratigraphic units and groundwater flow model layers represented in Santos Surat Basin groundwater flow model.</w:t>
      </w:r>
      <w:bookmarkEnd w:id="262"/>
    </w:p>
    <w:tbl>
      <w:tblPr>
        <w:tblW w:w="5000" w:type="pct"/>
        <w:tblLook w:val="04A0" w:firstRow="1" w:lastRow="0" w:firstColumn="1" w:lastColumn="0" w:noHBand="0" w:noVBand="1"/>
      </w:tblPr>
      <w:tblGrid>
        <w:gridCol w:w="2255"/>
        <w:gridCol w:w="2255"/>
        <w:gridCol w:w="2255"/>
        <w:gridCol w:w="2255"/>
      </w:tblGrid>
      <w:tr w:rsidR="0032201E" w:rsidRPr="0032201E" w14:paraId="27A8AEDC" w14:textId="77777777" w:rsidTr="0032201E">
        <w:trPr>
          <w:trHeight w:val="264"/>
        </w:trPr>
        <w:tc>
          <w:tcPr>
            <w:tcW w:w="1250" w:type="pct"/>
            <w:vMerge w:val="restart"/>
            <w:tcBorders>
              <w:top w:val="single" w:sz="4" w:space="0" w:color="auto"/>
              <w:left w:val="nil"/>
              <w:bottom w:val="single" w:sz="4" w:space="0" w:color="auto"/>
              <w:right w:val="nil"/>
            </w:tcBorders>
            <w:shd w:val="clear" w:color="auto" w:fill="auto"/>
            <w:noWrap/>
            <w:vAlign w:val="center"/>
            <w:hideMark/>
          </w:tcPr>
          <w:p w14:paraId="6407C05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2500" w:type="pct"/>
            <w:gridSpan w:val="2"/>
            <w:tcBorders>
              <w:top w:val="single" w:sz="4" w:space="0" w:color="auto"/>
              <w:left w:val="nil"/>
              <w:right w:val="nil"/>
            </w:tcBorders>
            <w:shd w:val="clear" w:color="auto" w:fill="auto"/>
            <w:vAlign w:val="center"/>
          </w:tcPr>
          <w:p w14:paraId="1869F71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Hydrostratigraphic unit</w:t>
            </w:r>
          </w:p>
        </w:tc>
        <w:tc>
          <w:tcPr>
            <w:tcW w:w="1250" w:type="pct"/>
            <w:vMerge w:val="restart"/>
            <w:tcBorders>
              <w:top w:val="single" w:sz="4" w:space="0" w:color="auto"/>
              <w:left w:val="nil"/>
              <w:bottom w:val="single" w:sz="4" w:space="0" w:color="auto"/>
              <w:right w:val="nil"/>
            </w:tcBorders>
            <w:shd w:val="clear" w:color="auto" w:fill="auto"/>
            <w:vAlign w:val="center"/>
          </w:tcPr>
          <w:p w14:paraId="3439C78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Model layer</w:t>
            </w:r>
          </w:p>
        </w:tc>
      </w:tr>
      <w:tr w:rsidR="0032201E" w:rsidRPr="0032201E" w14:paraId="5D4A289E" w14:textId="77777777" w:rsidTr="0032201E">
        <w:trPr>
          <w:trHeight w:val="264"/>
        </w:trPr>
        <w:tc>
          <w:tcPr>
            <w:tcW w:w="1250" w:type="pct"/>
            <w:vMerge/>
            <w:tcBorders>
              <w:top w:val="single" w:sz="4" w:space="0" w:color="auto"/>
              <w:left w:val="nil"/>
              <w:bottom w:val="single" w:sz="4" w:space="0" w:color="auto"/>
              <w:right w:val="nil"/>
            </w:tcBorders>
            <w:shd w:val="clear" w:color="auto" w:fill="auto"/>
            <w:noWrap/>
            <w:vAlign w:val="bottom"/>
            <w:hideMark/>
          </w:tcPr>
          <w:p w14:paraId="0D48EA7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250" w:type="pct"/>
            <w:tcBorders>
              <w:left w:val="nil"/>
              <w:bottom w:val="single" w:sz="4" w:space="0" w:color="auto"/>
              <w:right w:val="nil"/>
            </w:tcBorders>
            <w:shd w:val="clear" w:color="auto" w:fill="auto"/>
            <w:vAlign w:val="center"/>
          </w:tcPr>
          <w:p w14:paraId="4157A81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1250" w:type="pct"/>
            <w:tcBorders>
              <w:left w:val="nil"/>
              <w:bottom w:val="single" w:sz="4" w:space="0" w:color="auto"/>
              <w:right w:val="nil"/>
            </w:tcBorders>
            <w:shd w:val="clear" w:color="auto" w:fill="auto"/>
            <w:vAlign w:val="center"/>
          </w:tcPr>
          <w:p w14:paraId="5AD7E0B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aquitard</w:t>
            </w:r>
          </w:p>
        </w:tc>
        <w:tc>
          <w:tcPr>
            <w:tcW w:w="1250" w:type="pct"/>
            <w:vMerge/>
            <w:tcBorders>
              <w:left w:val="nil"/>
              <w:bottom w:val="single" w:sz="4" w:space="0" w:color="auto"/>
              <w:right w:val="nil"/>
            </w:tcBorders>
            <w:shd w:val="clear" w:color="auto" w:fill="auto"/>
            <w:vAlign w:val="bottom"/>
          </w:tcPr>
          <w:p w14:paraId="26D53B2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r>
      <w:tr w:rsidR="0032201E" w:rsidRPr="0032201E" w14:paraId="5706654B" w14:textId="77777777" w:rsidTr="00DE115D">
        <w:trPr>
          <w:trHeight w:val="264"/>
        </w:trPr>
        <w:tc>
          <w:tcPr>
            <w:tcW w:w="1250" w:type="pct"/>
            <w:tcBorders>
              <w:top w:val="single" w:sz="4" w:space="0" w:color="auto"/>
              <w:left w:val="nil"/>
              <w:bottom w:val="nil"/>
              <w:right w:val="nil"/>
            </w:tcBorders>
            <w:shd w:val="clear" w:color="auto" w:fill="F2F2F2" w:themeFill="background2" w:themeFillShade="F2"/>
            <w:noWrap/>
            <w:vAlign w:val="bottom"/>
            <w:hideMark/>
          </w:tcPr>
          <w:p w14:paraId="0105281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Precipice Sandstone</w:t>
            </w:r>
          </w:p>
        </w:tc>
        <w:tc>
          <w:tcPr>
            <w:tcW w:w="1250" w:type="pct"/>
            <w:tcBorders>
              <w:top w:val="single" w:sz="4" w:space="0" w:color="auto"/>
              <w:left w:val="nil"/>
              <w:right w:val="nil"/>
            </w:tcBorders>
            <w:shd w:val="clear" w:color="auto" w:fill="F2F2F2" w:themeFill="background2" w:themeFillShade="F2"/>
          </w:tcPr>
          <w:p w14:paraId="3DE0BDE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250" w:type="pct"/>
            <w:tcBorders>
              <w:top w:val="single" w:sz="4" w:space="0" w:color="auto"/>
              <w:left w:val="nil"/>
              <w:right w:val="nil"/>
            </w:tcBorders>
            <w:shd w:val="clear" w:color="auto" w:fill="F2F2F2" w:themeFill="background2" w:themeFillShade="F2"/>
          </w:tcPr>
          <w:p w14:paraId="71E1E07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right w:val="nil"/>
            </w:tcBorders>
            <w:shd w:val="clear" w:color="auto" w:fill="F2F2F2" w:themeFill="background2" w:themeFillShade="F2"/>
            <w:vAlign w:val="bottom"/>
          </w:tcPr>
          <w:p w14:paraId="016D3E94"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r>
      <w:tr w:rsidR="0032201E" w:rsidRPr="0032201E" w14:paraId="2A7B14BB" w14:textId="77777777" w:rsidTr="0032201E">
        <w:trPr>
          <w:trHeight w:val="264"/>
        </w:trPr>
        <w:tc>
          <w:tcPr>
            <w:tcW w:w="1250" w:type="pct"/>
            <w:tcBorders>
              <w:top w:val="nil"/>
              <w:left w:val="nil"/>
              <w:bottom w:val="nil"/>
              <w:right w:val="nil"/>
            </w:tcBorders>
            <w:shd w:val="clear" w:color="auto" w:fill="auto"/>
            <w:noWrap/>
            <w:vAlign w:val="bottom"/>
            <w:hideMark/>
          </w:tcPr>
          <w:p w14:paraId="2B68CA8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Rewan Group</w:t>
            </w:r>
          </w:p>
        </w:tc>
        <w:tc>
          <w:tcPr>
            <w:tcW w:w="1250" w:type="pct"/>
            <w:tcBorders>
              <w:left w:val="nil"/>
              <w:right w:val="nil"/>
            </w:tcBorders>
            <w:shd w:val="clear" w:color="auto" w:fill="auto"/>
          </w:tcPr>
          <w:p w14:paraId="6E2FACD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p>
        </w:tc>
        <w:tc>
          <w:tcPr>
            <w:tcW w:w="1250" w:type="pct"/>
            <w:tcBorders>
              <w:left w:val="nil"/>
              <w:right w:val="nil"/>
            </w:tcBorders>
            <w:shd w:val="clear" w:color="auto" w:fill="auto"/>
          </w:tcPr>
          <w:p w14:paraId="360756C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r w:rsidRPr="0032201E">
              <w:rPr>
                <w:rFonts w:ascii="Calibri" w:hAnsi="Calibri" w:cs="Calibri"/>
                <w:color w:val="000000"/>
                <w:sz w:val="18"/>
                <w:szCs w:val="18"/>
                <w:lang w:val="en-GB" w:eastAsia="en-AU"/>
              </w:rPr>
              <w:sym w:font="Wingdings" w:char="F0FC"/>
            </w:r>
          </w:p>
        </w:tc>
        <w:tc>
          <w:tcPr>
            <w:tcW w:w="1250" w:type="pct"/>
            <w:tcBorders>
              <w:left w:val="nil"/>
              <w:right w:val="nil"/>
            </w:tcBorders>
            <w:shd w:val="clear" w:color="auto" w:fill="auto"/>
            <w:vAlign w:val="bottom"/>
          </w:tcPr>
          <w:p w14:paraId="5297F41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2</w:t>
            </w:r>
          </w:p>
        </w:tc>
      </w:tr>
      <w:tr w:rsidR="0032201E" w:rsidRPr="0032201E" w14:paraId="50768A54" w14:textId="77777777" w:rsidTr="00DE115D">
        <w:trPr>
          <w:trHeight w:val="264"/>
        </w:trPr>
        <w:tc>
          <w:tcPr>
            <w:tcW w:w="1250" w:type="pct"/>
            <w:tcBorders>
              <w:top w:val="nil"/>
              <w:left w:val="nil"/>
              <w:bottom w:val="single" w:sz="4" w:space="0" w:color="auto"/>
              <w:right w:val="nil"/>
            </w:tcBorders>
            <w:shd w:val="clear" w:color="auto" w:fill="F2F2F2" w:themeFill="background2" w:themeFillShade="F2"/>
            <w:noWrap/>
            <w:vAlign w:val="bottom"/>
            <w:hideMark/>
          </w:tcPr>
          <w:p w14:paraId="4ED71AA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Bandanna Formation</w:t>
            </w:r>
          </w:p>
        </w:tc>
        <w:tc>
          <w:tcPr>
            <w:tcW w:w="1250" w:type="pct"/>
            <w:tcBorders>
              <w:left w:val="nil"/>
              <w:bottom w:val="single" w:sz="4" w:space="0" w:color="auto"/>
              <w:right w:val="nil"/>
            </w:tcBorders>
            <w:shd w:val="clear" w:color="auto" w:fill="F2F2F2" w:themeFill="background2" w:themeFillShade="F2"/>
          </w:tcPr>
          <w:p w14:paraId="2D25846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r w:rsidRPr="0032201E">
              <w:rPr>
                <w:rFonts w:ascii="Calibri" w:hAnsi="Calibri" w:cs="Calibri"/>
                <w:color w:val="000000"/>
                <w:sz w:val="18"/>
                <w:szCs w:val="18"/>
                <w:lang w:val="en-GB" w:eastAsia="en-AU"/>
              </w:rPr>
              <w:t>CSG reservoir</w:t>
            </w:r>
          </w:p>
        </w:tc>
        <w:tc>
          <w:tcPr>
            <w:tcW w:w="1250" w:type="pct"/>
            <w:tcBorders>
              <w:left w:val="nil"/>
              <w:bottom w:val="single" w:sz="4" w:space="0" w:color="auto"/>
              <w:right w:val="nil"/>
            </w:tcBorders>
            <w:shd w:val="clear" w:color="auto" w:fill="F2F2F2" w:themeFill="background2" w:themeFillShade="F2"/>
          </w:tcPr>
          <w:p w14:paraId="13545AA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C00000"/>
                <w:sz w:val="18"/>
                <w:szCs w:val="18"/>
                <w:lang w:val="en-GB" w:eastAsia="en-AU"/>
              </w:rPr>
            </w:pPr>
          </w:p>
        </w:tc>
        <w:tc>
          <w:tcPr>
            <w:tcW w:w="1250" w:type="pct"/>
            <w:tcBorders>
              <w:left w:val="nil"/>
              <w:bottom w:val="single" w:sz="4" w:space="0" w:color="auto"/>
              <w:right w:val="nil"/>
            </w:tcBorders>
            <w:shd w:val="clear" w:color="auto" w:fill="F2F2F2" w:themeFill="background2" w:themeFillShade="F2"/>
            <w:vAlign w:val="bottom"/>
          </w:tcPr>
          <w:p w14:paraId="262765BB"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3</w:t>
            </w:r>
          </w:p>
        </w:tc>
      </w:tr>
    </w:tbl>
    <w:p w14:paraId="6EA598B9"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61E0D3BC" w14:textId="77777777" w:rsidR="0032201E" w:rsidRPr="0032201E" w:rsidRDefault="0032201E" w:rsidP="00475872">
      <w:pPr>
        <w:pStyle w:val="Body"/>
      </w:pPr>
      <w:r w:rsidRPr="0032201E">
        <w:t>Model layers 1 (Precipice Sandstone) and 3 (Bandanna Formation) were assigned on a one-to-one basis. Conversely, model layer 2 collectively represents the Moolayember Formation, Clematis Sandstone and Rewan Formation of the Triassic age Rewan Group.</w:t>
      </w:r>
    </w:p>
    <w:p w14:paraId="0927CE1C" w14:textId="77777777" w:rsidR="0032201E" w:rsidRPr="0032201E" w:rsidRDefault="0032201E" w:rsidP="00475872">
      <w:pPr>
        <w:pStyle w:val="Body"/>
      </w:pPr>
      <w:r w:rsidRPr="0032201E">
        <w:t>The origin of the hydraulic property values used (</w:t>
      </w:r>
      <w:r w:rsidR="00C85DC3">
        <w:t xml:space="preserve">i.e., </w:t>
      </w:r>
      <w:r w:rsidRPr="0032201E">
        <w:t xml:space="preserve">transmissivity and storativity) in the Comet Ridge model is not documented. Model layers 1 and 2 featured uniform values. Transmissivity values in layer 3 were spatially interpolated from an unknown number of observations. Spatial interpolation was undertaken using the tool PMDIS, which is part of the PMWIN graphical user interface for MODFLOW. The interpolation algorithm used is not documented; however, algorithms available in PMDIS include inverse distance weighting and ordinary kriging. Hydraulic property values were subsequently adjusted during model inversion. </w:t>
      </w:r>
    </w:p>
    <w:p w14:paraId="571AB07B" w14:textId="77777777" w:rsidR="0032201E" w:rsidRPr="0032201E" w:rsidRDefault="0032201E" w:rsidP="00475872">
      <w:pPr>
        <w:pStyle w:val="Body"/>
        <w:rPr>
          <w:color w:val="C00000"/>
        </w:rPr>
      </w:pPr>
      <w:r w:rsidRPr="0032201E">
        <w:t>Time-varying hydraulic head (</w:t>
      </w:r>
      <w:r w:rsidR="00C85DC3">
        <w:t xml:space="preserve">i.e., </w:t>
      </w:r>
      <w:r w:rsidRPr="0032201E">
        <w:t xml:space="preserve">Dirichlet) boundary conditions were used to represent CSG extraction from the Comet Ridge borefield. Matrix Plus </w:t>
      </w:r>
      <w:r w:rsidR="00084CDD" w:rsidRPr="0032201E">
        <w:fldChar w:fldCharType="begin"/>
      </w:r>
      <w:r w:rsidRPr="0032201E">
        <w:instrText xml:space="preserve"> ADDIN EN.CITE &lt;EndNote&gt;&lt;Cite ExcludeAuth="1"&gt;&lt;Author&gt;Matrix Plus&lt;/Author&gt;&lt;Year&gt;2009&lt;/Year&gt;&lt;IDText&gt;Groundwater (Deep Aquifer Modelling) for SANTOS GLNG Environmental Impact Statement&lt;/IDText&gt;&lt;DisplayText&gt;(2009)&lt;/DisplayText&gt;&lt;record&gt;&lt;titles&gt;&lt;title&gt;Groundwater (Deep Aquifer Modelling) for SANTOS GLNG Environmental Impact Statement&lt;/title&gt;&lt;/titles&gt;&lt;pages&gt;iv, 76, appendices&lt;/pages&gt;&lt;contributors&gt;&lt;authors&gt;&lt;author&gt;Matrix Plus,&lt;/author&gt;&lt;/authors&gt;&lt;/contributors&gt;&lt;added-date format="utc"&gt;1433395793&lt;/added-date&gt;&lt;pub-location&gt;Brisbane, Queensland&lt;/pub-location&gt;&lt;ref-type name="Report"&gt;27&lt;/ref-type&gt;&lt;dates&gt;&lt;year&gt;2009&lt;/year&gt;&lt;/dates&gt;&lt;rec-number&gt;78&lt;/rec-number&gt;&lt;last-updated-date format="utc"&gt;1433898600&lt;/last-updated-date&gt;&lt;/record&gt;&lt;/Cite&gt;&lt;/EndNote&gt;</w:instrText>
      </w:r>
      <w:r w:rsidR="00084CDD" w:rsidRPr="0032201E">
        <w:fldChar w:fldCharType="separate"/>
      </w:r>
      <w:r w:rsidRPr="0032201E">
        <w:rPr>
          <w:noProof/>
        </w:rPr>
        <w:t>(2009)</w:t>
      </w:r>
      <w:r w:rsidR="00084CDD" w:rsidRPr="0032201E">
        <w:fldChar w:fldCharType="end"/>
      </w:r>
      <w:r w:rsidRPr="0032201E">
        <w:t xml:space="preserve"> state that hydraulic heads at each CSG bore were reduced “gradually” over a nominated 10 year period to a final pressure head of 70 m above the top of the Bandanna Formation (</w:t>
      </w:r>
      <w:r w:rsidR="00C85DC3">
        <w:t xml:space="preserve">i.e., </w:t>
      </w:r>
      <w:r w:rsidRPr="0032201E">
        <w:t>model layer 3). As no further information is provided with regards to the method used to calculate time-varying hydraulic head values, it is assumed that “gradually” is equivalent to “linearly”.</w:t>
      </w:r>
    </w:p>
    <w:p w14:paraId="35F1543F" w14:textId="77777777" w:rsidR="0032201E" w:rsidRPr="0032201E" w:rsidRDefault="0032201E" w:rsidP="00475872">
      <w:pPr>
        <w:pStyle w:val="Body"/>
      </w:pPr>
      <w:r w:rsidRPr="0032201E">
        <w:t xml:space="preserve">As part of further EIS considerations for the Gladstone Liquefied Natural Gas project, Santos later employed the first iteration of the Surat CMA numerical groundwater flow model (Section </w:t>
      </w:r>
      <w:r w:rsidR="00102009">
        <w:fldChar w:fldCharType="begin"/>
      </w:r>
      <w:r w:rsidR="00102009">
        <w:instrText xml:space="preserve"> REF _Ref421892443 \r \h  \* MERGEFORMAT </w:instrText>
      </w:r>
      <w:r w:rsidR="00102009">
        <w:fldChar w:fldCharType="separate"/>
      </w:r>
      <w:r w:rsidR="00C52E30">
        <w:t>4.1.1</w:t>
      </w:r>
      <w:r w:rsidR="00102009">
        <w:fldChar w:fldCharType="end"/>
      </w:r>
      <w:r w:rsidRPr="0032201E">
        <w:t xml:space="preserve">) developed by QWC to provide estimates of cumulative CSG extraction impacts. </w:t>
      </w:r>
    </w:p>
    <w:p w14:paraId="0639CE81" w14:textId="77777777" w:rsidR="0032201E" w:rsidRPr="0032201E" w:rsidRDefault="0032201E" w:rsidP="005072A9">
      <w:pPr>
        <w:pStyle w:val="Heading2"/>
      </w:pPr>
      <w:bookmarkStart w:id="263" w:name="_Ref445983692"/>
      <w:bookmarkStart w:id="264" w:name="_Toc449696829"/>
      <w:r w:rsidRPr="0032201E">
        <w:t>Bowen Basin</w:t>
      </w:r>
      <w:bookmarkEnd w:id="263"/>
      <w:bookmarkEnd w:id="264"/>
    </w:p>
    <w:p w14:paraId="72B3E7A1" w14:textId="77777777" w:rsidR="0032201E" w:rsidRPr="0032201E" w:rsidRDefault="0032201E" w:rsidP="005072A9">
      <w:pPr>
        <w:pStyle w:val="Heading3"/>
      </w:pPr>
      <w:bookmarkStart w:id="265" w:name="_Toc449696830"/>
      <w:r w:rsidRPr="0032201E">
        <w:t>Arrow Energy</w:t>
      </w:r>
      <w:bookmarkEnd w:id="265"/>
    </w:p>
    <w:p w14:paraId="7AC9F13D" w14:textId="2C20CBC8" w:rsidR="0032201E" w:rsidRPr="0032201E" w:rsidRDefault="0032201E" w:rsidP="00475872">
      <w:pPr>
        <w:pStyle w:val="Body"/>
      </w:pPr>
      <w:r w:rsidRPr="0032201E">
        <w:t xml:space="preserve">As part of EIS requirements for the Bowen Gas Project, Arrow Energy commissioned Ausenco and Norwest Corporation to develop a numerical groundwater flow model to provide estimates of CSG extraction impacts </w:t>
      </w:r>
      <w:r w:rsidR="00084CDD">
        <w:fldChar w:fldCharType="begin"/>
      </w:r>
      <w:r w:rsidR="00972AA6">
        <w:instrText xml:space="preserve"> ADDIN EN.CITE &lt;EndNote&gt;&lt;Cite&gt;&lt;Author&gt;Ausenco-Norwest Corporation&lt;/Author&gt;&lt;Year&gt;2012&lt;/Year&gt;&lt;IDText&gt;Groundwater model, northern Bowen Basin regional model impact predictions, Queensland, Australia&lt;/IDText&gt;&lt;DisplayText&gt;(Ausenco-Norwest Corporation, 2012)&lt;/DisplayText&gt;&lt;record&gt;&lt;titles&gt;&lt;title&gt;Groundwater model, northern Bowen Basin regional model impact predictions, Queensland, Australia&lt;/title&gt;&lt;/titles&gt;&lt;pages&gt;490&lt;/pages&gt;&lt;contributors&gt;&lt;authors&gt;&lt;author&gt;Ausenco-Norwest Corporation,&lt;/author&gt;&lt;/authors&gt;&lt;/contributors&gt;&lt;added-date format="utc"&gt;1434953878&lt;/added-date&gt;&lt;ref-type name="Generic"&gt;13&lt;/ref-type&gt;&lt;dates&gt;&lt;year&gt;2012&lt;/year&gt;&lt;/dates&gt;&lt;rec-number&gt;1202&lt;/rec-number&gt;&lt;publisher&gt;Arrow Energy&lt;/publisher&gt;&lt;last-updated-date format="utc"&gt;1434953971&lt;/last-updated-date&gt;&lt;/record&gt;&lt;/Cite&gt;&lt;/EndNote&gt;</w:instrText>
      </w:r>
      <w:r w:rsidR="00084CDD">
        <w:fldChar w:fldCharType="separate"/>
      </w:r>
      <w:r w:rsidR="00972AA6">
        <w:rPr>
          <w:noProof/>
        </w:rPr>
        <w:t>(Ausenco-Norwest Corporation, 2012)</w:t>
      </w:r>
      <w:r w:rsidR="00084CDD">
        <w:fldChar w:fldCharType="end"/>
      </w:r>
      <w:r w:rsidRPr="0032201E">
        <w:t>. Based on a PETREL geological model, a MODF</w:t>
      </w:r>
      <w:r w:rsidR="005A2033">
        <w:t>LOW–SURFACT model was developed</w:t>
      </w:r>
      <w:r w:rsidRPr="0032201E">
        <w:t>, covering a total area of 402</w:t>
      </w:r>
      <w:r w:rsidR="00056615">
        <w:t xml:space="preserve"> × </w:t>
      </w:r>
      <w:r w:rsidRPr="0032201E">
        <w:t>165 km. This was discretised using 1500</w:t>
      </w:r>
      <w:r w:rsidR="00056615">
        <w:t xml:space="preserve"> × </w:t>
      </w:r>
      <w:r w:rsidRPr="0032201E">
        <w:t>1500 m cells into 268 rows and 11 columns. The model featured 18 layers and a mixture of specified flux (</w:t>
      </w:r>
      <w:r w:rsidR="00C85DC3">
        <w:t xml:space="preserve">i.e., </w:t>
      </w:r>
      <w:r w:rsidRPr="0032201E">
        <w:t>Neumann) and hydraulic head-dependent (</w:t>
      </w:r>
      <w:r w:rsidR="00C85DC3">
        <w:t xml:space="preserve">i.e., </w:t>
      </w:r>
      <w:r w:rsidRPr="0032201E">
        <w:t xml:space="preserve">Cauchy) boundary conditions. The discretisation of model layers is shown </w:t>
      </w:r>
      <w:r w:rsidRPr="00475872">
        <w:t xml:space="preserve">in </w:t>
      </w:r>
      <w:r w:rsidR="00102009">
        <w:fldChar w:fldCharType="begin"/>
      </w:r>
      <w:r w:rsidR="00102009">
        <w:instrText xml:space="preserve"> REF _Ref422388049 \h  \* MERGEFORMAT </w:instrText>
      </w:r>
      <w:r w:rsidR="00102009">
        <w:fldChar w:fldCharType="separate"/>
      </w:r>
      <w:r w:rsidR="00C52E30" w:rsidRPr="00C52E30">
        <w:rPr>
          <w:rStyle w:val="BodyChar"/>
        </w:rPr>
        <w:t>Table 16</w:t>
      </w:r>
      <w:r w:rsidR="00102009">
        <w:fldChar w:fldCharType="end"/>
      </w:r>
      <w:r w:rsidRPr="00475872">
        <w:t>. For</w:t>
      </w:r>
      <w:r w:rsidRPr="0032201E">
        <w:t xml:space="preserve"> this model, the Rewan Formation represents the key aquitard that will affect the vertical propagation of hydraulic stresses induced in the underlying coal seams by CSG production.</w:t>
      </w:r>
    </w:p>
    <w:p w14:paraId="3038A4C7" w14:textId="5162A63D" w:rsidR="0032201E" w:rsidRPr="0032201E" w:rsidRDefault="0032201E" w:rsidP="00475872">
      <w:pPr>
        <w:pStyle w:val="Body"/>
      </w:pPr>
      <w:r w:rsidRPr="0032201E">
        <w:t>Model layers 1–4 were assigned on a one-to-one basis (</w:t>
      </w:r>
      <w:r w:rsidR="00102009">
        <w:fldChar w:fldCharType="begin"/>
      </w:r>
      <w:r w:rsidR="00102009">
        <w:instrText xml:space="preserve"> REF _Ref422388049 \h  \* MERGEFORMAT </w:instrText>
      </w:r>
      <w:r w:rsidR="00102009">
        <w:fldChar w:fldCharType="separate"/>
      </w:r>
      <w:r w:rsidR="00C52E30" w:rsidRPr="00C52E30">
        <w:rPr>
          <w:rStyle w:val="BodyChar"/>
        </w:rPr>
        <w:t>Table 16</w:t>
      </w:r>
      <w:r w:rsidR="00102009">
        <w:fldChar w:fldCharType="end"/>
      </w:r>
      <w:r w:rsidRPr="0032201E">
        <w:t xml:space="preserve">). The Rangal Coal Measures and the Fort Cooper Sandstone were both discretised using three model layers (5–7 and 8–10). The Moranbah Coal Measures was discretised using five model layers (11-17). </w:t>
      </w:r>
    </w:p>
    <w:p w14:paraId="08162443"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5479DA22" w14:textId="77777777" w:rsidR="0032201E" w:rsidRPr="0032201E" w:rsidRDefault="00471824" w:rsidP="00471824">
      <w:pPr>
        <w:pStyle w:val="Imagecaption"/>
        <w:keepNext/>
        <w:pBdr>
          <w:top w:val="none" w:sz="0" w:space="0" w:color="auto"/>
        </w:pBdr>
      </w:pPr>
      <w:bookmarkStart w:id="266" w:name="_Ref422388049"/>
      <w:bookmarkStart w:id="267" w:name="_Toc449696236"/>
      <w:r>
        <w:t xml:space="preserve">Table </w:t>
      </w:r>
      <w:r w:rsidR="00084CDD">
        <w:fldChar w:fldCharType="begin"/>
      </w:r>
      <w:r w:rsidR="00144B4F">
        <w:instrText xml:space="preserve"> SEQ Table \* ARABIC </w:instrText>
      </w:r>
      <w:r w:rsidR="00084CDD">
        <w:fldChar w:fldCharType="separate"/>
      </w:r>
      <w:r w:rsidR="00C52E30">
        <w:rPr>
          <w:noProof/>
        </w:rPr>
        <w:t>16</w:t>
      </w:r>
      <w:r w:rsidR="00084CDD">
        <w:rPr>
          <w:noProof/>
        </w:rPr>
        <w:fldChar w:fldCharType="end"/>
      </w:r>
      <w:bookmarkEnd w:id="266"/>
      <w:r>
        <w:t xml:space="preserve">. </w:t>
      </w:r>
      <w:r w:rsidR="005A2033">
        <w:t>Summary of geological units, hydrostratigraphic units and groundwater flow model layers represented in Arrow Energy Bowen Basin groundwater flow model.</w:t>
      </w:r>
      <w:bookmarkEnd w:id="267"/>
    </w:p>
    <w:tbl>
      <w:tblPr>
        <w:tblW w:w="4499" w:type="pct"/>
        <w:tblLook w:val="04A0" w:firstRow="1" w:lastRow="0" w:firstColumn="1" w:lastColumn="0" w:noHBand="0" w:noVBand="1"/>
      </w:tblPr>
      <w:tblGrid>
        <w:gridCol w:w="2252"/>
        <w:gridCol w:w="2371"/>
        <w:gridCol w:w="2371"/>
        <w:gridCol w:w="1122"/>
      </w:tblGrid>
      <w:tr w:rsidR="0032201E" w:rsidRPr="0032201E" w14:paraId="35911349" w14:textId="77777777" w:rsidTr="0032201E">
        <w:trPr>
          <w:trHeight w:val="133"/>
        </w:trPr>
        <w:tc>
          <w:tcPr>
            <w:tcW w:w="1387" w:type="pct"/>
            <w:vMerge w:val="restart"/>
            <w:tcBorders>
              <w:top w:val="single" w:sz="4" w:space="0" w:color="auto"/>
              <w:left w:val="nil"/>
              <w:right w:val="nil"/>
            </w:tcBorders>
            <w:shd w:val="clear" w:color="auto" w:fill="auto"/>
            <w:noWrap/>
            <w:vAlign w:val="center"/>
            <w:hideMark/>
          </w:tcPr>
          <w:p w14:paraId="61B2223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2922" w:type="pct"/>
            <w:gridSpan w:val="2"/>
            <w:tcBorders>
              <w:top w:val="single" w:sz="4" w:space="0" w:color="auto"/>
              <w:left w:val="nil"/>
              <w:right w:val="nil"/>
            </w:tcBorders>
            <w:vAlign w:val="center"/>
          </w:tcPr>
          <w:p w14:paraId="09D880D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Hydrostratigraphic unit</w:t>
            </w:r>
          </w:p>
        </w:tc>
        <w:tc>
          <w:tcPr>
            <w:tcW w:w="691" w:type="pct"/>
            <w:vMerge w:val="restart"/>
            <w:tcBorders>
              <w:top w:val="single" w:sz="4" w:space="0" w:color="auto"/>
              <w:left w:val="nil"/>
              <w:right w:val="nil"/>
            </w:tcBorders>
            <w:vAlign w:val="center"/>
          </w:tcPr>
          <w:p w14:paraId="51D3633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Model layer</w:t>
            </w:r>
          </w:p>
        </w:tc>
      </w:tr>
      <w:tr w:rsidR="0032201E" w:rsidRPr="0032201E" w14:paraId="3836887F" w14:textId="77777777" w:rsidTr="0032201E">
        <w:trPr>
          <w:trHeight w:val="133"/>
        </w:trPr>
        <w:tc>
          <w:tcPr>
            <w:tcW w:w="1387" w:type="pct"/>
            <w:vMerge/>
            <w:tcBorders>
              <w:left w:val="nil"/>
              <w:bottom w:val="single" w:sz="4" w:space="0" w:color="auto"/>
              <w:right w:val="nil"/>
            </w:tcBorders>
            <w:shd w:val="clear" w:color="auto" w:fill="auto"/>
            <w:noWrap/>
            <w:vAlign w:val="bottom"/>
            <w:hideMark/>
          </w:tcPr>
          <w:p w14:paraId="199DB21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bottom w:val="single" w:sz="4" w:space="0" w:color="auto"/>
              <w:right w:val="nil"/>
            </w:tcBorders>
            <w:vAlign w:val="center"/>
          </w:tcPr>
          <w:p w14:paraId="51C6A6C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1461" w:type="pct"/>
            <w:tcBorders>
              <w:left w:val="nil"/>
              <w:bottom w:val="single" w:sz="4" w:space="0" w:color="auto"/>
              <w:right w:val="nil"/>
            </w:tcBorders>
            <w:vAlign w:val="center"/>
          </w:tcPr>
          <w:p w14:paraId="4CF9DD0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aquitard</w:t>
            </w:r>
          </w:p>
        </w:tc>
        <w:tc>
          <w:tcPr>
            <w:tcW w:w="691" w:type="pct"/>
            <w:vMerge/>
            <w:tcBorders>
              <w:left w:val="nil"/>
              <w:bottom w:val="single" w:sz="4" w:space="0" w:color="auto"/>
              <w:right w:val="nil"/>
            </w:tcBorders>
            <w:vAlign w:val="bottom"/>
          </w:tcPr>
          <w:p w14:paraId="28A0B46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r>
      <w:tr w:rsidR="0032201E" w:rsidRPr="0032201E" w14:paraId="57F68B6D" w14:textId="77777777" w:rsidTr="00DE115D">
        <w:trPr>
          <w:trHeight w:val="264"/>
        </w:trPr>
        <w:tc>
          <w:tcPr>
            <w:tcW w:w="1387" w:type="pct"/>
            <w:tcBorders>
              <w:top w:val="single" w:sz="4" w:space="0" w:color="auto"/>
              <w:left w:val="nil"/>
              <w:bottom w:val="nil"/>
              <w:right w:val="nil"/>
            </w:tcBorders>
            <w:shd w:val="clear" w:color="auto" w:fill="F2F2F2" w:themeFill="background2" w:themeFillShade="F2"/>
            <w:noWrap/>
            <w:vAlign w:val="bottom"/>
            <w:hideMark/>
          </w:tcPr>
          <w:p w14:paraId="1F1F543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Quaternary Alluvium</w:t>
            </w:r>
          </w:p>
        </w:tc>
        <w:tc>
          <w:tcPr>
            <w:tcW w:w="1461" w:type="pct"/>
            <w:tcBorders>
              <w:top w:val="single" w:sz="4" w:space="0" w:color="auto"/>
              <w:left w:val="nil"/>
              <w:right w:val="nil"/>
            </w:tcBorders>
            <w:shd w:val="clear" w:color="auto" w:fill="F2F2F2" w:themeFill="background2" w:themeFillShade="F2"/>
          </w:tcPr>
          <w:p w14:paraId="0FEF9BC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461" w:type="pct"/>
            <w:tcBorders>
              <w:top w:val="single" w:sz="4" w:space="0" w:color="auto"/>
              <w:left w:val="nil"/>
              <w:right w:val="nil"/>
            </w:tcBorders>
            <w:shd w:val="clear" w:color="auto" w:fill="F2F2F2" w:themeFill="background2" w:themeFillShade="F2"/>
          </w:tcPr>
          <w:p w14:paraId="7637DF2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top w:val="single" w:sz="4" w:space="0" w:color="auto"/>
              <w:left w:val="nil"/>
              <w:right w:val="nil"/>
            </w:tcBorders>
            <w:shd w:val="clear" w:color="auto" w:fill="F2F2F2" w:themeFill="background2" w:themeFillShade="F2"/>
            <w:vAlign w:val="bottom"/>
          </w:tcPr>
          <w:p w14:paraId="5879E943"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r>
      <w:tr w:rsidR="0032201E" w:rsidRPr="0032201E" w14:paraId="409693C9"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284FB78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Tertiary sediments</w:t>
            </w:r>
          </w:p>
        </w:tc>
        <w:tc>
          <w:tcPr>
            <w:tcW w:w="1461" w:type="pct"/>
            <w:tcBorders>
              <w:left w:val="nil"/>
              <w:right w:val="nil"/>
            </w:tcBorders>
            <w:shd w:val="clear" w:color="auto" w:fill="F2F2F2" w:themeFill="background2" w:themeFillShade="F2"/>
          </w:tcPr>
          <w:p w14:paraId="153FA0B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461" w:type="pct"/>
            <w:tcBorders>
              <w:left w:val="nil"/>
              <w:right w:val="nil"/>
            </w:tcBorders>
            <w:shd w:val="clear" w:color="auto" w:fill="F2F2F2" w:themeFill="background2" w:themeFillShade="F2"/>
          </w:tcPr>
          <w:p w14:paraId="45053F9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75650C52"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w:t>
            </w:r>
          </w:p>
        </w:tc>
      </w:tr>
      <w:tr w:rsidR="0032201E" w:rsidRPr="0032201E" w14:paraId="3ED97AAB"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6BB0525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Clematis Sandstone</w:t>
            </w:r>
          </w:p>
        </w:tc>
        <w:tc>
          <w:tcPr>
            <w:tcW w:w="1461" w:type="pct"/>
            <w:tcBorders>
              <w:left w:val="nil"/>
              <w:right w:val="nil"/>
            </w:tcBorders>
            <w:shd w:val="clear" w:color="auto" w:fill="F2F2F2" w:themeFill="background2" w:themeFillShade="F2"/>
          </w:tcPr>
          <w:p w14:paraId="6654E3D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461" w:type="pct"/>
            <w:tcBorders>
              <w:left w:val="nil"/>
              <w:right w:val="nil"/>
            </w:tcBorders>
            <w:shd w:val="clear" w:color="auto" w:fill="F2F2F2" w:themeFill="background2" w:themeFillShade="F2"/>
          </w:tcPr>
          <w:p w14:paraId="61B6C87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3C345624"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3</w:t>
            </w:r>
          </w:p>
        </w:tc>
      </w:tr>
      <w:tr w:rsidR="0032201E" w:rsidRPr="0032201E" w14:paraId="5B2F575E" w14:textId="77777777" w:rsidTr="0032201E">
        <w:trPr>
          <w:trHeight w:val="264"/>
        </w:trPr>
        <w:tc>
          <w:tcPr>
            <w:tcW w:w="1387" w:type="pct"/>
            <w:tcBorders>
              <w:top w:val="nil"/>
              <w:left w:val="nil"/>
              <w:bottom w:val="nil"/>
              <w:right w:val="nil"/>
            </w:tcBorders>
            <w:shd w:val="clear" w:color="auto" w:fill="auto"/>
            <w:noWrap/>
            <w:vAlign w:val="bottom"/>
            <w:hideMark/>
          </w:tcPr>
          <w:p w14:paraId="3843D8E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Rewan Formation</w:t>
            </w:r>
          </w:p>
        </w:tc>
        <w:tc>
          <w:tcPr>
            <w:tcW w:w="1461" w:type="pct"/>
            <w:tcBorders>
              <w:left w:val="nil"/>
              <w:right w:val="nil"/>
            </w:tcBorders>
          </w:tcPr>
          <w:p w14:paraId="1DE5B7A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461" w:type="pct"/>
            <w:tcBorders>
              <w:left w:val="nil"/>
              <w:right w:val="nil"/>
            </w:tcBorders>
          </w:tcPr>
          <w:p w14:paraId="10C3DE1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691" w:type="pct"/>
            <w:tcBorders>
              <w:left w:val="nil"/>
              <w:right w:val="nil"/>
            </w:tcBorders>
            <w:vAlign w:val="bottom"/>
          </w:tcPr>
          <w:p w14:paraId="452C9A7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4</w:t>
            </w:r>
          </w:p>
        </w:tc>
      </w:tr>
      <w:tr w:rsidR="0032201E" w:rsidRPr="0032201E" w14:paraId="25F109FD"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4237A69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Rangal Coal Measures</w:t>
            </w:r>
          </w:p>
        </w:tc>
        <w:tc>
          <w:tcPr>
            <w:tcW w:w="1461" w:type="pct"/>
            <w:tcBorders>
              <w:left w:val="nil"/>
              <w:right w:val="nil"/>
            </w:tcBorders>
            <w:shd w:val="clear" w:color="auto" w:fill="F2F2F2" w:themeFill="background2" w:themeFillShade="F2"/>
          </w:tcPr>
          <w:p w14:paraId="6BFDADF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461" w:type="pct"/>
            <w:tcBorders>
              <w:left w:val="nil"/>
              <w:right w:val="nil"/>
            </w:tcBorders>
            <w:shd w:val="clear" w:color="auto" w:fill="F2F2F2" w:themeFill="background2" w:themeFillShade="F2"/>
          </w:tcPr>
          <w:p w14:paraId="7E08AE4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2E12E53C"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5</w:t>
            </w:r>
          </w:p>
        </w:tc>
      </w:tr>
      <w:tr w:rsidR="0032201E" w:rsidRPr="0032201E" w14:paraId="58D91BF7" w14:textId="77777777" w:rsidTr="0032201E">
        <w:trPr>
          <w:trHeight w:val="264"/>
        </w:trPr>
        <w:tc>
          <w:tcPr>
            <w:tcW w:w="1387" w:type="pct"/>
            <w:tcBorders>
              <w:top w:val="nil"/>
              <w:left w:val="nil"/>
              <w:bottom w:val="nil"/>
              <w:right w:val="nil"/>
            </w:tcBorders>
            <w:shd w:val="clear" w:color="auto" w:fill="auto"/>
            <w:noWrap/>
            <w:vAlign w:val="bottom"/>
            <w:hideMark/>
          </w:tcPr>
          <w:p w14:paraId="2B18E48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tcPr>
          <w:p w14:paraId="75051DE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461" w:type="pct"/>
            <w:tcBorders>
              <w:left w:val="nil"/>
              <w:right w:val="nil"/>
            </w:tcBorders>
          </w:tcPr>
          <w:p w14:paraId="6058626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691" w:type="pct"/>
            <w:tcBorders>
              <w:left w:val="nil"/>
              <w:right w:val="nil"/>
            </w:tcBorders>
            <w:vAlign w:val="bottom"/>
          </w:tcPr>
          <w:p w14:paraId="39C5159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6</w:t>
            </w:r>
          </w:p>
        </w:tc>
      </w:tr>
      <w:tr w:rsidR="0032201E" w:rsidRPr="0032201E" w14:paraId="1540511D"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1C12A6B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shd w:val="clear" w:color="auto" w:fill="F2F2F2" w:themeFill="background2" w:themeFillShade="F2"/>
          </w:tcPr>
          <w:p w14:paraId="1292F8C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461" w:type="pct"/>
            <w:tcBorders>
              <w:left w:val="nil"/>
              <w:right w:val="nil"/>
            </w:tcBorders>
            <w:shd w:val="clear" w:color="auto" w:fill="F2F2F2" w:themeFill="background2" w:themeFillShade="F2"/>
          </w:tcPr>
          <w:p w14:paraId="2B5F920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0C723AA4"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7</w:t>
            </w:r>
          </w:p>
        </w:tc>
      </w:tr>
      <w:tr w:rsidR="0032201E" w:rsidRPr="0032201E" w14:paraId="6680FAE1" w14:textId="77777777" w:rsidTr="0032201E">
        <w:trPr>
          <w:trHeight w:val="264"/>
        </w:trPr>
        <w:tc>
          <w:tcPr>
            <w:tcW w:w="1387" w:type="pct"/>
            <w:tcBorders>
              <w:top w:val="nil"/>
              <w:left w:val="nil"/>
              <w:bottom w:val="nil"/>
              <w:right w:val="nil"/>
            </w:tcBorders>
            <w:shd w:val="clear" w:color="auto" w:fill="auto"/>
            <w:noWrap/>
            <w:vAlign w:val="bottom"/>
            <w:hideMark/>
          </w:tcPr>
          <w:p w14:paraId="5F748D77"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Fort Cooper Sandstone</w:t>
            </w:r>
          </w:p>
        </w:tc>
        <w:tc>
          <w:tcPr>
            <w:tcW w:w="1461" w:type="pct"/>
            <w:tcBorders>
              <w:left w:val="nil"/>
              <w:right w:val="nil"/>
            </w:tcBorders>
          </w:tcPr>
          <w:p w14:paraId="1563F67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non-target CSG reservoir</w:t>
            </w:r>
          </w:p>
        </w:tc>
        <w:tc>
          <w:tcPr>
            <w:tcW w:w="1461" w:type="pct"/>
            <w:tcBorders>
              <w:left w:val="nil"/>
              <w:right w:val="nil"/>
            </w:tcBorders>
          </w:tcPr>
          <w:p w14:paraId="36F2B36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vAlign w:val="bottom"/>
          </w:tcPr>
          <w:p w14:paraId="17D87804"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8</w:t>
            </w:r>
          </w:p>
        </w:tc>
      </w:tr>
      <w:tr w:rsidR="0032201E" w:rsidRPr="0032201E" w14:paraId="2C2A14B6" w14:textId="77777777" w:rsidTr="0032201E">
        <w:trPr>
          <w:trHeight w:val="264"/>
        </w:trPr>
        <w:tc>
          <w:tcPr>
            <w:tcW w:w="1387" w:type="pct"/>
            <w:tcBorders>
              <w:top w:val="nil"/>
              <w:left w:val="nil"/>
              <w:bottom w:val="nil"/>
              <w:right w:val="nil"/>
            </w:tcBorders>
            <w:shd w:val="clear" w:color="auto" w:fill="auto"/>
            <w:noWrap/>
            <w:vAlign w:val="bottom"/>
            <w:hideMark/>
          </w:tcPr>
          <w:p w14:paraId="7D258A3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tcPr>
          <w:p w14:paraId="243533B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non-target CSG reservoir</w:t>
            </w:r>
          </w:p>
        </w:tc>
        <w:tc>
          <w:tcPr>
            <w:tcW w:w="1461" w:type="pct"/>
            <w:tcBorders>
              <w:left w:val="nil"/>
              <w:right w:val="nil"/>
            </w:tcBorders>
          </w:tcPr>
          <w:p w14:paraId="280D6FD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vAlign w:val="bottom"/>
          </w:tcPr>
          <w:p w14:paraId="268735D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9</w:t>
            </w:r>
          </w:p>
        </w:tc>
      </w:tr>
      <w:tr w:rsidR="0032201E" w:rsidRPr="0032201E" w14:paraId="4403531A" w14:textId="77777777" w:rsidTr="0032201E">
        <w:trPr>
          <w:trHeight w:val="264"/>
        </w:trPr>
        <w:tc>
          <w:tcPr>
            <w:tcW w:w="1387" w:type="pct"/>
            <w:tcBorders>
              <w:top w:val="nil"/>
              <w:left w:val="nil"/>
              <w:bottom w:val="nil"/>
              <w:right w:val="nil"/>
            </w:tcBorders>
            <w:shd w:val="clear" w:color="auto" w:fill="auto"/>
            <w:noWrap/>
            <w:vAlign w:val="bottom"/>
            <w:hideMark/>
          </w:tcPr>
          <w:p w14:paraId="6569512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tcPr>
          <w:p w14:paraId="145B002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non-target CSG reservoir</w:t>
            </w:r>
          </w:p>
        </w:tc>
        <w:tc>
          <w:tcPr>
            <w:tcW w:w="1461" w:type="pct"/>
            <w:tcBorders>
              <w:left w:val="nil"/>
              <w:right w:val="nil"/>
            </w:tcBorders>
          </w:tcPr>
          <w:p w14:paraId="022116A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vAlign w:val="bottom"/>
          </w:tcPr>
          <w:p w14:paraId="4A6FF47E"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10</w:t>
            </w:r>
          </w:p>
        </w:tc>
      </w:tr>
      <w:tr w:rsidR="0032201E" w:rsidRPr="0032201E" w14:paraId="60956642"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4E97E84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Moranbah Coal Measures </w:t>
            </w:r>
          </w:p>
        </w:tc>
        <w:tc>
          <w:tcPr>
            <w:tcW w:w="1461" w:type="pct"/>
            <w:tcBorders>
              <w:left w:val="nil"/>
              <w:right w:val="nil"/>
            </w:tcBorders>
            <w:shd w:val="clear" w:color="auto" w:fill="F2F2F2" w:themeFill="background2" w:themeFillShade="F2"/>
          </w:tcPr>
          <w:p w14:paraId="34B7ECB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461" w:type="pct"/>
            <w:tcBorders>
              <w:left w:val="nil"/>
              <w:right w:val="nil"/>
            </w:tcBorders>
            <w:shd w:val="clear" w:color="auto" w:fill="F2F2F2" w:themeFill="background2" w:themeFillShade="F2"/>
          </w:tcPr>
          <w:p w14:paraId="0F006C3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1E453881"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11</w:t>
            </w:r>
          </w:p>
        </w:tc>
      </w:tr>
      <w:tr w:rsidR="0032201E" w:rsidRPr="0032201E" w14:paraId="6416AF4E" w14:textId="77777777" w:rsidTr="0032201E">
        <w:trPr>
          <w:trHeight w:val="264"/>
        </w:trPr>
        <w:tc>
          <w:tcPr>
            <w:tcW w:w="1387" w:type="pct"/>
            <w:tcBorders>
              <w:top w:val="nil"/>
              <w:left w:val="nil"/>
              <w:bottom w:val="nil"/>
              <w:right w:val="nil"/>
            </w:tcBorders>
            <w:shd w:val="clear" w:color="auto" w:fill="auto"/>
            <w:noWrap/>
            <w:vAlign w:val="bottom"/>
            <w:hideMark/>
          </w:tcPr>
          <w:p w14:paraId="5E80D10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tcPr>
          <w:p w14:paraId="0EE1198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461" w:type="pct"/>
            <w:tcBorders>
              <w:left w:val="nil"/>
              <w:right w:val="nil"/>
            </w:tcBorders>
          </w:tcPr>
          <w:p w14:paraId="6C9DD55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691" w:type="pct"/>
            <w:tcBorders>
              <w:left w:val="nil"/>
              <w:right w:val="nil"/>
            </w:tcBorders>
            <w:vAlign w:val="bottom"/>
          </w:tcPr>
          <w:p w14:paraId="7E0D6CDF"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12</w:t>
            </w:r>
          </w:p>
        </w:tc>
      </w:tr>
      <w:tr w:rsidR="0032201E" w:rsidRPr="0032201E" w14:paraId="594B180F"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55502CC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shd w:val="clear" w:color="auto" w:fill="F2F2F2" w:themeFill="background2" w:themeFillShade="F2"/>
          </w:tcPr>
          <w:p w14:paraId="7FD1FE1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461" w:type="pct"/>
            <w:tcBorders>
              <w:left w:val="nil"/>
              <w:right w:val="nil"/>
            </w:tcBorders>
            <w:shd w:val="clear" w:color="auto" w:fill="F2F2F2" w:themeFill="background2" w:themeFillShade="F2"/>
          </w:tcPr>
          <w:p w14:paraId="360EB77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6DA11FBA"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13</w:t>
            </w:r>
          </w:p>
        </w:tc>
      </w:tr>
      <w:tr w:rsidR="0032201E" w:rsidRPr="0032201E" w14:paraId="2CE92EB1" w14:textId="77777777" w:rsidTr="0032201E">
        <w:trPr>
          <w:trHeight w:val="264"/>
        </w:trPr>
        <w:tc>
          <w:tcPr>
            <w:tcW w:w="1387" w:type="pct"/>
            <w:tcBorders>
              <w:top w:val="nil"/>
              <w:left w:val="nil"/>
              <w:bottom w:val="nil"/>
              <w:right w:val="nil"/>
            </w:tcBorders>
            <w:shd w:val="clear" w:color="auto" w:fill="auto"/>
            <w:noWrap/>
            <w:vAlign w:val="bottom"/>
            <w:hideMark/>
          </w:tcPr>
          <w:p w14:paraId="30E6CA1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tcPr>
          <w:p w14:paraId="20E3E1F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461" w:type="pct"/>
            <w:tcBorders>
              <w:left w:val="nil"/>
              <w:right w:val="nil"/>
            </w:tcBorders>
          </w:tcPr>
          <w:p w14:paraId="6160CC7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691" w:type="pct"/>
            <w:tcBorders>
              <w:left w:val="nil"/>
              <w:right w:val="nil"/>
            </w:tcBorders>
            <w:vAlign w:val="bottom"/>
          </w:tcPr>
          <w:p w14:paraId="59910E94"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14</w:t>
            </w:r>
          </w:p>
        </w:tc>
      </w:tr>
      <w:tr w:rsidR="0032201E" w:rsidRPr="0032201E" w14:paraId="1857C83F"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08B0F77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shd w:val="clear" w:color="auto" w:fill="F2F2F2" w:themeFill="background2" w:themeFillShade="F2"/>
          </w:tcPr>
          <w:p w14:paraId="081389A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461" w:type="pct"/>
            <w:tcBorders>
              <w:left w:val="nil"/>
              <w:right w:val="nil"/>
            </w:tcBorders>
            <w:shd w:val="clear" w:color="auto" w:fill="F2F2F2" w:themeFill="background2" w:themeFillShade="F2"/>
          </w:tcPr>
          <w:p w14:paraId="709455D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05AEA76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r>
      <w:tr w:rsidR="0032201E" w:rsidRPr="0032201E" w14:paraId="10CA829D" w14:textId="77777777" w:rsidTr="0032201E">
        <w:trPr>
          <w:trHeight w:val="264"/>
        </w:trPr>
        <w:tc>
          <w:tcPr>
            <w:tcW w:w="1387" w:type="pct"/>
            <w:tcBorders>
              <w:top w:val="nil"/>
              <w:left w:val="nil"/>
              <w:bottom w:val="nil"/>
              <w:right w:val="nil"/>
            </w:tcBorders>
            <w:shd w:val="clear" w:color="auto" w:fill="auto"/>
            <w:noWrap/>
            <w:vAlign w:val="bottom"/>
            <w:hideMark/>
          </w:tcPr>
          <w:p w14:paraId="7AA9DF77"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tcPr>
          <w:p w14:paraId="61EEDC7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461" w:type="pct"/>
            <w:tcBorders>
              <w:left w:val="nil"/>
              <w:right w:val="nil"/>
            </w:tcBorders>
          </w:tcPr>
          <w:p w14:paraId="238D251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691" w:type="pct"/>
            <w:tcBorders>
              <w:left w:val="nil"/>
              <w:right w:val="nil"/>
            </w:tcBorders>
            <w:vAlign w:val="bottom"/>
          </w:tcPr>
          <w:p w14:paraId="78D4A4FD"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16</w:t>
            </w:r>
          </w:p>
        </w:tc>
      </w:tr>
      <w:tr w:rsidR="0032201E" w:rsidRPr="0032201E" w14:paraId="30BE879C" w14:textId="77777777" w:rsidTr="00DE115D">
        <w:trPr>
          <w:trHeight w:val="264"/>
        </w:trPr>
        <w:tc>
          <w:tcPr>
            <w:tcW w:w="1387" w:type="pct"/>
            <w:tcBorders>
              <w:top w:val="nil"/>
              <w:left w:val="nil"/>
              <w:bottom w:val="nil"/>
              <w:right w:val="nil"/>
            </w:tcBorders>
            <w:shd w:val="clear" w:color="auto" w:fill="F2F2F2" w:themeFill="background2" w:themeFillShade="F2"/>
            <w:noWrap/>
            <w:vAlign w:val="bottom"/>
            <w:hideMark/>
          </w:tcPr>
          <w:p w14:paraId="4401688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p>
        </w:tc>
        <w:tc>
          <w:tcPr>
            <w:tcW w:w="1461" w:type="pct"/>
            <w:tcBorders>
              <w:left w:val="nil"/>
              <w:right w:val="nil"/>
            </w:tcBorders>
            <w:shd w:val="clear" w:color="auto" w:fill="F2F2F2" w:themeFill="background2" w:themeFillShade="F2"/>
          </w:tcPr>
          <w:p w14:paraId="0513ABF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461" w:type="pct"/>
            <w:tcBorders>
              <w:left w:val="nil"/>
              <w:right w:val="nil"/>
            </w:tcBorders>
            <w:shd w:val="clear" w:color="auto" w:fill="F2F2F2" w:themeFill="background2" w:themeFillShade="F2"/>
          </w:tcPr>
          <w:p w14:paraId="5EB8903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691" w:type="pct"/>
            <w:tcBorders>
              <w:left w:val="nil"/>
              <w:right w:val="nil"/>
            </w:tcBorders>
            <w:shd w:val="clear" w:color="auto" w:fill="F2F2F2" w:themeFill="background2" w:themeFillShade="F2"/>
            <w:vAlign w:val="bottom"/>
          </w:tcPr>
          <w:p w14:paraId="6981B9B7"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17</w:t>
            </w:r>
          </w:p>
        </w:tc>
      </w:tr>
      <w:tr w:rsidR="0032201E" w:rsidRPr="0032201E" w14:paraId="65833493" w14:textId="77777777" w:rsidTr="0032201E">
        <w:trPr>
          <w:trHeight w:val="264"/>
        </w:trPr>
        <w:tc>
          <w:tcPr>
            <w:tcW w:w="1387" w:type="pct"/>
            <w:tcBorders>
              <w:top w:val="nil"/>
              <w:left w:val="nil"/>
              <w:right w:val="nil"/>
            </w:tcBorders>
            <w:shd w:val="clear" w:color="auto" w:fill="auto"/>
            <w:noWrap/>
            <w:vAlign w:val="bottom"/>
            <w:hideMark/>
          </w:tcPr>
          <w:p w14:paraId="1865354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Collinsville Coal Measures </w:t>
            </w:r>
          </w:p>
        </w:tc>
        <w:tc>
          <w:tcPr>
            <w:tcW w:w="1461" w:type="pct"/>
            <w:tcBorders>
              <w:left w:val="nil"/>
              <w:right w:val="nil"/>
            </w:tcBorders>
          </w:tcPr>
          <w:p w14:paraId="7DB8C05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461" w:type="pct"/>
            <w:tcBorders>
              <w:left w:val="nil"/>
              <w:right w:val="nil"/>
            </w:tcBorders>
          </w:tcPr>
          <w:p w14:paraId="33B7157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691" w:type="pct"/>
            <w:tcBorders>
              <w:left w:val="nil"/>
              <w:right w:val="nil"/>
            </w:tcBorders>
            <w:vAlign w:val="bottom"/>
          </w:tcPr>
          <w:p w14:paraId="11BEF329"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18</w:t>
            </w:r>
          </w:p>
        </w:tc>
      </w:tr>
      <w:tr w:rsidR="0032201E" w:rsidRPr="0032201E" w14:paraId="1D67D17B" w14:textId="77777777" w:rsidTr="0032201E">
        <w:trPr>
          <w:trHeight w:val="264"/>
        </w:trPr>
        <w:tc>
          <w:tcPr>
            <w:tcW w:w="1387" w:type="pct"/>
            <w:tcBorders>
              <w:top w:val="nil"/>
              <w:left w:val="nil"/>
              <w:bottom w:val="single" w:sz="4" w:space="0" w:color="auto"/>
              <w:right w:val="nil"/>
            </w:tcBorders>
            <w:shd w:val="clear" w:color="auto" w:fill="auto"/>
            <w:noWrap/>
            <w:vAlign w:val="bottom"/>
            <w:hideMark/>
          </w:tcPr>
          <w:p w14:paraId="7584CC9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Back Creek Group</w:t>
            </w:r>
          </w:p>
        </w:tc>
        <w:tc>
          <w:tcPr>
            <w:tcW w:w="1461" w:type="pct"/>
            <w:tcBorders>
              <w:left w:val="nil"/>
              <w:bottom w:val="single" w:sz="4" w:space="0" w:color="auto"/>
              <w:right w:val="nil"/>
            </w:tcBorders>
          </w:tcPr>
          <w:p w14:paraId="02A9608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461" w:type="pct"/>
            <w:tcBorders>
              <w:left w:val="nil"/>
              <w:bottom w:val="single" w:sz="4" w:space="0" w:color="auto"/>
              <w:right w:val="nil"/>
            </w:tcBorders>
          </w:tcPr>
          <w:p w14:paraId="36E8B9D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impermeable basement</w:t>
            </w:r>
          </w:p>
        </w:tc>
        <w:tc>
          <w:tcPr>
            <w:tcW w:w="691" w:type="pct"/>
            <w:tcBorders>
              <w:left w:val="nil"/>
              <w:bottom w:val="single" w:sz="4" w:space="0" w:color="auto"/>
              <w:right w:val="nil"/>
            </w:tcBorders>
            <w:vAlign w:val="bottom"/>
          </w:tcPr>
          <w:p w14:paraId="192E39B0" w14:textId="77777777" w:rsidR="0032201E" w:rsidRPr="0032201E" w:rsidRDefault="0032201E" w:rsidP="002702C8">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18</w:t>
            </w:r>
          </w:p>
        </w:tc>
      </w:tr>
    </w:tbl>
    <w:p w14:paraId="32DC2C88"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43A536DF" w14:textId="77777777" w:rsidR="00EC2A45" w:rsidRDefault="00EC2A45" w:rsidP="00EC2A45">
      <w:pPr>
        <w:pStyle w:val="Body"/>
      </w:pPr>
      <w:r w:rsidRPr="00EC2A45">
        <w:t xml:space="preserve">Hydraulic conductivity values were informed by literature review and from field observations. The permeability (and therefore hydraulic conductivity) of modelled coal layers was calculated using exponential functions of depth. </w:t>
      </w:r>
      <w:r w:rsidR="0032201E" w:rsidRPr="0032201E">
        <w:t xml:space="preserve">The vertical hydraulic conductivity of coal model layers was assumed to be one-fifth of horizontal hydraulic conductivity. Isotropy was assumed for all other model layers. Specific storage values were obtained from literature review and from laboratory testing of coal cores. The spatial variability of hydraulic properties was not considered; all model layers featured homogeneous hydraulic conductivity and specific storage values. In order to test the sensitivity of modelled impacts the presence of geological faults, these were included in the model using the Horizontal Flow Barrier package </w:t>
      </w:r>
      <w:r w:rsidR="00084CDD" w:rsidRPr="0032201E">
        <w:fldChar w:fldCharType="begin"/>
      </w:r>
      <w:r w:rsidR="0032201E" w:rsidRPr="0032201E">
        <w:instrText xml:space="preserve"> ADDIN EN.CITE &lt;EndNote&gt;&lt;Cite&gt;&lt;Author&gt;Hsieh&lt;/Author&gt;&lt;Year&gt;1993&lt;/Year&gt;&lt;IDText&gt;Documentation of a computer program to simulate horizontal-flow barriers using the US Geological Survey&amp;apos;s modular three-dimensional finite-difference ground-water flow model&lt;/IDText&gt;&lt;DisplayText&gt;(Hsieh and Freckleton, 1993)&lt;/DisplayText&gt;&lt;record&gt;&lt;titles&gt;&lt;title&gt;Documentation of a computer program to simulate horizontal-flow barriers using the US Geological Survey&amp;apos;s modular three-dimensional finite-difference ground-water flow model&lt;/title&gt;&lt;/titles&gt;&lt;contributors&gt;&lt;authors&gt;&lt;author&gt;Hsieh, Paul A&lt;/author&gt;&lt;author&gt;Freckleton, John R&lt;/author&gt;&lt;/authors&gt;&lt;/contributors&gt;&lt;added-date format="utc"&gt;1434100500&lt;/added-date&gt;&lt;ref-type name="Book"&gt;6&lt;/ref-type&gt;&lt;dates&gt;&lt;year&gt;1993&lt;/year&gt;&lt;/dates&gt;&lt;rec-number&gt;292&lt;/rec-number&gt;&lt;publisher&gt;US Department of the Interior, US Geological Survey&lt;/publisher&gt;&lt;last-updated-date format="utc"&gt;1434100500&lt;/last-updated-date&gt;&lt;/record&gt;&lt;/Cite&gt;&lt;/EndNote&gt;</w:instrText>
      </w:r>
      <w:r w:rsidR="00084CDD" w:rsidRPr="0032201E">
        <w:fldChar w:fldCharType="separate"/>
      </w:r>
      <w:r w:rsidR="0032201E" w:rsidRPr="0032201E">
        <w:rPr>
          <w:noProof/>
        </w:rPr>
        <w:t>(Hsieh and Freckleton, 1993)</w:t>
      </w:r>
      <w:r w:rsidR="00084CDD" w:rsidRPr="0032201E">
        <w:fldChar w:fldCharType="end"/>
      </w:r>
      <w:r w:rsidR="0032201E" w:rsidRPr="0032201E">
        <w:t xml:space="preserve">. </w:t>
      </w:r>
      <w:r>
        <w:t>A one metre fault zone thickness was assumed, as was an isotropic hydraulic conductivity of 1</w:t>
      </w:r>
      <w:r w:rsidR="00056615">
        <w:t xml:space="preserve"> × </w:t>
      </w:r>
      <w:r>
        <w:t>10</w:t>
      </w:r>
      <w:r w:rsidRPr="00412631">
        <w:rPr>
          <w:vertAlign w:val="superscript"/>
        </w:rPr>
        <w:t>-9</w:t>
      </w:r>
      <w:r>
        <w:t xml:space="preserve"> (units not specified). Faults were represented in consolidated formations only.</w:t>
      </w:r>
    </w:p>
    <w:p w14:paraId="3436DE35" w14:textId="77777777" w:rsidR="0032201E" w:rsidRPr="0032201E" w:rsidRDefault="00EC2A45" w:rsidP="00EC2A45">
      <w:pPr>
        <w:pStyle w:val="Body"/>
      </w:pPr>
      <w:r>
        <w:t>CSG extraction was simulated using time-varying specified flux (i.e., Neumann) boundary conditions, based on yearly production estimates acquired from Arrow Energy. Using past observations of water and gas production obtained from Arrow Energy, continuous functions were developed to describe the volumes of water extracted over time at various depths. These were used to parameterise time-varying flux boundary conditions. Where a CSG bore intersected multiple coal seams, the extraction flux was partitioned equally across each seam.</w:t>
      </w:r>
    </w:p>
    <w:p w14:paraId="37F75EE3" w14:textId="77777777" w:rsidR="0032201E" w:rsidRPr="0032201E" w:rsidRDefault="0032201E" w:rsidP="00471824">
      <w:pPr>
        <w:pStyle w:val="Heading2"/>
      </w:pPr>
      <w:bookmarkStart w:id="268" w:name="_Ref445983700"/>
      <w:bookmarkStart w:id="269" w:name="_Toc449696831"/>
      <w:r w:rsidRPr="0032201E">
        <w:t>Gunnedah Basin</w:t>
      </w:r>
      <w:bookmarkEnd w:id="268"/>
      <w:bookmarkEnd w:id="269"/>
    </w:p>
    <w:p w14:paraId="27FFF6D2" w14:textId="77777777" w:rsidR="0032201E" w:rsidRPr="0032201E" w:rsidRDefault="0032201E" w:rsidP="00471824">
      <w:pPr>
        <w:pStyle w:val="Heading3"/>
      </w:pPr>
      <w:bookmarkStart w:id="270" w:name="_Toc449696832"/>
      <w:r w:rsidRPr="0032201E">
        <w:t>Santos</w:t>
      </w:r>
      <w:bookmarkEnd w:id="270"/>
    </w:p>
    <w:p w14:paraId="21AC8D4A" w14:textId="532B3A62" w:rsidR="0032201E" w:rsidRPr="0032201E" w:rsidRDefault="0032201E" w:rsidP="00475872">
      <w:pPr>
        <w:pStyle w:val="Body"/>
      </w:pPr>
      <w:r w:rsidRPr="0032201E">
        <w:t xml:space="preserve">As part of EIS requirements for the Narrabri Gas project, </w:t>
      </w:r>
      <w:r w:rsidR="00F87380">
        <w:t>Santos</w:t>
      </w:r>
      <w:r w:rsidRPr="0032201E">
        <w:t xml:space="preserve"> commissioned CDM Smith to develop a numerical groundwater flow model to provide estimates of CSG extraction impacts </w:t>
      </w:r>
      <w:r w:rsidR="00084CDD" w:rsidRPr="0032201E">
        <w:fldChar w:fldCharType="begin"/>
      </w:r>
      <w:r w:rsidRPr="0032201E">
        <w:instrText xml:space="preserve"> ADDIN EN.CITE &lt;EndNote&gt;&lt;Cite&gt;&lt;Author&gt;CDM Smith&lt;/Author&gt;&lt;Year&gt;2014&lt;/Year&gt;&lt;IDText&gt;Santos Narrabri Gas Project Groundwater Impact Assessment&lt;/IDText&gt;&lt;DisplayText&gt;(CDM Smith, 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fldChar w:fldCharType="separate"/>
      </w:r>
      <w:r w:rsidRPr="0032201E">
        <w:rPr>
          <w:noProof/>
        </w:rPr>
        <w:t>(CDM Smith, 2014)</w:t>
      </w:r>
      <w:r w:rsidR="00084CDD" w:rsidRPr="0032201E">
        <w:fldChar w:fldCharType="end"/>
      </w:r>
      <w:r w:rsidRPr="0032201E">
        <w:t>. Based on a LeapfrogHydro geological model, a MODFLOW–SURFACT model was developed, covering a total area of 53 219 km</w:t>
      </w:r>
      <w:r w:rsidRPr="0032201E">
        <w:rPr>
          <w:vertAlign w:val="superscript"/>
        </w:rPr>
        <w:t>2</w:t>
      </w:r>
      <w:r w:rsidRPr="0032201E">
        <w:t>. The spatial interpolation of geological data was undertaken using a proprietary approach based on radial basis functions (Beatson and Newsam 1992). For groundwater flow simulation, the geological domain was discretised using a combination of 1 km</w:t>
      </w:r>
      <w:r w:rsidRPr="0032201E">
        <w:rPr>
          <w:vertAlign w:val="superscript"/>
        </w:rPr>
        <w:t>2</w:t>
      </w:r>
      <w:r w:rsidRPr="0032201E">
        <w:t xml:space="preserve"> and 5 km</w:t>
      </w:r>
      <w:r w:rsidRPr="0032201E">
        <w:rPr>
          <w:vertAlign w:val="superscript"/>
        </w:rPr>
        <w:t>2</w:t>
      </w:r>
      <w:r w:rsidRPr="0032201E">
        <w:t xml:space="preserve"> cells into 238 rows and 126 columns. The model featured 24 layers and a mixture of specified flux (</w:t>
      </w:r>
      <w:r w:rsidR="00C85DC3">
        <w:t xml:space="preserve">i.e., </w:t>
      </w:r>
      <w:r w:rsidRPr="0032201E">
        <w:t>Neumann) and hydraulic head-dependent (</w:t>
      </w:r>
      <w:r w:rsidR="00C85DC3">
        <w:t xml:space="preserve">i.e., </w:t>
      </w:r>
      <w:r w:rsidRPr="0032201E">
        <w:t xml:space="preserve">Cauchy) boundary conditions. The discretisation of model layers is </w:t>
      </w:r>
      <w:r w:rsidRPr="00475872">
        <w:t xml:space="preserve">shown in </w:t>
      </w:r>
      <w:r w:rsidR="00102009">
        <w:fldChar w:fldCharType="begin"/>
      </w:r>
      <w:r w:rsidR="00102009">
        <w:instrText xml:space="preserve"> REF _Ref422388099 \h  \* MERGEFORMAT </w:instrText>
      </w:r>
      <w:r w:rsidR="00102009">
        <w:fldChar w:fldCharType="separate"/>
      </w:r>
      <w:r w:rsidR="00C52E30" w:rsidRPr="00C52E30">
        <w:rPr>
          <w:rStyle w:val="BodyChar"/>
        </w:rPr>
        <w:t>Table 17</w:t>
      </w:r>
      <w:r w:rsidR="00102009">
        <w:fldChar w:fldCharType="end"/>
      </w:r>
      <w:r w:rsidRPr="00475872">
        <w:t>. For</w:t>
      </w:r>
      <w:r w:rsidRPr="0032201E">
        <w:t xml:space="preserve"> this model, the aquitard sequence overlying the Hoskisson Coal represents the key aquitard that will affect the vertical propagation of hydraulic stresses induced in the underlying coal seams by CSG production to the overlying Pilliga Sandstone aquifer.</w:t>
      </w:r>
    </w:p>
    <w:p w14:paraId="311F777B" w14:textId="406D63C8" w:rsidR="00257A7F" w:rsidRDefault="0032201E" w:rsidP="00475872">
      <w:pPr>
        <w:pStyle w:val="Body"/>
      </w:pPr>
      <w:r w:rsidRPr="0032201E">
        <w:t>Geological model layers represented either a single geological unit (</w:t>
      </w:r>
      <w:r w:rsidR="00AA5ABA">
        <w:t xml:space="preserve">e.g., </w:t>
      </w:r>
      <w:r w:rsidRPr="0032201E">
        <w:t>Pilliga Sandstone) or a combination of multiple units (</w:t>
      </w:r>
      <w:r w:rsidR="00AA5ABA">
        <w:t xml:space="preserve">e.g., </w:t>
      </w:r>
      <w:r w:rsidRPr="0032201E">
        <w:t>layer 9) (</w:t>
      </w:r>
      <w:r w:rsidR="00102009">
        <w:fldChar w:fldCharType="begin"/>
      </w:r>
      <w:r w:rsidR="00102009">
        <w:instrText xml:space="preserve"> REF _Ref422388099 \h  \* MERGEFORMAT </w:instrText>
      </w:r>
      <w:r w:rsidR="00102009">
        <w:fldChar w:fldCharType="separate"/>
      </w:r>
      <w:r w:rsidR="00C52E30" w:rsidRPr="00C52E30">
        <w:rPr>
          <w:rStyle w:val="BodyChar"/>
        </w:rPr>
        <w:t>Table 17</w:t>
      </w:r>
      <w:r w:rsidR="00102009">
        <w:fldChar w:fldCharType="end"/>
      </w:r>
      <w:r w:rsidRPr="0032201E">
        <w:t>). Before the numerical discretisation of the geological layers (column 2) was undertaken, further aggregation was applied (column 3). For example, geological layers 5 to 9 (representing 11 geological units) were combined as</w:t>
      </w:r>
      <w:r w:rsidR="001F4267">
        <w:t xml:space="preserve"> a</w:t>
      </w:r>
      <w:r w:rsidRPr="0032201E">
        <w:t xml:space="preserve"> single aquitard. Numerical discretisation of the resulting hydrostratigraphic units was subsequently undertaken (column 4). For example, the single aggregated aquitard between the Pilliga Sandstone and the Hoskissons Coal was divided into six groundwater model layers. The thickness of model layers used to represent aquitards adjacent to CSG reservoirs was increased exponentially with increasing vertical distance from the reservoir units. </w:t>
      </w:r>
    </w:p>
    <w:p w14:paraId="042BDCA1" w14:textId="7230B124" w:rsidR="006E21D4" w:rsidRPr="0032201E" w:rsidRDefault="0032201E" w:rsidP="00475872">
      <w:pPr>
        <w:pStyle w:val="Body"/>
      </w:pPr>
      <w:r w:rsidRPr="0032201E">
        <w:t xml:space="preserve">CDM Smith </w:t>
      </w:r>
      <w:r w:rsidR="00084CDD" w:rsidRPr="0032201E">
        <w:fldChar w:fldCharType="begin"/>
      </w:r>
      <w:r w:rsidRPr="0032201E">
        <w:instrText xml:space="preserve"> ADDIN EN.CITE &lt;EndNote&gt;&lt;Cite ExcludeAuth="1"&gt;&lt;Author&gt;CDM Smith&lt;/Author&gt;&lt;Year&gt;2014&lt;/Year&gt;&lt;IDText&gt;Santos Narrabri Gas Project Groundwater Impact Assessment&lt;/IDText&gt;&lt;DisplayText&gt;(2014)&lt;/DisplayText&gt;&lt;record&gt;&lt;contributors&gt;&lt;tertiary-authors&gt;&lt;author&gt;CDM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fldChar w:fldCharType="separate"/>
      </w:r>
      <w:r w:rsidRPr="0032201E">
        <w:rPr>
          <w:noProof/>
        </w:rPr>
        <w:t>(2014)</w:t>
      </w:r>
      <w:r w:rsidR="00084CDD" w:rsidRPr="0032201E">
        <w:fldChar w:fldCharType="end"/>
      </w:r>
      <w:r w:rsidRPr="0032201E">
        <w:t xml:space="preserve"> described the rationale for discretising aquitards in this manner as follows.</w:t>
      </w:r>
      <w:r w:rsidR="00257A7F">
        <w:t xml:space="preserve"> </w:t>
      </w:r>
      <w:r w:rsidR="006E21D4" w:rsidRPr="0032201E">
        <w:t xml:space="preserve">The </w:t>
      </w:r>
      <w:r w:rsidR="00213259">
        <w:t>sudden decrease</w:t>
      </w:r>
      <w:r w:rsidR="006E21D4" w:rsidRPr="0032201E">
        <w:t xml:space="preserve"> of hydraulic heads </w:t>
      </w:r>
      <w:r w:rsidR="00213259">
        <w:t xml:space="preserve">in the CSG reservoir </w:t>
      </w:r>
      <w:r w:rsidR="006E21D4" w:rsidRPr="0032201E">
        <w:t xml:space="preserve">due to </w:t>
      </w:r>
      <w:r w:rsidR="00213259">
        <w:t>water</w:t>
      </w:r>
      <w:r w:rsidR="006E21D4" w:rsidRPr="0032201E">
        <w:t xml:space="preserve"> extraction leads to nonlinear hydraulic gradients in aquitards adjacent to </w:t>
      </w:r>
      <w:r w:rsidR="00213259">
        <w:t>the CSG reservoir</w:t>
      </w:r>
      <w:r w:rsidR="006E21D4" w:rsidRPr="0032201E">
        <w:t xml:space="preserve">, particularly near the interfaces of </w:t>
      </w:r>
      <w:r w:rsidR="00213259">
        <w:t>both</w:t>
      </w:r>
      <w:r w:rsidR="006E21D4" w:rsidRPr="0032201E">
        <w:t xml:space="preserve"> units. Therefore, the representation of nonlinear aquitard gradients in groundwater flow models and the associated releases of water from aquitards require</w:t>
      </w:r>
      <w:r w:rsidR="00810629">
        <w:t>s</w:t>
      </w:r>
      <w:r w:rsidR="006E21D4" w:rsidRPr="0032201E">
        <w:t xml:space="preserve"> appropriate vertical discretisation. The use of a single model layer per aquitard </w:t>
      </w:r>
      <w:r w:rsidR="00810629">
        <w:t>unit would be inappropriate, as it</w:t>
      </w:r>
      <w:r w:rsidR="006E21D4" w:rsidRPr="0032201E">
        <w:t xml:space="preserve"> implies a </w:t>
      </w:r>
      <w:r w:rsidR="00810629">
        <w:t>linear</w:t>
      </w:r>
      <w:r w:rsidR="006E21D4" w:rsidRPr="0032201E">
        <w:t xml:space="preserve"> hydraulic gradient </w:t>
      </w:r>
      <w:r w:rsidR="00810629">
        <w:t xml:space="preserve">across </w:t>
      </w:r>
      <w:r w:rsidR="006E21D4" w:rsidRPr="0032201E">
        <w:t xml:space="preserve">the aquitard and a near-instantaneous release of water from storage throughout the entire thickness of the aquitard in response to </w:t>
      </w:r>
      <w:r w:rsidR="00810629">
        <w:t>water</w:t>
      </w:r>
      <w:r w:rsidR="006E21D4" w:rsidRPr="0032201E">
        <w:t xml:space="preserve"> extraction. Instead, aquitard units adjacent to CSG reservoirs were represented using multiple model layers</w:t>
      </w:r>
      <w:r w:rsidR="00810629">
        <w:t xml:space="preserve"> with an</w:t>
      </w:r>
      <w:r w:rsidR="006E21D4" w:rsidRPr="0032201E">
        <w:t xml:space="preserve"> exponentially increasing model layer thickness </w:t>
      </w:r>
      <w:r w:rsidR="00810629">
        <w:t xml:space="preserve">when moving away from the </w:t>
      </w:r>
      <w:r w:rsidR="00810629" w:rsidRPr="0032201E">
        <w:t>coal seam–aquitard interfaces</w:t>
      </w:r>
      <w:r w:rsidR="00810629">
        <w:t>.</w:t>
      </w:r>
      <w:r w:rsidR="00810629" w:rsidRPr="0032201E">
        <w:t xml:space="preserve"> </w:t>
      </w:r>
      <w:r w:rsidR="00810629">
        <w:t xml:space="preserve">This </w:t>
      </w:r>
      <w:r w:rsidR="006E21D4" w:rsidRPr="0032201E">
        <w:t>ensure</w:t>
      </w:r>
      <w:r w:rsidR="00293F6A">
        <w:t>s</w:t>
      </w:r>
      <w:r w:rsidR="006E21D4" w:rsidRPr="0032201E">
        <w:t xml:space="preserve"> that </w:t>
      </w:r>
      <w:r w:rsidR="00810629">
        <w:t xml:space="preserve">a </w:t>
      </w:r>
      <w:r w:rsidR="006E21D4" w:rsidRPr="0032201E">
        <w:t xml:space="preserve">relatively fine discretisation was applied where the hydraulic gradients are likely to be largest </w:t>
      </w:r>
      <w:r w:rsidR="00084CDD" w:rsidRPr="0032201E">
        <w:fldChar w:fldCharType="begin"/>
      </w:r>
      <w:r w:rsidR="006E21D4" w:rsidRPr="0032201E">
        <w:instrText xml:space="preserve"> ADDIN EN.CITE &lt;EndNote&gt;&lt;Cite&gt;&lt;Author&gt;CDM Smith&lt;/Author&gt;&lt;Year&gt;2014&lt;/Year&gt;&lt;IDText&gt;Santos Narrabri Gas Project Groundwater Impact Assessment&lt;/IDText&gt;&lt;DisplayText&gt;(CDM Smith, 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fldChar w:fldCharType="separate"/>
      </w:r>
      <w:r w:rsidR="006E21D4" w:rsidRPr="0032201E">
        <w:rPr>
          <w:noProof/>
        </w:rPr>
        <w:t>(CDM Smith, 2014)</w:t>
      </w:r>
      <w:r w:rsidR="00084CDD" w:rsidRPr="0032201E">
        <w:fldChar w:fldCharType="end"/>
      </w:r>
      <w:r w:rsidR="006E21D4" w:rsidRPr="0032201E">
        <w:t xml:space="preserve">. </w:t>
      </w:r>
    </w:p>
    <w:p w14:paraId="21BBC5F6" w14:textId="1E89920B" w:rsidR="006E21D4" w:rsidRPr="0032201E" w:rsidRDefault="006E21D4" w:rsidP="00475872">
      <w:pPr>
        <w:pStyle w:val="Body"/>
      </w:pPr>
      <w:r w:rsidRPr="0032201E">
        <w:t xml:space="preserve">Hydraulic property values were informed by an extensive literature review of numerous published EIS investigations and state agency and consultant reports. Values were selected from the ranges defined by these publications on a qualitative basis, rather than by use of a mean-based calculation. </w:t>
      </w:r>
      <w:r w:rsidR="009A53F0">
        <w:t>Vertical-to-horizontal h</w:t>
      </w:r>
      <w:r w:rsidRPr="0032201E">
        <w:t xml:space="preserve">ydraulic conductivity anisotropy ratios of 0.01–0.1 were observed. Storage parameter values were also informed by the compressibility of rock types </w:t>
      </w:r>
      <w:r w:rsidR="00084CDD">
        <w:fldChar w:fldCharType="begin"/>
      </w:r>
      <w:r>
        <w:instrText xml:space="preserve"> ADDIN EN.CITE &lt;EndNote&gt;&lt;Cite&gt;&lt;Author&gt;Kruseman&lt;/Author&gt;&lt;Year&gt;1990&lt;/Year&gt;&lt;IDText&gt;Analysis and evaluation of pumping test data&lt;/IDText&gt;&lt;DisplayText&gt;(Kruseman and de Ridder, 1990)&lt;/DisplayText&gt;&lt;record&gt;&lt;keywords&gt;&lt;keyword&gt;Groundwater&lt;/keyword&gt;&lt;keyword&gt;Groundwater flow&lt;/keyword&gt;&lt;keyword&gt;Hydrogeology&lt;/keyword&gt;&lt;/keywords&gt;&lt;titles&gt;&lt;title&gt;Analysis and evaluation of pumping test data&lt;/title&gt;&lt;secondary-title&gt;ILRI Publication&lt;/secondary-title&gt;&lt;/titles&gt;&lt;pages&gt;377&lt;/pages&gt;&lt;number&gt;47&lt;/number&gt;&lt;contributors&gt;&lt;authors&gt;&lt;author&gt;Kruseman, GP&lt;/author&gt;&lt;author&gt;de Ridder, NA&lt;/author&gt;&lt;/authors&gt;&lt;/contributors&gt;&lt;edition&gt;2nd ed. (completely revised).&lt;/edition&gt;&lt;added-date format="utc"&gt;1433472818&lt;/added-date&gt;&lt;pub-location&gt;Wageningen&lt;/pub-location&gt;&lt;ref-type name="Book"&gt;6&lt;/ref-type&gt;&lt;dates&gt;&lt;year&gt;1990&lt;/year&gt;&lt;/dates&gt;&lt;rec-number&gt;97&lt;/rec-number&gt;&lt;publisher&gt;Wageningen : International Institute for Land Reclamation and Improvement&lt;/publisher&gt;&lt;last-updated-date format="utc"&gt;1434675054&lt;/last-updated-date&gt;&lt;/record&gt;&lt;/Cite&gt;&lt;/EndNote&gt;</w:instrText>
      </w:r>
      <w:r w:rsidR="00084CDD">
        <w:fldChar w:fldCharType="separate"/>
      </w:r>
      <w:r>
        <w:rPr>
          <w:noProof/>
        </w:rPr>
        <w:t>(Kruseman and de Ridder, 1990)</w:t>
      </w:r>
      <w:r w:rsidR="00084CDD">
        <w:fldChar w:fldCharType="end"/>
      </w:r>
      <w:r w:rsidRPr="0032201E">
        <w:t xml:space="preserve">. The spatial variability of hydraulic properties was not considered; all model layers featured homogeneous hydraulic conductivity and storage parameter values. </w:t>
      </w:r>
    </w:p>
    <w:p w14:paraId="3BA62E0F" w14:textId="0ABFAC91" w:rsidR="006E21D4" w:rsidRPr="0032201E" w:rsidRDefault="006E21D4" w:rsidP="00475872">
      <w:pPr>
        <w:pStyle w:val="Body"/>
      </w:pPr>
      <w:r w:rsidRPr="0032201E">
        <w:t xml:space="preserve">CDM Smith </w:t>
      </w:r>
      <w:r w:rsidR="00084CDD" w:rsidRPr="0032201E">
        <w:fldChar w:fldCharType="begin"/>
      </w:r>
      <w:r w:rsidRPr="0032201E">
        <w:instrText xml:space="preserve"> ADDIN EN.CITE &lt;EndNote&gt;&lt;Cite ExcludeAuth="1"&gt;&lt;Author&gt;CDM Smith&lt;/Author&gt;&lt;Year&gt;2014&lt;/Year&gt;&lt;IDText&gt;Santos Narrabri Gas Project Groundwater Impact Assessment&lt;/IDText&gt;&lt;DisplayText&gt;(2014)&lt;/DisplayText&gt;&lt;record&gt;&lt;contributors&gt;&lt;tertiary-authors&gt;&lt;author&gt;CDM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fldChar w:fldCharType="separate"/>
      </w:r>
      <w:r w:rsidRPr="0032201E">
        <w:rPr>
          <w:noProof/>
        </w:rPr>
        <w:t>(2014)</w:t>
      </w:r>
      <w:r w:rsidR="00084CDD" w:rsidRPr="0032201E">
        <w:fldChar w:fldCharType="end"/>
      </w:r>
      <w:r w:rsidRPr="0032201E">
        <w:t xml:space="preserve"> stated that “current geological evidence indicates that Permian to Triassic age faulting in the Gunnedah Basin is unlikely to provide conduits for preferential flow of water and hydrocarbons between the target coal seams and shallow groundwater sources in the overlying Surat Basin and Namoi alluvium”. </w:t>
      </w:r>
      <w:r w:rsidR="002E3D41">
        <w:t xml:space="preserve">Geologial evidence includes core sample analysis that </w:t>
      </w:r>
      <w:r w:rsidR="005265D0">
        <w:t xml:space="preserve">shows no signs of extensional faulting and an analysis of the stress regime in the Bohena Trough indicating a predominantly compressional regime. The Bohena Trough defines the structure of the Gunnedah Basin Permian sediments.  </w:t>
      </w:r>
      <w:r w:rsidRPr="0032201E">
        <w:t>For this reason, geological faults were not represented in the model.</w:t>
      </w:r>
    </w:p>
    <w:p w14:paraId="7141B80F" w14:textId="65691A0C" w:rsidR="006E21D4" w:rsidRPr="0032201E" w:rsidRDefault="006E21D4" w:rsidP="00475872">
      <w:pPr>
        <w:pStyle w:val="Body"/>
      </w:pPr>
      <w:r w:rsidRPr="0032201E">
        <w:t>CSG production was simulated using time-varying specified flux (</w:t>
      </w:r>
      <w:r>
        <w:t xml:space="preserve">i.e., </w:t>
      </w:r>
      <w:r w:rsidRPr="0032201E">
        <w:t>Neumann) boundary conditions. In an extensive discussion [CDM Smith</w:t>
      </w:r>
      <w:r w:rsidR="00084CDD" w:rsidRPr="0032201E">
        <w:fldChar w:fldCharType="begin"/>
      </w:r>
      <w:r w:rsidRPr="0032201E">
        <w:instrText xml:space="preserve"> ADDIN EN.CITE &lt;EndNote&gt;&lt;Cite ExcludeAuth="1"&gt;&lt;Author&gt;CDM Smith&lt;/Author&gt;&lt;Year&gt;2014&lt;/Year&gt;&lt;IDText&gt;Santos Narrabri Gas Project Groundwater Impact Assessment&lt;/IDText&gt;&lt;DisplayText&gt;(2014)&lt;/DisplayText&gt;&lt;record&gt;&lt;contributors&gt;&lt;tertiary-authors&gt;&lt;author&gt;CDM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fldChar w:fldCharType="separate"/>
      </w:r>
      <w:r w:rsidRPr="0032201E">
        <w:rPr>
          <w:noProof/>
        </w:rPr>
        <w:t>(2014)</w:t>
      </w:r>
      <w:r w:rsidR="00084CDD" w:rsidRPr="0032201E">
        <w:fldChar w:fldCharType="end"/>
      </w:r>
      <w:r w:rsidRPr="0032201E">
        <w:t>; Section 6.8.2], the authors summarise the relative advantages of simulating CSG extraction using either time-varying Dirichlet or Neumann boundary conditions. Dirichlet boundary conditions ensure consistency in calculated drawdowns between reservoir and regional scale groundwater models. However, this approach leads to the overestimation of CSG extraction fluxes since, in order to reach bore target pressures, the hydraulic head of an entire model cell is reduced, rather than the hydraulic head at the bore alone. Conversely, Neumann boundary conditions ensure consistency in calculated fluxes between reservoir and regional scale groundwater models. This approach, however, leads to the underestimation of drawdown as hydraulic heads reflect spatial averages over the area of model cells, rather than at a point location (</w:t>
      </w:r>
      <w:r>
        <w:t xml:space="preserve">i.e., </w:t>
      </w:r>
      <w:r w:rsidRPr="0032201E">
        <w:t xml:space="preserve">CSG bore). CDM Smith </w:t>
      </w:r>
      <w:r w:rsidR="00084CDD" w:rsidRPr="0032201E">
        <w:fldChar w:fldCharType="begin"/>
      </w:r>
      <w:r w:rsidRPr="0032201E">
        <w:instrText xml:space="preserve"> ADDIN EN.CITE &lt;EndNote&gt;&lt;Cite ExcludeAuth="1"&gt;&lt;Author&gt;CDM Smith&lt;/Author&gt;&lt;Year&gt;2014&lt;/Year&gt;&lt;IDText&gt;Santos Narrabri Gas Project Groundwater Impact Assessment&lt;/IDText&gt;&lt;DisplayText&gt;(2014)&lt;/DisplayText&gt;&lt;record&gt;&lt;contributors&gt;&lt;tertiary-authors&gt;&lt;author&gt;CDM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fldChar w:fldCharType="separate"/>
      </w:r>
      <w:r w:rsidRPr="0032201E">
        <w:rPr>
          <w:noProof/>
        </w:rPr>
        <w:t>(2014)</w:t>
      </w:r>
      <w:r w:rsidR="00084CDD" w:rsidRPr="0032201E">
        <w:fldChar w:fldCharType="end"/>
      </w:r>
      <w:r w:rsidRPr="0032201E">
        <w:t xml:space="preserve"> argue that Neumann boundary condition-based representations of CSG extraction are most appropriate for regional scale modelling of CSG impacts. Such approaches ensure that CSG contributions to regional groundwater balances are accurate while the underestimation of drawdown is limited to local scale effects.</w:t>
      </w:r>
    </w:p>
    <w:p w14:paraId="013F03A6"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697BB5DE" w14:textId="77777777" w:rsidR="0032201E" w:rsidRPr="0032201E" w:rsidRDefault="00471824" w:rsidP="00471824">
      <w:pPr>
        <w:pStyle w:val="Imagecaption"/>
        <w:keepNext/>
        <w:pBdr>
          <w:top w:val="none" w:sz="0" w:space="0" w:color="auto"/>
        </w:pBdr>
      </w:pPr>
      <w:bookmarkStart w:id="271" w:name="_Ref422388099"/>
      <w:bookmarkStart w:id="272" w:name="_Toc449696237"/>
      <w:r>
        <w:t xml:space="preserve">Table </w:t>
      </w:r>
      <w:r w:rsidR="00084CDD">
        <w:fldChar w:fldCharType="begin"/>
      </w:r>
      <w:r w:rsidR="00144B4F">
        <w:instrText xml:space="preserve"> SEQ Table \* ARABIC </w:instrText>
      </w:r>
      <w:r w:rsidR="00084CDD">
        <w:fldChar w:fldCharType="separate"/>
      </w:r>
      <w:r w:rsidR="00C52E30">
        <w:rPr>
          <w:noProof/>
        </w:rPr>
        <w:t>17</w:t>
      </w:r>
      <w:r w:rsidR="00084CDD">
        <w:rPr>
          <w:noProof/>
        </w:rPr>
        <w:fldChar w:fldCharType="end"/>
      </w:r>
      <w:bookmarkEnd w:id="271"/>
      <w:r>
        <w:t xml:space="preserve">. </w:t>
      </w:r>
      <w:r w:rsidR="00E95429">
        <w:t>Summary of geological units, hydrostratigraphic units and groundwater flow model layers represented in Santos Gunnedah Basin groundwater flow model.</w:t>
      </w:r>
      <w:bookmarkEnd w:id="272"/>
    </w:p>
    <w:tbl>
      <w:tblPr>
        <w:tblW w:w="5000" w:type="pct"/>
        <w:tblLayout w:type="fixed"/>
        <w:tblLook w:val="04A0" w:firstRow="1" w:lastRow="0" w:firstColumn="1" w:lastColumn="0" w:noHBand="0" w:noVBand="1"/>
      </w:tblPr>
      <w:tblGrid>
        <w:gridCol w:w="2255"/>
        <w:gridCol w:w="2255"/>
        <w:gridCol w:w="2255"/>
        <w:gridCol w:w="2255"/>
      </w:tblGrid>
      <w:tr w:rsidR="0032201E" w:rsidRPr="0032201E" w14:paraId="05EE8D57" w14:textId="77777777" w:rsidTr="0032201E">
        <w:trPr>
          <w:trHeight w:val="264"/>
        </w:trPr>
        <w:tc>
          <w:tcPr>
            <w:tcW w:w="1250" w:type="pct"/>
            <w:tcBorders>
              <w:top w:val="single" w:sz="4" w:space="0" w:color="auto"/>
              <w:left w:val="nil"/>
              <w:bottom w:val="nil"/>
              <w:right w:val="nil"/>
            </w:tcBorders>
            <w:shd w:val="clear" w:color="auto" w:fill="auto"/>
            <w:noWrap/>
            <w:vAlign w:val="bottom"/>
            <w:hideMark/>
          </w:tcPr>
          <w:p w14:paraId="49FCF93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1250" w:type="pct"/>
            <w:tcBorders>
              <w:top w:val="single" w:sz="4" w:space="0" w:color="auto"/>
              <w:left w:val="nil"/>
              <w:bottom w:val="single" w:sz="4" w:space="0" w:color="auto"/>
              <w:right w:val="nil"/>
            </w:tcBorders>
          </w:tcPr>
          <w:p w14:paraId="08F08F3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model layer</w:t>
            </w:r>
          </w:p>
        </w:tc>
        <w:tc>
          <w:tcPr>
            <w:tcW w:w="1250" w:type="pct"/>
            <w:tcBorders>
              <w:top w:val="single" w:sz="4" w:space="0" w:color="auto"/>
              <w:left w:val="nil"/>
              <w:bottom w:val="single" w:sz="4" w:space="0" w:color="auto"/>
              <w:right w:val="nil"/>
            </w:tcBorders>
            <w:shd w:val="clear" w:color="auto" w:fill="auto"/>
          </w:tcPr>
          <w:p w14:paraId="0FB1FBB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Hydrostratigraphic unit</w:t>
            </w:r>
          </w:p>
        </w:tc>
        <w:tc>
          <w:tcPr>
            <w:tcW w:w="1250" w:type="pct"/>
            <w:tcBorders>
              <w:top w:val="single" w:sz="4" w:space="0" w:color="auto"/>
              <w:left w:val="nil"/>
              <w:bottom w:val="single" w:sz="4" w:space="0" w:color="auto"/>
              <w:right w:val="nil"/>
            </w:tcBorders>
            <w:shd w:val="clear" w:color="auto" w:fill="auto"/>
            <w:vAlign w:val="bottom"/>
          </w:tcPr>
          <w:p w14:paraId="3A12FFD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Groundwater model layer(s)</w:t>
            </w:r>
          </w:p>
        </w:tc>
      </w:tr>
      <w:tr w:rsidR="0032201E" w:rsidRPr="0032201E" w14:paraId="1B6CFAD9" w14:textId="77777777" w:rsidTr="00DE115D">
        <w:trPr>
          <w:trHeight w:val="264"/>
        </w:trPr>
        <w:tc>
          <w:tcPr>
            <w:tcW w:w="1250" w:type="pct"/>
            <w:tcBorders>
              <w:top w:val="single" w:sz="4" w:space="0" w:color="auto"/>
              <w:left w:val="nil"/>
              <w:bottom w:val="nil"/>
              <w:right w:val="nil"/>
            </w:tcBorders>
            <w:shd w:val="clear" w:color="auto" w:fill="F2F2F2" w:themeFill="background2" w:themeFillShade="F2"/>
            <w:noWrap/>
            <w:vAlign w:val="bottom"/>
            <w:hideMark/>
          </w:tcPr>
          <w:p w14:paraId="2BB1041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Cenozoic Alluvium</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40F6DD1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c>
          <w:tcPr>
            <w:tcW w:w="1250" w:type="pct"/>
            <w:tcBorders>
              <w:top w:val="single" w:sz="4" w:space="0" w:color="auto"/>
              <w:left w:val="nil"/>
              <w:bottom w:val="single" w:sz="4" w:space="0" w:color="auto"/>
              <w:right w:val="nil"/>
            </w:tcBorders>
            <w:shd w:val="clear" w:color="auto" w:fill="F2F2F2" w:themeFill="background2" w:themeFillShade="F2"/>
          </w:tcPr>
          <w:p w14:paraId="598D9DE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28F007E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r>
      <w:tr w:rsidR="0032201E" w:rsidRPr="0032201E" w14:paraId="16D851D6" w14:textId="77777777" w:rsidTr="0032201E">
        <w:trPr>
          <w:trHeight w:val="264"/>
        </w:trPr>
        <w:tc>
          <w:tcPr>
            <w:tcW w:w="1250" w:type="pct"/>
            <w:tcBorders>
              <w:top w:val="nil"/>
              <w:left w:val="nil"/>
              <w:bottom w:val="nil"/>
              <w:right w:val="nil"/>
            </w:tcBorders>
            <w:shd w:val="clear" w:color="auto" w:fill="auto"/>
            <w:noWrap/>
            <w:vAlign w:val="bottom"/>
            <w:hideMark/>
          </w:tcPr>
          <w:p w14:paraId="3EE011F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Liverpool Range Volcanics</w:t>
            </w:r>
          </w:p>
        </w:tc>
        <w:tc>
          <w:tcPr>
            <w:tcW w:w="1250" w:type="pct"/>
            <w:vMerge w:val="restart"/>
            <w:tcBorders>
              <w:top w:val="single" w:sz="4" w:space="0" w:color="auto"/>
              <w:left w:val="nil"/>
              <w:bottom w:val="single" w:sz="4" w:space="0" w:color="auto"/>
              <w:right w:val="nil"/>
            </w:tcBorders>
            <w:vAlign w:val="center"/>
          </w:tcPr>
          <w:p w14:paraId="351D7D2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2</w:t>
            </w:r>
          </w:p>
        </w:tc>
        <w:tc>
          <w:tcPr>
            <w:tcW w:w="1250" w:type="pct"/>
            <w:vMerge w:val="restart"/>
            <w:tcBorders>
              <w:top w:val="single" w:sz="4" w:space="0" w:color="auto"/>
              <w:left w:val="nil"/>
              <w:bottom w:val="single" w:sz="4" w:space="0" w:color="auto"/>
              <w:right w:val="nil"/>
            </w:tcBorders>
            <w:shd w:val="clear" w:color="auto" w:fill="auto"/>
            <w:vAlign w:val="center"/>
          </w:tcPr>
          <w:p w14:paraId="475828C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aquitard</w:t>
            </w:r>
          </w:p>
        </w:tc>
        <w:tc>
          <w:tcPr>
            <w:tcW w:w="1250" w:type="pct"/>
            <w:tcBorders>
              <w:top w:val="single" w:sz="4" w:space="0" w:color="auto"/>
              <w:left w:val="nil"/>
              <w:bottom w:val="single" w:sz="4" w:space="0" w:color="auto"/>
              <w:right w:val="nil"/>
            </w:tcBorders>
            <w:shd w:val="clear" w:color="auto" w:fill="auto"/>
            <w:vAlign w:val="center"/>
          </w:tcPr>
          <w:p w14:paraId="1C201BD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2</w:t>
            </w:r>
          </w:p>
        </w:tc>
      </w:tr>
      <w:tr w:rsidR="0032201E" w:rsidRPr="0032201E" w14:paraId="74DABDBD" w14:textId="77777777" w:rsidTr="0032201E">
        <w:trPr>
          <w:trHeight w:val="264"/>
        </w:trPr>
        <w:tc>
          <w:tcPr>
            <w:tcW w:w="1250" w:type="pct"/>
            <w:tcBorders>
              <w:top w:val="nil"/>
              <w:left w:val="nil"/>
              <w:bottom w:val="nil"/>
              <w:right w:val="nil"/>
            </w:tcBorders>
            <w:shd w:val="clear" w:color="auto" w:fill="auto"/>
            <w:noWrap/>
            <w:vAlign w:val="bottom"/>
            <w:hideMark/>
          </w:tcPr>
          <w:p w14:paraId="03C82C9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Wallumbilla Formation</w:t>
            </w:r>
          </w:p>
        </w:tc>
        <w:tc>
          <w:tcPr>
            <w:tcW w:w="1250" w:type="pct"/>
            <w:vMerge/>
            <w:tcBorders>
              <w:top w:val="single" w:sz="4" w:space="0" w:color="auto"/>
              <w:left w:val="nil"/>
              <w:bottom w:val="single" w:sz="4" w:space="0" w:color="auto"/>
              <w:right w:val="nil"/>
            </w:tcBorders>
            <w:vAlign w:val="center"/>
          </w:tcPr>
          <w:p w14:paraId="3163C9B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5C3E4D0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5D1E777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3</w:t>
            </w:r>
          </w:p>
        </w:tc>
      </w:tr>
      <w:tr w:rsidR="0032201E" w:rsidRPr="0032201E" w14:paraId="30FF8291" w14:textId="77777777" w:rsidTr="0032201E">
        <w:trPr>
          <w:trHeight w:val="264"/>
        </w:trPr>
        <w:tc>
          <w:tcPr>
            <w:tcW w:w="1250" w:type="pct"/>
            <w:tcBorders>
              <w:top w:val="nil"/>
              <w:left w:val="nil"/>
              <w:bottom w:val="nil"/>
              <w:right w:val="nil"/>
            </w:tcBorders>
            <w:shd w:val="clear" w:color="auto" w:fill="auto"/>
            <w:noWrap/>
            <w:vAlign w:val="bottom"/>
            <w:hideMark/>
          </w:tcPr>
          <w:p w14:paraId="06ADF8D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Bungil Formation</w:t>
            </w:r>
          </w:p>
        </w:tc>
        <w:tc>
          <w:tcPr>
            <w:tcW w:w="1250" w:type="pct"/>
            <w:vMerge w:val="restart"/>
            <w:tcBorders>
              <w:top w:val="single" w:sz="4" w:space="0" w:color="auto"/>
              <w:left w:val="nil"/>
              <w:bottom w:val="single" w:sz="4" w:space="0" w:color="auto"/>
              <w:right w:val="nil"/>
            </w:tcBorders>
            <w:vAlign w:val="center"/>
          </w:tcPr>
          <w:p w14:paraId="5B31243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3</w:t>
            </w:r>
          </w:p>
        </w:tc>
        <w:tc>
          <w:tcPr>
            <w:tcW w:w="1250" w:type="pct"/>
            <w:vMerge/>
            <w:tcBorders>
              <w:top w:val="single" w:sz="4" w:space="0" w:color="auto"/>
              <w:left w:val="nil"/>
              <w:bottom w:val="single" w:sz="4" w:space="0" w:color="auto"/>
              <w:right w:val="nil"/>
            </w:tcBorders>
            <w:shd w:val="clear" w:color="auto" w:fill="auto"/>
          </w:tcPr>
          <w:p w14:paraId="0746CAA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41D8B0B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4</w:t>
            </w:r>
          </w:p>
        </w:tc>
      </w:tr>
      <w:tr w:rsidR="0032201E" w:rsidRPr="0032201E" w14:paraId="29E17A5E" w14:textId="77777777" w:rsidTr="0032201E">
        <w:trPr>
          <w:trHeight w:val="264"/>
        </w:trPr>
        <w:tc>
          <w:tcPr>
            <w:tcW w:w="1250" w:type="pct"/>
            <w:tcBorders>
              <w:top w:val="nil"/>
              <w:left w:val="nil"/>
              <w:bottom w:val="nil"/>
              <w:right w:val="nil"/>
            </w:tcBorders>
            <w:shd w:val="clear" w:color="auto" w:fill="auto"/>
            <w:noWrap/>
            <w:vAlign w:val="bottom"/>
            <w:hideMark/>
          </w:tcPr>
          <w:p w14:paraId="5540CFB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Mooga Sandstone</w:t>
            </w:r>
          </w:p>
        </w:tc>
        <w:tc>
          <w:tcPr>
            <w:tcW w:w="1250" w:type="pct"/>
            <w:vMerge/>
            <w:tcBorders>
              <w:top w:val="single" w:sz="4" w:space="0" w:color="auto"/>
              <w:left w:val="nil"/>
              <w:bottom w:val="single" w:sz="4" w:space="0" w:color="auto"/>
              <w:right w:val="nil"/>
            </w:tcBorders>
            <w:vAlign w:val="center"/>
          </w:tcPr>
          <w:p w14:paraId="326D6D8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2B10C4C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3D59676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5</w:t>
            </w:r>
          </w:p>
        </w:tc>
      </w:tr>
      <w:tr w:rsidR="0032201E" w:rsidRPr="0032201E" w14:paraId="2DCA52D0" w14:textId="77777777" w:rsidTr="0032201E">
        <w:trPr>
          <w:trHeight w:val="264"/>
        </w:trPr>
        <w:tc>
          <w:tcPr>
            <w:tcW w:w="1250" w:type="pct"/>
            <w:tcBorders>
              <w:top w:val="nil"/>
              <w:left w:val="nil"/>
              <w:bottom w:val="nil"/>
              <w:right w:val="nil"/>
            </w:tcBorders>
            <w:shd w:val="clear" w:color="auto" w:fill="auto"/>
            <w:noWrap/>
            <w:vAlign w:val="bottom"/>
            <w:hideMark/>
          </w:tcPr>
          <w:p w14:paraId="4A2043B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Orallo Formation</w:t>
            </w:r>
          </w:p>
        </w:tc>
        <w:tc>
          <w:tcPr>
            <w:tcW w:w="1250" w:type="pct"/>
            <w:vMerge/>
            <w:tcBorders>
              <w:top w:val="single" w:sz="4" w:space="0" w:color="auto"/>
              <w:left w:val="nil"/>
              <w:bottom w:val="single" w:sz="4" w:space="0" w:color="auto"/>
              <w:right w:val="nil"/>
            </w:tcBorders>
            <w:vAlign w:val="center"/>
          </w:tcPr>
          <w:p w14:paraId="52D2759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6EF6A90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07BE623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32201E" w:rsidRPr="0032201E" w14:paraId="30D17570" w14:textId="77777777" w:rsidTr="00DE115D">
        <w:trPr>
          <w:trHeight w:val="264"/>
        </w:trPr>
        <w:tc>
          <w:tcPr>
            <w:tcW w:w="1250" w:type="pct"/>
            <w:tcBorders>
              <w:top w:val="nil"/>
              <w:left w:val="nil"/>
              <w:bottom w:val="nil"/>
              <w:right w:val="nil"/>
            </w:tcBorders>
            <w:shd w:val="clear" w:color="auto" w:fill="F2F2F2" w:themeFill="background2" w:themeFillShade="F2"/>
            <w:noWrap/>
            <w:vAlign w:val="bottom"/>
            <w:hideMark/>
          </w:tcPr>
          <w:p w14:paraId="45D7BAF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Pilliga Sandstone</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002BB76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4</w:t>
            </w:r>
          </w:p>
        </w:tc>
        <w:tc>
          <w:tcPr>
            <w:tcW w:w="1250" w:type="pct"/>
            <w:tcBorders>
              <w:top w:val="single" w:sz="4" w:space="0" w:color="auto"/>
              <w:left w:val="nil"/>
              <w:bottom w:val="single" w:sz="4" w:space="0" w:color="auto"/>
              <w:right w:val="nil"/>
            </w:tcBorders>
            <w:shd w:val="clear" w:color="auto" w:fill="F2F2F2" w:themeFill="background2" w:themeFillShade="F2"/>
          </w:tcPr>
          <w:p w14:paraId="2827839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aquifer</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0EF0394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6</w:t>
            </w:r>
          </w:p>
        </w:tc>
      </w:tr>
      <w:tr w:rsidR="0032201E" w:rsidRPr="0032201E" w14:paraId="609DE237" w14:textId="77777777" w:rsidTr="0032201E">
        <w:trPr>
          <w:trHeight w:val="264"/>
        </w:trPr>
        <w:tc>
          <w:tcPr>
            <w:tcW w:w="1250" w:type="pct"/>
            <w:tcBorders>
              <w:top w:val="nil"/>
              <w:left w:val="nil"/>
              <w:bottom w:val="nil"/>
              <w:right w:val="nil"/>
            </w:tcBorders>
            <w:shd w:val="clear" w:color="auto" w:fill="auto"/>
            <w:noWrap/>
            <w:vAlign w:val="bottom"/>
            <w:hideMark/>
          </w:tcPr>
          <w:p w14:paraId="6E93291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Purlawaugh Formation</w:t>
            </w:r>
          </w:p>
        </w:tc>
        <w:tc>
          <w:tcPr>
            <w:tcW w:w="1250" w:type="pct"/>
            <w:tcBorders>
              <w:top w:val="single" w:sz="4" w:space="0" w:color="auto"/>
              <w:left w:val="nil"/>
              <w:bottom w:val="single" w:sz="4" w:space="0" w:color="auto"/>
              <w:right w:val="nil"/>
            </w:tcBorders>
            <w:vAlign w:val="center"/>
          </w:tcPr>
          <w:p w14:paraId="1E9B7A2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5</w:t>
            </w:r>
          </w:p>
        </w:tc>
        <w:tc>
          <w:tcPr>
            <w:tcW w:w="1250" w:type="pct"/>
            <w:vMerge w:val="restart"/>
            <w:tcBorders>
              <w:top w:val="single" w:sz="4" w:space="0" w:color="auto"/>
              <w:left w:val="nil"/>
              <w:bottom w:val="single" w:sz="4" w:space="0" w:color="auto"/>
              <w:right w:val="nil"/>
            </w:tcBorders>
            <w:shd w:val="clear" w:color="auto" w:fill="auto"/>
            <w:vAlign w:val="center"/>
          </w:tcPr>
          <w:p w14:paraId="4DA9B8C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aquitard</w:t>
            </w:r>
          </w:p>
        </w:tc>
        <w:tc>
          <w:tcPr>
            <w:tcW w:w="1250" w:type="pct"/>
            <w:tcBorders>
              <w:top w:val="single" w:sz="4" w:space="0" w:color="auto"/>
              <w:left w:val="nil"/>
              <w:bottom w:val="single" w:sz="4" w:space="0" w:color="auto"/>
              <w:right w:val="nil"/>
            </w:tcBorders>
            <w:shd w:val="clear" w:color="auto" w:fill="auto"/>
            <w:vAlign w:val="center"/>
          </w:tcPr>
          <w:p w14:paraId="0322943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7</w:t>
            </w:r>
          </w:p>
        </w:tc>
      </w:tr>
      <w:tr w:rsidR="0032201E" w:rsidRPr="0032201E" w14:paraId="16291F07" w14:textId="77777777" w:rsidTr="0032201E">
        <w:trPr>
          <w:trHeight w:val="264"/>
        </w:trPr>
        <w:tc>
          <w:tcPr>
            <w:tcW w:w="1250" w:type="pct"/>
            <w:tcBorders>
              <w:top w:val="nil"/>
              <w:left w:val="nil"/>
              <w:bottom w:val="nil"/>
              <w:right w:val="nil"/>
            </w:tcBorders>
            <w:shd w:val="clear" w:color="auto" w:fill="auto"/>
            <w:noWrap/>
            <w:vAlign w:val="bottom"/>
            <w:hideMark/>
          </w:tcPr>
          <w:p w14:paraId="23FC541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Garrawilla Volcanics</w:t>
            </w:r>
          </w:p>
        </w:tc>
        <w:tc>
          <w:tcPr>
            <w:tcW w:w="1250" w:type="pct"/>
            <w:tcBorders>
              <w:top w:val="single" w:sz="4" w:space="0" w:color="auto"/>
              <w:left w:val="nil"/>
              <w:bottom w:val="single" w:sz="4" w:space="0" w:color="auto"/>
              <w:right w:val="nil"/>
            </w:tcBorders>
            <w:vAlign w:val="center"/>
          </w:tcPr>
          <w:p w14:paraId="2231D2D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6</w:t>
            </w:r>
          </w:p>
        </w:tc>
        <w:tc>
          <w:tcPr>
            <w:tcW w:w="1250" w:type="pct"/>
            <w:vMerge/>
            <w:tcBorders>
              <w:top w:val="single" w:sz="4" w:space="0" w:color="auto"/>
              <w:left w:val="nil"/>
              <w:bottom w:val="single" w:sz="4" w:space="0" w:color="auto"/>
              <w:right w:val="nil"/>
            </w:tcBorders>
            <w:shd w:val="clear" w:color="auto" w:fill="auto"/>
          </w:tcPr>
          <w:p w14:paraId="6C73351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1AC86DC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8</w:t>
            </w:r>
          </w:p>
        </w:tc>
      </w:tr>
      <w:tr w:rsidR="0032201E" w:rsidRPr="0032201E" w14:paraId="7C24F168" w14:textId="77777777" w:rsidTr="0032201E">
        <w:trPr>
          <w:trHeight w:val="264"/>
        </w:trPr>
        <w:tc>
          <w:tcPr>
            <w:tcW w:w="1250" w:type="pct"/>
            <w:tcBorders>
              <w:top w:val="nil"/>
              <w:left w:val="nil"/>
              <w:bottom w:val="nil"/>
              <w:right w:val="nil"/>
            </w:tcBorders>
            <w:shd w:val="clear" w:color="auto" w:fill="auto"/>
            <w:noWrap/>
            <w:vAlign w:val="bottom"/>
            <w:hideMark/>
          </w:tcPr>
          <w:p w14:paraId="429802F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Deriah Formation </w:t>
            </w:r>
          </w:p>
        </w:tc>
        <w:tc>
          <w:tcPr>
            <w:tcW w:w="1250" w:type="pct"/>
            <w:vMerge w:val="restart"/>
            <w:tcBorders>
              <w:top w:val="single" w:sz="4" w:space="0" w:color="auto"/>
              <w:left w:val="nil"/>
              <w:bottom w:val="single" w:sz="4" w:space="0" w:color="auto"/>
              <w:right w:val="nil"/>
            </w:tcBorders>
            <w:vAlign w:val="center"/>
          </w:tcPr>
          <w:p w14:paraId="5CB5C89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7</w:t>
            </w:r>
          </w:p>
        </w:tc>
        <w:tc>
          <w:tcPr>
            <w:tcW w:w="1250" w:type="pct"/>
            <w:vMerge/>
            <w:tcBorders>
              <w:top w:val="single" w:sz="4" w:space="0" w:color="auto"/>
              <w:left w:val="nil"/>
              <w:bottom w:val="single" w:sz="4" w:space="0" w:color="auto"/>
              <w:right w:val="nil"/>
            </w:tcBorders>
            <w:shd w:val="clear" w:color="auto" w:fill="auto"/>
          </w:tcPr>
          <w:p w14:paraId="44DE32E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1B53E27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32201E" w:rsidRPr="0032201E" w14:paraId="558A49D8" w14:textId="77777777" w:rsidTr="0032201E">
        <w:trPr>
          <w:trHeight w:val="264"/>
        </w:trPr>
        <w:tc>
          <w:tcPr>
            <w:tcW w:w="1250" w:type="pct"/>
            <w:tcBorders>
              <w:top w:val="nil"/>
              <w:left w:val="nil"/>
              <w:bottom w:val="nil"/>
              <w:right w:val="nil"/>
            </w:tcBorders>
            <w:shd w:val="clear" w:color="auto" w:fill="auto"/>
            <w:noWrap/>
            <w:vAlign w:val="bottom"/>
            <w:hideMark/>
          </w:tcPr>
          <w:p w14:paraId="304E29B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Napperby Formation </w:t>
            </w:r>
          </w:p>
        </w:tc>
        <w:tc>
          <w:tcPr>
            <w:tcW w:w="1250" w:type="pct"/>
            <w:vMerge/>
            <w:tcBorders>
              <w:top w:val="single" w:sz="4" w:space="0" w:color="auto"/>
              <w:left w:val="nil"/>
              <w:bottom w:val="single" w:sz="4" w:space="0" w:color="auto"/>
              <w:right w:val="nil"/>
            </w:tcBorders>
            <w:vAlign w:val="center"/>
          </w:tcPr>
          <w:p w14:paraId="41A3A3A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3DCA2AC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0FD766A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9</w:t>
            </w:r>
          </w:p>
        </w:tc>
      </w:tr>
      <w:tr w:rsidR="0032201E" w:rsidRPr="0032201E" w14:paraId="3681D24F" w14:textId="77777777" w:rsidTr="0032201E">
        <w:trPr>
          <w:trHeight w:val="264"/>
        </w:trPr>
        <w:tc>
          <w:tcPr>
            <w:tcW w:w="1250" w:type="pct"/>
            <w:tcBorders>
              <w:top w:val="nil"/>
              <w:left w:val="nil"/>
              <w:bottom w:val="nil"/>
              <w:right w:val="nil"/>
            </w:tcBorders>
            <w:shd w:val="clear" w:color="auto" w:fill="auto"/>
            <w:noWrap/>
            <w:vAlign w:val="bottom"/>
            <w:hideMark/>
          </w:tcPr>
          <w:p w14:paraId="353FC540"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Digby Formation </w:t>
            </w:r>
          </w:p>
        </w:tc>
        <w:tc>
          <w:tcPr>
            <w:tcW w:w="1250" w:type="pct"/>
            <w:tcBorders>
              <w:top w:val="single" w:sz="4" w:space="0" w:color="auto"/>
              <w:left w:val="nil"/>
              <w:bottom w:val="single" w:sz="4" w:space="0" w:color="auto"/>
              <w:right w:val="nil"/>
            </w:tcBorders>
            <w:vAlign w:val="center"/>
          </w:tcPr>
          <w:p w14:paraId="6A7F03A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8</w:t>
            </w:r>
          </w:p>
        </w:tc>
        <w:tc>
          <w:tcPr>
            <w:tcW w:w="1250" w:type="pct"/>
            <w:vMerge/>
            <w:tcBorders>
              <w:top w:val="single" w:sz="4" w:space="0" w:color="auto"/>
              <w:left w:val="nil"/>
              <w:bottom w:val="single" w:sz="4" w:space="0" w:color="auto"/>
              <w:right w:val="nil"/>
            </w:tcBorders>
            <w:shd w:val="clear" w:color="auto" w:fill="auto"/>
          </w:tcPr>
          <w:p w14:paraId="25BC5B5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4607DBA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32201E" w:rsidRPr="0032201E" w14:paraId="14521663" w14:textId="77777777" w:rsidTr="0032201E">
        <w:trPr>
          <w:trHeight w:val="264"/>
        </w:trPr>
        <w:tc>
          <w:tcPr>
            <w:tcW w:w="1250" w:type="pct"/>
            <w:tcBorders>
              <w:top w:val="nil"/>
              <w:left w:val="nil"/>
              <w:bottom w:val="nil"/>
              <w:right w:val="nil"/>
            </w:tcBorders>
            <w:shd w:val="clear" w:color="auto" w:fill="auto"/>
            <w:noWrap/>
            <w:vAlign w:val="bottom"/>
            <w:hideMark/>
          </w:tcPr>
          <w:p w14:paraId="2D6DEF3A"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Trinkey Formation </w:t>
            </w:r>
          </w:p>
        </w:tc>
        <w:tc>
          <w:tcPr>
            <w:tcW w:w="1250" w:type="pct"/>
            <w:vMerge w:val="restart"/>
            <w:tcBorders>
              <w:top w:val="single" w:sz="4" w:space="0" w:color="auto"/>
              <w:left w:val="nil"/>
              <w:bottom w:val="single" w:sz="4" w:space="0" w:color="auto"/>
              <w:right w:val="nil"/>
            </w:tcBorders>
            <w:vAlign w:val="center"/>
          </w:tcPr>
          <w:p w14:paraId="6D7F455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9</w:t>
            </w:r>
          </w:p>
        </w:tc>
        <w:tc>
          <w:tcPr>
            <w:tcW w:w="1250" w:type="pct"/>
            <w:vMerge/>
            <w:tcBorders>
              <w:top w:val="single" w:sz="4" w:space="0" w:color="auto"/>
              <w:left w:val="nil"/>
              <w:bottom w:val="single" w:sz="4" w:space="0" w:color="auto"/>
              <w:right w:val="nil"/>
            </w:tcBorders>
            <w:shd w:val="clear" w:color="auto" w:fill="auto"/>
          </w:tcPr>
          <w:p w14:paraId="4693AFB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2AC9A1D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10</w:t>
            </w:r>
          </w:p>
        </w:tc>
      </w:tr>
      <w:tr w:rsidR="0032201E" w:rsidRPr="0032201E" w14:paraId="5E857E94" w14:textId="77777777" w:rsidTr="0032201E">
        <w:trPr>
          <w:trHeight w:val="264"/>
        </w:trPr>
        <w:tc>
          <w:tcPr>
            <w:tcW w:w="1250" w:type="pct"/>
            <w:tcBorders>
              <w:top w:val="nil"/>
              <w:left w:val="nil"/>
              <w:bottom w:val="nil"/>
              <w:right w:val="nil"/>
            </w:tcBorders>
            <w:shd w:val="clear" w:color="auto" w:fill="auto"/>
            <w:noWrap/>
            <w:vAlign w:val="bottom"/>
            <w:hideMark/>
          </w:tcPr>
          <w:p w14:paraId="2C319BA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Wallala Formation </w:t>
            </w:r>
          </w:p>
        </w:tc>
        <w:tc>
          <w:tcPr>
            <w:tcW w:w="1250" w:type="pct"/>
            <w:vMerge/>
            <w:tcBorders>
              <w:top w:val="single" w:sz="4" w:space="0" w:color="auto"/>
              <w:left w:val="nil"/>
              <w:bottom w:val="single" w:sz="4" w:space="0" w:color="auto"/>
              <w:right w:val="nil"/>
            </w:tcBorders>
            <w:vAlign w:val="center"/>
          </w:tcPr>
          <w:p w14:paraId="062DE8C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2A49001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4D94BF8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32201E" w:rsidRPr="0032201E" w14:paraId="0C2AF6F5" w14:textId="77777777" w:rsidTr="0032201E">
        <w:trPr>
          <w:trHeight w:val="264"/>
        </w:trPr>
        <w:tc>
          <w:tcPr>
            <w:tcW w:w="1250" w:type="pct"/>
            <w:tcBorders>
              <w:top w:val="nil"/>
              <w:left w:val="nil"/>
              <w:bottom w:val="nil"/>
              <w:right w:val="nil"/>
            </w:tcBorders>
            <w:shd w:val="clear" w:color="auto" w:fill="auto"/>
            <w:noWrap/>
            <w:vAlign w:val="bottom"/>
            <w:hideMark/>
          </w:tcPr>
          <w:p w14:paraId="4255E55B"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Breeza Coal Member</w:t>
            </w:r>
          </w:p>
        </w:tc>
        <w:tc>
          <w:tcPr>
            <w:tcW w:w="1250" w:type="pct"/>
            <w:vMerge/>
            <w:tcBorders>
              <w:top w:val="single" w:sz="4" w:space="0" w:color="auto"/>
              <w:left w:val="nil"/>
              <w:bottom w:val="single" w:sz="4" w:space="0" w:color="auto"/>
              <w:right w:val="nil"/>
            </w:tcBorders>
            <w:vAlign w:val="center"/>
          </w:tcPr>
          <w:p w14:paraId="744CBBF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3ED489E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7ABBA80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11</w:t>
            </w:r>
          </w:p>
        </w:tc>
      </w:tr>
      <w:tr w:rsidR="0032201E" w:rsidRPr="0032201E" w14:paraId="7B98231C" w14:textId="77777777" w:rsidTr="0032201E">
        <w:trPr>
          <w:trHeight w:val="264"/>
        </w:trPr>
        <w:tc>
          <w:tcPr>
            <w:tcW w:w="1250" w:type="pct"/>
            <w:tcBorders>
              <w:top w:val="nil"/>
              <w:left w:val="nil"/>
              <w:bottom w:val="nil"/>
              <w:right w:val="nil"/>
            </w:tcBorders>
            <w:shd w:val="clear" w:color="auto" w:fill="auto"/>
            <w:noWrap/>
            <w:vAlign w:val="bottom"/>
            <w:hideMark/>
          </w:tcPr>
          <w:p w14:paraId="6750CEC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Clare Sandstone</w:t>
            </w:r>
          </w:p>
        </w:tc>
        <w:tc>
          <w:tcPr>
            <w:tcW w:w="1250" w:type="pct"/>
            <w:vMerge/>
            <w:tcBorders>
              <w:top w:val="single" w:sz="4" w:space="0" w:color="auto"/>
              <w:left w:val="nil"/>
              <w:bottom w:val="single" w:sz="4" w:space="0" w:color="auto"/>
              <w:right w:val="nil"/>
            </w:tcBorders>
            <w:vAlign w:val="center"/>
          </w:tcPr>
          <w:p w14:paraId="22195D7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4224834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0DCC8F0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32201E" w:rsidRPr="0032201E" w14:paraId="3EDFB8D1" w14:textId="77777777" w:rsidTr="0032201E">
        <w:trPr>
          <w:trHeight w:val="264"/>
        </w:trPr>
        <w:tc>
          <w:tcPr>
            <w:tcW w:w="1250" w:type="pct"/>
            <w:tcBorders>
              <w:top w:val="nil"/>
              <w:left w:val="nil"/>
              <w:bottom w:val="nil"/>
              <w:right w:val="nil"/>
            </w:tcBorders>
            <w:shd w:val="clear" w:color="auto" w:fill="auto"/>
            <w:noWrap/>
            <w:vAlign w:val="bottom"/>
            <w:hideMark/>
          </w:tcPr>
          <w:p w14:paraId="1687D70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Howes Hill Coal Member</w:t>
            </w:r>
          </w:p>
        </w:tc>
        <w:tc>
          <w:tcPr>
            <w:tcW w:w="1250" w:type="pct"/>
            <w:vMerge/>
            <w:tcBorders>
              <w:top w:val="single" w:sz="4" w:space="0" w:color="auto"/>
              <w:left w:val="nil"/>
              <w:bottom w:val="single" w:sz="4" w:space="0" w:color="auto"/>
              <w:right w:val="nil"/>
            </w:tcBorders>
            <w:vAlign w:val="center"/>
          </w:tcPr>
          <w:p w14:paraId="7450996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531911C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03CBDCB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12</w:t>
            </w:r>
          </w:p>
        </w:tc>
      </w:tr>
      <w:tr w:rsidR="0032201E" w:rsidRPr="0032201E" w14:paraId="25B4E3FB" w14:textId="77777777" w:rsidTr="0032201E">
        <w:trPr>
          <w:trHeight w:val="264"/>
        </w:trPr>
        <w:tc>
          <w:tcPr>
            <w:tcW w:w="1250" w:type="pct"/>
            <w:tcBorders>
              <w:top w:val="nil"/>
              <w:left w:val="nil"/>
              <w:bottom w:val="nil"/>
              <w:right w:val="nil"/>
            </w:tcBorders>
            <w:shd w:val="clear" w:color="auto" w:fill="auto"/>
            <w:noWrap/>
            <w:vAlign w:val="bottom"/>
            <w:hideMark/>
          </w:tcPr>
          <w:p w14:paraId="27C1FD5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Benelabri Formation </w:t>
            </w:r>
          </w:p>
        </w:tc>
        <w:tc>
          <w:tcPr>
            <w:tcW w:w="1250" w:type="pct"/>
            <w:vMerge/>
            <w:tcBorders>
              <w:top w:val="single" w:sz="4" w:space="0" w:color="auto"/>
              <w:left w:val="nil"/>
              <w:bottom w:val="single" w:sz="4" w:space="0" w:color="auto"/>
              <w:right w:val="nil"/>
            </w:tcBorders>
            <w:vAlign w:val="center"/>
          </w:tcPr>
          <w:p w14:paraId="582012F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6185A32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5ED17CF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32201E" w:rsidRPr="0032201E" w14:paraId="5EB19A3C" w14:textId="77777777" w:rsidTr="00DE115D">
        <w:trPr>
          <w:trHeight w:val="264"/>
        </w:trPr>
        <w:tc>
          <w:tcPr>
            <w:tcW w:w="1250" w:type="pct"/>
            <w:tcBorders>
              <w:top w:val="nil"/>
              <w:left w:val="nil"/>
              <w:bottom w:val="nil"/>
              <w:right w:val="nil"/>
            </w:tcBorders>
            <w:shd w:val="clear" w:color="auto" w:fill="F2F2F2" w:themeFill="background2" w:themeFillShade="F2"/>
            <w:noWrap/>
            <w:vAlign w:val="bottom"/>
            <w:hideMark/>
          </w:tcPr>
          <w:p w14:paraId="279AE78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Hoskissons Coal </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7CB0191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10</w:t>
            </w:r>
          </w:p>
        </w:tc>
        <w:tc>
          <w:tcPr>
            <w:tcW w:w="1250" w:type="pct"/>
            <w:tcBorders>
              <w:top w:val="single" w:sz="4" w:space="0" w:color="auto"/>
              <w:left w:val="nil"/>
              <w:bottom w:val="single" w:sz="4" w:space="0" w:color="auto"/>
              <w:right w:val="nil"/>
            </w:tcBorders>
            <w:shd w:val="clear" w:color="auto" w:fill="F2F2F2" w:themeFill="background2" w:themeFillShade="F2"/>
          </w:tcPr>
          <w:p w14:paraId="0ABFE11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CSG reservoir</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7E2B503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13</w:t>
            </w:r>
          </w:p>
        </w:tc>
      </w:tr>
      <w:tr w:rsidR="0032201E" w:rsidRPr="0032201E" w14:paraId="6A92CF4A" w14:textId="77777777" w:rsidTr="0032201E">
        <w:trPr>
          <w:trHeight w:val="264"/>
        </w:trPr>
        <w:tc>
          <w:tcPr>
            <w:tcW w:w="1250" w:type="pct"/>
            <w:tcBorders>
              <w:top w:val="nil"/>
              <w:left w:val="nil"/>
              <w:bottom w:val="nil"/>
              <w:right w:val="nil"/>
            </w:tcBorders>
            <w:shd w:val="clear" w:color="auto" w:fill="auto"/>
            <w:noWrap/>
            <w:vAlign w:val="bottom"/>
            <w:hideMark/>
          </w:tcPr>
          <w:p w14:paraId="5E76CFA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Brigalow Formation </w:t>
            </w:r>
          </w:p>
        </w:tc>
        <w:tc>
          <w:tcPr>
            <w:tcW w:w="1250" w:type="pct"/>
            <w:vMerge w:val="restart"/>
            <w:tcBorders>
              <w:top w:val="single" w:sz="4" w:space="0" w:color="auto"/>
              <w:left w:val="nil"/>
              <w:bottom w:val="single" w:sz="4" w:space="0" w:color="auto"/>
              <w:right w:val="nil"/>
            </w:tcBorders>
            <w:vAlign w:val="center"/>
          </w:tcPr>
          <w:p w14:paraId="0F08398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11</w:t>
            </w:r>
          </w:p>
        </w:tc>
        <w:tc>
          <w:tcPr>
            <w:tcW w:w="1250" w:type="pct"/>
            <w:vMerge w:val="restart"/>
            <w:tcBorders>
              <w:top w:val="single" w:sz="4" w:space="0" w:color="auto"/>
              <w:left w:val="nil"/>
              <w:bottom w:val="single" w:sz="4" w:space="0" w:color="auto"/>
              <w:right w:val="nil"/>
            </w:tcBorders>
            <w:shd w:val="clear" w:color="auto" w:fill="auto"/>
            <w:vAlign w:val="center"/>
          </w:tcPr>
          <w:p w14:paraId="49944C1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aquitard</w:t>
            </w:r>
          </w:p>
        </w:tc>
        <w:tc>
          <w:tcPr>
            <w:tcW w:w="1250" w:type="pct"/>
            <w:tcBorders>
              <w:top w:val="single" w:sz="4" w:space="0" w:color="auto"/>
              <w:left w:val="nil"/>
              <w:bottom w:val="single" w:sz="4" w:space="0" w:color="auto"/>
              <w:right w:val="nil"/>
            </w:tcBorders>
            <w:shd w:val="clear" w:color="auto" w:fill="auto"/>
            <w:vAlign w:val="center"/>
          </w:tcPr>
          <w:p w14:paraId="5938940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14</w:t>
            </w:r>
          </w:p>
        </w:tc>
      </w:tr>
      <w:tr w:rsidR="0032201E" w:rsidRPr="0032201E" w14:paraId="39C8774D" w14:textId="77777777" w:rsidTr="0032201E">
        <w:trPr>
          <w:trHeight w:val="264"/>
        </w:trPr>
        <w:tc>
          <w:tcPr>
            <w:tcW w:w="1250" w:type="pct"/>
            <w:tcBorders>
              <w:top w:val="nil"/>
              <w:left w:val="nil"/>
              <w:bottom w:val="nil"/>
              <w:right w:val="nil"/>
            </w:tcBorders>
            <w:shd w:val="clear" w:color="auto" w:fill="auto"/>
            <w:noWrap/>
            <w:vAlign w:val="bottom"/>
            <w:hideMark/>
          </w:tcPr>
          <w:p w14:paraId="1D273D6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Arkarula Formation </w:t>
            </w:r>
          </w:p>
        </w:tc>
        <w:tc>
          <w:tcPr>
            <w:tcW w:w="1250" w:type="pct"/>
            <w:vMerge/>
            <w:tcBorders>
              <w:top w:val="single" w:sz="4" w:space="0" w:color="auto"/>
              <w:left w:val="nil"/>
              <w:bottom w:val="single" w:sz="4" w:space="0" w:color="auto"/>
              <w:right w:val="nil"/>
            </w:tcBorders>
            <w:vAlign w:val="center"/>
          </w:tcPr>
          <w:p w14:paraId="056C358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234E0EA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0493EBC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r>
      <w:tr w:rsidR="0032201E" w:rsidRPr="0032201E" w14:paraId="37A29513" w14:textId="77777777" w:rsidTr="0032201E">
        <w:trPr>
          <w:trHeight w:val="264"/>
        </w:trPr>
        <w:tc>
          <w:tcPr>
            <w:tcW w:w="1250" w:type="pct"/>
            <w:tcBorders>
              <w:top w:val="nil"/>
              <w:left w:val="nil"/>
              <w:bottom w:val="nil"/>
              <w:right w:val="nil"/>
            </w:tcBorders>
            <w:shd w:val="clear" w:color="auto" w:fill="auto"/>
            <w:noWrap/>
            <w:vAlign w:val="bottom"/>
            <w:hideMark/>
          </w:tcPr>
          <w:p w14:paraId="5A95882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Melvilles Coal Member</w:t>
            </w:r>
          </w:p>
        </w:tc>
        <w:tc>
          <w:tcPr>
            <w:tcW w:w="1250" w:type="pct"/>
            <w:vMerge/>
            <w:tcBorders>
              <w:top w:val="single" w:sz="4" w:space="0" w:color="auto"/>
              <w:left w:val="nil"/>
              <w:bottom w:val="single" w:sz="4" w:space="0" w:color="auto"/>
              <w:right w:val="nil"/>
            </w:tcBorders>
            <w:vAlign w:val="center"/>
          </w:tcPr>
          <w:p w14:paraId="35964A4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61ACE33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4095386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16</w:t>
            </w:r>
          </w:p>
        </w:tc>
      </w:tr>
      <w:tr w:rsidR="0032201E" w:rsidRPr="0032201E" w14:paraId="1F63928F" w14:textId="77777777" w:rsidTr="0032201E">
        <w:trPr>
          <w:trHeight w:val="264"/>
        </w:trPr>
        <w:tc>
          <w:tcPr>
            <w:tcW w:w="1250" w:type="pct"/>
            <w:tcBorders>
              <w:top w:val="nil"/>
              <w:left w:val="nil"/>
              <w:bottom w:val="nil"/>
              <w:right w:val="nil"/>
            </w:tcBorders>
            <w:shd w:val="clear" w:color="auto" w:fill="auto"/>
            <w:noWrap/>
            <w:vAlign w:val="bottom"/>
            <w:hideMark/>
          </w:tcPr>
          <w:p w14:paraId="733DCDD2"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Pamboola Formation </w:t>
            </w:r>
          </w:p>
        </w:tc>
        <w:tc>
          <w:tcPr>
            <w:tcW w:w="1250" w:type="pct"/>
            <w:vMerge/>
            <w:tcBorders>
              <w:top w:val="single" w:sz="4" w:space="0" w:color="auto"/>
              <w:left w:val="nil"/>
              <w:bottom w:val="single" w:sz="4" w:space="0" w:color="auto"/>
              <w:right w:val="nil"/>
            </w:tcBorders>
            <w:vAlign w:val="center"/>
          </w:tcPr>
          <w:p w14:paraId="250DDBE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1FBA65C5"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4CDEEE2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17</w:t>
            </w:r>
          </w:p>
        </w:tc>
      </w:tr>
      <w:tr w:rsidR="0032201E" w:rsidRPr="0032201E" w14:paraId="18ED1BD1" w14:textId="77777777" w:rsidTr="0032201E">
        <w:trPr>
          <w:trHeight w:val="264"/>
        </w:trPr>
        <w:tc>
          <w:tcPr>
            <w:tcW w:w="1250" w:type="pct"/>
            <w:tcBorders>
              <w:top w:val="nil"/>
              <w:left w:val="nil"/>
              <w:bottom w:val="nil"/>
              <w:right w:val="nil"/>
            </w:tcBorders>
            <w:shd w:val="clear" w:color="auto" w:fill="auto"/>
            <w:noWrap/>
            <w:vAlign w:val="bottom"/>
            <w:hideMark/>
          </w:tcPr>
          <w:p w14:paraId="49FA2E7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Watermark Formation </w:t>
            </w:r>
          </w:p>
        </w:tc>
        <w:tc>
          <w:tcPr>
            <w:tcW w:w="1250" w:type="pct"/>
            <w:vMerge w:val="restart"/>
            <w:tcBorders>
              <w:top w:val="single" w:sz="4" w:space="0" w:color="auto"/>
              <w:left w:val="nil"/>
              <w:bottom w:val="single" w:sz="4" w:space="0" w:color="auto"/>
              <w:right w:val="nil"/>
            </w:tcBorders>
            <w:vAlign w:val="center"/>
          </w:tcPr>
          <w:p w14:paraId="1DD6A0F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12</w:t>
            </w:r>
          </w:p>
        </w:tc>
        <w:tc>
          <w:tcPr>
            <w:tcW w:w="1250" w:type="pct"/>
            <w:vMerge/>
            <w:tcBorders>
              <w:top w:val="single" w:sz="4" w:space="0" w:color="auto"/>
              <w:left w:val="nil"/>
              <w:bottom w:val="single" w:sz="4" w:space="0" w:color="auto"/>
              <w:right w:val="nil"/>
            </w:tcBorders>
            <w:shd w:val="clear" w:color="auto" w:fill="auto"/>
          </w:tcPr>
          <w:p w14:paraId="4DEA13F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280D150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18</w:t>
            </w:r>
          </w:p>
        </w:tc>
      </w:tr>
      <w:tr w:rsidR="0032201E" w:rsidRPr="0032201E" w14:paraId="49B10064" w14:textId="77777777" w:rsidTr="0032201E">
        <w:trPr>
          <w:trHeight w:val="264"/>
        </w:trPr>
        <w:tc>
          <w:tcPr>
            <w:tcW w:w="1250" w:type="pct"/>
            <w:tcBorders>
              <w:top w:val="nil"/>
              <w:left w:val="nil"/>
              <w:bottom w:val="nil"/>
              <w:right w:val="nil"/>
            </w:tcBorders>
            <w:shd w:val="clear" w:color="auto" w:fill="auto"/>
            <w:noWrap/>
            <w:vAlign w:val="bottom"/>
            <w:hideMark/>
          </w:tcPr>
          <w:p w14:paraId="5B50EC14"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Porcupine Formation </w:t>
            </w:r>
          </w:p>
        </w:tc>
        <w:tc>
          <w:tcPr>
            <w:tcW w:w="1250" w:type="pct"/>
            <w:vMerge/>
            <w:tcBorders>
              <w:top w:val="single" w:sz="4" w:space="0" w:color="auto"/>
              <w:left w:val="nil"/>
              <w:bottom w:val="single" w:sz="4" w:space="0" w:color="auto"/>
              <w:right w:val="nil"/>
            </w:tcBorders>
            <w:vAlign w:val="center"/>
          </w:tcPr>
          <w:p w14:paraId="4A7D9C3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4FDF123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3BC9D9B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19</w:t>
            </w:r>
          </w:p>
        </w:tc>
      </w:tr>
      <w:tr w:rsidR="0032201E" w:rsidRPr="0032201E" w14:paraId="62B09932" w14:textId="77777777" w:rsidTr="0032201E">
        <w:trPr>
          <w:trHeight w:val="264"/>
        </w:trPr>
        <w:tc>
          <w:tcPr>
            <w:tcW w:w="1250" w:type="pct"/>
            <w:tcBorders>
              <w:top w:val="nil"/>
              <w:left w:val="nil"/>
              <w:bottom w:val="nil"/>
              <w:right w:val="nil"/>
            </w:tcBorders>
            <w:shd w:val="clear" w:color="auto" w:fill="auto"/>
            <w:noWrap/>
            <w:vAlign w:val="bottom"/>
            <w:hideMark/>
          </w:tcPr>
          <w:p w14:paraId="2668D2C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Maules Creek Formation (upper)</w:t>
            </w:r>
          </w:p>
        </w:tc>
        <w:tc>
          <w:tcPr>
            <w:tcW w:w="1250" w:type="pct"/>
            <w:tcBorders>
              <w:top w:val="single" w:sz="4" w:space="0" w:color="auto"/>
              <w:left w:val="nil"/>
              <w:right w:val="nil"/>
            </w:tcBorders>
            <w:vAlign w:val="center"/>
          </w:tcPr>
          <w:p w14:paraId="1E6BA71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22F6D68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250" w:type="pct"/>
            <w:tcBorders>
              <w:top w:val="single" w:sz="4" w:space="0" w:color="auto"/>
              <w:left w:val="nil"/>
              <w:bottom w:val="single" w:sz="4" w:space="0" w:color="auto"/>
              <w:right w:val="nil"/>
            </w:tcBorders>
            <w:shd w:val="clear" w:color="auto" w:fill="auto"/>
            <w:vAlign w:val="center"/>
          </w:tcPr>
          <w:p w14:paraId="7291E95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20, 21</w:t>
            </w:r>
          </w:p>
        </w:tc>
      </w:tr>
      <w:tr w:rsidR="0032201E" w:rsidRPr="0032201E" w14:paraId="55330CF6" w14:textId="77777777" w:rsidTr="00DE115D">
        <w:trPr>
          <w:trHeight w:val="264"/>
        </w:trPr>
        <w:tc>
          <w:tcPr>
            <w:tcW w:w="1250" w:type="pct"/>
            <w:tcBorders>
              <w:top w:val="nil"/>
              <w:left w:val="nil"/>
              <w:right w:val="nil"/>
            </w:tcBorders>
            <w:shd w:val="clear" w:color="auto" w:fill="F2F2F2" w:themeFill="background2" w:themeFillShade="F2"/>
            <w:noWrap/>
            <w:vAlign w:val="bottom"/>
            <w:hideMark/>
          </w:tcPr>
          <w:p w14:paraId="2BF20C2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Maules Creek Formation (coal measures)</w:t>
            </w:r>
          </w:p>
        </w:tc>
        <w:tc>
          <w:tcPr>
            <w:tcW w:w="1250" w:type="pct"/>
            <w:tcBorders>
              <w:left w:val="nil"/>
              <w:right w:val="nil"/>
            </w:tcBorders>
            <w:shd w:val="clear" w:color="auto" w:fill="F2F2F2" w:themeFill="background2" w:themeFillShade="F2"/>
            <w:vAlign w:val="center"/>
          </w:tcPr>
          <w:p w14:paraId="7FC9DB3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13</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7DEC722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250" w:type="pct"/>
            <w:tcBorders>
              <w:top w:val="single" w:sz="4" w:space="0" w:color="auto"/>
              <w:left w:val="nil"/>
              <w:bottom w:val="single" w:sz="4" w:space="0" w:color="auto"/>
              <w:right w:val="nil"/>
            </w:tcBorders>
            <w:shd w:val="clear" w:color="auto" w:fill="F2F2F2" w:themeFill="background2" w:themeFillShade="F2"/>
            <w:vAlign w:val="center"/>
          </w:tcPr>
          <w:p w14:paraId="72E4F90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22</w:t>
            </w:r>
          </w:p>
        </w:tc>
      </w:tr>
      <w:tr w:rsidR="0032201E" w:rsidRPr="0032201E" w14:paraId="000AC65E" w14:textId="77777777" w:rsidTr="0032201E">
        <w:trPr>
          <w:trHeight w:val="264"/>
        </w:trPr>
        <w:tc>
          <w:tcPr>
            <w:tcW w:w="1250" w:type="pct"/>
            <w:tcBorders>
              <w:top w:val="nil"/>
              <w:left w:val="nil"/>
              <w:bottom w:val="single" w:sz="4" w:space="0" w:color="auto"/>
              <w:right w:val="nil"/>
            </w:tcBorders>
            <w:shd w:val="clear" w:color="auto" w:fill="auto"/>
            <w:noWrap/>
            <w:vAlign w:val="bottom"/>
            <w:hideMark/>
          </w:tcPr>
          <w:p w14:paraId="22851DD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Maules Creek Formation (lower)</w:t>
            </w:r>
          </w:p>
        </w:tc>
        <w:tc>
          <w:tcPr>
            <w:tcW w:w="1250" w:type="pct"/>
            <w:tcBorders>
              <w:left w:val="nil"/>
              <w:bottom w:val="single" w:sz="4" w:space="0" w:color="auto"/>
              <w:right w:val="nil"/>
            </w:tcBorders>
            <w:vAlign w:val="center"/>
          </w:tcPr>
          <w:p w14:paraId="67D6D78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38187EF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250" w:type="pct"/>
            <w:tcBorders>
              <w:top w:val="single" w:sz="4" w:space="0" w:color="auto"/>
              <w:left w:val="nil"/>
              <w:bottom w:val="single" w:sz="4" w:space="0" w:color="auto"/>
              <w:right w:val="nil"/>
            </w:tcBorders>
            <w:shd w:val="clear" w:color="auto" w:fill="auto"/>
            <w:vAlign w:val="center"/>
          </w:tcPr>
          <w:p w14:paraId="1ECB806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23, 24</w:t>
            </w:r>
          </w:p>
        </w:tc>
      </w:tr>
    </w:tbl>
    <w:p w14:paraId="3868C5C9" w14:textId="77777777" w:rsidR="0032201E" w:rsidRPr="0032201E" w:rsidRDefault="0032201E"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26788E5C" w14:textId="77777777" w:rsidR="0032201E" w:rsidRPr="0032201E" w:rsidRDefault="0032201E" w:rsidP="005072A9">
      <w:pPr>
        <w:pStyle w:val="Heading3"/>
      </w:pPr>
      <w:bookmarkStart w:id="273" w:name="_Toc449696833"/>
      <w:r w:rsidRPr="0032201E">
        <w:t>Schlumberger Water Services</w:t>
      </w:r>
      <w:bookmarkEnd w:id="273"/>
    </w:p>
    <w:p w14:paraId="79FA1478" w14:textId="772DE664" w:rsidR="0032201E" w:rsidRPr="0032201E" w:rsidRDefault="0032201E" w:rsidP="00475872">
      <w:pPr>
        <w:pStyle w:val="Body"/>
      </w:pPr>
      <w:r w:rsidRPr="0032201E">
        <w:t xml:space="preserve">In response to community concerns, in 2010 the New South Wales State Government commissioned a study into the potential effects of coal resource development activities on catchment water resources in the Namoi surface water catchment </w:t>
      </w:r>
      <w:r w:rsidR="00084CDD" w:rsidRPr="0032201E">
        <w:fldChar w:fldCharType="begin"/>
      </w:r>
      <w:r w:rsidRPr="0032201E">
        <w:instrText xml:space="preserve"> ADDIN EN.CITE &lt;EndNote&gt;&lt;Cite&gt;&lt;Author&gt;SWS&lt;/Author&gt;&lt;Year&gt;2012&lt;/Year&gt;&lt;IDText&gt;Namoi Catchment Water Study Independent Expert Final Study Report&lt;/IDText&gt;&lt;DisplayText&gt;(SWS, 2012)&lt;/DisplayText&gt;&lt;record&gt;&lt;contributors&gt;&lt;tertiary-authors&gt;&lt;author&gt;Schlumberger Water Services&lt;/author&gt;&lt;/tertiary-authors&gt;&lt;/contributors&gt;&lt;titles&gt;&lt;title&gt;Namoi Catchment Water Study Independent Expert Final Study Report&lt;/title&gt;&lt;/titles&gt;&lt;pages&gt;ix, 109&lt;/pages&gt;&lt;number&gt;50371/P4-R2 FINAL&lt;/number&gt;&lt;contributors&gt;&lt;authors&gt;&lt;author&gt;SWS&lt;/author&gt;&lt;/authors&gt;&lt;/contributors&gt;&lt;added-date format="utc"&gt;1433399679&lt;/added-date&gt;&lt;pub-location&gt;Perth, Western Australia&lt;/pub-location&gt;&lt;ref-type name="Report"&gt;27&lt;/ref-type&gt;&lt;dates&gt;&lt;year&gt;2012&lt;/year&gt;&lt;/dates&gt;&lt;rec-number&gt;85&lt;/rec-number&gt;&lt;last-updated-date format="utc"&gt;1433898395&lt;/last-updated-date&gt;&lt;/record&gt;&lt;/Cite&gt;&lt;/EndNote&gt;</w:instrText>
      </w:r>
      <w:r w:rsidR="00084CDD" w:rsidRPr="0032201E">
        <w:fldChar w:fldCharType="separate"/>
      </w:r>
      <w:r w:rsidRPr="0032201E">
        <w:rPr>
          <w:noProof/>
        </w:rPr>
        <w:t>(SWS, 2012)</w:t>
      </w:r>
      <w:r w:rsidR="00084CDD" w:rsidRPr="0032201E">
        <w:fldChar w:fldCharType="end"/>
      </w:r>
      <w:r w:rsidRPr="0032201E">
        <w:t>. The study included the development of a numerical groundwater flow model to provide estimates of CSG extraction impacts. Based on a PETREL geological model, a MODFLOW–2000 model was developed, covering a total area of approximately 30 380 km</w:t>
      </w:r>
      <w:r w:rsidRPr="0032201E">
        <w:rPr>
          <w:vertAlign w:val="superscript"/>
        </w:rPr>
        <w:t>2</w:t>
      </w:r>
      <w:r w:rsidRPr="0032201E">
        <w:t>. This was discretised using 1 km</w:t>
      </w:r>
      <w:r w:rsidR="00056615">
        <w:t xml:space="preserve"> × </w:t>
      </w:r>
      <w:r w:rsidRPr="0032201E">
        <w:t>1 km cells into 310 rows and 180 columns. The model featured 20 layers and a mixture of specified flow (</w:t>
      </w:r>
      <w:r w:rsidR="00C85DC3">
        <w:t xml:space="preserve">i.e., </w:t>
      </w:r>
      <w:r w:rsidRPr="0032201E">
        <w:t>Neumann) and hydraulic head-dependent flow (</w:t>
      </w:r>
      <w:r w:rsidR="00C85DC3">
        <w:t xml:space="preserve">i.e., </w:t>
      </w:r>
      <w:r w:rsidRPr="0032201E">
        <w:t xml:space="preserve">Cauchy) boundary conditions. The discretisation of model layers is </w:t>
      </w:r>
      <w:r w:rsidRPr="00475872">
        <w:t xml:space="preserve">shown in </w:t>
      </w:r>
      <w:r w:rsidR="00102009">
        <w:fldChar w:fldCharType="begin"/>
      </w:r>
      <w:r w:rsidR="00102009">
        <w:instrText xml:space="preserve"> REF _Ref422388267 \h  \* MERGEFORMAT </w:instrText>
      </w:r>
      <w:r w:rsidR="00102009">
        <w:fldChar w:fldCharType="separate"/>
      </w:r>
      <w:r w:rsidR="00C52E30" w:rsidRPr="00C52E30">
        <w:rPr>
          <w:rStyle w:val="BodyChar"/>
        </w:rPr>
        <w:t>Table 18</w:t>
      </w:r>
      <w:r w:rsidR="00102009">
        <w:fldChar w:fldCharType="end"/>
      </w:r>
      <w:r w:rsidRPr="00475872">
        <w:t>. For this</w:t>
      </w:r>
      <w:r w:rsidRPr="0032201E">
        <w:t xml:space="preserve"> model, the aquitard sequence overlying the Hoskisson Coal represents the key aquitard that will affect the vertical propagation of hydraulic stresses induced in the underlying coal seams by CSG production to the overlying Pilliga Sandstone aquifer. </w:t>
      </w:r>
    </w:p>
    <w:p w14:paraId="09F03084" w14:textId="23C115A9" w:rsidR="0032201E" w:rsidRDefault="0032201E" w:rsidP="00475872">
      <w:pPr>
        <w:pStyle w:val="Body"/>
      </w:pPr>
      <w:r w:rsidRPr="0032201E">
        <w:rPr>
          <w:lang w:eastAsia="en-AU"/>
        </w:rPr>
        <w:t>M</w:t>
      </w:r>
      <w:r w:rsidRPr="0032201E">
        <w:t>odel layers 1, 6, 7, 8, 10, 15 and 16 were assigned on a one-to-one basis (</w:t>
      </w:r>
      <w:r w:rsidR="00102009">
        <w:fldChar w:fldCharType="begin"/>
      </w:r>
      <w:r w:rsidR="00102009">
        <w:instrText xml:space="preserve"> REF _Ref422388267 \h  \* MERGEFORMAT </w:instrText>
      </w:r>
      <w:r w:rsidR="00102009">
        <w:fldChar w:fldCharType="separate"/>
      </w:r>
      <w:r w:rsidR="00C52E30" w:rsidRPr="00C52E30">
        <w:rPr>
          <w:rStyle w:val="BodyChar"/>
        </w:rPr>
        <w:t>Table 18</w:t>
      </w:r>
      <w:r w:rsidR="00102009">
        <w:fldChar w:fldCharType="end"/>
      </w:r>
      <w:r w:rsidRPr="0032201E">
        <w:t xml:space="preserve">). Elsewhere, many model layers represent a combination of geological units; </w:t>
      </w:r>
      <w:r w:rsidR="00C85DC3">
        <w:t xml:space="preserve">i.e., </w:t>
      </w:r>
      <w:r w:rsidRPr="0032201E">
        <w:t xml:space="preserve">layers 2, 9 and 20. It is not clearly stated which geological units that model layers 3, 4 and 5 represent. The two coal bearing formations included in the model are discretised using multiple model layers of alternating coal seams and interburden. The Black Jack Formation is discretised using five layers while the Maules Creek Formation is discretised using three layers. </w:t>
      </w:r>
    </w:p>
    <w:p w14:paraId="5E81E13D" w14:textId="77777777" w:rsidR="00471824" w:rsidRPr="0032201E" w:rsidRDefault="00471824" w:rsidP="0032201E">
      <w:pPr>
        <w:suppressAutoHyphens/>
        <w:autoSpaceDE w:val="0"/>
        <w:autoSpaceDN w:val="0"/>
        <w:adjustRightInd w:val="0"/>
        <w:spacing w:after="113" w:line="280" w:lineRule="atLeast"/>
        <w:textAlignment w:val="center"/>
        <w:rPr>
          <w:rFonts w:ascii="Calibri" w:hAnsi="Calibri" w:cs="Calibri"/>
          <w:b/>
          <w:color w:val="000000"/>
          <w:sz w:val="18"/>
          <w:szCs w:val="18"/>
          <w:lang w:val="en-GB"/>
        </w:rPr>
      </w:pPr>
    </w:p>
    <w:p w14:paraId="37AABE39" w14:textId="77777777" w:rsidR="0032201E" w:rsidRPr="0032201E" w:rsidRDefault="00471824" w:rsidP="00471824">
      <w:pPr>
        <w:pStyle w:val="Imagecaption"/>
        <w:keepNext/>
        <w:pBdr>
          <w:top w:val="none" w:sz="0" w:space="0" w:color="auto"/>
        </w:pBdr>
      </w:pPr>
      <w:bookmarkStart w:id="274" w:name="_Ref422388267"/>
      <w:bookmarkStart w:id="275" w:name="_Toc449696238"/>
      <w:r>
        <w:t xml:space="preserve">Table </w:t>
      </w:r>
      <w:r w:rsidR="00084CDD">
        <w:fldChar w:fldCharType="begin"/>
      </w:r>
      <w:r w:rsidR="00144B4F">
        <w:instrText xml:space="preserve"> SEQ Table \* ARABIC </w:instrText>
      </w:r>
      <w:r w:rsidR="00084CDD">
        <w:fldChar w:fldCharType="separate"/>
      </w:r>
      <w:r w:rsidR="00C52E30">
        <w:rPr>
          <w:noProof/>
        </w:rPr>
        <w:t>18</w:t>
      </w:r>
      <w:r w:rsidR="00084CDD">
        <w:rPr>
          <w:noProof/>
        </w:rPr>
        <w:fldChar w:fldCharType="end"/>
      </w:r>
      <w:bookmarkEnd w:id="274"/>
      <w:r>
        <w:t xml:space="preserve">. </w:t>
      </w:r>
      <w:r w:rsidR="00E95429">
        <w:t>Summary of geological units, hydrostratigraphic units and groundwater flow model layers represented in Schlumberger Water Services Gunnedah Basin groundwater flow model.</w:t>
      </w:r>
      <w:bookmarkEnd w:id="275"/>
    </w:p>
    <w:tbl>
      <w:tblPr>
        <w:tblW w:w="5000" w:type="pct"/>
        <w:tblLayout w:type="fixed"/>
        <w:tblLook w:val="04A0" w:firstRow="1" w:lastRow="0" w:firstColumn="1" w:lastColumn="0" w:noHBand="0" w:noVBand="1"/>
      </w:tblPr>
      <w:tblGrid>
        <w:gridCol w:w="3550"/>
        <w:gridCol w:w="1822"/>
        <w:gridCol w:w="1824"/>
        <w:gridCol w:w="1824"/>
      </w:tblGrid>
      <w:tr w:rsidR="0032201E" w:rsidRPr="0032201E" w14:paraId="0AEC5123" w14:textId="77777777" w:rsidTr="0032201E">
        <w:trPr>
          <w:trHeight w:val="264"/>
        </w:trPr>
        <w:tc>
          <w:tcPr>
            <w:tcW w:w="1968" w:type="pct"/>
            <w:tcBorders>
              <w:top w:val="single" w:sz="4" w:space="0" w:color="auto"/>
              <w:left w:val="nil"/>
              <w:bottom w:val="nil"/>
              <w:right w:val="nil"/>
            </w:tcBorders>
            <w:shd w:val="clear" w:color="auto" w:fill="auto"/>
            <w:noWrap/>
            <w:vAlign w:val="bottom"/>
            <w:hideMark/>
          </w:tcPr>
          <w:p w14:paraId="2C505B1D"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Geological unit</w:t>
            </w:r>
          </w:p>
        </w:tc>
        <w:tc>
          <w:tcPr>
            <w:tcW w:w="1010" w:type="pct"/>
            <w:tcBorders>
              <w:top w:val="single" w:sz="4" w:space="0" w:color="auto"/>
              <w:left w:val="nil"/>
              <w:bottom w:val="single" w:sz="4" w:space="0" w:color="auto"/>
              <w:right w:val="nil"/>
            </w:tcBorders>
          </w:tcPr>
          <w:p w14:paraId="21C4292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aquifer</w:t>
            </w:r>
          </w:p>
        </w:tc>
        <w:tc>
          <w:tcPr>
            <w:tcW w:w="1011" w:type="pct"/>
            <w:tcBorders>
              <w:top w:val="single" w:sz="4" w:space="0" w:color="auto"/>
              <w:left w:val="nil"/>
              <w:bottom w:val="single" w:sz="4" w:space="0" w:color="auto"/>
              <w:right w:val="nil"/>
            </w:tcBorders>
          </w:tcPr>
          <w:p w14:paraId="7D6C5B5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aquitard</w:t>
            </w:r>
          </w:p>
        </w:tc>
        <w:tc>
          <w:tcPr>
            <w:tcW w:w="1011" w:type="pct"/>
            <w:tcBorders>
              <w:top w:val="single" w:sz="4" w:space="0" w:color="auto"/>
              <w:left w:val="nil"/>
              <w:bottom w:val="single" w:sz="4" w:space="0" w:color="auto"/>
              <w:right w:val="nil"/>
            </w:tcBorders>
          </w:tcPr>
          <w:p w14:paraId="40F8269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Model layer</w:t>
            </w:r>
          </w:p>
        </w:tc>
      </w:tr>
      <w:tr w:rsidR="0032201E" w:rsidRPr="0032201E" w14:paraId="6F9776E9" w14:textId="77777777" w:rsidTr="00DE115D">
        <w:trPr>
          <w:trHeight w:val="264"/>
        </w:trPr>
        <w:tc>
          <w:tcPr>
            <w:tcW w:w="1968" w:type="pct"/>
            <w:tcBorders>
              <w:top w:val="single" w:sz="4" w:space="0" w:color="auto"/>
              <w:left w:val="nil"/>
              <w:bottom w:val="nil"/>
              <w:right w:val="nil"/>
            </w:tcBorders>
            <w:shd w:val="clear" w:color="auto" w:fill="F2F2F2" w:themeFill="background2" w:themeFillShade="F2"/>
            <w:noWrap/>
            <w:vAlign w:val="bottom"/>
            <w:hideMark/>
          </w:tcPr>
          <w:p w14:paraId="26F151A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Narrabri Formation</w:t>
            </w:r>
          </w:p>
        </w:tc>
        <w:tc>
          <w:tcPr>
            <w:tcW w:w="1010" w:type="pct"/>
            <w:tcBorders>
              <w:top w:val="single" w:sz="4" w:space="0" w:color="auto"/>
              <w:left w:val="nil"/>
              <w:right w:val="nil"/>
            </w:tcBorders>
            <w:shd w:val="clear" w:color="auto" w:fill="F2F2F2" w:themeFill="background2" w:themeFillShade="F2"/>
          </w:tcPr>
          <w:p w14:paraId="12D563E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top w:val="single" w:sz="4" w:space="0" w:color="auto"/>
              <w:left w:val="nil"/>
              <w:right w:val="nil"/>
            </w:tcBorders>
            <w:shd w:val="clear" w:color="auto" w:fill="F2F2F2" w:themeFill="background2" w:themeFillShade="F2"/>
          </w:tcPr>
          <w:p w14:paraId="1F65992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top w:val="single" w:sz="4" w:space="0" w:color="auto"/>
              <w:left w:val="nil"/>
              <w:right w:val="nil"/>
            </w:tcBorders>
            <w:shd w:val="clear" w:color="auto" w:fill="F2F2F2" w:themeFill="background2" w:themeFillShade="F2"/>
          </w:tcPr>
          <w:p w14:paraId="17B0AAD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w:t>
            </w:r>
          </w:p>
        </w:tc>
      </w:tr>
      <w:tr w:rsidR="0032201E" w:rsidRPr="0032201E" w14:paraId="103EA5C2"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20B9C34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Gunnedah Formation / Cubbaroo Formation</w:t>
            </w:r>
          </w:p>
        </w:tc>
        <w:tc>
          <w:tcPr>
            <w:tcW w:w="1010" w:type="pct"/>
            <w:tcBorders>
              <w:left w:val="nil"/>
              <w:right w:val="nil"/>
            </w:tcBorders>
            <w:shd w:val="clear" w:color="auto" w:fill="F2F2F2" w:themeFill="background2" w:themeFillShade="F2"/>
          </w:tcPr>
          <w:p w14:paraId="1186482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F2F2F2" w:themeFill="background2" w:themeFillShade="F2"/>
          </w:tcPr>
          <w:p w14:paraId="678AB83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shd w:val="clear" w:color="auto" w:fill="F2F2F2" w:themeFill="background2" w:themeFillShade="F2"/>
          </w:tcPr>
          <w:p w14:paraId="4FC9EAB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2</w:t>
            </w:r>
          </w:p>
        </w:tc>
      </w:tr>
      <w:tr w:rsidR="0032201E" w:rsidRPr="0032201E" w14:paraId="47FD0940"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4E69C23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Regolith zone</w:t>
            </w:r>
          </w:p>
        </w:tc>
        <w:tc>
          <w:tcPr>
            <w:tcW w:w="1010" w:type="pct"/>
            <w:tcBorders>
              <w:left w:val="nil"/>
              <w:right w:val="nil"/>
            </w:tcBorders>
            <w:shd w:val="clear" w:color="auto" w:fill="F2F2F2" w:themeFill="background2" w:themeFillShade="F2"/>
          </w:tcPr>
          <w:p w14:paraId="4A4BACE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F2F2F2" w:themeFill="background2" w:themeFillShade="F2"/>
          </w:tcPr>
          <w:p w14:paraId="5435620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shd w:val="clear" w:color="auto" w:fill="F2F2F2" w:themeFill="background2" w:themeFillShade="F2"/>
          </w:tcPr>
          <w:p w14:paraId="1EFF6CC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3</w:t>
            </w:r>
          </w:p>
        </w:tc>
      </w:tr>
      <w:tr w:rsidR="0032201E" w:rsidRPr="0032201E" w14:paraId="26A35934"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5158B8D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Fractured New England Fold Belt rocks</w:t>
            </w:r>
          </w:p>
        </w:tc>
        <w:tc>
          <w:tcPr>
            <w:tcW w:w="1010" w:type="pct"/>
            <w:tcBorders>
              <w:left w:val="nil"/>
              <w:right w:val="nil"/>
            </w:tcBorders>
            <w:shd w:val="clear" w:color="auto" w:fill="F2F2F2" w:themeFill="background2" w:themeFillShade="F2"/>
          </w:tcPr>
          <w:p w14:paraId="53B8BD3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F2F2F2" w:themeFill="background2" w:themeFillShade="F2"/>
          </w:tcPr>
          <w:p w14:paraId="7140CDE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shd w:val="clear" w:color="auto" w:fill="F2F2F2" w:themeFill="background2" w:themeFillShade="F2"/>
          </w:tcPr>
          <w:p w14:paraId="5E27598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4</w:t>
            </w:r>
          </w:p>
        </w:tc>
      </w:tr>
      <w:tr w:rsidR="0032201E" w:rsidRPr="0032201E" w14:paraId="0CF4B67B"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63A1F7B4"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Great Artesian Basin</w:t>
            </w:r>
          </w:p>
        </w:tc>
        <w:tc>
          <w:tcPr>
            <w:tcW w:w="1010" w:type="pct"/>
            <w:tcBorders>
              <w:left w:val="nil"/>
              <w:right w:val="nil"/>
            </w:tcBorders>
            <w:shd w:val="clear" w:color="auto" w:fill="F2F2F2" w:themeFill="background2" w:themeFillShade="F2"/>
          </w:tcPr>
          <w:p w14:paraId="57A8B01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F2F2F2" w:themeFill="background2" w:themeFillShade="F2"/>
          </w:tcPr>
          <w:p w14:paraId="7D7884A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shd w:val="clear" w:color="auto" w:fill="F2F2F2" w:themeFill="background2" w:themeFillShade="F2"/>
          </w:tcPr>
          <w:p w14:paraId="1385BEC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5</w:t>
            </w:r>
          </w:p>
        </w:tc>
      </w:tr>
      <w:tr w:rsidR="0032201E" w:rsidRPr="0032201E" w14:paraId="2AFCFF22"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23094C8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Pilliga Sandstone</w:t>
            </w:r>
          </w:p>
        </w:tc>
        <w:tc>
          <w:tcPr>
            <w:tcW w:w="1010" w:type="pct"/>
            <w:tcBorders>
              <w:left w:val="nil"/>
              <w:right w:val="nil"/>
            </w:tcBorders>
            <w:shd w:val="clear" w:color="auto" w:fill="F2F2F2" w:themeFill="background2" w:themeFillShade="F2"/>
          </w:tcPr>
          <w:p w14:paraId="36C9813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F2F2F2" w:themeFill="background2" w:themeFillShade="F2"/>
          </w:tcPr>
          <w:p w14:paraId="6B6F720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shd w:val="clear" w:color="auto" w:fill="F2F2F2" w:themeFill="background2" w:themeFillShade="F2"/>
          </w:tcPr>
          <w:p w14:paraId="2D7635D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6</w:t>
            </w:r>
          </w:p>
        </w:tc>
      </w:tr>
      <w:tr w:rsidR="0032201E" w:rsidRPr="0032201E" w14:paraId="2E4F0E0C" w14:textId="77777777" w:rsidTr="0032201E">
        <w:trPr>
          <w:trHeight w:val="264"/>
        </w:trPr>
        <w:tc>
          <w:tcPr>
            <w:tcW w:w="1968" w:type="pct"/>
            <w:tcBorders>
              <w:top w:val="nil"/>
              <w:left w:val="nil"/>
              <w:bottom w:val="nil"/>
              <w:right w:val="nil"/>
            </w:tcBorders>
            <w:shd w:val="clear" w:color="auto" w:fill="auto"/>
            <w:noWrap/>
            <w:vAlign w:val="bottom"/>
            <w:hideMark/>
          </w:tcPr>
          <w:p w14:paraId="46D4766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Purlawaugh Formation</w:t>
            </w:r>
          </w:p>
        </w:tc>
        <w:tc>
          <w:tcPr>
            <w:tcW w:w="1010" w:type="pct"/>
            <w:tcBorders>
              <w:left w:val="nil"/>
              <w:right w:val="nil"/>
            </w:tcBorders>
          </w:tcPr>
          <w:p w14:paraId="5FCEDFA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tcPr>
          <w:p w14:paraId="1E65DC4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auto"/>
          </w:tcPr>
          <w:p w14:paraId="44C0AA3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7</w:t>
            </w:r>
          </w:p>
        </w:tc>
      </w:tr>
      <w:tr w:rsidR="0032201E" w:rsidRPr="0032201E" w14:paraId="2179FE36" w14:textId="77777777" w:rsidTr="0032201E">
        <w:trPr>
          <w:trHeight w:val="264"/>
        </w:trPr>
        <w:tc>
          <w:tcPr>
            <w:tcW w:w="1968" w:type="pct"/>
            <w:tcBorders>
              <w:top w:val="nil"/>
              <w:left w:val="nil"/>
              <w:bottom w:val="nil"/>
              <w:right w:val="nil"/>
            </w:tcBorders>
            <w:shd w:val="clear" w:color="auto" w:fill="auto"/>
            <w:noWrap/>
            <w:vAlign w:val="bottom"/>
            <w:hideMark/>
          </w:tcPr>
          <w:p w14:paraId="29DAA4D3"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Garrawilla Volcanics</w:t>
            </w:r>
          </w:p>
        </w:tc>
        <w:tc>
          <w:tcPr>
            <w:tcW w:w="1010" w:type="pct"/>
            <w:tcBorders>
              <w:left w:val="nil"/>
              <w:right w:val="nil"/>
            </w:tcBorders>
          </w:tcPr>
          <w:p w14:paraId="43F1EA8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tcPr>
          <w:p w14:paraId="32BFEA0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auto"/>
          </w:tcPr>
          <w:p w14:paraId="0782015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8</w:t>
            </w:r>
          </w:p>
        </w:tc>
      </w:tr>
      <w:tr w:rsidR="0032201E" w:rsidRPr="0032201E" w14:paraId="613A4D40" w14:textId="77777777" w:rsidTr="0032201E">
        <w:trPr>
          <w:trHeight w:val="264"/>
        </w:trPr>
        <w:tc>
          <w:tcPr>
            <w:tcW w:w="1968" w:type="pct"/>
            <w:tcBorders>
              <w:top w:val="nil"/>
              <w:left w:val="nil"/>
              <w:bottom w:val="nil"/>
              <w:right w:val="nil"/>
            </w:tcBorders>
            <w:shd w:val="clear" w:color="auto" w:fill="auto"/>
            <w:noWrap/>
            <w:vAlign w:val="bottom"/>
            <w:hideMark/>
          </w:tcPr>
          <w:p w14:paraId="601A196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Deriah Formation / Napperby Formation </w:t>
            </w:r>
          </w:p>
        </w:tc>
        <w:tc>
          <w:tcPr>
            <w:tcW w:w="1010" w:type="pct"/>
            <w:tcBorders>
              <w:left w:val="nil"/>
              <w:right w:val="nil"/>
            </w:tcBorders>
          </w:tcPr>
          <w:p w14:paraId="644DA90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tcPr>
          <w:p w14:paraId="125A9A9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auto"/>
          </w:tcPr>
          <w:p w14:paraId="38E9179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9</w:t>
            </w:r>
          </w:p>
        </w:tc>
      </w:tr>
      <w:tr w:rsidR="0032201E" w:rsidRPr="0032201E" w14:paraId="0754962B" w14:textId="77777777" w:rsidTr="0032201E">
        <w:trPr>
          <w:trHeight w:val="264"/>
        </w:trPr>
        <w:tc>
          <w:tcPr>
            <w:tcW w:w="1968" w:type="pct"/>
            <w:tcBorders>
              <w:top w:val="nil"/>
              <w:left w:val="nil"/>
              <w:bottom w:val="nil"/>
              <w:right w:val="nil"/>
            </w:tcBorders>
            <w:shd w:val="clear" w:color="auto" w:fill="auto"/>
            <w:noWrap/>
            <w:vAlign w:val="bottom"/>
            <w:hideMark/>
          </w:tcPr>
          <w:p w14:paraId="14B26AD7"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Digby Formation </w:t>
            </w:r>
          </w:p>
        </w:tc>
        <w:tc>
          <w:tcPr>
            <w:tcW w:w="1010" w:type="pct"/>
            <w:tcBorders>
              <w:left w:val="nil"/>
              <w:right w:val="nil"/>
            </w:tcBorders>
          </w:tcPr>
          <w:p w14:paraId="1BB984B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tcPr>
          <w:p w14:paraId="3725F6D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shd w:val="clear" w:color="auto" w:fill="auto"/>
          </w:tcPr>
          <w:p w14:paraId="467B681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10</w:t>
            </w:r>
          </w:p>
        </w:tc>
      </w:tr>
      <w:tr w:rsidR="0032201E" w:rsidRPr="0032201E" w14:paraId="5E0CC6A9" w14:textId="77777777" w:rsidTr="0032201E">
        <w:trPr>
          <w:trHeight w:val="264"/>
        </w:trPr>
        <w:tc>
          <w:tcPr>
            <w:tcW w:w="1968" w:type="pct"/>
            <w:tcBorders>
              <w:top w:val="nil"/>
              <w:left w:val="nil"/>
              <w:bottom w:val="nil"/>
              <w:right w:val="nil"/>
            </w:tcBorders>
            <w:shd w:val="clear" w:color="auto" w:fill="auto"/>
            <w:noWrap/>
            <w:vAlign w:val="bottom"/>
            <w:hideMark/>
          </w:tcPr>
          <w:p w14:paraId="5311AD5C"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Black Jack Formation (upper)</w:t>
            </w:r>
          </w:p>
        </w:tc>
        <w:tc>
          <w:tcPr>
            <w:tcW w:w="1010" w:type="pct"/>
            <w:tcBorders>
              <w:left w:val="nil"/>
              <w:right w:val="nil"/>
            </w:tcBorders>
          </w:tcPr>
          <w:p w14:paraId="68349609"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tcPr>
          <w:p w14:paraId="446CBB8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t>interburden</w:t>
            </w:r>
          </w:p>
        </w:tc>
        <w:tc>
          <w:tcPr>
            <w:tcW w:w="1011" w:type="pct"/>
            <w:tcBorders>
              <w:left w:val="nil"/>
              <w:right w:val="nil"/>
            </w:tcBorders>
            <w:shd w:val="clear" w:color="auto" w:fill="auto"/>
          </w:tcPr>
          <w:p w14:paraId="1A62DED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11</w:t>
            </w:r>
          </w:p>
        </w:tc>
      </w:tr>
      <w:tr w:rsidR="0032201E" w:rsidRPr="0032201E" w14:paraId="4D053D03"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2B2E1D5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 xml:space="preserve">Hoskissons Coal </w:t>
            </w:r>
          </w:p>
        </w:tc>
        <w:tc>
          <w:tcPr>
            <w:tcW w:w="1010" w:type="pct"/>
            <w:tcBorders>
              <w:left w:val="nil"/>
              <w:right w:val="nil"/>
            </w:tcBorders>
            <w:shd w:val="clear" w:color="auto" w:fill="F2F2F2" w:themeFill="background2" w:themeFillShade="F2"/>
          </w:tcPr>
          <w:p w14:paraId="23281AD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t>CSG reservoir</w:t>
            </w:r>
          </w:p>
        </w:tc>
        <w:tc>
          <w:tcPr>
            <w:tcW w:w="1011" w:type="pct"/>
            <w:tcBorders>
              <w:left w:val="nil"/>
              <w:right w:val="nil"/>
            </w:tcBorders>
            <w:shd w:val="clear" w:color="auto" w:fill="F2F2F2" w:themeFill="background2" w:themeFillShade="F2"/>
          </w:tcPr>
          <w:p w14:paraId="549ACFE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shd w:val="clear" w:color="auto" w:fill="F2F2F2" w:themeFill="background2" w:themeFillShade="F2"/>
          </w:tcPr>
          <w:p w14:paraId="5227697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12</w:t>
            </w:r>
          </w:p>
        </w:tc>
      </w:tr>
      <w:tr w:rsidR="0032201E" w:rsidRPr="0032201E" w14:paraId="046B9E4A" w14:textId="77777777" w:rsidTr="0032201E">
        <w:trPr>
          <w:trHeight w:val="264"/>
        </w:trPr>
        <w:tc>
          <w:tcPr>
            <w:tcW w:w="1968" w:type="pct"/>
            <w:tcBorders>
              <w:top w:val="nil"/>
              <w:left w:val="nil"/>
              <w:bottom w:val="nil"/>
              <w:right w:val="nil"/>
            </w:tcBorders>
            <w:shd w:val="clear" w:color="auto" w:fill="auto"/>
            <w:noWrap/>
            <w:vAlign w:val="bottom"/>
            <w:hideMark/>
          </w:tcPr>
          <w:p w14:paraId="5D028CE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Black Jack Formation (middle)</w:t>
            </w:r>
          </w:p>
        </w:tc>
        <w:tc>
          <w:tcPr>
            <w:tcW w:w="1010" w:type="pct"/>
            <w:tcBorders>
              <w:left w:val="nil"/>
              <w:right w:val="nil"/>
            </w:tcBorders>
          </w:tcPr>
          <w:p w14:paraId="45E5756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tcPr>
          <w:p w14:paraId="0ED6D72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t>interburden</w:t>
            </w:r>
          </w:p>
        </w:tc>
        <w:tc>
          <w:tcPr>
            <w:tcW w:w="1011" w:type="pct"/>
            <w:tcBorders>
              <w:left w:val="nil"/>
              <w:right w:val="nil"/>
            </w:tcBorders>
            <w:shd w:val="clear" w:color="auto" w:fill="auto"/>
          </w:tcPr>
          <w:p w14:paraId="6309A77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13</w:t>
            </w:r>
          </w:p>
        </w:tc>
      </w:tr>
      <w:tr w:rsidR="0032201E" w:rsidRPr="0032201E" w14:paraId="10A76FD7"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2FA4269F"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Melvilles Coal Member</w:t>
            </w:r>
          </w:p>
        </w:tc>
        <w:tc>
          <w:tcPr>
            <w:tcW w:w="1010" w:type="pct"/>
            <w:tcBorders>
              <w:left w:val="nil"/>
              <w:right w:val="nil"/>
            </w:tcBorders>
            <w:shd w:val="clear" w:color="auto" w:fill="F2F2F2" w:themeFill="background2" w:themeFillShade="F2"/>
          </w:tcPr>
          <w:p w14:paraId="476A5BE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011" w:type="pct"/>
            <w:tcBorders>
              <w:left w:val="nil"/>
              <w:right w:val="nil"/>
            </w:tcBorders>
            <w:shd w:val="clear" w:color="auto" w:fill="F2F2F2" w:themeFill="background2" w:themeFillShade="F2"/>
          </w:tcPr>
          <w:p w14:paraId="5654AB52"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left w:val="nil"/>
              <w:right w:val="nil"/>
            </w:tcBorders>
            <w:shd w:val="clear" w:color="auto" w:fill="F2F2F2" w:themeFill="background2" w:themeFillShade="F2"/>
          </w:tcPr>
          <w:p w14:paraId="093D530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sz w:val="18"/>
                <w:szCs w:val="18"/>
                <w:lang w:val="en-GB" w:eastAsia="en-AU"/>
              </w:rPr>
              <w:t>14</w:t>
            </w:r>
          </w:p>
        </w:tc>
      </w:tr>
      <w:tr w:rsidR="0032201E" w:rsidRPr="0032201E" w14:paraId="10C93418" w14:textId="77777777" w:rsidTr="0032201E">
        <w:trPr>
          <w:trHeight w:val="264"/>
        </w:trPr>
        <w:tc>
          <w:tcPr>
            <w:tcW w:w="1968" w:type="pct"/>
            <w:tcBorders>
              <w:top w:val="nil"/>
              <w:left w:val="nil"/>
              <w:bottom w:val="nil"/>
              <w:right w:val="nil"/>
            </w:tcBorders>
            <w:shd w:val="clear" w:color="auto" w:fill="auto"/>
            <w:noWrap/>
            <w:vAlign w:val="bottom"/>
            <w:hideMark/>
          </w:tcPr>
          <w:p w14:paraId="027A5058"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32201E">
              <w:rPr>
                <w:rFonts w:ascii="Calibri" w:hAnsi="Calibri" w:cs="Calibri"/>
                <w:sz w:val="18"/>
                <w:szCs w:val="18"/>
                <w:lang w:val="en-GB" w:eastAsia="en-AU"/>
              </w:rPr>
              <w:t>Black Jack Formation (lower)</w:t>
            </w:r>
          </w:p>
        </w:tc>
        <w:tc>
          <w:tcPr>
            <w:tcW w:w="1010" w:type="pct"/>
            <w:tcBorders>
              <w:left w:val="nil"/>
              <w:right w:val="nil"/>
            </w:tcBorders>
          </w:tcPr>
          <w:p w14:paraId="2968ED2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011" w:type="pct"/>
            <w:tcBorders>
              <w:left w:val="nil"/>
              <w:right w:val="nil"/>
            </w:tcBorders>
          </w:tcPr>
          <w:p w14:paraId="395EB8F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32201E">
              <w:rPr>
                <w:rFonts w:ascii="Calibri" w:hAnsi="Calibri" w:cs="Calibri"/>
                <w:color w:val="000000"/>
                <w:sz w:val="18"/>
                <w:szCs w:val="18"/>
                <w:lang w:val="en-GB" w:eastAsia="en-AU"/>
              </w:rPr>
              <w:t>interburden</w:t>
            </w:r>
          </w:p>
        </w:tc>
        <w:tc>
          <w:tcPr>
            <w:tcW w:w="1011" w:type="pct"/>
            <w:tcBorders>
              <w:left w:val="nil"/>
              <w:right w:val="nil"/>
            </w:tcBorders>
            <w:shd w:val="clear" w:color="auto" w:fill="auto"/>
          </w:tcPr>
          <w:p w14:paraId="01EA3393"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r>
      <w:tr w:rsidR="0032201E" w:rsidRPr="0032201E" w14:paraId="070145C6" w14:textId="77777777" w:rsidTr="0032201E">
        <w:trPr>
          <w:trHeight w:val="264"/>
        </w:trPr>
        <w:tc>
          <w:tcPr>
            <w:tcW w:w="1968" w:type="pct"/>
            <w:tcBorders>
              <w:top w:val="nil"/>
              <w:left w:val="nil"/>
              <w:bottom w:val="nil"/>
              <w:right w:val="nil"/>
            </w:tcBorders>
            <w:shd w:val="clear" w:color="auto" w:fill="auto"/>
            <w:noWrap/>
            <w:vAlign w:val="bottom"/>
            <w:hideMark/>
          </w:tcPr>
          <w:p w14:paraId="11E03E36"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Watermark Formation </w:t>
            </w:r>
          </w:p>
        </w:tc>
        <w:tc>
          <w:tcPr>
            <w:tcW w:w="1010" w:type="pct"/>
            <w:tcBorders>
              <w:left w:val="nil"/>
              <w:right w:val="nil"/>
            </w:tcBorders>
          </w:tcPr>
          <w:p w14:paraId="62BF5EA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left w:val="nil"/>
              <w:right w:val="nil"/>
            </w:tcBorders>
          </w:tcPr>
          <w:p w14:paraId="629F1FFB"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tcPr>
          <w:p w14:paraId="0D9ACEE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15</w:t>
            </w:r>
          </w:p>
        </w:tc>
      </w:tr>
      <w:tr w:rsidR="0032201E" w:rsidRPr="0032201E" w14:paraId="47CF7DED" w14:textId="77777777" w:rsidTr="0032201E">
        <w:trPr>
          <w:trHeight w:val="264"/>
        </w:trPr>
        <w:tc>
          <w:tcPr>
            <w:tcW w:w="1968" w:type="pct"/>
            <w:tcBorders>
              <w:top w:val="nil"/>
              <w:left w:val="nil"/>
              <w:bottom w:val="nil"/>
              <w:right w:val="nil"/>
            </w:tcBorders>
            <w:shd w:val="clear" w:color="auto" w:fill="auto"/>
            <w:noWrap/>
            <w:vAlign w:val="bottom"/>
            <w:hideMark/>
          </w:tcPr>
          <w:p w14:paraId="56DE7114"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 xml:space="preserve">Porcupine Formation </w:t>
            </w:r>
          </w:p>
        </w:tc>
        <w:tc>
          <w:tcPr>
            <w:tcW w:w="1010" w:type="pct"/>
            <w:tcBorders>
              <w:left w:val="nil"/>
              <w:right w:val="nil"/>
            </w:tcBorders>
          </w:tcPr>
          <w:p w14:paraId="2EA4F64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left w:val="nil"/>
              <w:right w:val="nil"/>
            </w:tcBorders>
          </w:tcPr>
          <w:p w14:paraId="09894F8D"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right w:val="nil"/>
            </w:tcBorders>
          </w:tcPr>
          <w:p w14:paraId="73BD7F7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16</w:t>
            </w:r>
          </w:p>
        </w:tc>
      </w:tr>
      <w:tr w:rsidR="0032201E" w:rsidRPr="0032201E" w14:paraId="153ADB64" w14:textId="77777777" w:rsidTr="0032201E">
        <w:trPr>
          <w:trHeight w:val="264"/>
        </w:trPr>
        <w:tc>
          <w:tcPr>
            <w:tcW w:w="1968" w:type="pct"/>
            <w:tcBorders>
              <w:top w:val="nil"/>
              <w:left w:val="nil"/>
              <w:bottom w:val="nil"/>
              <w:right w:val="nil"/>
            </w:tcBorders>
            <w:shd w:val="clear" w:color="auto" w:fill="auto"/>
            <w:noWrap/>
            <w:vAlign w:val="bottom"/>
            <w:hideMark/>
          </w:tcPr>
          <w:p w14:paraId="7E1EBF71"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Maules Creek Formation (upper)</w:t>
            </w:r>
          </w:p>
        </w:tc>
        <w:tc>
          <w:tcPr>
            <w:tcW w:w="1010" w:type="pct"/>
            <w:tcBorders>
              <w:left w:val="nil"/>
              <w:right w:val="nil"/>
            </w:tcBorders>
            <w:shd w:val="clear" w:color="auto" w:fill="auto"/>
          </w:tcPr>
          <w:p w14:paraId="7CA343CA"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left w:val="nil"/>
              <w:right w:val="nil"/>
            </w:tcBorders>
            <w:shd w:val="clear" w:color="auto" w:fill="auto"/>
          </w:tcPr>
          <w:p w14:paraId="1E6C9266"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011" w:type="pct"/>
            <w:tcBorders>
              <w:left w:val="nil"/>
              <w:right w:val="nil"/>
            </w:tcBorders>
            <w:shd w:val="clear" w:color="auto" w:fill="auto"/>
          </w:tcPr>
          <w:p w14:paraId="463909D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17</w:t>
            </w:r>
          </w:p>
        </w:tc>
      </w:tr>
      <w:tr w:rsidR="0032201E" w:rsidRPr="0032201E" w14:paraId="48EC3253" w14:textId="77777777" w:rsidTr="00DE115D">
        <w:trPr>
          <w:trHeight w:val="264"/>
        </w:trPr>
        <w:tc>
          <w:tcPr>
            <w:tcW w:w="1968" w:type="pct"/>
            <w:tcBorders>
              <w:top w:val="nil"/>
              <w:left w:val="nil"/>
              <w:bottom w:val="nil"/>
              <w:right w:val="nil"/>
            </w:tcBorders>
            <w:shd w:val="clear" w:color="auto" w:fill="F2F2F2" w:themeFill="background2" w:themeFillShade="F2"/>
            <w:noWrap/>
            <w:vAlign w:val="bottom"/>
            <w:hideMark/>
          </w:tcPr>
          <w:p w14:paraId="0DFF48D9"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Maules Creek Formation (middle)</w:t>
            </w:r>
          </w:p>
        </w:tc>
        <w:tc>
          <w:tcPr>
            <w:tcW w:w="1010" w:type="pct"/>
            <w:tcBorders>
              <w:left w:val="nil"/>
              <w:right w:val="nil"/>
            </w:tcBorders>
            <w:shd w:val="clear" w:color="auto" w:fill="F2F2F2" w:themeFill="background2" w:themeFillShade="F2"/>
          </w:tcPr>
          <w:p w14:paraId="159A652E"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CSG reservoir</w:t>
            </w:r>
          </w:p>
        </w:tc>
        <w:tc>
          <w:tcPr>
            <w:tcW w:w="1011" w:type="pct"/>
            <w:tcBorders>
              <w:left w:val="nil"/>
              <w:right w:val="nil"/>
            </w:tcBorders>
            <w:shd w:val="clear" w:color="auto" w:fill="F2F2F2" w:themeFill="background2" w:themeFillShade="F2"/>
          </w:tcPr>
          <w:p w14:paraId="5F285FF7"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left w:val="nil"/>
              <w:right w:val="nil"/>
            </w:tcBorders>
            <w:shd w:val="clear" w:color="auto" w:fill="F2F2F2" w:themeFill="background2" w:themeFillShade="F2"/>
          </w:tcPr>
          <w:p w14:paraId="2AF660CC"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18</w:t>
            </w:r>
          </w:p>
        </w:tc>
      </w:tr>
      <w:tr w:rsidR="0032201E" w:rsidRPr="0032201E" w14:paraId="0171570C" w14:textId="77777777" w:rsidTr="0032201E">
        <w:trPr>
          <w:trHeight w:val="264"/>
        </w:trPr>
        <w:tc>
          <w:tcPr>
            <w:tcW w:w="1968" w:type="pct"/>
            <w:tcBorders>
              <w:top w:val="nil"/>
              <w:left w:val="nil"/>
              <w:right w:val="nil"/>
            </w:tcBorders>
            <w:shd w:val="clear" w:color="auto" w:fill="auto"/>
            <w:noWrap/>
            <w:vAlign w:val="bottom"/>
            <w:hideMark/>
          </w:tcPr>
          <w:p w14:paraId="2853672E"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Maules Creek Formation (lower)</w:t>
            </w:r>
          </w:p>
        </w:tc>
        <w:tc>
          <w:tcPr>
            <w:tcW w:w="1010" w:type="pct"/>
            <w:tcBorders>
              <w:left w:val="nil"/>
              <w:right w:val="nil"/>
            </w:tcBorders>
            <w:shd w:val="clear" w:color="auto" w:fill="auto"/>
          </w:tcPr>
          <w:p w14:paraId="22AA1F10"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left w:val="nil"/>
              <w:right w:val="nil"/>
            </w:tcBorders>
            <w:shd w:val="clear" w:color="auto" w:fill="auto"/>
          </w:tcPr>
          <w:p w14:paraId="737669FF"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interburden</w:t>
            </w:r>
          </w:p>
        </w:tc>
        <w:tc>
          <w:tcPr>
            <w:tcW w:w="1011" w:type="pct"/>
            <w:tcBorders>
              <w:left w:val="nil"/>
              <w:right w:val="nil"/>
            </w:tcBorders>
            <w:shd w:val="clear" w:color="auto" w:fill="auto"/>
          </w:tcPr>
          <w:p w14:paraId="20CD5CE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19</w:t>
            </w:r>
          </w:p>
        </w:tc>
      </w:tr>
      <w:tr w:rsidR="0032201E" w:rsidRPr="0032201E" w14:paraId="0D5D925E" w14:textId="77777777" w:rsidTr="0032201E">
        <w:trPr>
          <w:trHeight w:val="264"/>
        </w:trPr>
        <w:tc>
          <w:tcPr>
            <w:tcW w:w="1968" w:type="pct"/>
            <w:tcBorders>
              <w:top w:val="nil"/>
              <w:left w:val="nil"/>
              <w:bottom w:val="single" w:sz="4" w:space="0" w:color="auto"/>
              <w:right w:val="nil"/>
            </w:tcBorders>
            <w:shd w:val="clear" w:color="auto" w:fill="auto"/>
            <w:noWrap/>
            <w:vAlign w:val="bottom"/>
            <w:hideMark/>
          </w:tcPr>
          <w:p w14:paraId="74250E05" w14:textId="77777777" w:rsidR="0032201E" w:rsidRPr="0032201E" w:rsidRDefault="0032201E" w:rsidP="0032201E">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Goonbri Formation / Leard Formation</w:t>
            </w:r>
          </w:p>
        </w:tc>
        <w:tc>
          <w:tcPr>
            <w:tcW w:w="1010" w:type="pct"/>
            <w:tcBorders>
              <w:left w:val="nil"/>
              <w:bottom w:val="single" w:sz="4" w:space="0" w:color="auto"/>
              <w:right w:val="nil"/>
            </w:tcBorders>
          </w:tcPr>
          <w:p w14:paraId="4C97CB88"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011" w:type="pct"/>
            <w:tcBorders>
              <w:left w:val="nil"/>
              <w:bottom w:val="single" w:sz="4" w:space="0" w:color="auto"/>
              <w:right w:val="nil"/>
            </w:tcBorders>
          </w:tcPr>
          <w:p w14:paraId="7667ED34"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sym w:font="Wingdings" w:char="F0FC"/>
            </w:r>
          </w:p>
        </w:tc>
        <w:tc>
          <w:tcPr>
            <w:tcW w:w="1011" w:type="pct"/>
            <w:tcBorders>
              <w:left w:val="nil"/>
              <w:bottom w:val="single" w:sz="4" w:space="0" w:color="auto"/>
              <w:right w:val="nil"/>
            </w:tcBorders>
          </w:tcPr>
          <w:p w14:paraId="0C03EB11" w14:textId="77777777" w:rsidR="0032201E" w:rsidRPr="0032201E" w:rsidRDefault="0032201E" w:rsidP="0032201E">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32201E">
              <w:rPr>
                <w:rFonts w:ascii="Calibri" w:hAnsi="Calibri" w:cs="Calibri"/>
                <w:color w:val="000000"/>
                <w:sz w:val="18"/>
                <w:szCs w:val="18"/>
                <w:lang w:val="en-GB" w:eastAsia="en-AU"/>
              </w:rPr>
              <w:t>20</w:t>
            </w:r>
          </w:p>
        </w:tc>
      </w:tr>
    </w:tbl>
    <w:p w14:paraId="59C4D38C" w14:textId="77777777" w:rsidR="0032201E" w:rsidRPr="0032201E" w:rsidRDefault="0032201E" w:rsidP="00405DB4">
      <w:pPr>
        <w:pStyle w:val="Body"/>
      </w:pPr>
    </w:p>
    <w:p w14:paraId="6EF492EC" w14:textId="18C6C52C" w:rsidR="0032201E" w:rsidRPr="0032201E" w:rsidRDefault="00EC2A45"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4768C0">
        <w:rPr>
          <w:rFonts w:ascii="Calibri" w:hAnsi="Calibri" w:cs="Calibri"/>
          <w:color w:val="000000"/>
          <w:sz w:val="18"/>
          <w:szCs w:val="18"/>
          <w:lang w:val="en-GB"/>
        </w:rPr>
        <w:t>Hydraulic property ranges were informed by a literature review of four EISs (Aquaterra 2009; Golder Associates 2008, 2010; GeoTerra 2008), a Great Artesian Basin resource assessment (GABCC 2010), the NSW groundwater database (NSW Office of Water 2010), and a textbook (Freeze and Cherry 1979). Parameter values were subsequently estimated during</w:t>
      </w:r>
      <w:r w:rsidRPr="00EC2A45">
        <w:rPr>
          <w:rFonts w:ascii="Calibri" w:hAnsi="Calibri" w:cs="Calibri"/>
          <w:color w:val="000000"/>
          <w:sz w:val="18"/>
          <w:szCs w:val="18"/>
          <w:lang w:val="en-GB"/>
        </w:rPr>
        <w:t xml:space="preserve"> model inversion. The spatial variability of hydraulic properties was not considered; all model layers featured homogeneous hydraulic conductivity and specific storage values. CSG production was simulated using time-varying specified flux (i.e., Neumann) boundary conditions. Extraction was simulated from the Hoskissons Seam, the Melvilles Coal Member and the Maules Creek Formation (model layers 12, 14 and 18 respectively). </w:t>
      </w:r>
    </w:p>
    <w:p w14:paraId="37B56B9C" w14:textId="77777777" w:rsidR="0032201E" w:rsidRPr="0032201E" w:rsidRDefault="0032201E" w:rsidP="005072A9">
      <w:pPr>
        <w:pStyle w:val="Heading2"/>
      </w:pPr>
      <w:bookmarkStart w:id="276" w:name="_Ref445983705"/>
      <w:bookmarkStart w:id="277" w:name="_Toc449696834"/>
      <w:r w:rsidRPr="0032201E">
        <w:t>Gippsland Basin</w:t>
      </w:r>
      <w:bookmarkEnd w:id="276"/>
      <w:bookmarkEnd w:id="277"/>
    </w:p>
    <w:p w14:paraId="45EE0D86" w14:textId="77777777" w:rsidR="0032201E" w:rsidRPr="0032201E" w:rsidRDefault="0032201E" w:rsidP="005072A9">
      <w:pPr>
        <w:pStyle w:val="Heading3"/>
      </w:pPr>
      <w:bookmarkStart w:id="278" w:name="_Toc449696835"/>
      <w:r w:rsidRPr="0032201E">
        <w:t xml:space="preserve">CSIRO (Strand </w:t>
      </w:r>
      <w:r w:rsidR="00810442">
        <w:t xml:space="preserve">et al., </w:t>
      </w:r>
      <w:r w:rsidRPr="0032201E">
        <w:t>2012)</w:t>
      </w:r>
      <w:bookmarkEnd w:id="278"/>
    </w:p>
    <w:p w14:paraId="58899CF4" w14:textId="25B05CF2" w:rsidR="0032201E" w:rsidRPr="0032201E" w:rsidRDefault="0032201E" w:rsidP="00475872">
      <w:pPr>
        <w:pStyle w:val="Body"/>
      </w:pPr>
      <w:r w:rsidRPr="0032201E">
        <w:t xml:space="preserve">Strand </w:t>
      </w:r>
      <w:r w:rsidR="00810442">
        <w:t xml:space="preserve">et al. </w:t>
      </w:r>
      <w:r w:rsidR="00084CDD" w:rsidRPr="0032201E">
        <w:fldChar w:fldCharType="begin"/>
      </w:r>
      <w:r w:rsidRPr="0032201E">
        <w:instrText xml:space="preserve"> ADDIN EN.CITE &lt;EndNote&gt;&lt;Cite ExcludeAuth="1"&gt;&lt;Author&gt;Strand&lt;/Author&gt;&lt;Year&gt;2012&lt;/Year&gt;&lt;IDText&gt;Simulating the impact of coal seam gas water production on aquifers&lt;/IDText&gt;&lt;DisplayText&gt;(2012)&lt;/DisplayText&gt;&lt;record&gt;&lt;titles&gt;&lt;title&gt;Simulating the impact of coal seam gas water production on aquifers&lt;/title&gt;&lt;secondary-title&gt;APPEA Journal and Conference Proceedings&lt;/secondary-title&gt;&lt;/titles&gt;&lt;pages&gt;545-552&lt;/pages&gt;&lt;contributors&gt;&lt;authors&gt;&lt;author&gt;Strand, J&lt;/author&gt;&lt;author&gt;Freij-Ayoub, R&lt;/author&gt;&lt;author&gt;Ahmed, S&lt;/author&gt;&lt;/authors&gt;&lt;/contributors&gt;&lt;added-date format="utc"&gt;1434100556&lt;/added-date&gt;&lt;ref-type name="Conference Proceedings"&gt;10&lt;/ref-type&gt;&lt;dates&gt;&lt;year&gt;2012&lt;/year&gt;&lt;/dates&gt;&lt;rec-number&gt;293&lt;/rec-number&gt;&lt;last-updated-date format="utc"&gt;1434100556&lt;/last-updated-date&gt;&lt;volume&gt;52&lt;/volume&gt;&lt;/record&gt;&lt;/Cite&gt;&lt;/EndNote&gt;</w:instrText>
      </w:r>
      <w:r w:rsidR="00084CDD" w:rsidRPr="0032201E">
        <w:fldChar w:fldCharType="separate"/>
      </w:r>
      <w:r w:rsidRPr="0032201E">
        <w:rPr>
          <w:noProof/>
        </w:rPr>
        <w:t>(2012)</w:t>
      </w:r>
      <w:r w:rsidR="00084CDD" w:rsidRPr="0032201E">
        <w:fldChar w:fldCharType="end"/>
      </w:r>
      <w:r w:rsidRPr="0032201E">
        <w:t xml:space="preserve"> developed a numerical groundwater flow model of CSG production in the Gippsland Basin. The aim of the study was to determine the volume of extracted water required for economically viable methane production and to estimate the impact of CSG extraction on aquifers underlying a target coal seam. Based on </w:t>
      </w:r>
      <w:r w:rsidR="00972AA6">
        <w:t>a Victorian State government geological model</w:t>
      </w:r>
      <w:r w:rsidRPr="0032201E">
        <w:t>, a MODFLOW</w:t>
      </w:r>
      <w:r w:rsidR="00972AA6">
        <w:t>–2000</w:t>
      </w:r>
      <w:r w:rsidRPr="0032201E">
        <w:t xml:space="preserve"> model </w:t>
      </w:r>
      <w:r w:rsidR="00084CDD">
        <w:fldChar w:fldCharType="begin"/>
      </w:r>
      <w:r w:rsidR="00972AA6">
        <w:instrText xml:space="preserve"> ADDIN EN.CITE &lt;EndNote&gt;&lt;Cite&gt;&lt;Author&gt;Harbaugh&lt;/Author&gt;&lt;Year&gt;2000&lt;/Year&gt;&lt;IDText&gt;MODFLOW-2000, the US Geological Survey modular ground-water model: User guide to modularization concepts and the ground-water flow process&lt;/IDText&gt;&lt;DisplayText&gt;(Harbaugh et al., 2000)&lt;/DisplayText&gt;&lt;record&gt;&lt;contributors&gt;&lt;tertiary-authors&gt;&lt;author&gt;U.S. Department of the Interior&lt;/author&gt;&lt;/tertiary-authors&gt;&lt;/contributors&gt;&lt;titles&gt;&lt;title&gt;MODFLOW-2000, the US Geological Survey modular ground-water model: User guide to modularization concepts and the ground-water flow process&lt;/title&gt;&lt;/titles&gt;&lt;number&gt;Open-File Report 00-92&lt;/number&gt;&lt;contributors&gt;&lt;authors&gt;&lt;author&gt;Harbaugh, AW&lt;/author&gt;&lt;author&gt;Banta, ER&lt;/author&gt;&lt;author&gt;Hill, MC&lt;/author&gt;&lt;author&gt;McDonald, MG&lt;/author&gt;&lt;/authors&gt;&lt;/contributors&gt;&lt;added-date format="utc"&gt;1428996608&lt;/added-date&gt;&lt;ref-type name="Report"&gt;27&lt;/ref-type&gt;&lt;dates&gt;&lt;year&gt;2000&lt;/year&gt;&lt;/dates&gt;&lt;rec-number&gt;1127&lt;/rec-number&gt;&lt;publisher&gt;U.S. Geological Survey&lt;/publisher&gt;&lt;last-updated-date format="utc"&gt;1428996766&lt;/last-updated-date&gt;&lt;/record&gt;&lt;/Cite&gt;&lt;/EndNote&gt;</w:instrText>
      </w:r>
      <w:r w:rsidR="00084CDD">
        <w:fldChar w:fldCharType="separate"/>
      </w:r>
      <w:r w:rsidR="00972AA6">
        <w:rPr>
          <w:noProof/>
        </w:rPr>
        <w:t>(Harbaugh et al., 2000)</w:t>
      </w:r>
      <w:r w:rsidR="00084CDD">
        <w:fldChar w:fldCharType="end"/>
      </w:r>
      <w:r w:rsidR="00972AA6">
        <w:t xml:space="preserve"> w</w:t>
      </w:r>
      <w:r w:rsidRPr="0032201E">
        <w:t>as developed, covering a total area of approximately 40 km</w:t>
      </w:r>
      <w:r w:rsidR="00056615">
        <w:t xml:space="preserve"> × </w:t>
      </w:r>
      <w:r w:rsidRPr="0032201E">
        <w:t>20 km. This was discretised using 100 m</w:t>
      </w:r>
      <w:r w:rsidR="00056615">
        <w:t xml:space="preserve"> × </w:t>
      </w:r>
      <w:r w:rsidRPr="0032201E">
        <w:t>100 m cells into 310 rows and 180 columns. The model featured 17 layers and specified hydraulic head (</w:t>
      </w:r>
      <w:r w:rsidR="00C85DC3">
        <w:t xml:space="preserve">i.e., </w:t>
      </w:r>
      <w:r w:rsidRPr="0032201E">
        <w:t xml:space="preserve">Dirichlet) boundary conditions. The discretisation of model layers was not described by Strand </w:t>
      </w:r>
      <w:r w:rsidR="00810442">
        <w:t xml:space="preserve">et al. </w:t>
      </w:r>
      <w:r w:rsidR="00084CDD" w:rsidRPr="0032201E">
        <w:fldChar w:fldCharType="begin"/>
      </w:r>
      <w:r w:rsidRPr="0032201E">
        <w:instrText xml:space="preserve"> ADDIN EN.CITE &lt;EndNote&gt;&lt;Cite ExcludeAuth="1"&gt;&lt;Author&gt;Strand&lt;/Author&gt;&lt;Year&gt;2012&lt;/Year&gt;&lt;IDText&gt;Simulating the impact of coal seam gas water production on aquifers&lt;/IDText&gt;&lt;DisplayText&gt;(2012)&lt;/DisplayText&gt;&lt;record&gt;&lt;titles&gt;&lt;title&gt;Simulating the impact of coal seam gas water production on aquifers&lt;/title&gt;&lt;secondary-title&gt;APPEA Journal and Conference Proceedings&lt;/secondary-title&gt;&lt;/titles&gt;&lt;pages&gt;545-552&lt;/pages&gt;&lt;contributors&gt;&lt;authors&gt;&lt;author&gt;Strand, J&lt;/author&gt;&lt;author&gt;Freij-Ayoub, R&lt;/author&gt;&lt;author&gt;Ahmed, S&lt;/author&gt;&lt;/authors&gt;&lt;/contributors&gt;&lt;added-date format="utc"&gt;1434100556&lt;/added-date&gt;&lt;ref-type name="Conference Proceedings"&gt;10&lt;/ref-type&gt;&lt;dates&gt;&lt;year&gt;2012&lt;/year&gt;&lt;/dates&gt;&lt;rec-number&gt;293&lt;/rec-number&gt;&lt;last-updated-date format="utc"&gt;1434100556&lt;/last-updated-date&gt;&lt;volume&gt;52&lt;/volume&gt;&lt;/record&gt;&lt;/Cite&gt;&lt;/EndNote&gt;</w:instrText>
      </w:r>
      <w:r w:rsidR="00084CDD" w:rsidRPr="0032201E">
        <w:fldChar w:fldCharType="separate"/>
      </w:r>
      <w:r w:rsidRPr="0032201E">
        <w:rPr>
          <w:noProof/>
        </w:rPr>
        <w:t>(2012)</w:t>
      </w:r>
      <w:r w:rsidR="00084CDD" w:rsidRPr="0032201E">
        <w:fldChar w:fldCharType="end"/>
      </w:r>
      <w:r w:rsidRPr="0032201E">
        <w:t xml:space="preserve">. For this model, the Yallourn Formation aquitard overlying the Morwell Formation coal seams was assumed to limit the upward vertical propagation of hydraulic stresses induced by CSG production. </w:t>
      </w:r>
      <w:r w:rsidR="00BD0636">
        <w:t>Hence</w:t>
      </w:r>
      <w:r w:rsidRPr="0032201E">
        <w:t xml:space="preserve">, the focus of the modelling was on the downward propagation of hydraulic stresses to aquifers in the underlying Traralgon Formation. </w:t>
      </w:r>
    </w:p>
    <w:p w14:paraId="32571D39" w14:textId="77777777" w:rsidR="0032201E" w:rsidRPr="0032201E" w:rsidRDefault="0032201E" w:rsidP="00475872">
      <w:pPr>
        <w:pStyle w:val="Body"/>
      </w:pPr>
      <w:r w:rsidRPr="0032201E">
        <w:t xml:space="preserve">Homogeneous hydraulic properties were specified by Strand </w:t>
      </w:r>
      <w:r w:rsidR="00810442">
        <w:t xml:space="preserve">et al. </w:t>
      </w:r>
      <w:r w:rsidR="00084CDD" w:rsidRPr="0032201E">
        <w:fldChar w:fldCharType="begin"/>
      </w:r>
      <w:r w:rsidRPr="0032201E">
        <w:instrText xml:space="preserve"> ADDIN EN.CITE &lt;EndNote&gt;&lt;Cite ExcludeAuth="1"&gt;&lt;Author&gt;Strand&lt;/Author&gt;&lt;Year&gt;2012&lt;/Year&gt;&lt;IDText&gt;Simulating the impact of coal seam gas water production on aquifers&lt;/IDText&gt;&lt;DisplayText&gt;(2012)&lt;/DisplayText&gt;&lt;record&gt;&lt;titles&gt;&lt;title&gt;Simulating the impact of coal seam gas water production on aquifers&lt;/title&gt;&lt;secondary-title&gt;APPEA Journal and Conference Proceedings&lt;/secondary-title&gt;&lt;/titles&gt;&lt;pages&gt;545-552&lt;/pages&gt;&lt;contributors&gt;&lt;authors&gt;&lt;author&gt;Strand, J&lt;/author&gt;&lt;author&gt;Freij-Ayoub, R&lt;/author&gt;&lt;author&gt;Ahmed, S&lt;/author&gt;&lt;/authors&gt;&lt;/contributors&gt;&lt;added-date format="utc"&gt;1434100556&lt;/added-date&gt;&lt;ref-type name="Conference Proceedings"&gt;10&lt;/ref-type&gt;&lt;dates&gt;&lt;year&gt;2012&lt;/year&gt;&lt;/dates&gt;&lt;rec-number&gt;293&lt;/rec-number&gt;&lt;last-updated-date format="utc"&gt;1434100556&lt;/last-updated-date&gt;&lt;volume&gt;52&lt;/volume&gt;&lt;/record&gt;&lt;/Cite&gt;&lt;/EndNote&gt;</w:instrText>
      </w:r>
      <w:r w:rsidR="00084CDD" w:rsidRPr="0032201E">
        <w:fldChar w:fldCharType="separate"/>
      </w:r>
      <w:r w:rsidRPr="0032201E">
        <w:rPr>
          <w:noProof/>
        </w:rPr>
        <w:t>(2012)</w:t>
      </w:r>
      <w:r w:rsidR="00084CDD" w:rsidRPr="0032201E">
        <w:fldChar w:fldCharType="end"/>
      </w:r>
      <w:r w:rsidRPr="0032201E">
        <w:t xml:space="preserve">. </w:t>
      </w:r>
      <w:r w:rsidR="00814673">
        <w:t>H</w:t>
      </w:r>
      <w:r w:rsidRPr="0032201E">
        <w:t xml:space="preserve">ydraulic property values were </w:t>
      </w:r>
      <w:r w:rsidR="00814673">
        <w:t xml:space="preserve">specified according to a previous study by Schaeffer </w:t>
      </w:r>
      <w:r w:rsidR="00084CDD">
        <w:fldChar w:fldCharType="begin"/>
      </w:r>
      <w:r w:rsidR="00814673">
        <w:instrText xml:space="preserve"> ADDIN EN.CITE &lt;EndNote&gt;&lt;Cite ExcludeAuth="1"&gt;&lt;Author&gt;Schaeffer&lt;/Author&gt;&lt;Year&gt;2008&lt;/Year&gt;&lt;IDText&gt;Scaling point based aquifer data for developing regional groundwater models: application to the Gippsland groundwater system&lt;/IDText&gt;&lt;DisplayText&gt;(2008)&lt;/DisplayText&gt;&lt;record&gt;&lt;titles&gt;&lt;title&gt;Scaling point based aquifer data for developing regional groundwater models: application to the Gippsland groundwater system&lt;/title&gt;&lt;secondary-title&gt;Department of Civil and Environmental Engineering&lt;/secondary-title&gt;&lt;/titles&gt;&lt;contributors&gt;&lt;authors&gt;&lt;author&gt;Schaeffer, J&lt;/author&gt;&lt;/authors&gt;&lt;/contributors&gt;&lt;added-date format="utc"&gt;1434954366&lt;/added-date&gt;&lt;pub-location&gt;Melbourne, Victoria, Australia&lt;/pub-location&gt;&lt;ref-type name="Thesis"&gt;32&lt;/ref-type&gt;&lt;dates&gt;&lt;year&gt;2008&lt;/year&gt;&lt;/dates&gt;&lt;rec-number&gt;1203&lt;/rec-number&gt;&lt;publisher&gt;University of Melbourne&lt;/publisher&gt;&lt;last-updated-date format="utc"&gt;1434954440&lt;/last-updated-date&gt;&lt;volume&gt;PhD&lt;/volume&gt;&lt;/record&gt;&lt;/Cite&gt;&lt;/EndNote&gt;</w:instrText>
      </w:r>
      <w:r w:rsidR="00084CDD">
        <w:fldChar w:fldCharType="separate"/>
      </w:r>
      <w:r w:rsidR="00814673">
        <w:rPr>
          <w:noProof/>
        </w:rPr>
        <w:t>(2008)</w:t>
      </w:r>
      <w:r w:rsidR="00084CDD">
        <w:fldChar w:fldCharType="end"/>
      </w:r>
      <w:r w:rsidRPr="0032201E">
        <w:t xml:space="preserve">. </w:t>
      </w:r>
      <w:r w:rsidR="007A455F">
        <w:t>As g</w:t>
      </w:r>
      <w:r w:rsidRPr="0032201E">
        <w:t xml:space="preserve">eological faults </w:t>
      </w:r>
      <w:r w:rsidR="007A455F">
        <w:t>are not present in the Oligocene–</w:t>
      </w:r>
      <w:r w:rsidR="007A455F" w:rsidRPr="007A455F">
        <w:t>Miocene</w:t>
      </w:r>
      <w:r w:rsidR="007A455F">
        <w:t xml:space="preserve"> age geological units simulated, faults </w:t>
      </w:r>
      <w:r w:rsidRPr="0032201E">
        <w:t xml:space="preserve">were not represented in the model. Volumetric rates of groundwater extraction for CSG production were obtained from a COMET3 reservoir model </w:t>
      </w:r>
      <w:r w:rsidR="00084CDD" w:rsidRPr="0032201E">
        <w:fldChar w:fldCharType="begin"/>
      </w:r>
      <w:r w:rsidRPr="0032201E">
        <w:instrText xml:space="preserve"> ADDIN EN.CITE &lt;EndNote&gt;&lt;Cite&gt;&lt;Author&gt;Sawyer&lt;/Author&gt;&lt;Year&gt;1990&lt;/Year&gt;&lt;IDText&gt;Development And Application Of A 3-D Coalbed Simulator&lt;/IDText&gt;&lt;DisplayText&gt;(Sawyer et al., 1990)&lt;/DisplayText&gt;&lt;record&gt;&lt;dates&gt;&lt;pub-dates&gt;&lt;date&gt;June 10-13&lt;/date&gt;&lt;/pub-dates&gt;&lt;year&gt;1990&lt;/year&gt;&lt;/dates&gt;&lt;titles&gt;&lt;title&gt;Development And Application Of A 3-D Coalbed Simulator&lt;/title&gt;&lt;secondary-title&gt;Annual Technical Meeting&lt;/secondary-title&gt;&lt;/titles&gt;&lt;contributors&gt;&lt;authors&gt;&lt;author&gt;Sawyer, W. K.&lt;/author&gt;&lt;author&gt;Paul, G. W.&lt;/author&gt;&lt;author&gt;Schraufnagel, R. A.&lt;/author&gt;&lt;/authors&gt;&lt;/contributors&gt;&lt;added-date format="utc"&gt;1433902676&lt;/added-date&gt;&lt;pub-location&gt;Calgary, Alberta&lt;/pub-location&gt;&lt;ref-type name="Conference Paper"&gt;47&lt;/ref-type&gt;&lt;rec-number&gt;230&lt;/rec-number&gt;&lt;publisher&gt;Petroleum Society of Canada&lt;/publisher&gt;&lt;last-updated-date format="utc"&gt;1433903111&lt;/last-updated-date&gt;&lt;electronic-resource-num&gt;10.2118/90-119&lt;/electronic-resource-num&gt;&lt;/record&gt;&lt;/Cite&gt;&lt;/EndNote&gt;</w:instrText>
      </w:r>
      <w:r w:rsidR="00084CDD" w:rsidRPr="0032201E">
        <w:fldChar w:fldCharType="separate"/>
      </w:r>
      <w:r w:rsidRPr="0032201E">
        <w:rPr>
          <w:noProof/>
        </w:rPr>
        <w:t>(Sawyer et al., 1990)</w:t>
      </w:r>
      <w:r w:rsidR="00084CDD" w:rsidRPr="0032201E">
        <w:fldChar w:fldCharType="end"/>
      </w:r>
      <w:r w:rsidRPr="0032201E">
        <w:t>. CSG production was simulated over a 30 year period, during which individual bore extraction rates varied from 0.5 ML.d</w:t>
      </w:r>
      <w:r w:rsidRPr="0032201E">
        <w:rPr>
          <w:vertAlign w:val="superscript"/>
        </w:rPr>
        <w:t>-1</w:t>
      </w:r>
      <w:r w:rsidRPr="0032201E">
        <w:t xml:space="preserve"> to</w:t>
      </w:r>
      <w:r w:rsidRPr="0032201E">
        <w:rPr>
          <w:vertAlign w:val="subscript"/>
        </w:rPr>
        <w:t xml:space="preserve"> </w:t>
      </w:r>
      <w:r w:rsidRPr="0032201E">
        <w:t>0.01 ML.d</w:t>
      </w:r>
      <w:r w:rsidRPr="0032201E">
        <w:rPr>
          <w:vertAlign w:val="superscript"/>
        </w:rPr>
        <w:t>-1</w:t>
      </w:r>
      <w:r w:rsidRPr="0032201E">
        <w:t xml:space="preserve">. All extraction was simulated from the uppermost coal seam in the Morwell Formation. </w:t>
      </w:r>
      <w:r w:rsidR="00814673">
        <w:t>T</w:t>
      </w:r>
      <w:r w:rsidR="00814673" w:rsidRPr="0032201E">
        <w:t>ime-varying specified flux (</w:t>
      </w:r>
      <w:r w:rsidR="00814673">
        <w:t xml:space="preserve">i.e., </w:t>
      </w:r>
      <w:r w:rsidR="00814673" w:rsidRPr="0032201E">
        <w:t>Neumann) boundary conditions were used</w:t>
      </w:r>
      <w:r w:rsidR="00814673">
        <w:t xml:space="preserve"> to represent CSG extraction</w:t>
      </w:r>
      <w:r w:rsidRPr="0032201E">
        <w:t xml:space="preserve">. After one year of time elapsed, drawdowns of up to 100 m were predicted in </w:t>
      </w:r>
      <w:r w:rsidR="004E13DF">
        <w:t xml:space="preserve">the receptor </w:t>
      </w:r>
      <w:r w:rsidRPr="0032201E">
        <w:t xml:space="preserve">Traralgon Formation aquifer indirectly underlying the target coal seam in the Morwell Formation. </w:t>
      </w:r>
    </w:p>
    <w:p w14:paraId="5308F2B7" w14:textId="77777777" w:rsidR="0032201E" w:rsidRPr="0032201E" w:rsidRDefault="0032201E" w:rsidP="005072A9">
      <w:pPr>
        <w:pStyle w:val="Heading3"/>
      </w:pPr>
      <w:bookmarkStart w:id="279" w:name="_Toc449696836"/>
      <w:r w:rsidRPr="0032201E">
        <w:t>CSIRO (Varma and Michael 2012)</w:t>
      </w:r>
      <w:bookmarkEnd w:id="279"/>
    </w:p>
    <w:p w14:paraId="19543C9C" w14:textId="40804FD6" w:rsidR="00056615" w:rsidRDefault="0032201E" w:rsidP="00056615">
      <w:pPr>
        <w:pStyle w:val="Body"/>
      </w:pPr>
      <w:r w:rsidRPr="0032201E">
        <w:t xml:space="preserve">Varma and Michael </w:t>
      </w:r>
      <w:r w:rsidR="00084CDD" w:rsidRPr="0032201E">
        <w:fldChar w:fldCharType="begin"/>
      </w:r>
      <w:r w:rsidRPr="0032201E">
        <w:instrText xml:space="preserve"> ADDIN EN.CITE &lt;EndNote&gt;&lt;Cite ExcludeAuth="1"&gt;&lt;Author&gt;Varma&lt;/Author&gt;&lt;Year&gt;2012&lt;/Year&gt;&lt;IDText&gt;Impact of multi-purpose aquifer utilisation on a variable-density groundwater flow system in the Gippsland Basin, Australia&lt;/IDText&gt;&lt;DisplayText&gt;(2012)&lt;/DisplayText&gt;&lt;record&gt;&lt;keywords&gt;&lt;keyword&gt;Australia&lt;/keyword&gt;&lt;keyword&gt;Coastal Aquifers&lt;/keyword&gt;&lt;keyword&gt;Groundwater Flow&lt;/keyword&gt;&lt;keyword&gt;Salt-Water/Fresh-Water Relations&lt;/keyword&gt;&lt;/keywords&gt;&lt;isbn&gt;14312174&lt;/isbn&gt;&lt;titles&gt;&lt;title&gt;Impact of multi-purpose aquifer utilisation on a variable-density groundwater flow system in the Gippsland Basin, Australia&lt;/title&gt;&lt;secondary-title&gt;Hydrogeology Journal&lt;/secondary-title&gt;&lt;/titles&gt;&lt;pages&gt;119-134&lt;/pages&gt;&lt;number&gt;1&lt;/number&gt;&lt;contributors&gt;&lt;authors&gt;&lt;author&gt;Varma, Sunil&lt;/author&gt;&lt;author&gt;Michael, Karsten&lt;/author&gt;&lt;/authors&gt;&lt;/contributors&gt;&lt;added-date format="utc"&gt;1433400956&lt;/added-date&gt;&lt;ref-type name="Journal Article"&gt;17&lt;/ref-type&gt;&lt;dates&gt;&lt;year&gt;2012&lt;/year&gt;&lt;/dates&gt;&lt;rec-number&gt;87&lt;/rec-number&gt;&lt;last-updated-date format="utc"&gt;1433400974&lt;/last-updated-date&gt;&lt;electronic-resource-num&gt;10.1007/s10040-011-0800-8&lt;/electronic-resource-num&gt;&lt;volume&gt;20&lt;/volume&gt;&lt;/record&gt;&lt;/Cite&gt;&lt;/EndNote&gt;</w:instrText>
      </w:r>
      <w:r w:rsidR="00084CDD" w:rsidRPr="0032201E">
        <w:fldChar w:fldCharType="separate"/>
      </w:r>
      <w:r w:rsidRPr="0032201E">
        <w:rPr>
          <w:noProof/>
        </w:rPr>
        <w:t>(2012)</w:t>
      </w:r>
      <w:r w:rsidR="00084CDD" w:rsidRPr="0032201E">
        <w:fldChar w:fldCharType="end"/>
      </w:r>
      <w:r w:rsidRPr="0032201E">
        <w:t xml:space="preserve"> </w:t>
      </w:r>
      <w:r w:rsidR="00056615">
        <w:t>developed a numerical groundwater flow model of the Gippsland Basin which included groundwater extraction for coal mine dewatering.</w:t>
      </w:r>
      <w:r w:rsidR="003D0503">
        <w:t xml:space="preserve"> </w:t>
      </w:r>
      <w:r w:rsidR="00056615">
        <w:t xml:space="preserve">The aim of the study was simulate the cumulative impacts of groundwater production for agricultural and municipal use, offshore petroleum production, and mine dewatering on the Latrobe Group aquifer. A single layer transient MODFLOW–2000 model was developed, covering a total area of approximately 40 x 20 km. This was discretised using 95 rows and 143 columns with uniform cell dimensions of 2 km x 2 km. The model featured a combination of specified flow (i.e., Neumann) boundary conditions and hydraulic head-dependent flow (i.e., Cauchy) boundary conditions. Predicted drawdowns of up to 30 m were reported. </w:t>
      </w:r>
    </w:p>
    <w:p w14:paraId="4FA5F640" w14:textId="77777777" w:rsidR="0032201E" w:rsidRPr="0032201E" w:rsidRDefault="00056615" w:rsidP="00056615">
      <w:pPr>
        <w:pStyle w:val="Body"/>
      </w:pPr>
      <w:r>
        <w:t xml:space="preserve">The model featured heterogeneous hydraulic properties that were interpolated from point estimates using the nearest neighbour algorithm. Point scale estimates of horizontal hydraulic conductivity, specific yield and specific storage were calculated from formation shale volumes which, in turn, were estimated from downhole geophysical logs. Vertical hydraulic conductivity was initially assumed to be one order of magnitude lower than horizontal hydraulic conductivity. This ratio was subsequently estimated during model inversion, as were scalars that were applied to interpolated spatial distributions of horizontal hydraulic conductivity and storage parameters.  Three geological faults, representing the Rosedale and Foster fault systems, were simulated as flow barriers using the Horizontal Flow Barrier package </w:t>
      </w:r>
      <w:r w:rsidR="00084CDD" w:rsidRPr="0032201E">
        <w:fldChar w:fldCharType="begin"/>
      </w:r>
      <w:r w:rsidR="0032201E" w:rsidRPr="0032201E">
        <w:instrText xml:space="preserve"> ADDIN EN.CITE &lt;EndNote&gt;&lt;Cite&gt;&lt;Author&gt;Hsieh&lt;/Author&gt;&lt;Year&gt;1993&lt;/Year&gt;&lt;IDText&gt;Documentation of a computer program to simulate horizontal-flow barriers using the US Geological Survey&amp;apos;s modular three-dimensional finite-difference ground-water flow model&lt;/IDText&gt;&lt;DisplayText&gt;(Hsieh and Freckleton, 1993)&lt;/DisplayText&gt;&lt;record&gt;&lt;titles&gt;&lt;title&gt;Documentation of a computer program to simulate horizontal-flow barriers using the US Geological Survey&amp;apos;s modular three-dimensional finite-difference ground-water flow model&lt;/title&gt;&lt;/titles&gt;&lt;contributors&gt;&lt;authors&gt;&lt;author&gt;Hsieh, Paul A&lt;/author&gt;&lt;author&gt;Freckleton, John R&lt;/author&gt;&lt;/authors&gt;&lt;/contributors&gt;&lt;added-date format="utc"&gt;1434100500&lt;/added-date&gt;&lt;ref-type name="Book"&gt;6&lt;/ref-type&gt;&lt;dates&gt;&lt;year&gt;1993&lt;/year&gt;&lt;/dates&gt;&lt;rec-number&gt;292&lt;/rec-number&gt;&lt;publisher&gt;US Department of the Interior, US Geological Survey&lt;/publisher&gt;&lt;last-updated-date format="utc"&gt;1434100500&lt;/last-updated-date&gt;&lt;/record&gt;&lt;/Cite&gt;&lt;/EndNote&gt;</w:instrText>
      </w:r>
      <w:r w:rsidR="00084CDD" w:rsidRPr="0032201E">
        <w:fldChar w:fldCharType="separate"/>
      </w:r>
      <w:r w:rsidR="0032201E" w:rsidRPr="0032201E">
        <w:rPr>
          <w:noProof/>
        </w:rPr>
        <w:t>(Hsieh and Freckleton, 1993)</w:t>
      </w:r>
      <w:r w:rsidR="00084CDD" w:rsidRPr="0032201E">
        <w:fldChar w:fldCharType="end"/>
      </w:r>
      <w:r w:rsidR="0032201E" w:rsidRPr="0032201E">
        <w:t>. However, no details are provided of the parameterisation of these faults.</w:t>
      </w:r>
      <w:r>
        <w:t xml:space="preserve"> </w:t>
      </w:r>
      <w:r w:rsidRPr="00056615">
        <w:t xml:space="preserve">While not described by Varma </w:t>
      </w:r>
      <w:r w:rsidRPr="004768C0">
        <w:t>and Michael (2012), the parameterisation of these faults was based on prior characterisation by Ciftci et al. (2014)</w:t>
      </w:r>
    </w:p>
    <w:p w14:paraId="2CE4DD54" w14:textId="77777777" w:rsidR="0032201E" w:rsidRPr="0032201E" w:rsidRDefault="0032201E" w:rsidP="00471824">
      <w:pPr>
        <w:pStyle w:val="Heading2"/>
      </w:pPr>
      <w:bookmarkStart w:id="280" w:name="_Ref445984510"/>
      <w:bookmarkStart w:id="281" w:name="_Toc449696837"/>
      <w:r w:rsidRPr="0032201E">
        <w:t>Summary</w:t>
      </w:r>
      <w:bookmarkEnd w:id="280"/>
      <w:bookmarkEnd w:id="281"/>
      <w:r w:rsidRPr="0032201E">
        <w:t xml:space="preserve"> </w:t>
      </w:r>
    </w:p>
    <w:p w14:paraId="630B9E74" w14:textId="2848CD02" w:rsidR="0032201E" w:rsidRPr="0032201E" w:rsidRDefault="0032201E" w:rsidP="00475872">
      <w:pPr>
        <w:pStyle w:val="Body"/>
      </w:pPr>
      <w:r w:rsidRPr="0032201E">
        <w:t xml:space="preserve">In total, ten CSG impact studies involving groundwater flow models were </w:t>
      </w:r>
      <w:r w:rsidR="009E76A6">
        <w:t>discussed</w:t>
      </w:r>
      <w:r w:rsidRPr="0032201E">
        <w:t xml:space="preserve">, including eight models developed for EIS studies and two developed by CSIRO researchers for hypothesis testing </w:t>
      </w:r>
      <w:r w:rsidR="005072A9">
        <w:t>(</w:t>
      </w:r>
      <w:r w:rsidR="00102009">
        <w:fldChar w:fldCharType="begin"/>
      </w:r>
      <w:r w:rsidR="00102009">
        <w:instrText xml:space="preserve"> REF _Ref422388589 \h  \* MERGEFORMAT </w:instrText>
      </w:r>
      <w:r w:rsidR="00102009">
        <w:fldChar w:fldCharType="separate"/>
      </w:r>
      <w:r w:rsidR="00C52E30" w:rsidRPr="00C52E30">
        <w:rPr>
          <w:rStyle w:val="BodyChar"/>
        </w:rPr>
        <w:t>Table 19</w:t>
      </w:r>
      <w:r w:rsidR="00102009">
        <w:fldChar w:fldCharType="end"/>
      </w:r>
      <w:r w:rsidRPr="0032201E">
        <w:t xml:space="preserve">). These models are now summarised with respect to the key regional scale considerations identified in this report, namely parameter upscaling and regionalisation, and representations of faults and fracture zones. Also discussed are the approaches taken to </w:t>
      </w:r>
      <w:r w:rsidR="00FB60DD">
        <w:t xml:space="preserve">(i) </w:t>
      </w:r>
      <w:r w:rsidRPr="0032201E">
        <w:t>obtain hydraulic property values</w:t>
      </w:r>
      <w:r w:rsidR="00FB60DD">
        <w:t>,</w:t>
      </w:r>
      <w:r w:rsidRPr="0032201E">
        <w:t xml:space="preserve"> </w:t>
      </w:r>
      <w:r w:rsidR="00FB60DD">
        <w:t xml:space="preserve">(i) </w:t>
      </w:r>
      <w:r w:rsidRPr="0032201E">
        <w:t>the discretisation of geological and/or hydrostratigraphic units</w:t>
      </w:r>
      <w:r w:rsidR="00FB60DD">
        <w:t>, a</w:t>
      </w:r>
      <w:r w:rsidRPr="0032201E">
        <w:t xml:space="preserve">nd </w:t>
      </w:r>
      <w:r w:rsidR="00FB60DD">
        <w:t xml:space="preserve">(iii) develop </w:t>
      </w:r>
      <w:r w:rsidRPr="0032201E">
        <w:t>the linkage between coal formations and aquifer/aquitards (i</w:t>
      </w:r>
      <w:r w:rsidR="00250377">
        <w:t>.</w:t>
      </w:r>
      <w:r w:rsidRPr="0032201E">
        <w:t>e</w:t>
      </w:r>
      <w:r w:rsidR="00250377">
        <w:t>.</w:t>
      </w:r>
      <w:r w:rsidRPr="0032201E">
        <w:t xml:space="preserve"> linkage between reservoir model and regional groundwater flow model)</w:t>
      </w:r>
    </w:p>
    <w:p w14:paraId="4FCAB828" w14:textId="188E7E4A" w:rsidR="0032201E" w:rsidRPr="0032201E" w:rsidRDefault="0032201E" w:rsidP="00475872">
      <w:pPr>
        <w:pStyle w:val="Body"/>
      </w:pPr>
      <w:r w:rsidRPr="00BE2967">
        <w:t xml:space="preserve">For the majority of the impact studies </w:t>
      </w:r>
      <w:r w:rsidR="009E76A6" w:rsidRPr="00BE2967">
        <w:t>discuss</w:t>
      </w:r>
      <w:r w:rsidRPr="00BE2967">
        <w:t xml:space="preserve">ed, the model geometry was based on a </w:t>
      </w:r>
      <w:r w:rsidR="00195632" w:rsidRPr="00BE2967">
        <w:t xml:space="preserve">single </w:t>
      </w:r>
      <w:r w:rsidRPr="00BE2967">
        <w:t xml:space="preserve">geological model. </w:t>
      </w:r>
      <w:r w:rsidR="00195632" w:rsidRPr="00BE2967">
        <w:t xml:space="preserve">It should be noted that </w:t>
      </w:r>
      <w:r w:rsidR="0064795A" w:rsidRPr="00A45100">
        <w:t xml:space="preserve">a common oil industry approach to reservoir modelling is to have several geological models that represent a range of plausible geologcial scenarios and then run multiple stochastic permeability parameterisations on each of a </w:t>
      </w:r>
      <w:r w:rsidR="00650ACD" w:rsidRPr="00A45100">
        <w:t>these</w:t>
      </w:r>
      <w:r w:rsidR="0064795A" w:rsidRPr="00A45100">
        <w:t xml:space="preserve"> geological models.  </w:t>
      </w:r>
      <w:r w:rsidR="00195632" w:rsidRPr="00BE2967">
        <w:t xml:space="preserve">The use of multiple conceptual models in a groundwater context has also been explored by Rojas et al. </w:t>
      </w:r>
      <w:r w:rsidR="00650ACD" w:rsidRPr="00A45100">
        <w:t>(</w:t>
      </w:r>
      <w:r w:rsidR="00650ACD">
        <w:t>2010</w:t>
      </w:r>
      <w:r w:rsidR="00650ACD" w:rsidRPr="00A45100">
        <w:t>)</w:t>
      </w:r>
      <w:r w:rsidR="00195632" w:rsidRPr="00BE2967">
        <w:t>. These approaches aim to capture the uncertainty associated with conceptualisation</w:t>
      </w:r>
      <w:r w:rsidR="00650ACD" w:rsidRPr="00A45100">
        <w:t>,</w:t>
      </w:r>
      <w:r w:rsidR="00195632" w:rsidRPr="00BE2967">
        <w:t xml:space="preserve">  e.g. geometry, deposition, secondary processes. </w:t>
      </w:r>
      <w:r w:rsidRPr="0032201E">
        <w:t>The translation of information from a geological model to a numerical groundwater flow model is typically a two</w:t>
      </w:r>
      <w:r w:rsidR="009D1BD9">
        <w:t>-</w:t>
      </w:r>
      <w:r w:rsidRPr="0032201E">
        <w:t xml:space="preserve">step process. In the first step, the hydrogeological characteristics of geological units are assessed, resulting in their classification as either aquifers or aquitards. This may involve the aggregation of multiple geological layers into a single hydrostratigraphic unit. For example, CDM Smith </w:t>
      </w:r>
      <w:r w:rsidR="00084CDD" w:rsidRPr="0032201E">
        <w:fldChar w:fldCharType="begin"/>
      </w:r>
      <w:r w:rsidRPr="0032201E">
        <w:instrText xml:space="preserve"> ADDIN EN.CITE &lt;EndNote&gt;&lt;Cite ExcludeAuth="1"&gt;&lt;Author&gt;CDM Smith&lt;/Author&gt;&lt;Year&gt;2014&lt;/Year&gt;&lt;IDText&gt;Santos Narrabri Gas Project Groundwater Impact Assessment&lt;/IDText&gt;&lt;DisplayText&gt;(2014)&lt;/DisplayText&gt;&lt;record&gt;&lt;contributors&gt;&lt;tertiary-authors&gt;&lt;author&gt;CDM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fldChar w:fldCharType="separate"/>
      </w:r>
      <w:r w:rsidRPr="0032201E">
        <w:t>(2014)</w:t>
      </w:r>
      <w:r w:rsidR="00084CDD" w:rsidRPr="0032201E">
        <w:fldChar w:fldCharType="end"/>
      </w:r>
      <w:r w:rsidRPr="0032201E">
        <w:t xml:space="preserve"> aggregated the Purlawaugh Formation to Benalabri Formation sequence </w:t>
      </w:r>
      <w:r w:rsidR="003842BB">
        <w:t>(comprising a total of 11 geological units)</w:t>
      </w:r>
      <w:r w:rsidR="003842BB" w:rsidRPr="0032201E">
        <w:t xml:space="preserve"> </w:t>
      </w:r>
      <w:r w:rsidRPr="0032201E">
        <w:t>as a single aquitard</w:t>
      </w:r>
      <w:r w:rsidR="003842BB">
        <w:t>,</w:t>
      </w:r>
      <w:r w:rsidR="003842BB" w:rsidRPr="003842BB">
        <w:t xml:space="preserve"> </w:t>
      </w:r>
      <w:r w:rsidR="003842BB">
        <w:t xml:space="preserve">which was </w:t>
      </w:r>
      <w:r w:rsidR="003842BB" w:rsidRPr="0032201E">
        <w:t>discretised</w:t>
      </w:r>
      <w:r w:rsidR="003842BB">
        <w:t xml:space="preserve"> </w:t>
      </w:r>
      <w:r w:rsidR="003842BB" w:rsidRPr="0032201E">
        <w:t>using six model layers</w:t>
      </w:r>
      <w:r w:rsidRPr="0032201E">
        <w:t xml:space="preserve">. In other models, the aggregation of geological units was generally restricted to the representation of surficial alluvial units. In the second step, vertical discretisation of the hydrostratigraphic units identified should be undertaken on the basis of expected groundwater flow dynamics. </w:t>
      </w:r>
      <w:r w:rsidR="00367B59">
        <w:t xml:space="preserve">Variable model layer </w:t>
      </w:r>
      <w:r w:rsidRPr="0032201E">
        <w:t xml:space="preserve">thicknesses </w:t>
      </w:r>
      <w:r w:rsidR="00367B59">
        <w:t xml:space="preserve">were specified </w:t>
      </w:r>
      <w:r w:rsidRPr="0032201E">
        <w:t xml:space="preserve">to assist calculations of steep hydraulic gradients between </w:t>
      </w:r>
      <w:r w:rsidR="00367B59" w:rsidRPr="0032201E">
        <w:t>target coal seam</w:t>
      </w:r>
      <w:r w:rsidR="00367B59">
        <w:t xml:space="preserve">s and adjacent aquitard sequences. Model layer thicknesses were increased exponentially with distance from the target </w:t>
      </w:r>
      <w:r w:rsidR="00E513F3">
        <w:t>coal seams</w:t>
      </w:r>
      <w:r w:rsidRPr="0032201E">
        <w:t xml:space="preserve">. In general, the discretisation of thick aquitard units is often necessary to capture the nonlinear propagation of vertical hydraulic gradients. Most models included vertical discretisation of the target coal measures and the OGIA and QGC models also included discretisation of the aquifer overlying the upper coal measure. </w:t>
      </w:r>
    </w:p>
    <w:p w14:paraId="2F07C594" w14:textId="77777777" w:rsidR="005072A9" w:rsidRDefault="0032201E" w:rsidP="00475872">
      <w:pPr>
        <w:pStyle w:val="Body"/>
      </w:pPr>
      <w:r w:rsidRPr="0032201E">
        <w:t xml:space="preserve">The majority of the impact studies simulated groundwater flow using a version of the </w:t>
      </w:r>
      <w:r w:rsidR="009D1BD9">
        <w:t xml:space="preserve">standard </w:t>
      </w:r>
      <w:r w:rsidRPr="0032201E">
        <w:t xml:space="preserve">finite difference </w:t>
      </w:r>
      <w:r w:rsidR="009D1BD9">
        <w:t xml:space="preserve">groundwater flow </w:t>
      </w:r>
      <w:r w:rsidRPr="0032201E">
        <w:t>code MODFLOW. Other groundwater flow codes used were FEFLOW (Origin Energy) and MODFLOW–USG (OGIA)</w:t>
      </w:r>
      <w:r w:rsidR="009D1BD9">
        <w:t>; these two codes allow use of an unstructured grid (</w:t>
      </w:r>
      <w:r w:rsidR="00E713C3" w:rsidRPr="00E713C3">
        <w:t xml:space="preserve">allows grids other than the </w:t>
      </w:r>
      <w:r w:rsidR="009D1BD9">
        <w:t xml:space="preserve">standard </w:t>
      </w:r>
      <w:r w:rsidR="00E713C3" w:rsidRPr="00E713C3">
        <w:t>orthogonal structured grids</w:t>
      </w:r>
      <w:r w:rsidR="009D1BD9">
        <w:t>)</w:t>
      </w:r>
      <w:r w:rsidRPr="0032201E">
        <w:t>. Only one impact study used a reservoir simulation code for both the coal formation and the overlying aquitards and aquifers: the QGC Surat Basin model, which used ECLIPSE. As such only two models simulated dual domain flow: the Surat Basin models developed by QGC and OGIA. (While the current release of MODFLOW–USG does not include dual domain flow, the OGIA model was based on a pre-release update to the code which allowed for dual domain flow). Model cell dimensions used were typically around 1 km</w:t>
      </w:r>
      <w:r w:rsidR="00056615">
        <w:t xml:space="preserve"> × </w:t>
      </w:r>
      <w:r w:rsidRPr="0032201E">
        <w:t>1 km, with the exception of the Origin and CDM Smith models, which featured coarse cell discretisation in far field areas (</w:t>
      </w:r>
      <w:r w:rsidR="00C85DC3">
        <w:t xml:space="preserve">i.e., </w:t>
      </w:r>
      <w:r w:rsidRPr="0032201E">
        <w:t>distant from areas of predictive interest). Kilometre-scale discretisation is consistent with regional scale groundwater flow modelling. An advantage of finite element (</w:t>
      </w:r>
      <w:r w:rsidR="00AA5ABA">
        <w:t xml:space="preserve">e.g., </w:t>
      </w:r>
      <w:r w:rsidRPr="0032201E">
        <w:t>FEFLOW) and finite volume (</w:t>
      </w:r>
      <w:r w:rsidR="00AA5ABA">
        <w:t xml:space="preserve">e.g., </w:t>
      </w:r>
      <w:r w:rsidRPr="0032201E">
        <w:t>MODFLOW–USG) solution schemes is the ability to refine solution grids around areas of interest</w:t>
      </w:r>
      <w:r w:rsidR="00FB60DD">
        <w:t xml:space="preserve"> (</w:t>
      </w:r>
      <w:r w:rsidR="00084CDD">
        <w:fldChar w:fldCharType="begin"/>
      </w:r>
      <w:r w:rsidR="00FB60DD">
        <w:instrText xml:space="preserve"> REF _Ref433874393 \h </w:instrText>
      </w:r>
      <w:r w:rsidR="00084CDD">
        <w:fldChar w:fldCharType="separate"/>
      </w:r>
      <w:r w:rsidR="00C52E30">
        <w:t xml:space="preserve">Figure </w:t>
      </w:r>
      <w:r w:rsidR="00C52E30">
        <w:rPr>
          <w:noProof/>
        </w:rPr>
        <w:t>48</w:t>
      </w:r>
      <w:r w:rsidR="00084CDD">
        <w:fldChar w:fldCharType="end"/>
      </w:r>
      <w:r w:rsidR="00FB60DD">
        <w:t>)</w:t>
      </w:r>
      <w:r w:rsidRPr="0032201E">
        <w:t>. Grid refinement may also be used to better represent geological complexity, including discontinuous geological units and structural discontinuities, such as geological faults.</w:t>
      </w:r>
    </w:p>
    <w:p w14:paraId="58337995" w14:textId="77777777" w:rsidR="002C6458" w:rsidRDefault="002C6458" w:rsidP="007A455F">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49CC3985" w14:textId="77777777" w:rsidR="008E2DCF" w:rsidRDefault="008A724E" w:rsidP="007A455F">
      <w:pPr>
        <w:suppressAutoHyphens/>
        <w:autoSpaceDE w:val="0"/>
        <w:autoSpaceDN w:val="0"/>
        <w:adjustRightInd w:val="0"/>
        <w:spacing w:after="113" w:line="280" w:lineRule="atLeast"/>
        <w:textAlignment w:val="center"/>
        <w:rPr>
          <w:rFonts w:ascii="Calibri" w:hAnsi="Calibri" w:cs="Calibri"/>
          <w:color w:val="000000"/>
          <w:sz w:val="18"/>
          <w:szCs w:val="18"/>
          <w:lang w:val="en-GB"/>
        </w:rPr>
      </w:pPr>
      <w:r>
        <w:rPr>
          <w:rFonts w:ascii="Calibri" w:hAnsi="Calibri" w:cs="Calibri"/>
          <w:noProof/>
          <w:color w:val="000000"/>
          <w:sz w:val="18"/>
          <w:szCs w:val="18"/>
          <w:lang w:val="en-AU" w:eastAsia="en-AU"/>
        </w:rPr>
        <w:drawing>
          <wp:inline distT="0" distB="0" distL="0" distR="0" wp14:anchorId="5022E58D" wp14:editId="65CD31C1">
            <wp:extent cx="5727700" cy="3196180"/>
            <wp:effectExtent l="1905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srcRect/>
                    <a:stretch>
                      <a:fillRect/>
                    </a:stretch>
                  </pic:blipFill>
                  <pic:spPr bwMode="auto">
                    <a:xfrm>
                      <a:off x="0" y="0"/>
                      <a:ext cx="5727700" cy="3196180"/>
                    </a:xfrm>
                    <a:prstGeom prst="rect">
                      <a:avLst/>
                    </a:prstGeom>
                    <a:noFill/>
                    <a:ln w="9525">
                      <a:noFill/>
                      <a:miter lim="800000"/>
                      <a:headEnd/>
                      <a:tailEnd/>
                    </a:ln>
                  </pic:spPr>
                </pic:pic>
              </a:graphicData>
            </a:graphic>
          </wp:inline>
        </w:drawing>
      </w:r>
    </w:p>
    <w:p w14:paraId="3AC78ED7" w14:textId="77777777" w:rsidR="00E713C3" w:rsidRPr="00E713C3" w:rsidRDefault="008E2DCF" w:rsidP="00E713C3">
      <w:pPr>
        <w:pStyle w:val="Imagecaption"/>
      </w:pPr>
      <w:bookmarkStart w:id="282" w:name="_Ref433874393"/>
      <w:bookmarkStart w:id="283" w:name="_Toc449696338"/>
      <w:r>
        <w:t xml:space="preserve">Figure </w:t>
      </w:r>
      <w:r w:rsidR="00084CDD">
        <w:fldChar w:fldCharType="begin"/>
      </w:r>
      <w:r>
        <w:instrText xml:space="preserve"> SEQ Figure \* ARABIC </w:instrText>
      </w:r>
      <w:r w:rsidR="00084CDD">
        <w:fldChar w:fldCharType="separate"/>
      </w:r>
      <w:r w:rsidR="00C52E30">
        <w:rPr>
          <w:noProof/>
        </w:rPr>
        <w:t>48</w:t>
      </w:r>
      <w:r w:rsidR="00084CDD">
        <w:fldChar w:fldCharType="end"/>
      </w:r>
      <w:bookmarkEnd w:id="282"/>
      <w:r>
        <w:t xml:space="preserve"> </w:t>
      </w:r>
      <w:r w:rsidR="00E713C3" w:rsidRPr="00E713C3">
        <w:t>Examples of different types of unstructured grids implemented in MODFLOW-USG (Panday et al., 2013)).</w:t>
      </w:r>
      <w:bookmarkEnd w:id="283"/>
    </w:p>
    <w:p w14:paraId="14BF9AAF" w14:textId="77777777" w:rsidR="009A78B7" w:rsidRDefault="009A78B7" w:rsidP="00475872">
      <w:pPr>
        <w:pStyle w:val="Body"/>
      </w:pPr>
    </w:p>
    <w:p w14:paraId="159DF77B" w14:textId="77777777" w:rsidR="00E154E7" w:rsidRPr="0032201E" w:rsidRDefault="00E154E7" w:rsidP="00475872">
      <w:pPr>
        <w:pStyle w:val="Body"/>
      </w:pPr>
      <w:r w:rsidRPr="0032201E">
        <w:t>Hydraulic property values were primarily obtained from literature review</w:t>
      </w:r>
      <w:r w:rsidR="00170093">
        <w:t>s</w:t>
      </w:r>
      <w:r w:rsidRPr="0032201E">
        <w:t>; in some cases this included textbook values (</w:t>
      </w:r>
      <w:r>
        <w:t xml:space="preserve">e.g., </w:t>
      </w:r>
      <w:r w:rsidRPr="0032201E">
        <w:t>SWS). Hydraulic property values for the Origin Energy and Arrow Energy (Bowen Basin) models were also informed by unspecified field testing. For the QGC model, hydraulic property values were also informed by downhole geophysical observations. The hydraulic property values used in the OGIA model were the most comprehensively informed. Hydraulic conductivity values were based on over 13 000 drill stem test records and more than 1000 pump test records obtained from State government groundwater databases. Storage parameter values were based, in part, on finer-scale groundwat</w:t>
      </w:r>
      <w:r w:rsidR="00EC2788">
        <w:t xml:space="preserve">er modelling. In all cases, spatially </w:t>
      </w:r>
      <w:r w:rsidRPr="0032201E">
        <w:t xml:space="preserve">homogeneous values were used. While this represents a gross simplification, it can be justified to some extent by the regional scale of modelling and where there are insufficient data to support representations of spatial variability. </w:t>
      </w:r>
      <w:r>
        <w:t>However, the use of uniform parameter values should ideally have a rigorous theoretical basis; for example, they should be derived using an appropriate averaging method, or from Darcy’s Law-based approaches.</w:t>
      </w:r>
      <w:r w:rsidRPr="0032201E">
        <w:t xml:space="preserve"> </w:t>
      </w:r>
    </w:p>
    <w:p w14:paraId="682BDD3B" w14:textId="77777777" w:rsidR="00E154E7" w:rsidRPr="0032201E" w:rsidRDefault="00E154E7" w:rsidP="00475872">
      <w:pPr>
        <w:pStyle w:val="Body"/>
      </w:pPr>
      <w:r w:rsidRPr="0032201E">
        <w:t>In the context of CSG impact estimation, vertical hydraulic conductivity (</w:t>
      </w:r>
      <w:r w:rsidRPr="005072A9">
        <w:rPr>
          <w:i/>
        </w:rPr>
        <w:t>K</w:t>
      </w:r>
      <w:r w:rsidRPr="0032201E">
        <w:t xml:space="preserve">) is a key hydraulic property, as the </w:t>
      </w:r>
      <w:r w:rsidRPr="005072A9">
        <w:rPr>
          <w:i/>
        </w:rPr>
        <w:t>K</w:t>
      </w:r>
      <w:r w:rsidRPr="005072A9">
        <w:rPr>
          <w:i/>
          <w:vertAlign w:val="subscript"/>
        </w:rPr>
        <w:t>v</w:t>
      </w:r>
      <w:r w:rsidRPr="0032201E">
        <w:t xml:space="preserve"> of aquitards can significantly retard the vertical propagation of hydraulic gradients. However, for most models reviewed, </w:t>
      </w:r>
      <w:r w:rsidRPr="005072A9">
        <w:rPr>
          <w:i/>
        </w:rPr>
        <w:t>K</w:t>
      </w:r>
      <w:r w:rsidRPr="005072A9">
        <w:rPr>
          <w:i/>
          <w:vertAlign w:val="subscript"/>
        </w:rPr>
        <w:t>v</w:t>
      </w:r>
      <w:r w:rsidRPr="0032201E">
        <w:t xml:space="preserve"> was not estimated directly. Instead, the ratio of vertical to horizontal hydraulic conductivity was estimated, typically through inverse modelling. Improved representations of vertical hydraulic conductivity could be based on core-scale observations, drill stem testing, and/or time series analyses of aquitard pressure head [</w:t>
      </w:r>
      <w:r>
        <w:t xml:space="preserve">e.g., </w:t>
      </w:r>
      <w:r w:rsidRPr="0032201E">
        <w:t xml:space="preserve">Smerdon </w:t>
      </w:r>
      <w:r>
        <w:t xml:space="preserve">et al., </w:t>
      </w:r>
      <w:r w:rsidR="00084CDD" w:rsidRPr="0032201E">
        <w:fldChar w:fldCharType="begin">
          <w:fldData xml:space="preserve">PEVuZE5vdGU+PENpdGUgRXhjbHVkZUF1dGg9IjEiPjxBdXRob3I+U21lcmRvbjwvQXV0aG9yPjxZ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</w:fldData>
        </w:fldChar>
      </w:r>
      <w:r w:rsidRPr="0032201E">
        <w:instrText xml:space="preserve"> ADDIN EN.CITE </w:instrText>
      </w:r>
      <w:r w:rsidR="00084CDD" w:rsidRPr="0032201E">
        <w:fldChar w:fldCharType="begin">
          <w:fldData xml:space="preserve">PEVuZE5vdGU+PENpdGUgRXhjbHVkZUF1dGg9IjEiPjxBdXRob3I+U21lcmRvbjwvQXV0aG9yPjxZ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</w:fldData>
        </w:fldChar>
      </w:r>
      <w:r w:rsidRPr="0032201E">
        <w:instrText xml:space="preserve"> ADDIN EN.CITE.DATA </w:instrText>
      </w:r>
      <w:r w:rsidR="00084CDD" w:rsidRPr="0032201E">
        <w:fldChar w:fldCharType="end"/>
      </w:r>
      <w:r w:rsidR="00084CDD" w:rsidRPr="0032201E">
        <w:fldChar w:fldCharType="separate"/>
      </w:r>
      <w:r w:rsidRPr="0032201E">
        <w:t>(2014)</w:t>
      </w:r>
      <w:r w:rsidR="00084CDD" w:rsidRPr="0032201E">
        <w:fldChar w:fldCharType="end"/>
      </w:r>
      <w:r w:rsidRPr="0032201E">
        <w:t xml:space="preserve">]. </w:t>
      </w:r>
    </w:p>
    <w:p w14:paraId="75D31F6F" w14:textId="77777777" w:rsidR="00E154E7" w:rsidRPr="0032201E" w:rsidRDefault="00E154E7" w:rsidP="00475872">
      <w:pPr>
        <w:pStyle w:val="Body"/>
      </w:pPr>
      <w:r w:rsidRPr="0032201E">
        <w:t xml:space="preserve">Formal averaging methods were generally not applied for the determination of homogeneous values. Instead, the majority of models used parameter estimation procedures to estimate hydraulic property values, based on ranges determined from literature review and other sources. This leads to a more general discussion of modelling methodology. It is often assumed that a model that can represent past observations is a good predictor of future conditions. The deterministic calibration of groundwater models (as used in most examples </w:t>
      </w:r>
      <w:r w:rsidR="009E76A6">
        <w:t>discussed</w:t>
      </w:r>
      <w:r w:rsidRPr="0032201E">
        <w:t xml:space="preserve"> here) is an example of this type of approach. However</w:t>
      </w:r>
      <w:r w:rsidR="00FB60DD">
        <w:t>,</w:t>
      </w:r>
      <w:r w:rsidRPr="0032201E">
        <w:t xml:space="preserve"> for complex and/or large scale systems, such as regional groundwater flow systems, this assumption has been proven conclusively to be false </w:t>
      </w:r>
      <w:r w:rsidR="00084CDD" w:rsidRPr="0032201E">
        <w:fldChar w:fldCharType="begin">
          <w:fldData xml:space="preserve">PEVuZE5vdGU+PENpdGU+PEF1dGhvcj5Lb25pa293PC9BdXRob3I+PFllYXI+MTk5MjwvWWVhcj48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</w:fldData>
        </w:fldChar>
      </w:r>
      <w:r w:rsidRPr="0032201E">
        <w:instrText xml:space="preserve"> ADDIN EN.CITE </w:instrText>
      </w:r>
      <w:r w:rsidR="00084CDD" w:rsidRPr="0032201E">
        <w:fldChar w:fldCharType="begin">
          <w:fldData xml:space="preserve">PEVuZE5vdGU+PENpdGU+PEF1dGhvcj5Lb25pa293PC9BdXRob3I+PFllYXI+MTk5MjwvWWVhcj48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</w:fldData>
        </w:fldChar>
      </w:r>
      <w:r w:rsidRPr="0032201E">
        <w:instrText xml:space="preserve"> ADDIN EN.CITE.DATA </w:instrText>
      </w:r>
      <w:r w:rsidR="00084CDD" w:rsidRPr="0032201E">
        <w:fldChar w:fldCharType="end"/>
      </w:r>
      <w:r w:rsidR="00084CDD" w:rsidRPr="0032201E">
        <w:fldChar w:fldCharType="separate"/>
      </w:r>
      <w:r w:rsidRPr="0032201E">
        <w:t>(Konikow and Bredehoeft, 1992; Oreskes et al., 1994)</w:t>
      </w:r>
      <w:r w:rsidR="00084CDD" w:rsidRPr="0032201E">
        <w:fldChar w:fldCharType="end"/>
      </w:r>
      <w:r w:rsidRPr="0032201E">
        <w:t>. Alternative approaches involve quantifying the uncertainties associated with all model inputs; models are then run stochastically, resulting in probabilistic model outputs. This type of model output is particularly valuable for hypothesis testing (</w:t>
      </w:r>
      <w:r>
        <w:t xml:space="preserve">i.e., </w:t>
      </w:r>
      <w:r w:rsidRPr="0032201E">
        <w:t>rejection) analyses as part of risk–based studies such as assessments of CSG impacts.</w:t>
      </w:r>
    </w:p>
    <w:p w14:paraId="3F69E0F5" w14:textId="4DA453A4" w:rsidR="00E154E7" w:rsidRPr="0032201E" w:rsidRDefault="00E154E7" w:rsidP="00475872">
      <w:pPr>
        <w:pStyle w:val="Body"/>
      </w:pPr>
      <w:r>
        <w:t xml:space="preserve">Two of the groundwater flow systems </w:t>
      </w:r>
      <w:r w:rsidR="00170093">
        <w:t xml:space="preserve">investigated </w:t>
      </w:r>
      <w:r>
        <w:t xml:space="preserve">featured significant faulting: the Bowen and Gippsland Basins. </w:t>
      </w:r>
      <w:r w:rsidRPr="0032201E">
        <w:t xml:space="preserve">Faults were simulated in two of the models: the Arrow (Bowen Basin) model and the Varma and Michael </w:t>
      </w:r>
      <w:r w:rsidR="00084CDD" w:rsidRPr="0032201E">
        <w:fldChar w:fldCharType="begin"/>
      </w:r>
      <w:r w:rsidRPr="0032201E">
        <w:instrText xml:space="preserve"> ADDIN EN.CITE &lt;EndNote&gt;&lt;Cite ExcludeAuth="1"&gt;&lt;Author&gt;Varma&lt;/Author&gt;&lt;Year&gt;2012&lt;/Year&gt;&lt;IDText&gt;Impact of multi-purpose aquifer utilisation on a variable-density groundwater flow system in the Gippsland Basin, Australia&lt;/IDText&gt;&lt;DisplayText&gt;(2012)&lt;/DisplayText&gt;&lt;record&gt;&lt;keywords&gt;&lt;keyword&gt;Australia&lt;/keyword&gt;&lt;keyword&gt;Coastal Aquifers&lt;/keyword&gt;&lt;keyword&gt;Groundwater Flow&lt;/keyword&gt;&lt;keyword&gt;Salt-Water/Fresh-Water Relations&lt;/keyword&gt;&lt;/keywords&gt;&lt;isbn&gt;14312174&lt;/isbn&gt;&lt;titles&gt;&lt;title&gt;Impact of multi-purpose aquifer utilisation on a variable-density groundwater flow system in the Gippsland Basin, Australia&lt;/title&gt;&lt;secondary-title&gt;Hydrogeology Journal&lt;/secondary-title&gt;&lt;/titles&gt;&lt;pages&gt;119-134&lt;/pages&gt;&lt;number&gt;1&lt;/number&gt;&lt;contributors&gt;&lt;authors&gt;&lt;author&gt;Varma, Sunil&lt;/author&gt;&lt;author&gt;Michael, Karsten&lt;/author&gt;&lt;/authors&gt;&lt;/contributors&gt;&lt;added-date format="utc"&gt;1433400956&lt;/added-date&gt;&lt;ref-type name="Journal Article"&gt;17&lt;/ref-type&gt;&lt;dates&gt;&lt;year&gt;2012&lt;/year&gt;&lt;/dates&gt;&lt;rec-number&gt;87&lt;/rec-number&gt;&lt;last-updated-date format="utc"&gt;1433400974&lt;/last-updated-date&gt;&lt;electronic-resource-num&gt;10.1007/s10040-011-0800-8&lt;/electronic-resource-num&gt;&lt;volume&gt;20&lt;/volume&gt;&lt;/record&gt;&lt;/Cite&gt;&lt;/EndNote&gt;</w:instrText>
      </w:r>
      <w:r w:rsidR="00084CDD" w:rsidRPr="0032201E">
        <w:fldChar w:fldCharType="separate"/>
      </w:r>
      <w:r w:rsidRPr="0032201E">
        <w:t>(2012)</w:t>
      </w:r>
      <w:r w:rsidR="00084CDD" w:rsidRPr="0032201E">
        <w:fldChar w:fldCharType="end"/>
      </w:r>
      <w:r w:rsidRPr="0032201E">
        <w:t xml:space="preserve"> Gippsland Basin model. Both models used the MODFLOW simulation code in which faults were represented using the Horizontal Flow Barrier package </w:t>
      </w:r>
      <w:r w:rsidR="00084CDD" w:rsidRPr="0032201E">
        <w:fldChar w:fldCharType="begin"/>
      </w:r>
      <w:r w:rsidRPr="0032201E">
        <w:instrText xml:space="preserve"> ADDIN EN.CITE &lt;EndNote&gt;&lt;Cite&gt;&lt;Author&gt;Hsieh&lt;/Author&gt;&lt;Year&gt;1993&lt;/Year&gt;&lt;IDText&gt;Documentation of a computer program to simulate horizontal-flow barriers using the US Geological Survey&amp;apos;s modular three-dimensional finite-difference ground-water flow model&lt;/IDText&gt;&lt;DisplayText&gt;(Hsieh and Freckleton, 1993)&lt;/DisplayText&gt;&lt;record&gt;&lt;titles&gt;&lt;title&gt;Documentation of a computer program to simulate horizontal-flow barriers using the US Geological Survey&amp;apos;s modular three-dimensional finite-difference ground-water flow model&lt;/title&gt;&lt;/titles&gt;&lt;contributors&gt;&lt;authors&gt;&lt;author&gt;Hsieh, Paul A&lt;/author&gt;&lt;author&gt;Freckleton, John R&lt;/author&gt;&lt;/authors&gt;&lt;/contributors&gt;&lt;added-date format="utc"&gt;1434100500&lt;/added-date&gt;&lt;ref-type name="Book"&gt;6&lt;/ref-type&gt;&lt;dates&gt;&lt;year&gt;1993&lt;/year&gt;&lt;/dates&gt;&lt;rec-number&gt;292&lt;/rec-number&gt;&lt;publisher&gt;US Department of the Interior, US Geological Survey&lt;/publisher&gt;&lt;last-updated-date format="utc"&gt;1434100500&lt;/last-updated-date&gt;&lt;/record&gt;&lt;/Cite&gt;&lt;/EndNote&gt;</w:instrText>
      </w:r>
      <w:r w:rsidR="00084CDD" w:rsidRPr="0032201E">
        <w:fldChar w:fldCharType="separate"/>
      </w:r>
      <w:r w:rsidRPr="0032201E">
        <w:t>(Hsieh and Freckleton, 1993)</w:t>
      </w:r>
      <w:r w:rsidR="00084CDD" w:rsidRPr="0032201E">
        <w:fldChar w:fldCharType="end"/>
      </w:r>
      <w:r w:rsidRPr="0032201E">
        <w:t xml:space="preserve">. This approach modifies the conductance between neighbouring model cells in order to represent barriers or conduits to flow. As such, this approach cannot be used to represent complex anisotropic fault conceptualisations; </w:t>
      </w:r>
      <w:r>
        <w:t xml:space="preserve">e.g., </w:t>
      </w:r>
      <w:r w:rsidRPr="0032201E">
        <w:t xml:space="preserve">a </w:t>
      </w:r>
      <w:r w:rsidR="00BD0636" w:rsidRPr="00BD0636">
        <w:t>cross-fault barrier/along-fault (including vertical) conduit structure.</w:t>
      </w:r>
      <w:r w:rsidRPr="0032201E">
        <w:t xml:space="preserve"> Fracture zones were not simulated in any of the models.</w:t>
      </w:r>
    </w:p>
    <w:p w14:paraId="5BE7E5C1" w14:textId="77777777" w:rsidR="00E154E7" w:rsidRDefault="00E154E7" w:rsidP="00E154E7">
      <w:pPr>
        <w:pStyle w:val="Body"/>
      </w:pPr>
      <w:r>
        <w:rPr>
          <w:lang w:val="en-US"/>
        </w:rPr>
        <w:t xml:space="preserve">For five of the ten case studies, rates of groundwater </w:t>
      </w:r>
      <w:r w:rsidRPr="0032201E">
        <w:rPr>
          <w:lang w:val="en-US"/>
        </w:rPr>
        <w:t xml:space="preserve">extraction </w:t>
      </w:r>
      <w:r>
        <w:rPr>
          <w:lang w:val="en-US"/>
        </w:rPr>
        <w:t>for coal seam depressurisation were obtained from prior reservoir modelling. Other studies obtained extraction rates from the Theis equation (Origin Energy Surat Basin), from an unspecified source (Arrow Energy Surat Basin, Santos Surat Basin, Varma and Michael</w:t>
      </w:r>
      <w:r w:rsidR="00FB60DD">
        <w:rPr>
          <w:lang w:val="en-US"/>
        </w:rPr>
        <w:t>, 2012</w:t>
      </w:r>
      <w:r>
        <w:rPr>
          <w:lang w:val="en-US"/>
        </w:rPr>
        <w:t xml:space="preserve">), or did not simulate extraction (QGC Surat Basin). Groundwater extraction </w:t>
      </w:r>
      <w:r w:rsidRPr="0032201E">
        <w:rPr>
          <w:lang w:val="en-US"/>
        </w:rPr>
        <w:t xml:space="preserve">was represented using a Neumann–type boundary condition in six of the ten </w:t>
      </w:r>
      <w:r>
        <w:rPr>
          <w:lang w:val="en-US"/>
        </w:rPr>
        <w:t xml:space="preserve">case study </w:t>
      </w:r>
      <w:r w:rsidRPr="0032201E">
        <w:rPr>
          <w:lang w:val="en-US"/>
        </w:rPr>
        <w:t xml:space="preserve">models. As described by CDM Smith </w:t>
      </w:r>
      <w:r w:rsidR="00084CDD" w:rsidRPr="0032201E">
        <w:rPr>
          <w:lang w:val="en-US"/>
        </w:rPr>
        <w:fldChar w:fldCharType="begin"/>
      </w:r>
      <w:r w:rsidRPr="0032201E">
        <w:rPr>
          <w:lang w:val="en-US"/>
        </w:rPr>
        <w:instrText xml:space="preserve"> ADDIN EN.CITE &lt;EndNote&gt;&lt;Cite ExcludeAuth="1"&gt;&lt;Author&gt;CDM Smith&lt;/Author&gt;&lt;Year&gt;2014&lt;/Year&gt;&lt;IDText&gt;Santos Narrabri Gas Project Groundwater Impact Assessment&lt;/IDText&gt;&lt;DisplayText&gt;(2014)&lt;/DisplayText&gt;&lt;record&gt;&lt;contributors&gt;&lt;tertiary-authors&gt;&lt;author&gt;CDM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084CDD" w:rsidRPr="0032201E">
        <w:rPr>
          <w:lang w:val="en-US"/>
        </w:rPr>
        <w:fldChar w:fldCharType="separate"/>
      </w:r>
      <w:r w:rsidRPr="0032201E">
        <w:rPr>
          <w:lang w:val="en-US"/>
        </w:rPr>
        <w:t>(2014)</w:t>
      </w:r>
      <w:r w:rsidR="00084CDD" w:rsidRPr="0032201E">
        <w:rPr>
          <w:lang w:val="en-US"/>
        </w:rPr>
        <w:fldChar w:fldCharType="end"/>
      </w:r>
      <w:r w:rsidRPr="0032201E">
        <w:rPr>
          <w:lang w:val="en-US"/>
        </w:rPr>
        <w:t xml:space="preserve">, this approach ensures that the CSG contribution to the calculated regional groundwater balance will be correct, while drawdown in the vicinity of CSG bores will be underestimated. </w:t>
      </w:r>
      <w:r w:rsidR="005A1AF2">
        <w:rPr>
          <w:lang w:val="en-US"/>
        </w:rPr>
        <w:t xml:space="preserve">For three </w:t>
      </w:r>
      <w:r w:rsidRPr="0032201E">
        <w:rPr>
          <w:lang w:val="en-US"/>
        </w:rPr>
        <w:t xml:space="preserve">of the models, groundwater extraction occurred from a single model layer. Conversely, the Arrow (Surat Basin) MODFLOW model represented simultaneous extraction from multiple model layers using the Multi-Node Well package </w:t>
      </w:r>
      <w:r w:rsidR="00084CDD" w:rsidRPr="0032201E">
        <w:rPr>
          <w:lang w:val="en-US"/>
        </w:rPr>
        <w:fldChar w:fldCharType="begin"/>
      </w:r>
      <w:r w:rsidRPr="0032201E">
        <w:rPr>
          <w:lang w:val="en-US"/>
        </w:rPr>
        <w:instrText xml:space="preserve"> ADDIN EN.CITE &lt;EndNote&gt;&lt;Cite&gt;&lt;Author&gt;Halford&lt;/Author&gt;&lt;Year&gt;2002&lt;/Year&gt;&lt;IDText&gt;User guide for the drawdown-limited, multi-node well (MNW) package for the US Geological Survey&amp;apos;s modular three-dimensional finite-difference ground-water flow model, versions MODFLOW-96 and MODFLOW-2000&lt;/IDText&gt;&lt;DisplayText&gt;(Halford and Hanson, 2002; Konikow et al., 2009)&lt;/DisplayText&gt;&lt;record&gt;&lt;titles&gt;&lt;title&gt;User guide for the drawdown-limited, multi-node well (MNW) package for the US Geological Survey&amp;apos;s modular three-dimensional finite-difference ground-water flow model, versions MODFLOW-96 and MODFLOW-2000&lt;/title&gt;&lt;/titles&gt;&lt;number&gt;293&lt;/number&gt;&lt;contributors&gt;&lt;authors&gt;&lt;author&gt;Halford, Keith J&lt;/author&gt;&lt;author&gt;Hanson, Randall T&lt;/author&gt;&lt;/authors&gt;&lt;/contributors&gt;&lt;added-date format="utc"&gt;1434100952&lt;/added-date&gt;&lt;ref-type name="Book"&gt;6&lt;/ref-type&gt;&lt;dates&gt;&lt;year&gt;2002&lt;/year&gt;&lt;/dates&gt;&lt;rec-number&gt;295&lt;/rec-number&gt;&lt;publisher&gt;US Department of the Interior, US Geological Survey&lt;/publisher&gt;&lt;last-updated-date format="utc"&gt;1434100952&lt;/last-updated-date&gt;&lt;volume&gt;2&lt;/volume&gt;&lt;/record&gt;&lt;/Cite&gt;&lt;Cite&gt;&lt;Author&gt;Konikow&lt;/Author&gt;&lt;Year&gt;2009&lt;/Year&gt;&lt;IDText&gt;Revised multi-node well (MNW2) package for MODFLOW ground-water flow  model&lt;/IDText&gt;&lt;record&gt;&lt;titles&gt;&lt;title&gt;Revised multi-node well (MNW2) package for MODFLOW ground-water flow  model&lt;/title&gt;&lt;/titles&gt;&lt;pages&gt;67&lt;/pages&gt;&lt;number&gt;US Geological Survey Techniques and Methods 6–A30&lt;/number&gt;&lt;contributors&gt;&lt;authors&gt;&lt;author&gt;Konikow, LF&lt;/author&gt;&lt;author&gt;Hornberger, GZ&lt;/author&gt;&lt;author&gt;Halford, KJ&lt;/author&gt;&lt;author&gt;Hanson, RT&lt;/author&gt;&lt;/authors&gt;&lt;/contributors&gt;&lt;added-date format="utc"&gt;1434100875&lt;/added-date&gt;&lt;ref-type name="Generic"&gt;13&lt;/ref-type&gt;&lt;dates&gt;&lt;year&gt;2009&lt;/year&gt;&lt;/dates&gt;&lt;rec-number&gt;1192&lt;/rec-number&gt;&lt;last-updated-date format="utc"&gt;1434100916&lt;/last-updated-date&gt;&lt;/record&gt;&lt;/Cite&gt;&lt;/EndNote&gt;</w:instrText>
      </w:r>
      <w:r w:rsidR="00084CDD" w:rsidRPr="0032201E">
        <w:rPr>
          <w:lang w:val="en-US"/>
        </w:rPr>
        <w:fldChar w:fldCharType="separate"/>
      </w:r>
      <w:r w:rsidRPr="0032201E">
        <w:rPr>
          <w:lang w:val="en-US"/>
        </w:rPr>
        <w:t>(Halford and Hanson, 2002; Konikow et al., 2009)</w:t>
      </w:r>
      <w:r w:rsidR="00084CDD" w:rsidRPr="0032201E">
        <w:rPr>
          <w:lang w:val="en-US"/>
        </w:rPr>
        <w:fldChar w:fldCharType="end"/>
      </w:r>
      <w:r w:rsidRPr="0032201E">
        <w:rPr>
          <w:lang w:val="en-US"/>
        </w:rPr>
        <w:t>. The OGIA Surat Basin model features the most advanced approach to the representation of CSG extraction. Cauchy-type boundary conditions were represented using standard MODFLOW Evapotranspiration or Drain packages. This method allows for the specification of a maximum extraction flux when a cell hydraulic head is above a given elevation. Zero flux is specified when cell hydraulic heads are equal to or lower than a nominated target elevation (</w:t>
      </w:r>
      <w:r>
        <w:rPr>
          <w:lang w:val="en-US"/>
        </w:rPr>
        <w:t xml:space="preserve">e.g., </w:t>
      </w:r>
      <w:r w:rsidRPr="0032201E">
        <w:rPr>
          <w:lang w:val="en-US"/>
        </w:rPr>
        <w:t xml:space="preserve">30 metres above the top of a target coal seam). Linear interpolation of extraction fluxes is undertaken when hydraulic heads are calculated between the two specified elevations. </w:t>
      </w:r>
      <w:r w:rsidR="00D46211">
        <w:rPr>
          <w:lang w:val="en-US"/>
        </w:rPr>
        <w:t>T</w:t>
      </w:r>
      <w:r w:rsidRPr="0032201E">
        <w:rPr>
          <w:lang w:val="en-US"/>
        </w:rPr>
        <w:t>his approach ensures (a) that a physically-based upper limit on extraction is imposed and (b) that extraction ceases when the target pressure is achieved</w:t>
      </w:r>
      <w:r>
        <w:rPr>
          <w:lang w:val="en-US"/>
        </w:rPr>
        <w:t>.</w:t>
      </w:r>
    </w:p>
    <w:p w14:paraId="6A65F347" w14:textId="77777777" w:rsidR="005072A9" w:rsidRPr="0032201E" w:rsidRDefault="005072A9" w:rsidP="0032201E">
      <w:pPr>
        <w:sectPr w:rsidR="005072A9" w:rsidRPr="0032201E" w:rsidSect="00022A94">
          <w:headerReference w:type="default" r:id="rId90"/>
          <w:pgSz w:w="11900" w:h="16840" w:code="9"/>
          <w:pgMar w:top="1440" w:right="1440" w:bottom="1440" w:left="1440" w:header="0" w:footer="0" w:gutter="0"/>
          <w:cols w:space="284"/>
          <w:noEndnote/>
          <w:docGrid w:linePitch="326"/>
        </w:sectPr>
      </w:pPr>
    </w:p>
    <w:p w14:paraId="6432E6A6" w14:textId="77777777" w:rsidR="005072A9" w:rsidRDefault="005072A9" w:rsidP="00DE115D">
      <w:pPr>
        <w:pStyle w:val="Imagecaption"/>
        <w:pBdr>
          <w:top w:val="none" w:sz="0" w:space="0" w:color="auto"/>
        </w:pBdr>
        <w:spacing w:after="120"/>
        <w:rPr>
          <w:sz w:val="18"/>
          <w:szCs w:val="18"/>
        </w:rPr>
      </w:pPr>
      <w:bookmarkStart w:id="284" w:name="_Ref422388589"/>
      <w:bookmarkStart w:id="285" w:name="_Toc449696239"/>
      <w:r>
        <w:t xml:space="preserve">Table </w:t>
      </w:r>
      <w:r w:rsidR="00084CDD">
        <w:fldChar w:fldCharType="begin"/>
      </w:r>
      <w:r w:rsidR="00144B4F">
        <w:instrText xml:space="preserve"> SEQ Table \* ARABIC </w:instrText>
      </w:r>
      <w:r w:rsidR="00084CDD">
        <w:fldChar w:fldCharType="separate"/>
      </w:r>
      <w:r w:rsidR="00C52E30">
        <w:rPr>
          <w:noProof/>
        </w:rPr>
        <w:t>19</w:t>
      </w:r>
      <w:r w:rsidR="00084CDD">
        <w:rPr>
          <w:noProof/>
        </w:rPr>
        <w:fldChar w:fldCharType="end"/>
      </w:r>
      <w:bookmarkEnd w:id="284"/>
      <w:r>
        <w:t xml:space="preserve">. </w:t>
      </w:r>
      <w:r w:rsidR="00173ADB">
        <w:t>Summary of modelling case studies, including approaches to upscaling, regionalisation and structural features.</w:t>
      </w:r>
      <w:bookmarkEnd w:id="285"/>
    </w:p>
    <w:p w14:paraId="0FC751D0" w14:textId="5F5CBAF6" w:rsidR="005072A9" w:rsidRDefault="00035CE0"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r>
        <w:rPr>
          <w:noProof/>
          <w:szCs w:val="18"/>
          <w:lang w:val="en-AU" w:eastAsia="en-AU"/>
        </w:rPr>
        <w:object w:dxaOrig="15478" w:dyaOrig="10356" w14:anchorId="037D5E0A">
          <v:shape id="_x0000_i1026" type="#_x0000_t75" style="width:771pt;height:517.5pt" o:ole="">
            <v:imagedata r:id="rId91" o:title=""/>
          </v:shape>
          <o:OLEObject Type="Embed" ProgID="Word.Document.12" ShapeID="_x0000_i1026" DrawAspect="Content" ObjectID="_1582027859" r:id="rId92">
            <o:FieldCodes>\s</o:FieldCodes>
          </o:OLEObject>
        </w:object>
      </w:r>
    </w:p>
    <w:p w14:paraId="6C9A546E" w14:textId="77777777" w:rsidR="0032201E" w:rsidRPr="0032201E" w:rsidRDefault="0032201E" w:rsidP="00812784">
      <w:pPr>
        <w:suppressAutoHyphens/>
        <w:autoSpaceDE w:val="0"/>
        <w:autoSpaceDN w:val="0"/>
        <w:adjustRightInd w:val="0"/>
        <w:spacing w:after="0" w:line="280" w:lineRule="atLeast"/>
        <w:textAlignment w:val="center"/>
        <w:rPr>
          <w:rFonts w:ascii="Calibri" w:hAnsi="Calibri" w:cs="Calibri"/>
          <w:color w:val="000000"/>
          <w:sz w:val="18"/>
          <w:szCs w:val="18"/>
          <w:lang w:val="en-GB"/>
        </w:rPr>
        <w:sectPr w:rsidR="0032201E" w:rsidRPr="0032201E" w:rsidSect="00DE115D">
          <w:headerReference w:type="default" r:id="rId93"/>
          <w:footerReference w:type="default" r:id="rId94"/>
          <w:pgSz w:w="23814" w:h="16839" w:orient="landscape" w:code="8"/>
          <w:pgMar w:top="541" w:right="3686" w:bottom="851" w:left="1134" w:header="0" w:footer="0" w:gutter="0"/>
          <w:cols w:space="284"/>
          <w:noEndnote/>
          <w:docGrid w:linePitch="326"/>
        </w:sectPr>
      </w:pPr>
    </w:p>
    <w:p w14:paraId="77A5DED1" w14:textId="77777777" w:rsidR="00E8296A" w:rsidRPr="00F400AD" w:rsidRDefault="00B62D02" w:rsidP="00563D0F">
      <w:pPr>
        <w:pStyle w:val="Heading1"/>
      </w:pPr>
      <w:bookmarkStart w:id="286" w:name="_Toc449696838"/>
      <w:r w:rsidRPr="00F400AD">
        <w:t>Summary</w:t>
      </w:r>
      <w:bookmarkEnd w:id="286"/>
    </w:p>
    <w:p w14:paraId="3161F6A1" w14:textId="2D8F9B99" w:rsidR="00E713C3" w:rsidRDefault="001A6384" w:rsidP="00475872">
      <w:pPr>
        <w:pStyle w:val="Body"/>
      </w:pPr>
      <w:r w:rsidRPr="001A6384">
        <w:t xml:space="preserve">Unconventional gas production occurs at the site scale and is governed by </w:t>
      </w:r>
      <w:r w:rsidR="00E513F3">
        <w:t xml:space="preserve">local </w:t>
      </w:r>
      <w:r w:rsidRPr="001A6384">
        <w:t xml:space="preserve">physical processes in the vicinity of each coal seam gas well. </w:t>
      </w:r>
      <w:r w:rsidR="00F92DA3">
        <w:t>However, u</w:t>
      </w:r>
      <w:r w:rsidRPr="001A6384">
        <w:t xml:space="preserve">nconventional gas plays typically occur over large areas and </w:t>
      </w:r>
      <w:r w:rsidR="00BD0636">
        <w:t xml:space="preserve">their exploitation can </w:t>
      </w:r>
      <w:r w:rsidRPr="001A6384">
        <w:t xml:space="preserve">cause regional scale impacts, </w:t>
      </w:r>
      <w:r w:rsidR="002F3D46">
        <w:t>hence</w:t>
      </w:r>
      <w:r w:rsidRPr="001A6384">
        <w:t xml:space="preserve"> a single modelling approach is rarely suitable to describe the physical processes operating at both scales. </w:t>
      </w:r>
      <w:r w:rsidR="00B80EAF" w:rsidRPr="00B80EAF">
        <w:t xml:space="preserve">Complex geological models are </w:t>
      </w:r>
      <w:r w:rsidR="00E154EE">
        <w:t>typically</w:t>
      </w:r>
      <w:r w:rsidR="00B80EAF" w:rsidRPr="00B80EAF">
        <w:t xml:space="preserve"> built</w:t>
      </w:r>
      <w:r w:rsidR="00E154EE">
        <w:t xml:space="preserve"> as precursor</w:t>
      </w:r>
      <w:r w:rsidR="00AE7DD1">
        <w:t>s</w:t>
      </w:r>
      <w:r w:rsidR="00E154EE">
        <w:t xml:space="preserve"> to groundwater flow models. H</w:t>
      </w:r>
      <w:r w:rsidR="00B80EAF" w:rsidRPr="00B80EAF">
        <w:t>owever, the</w:t>
      </w:r>
      <w:r w:rsidR="00E154EE">
        <w:t xml:space="preserve"> geological</w:t>
      </w:r>
      <w:r w:rsidR="00B80EAF" w:rsidRPr="00B80EAF">
        <w:t xml:space="preserve"> models require fine discreti</w:t>
      </w:r>
      <w:r w:rsidR="00E154EE">
        <w:t>s</w:t>
      </w:r>
      <w:r w:rsidR="00B80EAF" w:rsidRPr="00B80EAF">
        <w:t>ation and are computationally prohibitive when directly used for flow simulation</w:t>
      </w:r>
      <w:r w:rsidR="00E154EE">
        <w:t xml:space="preserve">. This is </w:t>
      </w:r>
      <w:r w:rsidR="00B80EAF" w:rsidRPr="00B80EAF">
        <w:t xml:space="preserve">particularly </w:t>
      </w:r>
      <w:r w:rsidR="00E154EE">
        <w:t xml:space="preserve">true </w:t>
      </w:r>
      <w:r w:rsidR="00B80EAF" w:rsidRPr="00B80EAF">
        <w:t>in the context of sensitivity studies</w:t>
      </w:r>
      <w:r w:rsidR="00E154EE">
        <w:t xml:space="preserve"> involving</w:t>
      </w:r>
      <w:r w:rsidR="00B80EAF" w:rsidRPr="00B80EAF">
        <w:t xml:space="preserve"> Monte-Carlo </w:t>
      </w:r>
      <w:r w:rsidR="00E154EE">
        <w:t>simulations. U</w:t>
      </w:r>
      <w:r w:rsidRPr="001A6384">
        <w:t xml:space="preserve">pscaling of both </w:t>
      </w:r>
      <w:r w:rsidR="00E154EE">
        <w:t xml:space="preserve">small-scale </w:t>
      </w:r>
      <w:r w:rsidRPr="001A6384">
        <w:t xml:space="preserve">heterogeneity, multi-phase flow and boundary conditions </w:t>
      </w:r>
      <w:r w:rsidR="00E154EE">
        <w:t>is needed</w:t>
      </w:r>
      <w:r w:rsidRPr="001A6384">
        <w:t xml:space="preserve"> during </w:t>
      </w:r>
      <w:r w:rsidR="002F3D46">
        <w:t>development</w:t>
      </w:r>
      <w:r w:rsidRPr="001A6384">
        <w:t xml:space="preserve"> of regional scale groundwater flow models, and the associated uncertainty must be quantified. </w:t>
      </w:r>
      <w:r w:rsidR="00F92DA3">
        <w:t xml:space="preserve">The appropriateness of upscaling methodologies, whether focussed on property heterogeneity or physical processes or a combination of these, needs robust testing for the appropriate flow boundary conditions (i.e. reflecting the water management questions the model needs to address).  </w:t>
      </w:r>
    </w:p>
    <w:p w14:paraId="163F5E53" w14:textId="6E2D90A9" w:rsidR="00E713C3" w:rsidRDefault="00E713C3" w:rsidP="00475872">
      <w:pPr>
        <w:pStyle w:val="Body"/>
      </w:pPr>
      <w:r w:rsidRPr="00E713C3">
        <w:t xml:space="preserve">This report </w:t>
      </w:r>
      <w:r w:rsidR="009E76A6">
        <w:t>provides an over</w:t>
      </w:r>
      <w:r w:rsidRPr="00E713C3">
        <w:t>view</w:t>
      </w:r>
      <w:r w:rsidR="009E76A6">
        <w:t xml:space="preserve"> of</w:t>
      </w:r>
      <w:r w:rsidRPr="00E713C3">
        <w:t xml:space="preserve"> </w:t>
      </w:r>
      <w:r w:rsidR="001A6384" w:rsidRPr="001A6384">
        <w:t xml:space="preserve">recent </w:t>
      </w:r>
      <w:r w:rsidR="00F92DA3">
        <w:t xml:space="preserve">national and international </w:t>
      </w:r>
      <w:r w:rsidR="001A6384" w:rsidRPr="001A6384">
        <w:t xml:space="preserve">literature and Environmental Impact Statements </w:t>
      </w:r>
      <w:r w:rsidR="00F92DA3">
        <w:t>undertaken in Australian coal basins as relates to groundwater impacts from coal seam gas extraction</w:t>
      </w:r>
      <w:r w:rsidR="00E31A9C">
        <w:t>,</w:t>
      </w:r>
      <w:r w:rsidR="00F92DA3">
        <w:t xml:space="preserve"> </w:t>
      </w:r>
      <w:r w:rsidR="00FB60DD">
        <w:t xml:space="preserve">which </w:t>
      </w:r>
      <w:r w:rsidR="001A6384" w:rsidRPr="001A6384">
        <w:t>allows current upscaling practices and trends to be identified. In particular, the analysis centres on t</w:t>
      </w:r>
      <w:r w:rsidR="002F3D46">
        <w:t>hree</w:t>
      </w:r>
      <w:r w:rsidR="001A6384" w:rsidRPr="001A6384">
        <w:t xml:space="preserve"> key considerations </w:t>
      </w:r>
      <w:r w:rsidR="002F3D46">
        <w:t xml:space="preserve">involving upscaling and spatial interpolation </w:t>
      </w:r>
      <w:r w:rsidR="001A6384" w:rsidRPr="001A6384">
        <w:t xml:space="preserve">when developing a regional scale groundwater flow model </w:t>
      </w:r>
      <w:r w:rsidR="00DF5659">
        <w:t xml:space="preserve">with initial parameter estimates being obtained at a range of scales, including the bore and </w:t>
      </w:r>
      <w:r w:rsidR="001A6384" w:rsidRPr="001A6384">
        <w:t>regional</w:t>
      </w:r>
      <w:r w:rsidR="00DF5659">
        <w:t xml:space="preserve"> observation</w:t>
      </w:r>
      <w:r w:rsidR="001A6384" w:rsidRPr="001A6384">
        <w:t>s. First, estimates of local or point scale hydraulic properties must be upscaled to the scale of numerical groundwater model cells (typically 1 km</w:t>
      </w:r>
      <w:r w:rsidRPr="00E713C3">
        <w:rPr>
          <w:vertAlign w:val="superscript"/>
        </w:rPr>
        <w:t>2</w:t>
      </w:r>
      <w:r w:rsidR="001A6384" w:rsidRPr="001A6384">
        <w:t xml:space="preserve"> in the horizontal plane). Second, the effect of structural features (e.g. faults) must be adequately represented in numerical groundwater flow models.</w:t>
      </w:r>
      <w:r w:rsidR="002F3D46">
        <w:t xml:space="preserve"> Third, </w:t>
      </w:r>
      <w:r w:rsidR="006243FE">
        <w:t>s</w:t>
      </w:r>
      <w:r w:rsidR="002F3D46">
        <w:t>patial interpolation is most effective (in terms of mini</w:t>
      </w:r>
      <w:r w:rsidR="006243FE">
        <w:t>mi</w:t>
      </w:r>
      <w:r w:rsidR="002F3D46">
        <w:t xml:space="preserve">sing predictive uncertainty) if spatial </w:t>
      </w:r>
      <w:r w:rsidR="00465547">
        <w:t>correlation</w:t>
      </w:r>
      <w:r w:rsidR="002F3D46">
        <w:t xml:space="preserve"> of key hydrogeological parameters such as hydraulic conductivity is determined and represented in the model.</w:t>
      </w:r>
    </w:p>
    <w:p w14:paraId="181255D8" w14:textId="542E6B96" w:rsidR="00E713C3" w:rsidRPr="00E713C3" w:rsidRDefault="00FD5D77" w:rsidP="00475872">
      <w:pPr>
        <w:pStyle w:val="Body"/>
      </w:pPr>
      <w:r w:rsidRPr="001A6384">
        <w:t>The current, commonly used approaches to upscaling and regionalisation of heterogeneity in Australia are examined.</w:t>
      </w:r>
      <w:r>
        <w:t xml:space="preserve"> </w:t>
      </w:r>
      <w:r w:rsidR="00E713C3" w:rsidRPr="00E713C3">
        <w:t>The present analysis indicates that while there is a substantial body of academic literature regarding parameter upscaling and related uncertainty analysis, relatively few regional groundwater models featuring CSG extraction explicitly address upscaling of hydraulic properties, or incorporate structural features such as faults that are known or inferred to exist in the model areas. Examples of leading practice in Australia have</w:t>
      </w:r>
      <w:r w:rsidR="009A78B7">
        <w:t>,</w:t>
      </w:r>
      <w:r w:rsidR="00E713C3" w:rsidRPr="00E713C3">
        <w:t xml:space="preserve"> however</w:t>
      </w:r>
      <w:r w:rsidR="009A78B7">
        <w:t>,</w:t>
      </w:r>
      <w:r w:rsidR="00E713C3" w:rsidRPr="00E713C3">
        <w:t xml:space="preserve"> been identified.</w:t>
      </w:r>
      <w:r w:rsidR="0005288E">
        <w:t xml:space="preserve"> These may be considered as benchmark approaches in regards to testing the representation of dual-phase flow characteristics and small-scale heterogeneity in hydraulic properties in upscaled models. </w:t>
      </w:r>
    </w:p>
    <w:p w14:paraId="12740215" w14:textId="77777777" w:rsidR="00E713C3" w:rsidRPr="00E713C3" w:rsidRDefault="00E713C3" w:rsidP="00475872">
      <w:pPr>
        <w:pStyle w:val="Body"/>
      </w:pPr>
      <w:r w:rsidRPr="00E713C3">
        <w:t>Knowledge of current and leading practice with respect to upscaling methods used in regional scale groundwater models may inform the assessment and evaluation of models and their predictive uncertainty. This is especially important when groundwater modelling is used to underpin regulatory decisions.</w:t>
      </w:r>
    </w:p>
    <w:p w14:paraId="13E236B5" w14:textId="3706DCB5" w:rsidR="0005288E" w:rsidRDefault="003E0B6B" w:rsidP="003E0B6B">
      <w:pPr>
        <w:pStyle w:val="Body"/>
      </w:pPr>
      <w:r>
        <w:t>The key finding</w:t>
      </w:r>
      <w:r w:rsidR="002116E4">
        <w:t>s</w:t>
      </w:r>
      <w:r>
        <w:t xml:space="preserve"> </w:t>
      </w:r>
      <w:r w:rsidR="00AE7DD1">
        <w:t xml:space="preserve">presented in this </w:t>
      </w:r>
      <w:r>
        <w:t xml:space="preserve">overview report </w:t>
      </w:r>
      <w:r w:rsidR="0005288E">
        <w:t>include the following:</w:t>
      </w:r>
    </w:p>
    <w:p w14:paraId="35F150BE" w14:textId="515F3F07" w:rsidR="0005288E" w:rsidRDefault="0005288E" w:rsidP="00A45100">
      <w:pPr>
        <w:pStyle w:val="Body"/>
        <w:numPr>
          <w:ilvl w:val="0"/>
          <w:numId w:val="52"/>
        </w:numPr>
      </w:pPr>
      <w:r>
        <w:t>R</w:t>
      </w:r>
      <w:r w:rsidR="003E0B6B">
        <w:t xml:space="preserve">epresentations of aquitards and geological faults in groundwater flow models used to estimate potential impacts of coal seam gas production </w:t>
      </w:r>
      <w:r>
        <w:t xml:space="preserve">in Australian coal basins </w:t>
      </w:r>
      <w:r w:rsidR="003E0B6B">
        <w:t xml:space="preserve">are often highly simplified. A small number of exceptions prove the rule. </w:t>
      </w:r>
      <w:r>
        <w:t xml:space="preserve">While simplifications cannot be avoided, there is an urgent need for robust testing of simplifying assumptions </w:t>
      </w:r>
      <w:r w:rsidR="00171DBA">
        <w:t>to gain confidence that models are fit-for-purpose, uncertainties are quantified and can be attributed to conceptual model uncertainty, parameter uncertainty, or boundary condition uncertainty.</w:t>
      </w:r>
      <w:r w:rsidR="003A6133">
        <w:t xml:space="preserve"> Categorisation of uncertainties helps in allocating resources for collecting those data and developing those model components that will have largest impact on </w:t>
      </w:r>
      <w:r w:rsidR="003D0503">
        <w:t>reducing</w:t>
      </w:r>
      <w:r w:rsidR="003A6133">
        <w:t xml:space="preserve"> model uncertainty.</w:t>
      </w:r>
    </w:p>
    <w:p w14:paraId="4D26D27E" w14:textId="4E01C808" w:rsidR="0005288E" w:rsidRDefault="003E0B6B" w:rsidP="00A45100">
      <w:pPr>
        <w:pStyle w:val="Body"/>
        <w:numPr>
          <w:ilvl w:val="0"/>
          <w:numId w:val="52"/>
        </w:numPr>
      </w:pPr>
      <w:r>
        <w:t xml:space="preserve">For aquitards, simplification typically involves neglecting the spatial heterogeneity of hydraulic conductivity and storativity by adopting spatially uniform values. The use of </w:t>
      </w:r>
      <w:r w:rsidR="002116E4">
        <w:t xml:space="preserve">large scale </w:t>
      </w:r>
      <w:r>
        <w:t xml:space="preserve">uniform values may be justified when equivalent properties are derived from robust upscaling methods, or when the support volume used to derive flow properties is large enough to produce scale-independent values. </w:t>
      </w:r>
      <w:r w:rsidR="00C7440F">
        <w:t>Probably the best example of the latter is the use of global inverse modelling approaches, where grid</w:t>
      </w:r>
      <w:r w:rsidR="00021403">
        <w:t xml:space="preserve"> </w:t>
      </w:r>
      <w:r w:rsidR="00C7440F">
        <w:t>scale parameters are derived by iteratively matching predicted to observed system behaviour (typically groundwater heads and fluxes, although increasingly tracer-derived metrics are incorporated)</w:t>
      </w:r>
      <w:r w:rsidR="00613F0F">
        <w:t xml:space="preserve"> until model bias is minimised</w:t>
      </w:r>
      <w:r w:rsidR="00C7440F">
        <w:t xml:space="preserve">. </w:t>
      </w:r>
      <w:r>
        <w:t xml:space="preserve">Often, however, there are insufficient data to derive meaningful equivalent properties in the first place. </w:t>
      </w:r>
      <w:r w:rsidR="00595322">
        <w:t xml:space="preserve">While </w:t>
      </w:r>
      <w:r w:rsidR="004D755C">
        <w:t xml:space="preserve">global inversion-based upscaling methods </w:t>
      </w:r>
      <w:r w:rsidR="00595322">
        <w:t xml:space="preserve">have been identified to be superior </w:t>
      </w:r>
      <w:r w:rsidR="004D755C">
        <w:t>over analytical upscaling (</w:t>
      </w:r>
      <w:r w:rsidR="00021403">
        <w:t xml:space="preserve">arithmetic and harmonic </w:t>
      </w:r>
      <w:r w:rsidR="004D755C">
        <w:t>averaging)</w:t>
      </w:r>
      <w:r w:rsidR="00595322">
        <w:t xml:space="preserve"> when coal layers and interburden were upscaled</w:t>
      </w:r>
      <w:r w:rsidR="004D755C">
        <w:t xml:space="preserve">, </w:t>
      </w:r>
      <w:r w:rsidR="00595322">
        <w:t xml:space="preserve">inversion-based upscaling methods are less likely to be useful when applied to aquitards because the available (head) data do not carry sufficient information. To identify what type of observations carry </w:t>
      </w:r>
      <w:r w:rsidR="00235AE6">
        <w:t>sufficient</w:t>
      </w:r>
      <w:r w:rsidR="00595322">
        <w:t xml:space="preserve"> information for derivation of regional-scale aquitard flow properties, a more systematic implementation of data worth analysis is warranted</w:t>
      </w:r>
      <w:r w:rsidR="004D755C">
        <w:t>.</w:t>
      </w:r>
    </w:p>
    <w:p w14:paraId="67F4ACD9" w14:textId="3563C89A" w:rsidR="0005288E" w:rsidRDefault="00B940C2" w:rsidP="00A45100">
      <w:pPr>
        <w:pStyle w:val="Body"/>
        <w:numPr>
          <w:ilvl w:val="0"/>
          <w:numId w:val="52"/>
        </w:numPr>
      </w:pPr>
      <w:r>
        <w:t>Structural geological features including</w:t>
      </w:r>
      <w:r w:rsidRPr="000F5B0D">
        <w:t xml:space="preserve"> faults and fractured zones</w:t>
      </w:r>
      <w:r>
        <w:t xml:space="preserve"> surrounding fault cores </w:t>
      </w:r>
      <w:r w:rsidRPr="000F5B0D">
        <w:t xml:space="preserve">can </w:t>
      </w:r>
      <w:r>
        <w:t>serve</w:t>
      </w:r>
      <w:r w:rsidRPr="000F5B0D">
        <w:t xml:space="preserve"> as preferential </w:t>
      </w:r>
      <w:r>
        <w:t xml:space="preserve">flow </w:t>
      </w:r>
      <w:r w:rsidRPr="000F5B0D">
        <w:t>paths</w:t>
      </w:r>
      <w:r>
        <w:t xml:space="preserve"> and or barriers to flow; they are another cause of hydraulic conductivity heterogeneity and thus of groundwater flow variability. </w:t>
      </w:r>
      <w:r w:rsidR="00DA2488">
        <w:t xml:space="preserve">While </w:t>
      </w:r>
      <w:r w:rsidR="00DA2488" w:rsidRPr="00A07A7C">
        <w:rPr>
          <w:color w:val="auto"/>
        </w:rPr>
        <w:t xml:space="preserve">the simulation and parameterisation of faults in </w:t>
      </w:r>
      <w:r w:rsidR="00DA2488" w:rsidRPr="001465BE">
        <w:rPr>
          <w:color w:val="auto"/>
        </w:rPr>
        <w:t>reservoir models has been an a</w:t>
      </w:r>
      <w:r w:rsidR="00DA2488">
        <w:rPr>
          <w:color w:val="auto"/>
        </w:rPr>
        <w:t xml:space="preserve">ctive research topic since </w:t>
      </w:r>
      <w:r w:rsidR="00021403">
        <w:rPr>
          <w:color w:val="auto"/>
        </w:rPr>
        <w:t>the early nineties</w:t>
      </w:r>
      <w:r w:rsidR="00DA2488">
        <w:rPr>
          <w:color w:val="auto"/>
        </w:rPr>
        <w:t xml:space="preserve">, with the use of </w:t>
      </w:r>
      <w:r w:rsidR="00DA2488">
        <w:t xml:space="preserve">transmissibility </w:t>
      </w:r>
      <w:r w:rsidR="00DA2488" w:rsidRPr="001465BE">
        <w:rPr>
          <w:color w:val="auto"/>
        </w:rPr>
        <w:t xml:space="preserve">multipliers </w:t>
      </w:r>
      <w:r w:rsidR="00DA2488">
        <w:rPr>
          <w:color w:val="auto"/>
        </w:rPr>
        <w:t xml:space="preserve">(estimated from </w:t>
      </w:r>
      <w:r w:rsidR="00DA2488" w:rsidRPr="00E16378">
        <w:rPr>
          <w:color w:val="auto"/>
        </w:rPr>
        <w:t>fault zone thickness</w:t>
      </w:r>
      <w:r w:rsidR="00DA2488">
        <w:rPr>
          <w:color w:val="auto"/>
        </w:rPr>
        <w:t xml:space="preserve">, </w:t>
      </w:r>
      <w:r w:rsidR="00DA2488" w:rsidRPr="00E16378">
        <w:rPr>
          <w:color w:val="auto"/>
        </w:rPr>
        <w:t>permeability and clay distribution</w:t>
      </w:r>
      <w:r w:rsidR="00DA2488">
        <w:rPr>
          <w:color w:val="auto"/>
        </w:rPr>
        <w:t xml:space="preserve">) </w:t>
      </w:r>
      <w:r w:rsidR="00DA2488" w:rsidRPr="001465BE">
        <w:rPr>
          <w:color w:val="auto"/>
        </w:rPr>
        <w:t xml:space="preserve">now </w:t>
      </w:r>
      <w:r w:rsidR="00DA2488">
        <w:rPr>
          <w:color w:val="auto"/>
        </w:rPr>
        <w:t xml:space="preserve">being </w:t>
      </w:r>
      <w:r w:rsidR="00DA2488" w:rsidRPr="001465BE">
        <w:rPr>
          <w:color w:val="auto"/>
        </w:rPr>
        <w:t>the industry standard approach to represent</w:t>
      </w:r>
      <w:r w:rsidR="00DA2488">
        <w:rPr>
          <w:color w:val="auto"/>
        </w:rPr>
        <w:t>i</w:t>
      </w:r>
      <w:r w:rsidR="00DA2488" w:rsidRPr="001465BE">
        <w:rPr>
          <w:color w:val="auto"/>
        </w:rPr>
        <w:t>ng faults in reservoir models</w:t>
      </w:r>
      <w:r w:rsidR="00DA2488">
        <w:rPr>
          <w:color w:val="auto"/>
        </w:rPr>
        <w:t>,</w:t>
      </w:r>
      <w:r w:rsidR="00DA2488" w:rsidRPr="001465BE">
        <w:rPr>
          <w:color w:val="auto"/>
        </w:rPr>
        <w:t xml:space="preserve"> </w:t>
      </w:r>
      <w:r w:rsidR="00DA2488">
        <w:rPr>
          <w:color w:val="auto"/>
        </w:rPr>
        <w:t>application in regional scale groundwater flow models</w:t>
      </w:r>
      <w:r w:rsidRPr="000F5B0D">
        <w:t xml:space="preserve"> </w:t>
      </w:r>
      <w:r w:rsidR="00DA2488">
        <w:t xml:space="preserve">has been limited. </w:t>
      </w:r>
      <w:r w:rsidR="00A95CE2">
        <w:t>Recent attempts to improve fault modelling capability in standard groundwater flow simulators such as MODFLOW include the FAULTSIM utility for</w:t>
      </w:r>
      <w:r w:rsidR="00A95CE2" w:rsidRPr="008C338F">
        <w:rPr>
          <w:color w:val="auto"/>
        </w:rPr>
        <w:t xml:space="preserve"> calculat</w:t>
      </w:r>
      <w:r w:rsidR="00A95CE2">
        <w:rPr>
          <w:color w:val="auto"/>
        </w:rPr>
        <w:t>ing</w:t>
      </w:r>
      <w:r w:rsidR="00A95CE2" w:rsidRPr="008C338F">
        <w:rPr>
          <w:color w:val="auto"/>
        </w:rPr>
        <w:t xml:space="preserve"> the permeability of fault zones based on throw, fault core thickness, damage zone thickness, and two anisotropic power coefficients.</w:t>
      </w:r>
      <w:r w:rsidR="00A95CE2">
        <w:rPr>
          <w:color w:val="auto"/>
        </w:rPr>
        <w:t xml:space="preserve"> If such approaches are implemented more systematically in coal seam gas groundwater impact studies, then at least the potential influence (small or large) of faults on regional groundwater flow can be tested. </w:t>
      </w:r>
      <w:r w:rsidR="002116E4">
        <w:rPr>
          <w:color w:val="auto"/>
        </w:rPr>
        <w:t xml:space="preserve">Also, regardless of whether the predicted impact on the groundwater system is small or large, </w:t>
      </w:r>
      <w:r w:rsidR="00021403">
        <w:rPr>
          <w:color w:val="auto"/>
        </w:rPr>
        <w:t xml:space="preserve">the mere fact of </w:t>
      </w:r>
      <w:r w:rsidR="002116E4">
        <w:rPr>
          <w:color w:val="auto"/>
        </w:rPr>
        <w:t>developing improved conceptualisation and representation of faults in groundwater models will increase confidence in model predictions.</w:t>
      </w:r>
      <w:r w:rsidR="00A95CE2">
        <w:rPr>
          <w:color w:val="auto"/>
        </w:rPr>
        <w:t xml:space="preserve">  </w:t>
      </w:r>
    </w:p>
    <w:p w14:paraId="0780A577" w14:textId="19F316DE" w:rsidR="003E0B6B" w:rsidRDefault="00305A37" w:rsidP="00A45100">
      <w:pPr>
        <w:pStyle w:val="Body"/>
        <w:numPr>
          <w:ilvl w:val="0"/>
          <w:numId w:val="52"/>
        </w:numPr>
      </w:pPr>
      <w:r>
        <w:t>Regardless of w</w:t>
      </w:r>
      <w:r w:rsidR="004D755C">
        <w:t xml:space="preserve">hether the </w:t>
      </w:r>
      <w:r>
        <w:t>key uncertainty o</w:t>
      </w:r>
      <w:r w:rsidR="004D755C">
        <w:t xml:space="preserve">f the groundwater model </w:t>
      </w:r>
      <w:r>
        <w:t xml:space="preserve">relates to representation of aquitards </w:t>
      </w:r>
      <w:r w:rsidR="004D755C">
        <w:t>o</w:t>
      </w:r>
      <w:r>
        <w:t>r</w:t>
      </w:r>
      <w:r w:rsidR="004D755C">
        <w:t xml:space="preserve"> </w:t>
      </w:r>
      <w:r>
        <w:t>faults, t</w:t>
      </w:r>
      <w:r w:rsidR="003E0B6B">
        <w:t xml:space="preserve">here is a need for better data integration across multiple scales to maximise subsurface data coverage; this will require better linkages between geological, geophysical, hydrological and hydrochemical information, thereby encompassing several spatial scales of heterogeneity. </w:t>
      </w:r>
      <w:r w:rsidR="007923C2">
        <w:t xml:space="preserve">Several methodologies have been discussed where representation of geological heterogeneity and its relationship with hydraulic properties resulted in improved groundwater flow simulations. Examples include multi-point statistics </w:t>
      </w:r>
      <w:r w:rsidR="004A5227">
        <w:t>(</w:t>
      </w:r>
      <w:r w:rsidR="004A5227" w:rsidRPr="00C9274B">
        <w:t xml:space="preserve">employing a training image </w:t>
      </w:r>
      <w:r w:rsidR="004A5227">
        <w:t xml:space="preserve">developed from rock outcrops or geomorphological expertise </w:t>
      </w:r>
      <w:r w:rsidR="004A5227" w:rsidRPr="00C9274B">
        <w:t>to qualitatively condition a stochastic realisation</w:t>
      </w:r>
      <w:r w:rsidR="004A5227">
        <w:t xml:space="preserve">) </w:t>
      </w:r>
      <w:r w:rsidR="007923C2">
        <w:t>and transition probability geostatistics</w:t>
      </w:r>
      <w:r w:rsidR="004A5227">
        <w:t xml:space="preserve"> (</w:t>
      </w:r>
      <w:r w:rsidR="004A5227" w:rsidRPr="00C9274B">
        <w:t>quantitative measures</w:t>
      </w:r>
      <w:r w:rsidR="004A5227">
        <w:t xml:space="preserve"> such as hydrofacies distribution are used to condition realisations)</w:t>
      </w:r>
      <w:r w:rsidR="007923C2">
        <w:t>.</w:t>
      </w:r>
    </w:p>
    <w:p w14:paraId="6D5884CB" w14:textId="1052A86B" w:rsidR="003E0B6B" w:rsidRDefault="003E0B6B" w:rsidP="00A45100">
      <w:pPr>
        <w:pStyle w:val="Body"/>
        <w:numPr>
          <w:ilvl w:val="0"/>
          <w:numId w:val="52"/>
        </w:numPr>
      </w:pPr>
      <w:r>
        <w:t xml:space="preserve">As far as the </w:t>
      </w:r>
      <w:r w:rsidR="00021403">
        <w:t xml:space="preserve">characterisation </w:t>
      </w:r>
      <w:r>
        <w:t>of geological faults and fault networks is concerned, there exists a paucity of data with regards to both fault architecture (e.g. orientation, location, size and frequency) and to the flow properties of faults. In addition, due to a lack of numerical capability in standard groundwater flow models, the implementation of faults is often not trivial. As for aquitards, the improved integration of different sources of information on the geometry and flow properties of fault zones is required to better conceptualise and represent faults in groundwater flow models. This conceptualisation, and the testing of the role of faults on local and regional groundwater flow systems, will benefit from improved numerical schemes that seamlessly merge fine-scale fault meshes with coarse-scale numerical grid blocks, while not being computationally prohibitive.</w:t>
      </w:r>
    </w:p>
    <w:p w14:paraId="4917773E" w14:textId="6920C7D4" w:rsidR="005838D0" w:rsidRDefault="005838D0" w:rsidP="00A45100">
      <w:pPr>
        <w:pStyle w:val="Body"/>
        <w:numPr>
          <w:ilvl w:val="0"/>
          <w:numId w:val="52"/>
        </w:numPr>
      </w:pPr>
      <w:r>
        <w:t xml:space="preserve">Coal seam gas extraction invokes a number of physical processes that are not normally simulated in regional scale groundwater models: dual domain flow, gas desorption, dual phase flow, and geomechanical deformation. While considerable knowledge resides with the reservoir engineering community, uptake </w:t>
      </w:r>
      <w:r w:rsidR="005531ED">
        <w:t xml:space="preserve">of this knowledge </w:t>
      </w:r>
      <w:r>
        <w:t xml:space="preserve">into groundwater models for simulating coal seam gas groundwater impacts is rare. A further complication arises when such processes have to be upscaled from their small scale lithology-specific behaviour into large-scale cellular groundwater models where </w:t>
      </w:r>
      <w:r w:rsidR="003D0503">
        <w:t>different</w:t>
      </w:r>
      <w:r>
        <w:t xml:space="preserve"> lithologies </w:t>
      </w:r>
      <w:r w:rsidR="005531ED">
        <w:t>may</w:t>
      </w:r>
      <w:r>
        <w:t xml:space="preserve"> be combined into a supposedly homogenous hydrogeoli</w:t>
      </w:r>
      <w:r w:rsidR="003D0503">
        <w:t>gi</w:t>
      </w:r>
      <w:r>
        <w:t xml:space="preserve">cal unit. </w:t>
      </w:r>
      <w:r w:rsidR="00D3736D">
        <w:t xml:space="preserve">The few studies that have been undertaken </w:t>
      </w:r>
      <w:r w:rsidR="005531ED">
        <w:t xml:space="preserve">to date </w:t>
      </w:r>
      <w:r w:rsidR="00D3736D">
        <w:t xml:space="preserve">indicate i) incorporating dual phase processes has a large effect on the groundwater system when compared to a single phase model, ii) use of different upscaling methods applied to dual phase features yields markedly different effects on the groundwater system, </w:t>
      </w:r>
      <w:r w:rsidR="005531ED">
        <w:t xml:space="preserve">and </w:t>
      </w:r>
      <w:r w:rsidR="00D3736D">
        <w:t xml:space="preserve">iii) </w:t>
      </w:r>
      <w:r w:rsidR="00B73D23">
        <w:t xml:space="preserve">further work is needed to test if upscaling of other processes such as gas desorption and coal deformation is required, and if so, what </w:t>
      </w:r>
      <w:r w:rsidR="005531ED">
        <w:t xml:space="preserve">then </w:t>
      </w:r>
      <w:r w:rsidR="00B73D23">
        <w:t>the most appropriate upscaling methods are (e.g. analytical averaging or inversion-based).</w:t>
      </w:r>
    </w:p>
    <w:p w14:paraId="77EB5348" w14:textId="77777777" w:rsidR="00E713C3" w:rsidRDefault="00E8296A" w:rsidP="00E713C3">
      <w:pPr>
        <w:pStyle w:val="Body"/>
      </w:pPr>
      <w:r>
        <w:br w:type="page"/>
      </w:r>
    </w:p>
    <w:p w14:paraId="19E6F4F5" w14:textId="77777777" w:rsidR="00E8296A" w:rsidRDefault="00E8296A" w:rsidP="00563D0F">
      <w:pPr>
        <w:pStyle w:val="Heading1"/>
      </w:pPr>
      <w:bookmarkStart w:id="287" w:name="_Toc449696839"/>
      <w:r>
        <w:t>References</w:t>
      </w:r>
      <w:bookmarkEnd w:id="287"/>
    </w:p>
    <w:p w14:paraId="4C5021F6" w14:textId="77777777" w:rsidR="00DA1389" w:rsidRDefault="00DA1389" w:rsidP="002D337D">
      <w:pPr>
        <w:pStyle w:val="Body"/>
        <w:spacing w:afterLines="20" w:after="48" w:line="240" w:lineRule="auto"/>
        <w:ind w:left="567" w:hanging="567"/>
      </w:pPr>
      <w:r>
        <w:t>Ababou R (1991) Approaches to large scale unsaturated flow in heterogeneous, stratified, and fractured geologic media</w:t>
      </w:r>
      <w:r w:rsidR="00155A47">
        <w:t>,</w:t>
      </w:r>
      <w:r>
        <w:t xml:space="preserve"> U.S. Nuclear Regulatory Commission, Office of Nuclear Regulatory Research, Washington, DC</w:t>
      </w:r>
      <w:r w:rsidR="00155A47">
        <w:t>, USA.</w:t>
      </w:r>
    </w:p>
    <w:p w14:paraId="3933B4BB" w14:textId="77777777" w:rsidR="002D337D" w:rsidRDefault="00D61A3C" w:rsidP="005D77D8">
      <w:pPr>
        <w:pStyle w:val="Body"/>
        <w:spacing w:afterLines="20" w:after="48" w:line="240" w:lineRule="auto"/>
        <w:ind w:left="567" w:hanging="567"/>
      </w:pPr>
      <w:r w:rsidRPr="00D61A3C">
        <w:t>Abdallah</w:t>
      </w:r>
      <w:r w:rsidR="00370950">
        <w:t xml:space="preserve"> W</w:t>
      </w:r>
      <w:r w:rsidRPr="00D61A3C">
        <w:t>, B</w:t>
      </w:r>
      <w:r w:rsidR="00370950">
        <w:t>uckley JS</w:t>
      </w:r>
      <w:r w:rsidRPr="00D61A3C">
        <w:t>, Carnegie</w:t>
      </w:r>
      <w:r w:rsidR="00370950">
        <w:t xml:space="preserve"> A</w:t>
      </w:r>
      <w:r w:rsidRPr="00D61A3C">
        <w:t>, Edwards</w:t>
      </w:r>
      <w:r w:rsidR="00370950">
        <w:t xml:space="preserve"> J</w:t>
      </w:r>
      <w:r w:rsidRPr="00D61A3C">
        <w:t>, Herold</w:t>
      </w:r>
      <w:r w:rsidR="00370950">
        <w:t xml:space="preserve"> B</w:t>
      </w:r>
      <w:r w:rsidRPr="00D61A3C">
        <w:t>, Fordham</w:t>
      </w:r>
      <w:r w:rsidR="00370950">
        <w:t xml:space="preserve"> E</w:t>
      </w:r>
      <w:r w:rsidRPr="00D61A3C">
        <w:t>, Graue</w:t>
      </w:r>
      <w:r w:rsidR="00370950">
        <w:t xml:space="preserve"> A</w:t>
      </w:r>
      <w:r w:rsidRPr="00D61A3C">
        <w:t>, Habashy</w:t>
      </w:r>
      <w:r w:rsidR="00370950">
        <w:t xml:space="preserve"> T</w:t>
      </w:r>
      <w:r w:rsidRPr="00D61A3C">
        <w:t>, Seleznev</w:t>
      </w:r>
      <w:r w:rsidR="00370950">
        <w:t xml:space="preserve"> N</w:t>
      </w:r>
      <w:r w:rsidRPr="00D61A3C">
        <w:t>, Signer</w:t>
      </w:r>
      <w:r w:rsidR="00370950">
        <w:t xml:space="preserve"> C</w:t>
      </w:r>
      <w:r w:rsidRPr="00D61A3C">
        <w:t>, Hussain</w:t>
      </w:r>
      <w:r w:rsidR="00370950">
        <w:t xml:space="preserve"> H</w:t>
      </w:r>
      <w:r w:rsidRPr="00D61A3C">
        <w:t>, Montaron</w:t>
      </w:r>
      <w:r w:rsidR="00370950">
        <w:t xml:space="preserve"> B</w:t>
      </w:r>
      <w:r w:rsidRPr="00D61A3C">
        <w:t xml:space="preserve">, </w:t>
      </w:r>
      <w:r w:rsidR="00155A47">
        <w:t xml:space="preserve">and </w:t>
      </w:r>
      <w:r w:rsidRPr="00D61A3C">
        <w:t xml:space="preserve">Ziauddin </w:t>
      </w:r>
      <w:r w:rsidR="00370950">
        <w:t xml:space="preserve">M </w:t>
      </w:r>
      <w:r w:rsidRPr="00D61A3C">
        <w:t xml:space="preserve">(2007) Fundamentals of </w:t>
      </w:r>
      <w:r w:rsidR="00370950">
        <w:t>w</w:t>
      </w:r>
      <w:r w:rsidRPr="00D61A3C">
        <w:t>ettability</w:t>
      </w:r>
      <w:r w:rsidR="00370950">
        <w:t>,</w:t>
      </w:r>
      <w:r w:rsidRPr="00D61A3C">
        <w:t xml:space="preserve"> Oilfield </w:t>
      </w:r>
      <w:r w:rsidR="00370950">
        <w:t>R</w:t>
      </w:r>
      <w:r w:rsidRPr="00D61A3C">
        <w:t>eview</w:t>
      </w:r>
      <w:r w:rsidR="00155A47">
        <w:t xml:space="preserve"> </w:t>
      </w:r>
      <w:r w:rsidR="00370950">
        <w:t>19(2)</w:t>
      </w:r>
      <w:r w:rsidR="00155A47">
        <w:t xml:space="preserve">: </w:t>
      </w:r>
      <w:r w:rsidRPr="00D61A3C">
        <w:t>44-61.</w:t>
      </w:r>
    </w:p>
    <w:p w14:paraId="0FA94606" w14:textId="77777777" w:rsidR="002D337D" w:rsidRDefault="00B1063B" w:rsidP="005D77D8">
      <w:pPr>
        <w:pStyle w:val="Body"/>
        <w:spacing w:afterLines="20" w:after="48" w:line="240" w:lineRule="auto"/>
        <w:ind w:left="567" w:hanging="567"/>
      </w:pPr>
      <w:r w:rsidRPr="00B1063B">
        <w:t>Adhikary DP</w:t>
      </w:r>
      <w:r w:rsidR="00155A47">
        <w:t xml:space="preserve"> and</w:t>
      </w:r>
      <w:r w:rsidRPr="00B1063B">
        <w:t xml:space="preserve"> Guo H (2005) A coupled Cosserat two-phase double porosity flow model</w:t>
      </w:r>
      <w:r w:rsidR="001F0B04">
        <w:t>, in:</w:t>
      </w:r>
      <w:r w:rsidRPr="00B1063B">
        <w:t xml:space="preserve"> MODSIM 2005 International Congress on Modelling and Simulation</w:t>
      </w:r>
      <w:r w:rsidR="001F0B04">
        <w:t>, pp. 1189-1195</w:t>
      </w:r>
      <w:r w:rsidRPr="00B1063B">
        <w:t>.</w:t>
      </w:r>
    </w:p>
    <w:p w14:paraId="6BF010B8" w14:textId="77777777" w:rsidR="002D337D" w:rsidRDefault="004F3F57" w:rsidP="005D77D8">
      <w:pPr>
        <w:pStyle w:val="Body"/>
        <w:spacing w:afterLines="20" w:after="48" w:line="240" w:lineRule="auto"/>
        <w:ind w:left="567" w:hanging="567"/>
      </w:pPr>
      <w:r>
        <w:t>Advanced Resources International (2015) “COMET3 Reservoir Simulator”, URL=&lt;</w:t>
      </w:r>
      <w:r w:rsidRPr="004F3F57">
        <w:t>http://www.adv-res.com/COMET3_reservoir_simulator_for_gas_shale_and_coalbed_methane_CBM_reservoirs.php</w:t>
      </w:r>
      <w:r>
        <w:t>&gt;, viewed 16 November 2015.</w:t>
      </w:r>
    </w:p>
    <w:p w14:paraId="73BE5A0D" w14:textId="77777777" w:rsidR="002D337D" w:rsidRDefault="00DA1389" w:rsidP="005D77D8">
      <w:pPr>
        <w:pStyle w:val="Body"/>
        <w:spacing w:afterLines="20" w:after="48" w:line="240" w:lineRule="auto"/>
        <w:ind w:left="567" w:hanging="567"/>
      </w:pPr>
      <w:r>
        <w:t xml:space="preserve">Ahmed U, Crary S and Coates G (1991) Permeability estimation: </w:t>
      </w:r>
      <w:r w:rsidR="00155A47">
        <w:t xml:space="preserve">The </w:t>
      </w:r>
      <w:r>
        <w:t>various sources and their interrelationships</w:t>
      </w:r>
      <w:r w:rsidR="00155A47">
        <w:t>,</w:t>
      </w:r>
      <w:r>
        <w:t xml:space="preserve"> Journal of Petroleum Technology 43(5)</w:t>
      </w:r>
      <w:r w:rsidR="00155A47">
        <w:t>:</w:t>
      </w:r>
      <w:r>
        <w:t xml:space="preserve"> 578-587. </w:t>
      </w:r>
    </w:p>
    <w:p w14:paraId="6891A4A0" w14:textId="77777777" w:rsidR="002D337D" w:rsidRDefault="00C5216E" w:rsidP="005D77D8">
      <w:pPr>
        <w:pStyle w:val="Body"/>
        <w:spacing w:afterLines="20" w:after="48" w:line="240" w:lineRule="auto"/>
        <w:ind w:left="567" w:hanging="567"/>
      </w:pPr>
      <w:r>
        <w:t xml:space="preserve">Alcolea A and Renard P (2010) Blocking Moving Window algorithm: Conditioning multiple‐point simulations to hydrogeological data, </w:t>
      </w:r>
      <w:r w:rsidRPr="00155A47">
        <w:t>Water Resources Research</w:t>
      </w:r>
      <w:r>
        <w:t xml:space="preserve"> 46(W08511): 1-18.</w:t>
      </w:r>
    </w:p>
    <w:p w14:paraId="36656A5D" w14:textId="299EF2B3" w:rsidR="002D337D" w:rsidRDefault="00C5216E" w:rsidP="005D77D8">
      <w:pPr>
        <w:pStyle w:val="Body"/>
        <w:spacing w:afterLines="20" w:after="48" w:line="240" w:lineRule="auto"/>
        <w:ind w:left="567" w:hanging="567"/>
      </w:pPr>
      <w:r w:rsidRPr="00C5216E">
        <w:t>Al-Jubori A, Johnston S, Boyer C, Lambert SW, Bustos OA, Pashin JC</w:t>
      </w:r>
      <w:r>
        <w:t xml:space="preserve"> and </w:t>
      </w:r>
      <w:r w:rsidRPr="00C5216E">
        <w:t>Wray A (2009) Coalbed methane: clean energy for the world</w:t>
      </w:r>
      <w:r>
        <w:t>,</w:t>
      </w:r>
      <w:r w:rsidRPr="00C5216E">
        <w:t xml:space="preserve"> Oilfield Review 21(2)</w:t>
      </w:r>
      <w:r>
        <w:t>:</w:t>
      </w:r>
      <w:r w:rsidRPr="00C5216E">
        <w:t xml:space="preserve"> 4-13.</w:t>
      </w:r>
    </w:p>
    <w:p w14:paraId="6BAE3C43" w14:textId="51D178F8" w:rsidR="002D337D" w:rsidRDefault="00DA1389" w:rsidP="005D77D8">
      <w:pPr>
        <w:pStyle w:val="Body"/>
        <w:spacing w:afterLines="20" w:after="48" w:line="240" w:lineRule="auto"/>
        <w:ind w:left="567" w:hanging="567"/>
      </w:pPr>
      <w:r w:rsidRPr="0096235B">
        <w:t>Almeida AS and Frykman P (1994) Geostatistical modeling of chalk reservoir properties in the Dan field, Danish North Sea</w:t>
      </w:r>
      <w:r w:rsidR="0096235B">
        <w:t xml:space="preserve">, in: </w:t>
      </w:r>
      <w:r w:rsidR="0096235B" w:rsidRPr="0096235B">
        <w:t xml:space="preserve">Yarus </w:t>
      </w:r>
      <w:r w:rsidR="0096235B">
        <w:t xml:space="preserve">JM </w:t>
      </w:r>
      <w:r w:rsidR="0096235B" w:rsidRPr="0096235B">
        <w:t>and Chambers</w:t>
      </w:r>
      <w:r w:rsidR="0096235B">
        <w:t xml:space="preserve"> RL (eds) </w:t>
      </w:r>
      <w:r w:rsidR="0096235B" w:rsidRPr="0096235B">
        <w:t xml:space="preserve">Stochastic Modeling </w:t>
      </w:r>
      <w:r w:rsidR="0096235B">
        <w:t>a</w:t>
      </w:r>
      <w:r w:rsidR="0096235B" w:rsidRPr="0096235B">
        <w:t xml:space="preserve">nd Geostatistics : Principles, Methods </w:t>
      </w:r>
      <w:r w:rsidR="0096235B">
        <w:t>a</w:t>
      </w:r>
      <w:r w:rsidR="0096235B" w:rsidRPr="0096235B">
        <w:t>nd Case Studies</w:t>
      </w:r>
      <w:r w:rsidR="0096235B">
        <w:t xml:space="preserve">, </w:t>
      </w:r>
      <w:r w:rsidR="0096235B" w:rsidRPr="0096235B">
        <w:t>American Association of Petroleum Geologists</w:t>
      </w:r>
      <w:r w:rsidR="0096235B">
        <w:t>,Tulsa, OK, USA, 379p.</w:t>
      </w:r>
    </w:p>
    <w:p w14:paraId="164AC550" w14:textId="77777777" w:rsidR="002D337D" w:rsidRDefault="00DA1389" w:rsidP="005D77D8">
      <w:pPr>
        <w:pStyle w:val="Body"/>
        <w:spacing w:afterLines="20" w:after="48" w:line="240" w:lineRule="auto"/>
        <w:ind w:left="567" w:hanging="567"/>
      </w:pPr>
      <w:r>
        <w:t>Altman SJ, Arnold B, Barnard R, Barr G, Ho C, McKenna S and Eaton R (1996) Flow calculations for Yucca Mountain groundwater travel time</w:t>
      </w:r>
      <w:r w:rsidR="00155A47">
        <w:t xml:space="preserve">, report no. </w:t>
      </w:r>
      <w:r>
        <w:t>GWTT-95</w:t>
      </w:r>
      <w:r w:rsidR="00155A47">
        <w:t>,</w:t>
      </w:r>
      <w:r>
        <w:t xml:space="preserve"> Sandia National Labs, Albuquerque, NM</w:t>
      </w:r>
      <w:r w:rsidR="00155A47">
        <w:t>, USA.</w:t>
      </w:r>
    </w:p>
    <w:p w14:paraId="4D8041FD" w14:textId="77777777" w:rsidR="002D337D" w:rsidRDefault="00DA1389" w:rsidP="005D77D8">
      <w:pPr>
        <w:pStyle w:val="Body"/>
        <w:spacing w:afterLines="20" w:after="48" w:line="240" w:lineRule="auto"/>
        <w:ind w:left="567" w:hanging="567"/>
      </w:pPr>
      <w:r>
        <w:t>Amankwah K and Schwarz J (1995) A modified approach for estimating pseudo-vapo</w:t>
      </w:r>
      <w:r w:rsidR="00155A47">
        <w:t>u</w:t>
      </w:r>
      <w:r>
        <w:t>r pressures in the application of the Dubinin-Astakhov equation</w:t>
      </w:r>
      <w:r w:rsidR="00155A47">
        <w:t>,</w:t>
      </w:r>
      <w:r>
        <w:t xml:space="preserve"> Carbon 33(9)</w:t>
      </w:r>
      <w:r w:rsidR="00155A47">
        <w:t>:</w:t>
      </w:r>
      <w:r>
        <w:t xml:space="preserve"> 1313-1319. </w:t>
      </w:r>
    </w:p>
    <w:p w14:paraId="4C705C07" w14:textId="55A8DCCE" w:rsidR="002D337D" w:rsidRDefault="000665C5" w:rsidP="005D77D8">
      <w:pPr>
        <w:pStyle w:val="Body"/>
        <w:spacing w:afterLines="20" w:after="48" w:line="240" w:lineRule="auto"/>
        <w:ind w:left="567" w:hanging="567"/>
      </w:pPr>
      <w:r w:rsidRPr="000665C5">
        <w:t>Aminian K, Ameri S, Bhavsar A, Sanchez M</w:t>
      </w:r>
      <w:r w:rsidR="00155A47">
        <w:t xml:space="preserve"> and</w:t>
      </w:r>
      <w:r w:rsidRPr="000665C5">
        <w:t xml:space="preserve"> Garcia A (2004</w:t>
      </w:r>
      <w:r>
        <w:t>)</w:t>
      </w:r>
      <w:r w:rsidRPr="000665C5">
        <w:t xml:space="preserve"> Type curves for coalbed methane production prediction</w:t>
      </w:r>
      <w:r>
        <w:t>, in:</w:t>
      </w:r>
      <w:r w:rsidRPr="000665C5">
        <w:t xml:space="preserve"> Society of Petroleum Engineers Eastern Regional Meeting</w:t>
      </w:r>
      <w:r>
        <w:t xml:space="preserve">, document # </w:t>
      </w:r>
      <w:r w:rsidRPr="000665C5">
        <w:t>SPE-91482-MS</w:t>
      </w:r>
      <w:r>
        <w:t xml:space="preserve">, </w:t>
      </w:r>
      <w:r w:rsidRPr="000665C5">
        <w:t>http://dx.doi.org/10.2118/91482-MS.</w:t>
      </w:r>
    </w:p>
    <w:p w14:paraId="03E67ADF" w14:textId="3C0463D3" w:rsidR="00C76BFF" w:rsidRDefault="00C76BFF" w:rsidP="005D77D8">
      <w:pPr>
        <w:pStyle w:val="Body"/>
        <w:spacing w:afterLines="20" w:after="48" w:line="240" w:lineRule="auto"/>
        <w:ind w:left="567" w:hanging="567"/>
      </w:pPr>
      <w:r>
        <w:t>Amyx JW, Bass DM, Whiting RL (1960) Petroleum reservoir engineering physical properties. New York, McGraw.</w:t>
      </w:r>
    </w:p>
    <w:p w14:paraId="0D875F93" w14:textId="77777777" w:rsidR="002D337D" w:rsidRDefault="00DA1389" w:rsidP="005D77D8">
      <w:pPr>
        <w:pStyle w:val="Body"/>
        <w:spacing w:afterLines="20" w:after="48" w:line="240" w:lineRule="auto"/>
        <w:ind w:left="567" w:hanging="567"/>
      </w:pPr>
      <w:r>
        <w:t>Anders MH and Wiltschko DV (1994) Microfracturing, paleostress and the growth of faults</w:t>
      </w:r>
      <w:r w:rsidR="00155A47">
        <w:t xml:space="preserve">, </w:t>
      </w:r>
      <w:r>
        <w:t>Journal of Structural Geology 16(6</w:t>
      </w:r>
      <w:r w:rsidR="00155A47">
        <w:t xml:space="preserve">): </w:t>
      </w:r>
      <w:r>
        <w:t xml:space="preserve">795-815. </w:t>
      </w:r>
    </w:p>
    <w:p w14:paraId="1D6A3484" w14:textId="4A2B9D2F" w:rsidR="002D337D" w:rsidRDefault="00DA1389" w:rsidP="005D77D8">
      <w:pPr>
        <w:pStyle w:val="Body"/>
        <w:spacing w:afterLines="20" w:after="48" w:line="240" w:lineRule="auto"/>
        <w:ind w:left="567" w:hanging="567"/>
      </w:pPr>
      <w:r>
        <w:t>Andersson J and Dverstorp</w:t>
      </w:r>
      <w:r w:rsidR="00155A47">
        <w:t xml:space="preserve"> </w:t>
      </w:r>
      <w:r>
        <w:t>B (1987) Conditional simulations on fluid-flow in 3-dimensi</w:t>
      </w:r>
      <w:r w:rsidR="00155A47">
        <w:t>o</w:t>
      </w:r>
      <w:r>
        <w:t>nal networks of discrete fractures. Water Resources Research 23(10)</w:t>
      </w:r>
      <w:r w:rsidR="00BB3B37">
        <w:t>:</w:t>
      </w:r>
      <w:r>
        <w:t xml:space="preserve"> 1876-1886.</w:t>
      </w:r>
    </w:p>
    <w:p w14:paraId="0E6D6294" w14:textId="77777777" w:rsidR="002D337D" w:rsidRDefault="004768C0" w:rsidP="005D77D8">
      <w:pPr>
        <w:pStyle w:val="Body"/>
        <w:spacing w:afterLines="20" w:after="48" w:line="240" w:lineRule="auto"/>
        <w:ind w:left="567" w:hanging="567"/>
      </w:pPr>
      <w:r>
        <w:t xml:space="preserve">Aquaterra (2009) </w:t>
      </w:r>
      <w:r w:rsidRPr="004768C0">
        <w:t>Narrabri Coal Mine Stage 2 Longwall Project Hydrogeological Assessment</w:t>
      </w:r>
      <w:r>
        <w:t>.</w:t>
      </w:r>
    </w:p>
    <w:p w14:paraId="156B8B34" w14:textId="6E7646B3" w:rsidR="002D337D" w:rsidRDefault="00B1063B" w:rsidP="005D77D8">
      <w:pPr>
        <w:pStyle w:val="Body"/>
        <w:spacing w:afterLines="20" w:after="48" w:line="240" w:lineRule="auto"/>
        <w:ind w:left="567" w:hanging="567"/>
      </w:pPr>
      <w:r>
        <w:t>Arpat G and Caers J (2007) Conditional simulation with patterns. Mathematical Geology 39(2)</w:t>
      </w:r>
      <w:r w:rsidR="00BB3B37">
        <w:t>:</w:t>
      </w:r>
      <w:r>
        <w:t xml:space="preserve"> 177-203. </w:t>
      </w:r>
      <w:r w:rsidR="0071016E">
        <w:t>doi</w:t>
      </w:r>
      <w:r>
        <w:t>:10.1007/s11004-006-9075-3.</w:t>
      </w:r>
    </w:p>
    <w:p w14:paraId="59C80FA6" w14:textId="77777777" w:rsidR="002D337D" w:rsidRDefault="00B1063B" w:rsidP="005D77D8">
      <w:pPr>
        <w:pStyle w:val="Body"/>
        <w:spacing w:afterLines="20" w:after="48" w:line="240" w:lineRule="auto"/>
        <w:ind w:left="567" w:hanging="567"/>
      </w:pPr>
      <w:r>
        <w:t>Ausenco-Norwest Corporation (2012) Groundwater model, northern Bowen Basin regional model impact predictions, Queensland, Australia.</w:t>
      </w:r>
    </w:p>
    <w:p w14:paraId="6B0D3143" w14:textId="77777777" w:rsidR="002D337D" w:rsidRDefault="00B1063B" w:rsidP="005D77D8">
      <w:pPr>
        <w:pStyle w:val="Body"/>
        <w:spacing w:afterLines="20" w:after="48" w:line="240" w:lineRule="auto"/>
        <w:ind w:left="567" w:hanging="567"/>
      </w:pPr>
      <w:r w:rsidRPr="00A27BA2">
        <w:t>Australasian Groundwater and Environmental</w:t>
      </w:r>
      <w:r>
        <w:t xml:space="preserve"> Consultants (1999) Pumping test analysis for Kogan Creek Power Station.</w:t>
      </w:r>
    </w:p>
    <w:p w14:paraId="7427CEFF" w14:textId="27565299" w:rsidR="002D337D" w:rsidRDefault="00A27BA2" w:rsidP="005D77D8">
      <w:pPr>
        <w:pStyle w:val="Body"/>
        <w:spacing w:afterLines="20" w:after="48" w:line="240" w:lineRule="auto"/>
        <w:ind w:left="567" w:hanging="567"/>
      </w:pPr>
      <w:r>
        <w:t xml:space="preserve">Australia Pacific </w:t>
      </w:r>
      <w:r w:rsidR="0049459B">
        <w:t>Liquefied</w:t>
      </w:r>
      <w:r>
        <w:t xml:space="preserve"> Natural Gas</w:t>
      </w:r>
      <w:r w:rsidR="00DA1389">
        <w:t xml:space="preserve"> (2010a) Australia Pacific LNG Project: environmental impact statement</w:t>
      </w:r>
      <w:r w:rsidR="00155A47">
        <w:t xml:space="preserve">, </w:t>
      </w:r>
      <w:r w:rsidR="00DA1389">
        <w:t>Australia Pacific LNG, Brisbane, Queensland</w:t>
      </w:r>
      <w:r w:rsidR="00155A47">
        <w:t>, URL=</w:t>
      </w:r>
      <w:r w:rsidR="00DA1389">
        <w:t>&lt;http://www.aplng.com.au/eis&gt;.</w:t>
      </w:r>
    </w:p>
    <w:p w14:paraId="363D0FFD" w14:textId="35AB7D91" w:rsidR="002D337D" w:rsidRDefault="00A27BA2" w:rsidP="005D77D8">
      <w:pPr>
        <w:pStyle w:val="Body"/>
        <w:spacing w:afterLines="20" w:after="48" w:line="240" w:lineRule="auto"/>
        <w:ind w:left="567" w:hanging="567"/>
      </w:pPr>
      <w:r>
        <w:t xml:space="preserve">Australia Pacific </w:t>
      </w:r>
      <w:r w:rsidR="0049459B">
        <w:t>Liquefied</w:t>
      </w:r>
      <w:r>
        <w:t xml:space="preserve"> Natural Gas </w:t>
      </w:r>
      <w:r w:rsidR="00DA1389">
        <w:t>(2010b) Surat Basin regional numerical groundwater flow model for the Australia Pacific LNG environmental impacts assessment methodology.</w:t>
      </w:r>
    </w:p>
    <w:p w14:paraId="5F9B206B" w14:textId="77777777" w:rsidR="002D337D" w:rsidRDefault="00DA1389" w:rsidP="005D77D8">
      <w:pPr>
        <w:pStyle w:val="Body"/>
        <w:spacing w:afterLines="20" w:after="48" w:line="240" w:lineRule="auto"/>
        <w:ind w:left="567" w:hanging="567"/>
      </w:pPr>
      <w:r>
        <w:t>Aydin A (2000) Fractures, faults, and hydrocarbon entrapment, migration and flow</w:t>
      </w:r>
      <w:r w:rsidR="00155A47">
        <w:t xml:space="preserve">, </w:t>
      </w:r>
      <w:r>
        <w:t>Marine and Petroleum Geology 17(7</w:t>
      </w:r>
      <w:r w:rsidR="00155A47">
        <w:t xml:space="preserve">): </w:t>
      </w:r>
      <w:r>
        <w:t>797-814.</w:t>
      </w:r>
    </w:p>
    <w:p w14:paraId="5D379BF6" w14:textId="77777777" w:rsidR="002D337D" w:rsidRDefault="00DA1389" w:rsidP="005D77D8">
      <w:pPr>
        <w:pStyle w:val="Body"/>
        <w:spacing w:afterLines="20" w:after="48" w:line="240" w:lineRule="auto"/>
        <w:ind w:left="567" w:hanging="567"/>
      </w:pPr>
      <w:r>
        <w:t>Bakker M (2013) Semi-analytic modeling of transient multi-layer flow with TTim</w:t>
      </w:r>
      <w:r w:rsidR="00155A47">
        <w:t xml:space="preserve">, </w:t>
      </w:r>
      <w:r>
        <w:t>Hydrogeology Journal 21(4</w:t>
      </w:r>
      <w:r w:rsidR="00155A47">
        <w:t xml:space="preserve">): </w:t>
      </w:r>
      <w:r>
        <w:t xml:space="preserve">935-943. </w:t>
      </w:r>
    </w:p>
    <w:p w14:paraId="39670635" w14:textId="77777777" w:rsidR="002D337D" w:rsidRDefault="00DA1389" w:rsidP="005D77D8">
      <w:pPr>
        <w:pStyle w:val="Body"/>
        <w:spacing w:afterLines="20" w:after="48" w:line="240" w:lineRule="auto"/>
        <w:ind w:left="567" w:hanging="567"/>
      </w:pPr>
      <w:r>
        <w:t xml:space="preserve">Balan B, Mohaghegh S and Ameri S (1995) State-of-the-art in permeability determination from well log data: </w:t>
      </w:r>
      <w:r w:rsidR="00155A47">
        <w:t xml:space="preserve">Part </w:t>
      </w:r>
      <w:r>
        <w:t>1-A comparative study, model development</w:t>
      </w:r>
      <w:r w:rsidR="00155A47">
        <w:t xml:space="preserve">, </w:t>
      </w:r>
      <w:r>
        <w:t>SPE Eastern Regional Meeting</w:t>
      </w:r>
      <w:r w:rsidR="00155A47">
        <w:t xml:space="preserve">, </w:t>
      </w:r>
      <w:r>
        <w:t>Society of Petroleum Engineers.</w:t>
      </w:r>
    </w:p>
    <w:p w14:paraId="4065F0ED" w14:textId="77777777" w:rsidR="002D337D" w:rsidRDefault="00DA1389" w:rsidP="005D77D8">
      <w:pPr>
        <w:pStyle w:val="Body"/>
        <w:spacing w:afterLines="20" w:after="48" w:line="240" w:lineRule="auto"/>
        <w:ind w:left="567" w:hanging="567"/>
      </w:pPr>
      <w:r>
        <w:t>Balsamo F and Storti F (2010) Grain size and permeability evolution of soft-sediment extensional sub-seismic and seismic fault zones in high-porosity sediments from the Crotone basin, southern Apennines, Italy</w:t>
      </w:r>
      <w:r w:rsidR="00155A47">
        <w:t xml:space="preserve">, </w:t>
      </w:r>
      <w:r>
        <w:t>Marine and Petroleum Geology 27(4</w:t>
      </w:r>
      <w:r w:rsidR="00155A47">
        <w:t xml:space="preserve">): </w:t>
      </w:r>
      <w:r>
        <w:t xml:space="preserve">822-837. </w:t>
      </w:r>
    </w:p>
    <w:p w14:paraId="21D88D7D" w14:textId="77777777" w:rsidR="002D337D" w:rsidRDefault="00BC10F2" w:rsidP="005D77D8">
      <w:pPr>
        <w:pStyle w:val="Body"/>
        <w:spacing w:afterLines="20" w:after="48" w:line="240" w:lineRule="auto"/>
        <w:ind w:left="567" w:hanging="567"/>
      </w:pPr>
      <w:r w:rsidRPr="00BC10F2">
        <w:t>Bandilla KW, Celia</w:t>
      </w:r>
      <w:r>
        <w:t xml:space="preserve"> </w:t>
      </w:r>
      <w:r w:rsidRPr="00BC10F2">
        <w:t>MA, Birkholzer</w:t>
      </w:r>
      <w:r>
        <w:t xml:space="preserve"> </w:t>
      </w:r>
      <w:r w:rsidRPr="00BC10F2">
        <w:t>JT, Cihan</w:t>
      </w:r>
      <w:r>
        <w:t xml:space="preserve"> </w:t>
      </w:r>
      <w:r w:rsidRPr="00BC10F2">
        <w:t>A</w:t>
      </w:r>
      <w:r w:rsidR="00155A47">
        <w:t xml:space="preserve"> and</w:t>
      </w:r>
      <w:r w:rsidRPr="00BC10F2">
        <w:t xml:space="preserve"> Leister</w:t>
      </w:r>
      <w:r>
        <w:t xml:space="preserve"> </w:t>
      </w:r>
      <w:r w:rsidRPr="00BC10F2">
        <w:t>EC</w:t>
      </w:r>
      <w:r>
        <w:t xml:space="preserve"> </w:t>
      </w:r>
      <w:r w:rsidRPr="00BC10F2">
        <w:t>(2015) Multiphase modeling of geologic carbon sequestration in saline aquifers</w:t>
      </w:r>
      <w:r>
        <w:t>,</w:t>
      </w:r>
      <w:r w:rsidRPr="00BC10F2">
        <w:t xml:space="preserve"> Ground</w:t>
      </w:r>
      <w:r w:rsidR="00F05DAB">
        <w:t xml:space="preserve"> W</w:t>
      </w:r>
      <w:r w:rsidRPr="00BC10F2">
        <w:t>ater 53(3</w:t>
      </w:r>
      <w:r w:rsidR="00155A47" w:rsidRPr="00BC10F2">
        <w:t>)</w:t>
      </w:r>
      <w:r w:rsidR="00155A47">
        <w:t>:</w:t>
      </w:r>
      <w:r w:rsidR="00155A47" w:rsidRPr="00BC10F2">
        <w:t xml:space="preserve"> </w:t>
      </w:r>
      <w:r w:rsidRPr="00BC10F2">
        <w:t>362-377.</w:t>
      </w:r>
    </w:p>
    <w:p w14:paraId="1D7A702F" w14:textId="596160CE" w:rsidR="00894B10" w:rsidRPr="00A45100" w:rsidRDefault="00894B10" w:rsidP="00A45100">
      <w:pPr>
        <w:pStyle w:val="Body"/>
        <w:spacing w:afterLines="20" w:after="48" w:line="240" w:lineRule="auto"/>
        <w:ind w:left="567" w:hanging="567"/>
      </w:pPr>
      <w:r w:rsidRPr="00A45100">
        <w:t>Barker JW and Thibeau S (1997) A critical review of the use of pseudorelative permeabilities for upscaling. SPE Reservoir Engineering, May 1997: 138 - 143.</w:t>
      </w:r>
    </w:p>
    <w:p w14:paraId="6C4490F8" w14:textId="77777777" w:rsidR="00894B10" w:rsidRDefault="00894B10" w:rsidP="005D77D8">
      <w:pPr>
        <w:pStyle w:val="Body"/>
        <w:spacing w:afterLines="20" w:after="48" w:line="240" w:lineRule="auto"/>
        <w:ind w:left="567" w:hanging="567"/>
      </w:pPr>
    </w:p>
    <w:p w14:paraId="5A77847D" w14:textId="69A7FA5B" w:rsidR="00034294" w:rsidRDefault="00034294">
      <w:pPr>
        <w:pStyle w:val="Body"/>
        <w:spacing w:afterLines="20" w:after="48" w:line="240" w:lineRule="auto"/>
        <w:ind w:left="567" w:hanging="567"/>
      </w:pPr>
      <w:r>
        <w:t xml:space="preserve">Barrett DJ, Couch CA, Metcalfe DJ, Lytton L, Adhikary DP, and Schmidt BK (2013). </w:t>
      </w:r>
      <w:r w:rsidRPr="00A45100">
        <w:t xml:space="preserve">Methodology for bioregional assessments of the impacts of coal seam gas and coal mining development on water resources. </w:t>
      </w:r>
      <w:r>
        <w:t xml:space="preserve">A report prepared for the </w:t>
      </w:r>
      <w:r w:rsidRPr="00A45100">
        <w:t xml:space="preserve">Independent Expert Scientific Committee on Coal Seam Gas and </w:t>
      </w:r>
      <w:r>
        <w:t xml:space="preserve">Large </w:t>
      </w:r>
      <w:r w:rsidRPr="00A45100">
        <w:t>Coal Mining</w:t>
      </w:r>
      <w:r>
        <w:t xml:space="preserve"> Development through the Department of the Environment.</w:t>
      </w:r>
    </w:p>
    <w:p w14:paraId="0BB8C2A4" w14:textId="77777777" w:rsidR="002D337D" w:rsidRDefault="00DA1389" w:rsidP="005D77D8">
      <w:pPr>
        <w:pStyle w:val="Body"/>
        <w:spacing w:afterLines="20" w:after="48" w:line="240" w:lineRule="auto"/>
        <w:ind w:left="567" w:hanging="567"/>
      </w:pPr>
      <w:r>
        <w:t xml:space="preserve">Basquet R, Jeannin L, Lange A, Bourbiaux B and Sarda S (2003) Gas </w:t>
      </w:r>
      <w:r w:rsidR="00155A47">
        <w:t xml:space="preserve">flow simulation in discrete fracture network models, </w:t>
      </w:r>
      <w:r>
        <w:t>Society of Petroleum Engineers.</w:t>
      </w:r>
    </w:p>
    <w:p w14:paraId="4A0FB2F8" w14:textId="77777777" w:rsidR="002D337D" w:rsidRDefault="00DA1389" w:rsidP="005D77D8">
      <w:pPr>
        <w:pStyle w:val="Body"/>
        <w:spacing w:afterLines="20" w:after="48" w:line="240" w:lineRule="auto"/>
        <w:ind w:left="567" w:hanging="567"/>
      </w:pPr>
      <w:r>
        <w:t xml:space="preserve">Bassiouni Z (1994) Theory, </w:t>
      </w:r>
      <w:r w:rsidR="00155A47">
        <w:t xml:space="preserve">measurement, and interpretation of well logs, </w:t>
      </w:r>
      <w:r>
        <w:t>Henry L. Doherty Memorial Fund of AIME, Society of Petroleum Engineers.</w:t>
      </w:r>
    </w:p>
    <w:p w14:paraId="5751A012" w14:textId="77777777" w:rsidR="002D337D" w:rsidRDefault="007B078F" w:rsidP="005D77D8">
      <w:pPr>
        <w:pStyle w:val="Body"/>
        <w:spacing w:afterLines="20" w:after="48" w:line="240" w:lineRule="auto"/>
        <w:ind w:left="567" w:hanging="567"/>
      </w:pPr>
      <w:r w:rsidRPr="007B078F">
        <w:t>Bastian P, Chen Z, Ewing RE, Helmig R, Jakobs H</w:t>
      </w:r>
      <w:r w:rsidR="00155A47">
        <w:t xml:space="preserve"> and</w:t>
      </w:r>
      <w:r w:rsidR="00155A47" w:rsidRPr="007B078F">
        <w:t xml:space="preserve"> </w:t>
      </w:r>
      <w:r w:rsidRPr="007B078F">
        <w:t>Reichenberger V (2000) Numerical simulation of multiphase flow in fractured porous media</w:t>
      </w:r>
      <w:r>
        <w:t>, in:</w:t>
      </w:r>
      <w:r w:rsidRPr="007B078F">
        <w:t xml:space="preserve"> Numerical </w:t>
      </w:r>
      <w:r>
        <w:t>T</w:t>
      </w:r>
      <w:r w:rsidRPr="007B078F">
        <w:t xml:space="preserve">reatment of </w:t>
      </w:r>
      <w:r>
        <w:t>M</w:t>
      </w:r>
      <w:r w:rsidRPr="007B078F">
        <w:t xml:space="preserve">ultiphase </w:t>
      </w:r>
      <w:r>
        <w:t>F</w:t>
      </w:r>
      <w:r w:rsidRPr="007B078F">
        <w:t xml:space="preserve">lows in </w:t>
      </w:r>
      <w:r>
        <w:t>P</w:t>
      </w:r>
      <w:r w:rsidRPr="007B078F">
        <w:t xml:space="preserve">orous </w:t>
      </w:r>
      <w:r>
        <w:t>M</w:t>
      </w:r>
      <w:r w:rsidRPr="007B078F">
        <w:t>edia</w:t>
      </w:r>
      <w:r>
        <w:t>,</w:t>
      </w:r>
      <w:r w:rsidRPr="007B078F">
        <w:t xml:space="preserve"> pp. 50-68</w:t>
      </w:r>
      <w:r>
        <w:t>,</w:t>
      </w:r>
      <w:r w:rsidRPr="007B078F">
        <w:t xml:space="preserve"> Springer Berlin Heidelberg.</w:t>
      </w:r>
    </w:p>
    <w:p w14:paraId="7176B36B" w14:textId="77777777" w:rsidR="002D337D" w:rsidRDefault="00DA1389" w:rsidP="005D77D8">
      <w:pPr>
        <w:pStyle w:val="Body"/>
        <w:spacing w:afterLines="20" w:after="48" w:line="240" w:lineRule="auto"/>
        <w:ind w:left="567" w:hanging="567"/>
      </w:pPr>
      <w:r>
        <w:t xml:space="preserve">Bear J (1972) Dynamics of </w:t>
      </w:r>
      <w:r w:rsidR="00155A47">
        <w:t xml:space="preserve">Fluids </w:t>
      </w:r>
      <w:r>
        <w:t xml:space="preserve">in </w:t>
      </w:r>
      <w:r w:rsidR="00155A47">
        <w:t xml:space="preserve">Porous Media, </w:t>
      </w:r>
      <w:r>
        <w:t xml:space="preserve">Elsevier, New York, </w:t>
      </w:r>
      <w:r w:rsidR="00155A47">
        <w:t xml:space="preserve">NY, </w:t>
      </w:r>
      <w:r>
        <w:t>USA.</w:t>
      </w:r>
    </w:p>
    <w:p w14:paraId="71CE0AC0" w14:textId="77777777" w:rsidR="002D337D" w:rsidRDefault="00DA1389" w:rsidP="005D77D8">
      <w:pPr>
        <w:pStyle w:val="Body"/>
        <w:spacing w:afterLines="20" w:after="48" w:line="240" w:lineRule="auto"/>
        <w:ind w:left="567" w:hanging="567"/>
      </w:pPr>
      <w:r>
        <w:t xml:space="preserve">Bear J, Tsang C-F and de Marsily G (1993) Flow and </w:t>
      </w:r>
      <w:r w:rsidR="00155A47">
        <w:t xml:space="preserve">Contaminant Transport </w:t>
      </w:r>
      <w:r>
        <w:t xml:space="preserve">in </w:t>
      </w:r>
      <w:r w:rsidR="00155A47">
        <w:t>F</w:t>
      </w:r>
      <w:r>
        <w:t xml:space="preserve">ractured </w:t>
      </w:r>
      <w:r w:rsidR="00155A47">
        <w:t>R</w:t>
      </w:r>
      <w:r>
        <w:t>ock</w:t>
      </w:r>
      <w:r w:rsidR="00155A47">
        <w:t xml:space="preserve">, </w:t>
      </w:r>
      <w:r>
        <w:t>Academic Press, London</w:t>
      </w:r>
      <w:r w:rsidR="00155A47">
        <w:t>, UK</w:t>
      </w:r>
      <w:r>
        <w:t>.</w:t>
      </w:r>
    </w:p>
    <w:p w14:paraId="087F63C3" w14:textId="77777777" w:rsidR="002D337D" w:rsidRDefault="00DA1389" w:rsidP="005D77D8">
      <w:pPr>
        <w:pStyle w:val="Body"/>
        <w:spacing w:afterLines="20" w:after="48" w:line="240" w:lineRule="auto"/>
        <w:ind w:left="567" w:hanging="567"/>
      </w:pPr>
      <w:r>
        <w:t>Beerten K, Wemaere I, Gedeon M, Rogiers D, Mallants D, and Salah S (2010) Geological, hydrogeological, and hydrological data for the Dessel disposal site</w:t>
      </w:r>
      <w:r w:rsidR="00155A47">
        <w:t xml:space="preserve">, report no. </w:t>
      </w:r>
      <w:r>
        <w:t>NIROND-TR 2009-05 V1, 261p.</w:t>
      </w:r>
    </w:p>
    <w:p w14:paraId="10A8683C" w14:textId="36854E7A" w:rsidR="006D763F" w:rsidRDefault="006D763F" w:rsidP="005D77D8">
      <w:pPr>
        <w:pStyle w:val="Body"/>
        <w:spacing w:afterLines="20" w:after="48" w:line="240" w:lineRule="auto"/>
        <w:ind w:left="567" w:hanging="567"/>
      </w:pPr>
      <w:r>
        <w:t>Bense V, and Person MA (2006) Faults as conduit-barrier systems to fluid flow in siliciclastic sedimentary aquifers. Water Resources Research 42, W05421, doi:10.1029/2005WR004480.</w:t>
      </w:r>
    </w:p>
    <w:p w14:paraId="1A22D4A2" w14:textId="77777777" w:rsidR="002D337D" w:rsidRDefault="00DA1389" w:rsidP="005D77D8">
      <w:pPr>
        <w:pStyle w:val="Body"/>
        <w:spacing w:afterLines="20" w:after="48" w:line="240" w:lineRule="auto"/>
        <w:ind w:left="567" w:hanging="567"/>
      </w:pPr>
      <w:r>
        <w:t>Bense V, Gleeson T, Loveless S, Bour O and Scibek J (2013) Fault zone hydrogeology</w:t>
      </w:r>
      <w:r w:rsidR="00155A47">
        <w:t xml:space="preserve">, </w:t>
      </w:r>
      <w:r>
        <w:t>Earth-Science Reviews 127</w:t>
      </w:r>
      <w:r w:rsidR="00155A47">
        <w:t xml:space="preserve">: </w:t>
      </w:r>
      <w:r>
        <w:t>171-192. Bense V and Person M (2006) Faults as conduit-barrier systems to fluid flow in siliciclastic sedimentary aquifers</w:t>
      </w:r>
      <w:r w:rsidR="00155A47">
        <w:t xml:space="preserve">, </w:t>
      </w:r>
      <w:r>
        <w:t>Water Resources Research 42(5</w:t>
      </w:r>
      <w:r w:rsidR="00155A47">
        <w:t>)</w:t>
      </w:r>
      <w:r>
        <w:t>.</w:t>
      </w:r>
    </w:p>
    <w:p w14:paraId="45440572" w14:textId="77777777" w:rsidR="002D337D" w:rsidRDefault="00DA1389" w:rsidP="005D77D8">
      <w:pPr>
        <w:pStyle w:val="Body"/>
        <w:spacing w:afterLines="20" w:after="48" w:line="240" w:lineRule="auto"/>
        <w:ind w:left="567" w:hanging="567"/>
      </w:pPr>
      <w:r>
        <w:t xml:space="preserve">Bense V, Van den Berg E and Van Balen R (2003) Deformation mechanisms and hydraulic properties of fault zones in unconsolidated sediments; </w:t>
      </w:r>
      <w:r w:rsidR="00155A47">
        <w:t xml:space="preserve">The </w:t>
      </w:r>
      <w:r>
        <w:t>Roer Valley Rift System, The Netherlands</w:t>
      </w:r>
      <w:r w:rsidR="00155A47">
        <w:t xml:space="preserve">, </w:t>
      </w:r>
      <w:r>
        <w:t>Hydrogeology Journal 11(3</w:t>
      </w:r>
      <w:r w:rsidR="00155A47">
        <w:t xml:space="preserve">): </w:t>
      </w:r>
      <w:r>
        <w:t xml:space="preserve">319-332. Bethke CM, Zhao X and Torgersen T (1999) Groundwater flow and the </w:t>
      </w:r>
      <w:r w:rsidR="0070043F" w:rsidRPr="0070043F">
        <w:rPr>
          <w:vertAlign w:val="superscript"/>
        </w:rPr>
        <w:t>4</w:t>
      </w:r>
      <w:r>
        <w:t>He distribution in the Great Artesian Basin of Australia</w:t>
      </w:r>
      <w:r w:rsidR="00155A47">
        <w:t xml:space="preserve">, </w:t>
      </w:r>
      <w:r>
        <w:t>J</w:t>
      </w:r>
      <w:r w:rsidR="00155A47">
        <w:t xml:space="preserve">ournal of </w:t>
      </w:r>
      <w:r>
        <w:t>Geophys</w:t>
      </w:r>
      <w:r w:rsidR="00155A47">
        <w:t>ical Research</w:t>
      </w:r>
      <w:r>
        <w:t xml:space="preserve"> 104(B6)</w:t>
      </w:r>
      <w:r w:rsidR="00155A47">
        <w:t>:</w:t>
      </w:r>
      <w:r>
        <w:t xml:space="preserve"> 12999-13011. </w:t>
      </w:r>
    </w:p>
    <w:p w14:paraId="5D91C1E6" w14:textId="77777777" w:rsidR="002D337D" w:rsidRDefault="00DA1389" w:rsidP="005D77D8">
      <w:pPr>
        <w:pStyle w:val="Body"/>
        <w:spacing w:afterLines="20" w:after="48" w:line="240" w:lineRule="auto"/>
        <w:ind w:left="567" w:hanging="567"/>
      </w:pPr>
      <w:r>
        <w:t>Beven K (2006) A manifesto for the equifinality thesis</w:t>
      </w:r>
      <w:r w:rsidR="00155A47">
        <w:t xml:space="preserve">, </w:t>
      </w:r>
      <w:r>
        <w:t xml:space="preserve">Journal of </w:t>
      </w:r>
      <w:r w:rsidR="00155A47">
        <w:t xml:space="preserve">Hydrology </w:t>
      </w:r>
      <w:r>
        <w:t>320(1</w:t>
      </w:r>
      <w:r w:rsidR="00155A47">
        <w:t xml:space="preserve">): </w:t>
      </w:r>
      <w:r>
        <w:t xml:space="preserve">18-36. </w:t>
      </w:r>
    </w:p>
    <w:p w14:paraId="3BC88C71" w14:textId="77777777" w:rsidR="002D337D" w:rsidRDefault="00DA1389" w:rsidP="005D77D8">
      <w:pPr>
        <w:pStyle w:val="Body"/>
        <w:spacing w:afterLines="20" w:after="48" w:line="240" w:lineRule="auto"/>
        <w:ind w:left="567" w:hanging="567"/>
      </w:pPr>
      <w:r>
        <w:t>Bianchi M, Zheng C, Wilson C, Tick G, Liu G and Gorelick S (2011) Spatial connectivity in a highly heterogeneous aquifer: From cores to preferential flow paths</w:t>
      </w:r>
      <w:r w:rsidR="007D4BE0">
        <w:t xml:space="preserve">, </w:t>
      </w:r>
      <w:r>
        <w:t xml:space="preserve">Water Resources Research 47. </w:t>
      </w:r>
    </w:p>
    <w:p w14:paraId="17C09682" w14:textId="77777777" w:rsidR="002D337D" w:rsidRDefault="00DA1389" w:rsidP="005D77D8">
      <w:pPr>
        <w:pStyle w:val="Body"/>
        <w:spacing w:afterLines="20" w:after="48" w:line="240" w:lineRule="auto"/>
        <w:ind w:left="567" w:hanging="567"/>
      </w:pPr>
      <w:r>
        <w:t>Bissell E and Aichele S (2004) Geostatistical analysis of effective vertical hydraulic conductivity and presence of confining layers in the shallow glacial drift aquifer, Oakland County, Michigan. U.S. Geological Survey.</w:t>
      </w:r>
    </w:p>
    <w:p w14:paraId="525AA954" w14:textId="77777777" w:rsidR="002D337D" w:rsidRDefault="00DA1389" w:rsidP="005D77D8">
      <w:pPr>
        <w:pStyle w:val="Body"/>
        <w:spacing w:afterLines="20" w:after="48" w:line="240" w:lineRule="auto"/>
        <w:ind w:left="567" w:hanging="567"/>
      </w:pPr>
      <w:r>
        <w:t xml:space="preserve">Bourbié T, Coussy O and Zinszner B (1987) Acoustics of </w:t>
      </w:r>
      <w:r w:rsidR="007D4BE0">
        <w:t xml:space="preserve">Porous Media, </w:t>
      </w:r>
      <w:r>
        <w:t>Gulf Publishing Co., Houston</w:t>
      </w:r>
      <w:r w:rsidR="007D4BE0">
        <w:t xml:space="preserve">, TX, </w:t>
      </w:r>
      <w:r>
        <w:t>USA.</w:t>
      </w:r>
    </w:p>
    <w:p w14:paraId="7B1EECE1" w14:textId="77777777" w:rsidR="002D337D" w:rsidRDefault="00DA1389" w:rsidP="005D77D8">
      <w:pPr>
        <w:pStyle w:val="Body"/>
        <w:spacing w:afterLines="20" w:after="48" w:line="240" w:lineRule="auto"/>
        <w:ind w:left="567" w:hanging="567"/>
      </w:pPr>
      <w:r>
        <w:t>Bouwer H and Rice R (1976) Slug test for determining hydraulic conductivity of unconfined aquifers with completely or partially penetrating wells</w:t>
      </w:r>
      <w:r w:rsidR="007D4BE0">
        <w:t xml:space="preserve">, </w:t>
      </w:r>
      <w:r>
        <w:t>Water Resources Research 12(3</w:t>
      </w:r>
      <w:r w:rsidR="007D4BE0">
        <w:t xml:space="preserve">): </w:t>
      </w:r>
      <w:r>
        <w:t>423-428</w:t>
      </w:r>
      <w:r w:rsidR="007D4BE0">
        <w:t>.</w:t>
      </w:r>
    </w:p>
    <w:p w14:paraId="229761C0" w14:textId="1A6BE160" w:rsidR="00DC4D39" w:rsidRDefault="00DC4D39" w:rsidP="00DC4D39">
      <w:pPr>
        <w:pStyle w:val="Body"/>
        <w:spacing w:afterLines="20" w:after="48"/>
        <w:ind w:left="567" w:hanging="567"/>
      </w:pPr>
      <w:r>
        <w:t>Bredehoeft JD (2005). The conceptualization model problem—surprise. Hydrogeology Journal 13: 37–46.</w:t>
      </w:r>
    </w:p>
    <w:p w14:paraId="6C726D1F" w14:textId="77777777" w:rsidR="002D337D" w:rsidRDefault="00DA1389" w:rsidP="005D77D8">
      <w:pPr>
        <w:pStyle w:val="Body"/>
        <w:spacing w:afterLines="20" w:after="48" w:line="240" w:lineRule="auto"/>
        <w:ind w:left="567" w:hanging="567"/>
      </w:pPr>
      <w:r>
        <w:t>Bredehoeft JD, Neuzil CE and Milly PCD (1983) Regional flow in the Dakota aquifer: A study of the role of confining layers, U.S. Geol</w:t>
      </w:r>
      <w:r w:rsidR="007D4BE0">
        <w:t xml:space="preserve">ogical </w:t>
      </w:r>
      <w:r>
        <w:t>Surv</w:t>
      </w:r>
      <w:r w:rsidR="007D4BE0">
        <w:t>ey</w:t>
      </w:r>
      <w:r>
        <w:t xml:space="preserve"> Water Supply Pap</w:t>
      </w:r>
      <w:r w:rsidR="007D4BE0">
        <w:t>er</w:t>
      </w:r>
      <w:r>
        <w:t xml:space="preserve"> 2237, </w:t>
      </w:r>
      <w:r w:rsidR="007D4BE0">
        <w:t>pp.</w:t>
      </w:r>
      <w:r>
        <w:t>1–45.</w:t>
      </w:r>
    </w:p>
    <w:p w14:paraId="7CD121FD" w14:textId="07CBB2FB" w:rsidR="002D337D" w:rsidRDefault="002A3E91" w:rsidP="005D77D8">
      <w:pPr>
        <w:pStyle w:val="Body"/>
        <w:spacing w:afterLines="20" w:after="48" w:line="240" w:lineRule="auto"/>
        <w:ind w:left="567" w:hanging="567"/>
      </w:pPr>
      <w:r w:rsidRPr="002A3E91">
        <w:t>Bromhal GS, Sams WN, Jikich S, Ertekin T, Smith DH (2005) Simulation of CO</w:t>
      </w:r>
      <w:r w:rsidRPr="002A3E91">
        <w:rPr>
          <w:vertAlign w:val="subscript"/>
        </w:rPr>
        <w:t>2</w:t>
      </w:r>
      <w:r w:rsidRPr="002A3E91">
        <w:t xml:space="preserve"> sequestration in coal beds: The effects of sorption isotherms</w:t>
      </w:r>
      <w:r>
        <w:t>,</w:t>
      </w:r>
      <w:r w:rsidRPr="002A3E91">
        <w:t xml:space="preserve"> Chemical Geology 217(3), 201-211.</w:t>
      </w:r>
    </w:p>
    <w:p w14:paraId="7E11DE1E" w14:textId="77777777" w:rsidR="002D337D" w:rsidRDefault="00E54883" w:rsidP="005D77D8">
      <w:pPr>
        <w:pStyle w:val="Body"/>
        <w:spacing w:afterLines="20" w:after="48" w:line="240" w:lineRule="auto"/>
        <w:ind w:left="567" w:hanging="567"/>
      </w:pPr>
      <w:r>
        <w:t>BURGEAP (2015) “SIMUSCOPP: SIMUlation des Sites COntaminés par des Produits Pétroliers”, URL=&lt;</w:t>
      </w:r>
      <w:r w:rsidRPr="00E54883">
        <w:t>http://www.burgeap.fr/index.php/fr/innovations/logiciels-et-bases-de-donnees/simuscopp</w:t>
      </w:r>
      <w:r>
        <w:t>&gt;, viewed 16 November 2015.</w:t>
      </w:r>
    </w:p>
    <w:p w14:paraId="0E8324CE" w14:textId="77777777" w:rsidR="002D337D" w:rsidRDefault="00DA1389" w:rsidP="005D77D8">
      <w:pPr>
        <w:pStyle w:val="Body"/>
        <w:spacing w:afterLines="20" w:after="48" w:line="240" w:lineRule="auto"/>
        <w:ind w:left="567" w:hanging="567"/>
      </w:pPr>
      <w:r>
        <w:t>Caine J, Evans J and Forster C (1996) Fault zone architecture and permeability structure</w:t>
      </w:r>
      <w:r w:rsidR="00552BA1">
        <w:t xml:space="preserve">, </w:t>
      </w:r>
      <w:r>
        <w:t>Geology 24(11)</w:t>
      </w:r>
      <w:r w:rsidR="00552BA1">
        <w:t>:</w:t>
      </w:r>
      <w:r>
        <w:t xml:space="preserve"> 1025-1028. </w:t>
      </w:r>
    </w:p>
    <w:p w14:paraId="5827A8B5" w14:textId="77777777" w:rsidR="002D337D" w:rsidRDefault="00DA1389" w:rsidP="005D77D8">
      <w:pPr>
        <w:pStyle w:val="Body"/>
        <w:spacing w:afterLines="20" w:after="48" w:line="240" w:lineRule="auto"/>
        <w:ind w:left="567" w:hanging="567"/>
      </w:pPr>
      <w:r>
        <w:t xml:space="preserve">Caine JS and Forster CB (1999) Fault </w:t>
      </w:r>
      <w:r w:rsidR="00552BA1">
        <w:t>zone architecture and fluid flow</w:t>
      </w:r>
      <w:r>
        <w:t xml:space="preserve">: Insights </w:t>
      </w:r>
      <w:r w:rsidR="00552BA1">
        <w:t>from field data and numerical modeling, in</w:t>
      </w:r>
      <w:r>
        <w:t>: Haneberg WC (ed.) Faults and Subsurface Fluid Flow in the Shallow Crust</w:t>
      </w:r>
      <w:r w:rsidR="00552BA1">
        <w:t xml:space="preserve">, </w:t>
      </w:r>
      <w:r>
        <w:t>American Geophysical Union, Washington, D</w:t>
      </w:r>
      <w:r w:rsidR="00552BA1">
        <w:t>C, USA</w:t>
      </w:r>
      <w:r>
        <w:t xml:space="preserve">, </w:t>
      </w:r>
      <w:r w:rsidR="00552BA1">
        <w:t>pp.</w:t>
      </w:r>
      <w:r>
        <w:t>101-127.</w:t>
      </w:r>
    </w:p>
    <w:p w14:paraId="0480189A" w14:textId="77777777" w:rsidR="002D337D" w:rsidRDefault="00DA1389" w:rsidP="005D77D8">
      <w:pPr>
        <w:pStyle w:val="Body"/>
        <w:spacing w:afterLines="20" w:after="48" w:line="240" w:lineRule="auto"/>
        <w:ind w:left="567" w:hanging="567"/>
      </w:pPr>
      <w:r>
        <w:t>Caine JS and Minor SA (2009) Structural and geochemical characteristics of faulted sediments and inferences on the role of water in deformation, Rio Grande Rift, New Mexico</w:t>
      </w:r>
      <w:r w:rsidR="00552BA1">
        <w:t xml:space="preserve">, </w:t>
      </w:r>
      <w:r>
        <w:t>Geological Society of America Bulletin 121(9-10</w:t>
      </w:r>
      <w:r w:rsidR="00552BA1">
        <w:t>):</w:t>
      </w:r>
      <w:r>
        <w:t xml:space="preserve">1325-1340. </w:t>
      </w:r>
    </w:p>
    <w:p w14:paraId="413C6E30" w14:textId="77777777" w:rsidR="002D337D" w:rsidRDefault="006F29FA" w:rsidP="005D77D8">
      <w:pPr>
        <w:pStyle w:val="Body"/>
        <w:spacing w:afterLines="20" w:after="48" w:line="240" w:lineRule="auto"/>
        <w:ind w:left="567" w:hanging="567"/>
      </w:pPr>
      <w:r w:rsidRPr="006F29FA">
        <w:t>Cao H</w:t>
      </w:r>
      <w:r>
        <w:t xml:space="preserve"> (</w:t>
      </w:r>
      <w:r w:rsidRPr="006F29FA">
        <w:t>2002</w:t>
      </w:r>
      <w:r>
        <w:t>)</w:t>
      </w:r>
      <w:r w:rsidRPr="006F29FA">
        <w:t xml:space="preserve"> Development of techniques for general purpose simulators</w:t>
      </w:r>
      <w:r>
        <w:t>,</w:t>
      </w:r>
      <w:r w:rsidRPr="006F29FA">
        <w:t xml:space="preserve"> PhD</w:t>
      </w:r>
      <w:r>
        <w:t xml:space="preserve"> thesis,</w:t>
      </w:r>
      <w:r w:rsidRPr="006F29FA">
        <w:t xml:space="preserve"> Stanford University, Stanford, CA</w:t>
      </w:r>
      <w:r>
        <w:t>, USA</w:t>
      </w:r>
      <w:r w:rsidRPr="006F29FA">
        <w:t>.</w:t>
      </w:r>
    </w:p>
    <w:p w14:paraId="465C01A7" w14:textId="77777777" w:rsidR="002D337D" w:rsidRDefault="00DA1389" w:rsidP="005D77D8">
      <w:pPr>
        <w:pStyle w:val="Body"/>
        <w:spacing w:afterLines="20" w:after="48" w:line="240" w:lineRule="auto"/>
        <w:ind w:left="567" w:hanging="567"/>
      </w:pPr>
      <w:r>
        <w:t>Carle SF (1999) T-PROGS: Transition probability geostatistical software</w:t>
      </w:r>
      <w:r w:rsidR="00552BA1">
        <w:t xml:space="preserve">, </w:t>
      </w:r>
      <w:r>
        <w:t>University of California, Davis, California</w:t>
      </w:r>
      <w:r w:rsidR="00552BA1">
        <w:t>, USA</w:t>
      </w:r>
      <w:r>
        <w:t>.</w:t>
      </w:r>
    </w:p>
    <w:p w14:paraId="52B831D1" w14:textId="77777777" w:rsidR="002D337D" w:rsidRDefault="00DA1389" w:rsidP="005D77D8">
      <w:pPr>
        <w:pStyle w:val="Body"/>
        <w:spacing w:afterLines="20" w:after="48" w:line="240" w:lineRule="auto"/>
        <w:ind w:left="567" w:hanging="567"/>
      </w:pPr>
      <w:r>
        <w:t>Carle SF and Fogg GE (1996) Transition probability-based indicator geostatistics</w:t>
      </w:r>
      <w:r w:rsidR="00552BA1">
        <w:t xml:space="preserve">, </w:t>
      </w:r>
      <w:r>
        <w:t>Mathematical Geology 28(4</w:t>
      </w:r>
      <w:r w:rsidR="00552BA1">
        <w:t xml:space="preserve">): </w:t>
      </w:r>
      <w:r>
        <w:t xml:space="preserve">453-476. </w:t>
      </w:r>
    </w:p>
    <w:p w14:paraId="7F5C0A12" w14:textId="77777777" w:rsidR="002D337D" w:rsidRDefault="00DA1389" w:rsidP="005D77D8">
      <w:pPr>
        <w:pStyle w:val="Body"/>
        <w:spacing w:afterLines="20" w:after="48" w:line="240" w:lineRule="auto"/>
        <w:ind w:left="567" w:hanging="567"/>
      </w:pPr>
      <w:r>
        <w:t>Castro MC and Goblet P (2003) Calibration of regional groundwater flow models: Working toward a better understanding of site-specific systems</w:t>
      </w:r>
      <w:r w:rsidR="00552BA1">
        <w:t xml:space="preserve">, </w:t>
      </w:r>
      <w:r>
        <w:t>Water Resources Research 39 (6).</w:t>
      </w:r>
    </w:p>
    <w:p w14:paraId="08FB4B01" w14:textId="77777777" w:rsidR="002D337D" w:rsidRDefault="00DA1389" w:rsidP="005D77D8">
      <w:pPr>
        <w:pStyle w:val="Body"/>
        <w:spacing w:afterLines="20" w:after="48" w:line="240" w:lineRule="auto"/>
        <w:ind w:left="567" w:hanging="567"/>
      </w:pPr>
      <w:r>
        <w:t xml:space="preserve">Castro MC, Stute M and Schlosser P (2000) Comparison of </w:t>
      </w:r>
      <w:r w:rsidR="0070043F" w:rsidRPr="0070043F">
        <w:rPr>
          <w:vertAlign w:val="superscript"/>
        </w:rPr>
        <w:t>4</w:t>
      </w:r>
      <w:r>
        <w:t xml:space="preserve">He ages and </w:t>
      </w:r>
      <w:r w:rsidR="0070043F" w:rsidRPr="0070043F">
        <w:rPr>
          <w:vertAlign w:val="superscript"/>
        </w:rPr>
        <w:t>14</w:t>
      </w:r>
      <w:r>
        <w:t xml:space="preserve">C ages in simple aquifer systems: </w:t>
      </w:r>
      <w:r w:rsidR="00552BA1">
        <w:t xml:space="preserve">Implications </w:t>
      </w:r>
      <w:r>
        <w:t>for groundwater flow and chronologies</w:t>
      </w:r>
      <w:r w:rsidR="00552BA1">
        <w:t>, Applied Geochemistry</w:t>
      </w:r>
      <w:r>
        <w:t xml:space="preserve"> 15</w:t>
      </w:r>
      <w:r w:rsidR="00552BA1">
        <w:t>:</w:t>
      </w:r>
      <w:r>
        <w:t xml:space="preserve"> 1137–1167.</w:t>
      </w:r>
    </w:p>
    <w:p w14:paraId="2B791F96" w14:textId="77777777" w:rsidR="002D337D" w:rsidRDefault="00DA1389" w:rsidP="005D77D8">
      <w:pPr>
        <w:pStyle w:val="Body"/>
        <w:spacing w:afterLines="20" w:after="48" w:line="240" w:lineRule="auto"/>
        <w:ind w:left="567" w:hanging="567"/>
      </w:pPr>
      <w:r>
        <w:t>Castro MC, Goblet P, Ledoux E, Violette S and de Marsily G (1998a) Noble gases as natural tracers of water circulation in the Paris Basin: 2. Calibration of a groundwater flow model using noble gas isotope data</w:t>
      </w:r>
      <w:r w:rsidR="00552BA1">
        <w:t>,</w:t>
      </w:r>
      <w:r>
        <w:t xml:space="preserve"> Water Resources Research 34(10)</w:t>
      </w:r>
      <w:r w:rsidR="00552BA1">
        <w:t>:</w:t>
      </w:r>
      <w:r>
        <w:t xml:space="preserve"> 2467-2483. </w:t>
      </w:r>
    </w:p>
    <w:p w14:paraId="60BD7623" w14:textId="77777777" w:rsidR="002D337D" w:rsidRDefault="00DA1389" w:rsidP="005D77D8">
      <w:pPr>
        <w:pStyle w:val="Body"/>
        <w:spacing w:afterLines="20" w:after="48" w:line="240" w:lineRule="auto"/>
        <w:ind w:left="567" w:hanging="567"/>
      </w:pPr>
      <w:r>
        <w:t>Castro MC, Jambon A, de Marsily G and Schlosser P (1998b) Noble gases as natural tracers of water circulation in the Paris Basin: 1. Measurements and discussion of their origin and mechanisms of vertical transport in the basin</w:t>
      </w:r>
      <w:r w:rsidR="00552BA1">
        <w:t>,</w:t>
      </w:r>
      <w:r>
        <w:t xml:space="preserve"> Water Resources Research 34(10)</w:t>
      </w:r>
      <w:r w:rsidR="00552BA1">
        <w:t>:</w:t>
      </w:r>
      <w:r>
        <w:t xml:space="preserve"> 2443-2466. </w:t>
      </w:r>
    </w:p>
    <w:p w14:paraId="5F6A02D7" w14:textId="77777777" w:rsidR="002D337D" w:rsidRDefault="00DA1389" w:rsidP="005D77D8">
      <w:pPr>
        <w:pStyle w:val="Body"/>
        <w:spacing w:afterLines="20" w:after="48" w:line="240" w:lineRule="auto"/>
        <w:ind w:left="567" w:hanging="567"/>
      </w:pPr>
      <w:r>
        <w:t>CDM Smith (2014) Santos Narrabri Gas Project Groundwater Impact Assessment</w:t>
      </w:r>
      <w:r w:rsidR="00552BA1">
        <w:t>,</w:t>
      </w:r>
      <w:r>
        <w:t xml:space="preserve"> Subiaco, Western Australia.</w:t>
      </w:r>
    </w:p>
    <w:p w14:paraId="00FBE20D" w14:textId="77777777" w:rsidR="002D337D" w:rsidRDefault="00DA1389" w:rsidP="005D77D8">
      <w:pPr>
        <w:pStyle w:val="Body"/>
        <w:spacing w:afterLines="20" w:after="48" w:line="240" w:lineRule="auto"/>
        <w:ind w:left="567" w:hanging="567"/>
      </w:pPr>
      <w:r>
        <w:t>Celia M, Bachu S, Nordbotten J and Bandilla K (2015) Status of CO</w:t>
      </w:r>
      <w:r w:rsidRPr="00BC10F2">
        <w:rPr>
          <w:vertAlign w:val="subscript"/>
        </w:rPr>
        <w:t>2</w:t>
      </w:r>
      <w:r>
        <w:t xml:space="preserve"> storage in deep saline aquifers with emphasis on modeling approaches and practical simulations</w:t>
      </w:r>
      <w:r w:rsidR="00552BA1">
        <w:t>,</w:t>
      </w:r>
      <w:r>
        <w:t xml:space="preserve"> Water Resources Research</w:t>
      </w:r>
      <w:r w:rsidR="00552BA1">
        <w:t xml:space="preserve"> </w:t>
      </w:r>
      <w:r w:rsidR="00552BA1" w:rsidRPr="00552BA1">
        <w:t>51(9)</w:t>
      </w:r>
      <w:r w:rsidR="00552BA1">
        <w:t>:</w:t>
      </w:r>
      <w:r w:rsidR="00552BA1" w:rsidRPr="00552BA1">
        <w:t xml:space="preserve"> 6846-6892</w:t>
      </w:r>
      <w:r w:rsidR="00552BA1">
        <w:t xml:space="preserve">. </w:t>
      </w:r>
    </w:p>
    <w:p w14:paraId="5A1BCE6F" w14:textId="4477CDA0" w:rsidR="002D337D" w:rsidRDefault="00150BDB" w:rsidP="005D77D8">
      <w:pPr>
        <w:pStyle w:val="Body"/>
        <w:spacing w:afterLines="20" w:after="48" w:line="240" w:lineRule="auto"/>
        <w:ind w:left="567" w:hanging="567"/>
      </w:pPr>
      <w:r>
        <w:t xml:space="preserve">Center for Subsurface Modeling (2015) [IPARS] </w:t>
      </w:r>
      <w:r w:rsidRPr="00150BDB">
        <w:t>Simulator Characteristics</w:t>
      </w:r>
      <w:r>
        <w:t>, URL=&lt;</w:t>
      </w:r>
      <w:r w:rsidRPr="00150BDB">
        <w:t>http://csm.ices.utexas.edu/IparsWeb/iparsintro-characteristics.html</w:t>
      </w:r>
      <w:r>
        <w:t>&gt;, viewed 16 November 2015.</w:t>
      </w:r>
    </w:p>
    <w:p w14:paraId="77CB5DA0" w14:textId="172507B5" w:rsidR="002D337D" w:rsidRDefault="004F3F57" w:rsidP="005D77D8">
      <w:pPr>
        <w:pStyle w:val="Body"/>
        <w:spacing w:afterLines="20" w:after="48" w:line="240" w:lineRule="auto"/>
        <w:ind w:left="567" w:hanging="567"/>
      </w:pPr>
      <w:r>
        <w:t xml:space="preserve">CGS Europe (2015), </w:t>
      </w:r>
      <w:r w:rsidRPr="004F3F57">
        <w:t>3.2.7 Coores™</w:t>
      </w:r>
      <w:r>
        <w:t>, URL=&lt;</w:t>
      </w:r>
      <w:r w:rsidRPr="004F3F57">
        <w:t>http://repository.cgseurope.net/eng/cgseurope/knowledge-repository/key-reports/evaluation/3/2/7.aspx</w:t>
      </w:r>
      <w:r>
        <w:t>&gt;, viewed 16 November 2015.</w:t>
      </w:r>
    </w:p>
    <w:p w14:paraId="4A13BFD6" w14:textId="31EC7198" w:rsidR="00894B10" w:rsidRPr="00A45100" w:rsidRDefault="00894B10" w:rsidP="00A45100">
      <w:pPr>
        <w:pStyle w:val="Body"/>
        <w:spacing w:afterLines="20" w:after="48" w:line="240" w:lineRule="auto"/>
        <w:ind w:left="567" w:hanging="567"/>
      </w:pPr>
      <w:r w:rsidRPr="00A45100">
        <w:t xml:space="preserve">Clarkson CR, Rahmanian MR, Kantzas A and Morad K (2010) Relative permeability of CBM reservoirs: controls on curve shape. Canadian Society for Unconventional Gas. CSUG/SPE 137404. Presented at the Canadian </w:t>
      </w:r>
      <w:r w:rsidR="0049459B" w:rsidRPr="00B70F2E">
        <w:t>Unconventional</w:t>
      </w:r>
      <w:r w:rsidRPr="00A45100">
        <w:t xml:space="preserve"> Resources and International </w:t>
      </w:r>
      <w:r w:rsidR="0049459B" w:rsidRPr="00B70F2E">
        <w:t>Petroleum</w:t>
      </w:r>
      <w:r w:rsidRPr="00A45100">
        <w:t xml:space="preserve"> Conference held in Calgary, Alberta, Canada, 19-21 October, 2010.</w:t>
      </w:r>
    </w:p>
    <w:p w14:paraId="4FD3BE9B" w14:textId="77777777" w:rsidR="002D337D" w:rsidRDefault="00DA1389" w:rsidP="005D77D8">
      <w:pPr>
        <w:pStyle w:val="Body"/>
        <w:spacing w:afterLines="20" w:after="48" w:line="240" w:lineRule="auto"/>
        <w:ind w:left="567" w:hanging="567"/>
      </w:pPr>
      <w:r>
        <w:t>Childs C, Manzocchi T, Walsh J, Bonson C, Nicol A and Schopfer M (2009) A geometric model of fault zone and fault rock thickness variations</w:t>
      </w:r>
      <w:r w:rsidR="00552BA1">
        <w:t xml:space="preserve">, </w:t>
      </w:r>
      <w:r>
        <w:t>Journal of Structural Geology 31(2</w:t>
      </w:r>
      <w:r w:rsidR="00552BA1">
        <w:t xml:space="preserve">): </w:t>
      </w:r>
      <w:r>
        <w:t xml:space="preserve">117-127. </w:t>
      </w:r>
    </w:p>
    <w:p w14:paraId="09442757" w14:textId="77777777" w:rsidR="002D337D" w:rsidRDefault="00DA1389" w:rsidP="005D77D8">
      <w:pPr>
        <w:pStyle w:val="Body"/>
        <w:spacing w:afterLines="20" w:after="48" w:line="240" w:lineRule="auto"/>
        <w:ind w:left="567" w:hanging="567"/>
      </w:pPr>
      <w:r>
        <w:t>Chilès J and Delfiner P (1999) Geostatistics: Modeling Spatial Uncertainty</w:t>
      </w:r>
      <w:r w:rsidR="00B156EE">
        <w:t xml:space="preserve">, </w:t>
      </w:r>
      <w:r>
        <w:t>Wiley</w:t>
      </w:r>
      <w:r w:rsidR="00B156EE">
        <w:t xml:space="preserve">, </w:t>
      </w:r>
      <w:r>
        <w:t>New York</w:t>
      </w:r>
      <w:r w:rsidR="00552BA1">
        <w:t>, NY, USA</w:t>
      </w:r>
      <w:r>
        <w:t xml:space="preserve">. </w:t>
      </w:r>
    </w:p>
    <w:p w14:paraId="16A5DEB8" w14:textId="56CEA5E4" w:rsidR="002D337D" w:rsidRDefault="004768C0" w:rsidP="005D77D8">
      <w:pPr>
        <w:pStyle w:val="Body"/>
        <w:spacing w:afterLines="20" w:after="48" w:line="240" w:lineRule="auto"/>
        <w:ind w:left="567" w:hanging="567"/>
      </w:pPr>
      <w:r w:rsidRPr="004768C0">
        <w:t>Çiftçi N</w:t>
      </w:r>
      <w:r>
        <w:t>B</w:t>
      </w:r>
      <w:r w:rsidRPr="004768C0">
        <w:t>, Langhi L, Strand J</w:t>
      </w:r>
      <w:r w:rsidR="00552BA1">
        <w:t xml:space="preserve"> and </w:t>
      </w:r>
      <w:r w:rsidRPr="004768C0">
        <w:t>Divko LG (2014) Efficiency of a faulted regional top seal, Lakes Entrance Formation, Gippsland Basin, SE Australia</w:t>
      </w:r>
      <w:r>
        <w:t>,</w:t>
      </w:r>
      <w:r w:rsidRPr="004768C0">
        <w:t xml:space="preserve"> Petroleum Geoscience 20(3</w:t>
      </w:r>
      <w:r w:rsidR="00552BA1" w:rsidRPr="004768C0">
        <w:t>)</w:t>
      </w:r>
      <w:r w:rsidR="00552BA1">
        <w:t>:</w:t>
      </w:r>
      <w:r w:rsidR="00552BA1" w:rsidRPr="004768C0">
        <w:t xml:space="preserve"> </w:t>
      </w:r>
      <w:r w:rsidRPr="004768C0">
        <w:t>241-256.</w:t>
      </w:r>
    </w:p>
    <w:p w14:paraId="745DEF77" w14:textId="77777777" w:rsidR="002D337D" w:rsidRDefault="00B156EE" w:rsidP="005D77D8">
      <w:pPr>
        <w:pStyle w:val="Body"/>
        <w:spacing w:afterLines="20" w:after="48" w:line="240" w:lineRule="auto"/>
        <w:ind w:left="567" w:hanging="567"/>
      </w:pPr>
      <w:r w:rsidRPr="00B156EE">
        <w:t xml:space="preserve">Class H, Ebigbo A, Helmig R, Dahle HK, Nordbotten </w:t>
      </w:r>
      <w:r>
        <w:t>J</w:t>
      </w:r>
      <w:r w:rsidRPr="00B156EE">
        <w:t xml:space="preserve">M, Celia MA, </w:t>
      </w:r>
      <w:r>
        <w:t>Audigane P, Darcis M, Ennis-King J, Fan Y, Flemisch B, Gasda SE, Jin M, Krug S, Labregere D, Beni AN, Pawar RJ, Sbai A, Thomas SG, Trenty L</w:t>
      </w:r>
      <w:r w:rsidR="00552BA1">
        <w:t xml:space="preserve"> and </w:t>
      </w:r>
      <w:r w:rsidRPr="00B156EE">
        <w:t>Wei L (2009) A benchmark study on problems related to CO</w:t>
      </w:r>
      <w:r w:rsidRPr="00B156EE">
        <w:rPr>
          <w:vertAlign w:val="subscript"/>
        </w:rPr>
        <w:t>2</w:t>
      </w:r>
      <w:r w:rsidRPr="00B156EE">
        <w:t xml:space="preserve"> storage in geologic formations</w:t>
      </w:r>
      <w:r>
        <w:t>,</w:t>
      </w:r>
      <w:r w:rsidRPr="00B156EE">
        <w:t xml:space="preserve"> Computational Geosciences, 13(4)</w:t>
      </w:r>
      <w:r w:rsidR="00552BA1">
        <w:t>:</w:t>
      </w:r>
      <w:r w:rsidRPr="00B156EE">
        <w:t xml:space="preserve"> 409-434.</w:t>
      </w:r>
    </w:p>
    <w:p w14:paraId="52B89207" w14:textId="77777777" w:rsidR="002D337D" w:rsidRDefault="00DA1389" w:rsidP="005D77D8">
      <w:pPr>
        <w:pStyle w:val="Body"/>
        <w:spacing w:afterLines="20" w:after="48" w:line="240" w:lineRule="auto"/>
        <w:ind w:left="567" w:hanging="567"/>
      </w:pPr>
      <w:r>
        <w:t>Clauser C (1992) Permeability of crystalline rocks</w:t>
      </w:r>
      <w:r w:rsidR="00552BA1">
        <w:t>,</w:t>
      </w:r>
      <w:r>
        <w:t xml:space="preserve"> Eos</w:t>
      </w:r>
      <w:r w:rsidR="00552BA1">
        <w:t>:</w:t>
      </w:r>
      <w:r>
        <w:t xml:space="preserve"> Transactions </w:t>
      </w:r>
      <w:r w:rsidR="00552BA1">
        <w:t xml:space="preserve">of the </w:t>
      </w:r>
      <w:r>
        <w:t>American Geophysical Union 73(21)</w:t>
      </w:r>
      <w:r w:rsidR="00552BA1">
        <w:t>:</w:t>
      </w:r>
      <w:r>
        <w:t xml:space="preserve"> 233-238. </w:t>
      </w:r>
    </w:p>
    <w:p w14:paraId="0DC702AB" w14:textId="77777777" w:rsidR="002D337D" w:rsidRDefault="00A27BA2" w:rsidP="005D77D8">
      <w:pPr>
        <w:pStyle w:val="Body"/>
        <w:spacing w:afterLines="20" w:after="48" w:line="240" w:lineRule="auto"/>
        <w:ind w:left="567" w:hanging="567"/>
      </w:pPr>
      <w:r>
        <w:t>Commonwealth of Australia</w:t>
      </w:r>
      <w:r w:rsidR="00DA1389">
        <w:t xml:space="preserve"> (2008) Risk assessment and management</w:t>
      </w:r>
      <w:r w:rsidR="00552BA1">
        <w:t>, in</w:t>
      </w:r>
      <w:r w:rsidR="00DA1389">
        <w:t>: Australia Co (ed.)</w:t>
      </w:r>
      <w:r w:rsidR="00552BA1">
        <w:t>,</w:t>
      </w:r>
      <w:r w:rsidR="00DA1389">
        <w:t xml:space="preserve"> Department of Resources, Energy and Tourism.</w:t>
      </w:r>
    </w:p>
    <w:p w14:paraId="26BE11B8" w14:textId="77777777" w:rsidR="002D337D" w:rsidRDefault="00A27BA2" w:rsidP="005D77D8">
      <w:pPr>
        <w:pStyle w:val="Body"/>
        <w:spacing w:afterLines="20" w:after="48" w:line="240" w:lineRule="auto"/>
        <w:ind w:left="567" w:hanging="567"/>
      </w:pPr>
      <w:r>
        <w:t xml:space="preserve">Commonwealth of Australia </w:t>
      </w:r>
      <w:r w:rsidR="00DA1389">
        <w:t>(2014a) Coal seam gas extraction modelling groundwater impacts</w:t>
      </w:r>
      <w:r w:rsidR="00552BA1">
        <w:t>,</w:t>
      </w:r>
      <w:r w:rsidR="00DA1389">
        <w:t xml:space="preserve"> Canberra, Australian Capital Territory</w:t>
      </w:r>
      <w:r w:rsidR="00552BA1">
        <w:t>, URL=</w:t>
      </w:r>
      <w:r w:rsidR="00DA1389">
        <w:t>&lt;http://iesc.environment.gov.au/index.html&gt;.</w:t>
      </w:r>
    </w:p>
    <w:p w14:paraId="64BA9124" w14:textId="50BEF538" w:rsidR="002D337D" w:rsidRDefault="00A27BA2" w:rsidP="005D77D8">
      <w:pPr>
        <w:pStyle w:val="Body"/>
        <w:spacing w:afterLines="20" w:after="48" w:line="240" w:lineRule="auto"/>
        <w:ind w:left="567" w:hanging="567"/>
      </w:pPr>
      <w:r>
        <w:t xml:space="preserve">Commonwealth of Australia </w:t>
      </w:r>
      <w:r w:rsidR="00DA1389">
        <w:t>(2014b) Subsidence from coal seam gas extraction in Australia</w:t>
      </w:r>
      <w:r w:rsidR="00552BA1">
        <w:t>, in</w:t>
      </w:r>
      <w:r w:rsidR="00DA1389">
        <w:t>: Australia Co (ed.)</w:t>
      </w:r>
      <w:r w:rsidR="00552BA1">
        <w:t xml:space="preserve">, </w:t>
      </w:r>
      <w:r w:rsidR="00DA1389">
        <w:t>Department of the Environment, Canberra, ACT, Australia</w:t>
      </w:r>
      <w:r w:rsidR="0049459B">
        <w:t>.</w:t>
      </w:r>
    </w:p>
    <w:p w14:paraId="645EEEFD" w14:textId="77777777" w:rsidR="002D337D" w:rsidRDefault="00DA1389" w:rsidP="005D77D8">
      <w:pPr>
        <w:pStyle w:val="Body"/>
        <w:spacing w:afterLines="20" w:after="48" w:line="240" w:lineRule="auto"/>
        <w:ind w:left="567" w:hanging="567"/>
      </w:pPr>
      <w:r>
        <w:t>Computer Modeling Group (2003) Generalized Equation of State Model (GEM</w:t>
      </w:r>
      <w:r w:rsidR="00552BA1">
        <w:t xml:space="preserve">), </w:t>
      </w:r>
      <w:r>
        <w:t>Calgary, Alberta, Canada.</w:t>
      </w:r>
    </w:p>
    <w:p w14:paraId="290342BE" w14:textId="77777777" w:rsidR="002D337D" w:rsidRDefault="00150BDB" w:rsidP="005D77D8">
      <w:pPr>
        <w:pStyle w:val="Body"/>
        <w:spacing w:afterLines="20" w:after="48" w:line="240" w:lineRule="auto"/>
        <w:ind w:left="567" w:hanging="567"/>
      </w:pPr>
      <w:r>
        <w:t>Computer Modelling Group (2014) “Compositional &amp; Unconventional Reservoir Simulator”, URL=&lt;</w:t>
      </w:r>
      <w:r w:rsidRPr="00150BDB">
        <w:t>http://www.cmgl.ca/uploads/files/pdf/SOFTWARE/2014%20Product%20Sheets/14-GE-02_GEM_Technical_Specs_Oct2014-A4.pdf</w:t>
      </w:r>
      <w:r>
        <w:t>&gt;, viewed 16 November 2015.</w:t>
      </w:r>
    </w:p>
    <w:p w14:paraId="7D243CE6" w14:textId="431133CB" w:rsidR="002D337D" w:rsidRDefault="004F3F57" w:rsidP="005D77D8">
      <w:pPr>
        <w:pStyle w:val="Body"/>
        <w:spacing w:afterLines="20" w:after="48" w:line="240" w:lineRule="auto"/>
        <w:ind w:left="567" w:hanging="567"/>
      </w:pPr>
      <w:r>
        <w:t xml:space="preserve">COMSOL Inc. (2015) </w:t>
      </w:r>
      <w:r w:rsidRPr="004F3F57">
        <w:t>Multiphysics Software Product Suite</w:t>
      </w:r>
      <w:r>
        <w:t>, URL=&lt;</w:t>
      </w:r>
      <w:r w:rsidRPr="004F3F57">
        <w:t>http://www.comsol.com/products</w:t>
      </w:r>
      <w:r>
        <w:t>&gt;, viewed 16 November 2015.</w:t>
      </w:r>
    </w:p>
    <w:p w14:paraId="72414780" w14:textId="77777777" w:rsidR="002D337D" w:rsidRDefault="00DA1389" w:rsidP="005D77D8">
      <w:pPr>
        <w:pStyle w:val="Body"/>
        <w:spacing w:afterLines="20" w:after="48" w:line="240" w:lineRule="auto"/>
        <w:ind w:left="567" w:hanging="567"/>
      </w:pPr>
      <w:r>
        <w:t xml:space="preserve">Comunian A, Jha S, Giambastiani B, Mariethoz G and Kelly B (2014) Training Images from </w:t>
      </w:r>
      <w:r w:rsidR="00552BA1">
        <w:t xml:space="preserve">process-imitating methods, </w:t>
      </w:r>
      <w:r>
        <w:t>Mathematical Geosciences 46(2)</w:t>
      </w:r>
      <w:r w:rsidR="00552BA1">
        <w:t>:</w:t>
      </w:r>
      <w:r>
        <w:t xml:space="preserve"> 241-260. </w:t>
      </w:r>
    </w:p>
    <w:p w14:paraId="4D60F4C2" w14:textId="77777777" w:rsidR="002D337D" w:rsidRDefault="00DA1389" w:rsidP="005D77D8">
      <w:pPr>
        <w:pStyle w:val="Body"/>
        <w:spacing w:afterLines="20" w:after="48" w:line="240" w:lineRule="auto"/>
        <w:ind w:left="567" w:hanging="567"/>
      </w:pPr>
      <w:r>
        <w:t>Comunian A, Renard P and Straubhaar J (2012) 3D multiple-point statistics simulation using 2D training images</w:t>
      </w:r>
      <w:r w:rsidR="00552BA1">
        <w:t>,</w:t>
      </w:r>
      <w:r>
        <w:t xml:space="preserve"> Computers </w:t>
      </w:r>
      <w:r w:rsidR="00552BA1">
        <w:t>and</w:t>
      </w:r>
      <w:r>
        <w:t xml:space="preserve"> Geosciences 40</w:t>
      </w:r>
      <w:r w:rsidR="00552BA1">
        <w:t>:</w:t>
      </w:r>
      <w:r>
        <w:t xml:space="preserve"> 49-65. </w:t>
      </w:r>
    </w:p>
    <w:p w14:paraId="1B9A88AD" w14:textId="77777777" w:rsidR="002D337D" w:rsidRDefault="00DA1389" w:rsidP="005D77D8">
      <w:pPr>
        <w:pStyle w:val="Body"/>
        <w:spacing w:afterLines="20" w:after="48" w:line="240" w:lineRule="auto"/>
        <w:ind w:left="567" w:hanging="567"/>
      </w:pPr>
      <w:r>
        <w:t>Conca JL and Wright J (1998) The UFA method for rapid, direct measurements of unsaturated transport properties in soil, sediment, and rock</w:t>
      </w:r>
      <w:r w:rsidR="00552BA1">
        <w:t xml:space="preserve">, </w:t>
      </w:r>
      <w:r>
        <w:t xml:space="preserve">Australian </w:t>
      </w:r>
      <w:r w:rsidR="00552BA1">
        <w:t>J</w:t>
      </w:r>
      <w:r>
        <w:t xml:space="preserve">ournal of </w:t>
      </w:r>
      <w:r w:rsidR="00552BA1">
        <w:t>S</w:t>
      </w:r>
      <w:r>
        <w:t xml:space="preserve">oil </w:t>
      </w:r>
      <w:r w:rsidR="00552BA1">
        <w:t>R</w:t>
      </w:r>
      <w:r>
        <w:t>esearch 36(2)</w:t>
      </w:r>
      <w:r w:rsidR="00552BA1">
        <w:t>:</w:t>
      </w:r>
      <w:r>
        <w:t xml:space="preserve"> 291-315. </w:t>
      </w:r>
    </w:p>
    <w:p w14:paraId="127A124B" w14:textId="05FCBEBA" w:rsidR="002D337D" w:rsidRDefault="00B45FE5" w:rsidP="005D77D8">
      <w:pPr>
        <w:pStyle w:val="Body"/>
        <w:spacing w:afterLines="20" w:after="48" w:line="240" w:lineRule="auto"/>
        <w:ind w:left="567" w:hanging="567"/>
      </w:pPr>
      <w:r w:rsidRPr="00B45FE5">
        <w:t>Connell LD, Detournay C (2009) Coupled flow and geomechanical processes during enhanced coal seam methane recovery through CO</w:t>
      </w:r>
      <w:r w:rsidRPr="00B45FE5">
        <w:rPr>
          <w:vertAlign w:val="subscript"/>
        </w:rPr>
        <w:t>2</w:t>
      </w:r>
      <w:r w:rsidRPr="00B45FE5">
        <w:t xml:space="preserve"> sequestration</w:t>
      </w:r>
      <w:r>
        <w:t>,</w:t>
      </w:r>
      <w:r w:rsidRPr="00B45FE5">
        <w:t xml:space="preserve"> International Journal of Coal Geology 77(1)</w:t>
      </w:r>
      <w:r w:rsidR="00552BA1">
        <w:t>:</w:t>
      </w:r>
      <w:r w:rsidRPr="00B45FE5">
        <w:t xml:space="preserve"> 222-233.</w:t>
      </w:r>
    </w:p>
    <w:p w14:paraId="701C789F" w14:textId="77777777" w:rsidR="002D337D" w:rsidRDefault="00DA1389" w:rsidP="005D77D8">
      <w:pPr>
        <w:pStyle w:val="Body"/>
        <w:spacing w:afterLines="20" w:after="48" w:line="240" w:lineRule="auto"/>
        <w:ind w:left="567" w:hanging="567"/>
      </w:pPr>
      <w:r>
        <w:t>Cook PG (2003) A guide to regional groundwater flow in fractured rock aquifers</w:t>
      </w:r>
      <w:r w:rsidR="00552BA1">
        <w:t>,</w:t>
      </w:r>
      <w:r>
        <w:t xml:space="preserve"> Seaview Press, Henley Beach, S</w:t>
      </w:r>
      <w:r w:rsidR="00552BA1">
        <w:t>outh Australia</w:t>
      </w:r>
      <w:r>
        <w:t>.</w:t>
      </w:r>
    </w:p>
    <w:p w14:paraId="0F4C6081" w14:textId="4C2DA017" w:rsidR="002D337D" w:rsidRDefault="00DA1389" w:rsidP="005D77D8">
      <w:pPr>
        <w:pStyle w:val="Body"/>
        <w:spacing w:afterLines="20" w:after="48" w:line="240" w:lineRule="auto"/>
        <w:ind w:left="567" w:hanging="567"/>
      </w:pPr>
      <w:r>
        <w:t xml:space="preserve">Cook PG and Böhlke J-K (1999) Determining </w:t>
      </w:r>
      <w:r w:rsidR="00552BA1">
        <w:t xml:space="preserve">timescales for groundwater flow and solute transport, in: PG Cook and AL Herczeg (ed.s) </w:t>
      </w:r>
      <w:r>
        <w:t>Environmental Tracers in Subsurface Hydrology</w:t>
      </w:r>
      <w:r w:rsidR="00552BA1">
        <w:t>,</w:t>
      </w:r>
      <w:r>
        <w:t xml:space="preserve"> Kluwer Academic Press</w:t>
      </w:r>
      <w:r w:rsidR="00552BA1">
        <w:t xml:space="preserve">, </w:t>
      </w:r>
      <w:r>
        <w:t>Boston, M</w:t>
      </w:r>
      <w:r w:rsidR="00552BA1">
        <w:t>A, USA, pp. 1-30</w:t>
      </w:r>
      <w:r>
        <w:t>.</w:t>
      </w:r>
    </w:p>
    <w:p w14:paraId="001EE858" w14:textId="77777777" w:rsidR="002D337D" w:rsidRDefault="00DA1389" w:rsidP="005D77D8">
      <w:pPr>
        <w:pStyle w:val="Body"/>
        <w:spacing w:afterLines="20" w:after="48" w:line="240" w:lineRule="auto"/>
        <w:ind w:left="567" w:hanging="567"/>
      </w:pPr>
      <w:r>
        <w:t xml:space="preserve">Cook PG and Herczeg AL (2000) Environmental </w:t>
      </w:r>
      <w:r w:rsidR="00552BA1">
        <w:t>Tracers in Subsurface Hydrology, Kluwer Academic Press, Boston, MA, USA</w:t>
      </w:r>
      <w:r>
        <w:t>.</w:t>
      </w:r>
    </w:p>
    <w:p w14:paraId="3CC42347" w14:textId="77777777" w:rsidR="002D337D" w:rsidRDefault="00DA1389" w:rsidP="005D77D8">
      <w:pPr>
        <w:pStyle w:val="Body"/>
        <w:spacing w:afterLines="20" w:after="48" w:line="240" w:lineRule="auto"/>
        <w:ind w:left="567" w:hanging="567"/>
      </w:pPr>
      <w:r>
        <w:t>Cooper HH and Jacob C (1946) A generalized graphical method for evaluating formation constants and summarizing well‐field history</w:t>
      </w:r>
      <w:r w:rsidR="00552BA1">
        <w:t xml:space="preserve">, </w:t>
      </w:r>
      <w:r>
        <w:t>Eos</w:t>
      </w:r>
      <w:r w:rsidR="00552BA1">
        <w:t>:</w:t>
      </w:r>
      <w:r>
        <w:t xml:space="preserve"> Transactions </w:t>
      </w:r>
      <w:r w:rsidR="00552BA1">
        <w:t xml:space="preserve">of the </w:t>
      </w:r>
      <w:r>
        <w:t>American Geophysical Union 27(4)</w:t>
      </w:r>
      <w:r w:rsidR="00552BA1">
        <w:t>:</w:t>
      </w:r>
      <w:r>
        <w:t xml:space="preserve"> 526-534. </w:t>
      </w:r>
    </w:p>
    <w:p w14:paraId="4B8A342F" w14:textId="77777777" w:rsidR="002D337D" w:rsidRDefault="00DA1389" w:rsidP="005D77D8">
      <w:pPr>
        <w:pStyle w:val="Body"/>
        <w:spacing w:afterLines="20" w:after="48" w:line="240" w:lineRule="auto"/>
        <w:ind w:left="567" w:hanging="567"/>
      </w:pPr>
      <w:r>
        <w:t>Corey A (1986) Air permeability</w:t>
      </w:r>
      <w:r w:rsidR="00552BA1">
        <w:t>:</w:t>
      </w:r>
      <w:r>
        <w:t xml:space="preserve"> Methods of Soil Analysis: Part 1—Physical and Mineralogical Methods, </w:t>
      </w:r>
      <w:r w:rsidR="00552BA1">
        <w:t>pp.</w:t>
      </w:r>
      <w:r>
        <w:t xml:space="preserve">1121-1136. </w:t>
      </w:r>
    </w:p>
    <w:p w14:paraId="1000CBB0" w14:textId="0D6366E1" w:rsidR="002D337D" w:rsidRDefault="00BC10F2" w:rsidP="005D77D8">
      <w:pPr>
        <w:pStyle w:val="Body"/>
        <w:spacing w:afterLines="20" w:after="48" w:line="240" w:lineRule="auto"/>
        <w:ind w:left="567" w:hanging="567"/>
      </w:pPr>
      <w:r w:rsidRPr="00BC10F2">
        <w:t>Court B, Bandilla KW, Celia MA, Janzen A, Dobossy M</w:t>
      </w:r>
      <w:r w:rsidR="00552BA1">
        <w:t xml:space="preserve"> and</w:t>
      </w:r>
      <w:r w:rsidRPr="00BC10F2">
        <w:t xml:space="preserve"> Nordbotten JM</w:t>
      </w:r>
      <w:r>
        <w:t xml:space="preserve"> (2012)</w:t>
      </w:r>
      <w:r w:rsidRPr="00BC10F2">
        <w:t xml:space="preserve"> Applicability of vertical-equilibrium and sharp-interface assumptions in CO</w:t>
      </w:r>
      <w:r w:rsidRPr="00BC10F2">
        <w:rPr>
          <w:vertAlign w:val="subscript"/>
        </w:rPr>
        <w:t>2</w:t>
      </w:r>
      <w:r w:rsidRPr="00BC10F2">
        <w:t xml:space="preserve"> sequestration modeling</w:t>
      </w:r>
      <w:r>
        <w:t>,</w:t>
      </w:r>
      <w:r w:rsidRPr="00BC10F2">
        <w:t xml:space="preserve"> International Journal of Greenhouse Gas Control 10</w:t>
      </w:r>
      <w:r w:rsidR="00552BA1">
        <w:t>:</w:t>
      </w:r>
      <w:r w:rsidRPr="00BC10F2">
        <w:t xml:space="preserve"> 134-147.</w:t>
      </w:r>
    </w:p>
    <w:p w14:paraId="0992E5E6" w14:textId="77777777" w:rsidR="002D337D" w:rsidRDefault="00DA1389" w:rsidP="005D77D8">
      <w:pPr>
        <w:pStyle w:val="Body"/>
        <w:spacing w:afterLines="20" w:after="48" w:line="240" w:lineRule="auto"/>
        <w:ind w:left="567" w:hanging="567"/>
      </w:pPr>
      <w:r>
        <w:t>Cronican AE and Gribb MM (2004) Literature review: Equations for predicting hydraulic conductivity based on grain-size data</w:t>
      </w:r>
      <w:r w:rsidR="00552BA1">
        <w:t>,</w:t>
      </w:r>
      <w:r>
        <w:t xml:space="preserve"> Supplement to technical note entitled: Hydraulic conductivity prediction for sandy soils</w:t>
      </w:r>
      <w:r w:rsidR="00552BA1">
        <w:t>,</w:t>
      </w:r>
      <w:r>
        <w:t xml:space="preserve"> Ground Water 42(3)</w:t>
      </w:r>
      <w:r w:rsidR="00552BA1">
        <w:t>:</w:t>
      </w:r>
      <w:r>
        <w:t xml:space="preserve"> 459-464. </w:t>
      </w:r>
    </w:p>
    <w:p w14:paraId="638A5C8E" w14:textId="77777777" w:rsidR="002D337D" w:rsidRDefault="00DA1389" w:rsidP="005D77D8">
      <w:pPr>
        <w:pStyle w:val="Body"/>
        <w:spacing w:afterLines="20" w:after="48" w:line="240" w:lineRule="auto"/>
        <w:ind w:left="567" w:hanging="567"/>
      </w:pPr>
      <w:r>
        <w:t>Dagan G (1986) Statistical theory of groundwater flow and transport: Pore to laboratory, laboratory to formation, and formation to regional scale</w:t>
      </w:r>
      <w:r w:rsidR="00552BA1">
        <w:t>,</w:t>
      </w:r>
      <w:r>
        <w:t xml:space="preserve"> Water Resources Research 22(9S), 120S-134S. </w:t>
      </w:r>
    </w:p>
    <w:p w14:paraId="4E0D8FAC" w14:textId="77777777" w:rsidR="002D337D" w:rsidRDefault="00DA1389" w:rsidP="005D77D8">
      <w:pPr>
        <w:pStyle w:val="Body"/>
        <w:spacing w:afterLines="20" w:after="48" w:line="240" w:lineRule="auto"/>
        <w:ind w:left="567" w:hanging="567"/>
      </w:pPr>
      <w:r>
        <w:t>de Dreuzy J, Meheust Y and Pichot G (2012) Influence of fracture scale heterogeneity on the flow properties of three-dimensional discrete fracture networks (DFN)</w:t>
      </w:r>
      <w:r w:rsidR="004B0B9C">
        <w:t>,</w:t>
      </w:r>
      <w:r>
        <w:t xml:space="preserve"> Journal of Geophysical Research-Solid Earth 117</w:t>
      </w:r>
      <w:r w:rsidR="004B0B9C">
        <w:t>.</w:t>
      </w:r>
    </w:p>
    <w:p w14:paraId="5C6E6E81" w14:textId="459A258B" w:rsidR="001358C4" w:rsidRPr="00A45100" w:rsidRDefault="001358C4" w:rsidP="00A45100">
      <w:pPr>
        <w:pStyle w:val="Body"/>
        <w:spacing w:afterLines="20" w:after="48" w:line="240" w:lineRule="auto"/>
        <w:ind w:left="567" w:hanging="567"/>
      </w:pPr>
      <w:r w:rsidRPr="001358C4">
        <w:t>Dell'Arciprete D</w:t>
      </w:r>
      <w:r>
        <w:t xml:space="preserve">, </w:t>
      </w:r>
      <w:r w:rsidRPr="001358C4">
        <w:t>Bersezio R</w:t>
      </w:r>
      <w:r>
        <w:t xml:space="preserve">, </w:t>
      </w:r>
      <w:r w:rsidRPr="001358C4">
        <w:t>Felletti F</w:t>
      </w:r>
      <w:r>
        <w:t>, Giudici</w:t>
      </w:r>
      <w:r w:rsidRPr="001358C4">
        <w:t xml:space="preserve"> M</w:t>
      </w:r>
      <w:r>
        <w:t xml:space="preserve">, </w:t>
      </w:r>
      <w:r w:rsidRPr="001358C4">
        <w:t>Comunian A</w:t>
      </w:r>
      <w:r>
        <w:t xml:space="preserve">, and </w:t>
      </w:r>
      <w:r w:rsidRPr="001358C4">
        <w:t>Renard P</w:t>
      </w:r>
      <w:r>
        <w:t xml:space="preserve"> (2011) </w:t>
      </w:r>
      <w:r w:rsidRPr="00A45100">
        <w:t>Comparison of three geostatistical methods for hydrofacies simulation: a test on alluvial sediments</w:t>
      </w:r>
      <w:r>
        <w:t>,</w:t>
      </w:r>
      <w:r w:rsidRPr="00A45100">
        <w:t xml:space="preserve">  Hydrogeology Journal</w:t>
      </w:r>
      <w:r>
        <w:t xml:space="preserve"> 20:</w:t>
      </w:r>
      <w:r w:rsidRPr="001358C4">
        <w:t xml:space="preserve"> 299-311</w:t>
      </w:r>
      <w:r w:rsidRPr="00A45100">
        <w:t>.</w:t>
      </w:r>
    </w:p>
    <w:p w14:paraId="794D9C63" w14:textId="396E7505" w:rsidR="002D337D" w:rsidRDefault="006F29FA" w:rsidP="005D77D8">
      <w:pPr>
        <w:pStyle w:val="Body"/>
        <w:spacing w:afterLines="20" w:after="48" w:line="240" w:lineRule="auto"/>
        <w:ind w:left="567" w:hanging="567"/>
      </w:pPr>
      <w:r w:rsidRPr="006F29FA">
        <w:t>Delshad M, Kong X, Tavakoli R, Hosseini SA</w:t>
      </w:r>
      <w:r w:rsidR="004B0B9C">
        <w:t xml:space="preserve"> and </w:t>
      </w:r>
      <w:r w:rsidRPr="006F29FA">
        <w:t>Wheeler MF (2013) Modeling and simulation of carbon sequestration at Cranfield incorporating new physical models</w:t>
      </w:r>
      <w:r>
        <w:t>,</w:t>
      </w:r>
      <w:r w:rsidRPr="006F29FA">
        <w:t xml:space="preserve"> International Journal of Greenhouse Gas Control 18</w:t>
      </w:r>
      <w:r w:rsidR="004B0B9C">
        <w:t>:</w:t>
      </w:r>
      <w:r w:rsidRPr="006F29FA">
        <w:t xml:space="preserve"> 463-473.</w:t>
      </w:r>
    </w:p>
    <w:p w14:paraId="3175792D" w14:textId="77777777" w:rsidR="002D337D" w:rsidRDefault="00DA1389" w:rsidP="005D77D8">
      <w:pPr>
        <w:pStyle w:val="Body"/>
        <w:spacing w:afterLines="20" w:after="48" w:line="240" w:lineRule="auto"/>
        <w:ind w:left="567" w:hanging="567"/>
      </w:pPr>
      <w:r>
        <w:t>de Marsily G, Delay F, Goncalves J, Renard P, Teles V and Violette S (2005) Dealing with spatial heterogeneity</w:t>
      </w:r>
      <w:r w:rsidR="004B0B9C">
        <w:t xml:space="preserve">, </w:t>
      </w:r>
      <w:r>
        <w:t>Hydrogeology Journal 13(1)</w:t>
      </w:r>
      <w:r w:rsidR="004B0B9C">
        <w:t>:</w:t>
      </w:r>
      <w:r>
        <w:t xml:space="preserve"> 161-183.</w:t>
      </w:r>
    </w:p>
    <w:p w14:paraId="02B68CE4" w14:textId="77777777" w:rsidR="002D337D" w:rsidRDefault="00DA1389" w:rsidP="005D77D8">
      <w:pPr>
        <w:pStyle w:val="Body"/>
        <w:spacing w:afterLines="20" w:after="48" w:line="240" w:lineRule="auto"/>
        <w:ind w:left="567" w:hanging="567"/>
      </w:pPr>
      <w:r>
        <w:t>de Marsily G, Delay F, Teles V and Schafmeister M (1998) Some current methods to represent the heterogeneity of natural media in hydrogeology</w:t>
      </w:r>
      <w:r w:rsidR="004B0B9C">
        <w:t>,</w:t>
      </w:r>
      <w:r>
        <w:t xml:space="preserve"> Hydrogeology Journal 6(1)</w:t>
      </w:r>
      <w:r w:rsidR="004B0B9C">
        <w:t>:</w:t>
      </w:r>
      <w:r>
        <w:t xml:space="preserve"> 115-130. </w:t>
      </w:r>
    </w:p>
    <w:p w14:paraId="6D949F90" w14:textId="51358668" w:rsidR="00254DF5" w:rsidRDefault="00254DF5" w:rsidP="00254DF5">
      <w:pPr>
        <w:pStyle w:val="Body"/>
        <w:spacing w:afterLines="20" w:after="48"/>
        <w:ind w:left="567" w:hanging="567"/>
      </w:pPr>
      <w:r>
        <w:t>Der Kiureghian A, Ditlevsen O (2007). Aleatory or epistemic? Does it matter? Special Workshop on Risk Acceptance and Risk Communication March 26-27, 2007, Stanford University: 13 pp.</w:t>
      </w:r>
    </w:p>
    <w:p w14:paraId="3047BCA1" w14:textId="77777777" w:rsidR="002D337D" w:rsidRDefault="00DA1389" w:rsidP="005D77D8">
      <w:pPr>
        <w:pStyle w:val="Body"/>
        <w:spacing w:afterLines="20" w:after="48" w:line="240" w:lineRule="auto"/>
        <w:ind w:left="567" w:hanging="567"/>
      </w:pPr>
      <w:r>
        <w:t>Dershowitz W, Lee G, Geier J, Foxford T, LaPointe P and Thomas A (1999) User documentation for FracMan</w:t>
      </w:r>
      <w:r w:rsidR="004B0B9C">
        <w:t>,</w:t>
      </w:r>
      <w:r>
        <w:t xml:space="preserve"> Golder Associates</w:t>
      </w:r>
      <w:r w:rsidR="004B0B9C">
        <w:t>, Seattle, WA, USA</w:t>
      </w:r>
      <w:r>
        <w:t xml:space="preserve">. </w:t>
      </w:r>
    </w:p>
    <w:p w14:paraId="4B1C3000" w14:textId="77777777" w:rsidR="002D337D" w:rsidRDefault="00DA1389" w:rsidP="005D77D8">
      <w:pPr>
        <w:pStyle w:val="Body"/>
        <w:spacing w:afterLines="20" w:after="48" w:line="240" w:lineRule="auto"/>
        <w:ind w:left="567" w:hanging="567"/>
      </w:pPr>
      <w:r>
        <w:t>Dershowitz W and Miller I (1995) Dual porosity fracture flow and transport</w:t>
      </w:r>
      <w:r w:rsidR="004B0B9C">
        <w:t>,</w:t>
      </w:r>
      <w:r>
        <w:t xml:space="preserve"> Geophysical Research Letters 22(11)</w:t>
      </w:r>
      <w:r w:rsidR="004B0B9C">
        <w:t>:</w:t>
      </w:r>
      <w:r>
        <w:t xml:space="preserve"> 1441-1444.</w:t>
      </w:r>
    </w:p>
    <w:p w14:paraId="136A53BC" w14:textId="77777777" w:rsidR="002D337D" w:rsidRDefault="00DA1389" w:rsidP="005D77D8">
      <w:pPr>
        <w:pStyle w:val="Body"/>
        <w:spacing w:afterLines="20" w:after="48" w:line="240" w:lineRule="auto"/>
        <w:ind w:left="567" w:hanging="567"/>
      </w:pPr>
      <w:r>
        <w:t>Desbarats A (1987) Numerical estimation of effective permeability in sand-shale formations</w:t>
      </w:r>
      <w:r w:rsidR="004B0B9C">
        <w:t xml:space="preserve">, </w:t>
      </w:r>
      <w:r>
        <w:t>Water Resources Research 23(2</w:t>
      </w:r>
      <w:r w:rsidR="004B0B9C">
        <w:t xml:space="preserve">): </w:t>
      </w:r>
      <w:r>
        <w:t xml:space="preserve">273-286. </w:t>
      </w:r>
    </w:p>
    <w:p w14:paraId="711AFDB4" w14:textId="77777777" w:rsidR="002D337D" w:rsidRDefault="00DA1389" w:rsidP="005D77D8">
      <w:pPr>
        <w:pStyle w:val="Body"/>
        <w:spacing w:afterLines="20" w:after="48" w:line="240" w:lineRule="auto"/>
        <w:ind w:left="567" w:hanging="567"/>
      </w:pPr>
      <w:r>
        <w:t>Desbarats A (1992) Spatial averaging of hydraulic conductivity in 3-dimensional heterogeneous porous media</w:t>
      </w:r>
      <w:r w:rsidR="004B0B9C">
        <w:t>,</w:t>
      </w:r>
      <w:r>
        <w:t xml:space="preserve"> Mathematical Geology 24(3</w:t>
      </w:r>
      <w:r w:rsidR="004B0B9C">
        <w:t xml:space="preserve">): </w:t>
      </w:r>
      <w:r>
        <w:t xml:space="preserve">249-267. </w:t>
      </w:r>
    </w:p>
    <w:p w14:paraId="3383DB40" w14:textId="77777777" w:rsidR="002D337D" w:rsidRDefault="00DA1389" w:rsidP="005D77D8">
      <w:pPr>
        <w:pStyle w:val="Body"/>
        <w:spacing w:afterLines="20" w:after="48" w:line="240" w:lineRule="auto"/>
        <w:ind w:left="567" w:hanging="567"/>
      </w:pPr>
      <w:r>
        <w:t xml:space="preserve">Deutsch C (1989) Calculating </w:t>
      </w:r>
      <w:r w:rsidR="004B0B9C">
        <w:t>effective absolute permeability in sandstone/shale sequences,</w:t>
      </w:r>
      <w:r>
        <w:t xml:space="preserve"> SPE Formation Evaluation 4(3). </w:t>
      </w:r>
    </w:p>
    <w:p w14:paraId="647EFFA3" w14:textId="77777777" w:rsidR="002D337D" w:rsidRDefault="00DA1389" w:rsidP="005D77D8">
      <w:pPr>
        <w:pStyle w:val="Body"/>
        <w:spacing w:afterLines="20" w:after="48" w:line="240" w:lineRule="auto"/>
        <w:ind w:left="567" w:hanging="567"/>
      </w:pPr>
      <w:r>
        <w:t>Deutsch C (1999) Reservoir modeling with publicly available software</w:t>
      </w:r>
      <w:r w:rsidR="004B0B9C">
        <w:t xml:space="preserve">, </w:t>
      </w:r>
      <w:r>
        <w:t xml:space="preserve">Computers </w:t>
      </w:r>
      <w:r w:rsidR="004B0B9C">
        <w:t xml:space="preserve">and </w:t>
      </w:r>
      <w:r>
        <w:t>Geosciences 25(4</w:t>
      </w:r>
      <w:r w:rsidR="004B0B9C">
        <w:t xml:space="preserve">): </w:t>
      </w:r>
      <w:r>
        <w:t xml:space="preserve">355-363. </w:t>
      </w:r>
    </w:p>
    <w:p w14:paraId="772204CD" w14:textId="77777777" w:rsidR="002D337D" w:rsidRDefault="00DA1389" w:rsidP="005D77D8">
      <w:pPr>
        <w:pStyle w:val="Body"/>
        <w:spacing w:afterLines="20" w:after="48" w:line="240" w:lineRule="auto"/>
        <w:ind w:left="567" w:hanging="567"/>
      </w:pPr>
      <w:r>
        <w:t>Dickson NEM, Comte JC, Renard P, Straubhaar JA, McKinley JM and Ofterdinger U (2015) Integrating aerial geophysical data in multiple-point statistics simulations to assist groundwater flow models</w:t>
      </w:r>
      <w:r w:rsidR="004B0B9C">
        <w:t xml:space="preserve">, </w:t>
      </w:r>
      <w:r>
        <w:t xml:space="preserve">Hydrogeology Journal. </w:t>
      </w:r>
    </w:p>
    <w:p w14:paraId="6F1F1E96" w14:textId="77777777" w:rsidR="002D337D" w:rsidRDefault="00DA1389" w:rsidP="005D77D8">
      <w:pPr>
        <w:pStyle w:val="Body"/>
        <w:spacing w:afterLines="20" w:after="48" w:line="240" w:lineRule="auto"/>
        <w:ind w:left="567" w:hanging="567"/>
      </w:pPr>
      <w:r>
        <w:t>Diersch H (2005) FEFLOW finite element subsurface flow and transport simulation system</w:t>
      </w:r>
      <w:r w:rsidR="004B0B9C">
        <w:t xml:space="preserve"> r</w:t>
      </w:r>
      <w:r>
        <w:t>eference manual</w:t>
      </w:r>
      <w:r w:rsidR="004B0B9C">
        <w:t xml:space="preserve">, </w:t>
      </w:r>
      <w:r>
        <w:t>WASY GmbH</w:t>
      </w:r>
      <w:r w:rsidR="004B0B9C">
        <w:t xml:space="preserve">, Berlin, Germany, </w:t>
      </w:r>
      <w:r>
        <w:t>20</w:t>
      </w:r>
      <w:r w:rsidR="004B0B9C">
        <w:t>-</w:t>
      </w:r>
      <w:r>
        <w:t xml:space="preserve">102. </w:t>
      </w:r>
    </w:p>
    <w:p w14:paraId="63F4470C" w14:textId="2C381121" w:rsidR="00C44692" w:rsidRDefault="00C44692">
      <w:pPr>
        <w:pStyle w:val="Body"/>
        <w:spacing w:afterLines="20" w:after="48" w:line="240" w:lineRule="auto"/>
        <w:ind w:left="567" w:hanging="567"/>
      </w:pPr>
      <w:r>
        <w:t>Doherty JE and Christensen S (2011). Use of paired simple and complex models in reducing predictive bias and quantifying uncertainty. Water Resources Research doi:10.1029/2011WR010763.</w:t>
      </w:r>
    </w:p>
    <w:p w14:paraId="4CA1FDDB" w14:textId="0776FD12" w:rsidR="005870DA" w:rsidRDefault="005870DA" w:rsidP="00A45100">
      <w:pPr>
        <w:pStyle w:val="Body"/>
        <w:spacing w:afterLines="20" w:after="48" w:line="240" w:lineRule="auto"/>
        <w:ind w:left="567" w:hanging="567"/>
      </w:pPr>
      <w:r>
        <w:t>Doherty JE, Hunt RJ, and Tonkin MJ (2010) Approaches to Highly Parameterized Inversion: A Guide to Using PEST for Model-Parameter and Predictive-Uncertainty Analysis: U.S. Geological Survey Scientific Investigations Report 2010–5211, 71 pp.</w:t>
      </w:r>
    </w:p>
    <w:p w14:paraId="17E552E9" w14:textId="77777777" w:rsidR="002D337D" w:rsidRDefault="00DA1389" w:rsidP="005D77D8">
      <w:pPr>
        <w:pStyle w:val="Body"/>
        <w:spacing w:afterLines="20" w:after="48" w:line="240" w:lineRule="auto"/>
        <w:ind w:left="567" w:hanging="567"/>
      </w:pPr>
      <w:r>
        <w:t>Durlofsky L (1991) Numerical calculation of equivalent grid block permeability tensors for heterogeneous porous media</w:t>
      </w:r>
      <w:r w:rsidR="004B0B9C">
        <w:t>,</w:t>
      </w:r>
      <w:r>
        <w:t xml:space="preserve"> Water Resources Research 27(5</w:t>
      </w:r>
      <w:r w:rsidR="004B0B9C">
        <w:t xml:space="preserve">): </w:t>
      </w:r>
      <w:r>
        <w:t xml:space="preserve">699-708. </w:t>
      </w:r>
    </w:p>
    <w:p w14:paraId="53AA7635" w14:textId="77777777" w:rsidR="002D337D" w:rsidRDefault="00DA1389" w:rsidP="005D77D8">
      <w:pPr>
        <w:pStyle w:val="Body"/>
        <w:spacing w:afterLines="20" w:after="48" w:line="240" w:lineRule="auto"/>
        <w:ind w:left="567" w:hanging="567"/>
      </w:pPr>
      <w:r>
        <w:t>Durlofsky L (1992) Representation of grid block permeability in coarse scale models of randomly heterogeneous porous media</w:t>
      </w:r>
      <w:r w:rsidR="004B0B9C">
        <w:t xml:space="preserve">, </w:t>
      </w:r>
      <w:r>
        <w:t>Water Resources Research 28(7</w:t>
      </w:r>
      <w:r w:rsidR="004B0B9C">
        <w:t xml:space="preserve">): </w:t>
      </w:r>
      <w:r>
        <w:t xml:space="preserve">1791-1800. </w:t>
      </w:r>
    </w:p>
    <w:p w14:paraId="4D85A69F" w14:textId="77777777" w:rsidR="002D337D" w:rsidRDefault="00DA1389" w:rsidP="005D77D8">
      <w:pPr>
        <w:pStyle w:val="Body"/>
        <w:spacing w:afterLines="20" w:after="48" w:line="240" w:lineRule="auto"/>
        <w:ind w:left="567" w:hanging="567"/>
      </w:pPr>
      <w:r>
        <w:t>Durlofsky L (2005) Upsaling and gridding of fine scale geological models for flow simulation</w:t>
      </w:r>
      <w:r w:rsidR="004B0B9C">
        <w:t xml:space="preserve">, </w:t>
      </w:r>
      <w:r>
        <w:t>Proceedings of the 8th International Forum on Reservoir Simulation</w:t>
      </w:r>
      <w:r w:rsidR="004B0B9C">
        <w:t>,</w:t>
      </w:r>
      <w:r>
        <w:t xml:space="preserve"> Iles Borromees, Stressa, Italy, June 20-24 2005, 59p.</w:t>
      </w:r>
    </w:p>
    <w:p w14:paraId="1B55F3A9" w14:textId="77777777" w:rsidR="002D337D" w:rsidRDefault="00DA1389" w:rsidP="005D77D8">
      <w:pPr>
        <w:pStyle w:val="Body"/>
        <w:spacing w:afterLines="20" w:after="48" w:line="240" w:lineRule="auto"/>
        <w:ind w:left="567" w:hanging="567"/>
      </w:pPr>
      <w:r>
        <w:t xml:space="preserve">Dverstorp B and Andersson J (1989) Application of the Discrete Fracture Network </w:t>
      </w:r>
      <w:r w:rsidR="004B0B9C">
        <w:t xml:space="preserve">concept with field data </w:t>
      </w:r>
      <w:r>
        <w:t xml:space="preserve">- Possibilities of </w:t>
      </w:r>
      <w:r w:rsidR="004B0B9C">
        <w:t xml:space="preserve">model calibration and validation, </w:t>
      </w:r>
      <w:r>
        <w:t>Water Resources Research 25(3</w:t>
      </w:r>
      <w:r w:rsidR="004B0B9C">
        <w:t xml:space="preserve">): </w:t>
      </w:r>
      <w:r>
        <w:t xml:space="preserve">540-550. </w:t>
      </w:r>
    </w:p>
    <w:p w14:paraId="4B716253" w14:textId="77777777" w:rsidR="002D337D" w:rsidRDefault="00DA1389" w:rsidP="005D77D8">
      <w:pPr>
        <w:pStyle w:val="Body"/>
        <w:spacing w:afterLines="20" w:after="48" w:line="240" w:lineRule="auto"/>
        <w:ind w:left="567" w:hanging="567"/>
      </w:pPr>
      <w:r>
        <w:t>Efros AA and Freeman WT (2001) Image quilting for texture synthesis and transfer</w:t>
      </w:r>
      <w:r w:rsidR="004B0B9C">
        <w:t xml:space="preserve">, </w:t>
      </w:r>
      <w:r>
        <w:t xml:space="preserve">Proceedings of the 28th </w:t>
      </w:r>
      <w:r w:rsidR="004B0B9C">
        <w:t xml:space="preserve">Annual Conference on </w:t>
      </w:r>
      <w:r>
        <w:t xml:space="preserve">Computer </w:t>
      </w:r>
      <w:r w:rsidR="004B0B9C">
        <w:t>Graphics and Interactive Techniques</w:t>
      </w:r>
      <w:r>
        <w:t>.</w:t>
      </w:r>
    </w:p>
    <w:p w14:paraId="16587FB0" w14:textId="51D2E8E9" w:rsidR="007041C2" w:rsidRDefault="007041C2">
      <w:pPr>
        <w:pStyle w:val="Body"/>
        <w:spacing w:afterLines="20" w:after="48" w:line="240" w:lineRule="auto"/>
        <w:ind w:left="567" w:hanging="567"/>
      </w:pPr>
      <w:r w:rsidRPr="00A45100">
        <w:t>Elmouttie MK, Poropat GV and Krahenbuhl G (201</w:t>
      </w:r>
      <w:r w:rsidR="008831A0">
        <w:t>2</w:t>
      </w:r>
      <w:r w:rsidRPr="00A45100">
        <w:t xml:space="preserve"> </w:t>
      </w:r>
      <w:r w:rsidR="008831A0">
        <w:t>A method to estimate in situ block size distribution</w:t>
      </w:r>
      <w:r w:rsidRPr="00A45100">
        <w:t>. Rock</w:t>
      </w:r>
      <w:r w:rsidR="008831A0" w:rsidRPr="00A45100">
        <w:t xml:space="preserve"> </w:t>
      </w:r>
      <w:r w:rsidRPr="00A45100">
        <w:t>Mech</w:t>
      </w:r>
      <w:r w:rsidR="008831A0">
        <w:t>anics</w:t>
      </w:r>
      <w:r w:rsidRPr="00A45100">
        <w:t xml:space="preserve"> </w:t>
      </w:r>
      <w:r w:rsidR="008831A0">
        <w:t>and</w:t>
      </w:r>
      <w:r w:rsidRPr="00A45100">
        <w:t xml:space="preserve"> </w:t>
      </w:r>
      <w:r w:rsidR="008831A0">
        <w:t xml:space="preserve">Rock Engineering </w:t>
      </w:r>
      <w:r w:rsidRPr="00A45100">
        <w:t>4</w:t>
      </w:r>
      <w:r w:rsidR="008831A0">
        <w:t>5</w:t>
      </w:r>
      <w:r w:rsidRPr="00A45100">
        <w:t xml:space="preserve">: </w:t>
      </w:r>
      <w:r w:rsidR="008831A0">
        <w:t>401</w:t>
      </w:r>
      <w:r w:rsidRPr="00A45100">
        <w:t>-</w:t>
      </w:r>
      <w:r w:rsidR="008831A0">
        <w:t>407</w:t>
      </w:r>
    </w:p>
    <w:p w14:paraId="26E92CF6" w14:textId="627F848C" w:rsidR="00FA6266" w:rsidRDefault="00FA6266" w:rsidP="00A45100">
      <w:pPr>
        <w:pStyle w:val="Body"/>
        <w:spacing w:afterLines="20" w:after="48" w:line="240" w:lineRule="auto"/>
        <w:ind w:left="567" w:hanging="567"/>
      </w:pPr>
      <w:r>
        <w:t>Engelhardt I, Prommer H, Moore C, Schulz M, Scheuth C, and Ternes TA (2013) Suitability of temperature, hydraulic heads, and acesulfame to quantify wastewater-related fluxes in the hyporheic and riparian zone. Water Resources Research 49: 426–440.</w:t>
      </w:r>
    </w:p>
    <w:p w14:paraId="57D5F260" w14:textId="77777777" w:rsidR="002D337D" w:rsidRDefault="00DA1389" w:rsidP="005D77D8">
      <w:pPr>
        <w:pStyle w:val="Body"/>
        <w:spacing w:afterLines="20" w:after="48" w:line="240" w:lineRule="auto"/>
        <w:ind w:left="567" w:hanging="567"/>
      </w:pPr>
      <w:r>
        <w:t>Eijpe R and Weber K (1971) Mini-</w:t>
      </w:r>
      <w:r w:rsidR="004B0B9C">
        <w:t xml:space="preserve">permeameters for consolidated rock and unconsolidated sand: Geological note, </w:t>
      </w:r>
      <w:r>
        <w:t>AAPG Bulletin 55(2</w:t>
      </w:r>
      <w:r w:rsidR="004B0B9C">
        <w:t xml:space="preserve">): </w:t>
      </w:r>
      <w:r>
        <w:t xml:space="preserve">307-309. </w:t>
      </w:r>
    </w:p>
    <w:p w14:paraId="45C0401D" w14:textId="60B12A2E" w:rsidR="002D337D" w:rsidRDefault="00E54883" w:rsidP="005D77D8">
      <w:pPr>
        <w:pStyle w:val="Body"/>
        <w:spacing w:afterLines="20" w:after="48" w:line="240" w:lineRule="auto"/>
        <w:ind w:left="567" w:hanging="567"/>
      </w:pPr>
      <w:r>
        <w:t xml:space="preserve">Emerson Electric Co. (2015) </w:t>
      </w:r>
      <w:r w:rsidRPr="00E54883">
        <w:t>Tempest MORE</w:t>
      </w:r>
      <w:r>
        <w:t xml:space="preserve"> Reservoir Simulation, URL=&lt;</w:t>
      </w:r>
      <w:r w:rsidRPr="00E54883">
        <w:t>http://www2.emersonprocess.com/en-us/brands/roxar/reservoirmanagement/reservoirsimulation/pages/tempestmore.aspx</w:t>
      </w:r>
      <w:r>
        <w:t>&gt;, viewed 16 November 2015.</w:t>
      </w:r>
    </w:p>
    <w:p w14:paraId="7B68804F" w14:textId="77777777" w:rsidR="002D337D" w:rsidRDefault="00DA1389" w:rsidP="005D77D8">
      <w:pPr>
        <w:pStyle w:val="Body"/>
        <w:spacing w:afterLines="20" w:after="48" w:line="240" w:lineRule="auto"/>
        <w:ind w:left="567" w:hanging="567"/>
      </w:pPr>
      <w:r>
        <w:t>Enever J, Bocking M and Clark I (1994) The application of in-situ stress measurement and numerical stress analysis to coalbed methane exploration in Australia</w:t>
      </w:r>
      <w:r w:rsidR="004B0B9C">
        <w:t xml:space="preserve">, </w:t>
      </w:r>
      <w:r>
        <w:t>SPE Asia Pacific Oil and Gas Conference</w:t>
      </w:r>
      <w:r w:rsidR="004B0B9C">
        <w:t xml:space="preserve">, </w:t>
      </w:r>
      <w:r>
        <w:t>Society of Petroleum Engineers.</w:t>
      </w:r>
    </w:p>
    <w:p w14:paraId="730F467D" w14:textId="77777777" w:rsidR="002D337D" w:rsidRDefault="00DA1389" w:rsidP="005D77D8">
      <w:pPr>
        <w:pStyle w:val="Body"/>
        <w:spacing w:afterLines="20" w:after="48" w:line="240" w:lineRule="auto"/>
        <w:ind w:left="567" w:hanging="567"/>
      </w:pPr>
      <w:r>
        <w:t>Enever J and Henning A (1997) The relationship between permeability and effective stress for Australian coal and its implications with respect to coalbed methane exploration and reservoir model</w:t>
      </w:r>
      <w:r w:rsidR="004B0B9C">
        <w:t xml:space="preserve">, </w:t>
      </w:r>
      <w:r>
        <w:t xml:space="preserve">Proceedings of the 1997 </w:t>
      </w:r>
      <w:r w:rsidR="004B0B9C">
        <w:t>International Coalbed Methane Symposium,</w:t>
      </w:r>
      <w:r>
        <w:t xml:space="preserve"> Tuscaloosa, AL, USA</w:t>
      </w:r>
    </w:p>
    <w:p w14:paraId="2C1029EA" w14:textId="77777777" w:rsidR="002D337D" w:rsidRDefault="00DA1389" w:rsidP="005D77D8">
      <w:pPr>
        <w:pStyle w:val="Body"/>
        <w:spacing w:afterLines="20" w:after="48" w:line="240" w:lineRule="auto"/>
        <w:ind w:left="567" w:hanging="567"/>
      </w:pPr>
      <w:r>
        <w:t>Erhel J, De Dreuzy J and Poirriez B (2009) Flow simulation in three-dimensional discrete fracture networks</w:t>
      </w:r>
      <w:r w:rsidR="004B0B9C">
        <w:t xml:space="preserve">, SIAM </w:t>
      </w:r>
      <w:r>
        <w:t>Journal on Scientific Computing 31(4</w:t>
      </w:r>
      <w:r w:rsidR="004B0B9C">
        <w:t xml:space="preserve">): </w:t>
      </w:r>
      <w:r>
        <w:t xml:space="preserve">2688-2705. </w:t>
      </w:r>
    </w:p>
    <w:p w14:paraId="0324BD45" w14:textId="77777777" w:rsidR="002D337D" w:rsidRDefault="00DA1389" w:rsidP="005D77D8">
      <w:pPr>
        <w:pStyle w:val="Body"/>
        <w:spacing w:afterLines="20" w:after="48" w:line="240" w:lineRule="auto"/>
        <w:ind w:left="567" w:hanging="567"/>
      </w:pPr>
      <w:r>
        <w:t>Fachri M, Rotevatn A and Tveranger J (2013) Fluid flow in relay zones revisited: Towards an improved representation of small-scale structural heterogeneities in flow models</w:t>
      </w:r>
      <w:r w:rsidR="004B0B9C">
        <w:t xml:space="preserve">, </w:t>
      </w:r>
      <w:r>
        <w:t>Marine and Petroleum Geology 46</w:t>
      </w:r>
      <w:r w:rsidR="004B0B9C">
        <w:t xml:space="preserve">: </w:t>
      </w:r>
      <w:r>
        <w:t xml:space="preserve">144-164. </w:t>
      </w:r>
    </w:p>
    <w:p w14:paraId="337DA994" w14:textId="77777777" w:rsidR="002D337D" w:rsidRDefault="00DA1389" w:rsidP="005D77D8">
      <w:pPr>
        <w:pStyle w:val="Body"/>
        <w:spacing w:afterLines="20" w:after="48" w:line="240" w:lineRule="auto"/>
        <w:ind w:left="567" w:hanging="567"/>
      </w:pPr>
      <w:r>
        <w:t>Falivene O, Cabrera L, Munoz J, Arbues P, Fernandez O and Saez A (2007) Statistical grid-based facies reconstruction and modelling for sedimentary bodies</w:t>
      </w:r>
      <w:r w:rsidR="004B0B9C">
        <w:t xml:space="preserve">, </w:t>
      </w:r>
      <w:r>
        <w:t>Alluvial-palustrine and turbiditic examples</w:t>
      </w:r>
      <w:r w:rsidR="004B0B9C">
        <w:t xml:space="preserve">, </w:t>
      </w:r>
      <w:r>
        <w:t>Geologica Acta 5(3</w:t>
      </w:r>
      <w:r w:rsidR="004B0B9C">
        <w:t xml:space="preserve">): </w:t>
      </w:r>
      <w:r>
        <w:t xml:space="preserve">199-230. </w:t>
      </w:r>
    </w:p>
    <w:p w14:paraId="76DF5E5E" w14:textId="77777777" w:rsidR="002D337D" w:rsidRDefault="00DA1389" w:rsidP="005D77D8">
      <w:pPr>
        <w:pStyle w:val="Body"/>
        <w:spacing w:afterLines="20" w:after="48" w:line="240" w:lineRule="auto"/>
        <w:ind w:left="567" w:hanging="567"/>
      </w:pPr>
      <w:r>
        <w:t>Faulkner D, Jackson C, Lunn R, Schlische R, Shipton Z, Wibberley C and Withjack M (2010) A review of recent developments concerning the structure, mechanics and fluid flow properties of fault zones</w:t>
      </w:r>
      <w:r w:rsidR="004B0B9C">
        <w:t xml:space="preserve">, </w:t>
      </w:r>
      <w:r>
        <w:t>Journal of Structural Geology 32(11</w:t>
      </w:r>
      <w:r w:rsidR="004B0B9C">
        <w:t xml:space="preserve">): </w:t>
      </w:r>
      <w:r>
        <w:t xml:space="preserve">1557-1575. </w:t>
      </w:r>
    </w:p>
    <w:p w14:paraId="7234378D" w14:textId="77777777" w:rsidR="002D337D" w:rsidRDefault="00DA1389" w:rsidP="005D77D8">
      <w:pPr>
        <w:pStyle w:val="Body"/>
        <w:spacing w:afterLines="20" w:after="48" w:line="240" w:lineRule="auto"/>
        <w:ind w:left="567" w:hanging="567"/>
      </w:pPr>
      <w:r>
        <w:t xml:space="preserve">Fegh A, Riahi MA and Norouzi GH (2013) Permeability prediction and construction of 3D geological model: </w:t>
      </w:r>
      <w:r w:rsidR="004B0B9C">
        <w:t xml:space="preserve">Application </w:t>
      </w:r>
      <w:r>
        <w:t>of neural networks and stochastic approaches in an Iranian gas reservoir</w:t>
      </w:r>
      <w:r w:rsidR="004B0B9C">
        <w:t xml:space="preserve">, </w:t>
      </w:r>
      <w:r>
        <w:t>Neural Computing and Applications 23(6</w:t>
      </w:r>
      <w:r w:rsidR="004B0B9C">
        <w:t xml:space="preserve">): </w:t>
      </w:r>
      <w:r>
        <w:t xml:space="preserve">1763-1770. </w:t>
      </w:r>
    </w:p>
    <w:p w14:paraId="584422B8" w14:textId="77777777" w:rsidR="002D337D" w:rsidRDefault="00DA1389" w:rsidP="005D77D8">
      <w:pPr>
        <w:pStyle w:val="Body"/>
        <w:spacing w:afterLines="20" w:after="48" w:line="240" w:lineRule="auto"/>
        <w:ind w:left="567" w:hanging="567"/>
      </w:pPr>
      <w:r>
        <w:t>Fisher Q and Jolley S (2007) Treatment of faults in production simulation models</w:t>
      </w:r>
      <w:r w:rsidR="004B0B9C">
        <w:t xml:space="preserve">, </w:t>
      </w:r>
      <w:r>
        <w:t>Geological Society</w:t>
      </w:r>
      <w:r w:rsidR="004B0B9C">
        <w:t xml:space="preserve"> of London</w:t>
      </w:r>
      <w:r>
        <w:t xml:space="preserve"> Special Publications 292(1</w:t>
      </w:r>
      <w:r w:rsidR="004B0B9C">
        <w:t xml:space="preserve">): </w:t>
      </w:r>
      <w:r>
        <w:t xml:space="preserve">219-233. </w:t>
      </w:r>
    </w:p>
    <w:p w14:paraId="48F4C87B" w14:textId="77777777" w:rsidR="002D337D" w:rsidRDefault="00DA1389" w:rsidP="005D77D8">
      <w:pPr>
        <w:pStyle w:val="Body"/>
        <w:spacing w:afterLines="20" w:after="48" w:line="240" w:lineRule="auto"/>
        <w:ind w:left="567" w:hanging="567"/>
      </w:pPr>
      <w:r>
        <w:t>Fleckenstein J and Fogg G (2008) Efficient upscaling of hydraulic conductivity in heterogeneous alluvial aquifers</w:t>
      </w:r>
      <w:r w:rsidR="004B0B9C">
        <w:t>,</w:t>
      </w:r>
      <w:r>
        <w:t xml:space="preserve"> Hydrogeology Journal 16(7</w:t>
      </w:r>
      <w:r w:rsidR="004B0B9C">
        <w:t xml:space="preserve">): </w:t>
      </w:r>
      <w:r>
        <w:t xml:space="preserve">1239-1250. </w:t>
      </w:r>
    </w:p>
    <w:p w14:paraId="71BBF624" w14:textId="77777777" w:rsidR="002D337D" w:rsidRDefault="00F30E04" w:rsidP="005D77D8">
      <w:pPr>
        <w:pStyle w:val="Body"/>
        <w:spacing w:afterLines="20" w:after="48" w:line="240" w:lineRule="auto"/>
        <w:ind w:left="567" w:hanging="567"/>
      </w:pPr>
      <w:r w:rsidRPr="00F30E04">
        <w:t>Flemisch B, Fritz J, Helmig R, Niessner J, Wohlmuth B (2007</w:t>
      </w:r>
      <w:r>
        <w:t>)</w:t>
      </w:r>
      <w:r w:rsidRPr="00F30E04">
        <w:t xml:space="preserve"> DUMUX: </w:t>
      </w:r>
      <w:r>
        <w:t>A</w:t>
      </w:r>
      <w:r w:rsidRPr="00F30E04">
        <w:t xml:space="preserve"> multi-scale multi-physics toolbox for flow and transport processes in porous media</w:t>
      </w:r>
      <w:r>
        <w:t>, in:</w:t>
      </w:r>
      <w:r w:rsidRPr="00F30E04">
        <w:t xml:space="preserve"> ECCOMAS</w:t>
      </w:r>
      <w:r>
        <w:t>:</w:t>
      </w:r>
      <w:r w:rsidRPr="00F30E04">
        <w:t xml:space="preserve"> </w:t>
      </w:r>
      <w:r>
        <w:t>T</w:t>
      </w:r>
      <w:r w:rsidRPr="00F30E04">
        <w:t>hematic conference on multi-scale computational methods for solids and fluids, Cachan, France</w:t>
      </w:r>
      <w:r>
        <w:t>, pp. 82–</w:t>
      </w:r>
      <w:r w:rsidRPr="00F30E04">
        <w:t>87.</w:t>
      </w:r>
    </w:p>
    <w:p w14:paraId="52DEACA7" w14:textId="77777777" w:rsidR="002D337D" w:rsidRDefault="00DA1389" w:rsidP="005D77D8">
      <w:pPr>
        <w:pStyle w:val="Body"/>
        <w:spacing w:afterLines="20" w:after="48" w:line="240" w:lineRule="auto"/>
        <w:ind w:left="567" w:hanging="567"/>
      </w:pPr>
      <w:r>
        <w:t>Flodin E, Durlofsky L and Aydin A (2004) Upscaled models of flow and transport in faulted sandstone: boundary condition effects and explicit fracture modelling</w:t>
      </w:r>
      <w:r w:rsidR="004B0B9C">
        <w:t xml:space="preserve">, </w:t>
      </w:r>
      <w:r>
        <w:t>Petroleum Geoscience 10(2</w:t>
      </w:r>
      <w:r w:rsidR="004B0B9C">
        <w:t xml:space="preserve">): </w:t>
      </w:r>
      <w:r>
        <w:t xml:space="preserve">173-181. </w:t>
      </w:r>
    </w:p>
    <w:p w14:paraId="439259F6" w14:textId="77777777" w:rsidR="002D337D" w:rsidRDefault="00DA1389" w:rsidP="005D77D8">
      <w:pPr>
        <w:pStyle w:val="Body"/>
        <w:spacing w:afterLines="20" w:after="48" w:line="240" w:lineRule="auto"/>
        <w:ind w:left="567" w:hanging="567"/>
      </w:pPr>
      <w:r>
        <w:t xml:space="preserve">Forootan E, Awange J, Kusche J, Heck B, and Eicker A (2012) Independent patterns of water mass anomalies over Australia from satellite data and models, </w:t>
      </w:r>
      <w:r w:rsidR="004B0B9C" w:rsidRPr="004B0B9C">
        <w:t>Remote Sensing of Environment</w:t>
      </w:r>
      <w:r w:rsidR="004B0B9C">
        <w:t xml:space="preserve"> </w:t>
      </w:r>
      <w:r>
        <w:t>124:</w:t>
      </w:r>
      <w:r w:rsidR="004B0B9C">
        <w:t xml:space="preserve"> </w:t>
      </w:r>
      <w:r>
        <w:t>427-443</w:t>
      </w:r>
    </w:p>
    <w:p w14:paraId="6091FD4B" w14:textId="77777777" w:rsidR="002D337D" w:rsidRDefault="00787997" w:rsidP="005D77D8">
      <w:pPr>
        <w:pStyle w:val="Body"/>
        <w:spacing w:afterLines="20" w:after="48" w:line="240" w:lineRule="auto"/>
        <w:ind w:left="567" w:hanging="567"/>
      </w:pPr>
      <w:r w:rsidRPr="00787997">
        <w:t>Fournier A, Mosegaard K, Omre H, Sambridge M</w:t>
      </w:r>
      <w:r>
        <w:t xml:space="preserve"> and </w:t>
      </w:r>
      <w:r w:rsidRPr="00787997">
        <w:t xml:space="preserve">Tenorio </w:t>
      </w:r>
      <w:r>
        <w:t>L</w:t>
      </w:r>
      <w:r w:rsidRPr="00787997">
        <w:t xml:space="preserve"> (2013) Assessing uncertainty in geophysical problems</w:t>
      </w:r>
      <w:r>
        <w:t xml:space="preserve"> -</w:t>
      </w:r>
      <w:r w:rsidRPr="00787997">
        <w:t>Introduction</w:t>
      </w:r>
      <w:r>
        <w:t xml:space="preserve">, </w:t>
      </w:r>
      <w:r w:rsidRPr="00787997">
        <w:t>Geophysics 78(3)</w:t>
      </w:r>
      <w:r>
        <w:t>:</w:t>
      </w:r>
      <w:r w:rsidRPr="00787997">
        <w:t xml:space="preserve"> WB1-WB2.</w:t>
      </w:r>
    </w:p>
    <w:p w14:paraId="5BAF18A9" w14:textId="77777777" w:rsidR="002D337D" w:rsidRDefault="004768C0" w:rsidP="005D77D8">
      <w:pPr>
        <w:pStyle w:val="Body"/>
        <w:spacing w:afterLines="20" w:after="48" w:line="240" w:lineRule="auto"/>
        <w:ind w:left="567" w:hanging="567"/>
      </w:pPr>
      <w:r>
        <w:t xml:space="preserve">Freeze RA and Cherry JA (1979) Groundwater, </w:t>
      </w:r>
      <w:r w:rsidRPr="004768C0">
        <w:t>Prentice Hall,</w:t>
      </w:r>
      <w:r>
        <w:t xml:space="preserve"> </w:t>
      </w:r>
      <w:r w:rsidRPr="004768C0">
        <w:t xml:space="preserve">Englewood Cliffs, </w:t>
      </w:r>
      <w:r>
        <w:t>NJ, USA, 604p.</w:t>
      </w:r>
    </w:p>
    <w:p w14:paraId="6751F33E" w14:textId="77777777" w:rsidR="002D337D" w:rsidRDefault="00CB7C6D" w:rsidP="005D77D8">
      <w:pPr>
        <w:pStyle w:val="Body"/>
        <w:spacing w:afterLines="20" w:after="48" w:line="240" w:lineRule="auto"/>
        <w:ind w:left="567" w:hanging="567"/>
      </w:pPr>
      <w:r w:rsidRPr="00CB7C6D">
        <w:t>Freeze RA, James B, Massmann J, Sperling T</w:t>
      </w:r>
      <w:r>
        <w:t xml:space="preserve"> and </w:t>
      </w:r>
      <w:r w:rsidRPr="00CB7C6D">
        <w:t>Smith L</w:t>
      </w:r>
      <w:r w:rsidR="00DD444E">
        <w:t xml:space="preserve"> (1992)</w:t>
      </w:r>
      <w:r w:rsidRPr="00CB7C6D">
        <w:t xml:space="preserve"> Hydrogeological decision analysis: 4. The concept of data worth and its use in the development of site investigation strategies</w:t>
      </w:r>
      <w:r w:rsidR="00DD444E">
        <w:t>,</w:t>
      </w:r>
      <w:r w:rsidRPr="00CB7C6D">
        <w:t xml:space="preserve"> Groundwater 30(4)</w:t>
      </w:r>
      <w:r w:rsidR="00DD444E">
        <w:t>:</w:t>
      </w:r>
      <w:r w:rsidRPr="00CB7C6D">
        <w:t xml:space="preserve"> 574-588.</w:t>
      </w:r>
    </w:p>
    <w:p w14:paraId="4DED8849" w14:textId="77777777" w:rsidR="002D337D" w:rsidRDefault="00DA1389" w:rsidP="005D77D8">
      <w:pPr>
        <w:pStyle w:val="Body"/>
        <w:spacing w:afterLines="20" w:after="48" w:line="240" w:lineRule="auto"/>
        <w:ind w:left="567" w:hanging="567"/>
      </w:pPr>
      <w:r>
        <w:t>Frery E, Langhi L, Rohead-O‘Brien H and Strand J (2014) 3-D modelling of complex coal bed methane basins, Gloucester Basin case study, NSW</w:t>
      </w:r>
      <w:r w:rsidR="004B0B9C">
        <w:t xml:space="preserve">, proceedings of the </w:t>
      </w:r>
      <w:r>
        <w:t>Australian Earth Sciences Convention 7-10 July 2014</w:t>
      </w:r>
      <w:r w:rsidR="004B0B9C">
        <w:t>,</w:t>
      </w:r>
      <w:r>
        <w:t xml:space="preserve"> Geological Society of Australia.</w:t>
      </w:r>
    </w:p>
    <w:p w14:paraId="2C922E8A" w14:textId="77777777" w:rsidR="002D337D" w:rsidRDefault="00DA1389" w:rsidP="005D77D8">
      <w:pPr>
        <w:pStyle w:val="Body"/>
        <w:spacing w:afterLines="20" w:after="48" w:line="240" w:lineRule="auto"/>
        <w:ind w:left="567" w:hanging="567"/>
      </w:pPr>
      <w:r>
        <w:t xml:space="preserve">Fulljames JR, Zijerveld LJJ and Franssen RCMW (1997) Fault seal processes- </w:t>
      </w:r>
      <w:r w:rsidR="004B0B9C">
        <w:t xml:space="preserve">Systematic </w:t>
      </w:r>
      <w:r>
        <w:t>analysis of fault seals over geological and production time scales</w:t>
      </w:r>
      <w:r w:rsidR="004B0B9C">
        <w:t>, in:</w:t>
      </w:r>
      <w:r>
        <w:t xml:space="preserve"> Møller-Pedersen P and Koestler AG (eds) Hydrocarbon Seals: Importance for Exploration and Production</w:t>
      </w:r>
      <w:r w:rsidR="004B0B9C">
        <w:t>,</w:t>
      </w:r>
      <w:r>
        <w:t xml:space="preserve"> Elsevier Science, New York, </w:t>
      </w:r>
      <w:r w:rsidR="004B0B9C">
        <w:t>NY, USA, pp.</w:t>
      </w:r>
      <w:r>
        <w:t>51-59.</w:t>
      </w:r>
    </w:p>
    <w:p w14:paraId="7F102BB0" w14:textId="07AC0653" w:rsidR="002D337D" w:rsidRDefault="00DA1389" w:rsidP="005D77D8">
      <w:pPr>
        <w:pStyle w:val="Body"/>
        <w:spacing w:afterLines="20" w:after="48" w:line="240" w:lineRule="auto"/>
        <w:ind w:left="567" w:hanging="567"/>
      </w:pPr>
      <w:r w:rsidRPr="00DA1389">
        <w:t>Great Artesian Basin Consultative Council</w:t>
      </w:r>
      <w:r>
        <w:t xml:space="preserve"> (1998) </w:t>
      </w:r>
      <w:r w:rsidRPr="00DA1389">
        <w:t>Great Artesian Basin Resource Stud</w:t>
      </w:r>
      <w:r>
        <w:t xml:space="preserve">y, Cox </w:t>
      </w:r>
      <w:r w:rsidR="004B0B9C">
        <w:t xml:space="preserve">R and </w:t>
      </w:r>
      <w:r>
        <w:t xml:space="preserve">Barron </w:t>
      </w:r>
      <w:r w:rsidR="004B0B9C">
        <w:t xml:space="preserve">A </w:t>
      </w:r>
      <w:r>
        <w:t>(eds</w:t>
      </w:r>
      <w:r w:rsidR="000D664D">
        <w:t>.</w:t>
      </w:r>
      <w:r>
        <w:t>), 237p.</w:t>
      </w:r>
    </w:p>
    <w:p w14:paraId="2A68EAB0" w14:textId="77777777" w:rsidR="002D337D" w:rsidRDefault="004768C0" w:rsidP="005D77D8">
      <w:pPr>
        <w:pStyle w:val="Body"/>
        <w:spacing w:afterLines="20" w:after="48" w:line="240" w:lineRule="auto"/>
        <w:ind w:left="567" w:hanging="567"/>
      </w:pPr>
      <w:r w:rsidRPr="00DA1389">
        <w:t>Great Artesian Basin Consultative Council</w:t>
      </w:r>
      <w:r>
        <w:t xml:space="preserve"> (2010), Great Artesian Basin Resource Study Update, 138p, URL=&lt;</w:t>
      </w:r>
      <w:r w:rsidRPr="004768C0">
        <w:t>http://www.gabcc.gov.au/system/files/resources/66540f98-c828-4268-8b8b-b37f8193cde7/files/resource-study-2010-update.pdf</w:t>
      </w:r>
      <w:r>
        <w:t>&gt;, viewed 16 November 2015.</w:t>
      </w:r>
    </w:p>
    <w:p w14:paraId="16001D35" w14:textId="77777777" w:rsidR="002D337D" w:rsidRDefault="00DA1389" w:rsidP="005D77D8">
      <w:pPr>
        <w:pStyle w:val="Body"/>
        <w:spacing w:afterLines="20" w:after="48" w:line="240" w:lineRule="auto"/>
        <w:ind w:left="567" w:hanging="567"/>
      </w:pPr>
      <w:r>
        <w:t xml:space="preserve">Gardner WP, Harrington GA and Smerdon BD (2012) Using excess </w:t>
      </w:r>
      <w:r w:rsidR="0070043F" w:rsidRPr="0070043F">
        <w:rPr>
          <w:vertAlign w:val="superscript"/>
        </w:rPr>
        <w:t>4</w:t>
      </w:r>
      <w:r>
        <w:t>He to quantify variability in aquitard leakage</w:t>
      </w:r>
      <w:r w:rsidR="004B0B9C">
        <w:t xml:space="preserve">, </w:t>
      </w:r>
      <w:r>
        <w:t>Journal of Hydrology 468</w:t>
      </w:r>
      <w:r w:rsidR="004B0B9C">
        <w:t>:</w:t>
      </w:r>
      <w:r>
        <w:t xml:space="preserve"> 63-75. </w:t>
      </w:r>
    </w:p>
    <w:p w14:paraId="1D6D47BB" w14:textId="77777777" w:rsidR="002D337D" w:rsidRDefault="00BC10F2" w:rsidP="005D77D8">
      <w:pPr>
        <w:pStyle w:val="Body"/>
        <w:spacing w:afterLines="20" w:after="48" w:line="240" w:lineRule="auto"/>
        <w:ind w:left="567" w:hanging="567"/>
      </w:pPr>
      <w:r>
        <w:t>Gasda SE, Nordbotten JM</w:t>
      </w:r>
      <w:r w:rsidR="004B0B9C">
        <w:t xml:space="preserve"> and</w:t>
      </w:r>
      <w:r>
        <w:t xml:space="preserve"> Celia MA (2009) Vertical equilibrium with sub-scale analytical methods for geological CO</w:t>
      </w:r>
      <w:r w:rsidRPr="00BC10F2">
        <w:rPr>
          <w:vertAlign w:val="subscript"/>
        </w:rPr>
        <w:t>2</w:t>
      </w:r>
      <w:r>
        <w:t xml:space="preserve"> sequestration, Computational Geosciences, 13(4)</w:t>
      </w:r>
      <w:r w:rsidR="004B0B9C">
        <w:t>:</w:t>
      </w:r>
      <w:r>
        <w:t xml:space="preserve"> 469–481.</w:t>
      </w:r>
    </w:p>
    <w:p w14:paraId="0465A3BC" w14:textId="77777777" w:rsidR="002D337D" w:rsidRDefault="00DA1389" w:rsidP="005D77D8">
      <w:pPr>
        <w:pStyle w:val="Body"/>
        <w:spacing w:afterLines="20" w:after="48" w:line="240" w:lineRule="auto"/>
        <w:ind w:left="567" w:hanging="567"/>
      </w:pPr>
      <w:r>
        <w:t>Gelhar L (1993) Stochastic Subsurface Hydrology</w:t>
      </w:r>
      <w:r w:rsidR="004B0B9C">
        <w:t>,</w:t>
      </w:r>
      <w:r>
        <w:t xml:space="preserve"> Prentice-Hall, Englewood Cliffs, NJ, USA.</w:t>
      </w:r>
    </w:p>
    <w:p w14:paraId="4A470BC2" w14:textId="77777777" w:rsidR="002D337D" w:rsidRDefault="004768C0" w:rsidP="005D77D8">
      <w:pPr>
        <w:pStyle w:val="Body"/>
        <w:spacing w:afterLines="20" w:after="48" w:line="240" w:lineRule="auto"/>
        <w:ind w:left="567" w:hanging="567"/>
      </w:pPr>
      <w:r w:rsidRPr="004768C0">
        <w:t xml:space="preserve">Geoterra </w:t>
      </w:r>
      <w:r>
        <w:t>(</w:t>
      </w:r>
      <w:r w:rsidRPr="004768C0">
        <w:t>2008</w:t>
      </w:r>
      <w:r>
        <w:t>)</w:t>
      </w:r>
      <w:r w:rsidRPr="004768C0">
        <w:t xml:space="preserve"> Groundwater Assessment of the Sunnyside Coal Project via Gunnedah, NSW.</w:t>
      </w:r>
    </w:p>
    <w:p w14:paraId="229AEE9D" w14:textId="77777777" w:rsidR="002D337D" w:rsidRDefault="00DA1389" w:rsidP="005D77D8">
      <w:pPr>
        <w:pStyle w:val="Body"/>
        <w:spacing w:afterLines="20" w:after="48" w:line="240" w:lineRule="auto"/>
        <w:ind w:left="567" w:hanging="567"/>
      </w:pPr>
      <w:r>
        <w:t>Gerke H and van Genuchten M (1993a) A dual-porosity model for simulating the preferential movement of water and solutes in structured porous media</w:t>
      </w:r>
      <w:r w:rsidR="004B0B9C">
        <w:t xml:space="preserve">, </w:t>
      </w:r>
      <w:r>
        <w:t>Water Resources Research 29(2</w:t>
      </w:r>
      <w:r w:rsidR="004B0B9C">
        <w:t xml:space="preserve">): </w:t>
      </w:r>
      <w:r>
        <w:t xml:space="preserve">305-319. </w:t>
      </w:r>
    </w:p>
    <w:p w14:paraId="2CC0CE69" w14:textId="77777777" w:rsidR="002D337D" w:rsidRDefault="00DA1389" w:rsidP="005D77D8">
      <w:pPr>
        <w:pStyle w:val="Body"/>
        <w:spacing w:afterLines="20" w:after="48" w:line="240" w:lineRule="auto"/>
        <w:ind w:left="567" w:hanging="567"/>
      </w:pPr>
      <w:r>
        <w:t>Gerke H and van Genuchten M (1993b) Evaluation of a 1st-order water transfer term for variably saturated dual-porosity flow models</w:t>
      </w:r>
      <w:r w:rsidR="004B0B9C">
        <w:t xml:space="preserve">, </w:t>
      </w:r>
      <w:r>
        <w:t>Water Resources Research 29(4</w:t>
      </w:r>
      <w:r w:rsidR="004B0B9C">
        <w:t xml:space="preserve">): </w:t>
      </w:r>
      <w:r>
        <w:t xml:space="preserve">1225-1238. </w:t>
      </w:r>
    </w:p>
    <w:p w14:paraId="7BBB4FA8" w14:textId="77777777" w:rsidR="002D337D" w:rsidRDefault="00DA1389" w:rsidP="005D77D8">
      <w:pPr>
        <w:pStyle w:val="Body"/>
        <w:spacing w:afterLines="20" w:after="48" w:line="240" w:lineRule="auto"/>
        <w:ind w:left="567" w:hanging="567"/>
      </w:pPr>
      <w:r>
        <w:t xml:space="preserve">Gerke K, Vasilyev R, Korost D, Karsanina M, Balushkina N, Khamildullin R, Mallants D (2013) Determining </w:t>
      </w:r>
      <w:r w:rsidR="004B0B9C">
        <w:t xml:space="preserve">physical properties of unconventional reservoir rocks: From laboratory methods to pore-scale modeling, </w:t>
      </w:r>
      <w:r>
        <w:t>SPE Unconventional Resources Conference and Exhibition-Asia Pacific</w:t>
      </w:r>
      <w:r w:rsidR="007B19D6">
        <w:t>,</w:t>
      </w:r>
      <w:r>
        <w:t xml:space="preserve"> Society of Petroleum Engineers.</w:t>
      </w:r>
    </w:p>
    <w:p w14:paraId="5BEBE51A" w14:textId="77777777" w:rsidR="002D337D" w:rsidRDefault="00DA1389" w:rsidP="005D77D8">
      <w:pPr>
        <w:pStyle w:val="Body"/>
        <w:spacing w:afterLines="20" w:after="48" w:line="240" w:lineRule="auto"/>
        <w:ind w:left="567" w:hanging="567"/>
      </w:pPr>
      <w:r>
        <w:t>GHD (2011) Report for QWC17-10 Stage 2: Surat Cumulative Management Area Groundwater Model Report (Draft). Brisbane, Queensland.</w:t>
      </w:r>
    </w:p>
    <w:p w14:paraId="03C10711" w14:textId="77777777" w:rsidR="002D337D" w:rsidRDefault="004768C0" w:rsidP="005D77D8">
      <w:pPr>
        <w:pStyle w:val="Body"/>
        <w:spacing w:afterLines="20" w:after="48" w:line="240" w:lineRule="auto"/>
        <w:ind w:left="567" w:hanging="567"/>
      </w:pPr>
      <w:r>
        <w:t xml:space="preserve">Golder Associates (2008) Report on groundwater modelling for Sunnyside open pit coal mine, Gunnedah, NSW, in: Geoterra (2008) Groundwater </w:t>
      </w:r>
      <w:r w:rsidR="007B19D6">
        <w:t xml:space="preserve">assessment </w:t>
      </w:r>
      <w:r>
        <w:t xml:space="preserve">of the Sunnyside </w:t>
      </w:r>
      <w:r w:rsidR="007B19D6">
        <w:t xml:space="preserve">Coal Project </w:t>
      </w:r>
      <w:r>
        <w:t>via Gunnedah.</w:t>
      </w:r>
    </w:p>
    <w:p w14:paraId="1F38CAE1" w14:textId="77777777" w:rsidR="002D337D" w:rsidRDefault="004768C0" w:rsidP="005D77D8">
      <w:pPr>
        <w:pStyle w:val="Body"/>
        <w:spacing w:afterLines="20" w:after="48" w:line="240" w:lineRule="auto"/>
        <w:ind w:left="567" w:hanging="567"/>
      </w:pPr>
      <w:r>
        <w:t xml:space="preserve">Golder Associates (2010) Santos Gunnedah Basin CSG Project Groundwater Impact Study – Kahlua Pilot Test, report </w:t>
      </w:r>
      <w:r w:rsidR="007B19D6">
        <w:t>no.</w:t>
      </w:r>
      <w:r>
        <w:t xml:space="preserve"> 107626100-005-Rev1.</w:t>
      </w:r>
    </w:p>
    <w:p w14:paraId="60CBD9F3" w14:textId="2DA9EE2A" w:rsidR="002D337D" w:rsidRDefault="00E54883" w:rsidP="005D77D8">
      <w:pPr>
        <w:pStyle w:val="Body"/>
        <w:spacing w:afterLines="20" w:after="48" w:line="240" w:lineRule="auto"/>
        <w:ind w:left="567" w:hanging="567"/>
      </w:pPr>
      <w:r>
        <w:t>Golder Associates (2015), FracMan Reservoir Edition, URL=&lt;</w:t>
      </w:r>
      <w:r w:rsidRPr="00E54883">
        <w:t>http://www.golder.com/us/modules.php?name=Services&amp;op=viewbrochure&amp;sp_id=1139&amp;brochure_id=82</w:t>
      </w:r>
      <w:r>
        <w:t>&gt;, viewed 16 November 2015.</w:t>
      </w:r>
    </w:p>
    <w:p w14:paraId="077532AC" w14:textId="77777777" w:rsidR="002D337D" w:rsidRDefault="001F0B04" w:rsidP="005D77D8">
      <w:pPr>
        <w:pStyle w:val="Body"/>
        <w:spacing w:afterLines="20" w:after="48" w:line="240" w:lineRule="auto"/>
        <w:ind w:left="567" w:hanging="567"/>
      </w:pPr>
      <w:r>
        <w:t xml:space="preserve">Gómez-Hernández </w:t>
      </w:r>
      <w:r w:rsidR="00DA1389">
        <w:t>J and Wen X (1998) To be or not to be multi-Gaussian? A reflection on stochastic hydrogeology</w:t>
      </w:r>
      <w:r w:rsidR="007B19D6">
        <w:t>,</w:t>
      </w:r>
      <w:r w:rsidR="00DA1389">
        <w:t xml:space="preserve"> Advances in Water Resources 21(1)</w:t>
      </w:r>
      <w:r w:rsidR="007B19D6">
        <w:t>:</w:t>
      </w:r>
      <w:r w:rsidR="00DA1389">
        <w:t xml:space="preserve"> 47-61. </w:t>
      </w:r>
    </w:p>
    <w:p w14:paraId="36259979" w14:textId="77777777" w:rsidR="002D337D" w:rsidRDefault="001F0B04" w:rsidP="005D77D8">
      <w:pPr>
        <w:pStyle w:val="Body"/>
        <w:spacing w:afterLines="20" w:after="48" w:line="240" w:lineRule="auto"/>
        <w:ind w:left="567" w:hanging="567"/>
      </w:pPr>
      <w:r>
        <w:t>Gómez-Hernández J and Journel A (1993) Joint simulation of multiGaussian random variables</w:t>
      </w:r>
      <w:r w:rsidR="007B19D6">
        <w:t>,</w:t>
      </w:r>
      <w:r>
        <w:t xml:space="preserve"> Geostatistics </w:t>
      </w:r>
      <w:r w:rsidR="007B19D6">
        <w:t>T</w:t>
      </w:r>
      <w:r>
        <w:t>róia 92(1)</w:t>
      </w:r>
      <w:r w:rsidR="007B19D6">
        <w:t>:</w:t>
      </w:r>
      <w:r>
        <w:t xml:space="preserve"> 85-94. </w:t>
      </w:r>
    </w:p>
    <w:p w14:paraId="5B7D7825" w14:textId="77777777" w:rsidR="002D337D" w:rsidRDefault="00DA1389" w:rsidP="005D77D8">
      <w:pPr>
        <w:pStyle w:val="Body"/>
        <w:spacing w:afterLines="20" w:after="48" w:line="240" w:lineRule="auto"/>
        <w:ind w:left="567" w:hanging="567"/>
      </w:pPr>
      <w:r>
        <w:t xml:space="preserve">Green T and Selby T (1994) Pyridine sorption isotherms of Argonne premium coals - </w:t>
      </w:r>
      <w:r w:rsidR="007B19D6">
        <w:t>D</w:t>
      </w:r>
      <w:r>
        <w:t>ual-model sorption and coal microporosity</w:t>
      </w:r>
      <w:r w:rsidR="007B19D6">
        <w:t>,</w:t>
      </w:r>
      <w:r>
        <w:t xml:space="preserve"> Energy </w:t>
      </w:r>
      <w:r w:rsidR="007B19D6">
        <w:t xml:space="preserve">and </w:t>
      </w:r>
      <w:r>
        <w:t>Fuels 8(1)</w:t>
      </w:r>
      <w:r w:rsidR="007B19D6">
        <w:t>:</w:t>
      </w:r>
      <w:r>
        <w:t xml:space="preserve"> 213-218. </w:t>
      </w:r>
    </w:p>
    <w:p w14:paraId="7776FE54" w14:textId="77777777" w:rsidR="002D337D" w:rsidRDefault="00DA1389" w:rsidP="005D77D8">
      <w:pPr>
        <w:pStyle w:val="Body"/>
        <w:spacing w:afterLines="20" w:after="48" w:line="240" w:lineRule="auto"/>
        <w:ind w:left="567" w:hanging="567"/>
      </w:pPr>
      <w:r>
        <w:t xml:space="preserve">Guardiano FB and Srivastava RM (1993) Multivariate geostatistics: </w:t>
      </w:r>
      <w:r w:rsidR="007B19D6">
        <w:t>B</w:t>
      </w:r>
      <w:r>
        <w:t>eyond bivariate moments</w:t>
      </w:r>
      <w:r w:rsidR="007B19D6">
        <w:t>,</w:t>
      </w:r>
      <w:r>
        <w:t xml:space="preserve"> Geostatistics Troia</w:t>
      </w:r>
      <w:r w:rsidR="007B19D6">
        <w:t xml:space="preserve"> </w:t>
      </w:r>
      <w:r>
        <w:t>92</w:t>
      </w:r>
      <w:r w:rsidR="007B19D6">
        <w:t>,</w:t>
      </w:r>
      <w:r>
        <w:t xml:space="preserve"> Springer, 133-144.</w:t>
      </w:r>
    </w:p>
    <w:p w14:paraId="2B07C305" w14:textId="77777777" w:rsidR="002D337D" w:rsidRDefault="001F0B04" w:rsidP="005D77D8">
      <w:pPr>
        <w:pStyle w:val="Body"/>
        <w:spacing w:afterLines="20" w:after="48" w:line="240" w:lineRule="auto"/>
        <w:ind w:left="567" w:hanging="567"/>
      </w:pPr>
      <w:r w:rsidRPr="001F0B04">
        <w:t>Guo</w:t>
      </w:r>
      <w:r>
        <w:t xml:space="preserve"> </w:t>
      </w:r>
      <w:r w:rsidRPr="001F0B04">
        <w:t>H</w:t>
      </w:r>
      <w:r>
        <w:t xml:space="preserve">, </w:t>
      </w:r>
      <w:r w:rsidRPr="001F0B04">
        <w:t xml:space="preserve">Adhikary DP, </w:t>
      </w:r>
      <w:r>
        <w:t xml:space="preserve">and </w:t>
      </w:r>
      <w:r w:rsidRPr="001F0B04">
        <w:t>Craig MS (2009) Simulation of mine water inflow and gas emission during longwall mining</w:t>
      </w:r>
      <w:r>
        <w:t>,</w:t>
      </w:r>
      <w:r w:rsidRPr="001F0B04">
        <w:t xml:space="preserve"> Rock Mechanics and Rock Engineering, 42(1)</w:t>
      </w:r>
      <w:r w:rsidR="007B19D6">
        <w:t>:</w:t>
      </w:r>
      <w:r w:rsidRPr="001F0B04">
        <w:t xml:space="preserve"> 25-51.</w:t>
      </w:r>
    </w:p>
    <w:p w14:paraId="63D15CDF" w14:textId="77777777" w:rsidR="002D337D" w:rsidRDefault="00DA1389" w:rsidP="005D77D8">
      <w:pPr>
        <w:pStyle w:val="Body"/>
        <w:spacing w:afterLines="20" w:after="48" w:line="240" w:lineRule="auto"/>
        <w:ind w:left="567" w:hanging="567"/>
      </w:pPr>
      <w:r>
        <w:t>Hadamard J (1902) Sur les problèmes aux dérivées partielles et leur signification physique</w:t>
      </w:r>
      <w:r w:rsidR="007B19D6">
        <w:t>,</w:t>
      </w:r>
      <w:r>
        <w:t xml:space="preserve"> Princeton University Bulletin 13(49-52), 28. </w:t>
      </w:r>
    </w:p>
    <w:p w14:paraId="71E4D0D8" w14:textId="77777777" w:rsidR="002D337D" w:rsidRDefault="00DA1389" w:rsidP="005D77D8">
      <w:pPr>
        <w:pStyle w:val="Body"/>
        <w:spacing w:afterLines="20" w:after="48" w:line="240" w:lineRule="auto"/>
        <w:ind w:left="567" w:hanging="567"/>
      </w:pPr>
      <w:r>
        <w:t>Halford KJ and Hanson RT (2002) User guide for the drawdown-limited, multi-node well (MNW) package for the US Geological Survey's modular three-dimensional finite-difference ground-water flow model, versions MODFLOW-96 and MODFLOW-2000</w:t>
      </w:r>
      <w:r w:rsidR="007B19D6">
        <w:t xml:space="preserve">, </w:t>
      </w:r>
      <w:r>
        <w:t>US Department of the Interior, US Geological Survey.</w:t>
      </w:r>
    </w:p>
    <w:p w14:paraId="722CD5A4" w14:textId="6B22861D" w:rsidR="002D337D" w:rsidRDefault="008E7895" w:rsidP="005D77D8">
      <w:pPr>
        <w:pStyle w:val="Body"/>
        <w:spacing w:afterLines="20" w:after="48" w:line="240" w:lineRule="auto"/>
        <w:ind w:left="567" w:hanging="567"/>
      </w:pPr>
      <w:r w:rsidRPr="008E7895">
        <w:t xml:space="preserve">Hall M (2012) Do you know what you think you know? CSEG Recorder 37(2): 30-34. </w:t>
      </w:r>
    </w:p>
    <w:p w14:paraId="3D0CF96D" w14:textId="77777777" w:rsidR="002D337D" w:rsidRDefault="00DA1389" w:rsidP="005D77D8">
      <w:pPr>
        <w:pStyle w:val="Body"/>
        <w:spacing w:afterLines="20" w:after="48" w:line="240" w:lineRule="auto"/>
        <w:ind w:left="567" w:hanging="567"/>
      </w:pPr>
      <w:r>
        <w:t>Hantush M (1960) Modification of the theory of leaky aquifers</w:t>
      </w:r>
      <w:r w:rsidR="007B19D6">
        <w:t xml:space="preserve">, </w:t>
      </w:r>
      <w:r>
        <w:t>Journal of Geophysical Research 65(11</w:t>
      </w:r>
      <w:r w:rsidR="007B19D6">
        <w:t xml:space="preserve">): </w:t>
      </w:r>
      <w:r>
        <w:t xml:space="preserve">3713-3725. </w:t>
      </w:r>
    </w:p>
    <w:p w14:paraId="35C9A663" w14:textId="77777777" w:rsidR="002D337D" w:rsidRDefault="00DA1389" w:rsidP="005D77D8">
      <w:pPr>
        <w:pStyle w:val="Body"/>
        <w:spacing w:afterLines="20" w:after="48" w:line="240" w:lineRule="auto"/>
        <w:ind w:left="567" w:hanging="567"/>
      </w:pPr>
      <w:r>
        <w:t>Hantush M (1966) Analysis of data from pumping tests in anisotropic aquifers. Journal of Geophysical Research 71(2</w:t>
      </w:r>
      <w:r w:rsidR="007B19D6">
        <w:t>).</w:t>
      </w:r>
    </w:p>
    <w:p w14:paraId="1400EB00" w14:textId="2FF26D36" w:rsidR="002D337D" w:rsidRDefault="007B078F" w:rsidP="005D77D8">
      <w:pPr>
        <w:pStyle w:val="Body"/>
        <w:spacing w:afterLines="20" w:after="48" w:line="240" w:lineRule="auto"/>
        <w:ind w:left="567" w:hanging="567"/>
      </w:pPr>
      <w:r w:rsidRPr="007B078F">
        <w:t>Hao Y, Sun Y</w:t>
      </w:r>
      <w:r w:rsidR="007B19D6">
        <w:t xml:space="preserve"> and</w:t>
      </w:r>
      <w:r w:rsidRPr="007B078F">
        <w:t xml:space="preserve"> Nitao JJ</w:t>
      </w:r>
      <w:r>
        <w:t xml:space="preserve"> (2012)</w:t>
      </w:r>
      <w:r w:rsidRPr="007B078F">
        <w:t xml:space="preserve"> Overview of NUFT: A versatile numerical model for simulating flow and reactive transport in porous media</w:t>
      </w:r>
      <w:r>
        <w:t xml:space="preserve">, in: </w:t>
      </w:r>
      <w:r w:rsidR="007B19D6" w:rsidRPr="007B078F">
        <w:t>Zhang et al.</w:t>
      </w:r>
      <w:r w:rsidR="007B19D6">
        <w:t xml:space="preserve"> (ed.s), </w:t>
      </w:r>
      <w:r w:rsidRPr="007B078F">
        <w:t>Groundwater Reactive Transport Models</w:t>
      </w:r>
      <w:r>
        <w:t>, pp.</w:t>
      </w:r>
      <w:r w:rsidR="000D664D">
        <w:t xml:space="preserve"> </w:t>
      </w:r>
      <w:r w:rsidRPr="007B078F">
        <w:t>212-239.</w:t>
      </w:r>
    </w:p>
    <w:p w14:paraId="024419F9" w14:textId="77777777" w:rsidR="002D337D" w:rsidRDefault="00DA1389" w:rsidP="005D77D8">
      <w:pPr>
        <w:pStyle w:val="Body"/>
        <w:spacing w:afterLines="20" w:after="48" w:line="240" w:lineRule="auto"/>
        <w:ind w:left="567" w:hanging="567"/>
      </w:pPr>
      <w:r>
        <w:t>Harbaugh A, Banta E, Hill M and McDonald M (2000) MODFLOW-2000, the US Geological Survey modular ground-water model: User guide to modularization concepts and the ground-water flow process</w:t>
      </w:r>
      <w:r w:rsidR="007B19D6">
        <w:t>,</w:t>
      </w:r>
      <w:r>
        <w:t xml:space="preserve"> U.S. Geological Survey.</w:t>
      </w:r>
    </w:p>
    <w:p w14:paraId="09A51710" w14:textId="77777777" w:rsidR="002D337D" w:rsidRDefault="00DA1389" w:rsidP="005D77D8">
      <w:pPr>
        <w:pStyle w:val="Body"/>
        <w:spacing w:afterLines="20" w:after="48" w:line="240" w:lineRule="auto"/>
        <w:ind w:left="567" w:hanging="567"/>
      </w:pPr>
      <w:r>
        <w:t>Harbaugh AW (2005) MODFLOW-2005, the US Geological Survey modular ground-water model: The ground-water flow process</w:t>
      </w:r>
      <w:r w:rsidR="007B19D6">
        <w:t>,</w:t>
      </w:r>
      <w:r>
        <w:t xml:space="preserve"> US Department of the Interior, US Geological Survey Reston, VA, USA.</w:t>
      </w:r>
    </w:p>
    <w:p w14:paraId="1D727DBC" w14:textId="77777777" w:rsidR="002D337D" w:rsidRDefault="00DA1389" w:rsidP="005D77D8">
      <w:pPr>
        <w:pStyle w:val="Body"/>
        <w:spacing w:afterLines="20" w:after="48" w:line="240" w:lineRule="auto"/>
        <w:ind w:left="567" w:hanging="567"/>
      </w:pPr>
      <w:r>
        <w:t>Harrington G, Gardner W, Smerdon B and Hendry M (2013) Palaeohydrogeological insights from natural tracer profiles in aquitard porewater, Great Artesian Basin, Australia</w:t>
      </w:r>
      <w:r w:rsidR="007B19D6">
        <w:t>,</w:t>
      </w:r>
      <w:r>
        <w:t xml:space="preserve"> Water Resources Research 49(7)</w:t>
      </w:r>
      <w:r w:rsidR="007B19D6">
        <w:t>:</w:t>
      </w:r>
      <w:r>
        <w:t xml:space="preserve"> 4054-4070. </w:t>
      </w:r>
    </w:p>
    <w:p w14:paraId="4C4E5341" w14:textId="77777777" w:rsidR="002D337D" w:rsidRDefault="00DA1389" w:rsidP="005D77D8">
      <w:pPr>
        <w:pStyle w:val="Body"/>
        <w:spacing w:afterLines="20" w:after="48" w:line="240" w:lineRule="auto"/>
        <w:ind w:left="567" w:hanging="567"/>
      </w:pPr>
      <w:r>
        <w:t>Hart D, Bradbury K and Feinstein D (2006) The vertical hydraulic conductivity of an aquitard at two spatial scales</w:t>
      </w:r>
      <w:r w:rsidR="007B19D6">
        <w:t>,</w:t>
      </w:r>
      <w:r>
        <w:t xml:space="preserve"> Ground Water 44(2</w:t>
      </w:r>
      <w:r w:rsidR="007B19D6">
        <w:t xml:space="preserve">): </w:t>
      </w:r>
      <w:r>
        <w:t xml:space="preserve">201-211. </w:t>
      </w:r>
    </w:p>
    <w:p w14:paraId="73DCB785" w14:textId="5F8228D8" w:rsidR="002D337D" w:rsidRDefault="00DA1389" w:rsidP="005D77D8">
      <w:pPr>
        <w:pStyle w:val="Body"/>
        <w:spacing w:afterLines="20" w:after="48" w:line="240" w:lineRule="auto"/>
        <w:ind w:left="567" w:hanging="567"/>
      </w:pPr>
      <w:r>
        <w:t>He XL, Sonnenberg TO, Jørgensen F and Jensen KH (2014) The effect of training image and secondary data integration with multiple-point geostatistics in groundwater modelling</w:t>
      </w:r>
      <w:r w:rsidR="007B19D6">
        <w:t xml:space="preserve">, </w:t>
      </w:r>
      <w:r>
        <w:t>Hydrology and Earth System Sciences 18: 2943</w:t>
      </w:r>
      <w:r w:rsidR="007B19D6">
        <w:t>-</w:t>
      </w:r>
      <w:r>
        <w:t xml:space="preserve">2954. </w:t>
      </w:r>
    </w:p>
    <w:p w14:paraId="40C78B96" w14:textId="1F65DDE8" w:rsidR="00DC1DD0" w:rsidRDefault="00DC1DD0" w:rsidP="00A45100">
      <w:pPr>
        <w:pStyle w:val="Body"/>
        <w:spacing w:afterLines="20" w:after="48" w:line="240" w:lineRule="auto"/>
        <w:ind w:left="567" w:hanging="567"/>
      </w:pPr>
      <w:r>
        <w:t>Helton</w:t>
      </w:r>
      <w:r w:rsidRPr="00DC1DD0">
        <w:t xml:space="preserve"> </w:t>
      </w:r>
      <w:r>
        <w:t>JC, Johnson</w:t>
      </w:r>
      <w:r w:rsidRPr="00DC1DD0">
        <w:t xml:space="preserve"> </w:t>
      </w:r>
      <w:r>
        <w:t>JD, Oberkampf WL (2004) An exploration of alternative approaches to the representation of uncertainty in model predictions. Reliability Engineering and System Safety 85: 39–71.</w:t>
      </w:r>
    </w:p>
    <w:p w14:paraId="78F77DA4" w14:textId="21FED54A" w:rsidR="00254DF5" w:rsidRDefault="00254DF5" w:rsidP="00A45100">
      <w:pPr>
        <w:pStyle w:val="Body"/>
        <w:spacing w:afterLines="20" w:after="48" w:line="240" w:lineRule="auto"/>
        <w:ind w:left="567" w:hanging="567"/>
      </w:pPr>
      <w:r>
        <w:t>Helton JC, Johnson JD, Oberkampf WL, Sallaberry CJ (2008) Representation of Analysis Results Involving Aleatory and</w:t>
      </w:r>
      <w:r w:rsidR="00DC1DD0">
        <w:t xml:space="preserve"> </w:t>
      </w:r>
      <w:r>
        <w:t>Epistemic Uncertainty. SAND2008-4379. Sandia National Laboratories, Albuquerque, New Mexico, 60 pp.</w:t>
      </w:r>
    </w:p>
    <w:p w14:paraId="757955CF" w14:textId="77777777" w:rsidR="002D337D" w:rsidRDefault="00DA1389" w:rsidP="005D77D8">
      <w:pPr>
        <w:pStyle w:val="Body"/>
        <w:spacing w:afterLines="20" w:after="48" w:line="240" w:lineRule="auto"/>
        <w:ind w:left="567" w:hanging="567"/>
      </w:pPr>
      <w:r>
        <w:t>Herbert AW (1996) Modelling approaches for discrete fracture network flow analysis</w:t>
      </w:r>
      <w:r w:rsidR="007B19D6">
        <w:t>, in</w:t>
      </w:r>
      <w:r>
        <w:t>: Stephansson O, Jing L and Tsang C-F (ed</w:t>
      </w:r>
      <w:r w:rsidR="007B19D6">
        <w:t>.</w:t>
      </w:r>
      <w:r>
        <w:t>s) Coupled Thermo-Hydro-Mechanical Processes of Fractured Media</w:t>
      </w:r>
      <w:r w:rsidR="007B19D6">
        <w:t>,</w:t>
      </w:r>
      <w:r>
        <w:t xml:space="preserve"> Elsevier, New York</w:t>
      </w:r>
      <w:r w:rsidR="007B19D6">
        <w:t>, NY, USA</w:t>
      </w:r>
      <w:r>
        <w:t>, 213-229.</w:t>
      </w:r>
    </w:p>
    <w:p w14:paraId="4ADDE700" w14:textId="77777777" w:rsidR="002D337D" w:rsidRDefault="00DA1389" w:rsidP="005D77D8">
      <w:pPr>
        <w:pStyle w:val="Body"/>
        <w:spacing w:afterLines="20" w:after="48" w:line="240" w:lineRule="auto"/>
        <w:ind w:left="567" w:hanging="567"/>
      </w:pPr>
      <w:r>
        <w:t>Herckenrath D, Doherty J and Panday S (2015) Incorporating the effect of gas in modelling the impact of CBM extraction on regional groundwater systems</w:t>
      </w:r>
      <w:r w:rsidR="007B19D6">
        <w:t>,</w:t>
      </w:r>
      <w:r>
        <w:t xml:space="preserve"> Journal of Hydrology 523</w:t>
      </w:r>
      <w:r w:rsidR="007B19D6">
        <w:t>:</w:t>
      </w:r>
      <w:r>
        <w:t xml:space="preserve"> 587-601. </w:t>
      </w:r>
    </w:p>
    <w:p w14:paraId="3DF3CE21" w14:textId="77777777" w:rsidR="002D337D" w:rsidRDefault="00DA1389" w:rsidP="005D77D8">
      <w:pPr>
        <w:pStyle w:val="Body"/>
        <w:spacing w:afterLines="20" w:after="48" w:line="240" w:lineRule="auto"/>
        <w:ind w:left="567" w:hanging="567"/>
      </w:pPr>
      <w:r>
        <w:t xml:space="preserve">Heynekamp MR, Goodwin LB, Mozley PS and Haneberg WC (1999) Controls on </w:t>
      </w:r>
      <w:r w:rsidR="007B19D6">
        <w:t>fault‐zone architecture in poorly lithified sediments</w:t>
      </w:r>
      <w:r>
        <w:t xml:space="preserve">, Rio Grande Rift, New Mexico: Implications for </w:t>
      </w:r>
      <w:r w:rsidR="007B19D6">
        <w:t>fault‐zone permeability and fluid flow,</w:t>
      </w:r>
      <w:r>
        <w:t xml:space="preserve"> Faults and </w:t>
      </w:r>
      <w:r w:rsidR="007B19D6">
        <w:t>Subsurface Fluid Flow in the Shallow Crust</w:t>
      </w:r>
      <w:r>
        <w:t xml:space="preserve">, 27-49. </w:t>
      </w:r>
    </w:p>
    <w:p w14:paraId="4D37ADBE" w14:textId="77777777" w:rsidR="002D337D" w:rsidRDefault="000665C5" w:rsidP="005D77D8">
      <w:pPr>
        <w:pStyle w:val="Body"/>
        <w:spacing w:afterLines="20" w:after="48" w:line="240" w:lineRule="auto"/>
        <w:ind w:left="567" w:hanging="567"/>
      </w:pPr>
      <w:r w:rsidRPr="000665C5">
        <w:t>Hird KB</w:t>
      </w:r>
      <w:r w:rsidR="007B19D6">
        <w:t xml:space="preserve"> and</w:t>
      </w:r>
      <w:r w:rsidRPr="000665C5">
        <w:t xml:space="preserve"> Dubrule O (1998) Quantification of reservoir connectivity for reservoir description applications</w:t>
      </w:r>
      <w:r>
        <w:t>,</w:t>
      </w:r>
      <w:r w:rsidRPr="000665C5">
        <w:t xml:space="preserve"> SPE Reservoir Evaluation </w:t>
      </w:r>
      <w:r w:rsidR="007B19D6">
        <w:t xml:space="preserve">and </w:t>
      </w:r>
      <w:r w:rsidRPr="000665C5">
        <w:t>Engineering, 1(1)</w:t>
      </w:r>
      <w:r w:rsidR="007B19D6">
        <w:t>:</w:t>
      </w:r>
      <w:r w:rsidRPr="000665C5">
        <w:t xml:space="preserve"> 12-17.</w:t>
      </w:r>
    </w:p>
    <w:p w14:paraId="6C111F1F" w14:textId="77777777" w:rsidR="002D337D" w:rsidRDefault="00DA1389" w:rsidP="005D77D8">
      <w:pPr>
        <w:pStyle w:val="Body"/>
        <w:spacing w:afterLines="20" w:after="48" w:line="240" w:lineRule="auto"/>
        <w:ind w:left="567" w:hanging="567"/>
      </w:pPr>
      <w:r>
        <w:t xml:space="preserve">Hsieh P, Bahr J, Doe T, Flint A, Gee G, Gelhar L, Solomon D, van Genuchten M and Wheatcraft S (2001) Conceptual </w:t>
      </w:r>
      <w:r w:rsidR="007B19D6">
        <w:t>Models of Flow and Transport in the Fractured Vadose Zone,</w:t>
      </w:r>
      <w:r>
        <w:t xml:space="preserve"> National Academy Press, Washington, DC, USA.</w:t>
      </w:r>
    </w:p>
    <w:p w14:paraId="67E3E4F1" w14:textId="77777777" w:rsidR="002D337D" w:rsidRDefault="00DA1389" w:rsidP="005D77D8">
      <w:pPr>
        <w:pStyle w:val="Body"/>
        <w:spacing w:afterLines="20" w:after="48" w:line="240" w:lineRule="auto"/>
        <w:ind w:left="567" w:hanging="567"/>
      </w:pPr>
      <w:r>
        <w:t>Hsieh PA and Freckleton JR (1993) Documentation of a computer program to simulate horizontal-flow barriers using the US Geological Survey's modular three-dimensional finite-difference ground-water flow model</w:t>
      </w:r>
      <w:r w:rsidR="007B19D6">
        <w:t xml:space="preserve">, </w:t>
      </w:r>
      <w:r>
        <w:t>US Department of the Interior, US Geological Survey.</w:t>
      </w:r>
    </w:p>
    <w:p w14:paraId="095789ED" w14:textId="1824F745" w:rsidR="00DC4D39" w:rsidRDefault="00DC4D39">
      <w:pPr>
        <w:pStyle w:val="Body"/>
        <w:spacing w:afterLines="20" w:after="48" w:line="240" w:lineRule="auto"/>
        <w:ind w:left="567" w:hanging="567"/>
      </w:pPr>
      <w:r w:rsidRPr="00A45100">
        <w:t>Højberg AL, Refsgaard JC</w:t>
      </w:r>
      <w:r>
        <w:t xml:space="preserve"> (2005)</w:t>
      </w:r>
      <w:r w:rsidRPr="00A45100">
        <w:t>. Model uncertainty – parameter uncertainty versus conceptual models. Water Sci</w:t>
      </w:r>
      <w:r w:rsidR="000D664D">
        <w:t>ence</w:t>
      </w:r>
      <w:r w:rsidRPr="00A45100">
        <w:t xml:space="preserve"> Technol</w:t>
      </w:r>
      <w:r w:rsidR="000D664D">
        <w:t>ogy</w:t>
      </w:r>
      <w:r w:rsidRPr="00A45100">
        <w:t xml:space="preserve"> 52(6):</w:t>
      </w:r>
      <w:r>
        <w:t xml:space="preserve"> </w:t>
      </w:r>
      <w:r w:rsidRPr="00A45100">
        <w:t>177–86.</w:t>
      </w:r>
    </w:p>
    <w:p w14:paraId="2CD2D4FB" w14:textId="77777777" w:rsidR="002D337D" w:rsidRDefault="00DA1389" w:rsidP="005D77D8">
      <w:pPr>
        <w:pStyle w:val="Body"/>
        <w:spacing w:afterLines="20" w:after="48" w:line="240" w:lineRule="auto"/>
        <w:ind w:left="567" w:hanging="567"/>
      </w:pPr>
      <w:r>
        <w:t>Hu L and Chugunova T (2008) Multiple-point geostatistics for modeling subsurface heterogeneity: A comprehensive revi</w:t>
      </w:r>
      <w:r w:rsidR="008C5BBE">
        <w:t xml:space="preserve">ew, </w:t>
      </w:r>
      <w:r>
        <w:t>Water Resources Research 44(11).</w:t>
      </w:r>
    </w:p>
    <w:p w14:paraId="2F417C73" w14:textId="5D2ED20E" w:rsidR="002D337D" w:rsidRDefault="008C5BBE" w:rsidP="005D77D8">
      <w:pPr>
        <w:pStyle w:val="Body"/>
        <w:spacing w:afterLines="20" w:after="48" w:line="240" w:lineRule="auto"/>
        <w:ind w:left="567" w:hanging="567"/>
      </w:pPr>
      <w:r w:rsidRPr="008C5BBE">
        <w:t>Huang X, Bandilla KW, Celia MA</w:t>
      </w:r>
      <w:r w:rsidR="007B19D6">
        <w:t xml:space="preserve"> and </w:t>
      </w:r>
      <w:r w:rsidRPr="008C5BBE">
        <w:t>Bachu S (2014) Basin-scale modeling of CO</w:t>
      </w:r>
      <w:r w:rsidRPr="008C5BBE">
        <w:rPr>
          <w:vertAlign w:val="subscript"/>
        </w:rPr>
        <w:t>2</w:t>
      </w:r>
      <w:r w:rsidRPr="008C5BBE">
        <w:t xml:space="preserve"> storage usi</w:t>
      </w:r>
      <w:r>
        <w:t>ng models of varying complexity,</w:t>
      </w:r>
      <w:r w:rsidRPr="008C5BBE">
        <w:t xml:space="preserve"> International Journal of Greenhouse Gas Control 20</w:t>
      </w:r>
      <w:r w:rsidR="007B19D6">
        <w:t>:</w:t>
      </w:r>
      <w:r w:rsidRPr="008C5BBE">
        <w:t xml:space="preserve"> 73-86.</w:t>
      </w:r>
    </w:p>
    <w:p w14:paraId="7E500464" w14:textId="683D4192" w:rsidR="002D337D" w:rsidRDefault="00B45FE5" w:rsidP="005D77D8">
      <w:pPr>
        <w:pStyle w:val="Body"/>
        <w:spacing w:afterLines="20" w:after="48" w:line="240" w:lineRule="auto"/>
        <w:ind w:left="567" w:hanging="567"/>
      </w:pPr>
      <w:r w:rsidRPr="00B45FE5">
        <w:t>Hussen C, Amin R, Madden G</w:t>
      </w:r>
      <w:r w:rsidR="007B19D6">
        <w:t xml:space="preserve"> and</w:t>
      </w:r>
      <w:r w:rsidRPr="00B45FE5">
        <w:t xml:space="preserve"> Evans B (2012) Reservoir simulation for enhanced gas recovery: </w:t>
      </w:r>
      <w:r>
        <w:t>A</w:t>
      </w:r>
      <w:r w:rsidRPr="00B45FE5">
        <w:t>n economic evaluation</w:t>
      </w:r>
      <w:r>
        <w:t>,</w:t>
      </w:r>
      <w:r w:rsidRPr="00B45FE5">
        <w:t xml:space="preserve"> Journal of Natural Gas Science and Engineering 5</w:t>
      </w:r>
      <w:r w:rsidR="007B19D6">
        <w:t>:</w:t>
      </w:r>
      <w:r w:rsidRPr="00B45FE5">
        <w:t xml:space="preserve"> 42-50.</w:t>
      </w:r>
    </w:p>
    <w:p w14:paraId="5EC56E81" w14:textId="77777777" w:rsidR="002D337D" w:rsidRDefault="00DA1389" w:rsidP="005D77D8">
      <w:pPr>
        <w:pStyle w:val="Body"/>
        <w:spacing w:afterLines="20" w:after="48" w:line="240" w:lineRule="auto"/>
        <w:ind w:left="567" w:hanging="567"/>
      </w:pPr>
      <w:r>
        <w:t>Huysmans M and Dassargues (2009) Application of multiple-point geostatistics on modelling groundwater flow and transport in a cross-bedded aquifer (Belgium)</w:t>
      </w:r>
      <w:r w:rsidR="007B19D6">
        <w:t>,</w:t>
      </w:r>
      <w:r>
        <w:t xml:space="preserve"> Hydrogeology Journal 17: 1901-11. </w:t>
      </w:r>
    </w:p>
    <w:p w14:paraId="489BBAF7" w14:textId="2DF3CA6C" w:rsidR="00A6180F" w:rsidRDefault="00A6180F" w:rsidP="00A45100">
      <w:pPr>
        <w:pStyle w:val="Body"/>
        <w:spacing w:afterLines="20" w:after="48" w:line="240" w:lineRule="auto"/>
        <w:ind w:left="567" w:hanging="567"/>
      </w:pPr>
      <w:r>
        <w:t>Iglauer S, Pentland CH, and Busch A (2014). CO2 wettability of seal and reservoir rocks and the implications for carbon geo-sequestration. Water Resources Research 51: 729–774.</w:t>
      </w:r>
    </w:p>
    <w:p w14:paraId="572D4692" w14:textId="2EC5012E" w:rsidR="002D337D" w:rsidRDefault="00E54883" w:rsidP="005D77D8">
      <w:pPr>
        <w:pStyle w:val="Body"/>
        <w:spacing w:afterLines="20" w:after="48" w:line="240" w:lineRule="auto"/>
        <w:ind w:left="567" w:hanging="567"/>
      </w:pPr>
      <w:r w:rsidRPr="00E54883">
        <w:t>Institute of Hydraulic Engineering</w:t>
      </w:r>
      <w:r>
        <w:t xml:space="preserve"> (2015) MUFTE-UG: Structure, Applications and Numerical Methods, Department of Hydromechanics and Modeling of Hydrosystems, Institute of Hydraulic Engineering, Universität Stuttgart, URL=&lt;</w:t>
      </w:r>
      <w:r w:rsidRPr="00E54883">
        <w:t>http://www.hydrosys.uni-stuttgart.de/institut/hydrosys/publikationen/paper/IGWMC_newsletter_MUFTE.pdf</w:t>
      </w:r>
      <w:r>
        <w:t>&gt;, viewed 16 November 2015.</w:t>
      </w:r>
    </w:p>
    <w:p w14:paraId="7EF9249B" w14:textId="44EA9010" w:rsidR="002D337D" w:rsidRDefault="00150BDB" w:rsidP="005D77D8">
      <w:pPr>
        <w:pStyle w:val="Body"/>
        <w:spacing w:afterLines="20" w:after="48" w:line="240" w:lineRule="auto"/>
        <w:ind w:left="567" w:hanging="567"/>
      </w:pPr>
      <w:r>
        <w:t xml:space="preserve">IHS (2015) </w:t>
      </w:r>
      <w:r w:rsidRPr="00150BDB">
        <w:t>IHS CBM - Coalbed Methane Reservoir Analysis</w:t>
      </w:r>
      <w:r>
        <w:t>, URL=&lt;</w:t>
      </w:r>
      <w:r w:rsidRPr="00150BDB">
        <w:t>https://www.ihs.com/pdf/b-cbm_169589110913044932.pdf</w:t>
      </w:r>
      <w:r>
        <w:t>&gt;, viewed 16 November 2015.</w:t>
      </w:r>
    </w:p>
    <w:p w14:paraId="36FE38C8" w14:textId="77777777" w:rsidR="002D337D" w:rsidRDefault="00DA1389" w:rsidP="005D77D8">
      <w:pPr>
        <w:pStyle w:val="Body"/>
        <w:spacing w:afterLines="20" w:after="48" w:line="240" w:lineRule="auto"/>
        <w:ind w:left="567" w:hanging="567"/>
      </w:pPr>
      <w:r>
        <w:t>Indelman P and Dagan G (1993a) Upscaling of conductivity of heterogeneous formations</w:t>
      </w:r>
      <w:r w:rsidR="007B19D6">
        <w:t>: G</w:t>
      </w:r>
      <w:r>
        <w:t>eneral approach and application to isotropic media</w:t>
      </w:r>
      <w:r w:rsidR="007B19D6">
        <w:t xml:space="preserve">, </w:t>
      </w:r>
      <w:r>
        <w:t>Transport in Porous Media 12(2</w:t>
      </w:r>
      <w:r w:rsidR="007B19D6">
        <w:t xml:space="preserve">): </w:t>
      </w:r>
      <w:r>
        <w:t xml:space="preserve">161-183. </w:t>
      </w:r>
    </w:p>
    <w:p w14:paraId="51D52ED7" w14:textId="77777777" w:rsidR="002D337D" w:rsidRDefault="00DA1389" w:rsidP="005D77D8">
      <w:pPr>
        <w:pStyle w:val="Body"/>
        <w:spacing w:afterLines="20" w:after="48" w:line="240" w:lineRule="auto"/>
        <w:ind w:left="567" w:hanging="567"/>
      </w:pPr>
      <w:r>
        <w:t>Indelman P and Dagan G (1993b) Upscaling of permeability of anisotropic heterogeneous formations</w:t>
      </w:r>
      <w:r w:rsidR="007B19D6">
        <w:t>:</w:t>
      </w:r>
      <w:r>
        <w:t xml:space="preserve"> 1. The general framework</w:t>
      </w:r>
      <w:r w:rsidR="007B19D6">
        <w:t>,</w:t>
      </w:r>
      <w:r>
        <w:t xml:space="preserve"> Water Resources Research 29(4)</w:t>
      </w:r>
      <w:r w:rsidR="007B19D6">
        <w:t>:</w:t>
      </w:r>
      <w:r>
        <w:t xml:space="preserve"> 917-923. </w:t>
      </w:r>
    </w:p>
    <w:p w14:paraId="7A72D44E" w14:textId="77777777" w:rsidR="002D337D" w:rsidRDefault="00DA1389" w:rsidP="005D77D8">
      <w:pPr>
        <w:pStyle w:val="Body"/>
        <w:spacing w:afterLines="20" w:after="48" w:line="240" w:lineRule="auto"/>
        <w:ind w:left="567" w:hanging="567"/>
      </w:pPr>
      <w:r>
        <w:t>Indelman P and Dagan G (1993c) Upscaling of permeability of anisotropic heterogeneous formations</w:t>
      </w:r>
      <w:r w:rsidR="007B19D6">
        <w:t>:</w:t>
      </w:r>
      <w:r>
        <w:t xml:space="preserve"> 2.General structure and small perturbation analysis</w:t>
      </w:r>
      <w:r w:rsidR="007B19D6">
        <w:t>,</w:t>
      </w:r>
      <w:r>
        <w:t xml:space="preserve"> Water Resources Research 29(4)</w:t>
      </w:r>
      <w:r w:rsidR="007B19D6">
        <w:t>:</w:t>
      </w:r>
      <w:r>
        <w:t xml:space="preserve"> 925-933. </w:t>
      </w:r>
    </w:p>
    <w:p w14:paraId="2247AB40" w14:textId="20E62E46" w:rsidR="002D337D" w:rsidRDefault="00B05B5B" w:rsidP="005D77D8">
      <w:pPr>
        <w:pStyle w:val="Body"/>
        <w:spacing w:afterLines="20" w:after="48" w:line="240" w:lineRule="auto"/>
        <w:ind w:left="567" w:hanging="567"/>
      </w:pPr>
      <w:r>
        <w:t xml:space="preserve">International Energy Agency </w:t>
      </w:r>
      <w:r w:rsidRPr="00B05B5B">
        <w:t>G</w:t>
      </w:r>
      <w:r>
        <w:t xml:space="preserve">reenhouse </w:t>
      </w:r>
      <w:r w:rsidRPr="00B05B5B">
        <w:t>G</w:t>
      </w:r>
      <w:r>
        <w:t>as</w:t>
      </w:r>
      <w:r w:rsidRPr="00B05B5B">
        <w:t xml:space="preserve"> </w:t>
      </w:r>
      <w:r>
        <w:t xml:space="preserve">(IEAGHG) </w:t>
      </w:r>
      <w:r w:rsidRPr="00B05B5B">
        <w:t>Programme</w:t>
      </w:r>
      <w:r>
        <w:t xml:space="preserve"> (2011) Caprock systems for CO</w:t>
      </w:r>
      <w:r w:rsidR="0070043F" w:rsidRPr="0070043F">
        <w:rPr>
          <w:vertAlign w:val="subscript"/>
        </w:rPr>
        <w:t>2</w:t>
      </w:r>
      <w:r>
        <w:t xml:space="preserve"> geological storage, </w:t>
      </w:r>
      <w:r w:rsidR="00944C76">
        <w:t xml:space="preserve">report no. </w:t>
      </w:r>
      <w:r>
        <w:t>20</w:t>
      </w:r>
      <w:r w:rsidR="00944C76">
        <w:t>11/01, Cheltenham, UK, 149</w:t>
      </w:r>
      <w:r w:rsidR="000D664D">
        <w:t xml:space="preserve"> </w:t>
      </w:r>
      <w:r w:rsidR="00944C76">
        <w:t>p</w:t>
      </w:r>
      <w:r w:rsidR="000D664D">
        <w:t>p.</w:t>
      </w:r>
      <w:r w:rsidR="00944C76">
        <w:t>, URL=&lt;</w:t>
      </w:r>
      <w:r w:rsidR="00944C76" w:rsidRPr="00944C76">
        <w:t>http://hub.globalccsinstitute.com/sites/default/files/publications/100471/caprock-systems-co2-geological-storage.pdf</w:t>
      </w:r>
      <w:r w:rsidR="00944C76">
        <w:t>&gt;.</w:t>
      </w:r>
    </w:p>
    <w:p w14:paraId="328173EB" w14:textId="77777777" w:rsidR="002D337D" w:rsidRDefault="00DA1389" w:rsidP="005D77D8">
      <w:pPr>
        <w:pStyle w:val="Body"/>
        <w:spacing w:afterLines="20" w:after="48" w:line="240" w:lineRule="auto"/>
        <w:ind w:left="567" w:hanging="567"/>
      </w:pPr>
      <w:r>
        <w:t xml:space="preserve">Isaaks EH and Srivastava RM (1989) Applied </w:t>
      </w:r>
      <w:r w:rsidR="007B19D6">
        <w:t xml:space="preserve">Geostatistics, </w:t>
      </w:r>
      <w:r>
        <w:t>Oxford University Press</w:t>
      </w:r>
      <w:r w:rsidR="007B19D6">
        <w:t>,</w:t>
      </w:r>
      <w:r>
        <w:t xml:space="preserve"> New York</w:t>
      </w:r>
      <w:r w:rsidR="007B19D6">
        <w:t>, NY, USA</w:t>
      </w:r>
      <w:r>
        <w:t>.</w:t>
      </w:r>
    </w:p>
    <w:p w14:paraId="2B48C4A8" w14:textId="77777777" w:rsidR="002D337D" w:rsidRDefault="00DA1389" w:rsidP="005D77D8">
      <w:pPr>
        <w:pStyle w:val="Body"/>
        <w:spacing w:afterLines="20" w:after="48" w:line="240" w:lineRule="auto"/>
        <w:ind w:left="567" w:hanging="567"/>
      </w:pPr>
      <w:r>
        <w:t xml:space="preserve">Islam M and Manzocchi T (2014a) New </w:t>
      </w:r>
      <w:r w:rsidR="007B19D6">
        <w:t>approaches to upscaling fault zones for flow simulation,</w:t>
      </w:r>
      <w:r>
        <w:t xml:space="preserve"> 76th EAGE Conference and Exhibition 2014.</w:t>
      </w:r>
    </w:p>
    <w:p w14:paraId="21AD230C" w14:textId="77777777" w:rsidR="002D337D" w:rsidRDefault="00DA1389" w:rsidP="005D77D8">
      <w:pPr>
        <w:pStyle w:val="Body"/>
        <w:spacing w:afterLines="20" w:after="48" w:line="240" w:lineRule="auto"/>
        <w:ind w:left="567" w:hanging="567"/>
      </w:pPr>
      <w:r>
        <w:t xml:space="preserve">Islam M and Manzocchi T (2014b) The </w:t>
      </w:r>
      <w:r w:rsidR="007B19D6">
        <w:t>transmissibility of partially connected cells,</w:t>
      </w:r>
      <w:r>
        <w:t xml:space="preserve"> ECMOR XIV-14th European </w:t>
      </w:r>
      <w:r w:rsidR="007B19D6">
        <w:t>Conference on the Mathematics of Oil Recovery.</w:t>
      </w:r>
    </w:p>
    <w:p w14:paraId="0A2637D0" w14:textId="75A59C9C" w:rsidR="002D337D" w:rsidRDefault="00952D6A" w:rsidP="005D77D8">
      <w:pPr>
        <w:pStyle w:val="Body"/>
        <w:spacing w:afterLines="20" w:after="48" w:line="240" w:lineRule="auto"/>
        <w:ind w:left="567" w:hanging="567"/>
      </w:pPr>
      <w:r w:rsidRPr="00952D6A">
        <w:t>Jansen</w:t>
      </w:r>
      <w:r>
        <w:t xml:space="preserve"> </w:t>
      </w:r>
      <w:r w:rsidRPr="00952D6A">
        <w:t>JD, Fonseca RM, Kahrobaei S, Siraj MM, Van Essen GM</w:t>
      </w:r>
      <w:r w:rsidR="007B19D6">
        <w:t xml:space="preserve"> and</w:t>
      </w:r>
      <w:r w:rsidRPr="00952D6A">
        <w:t xml:space="preserve"> Van den Hof PMJ (2014) The egg model–</w:t>
      </w:r>
      <w:r>
        <w:t>A</w:t>
      </w:r>
      <w:r w:rsidRPr="00952D6A">
        <w:t xml:space="preserve"> geological ensemble for reservoir simulation</w:t>
      </w:r>
      <w:r>
        <w:t>,</w:t>
      </w:r>
      <w:r w:rsidRPr="00952D6A">
        <w:t xml:space="preserve"> Geoscience Data Journal 1(2)</w:t>
      </w:r>
      <w:r w:rsidR="007B19D6">
        <w:t>:</w:t>
      </w:r>
      <w:r w:rsidRPr="00952D6A">
        <w:t xml:space="preserve"> 192-195.</w:t>
      </w:r>
    </w:p>
    <w:p w14:paraId="7737DFBB" w14:textId="77777777" w:rsidR="002D337D" w:rsidRDefault="00DA1389" w:rsidP="005D77D8">
      <w:pPr>
        <w:pStyle w:val="Body"/>
        <w:spacing w:afterLines="20" w:after="48" w:line="240" w:lineRule="auto"/>
        <w:ind w:left="567" w:hanging="567"/>
      </w:pPr>
      <w:r>
        <w:t>Jarvis N (1998) Modeling the impact of preferential flow on nonpoint source pollution</w:t>
      </w:r>
      <w:r w:rsidR="007B19D6">
        <w:t xml:space="preserve">, in: </w:t>
      </w:r>
      <w:r>
        <w:t>Physical Non</w:t>
      </w:r>
      <w:r w:rsidR="007B19D6">
        <w:t>-</w:t>
      </w:r>
      <w:r>
        <w:t xml:space="preserve">equilibrium in Soils: Modeling and Application, Ann Arbor Press, Chelsea, MI, </w:t>
      </w:r>
      <w:r w:rsidR="007B19D6">
        <w:t xml:space="preserve">USA, </w:t>
      </w:r>
      <w:r>
        <w:t xml:space="preserve">195-221. </w:t>
      </w:r>
    </w:p>
    <w:p w14:paraId="358EF97A" w14:textId="6D7614F7" w:rsidR="002D337D" w:rsidRDefault="00B156EE" w:rsidP="005D77D8">
      <w:pPr>
        <w:pStyle w:val="Body"/>
        <w:spacing w:afterLines="20" w:after="48" w:line="240" w:lineRule="auto"/>
        <w:ind w:left="567" w:hanging="567"/>
      </w:pPr>
      <w:r w:rsidRPr="00B156EE">
        <w:t>Jiang X (2011) A review of physical modelling and numerical simulation of long-term geological storage of CO</w:t>
      </w:r>
      <w:r w:rsidRPr="00B156EE">
        <w:rPr>
          <w:vertAlign w:val="subscript"/>
        </w:rPr>
        <w:t>2</w:t>
      </w:r>
      <w:r>
        <w:t xml:space="preserve">, </w:t>
      </w:r>
      <w:r w:rsidRPr="00B156EE">
        <w:t xml:space="preserve">Applied </w:t>
      </w:r>
      <w:r>
        <w:t>E</w:t>
      </w:r>
      <w:r w:rsidRPr="00B156EE">
        <w:t>nergy 88(11</w:t>
      </w:r>
      <w:r w:rsidR="007B19D6" w:rsidRPr="00B156EE">
        <w:t>)</w:t>
      </w:r>
      <w:r w:rsidR="007B19D6">
        <w:t>:</w:t>
      </w:r>
      <w:r w:rsidR="007B19D6" w:rsidRPr="00B156EE">
        <w:t xml:space="preserve"> </w:t>
      </w:r>
      <w:r w:rsidRPr="00B156EE">
        <w:t>3557-3566.</w:t>
      </w:r>
    </w:p>
    <w:p w14:paraId="49059091" w14:textId="77777777" w:rsidR="002D337D" w:rsidRDefault="00DA1389" w:rsidP="005D77D8">
      <w:pPr>
        <w:pStyle w:val="Body"/>
        <w:spacing w:afterLines="20" w:after="48" w:line="240" w:lineRule="auto"/>
        <w:ind w:left="567" w:hanging="567"/>
      </w:pPr>
      <w:r>
        <w:t>Jorgensen DG (1989) Using geophysical logs to estimate porosity, water resistivity, and intrinsic permeability</w:t>
      </w:r>
      <w:r w:rsidR="007B19D6">
        <w:t>,</w:t>
      </w:r>
      <w:r>
        <w:t xml:space="preserve"> USGPO.</w:t>
      </w:r>
    </w:p>
    <w:p w14:paraId="7587DCF2" w14:textId="77777777" w:rsidR="002D337D" w:rsidRDefault="00DA1389" w:rsidP="005D77D8">
      <w:pPr>
        <w:pStyle w:val="Body"/>
        <w:spacing w:afterLines="20" w:after="48" w:line="240" w:lineRule="auto"/>
        <w:ind w:left="567" w:hanging="567"/>
      </w:pPr>
      <w:r>
        <w:t xml:space="preserve">Journel AG (1993) Geostatistics: </w:t>
      </w:r>
      <w:r w:rsidR="007B19D6">
        <w:t xml:space="preserve">Roadblocks </w:t>
      </w:r>
      <w:r>
        <w:t>and challenges</w:t>
      </w:r>
      <w:r w:rsidR="007B19D6">
        <w:t>,</w:t>
      </w:r>
      <w:r>
        <w:t xml:space="preserve"> Geostatistics Troia</w:t>
      </w:r>
      <w:r w:rsidR="007B19D6">
        <w:t xml:space="preserve"> </w:t>
      </w:r>
      <w:r>
        <w:t>92</w:t>
      </w:r>
      <w:r w:rsidR="007B19D6">
        <w:t>,</w:t>
      </w:r>
      <w:r>
        <w:t xml:space="preserve"> Springer, 213-224.</w:t>
      </w:r>
    </w:p>
    <w:p w14:paraId="78341AAF" w14:textId="77777777" w:rsidR="002D337D" w:rsidRDefault="00DA1389" w:rsidP="005D77D8">
      <w:pPr>
        <w:pStyle w:val="Body"/>
        <w:spacing w:afterLines="20" w:after="48" w:line="240" w:lineRule="auto"/>
        <w:ind w:left="567" w:hanging="567"/>
      </w:pPr>
      <w:r>
        <w:t xml:space="preserve">Journel AG, Deutsch C and Desbarats AJ (1986) Power </w:t>
      </w:r>
      <w:r w:rsidR="007B19D6">
        <w:t>averaging for block effective permeability,</w:t>
      </w:r>
      <w:r>
        <w:t xml:space="preserve"> SPE California Regional Meeting</w:t>
      </w:r>
      <w:r w:rsidR="007B19D6">
        <w:t>,</w:t>
      </w:r>
      <w:r>
        <w:t xml:space="preserve"> Society of Petroleum Engineers.</w:t>
      </w:r>
    </w:p>
    <w:p w14:paraId="01F0A5A3" w14:textId="77777777" w:rsidR="002D337D" w:rsidRDefault="00DA1389" w:rsidP="005D77D8">
      <w:pPr>
        <w:pStyle w:val="Body"/>
        <w:spacing w:afterLines="20" w:after="48" w:line="240" w:lineRule="auto"/>
        <w:ind w:left="567" w:hanging="567"/>
      </w:pPr>
      <w:r>
        <w:t xml:space="preserve">Journel AG and Huijbregts CJ (1978) Mining </w:t>
      </w:r>
      <w:r w:rsidR="007B19D6">
        <w:t>G</w:t>
      </w:r>
      <w:r>
        <w:t>eostatistics</w:t>
      </w:r>
      <w:r w:rsidR="007B19D6">
        <w:t>,</w:t>
      </w:r>
      <w:r>
        <w:t xml:space="preserve"> Academic </w:t>
      </w:r>
      <w:r w:rsidR="007B19D6">
        <w:t>P</w:t>
      </w:r>
      <w:r>
        <w:t>ress.</w:t>
      </w:r>
    </w:p>
    <w:p w14:paraId="080F0DA6" w14:textId="77777777" w:rsidR="002D337D" w:rsidRDefault="00DA1389" w:rsidP="005D77D8">
      <w:pPr>
        <w:pStyle w:val="Body"/>
        <w:spacing w:afterLines="20" w:after="48" w:line="240" w:lineRule="auto"/>
        <w:ind w:left="567" w:hanging="567"/>
      </w:pPr>
      <w:r>
        <w:t>Jung A, Fenwick D and Caers J (2013) Training image-based scenario modeling of fractured reservoirs for flow uncertainty quantification</w:t>
      </w:r>
      <w:r w:rsidR="007B19D6">
        <w:t xml:space="preserve">, </w:t>
      </w:r>
      <w:r>
        <w:t>Computational Geosciences 17(6</w:t>
      </w:r>
      <w:r w:rsidR="007B19D6">
        <w:t xml:space="preserve">): </w:t>
      </w:r>
      <w:r>
        <w:t xml:space="preserve">1015-1031. </w:t>
      </w:r>
    </w:p>
    <w:p w14:paraId="448B4BF5" w14:textId="77777777" w:rsidR="002D337D" w:rsidRDefault="00DA1389" w:rsidP="005D77D8">
      <w:pPr>
        <w:pStyle w:val="Body"/>
        <w:spacing w:afterLines="20" w:after="48" w:line="240" w:lineRule="auto"/>
        <w:ind w:left="567" w:hanging="567"/>
      </w:pPr>
      <w:r>
        <w:t xml:space="preserve">Kalathingal P and Kuchinski R (2010). The </w:t>
      </w:r>
      <w:r w:rsidR="007B19D6">
        <w:t xml:space="preserve">role of resistivity image logs in deep natural gas reservoirs, </w:t>
      </w:r>
      <w:r>
        <w:t xml:space="preserve">SPE </w:t>
      </w:r>
      <w:r w:rsidR="007B19D6">
        <w:t xml:space="preserve">paper no. </w:t>
      </w:r>
      <w:r>
        <w:t xml:space="preserve">131721 presented at the SPE Deep Gas Conference and Exhibition, Manama, Bahrain, 24-26 January 2010. </w:t>
      </w:r>
    </w:p>
    <w:p w14:paraId="2EEDDEBF" w14:textId="77777777" w:rsidR="002D337D" w:rsidRDefault="00DA1389" w:rsidP="005D77D8">
      <w:pPr>
        <w:pStyle w:val="Body"/>
        <w:spacing w:afterLines="20" w:after="48" w:line="240" w:lineRule="auto"/>
        <w:ind w:left="567" w:hanging="567"/>
      </w:pPr>
      <w:r>
        <w:t>Kang M, Nordbotten JM, Doster F and Celia MA (2014) Analytical solutions for two‐phase subsurface flow to a leaky fault considering vertical flow effects and fault properties</w:t>
      </w:r>
      <w:r w:rsidR="007B19D6">
        <w:t>,</w:t>
      </w:r>
      <w:r>
        <w:t xml:space="preserve"> Water Resources Research 50(4)</w:t>
      </w:r>
      <w:r w:rsidR="007B19D6">
        <w:t>:</w:t>
      </w:r>
      <w:r>
        <w:t xml:space="preserve"> 3536-3552. </w:t>
      </w:r>
    </w:p>
    <w:p w14:paraId="76870D64" w14:textId="77777777" w:rsidR="002D337D" w:rsidRDefault="000665C5" w:rsidP="005D77D8">
      <w:pPr>
        <w:pStyle w:val="Body"/>
        <w:spacing w:afterLines="20" w:after="48" w:line="240" w:lineRule="auto"/>
        <w:ind w:left="567" w:hanging="567"/>
      </w:pPr>
      <w:r w:rsidRPr="000665C5">
        <w:t>Karacan CÖ</w:t>
      </w:r>
      <w:r w:rsidR="007B19D6">
        <w:t xml:space="preserve"> and </w:t>
      </w:r>
      <w:r w:rsidRPr="000665C5">
        <w:t>Olea RA (2015) Stochastic reservoir simulation for the modeling of uncertainty in coal seam degasification</w:t>
      </w:r>
      <w:r>
        <w:t>,</w:t>
      </w:r>
      <w:r w:rsidRPr="000665C5">
        <w:t xml:space="preserve"> Fuel 148</w:t>
      </w:r>
      <w:r w:rsidR="007B19D6">
        <w:t>:</w:t>
      </w:r>
      <w:r w:rsidRPr="000665C5">
        <w:t xml:space="preserve"> 87-97.</w:t>
      </w:r>
    </w:p>
    <w:p w14:paraId="3619A486" w14:textId="77777777" w:rsidR="002D337D" w:rsidRDefault="00B156EE" w:rsidP="005D77D8">
      <w:pPr>
        <w:pStyle w:val="Body"/>
        <w:spacing w:afterLines="20" w:after="48" w:line="240" w:lineRule="auto"/>
        <w:ind w:left="567" w:hanging="567"/>
      </w:pPr>
      <w:r w:rsidRPr="00B156EE">
        <w:t xml:space="preserve">Kempka T, Class H, Görke UJ, Norden B, Kolditz O, Kühn M, </w:t>
      </w:r>
      <w:r>
        <w:t>Walter L</w:t>
      </w:r>
      <w:r w:rsidRPr="00B156EE">
        <w:t xml:space="preserve">, </w:t>
      </w:r>
      <w:r>
        <w:t>Wang W</w:t>
      </w:r>
      <w:r w:rsidR="00C461E4">
        <w:t xml:space="preserve"> and</w:t>
      </w:r>
      <w:r>
        <w:t xml:space="preserve"> </w:t>
      </w:r>
      <w:r w:rsidRPr="00B156EE">
        <w:t>Zehner B (2013) A dynamic flow simulation code intercomparison based on the revised static</w:t>
      </w:r>
      <w:r>
        <w:t xml:space="preserve"> model of the Ketzin pilot site,</w:t>
      </w:r>
      <w:r w:rsidRPr="00B156EE">
        <w:t xml:space="preserve"> Energy Procedia 40</w:t>
      </w:r>
      <w:r w:rsidR="00C461E4">
        <w:t>:</w:t>
      </w:r>
      <w:r w:rsidRPr="00B156EE">
        <w:t xml:space="preserve"> 418-427.</w:t>
      </w:r>
    </w:p>
    <w:p w14:paraId="10C97170" w14:textId="77777777" w:rsidR="002D337D" w:rsidRDefault="00DA1389" w:rsidP="005D77D8">
      <w:pPr>
        <w:pStyle w:val="Body"/>
        <w:spacing w:afterLines="20" w:after="48" w:line="240" w:lineRule="auto"/>
        <w:ind w:left="567" w:hanging="567"/>
      </w:pPr>
      <w:r>
        <w:t>Kerrou J, Renard P, Franssen H and Lunati I (2008) Issues in characterizing heterogeneity and connectivity in non-multiGaussian media</w:t>
      </w:r>
      <w:r w:rsidR="00C461E4">
        <w:t>,</w:t>
      </w:r>
      <w:r>
        <w:t xml:space="preserve"> Advances in Water Resources 31(1)</w:t>
      </w:r>
      <w:r w:rsidR="00C461E4">
        <w:t>:</w:t>
      </w:r>
      <w:r>
        <w:t xml:space="preserve"> 147-159. </w:t>
      </w:r>
    </w:p>
    <w:p w14:paraId="1B11977A" w14:textId="77777777" w:rsidR="002D337D" w:rsidRDefault="00DA1389" w:rsidP="005D77D8">
      <w:pPr>
        <w:pStyle w:val="Body"/>
        <w:spacing w:afterLines="20" w:after="48" w:line="240" w:lineRule="auto"/>
        <w:ind w:left="567" w:hanging="567"/>
      </w:pPr>
      <w:r>
        <w:t xml:space="preserve">Khan KD and Deutsch C (2015) Practical </w:t>
      </w:r>
      <w:r w:rsidR="00C461E4">
        <w:t>incorporation of multivariate parameter uncertainty in geostatistical resource modeling,</w:t>
      </w:r>
      <w:r>
        <w:t xml:space="preserve"> Natural Resources Research, 1-20. </w:t>
      </w:r>
    </w:p>
    <w:p w14:paraId="0CECE93B" w14:textId="7CBB9A73" w:rsidR="002D337D" w:rsidRDefault="00DA1389" w:rsidP="005D77D8">
      <w:pPr>
        <w:pStyle w:val="Body"/>
        <w:spacing w:afterLines="20" w:after="48" w:line="240" w:lineRule="auto"/>
        <w:ind w:left="567" w:hanging="567"/>
      </w:pPr>
      <w:r>
        <w:t>Kim J and Deo M (2000) Finite element, discrete-fracture model for multiphase flow in porous media</w:t>
      </w:r>
      <w:r w:rsidR="00C461E4">
        <w:t>,</w:t>
      </w:r>
      <w:r>
        <w:t xml:space="preserve"> A</w:t>
      </w:r>
      <w:r w:rsidR="0049459B">
        <w:t xml:space="preserve">merican </w:t>
      </w:r>
      <w:r w:rsidR="00C461E4">
        <w:t>I</w:t>
      </w:r>
      <w:r w:rsidR="0049459B">
        <w:t xml:space="preserve">nstitute of </w:t>
      </w:r>
      <w:r w:rsidR="00C461E4">
        <w:t>C</w:t>
      </w:r>
      <w:r>
        <w:t>h</w:t>
      </w:r>
      <w:r w:rsidR="0049459B">
        <w:t xml:space="preserve">emical </w:t>
      </w:r>
      <w:r w:rsidR="00C461E4">
        <w:t>E</w:t>
      </w:r>
      <w:r w:rsidR="0049459B">
        <w:t>ngineers</w:t>
      </w:r>
      <w:r>
        <w:t xml:space="preserve"> Journal 46(6)</w:t>
      </w:r>
      <w:r w:rsidR="00C461E4">
        <w:t>:</w:t>
      </w:r>
      <w:r>
        <w:t xml:space="preserve"> 1120-1130. </w:t>
      </w:r>
    </w:p>
    <w:p w14:paraId="77BC41F7" w14:textId="660F3127" w:rsidR="002D337D" w:rsidRDefault="006F29FA" w:rsidP="005D77D8">
      <w:pPr>
        <w:pStyle w:val="Body"/>
        <w:spacing w:afterLines="20" w:after="48" w:line="240" w:lineRule="auto"/>
        <w:ind w:left="567" w:hanging="567"/>
      </w:pPr>
      <w:r w:rsidRPr="006F29FA">
        <w:t>Kim YJ, Brooks SC, Zhang F, Parker JC, Moon JW</w:t>
      </w:r>
      <w:r w:rsidR="00C461E4">
        <w:t xml:space="preserve"> and</w:t>
      </w:r>
      <w:r w:rsidRPr="006F29FA">
        <w:t xml:space="preserve"> Roh Y (2015) Fate and transport of uranium (VI) in weathered saprolite</w:t>
      </w:r>
      <w:r>
        <w:t>,</w:t>
      </w:r>
      <w:r w:rsidRPr="006F29FA">
        <w:t xml:space="preserve"> Journal of </w:t>
      </w:r>
      <w:r>
        <w:t>E</w:t>
      </w:r>
      <w:r w:rsidRPr="006F29FA">
        <w:t xml:space="preserve">nvironmental </w:t>
      </w:r>
      <w:r>
        <w:t>R</w:t>
      </w:r>
      <w:r w:rsidRPr="006F29FA">
        <w:t>adioactivity 139</w:t>
      </w:r>
      <w:r w:rsidR="00C461E4">
        <w:t>:</w:t>
      </w:r>
      <w:r w:rsidRPr="006F29FA">
        <w:t xml:space="preserve"> 154-162.</w:t>
      </w:r>
    </w:p>
    <w:p w14:paraId="0C3B9027" w14:textId="77777777" w:rsidR="002D337D" w:rsidRDefault="00DA1389" w:rsidP="005D77D8">
      <w:pPr>
        <w:pStyle w:val="Body"/>
        <w:spacing w:afterLines="20" w:after="48" w:line="240" w:lineRule="auto"/>
        <w:ind w:left="567" w:hanging="567"/>
      </w:pPr>
      <w:r>
        <w:t>Kim Y and Sanderson D (2005) The relationship between displacement and length of faults: A review</w:t>
      </w:r>
      <w:r w:rsidR="00C461E4">
        <w:t>,</w:t>
      </w:r>
      <w:r>
        <w:t xml:space="preserve"> Earth</w:t>
      </w:r>
      <w:r w:rsidR="00C461E4">
        <w:t xml:space="preserve"> </w:t>
      </w:r>
      <w:r>
        <w:t>Science Reviews 68</w:t>
      </w:r>
      <w:r w:rsidR="00C461E4">
        <w:t xml:space="preserve"> </w:t>
      </w:r>
      <w:r>
        <w:t>(3-4)</w:t>
      </w:r>
      <w:r w:rsidR="00C461E4">
        <w:t>:</w:t>
      </w:r>
      <w:r>
        <w:t xml:space="preserve"> 317-334. </w:t>
      </w:r>
    </w:p>
    <w:p w14:paraId="6415DF8A" w14:textId="77777777" w:rsidR="002D337D" w:rsidRDefault="00DA1389" w:rsidP="005D77D8">
      <w:pPr>
        <w:pStyle w:val="Body"/>
        <w:spacing w:afterLines="20" w:after="48" w:line="240" w:lineRule="auto"/>
        <w:ind w:left="567" w:hanging="567"/>
      </w:pPr>
      <w:r>
        <w:t>Klinkenberg L (1941) The permeability of porous media to liquids and gases</w:t>
      </w:r>
      <w:r w:rsidR="00C461E4">
        <w:t>,</w:t>
      </w:r>
      <w:r>
        <w:t xml:space="preserve"> Drilling and </w:t>
      </w:r>
      <w:r w:rsidR="00C461E4">
        <w:t>P</w:t>
      </w:r>
      <w:r>
        <w:t xml:space="preserve">roduction </w:t>
      </w:r>
      <w:r w:rsidR="00C461E4">
        <w:t>P</w:t>
      </w:r>
      <w:r>
        <w:t>ractice</w:t>
      </w:r>
      <w:r w:rsidR="00C461E4">
        <w:t>,</w:t>
      </w:r>
      <w:r>
        <w:t xml:space="preserve"> American Petroleum Institute.</w:t>
      </w:r>
    </w:p>
    <w:p w14:paraId="362D93E4" w14:textId="77777777" w:rsidR="002D337D" w:rsidRDefault="00DA1389" w:rsidP="005D77D8">
      <w:pPr>
        <w:pStyle w:val="Body"/>
        <w:spacing w:afterLines="20" w:after="48" w:line="240" w:lineRule="auto"/>
        <w:ind w:left="567" w:hanging="567"/>
      </w:pPr>
      <w:r>
        <w:t>Knott S, Beach A, Brockbank P, Brown J, McCallum J and Welbon A (1996) Spatial and mechanical controls on normal fault populations</w:t>
      </w:r>
      <w:r w:rsidR="00C461E4">
        <w:t>,</w:t>
      </w:r>
      <w:r>
        <w:t xml:space="preserve"> Journal of Structural Geology 18(2-3)</w:t>
      </w:r>
      <w:r w:rsidR="00C461E4">
        <w:t>:</w:t>
      </w:r>
      <w:r>
        <w:t xml:space="preserve"> 359-372. </w:t>
      </w:r>
    </w:p>
    <w:p w14:paraId="0D8F54BE" w14:textId="77777777" w:rsidR="002D337D" w:rsidRDefault="00DA1389" w:rsidP="005D77D8">
      <w:pPr>
        <w:pStyle w:val="Body"/>
        <w:spacing w:afterLines="20" w:after="48" w:line="240" w:lineRule="auto"/>
        <w:ind w:left="567" w:hanging="567"/>
      </w:pPr>
      <w:r>
        <w:t>Knudby C and Carrera J (2005) On the relationship between indicators of geostatistical, flow and transport connectivity</w:t>
      </w:r>
      <w:r w:rsidR="00C461E4">
        <w:t xml:space="preserve">, </w:t>
      </w:r>
      <w:r>
        <w:t>Advances in Water Resources 28(4)</w:t>
      </w:r>
      <w:r w:rsidR="00C461E4">
        <w:t>:</w:t>
      </w:r>
      <w:r>
        <w:t xml:space="preserve"> 405-421. </w:t>
      </w:r>
    </w:p>
    <w:p w14:paraId="4EB2B85E" w14:textId="77777777" w:rsidR="002D337D" w:rsidRDefault="00DA1389" w:rsidP="005D77D8">
      <w:pPr>
        <w:pStyle w:val="Body"/>
        <w:spacing w:afterLines="20" w:after="48" w:line="240" w:lineRule="auto"/>
        <w:ind w:left="567" w:hanging="567"/>
      </w:pPr>
      <w:r>
        <w:t>Knudby C and Carrera J (2006) On the use of apparent hydraulic diffusivity as an indicator of connectivity</w:t>
      </w:r>
      <w:r w:rsidR="00C461E4">
        <w:t>,</w:t>
      </w:r>
      <w:r>
        <w:t xml:space="preserve"> Journal of Hydrology 329(3-4)</w:t>
      </w:r>
      <w:r w:rsidR="00C461E4">
        <w:t>:</w:t>
      </w:r>
      <w:r>
        <w:t xml:space="preserve"> 377-389. </w:t>
      </w:r>
    </w:p>
    <w:p w14:paraId="3957C298" w14:textId="77777777" w:rsidR="002D337D" w:rsidRDefault="00DA1389" w:rsidP="005D77D8">
      <w:pPr>
        <w:pStyle w:val="Body"/>
        <w:spacing w:afterLines="20" w:after="48" w:line="240" w:lineRule="auto"/>
        <w:ind w:left="567" w:hanging="567"/>
      </w:pPr>
      <w:r>
        <w:t>Knudby C, Carrera J, Bumgardner J and Fogg G (2006) Binary upscaling - the role of connectivity and a new formula</w:t>
      </w:r>
      <w:r w:rsidR="00C461E4">
        <w:t>,</w:t>
      </w:r>
      <w:r>
        <w:t xml:space="preserve"> Advances in Water Resources 29(4)</w:t>
      </w:r>
      <w:r w:rsidR="00C461E4">
        <w:t>:</w:t>
      </w:r>
      <w:r>
        <w:t xml:space="preserve"> 590-604. </w:t>
      </w:r>
    </w:p>
    <w:p w14:paraId="76D10FE4" w14:textId="77777777" w:rsidR="002D337D" w:rsidRDefault="002A3E91" w:rsidP="005D77D8">
      <w:pPr>
        <w:pStyle w:val="Body"/>
        <w:spacing w:afterLines="20" w:after="48" w:line="240" w:lineRule="auto"/>
        <w:ind w:left="567" w:hanging="567"/>
      </w:pPr>
      <w:r w:rsidRPr="002A3E91">
        <w:t>Kolditz O (1995) Modelling flow and heat transfer in fractured rocks: conceptual model of a 3-D deterministic fracture network</w:t>
      </w:r>
      <w:r>
        <w:t>,</w:t>
      </w:r>
      <w:r w:rsidRPr="002A3E91">
        <w:t xml:space="preserve"> Geothermics 24(3)</w:t>
      </w:r>
      <w:r w:rsidR="00C461E4">
        <w:t>:</w:t>
      </w:r>
      <w:r w:rsidRPr="002A3E91">
        <w:t xml:space="preserve"> 451-470.</w:t>
      </w:r>
    </w:p>
    <w:p w14:paraId="7F5A37E4" w14:textId="5B1399B9" w:rsidR="00AC0D2C" w:rsidRDefault="00AC0D2C" w:rsidP="005D77D8">
      <w:pPr>
        <w:pStyle w:val="Body"/>
        <w:spacing w:afterLines="20" w:after="48" w:line="240" w:lineRule="auto"/>
        <w:ind w:left="567" w:hanging="567"/>
      </w:pPr>
      <w:r>
        <w:t>Kolditz O, Ratke R, Diersch H-JG, Zielke W (1998) Coupled groundwater flow and transport: 1. Verification of variable density flow and transport models. Advances in Water Resources 21: 27-46</w:t>
      </w:r>
    </w:p>
    <w:p w14:paraId="4D5B9364" w14:textId="77777777" w:rsidR="002D337D" w:rsidRDefault="007B078F" w:rsidP="005D77D8">
      <w:pPr>
        <w:pStyle w:val="Body"/>
        <w:spacing w:afterLines="20" w:after="48" w:line="240" w:lineRule="auto"/>
        <w:ind w:left="567" w:hanging="567"/>
      </w:pPr>
      <w:r w:rsidRPr="007B078F">
        <w:t xml:space="preserve">Kolditz O, Bauer S, Bilke L, Böttcher N, Delfs JO, Fischer T, </w:t>
      </w:r>
      <w:r>
        <w:t>Görke UJ, Kalbacher T, Kosakowski G, McDermott CI, Park CH, Radu F, Rink K, Shao H, Shao HB, Sun F, Sun YY, Singh AK, Taron J, Walther M, Wang W, Watanabe N, Wu Y, Xie M, Xu W</w:t>
      </w:r>
      <w:r w:rsidR="00C461E4">
        <w:t xml:space="preserve"> and</w:t>
      </w:r>
      <w:r>
        <w:t xml:space="preserve"> </w:t>
      </w:r>
      <w:r w:rsidRPr="007B078F">
        <w:t xml:space="preserve">Zehner B (2012) OpenGeoSys: </w:t>
      </w:r>
      <w:r>
        <w:t>A</w:t>
      </w:r>
      <w:r w:rsidRPr="007B078F">
        <w:t>n open-source initiative for numerical simulation of thermo-hydro-mechanical/chemical (THM/C) processes in porous media</w:t>
      </w:r>
      <w:r>
        <w:t>,</w:t>
      </w:r>
      <w:r w:rsidRPr="007B078F">
        <w:t xml:space="preserve"> Environmental Earth Sciences 67(2)</w:t>
      </w:r>
      <w:r w:rsidR="00C461E4">
        <w:t>:</w:t>
      </w:r>
      <w:r w:rsidRPr="007B078F">
        <w:t xml:space="preserve"> 589-599.</w:t>
      </w:r>
    </w:p>
    <w:p w14:paraId="4D323D04" w14:textId="77777777" w:rsidR="002D337D" w:rsidRDefault="00DA1389" w:rsidP="005D77D8">
      <w:pPr>
        <w:pStyle w:val="Body"/>
        <w:spacing w:afterLines="20" w:after="48" w:line="240" w:lineRule="auto"/>
        <w:ind w:left="567" w:hanging="567"/>
      </w:pPr>
      <w:r>
        <w:t>Koltermann C and Gorelick S (1996) Heterogeneity in sedimentary deposits: A review of structure-imitating, process-imitating, and descriptive approaches</w:t>
      </w:r>
      <w:r w:rsidR="00C461E4">
        <w:t>,</w:t>
      </w:r>
      <w:r>
        <w:t xml:space="preserve"> Water Resources Research 32(9)</w:t>
      </w:r>
      <w:r w:rsidR="00C461E4">
        <w:t>:</w:t>
      </w:r>
      <w:r>
        <w:t xml:space="preserve"> 2617-2658. </w:t>
      </w:r>
    </w:p>
    <w:p w14:paraId="1B5BAC8E" w14:textId="77777777" w:rsidR="002D337D" w:rsidRDefault="00DA1389" w:rsidP="005D77D8">
      <w:pPr>
        <w:pStyle w:val="Body"/>
        <w:spacing w:afterLines="20" w:after="48" w:line="240" w:lineRule="auto"/>
        <w:ind w:left="567" w:hanging="567"/>
      </w:pPr>
      <w:r>
        <w:t>Konikow L and Bredehoeft J (1992) Groundwater models cannot be validated</w:t>
      </w:r>
      <w:r w:rsidR="00C461E4">
        <w:t>,</w:t>
      </w:r>
      <w:r>
        <w:t xml:space="preserve"> Advances in Water Resources 15(1)</w:t>
      </w:r>
      <w:r w:rsidR="00C461E4">
        <w:t>:</w:t>
      </w:r>
      <w:r>
        <w:t xml:space="preserve"> 75-83. </w:t>
      </w:r>
    </w:p>
    <w:p w14:paraId="26F77EDB" w14:textId="77777777" w:rsidR="002D337D" w:rsidRDefault="00DA1389" w:rsidP="005D77D8">
      <w:pPr>
        <w:pStyle w:val="Body"/>
        <w:spacing w:afterLines="20" w:after="48" w:line="240" w:lineRule="auto"/>
        <w:ind w:left="567" w:hanging="567"/>
      </w:pPr>
      <w:r>
        <w:t>Konikow L, Hornberger G, Halford K and Hanson R (2009) Revised multi-node well (MNW2) package for MODFLOW ground-water flow model</w:t>
      </w:r>
      <w:r w:rsidR="00C461E4">
        <w:t xml:space="preserve">, </w:t>
      </w:r>
      <w:r w:rsidR="00C461E4" w:rsidRPr="00C461E4">
        <w:t>U</w:t>
      </w:r>
      <w:r w:rsidR="00C461E4">
        <w:t>.</w:t>
      </w:r>
      <w:r w:rsidR="00C461E4" w:rsidRPr="00C461E4">
        <w:t>S</w:t>
      </w:r>
      <w:r w:rsidR="00C461E4">
        <w:t>.</w:t>
      </w:r>
      <w:r w:rsidR="00C461E4" w:rsidRPr="00C461E4">
        <w:t xml:space="preserve"> Geological Survey</w:t>
      </w:r>
      <w:r w:rsidR="00C461E4">
        <w:t>.</w:t>
      </w:r>
    </w:p>
    <w:p w14:paraId="7FCA6508" w14:textId="77777777" w:rsidR="002D337D" w:rsidRDefault="00F30E04" w:rsidP="005D77D8">
      <w:pPr>
        <w:pStyle w:val="Body"/>
        <w:spacing w:afterLines="20" w:after="48" w:line="240" w:lineRule="auto"/>
        <w:ind w:left="567" w:hanging="567"/>
      </w:pPr>
      <w:r>
        <w:t>Kröhn</w:t>
      </w:r>
      <w:r w:rsidRPr="00F30E04">
        <w:t xml:space="preserve"> KP</w:t>
      </w:r>
      <w:r>
        <w:t xml:space="preserve"> (2012)</w:t>
      </w:r>
      <w:r w:rsidRPr="00F30E04">
        <w:t xml:space="preserve"> Qualifying a computer program for simulating fracture flow</w:t>
      </w:r>
      <w:r>
        <w:t>,</w:t>
      </w:r>
      <w:r w:rsidRPr="00F30E04">
        <w:t xml:space="preserve"> Computing and Visualization in Science, 15(1)</w:t>
      </w:r>
      <w:r w:rsidR="00C461E4">
        <w:t>:</w:t>
      </w:r>
      <w:r w:rsidRPr="00F30E04">
        <w:t xml:space="preserve"> 29-37.</w:t>
      </w:r>
    </w:p>
    <w:p w14:paraId="1292DD12" w14:textId="77777777" w:rsidR="002D337D" w:rsidRDefault="00DA1389" w:rsidP="005D77D8">
      <w:pPr>
        <w:pStyle w:val="Body"/>
        <w:spacing w:afterLines="20" w:after="48" w:line="240" w:lineRule="auto"/>
        <w:ind w:left="567" w:hanging="567"/>
      </w:pPr>
      <w:r>
        <w:t>Kruseman G and de Ridder N (1990) Analysis and evaluation of pumping test data</w:t>
      </w:r>
      <w:r w:rsidR="00C461E4">
        <w:t>,</w:t>
      </w:r>
      <w:r>
        <w:t xml:space="preserve"> International Institute for Land Reclamation and Improvement, Wageningen</w:t>
      </w:r>
      <w:r w:rsidR="00C461E4">
        <w:t xml:space="preserve"> University, Wageningen, The Netherlands</w:t>
      </w:r>
      <w:r>
        <w:t>.</w:t>
      </w:r>
    </w:p>
    <w:p w14:paraId="2737A414" w14:textId="77777777" w:rsidR="002D337D" w:rsidRDefault="00DA1389" w:rsidP="005D77D8">
      <w:pPr>
        <w:pStyle w:val="Body"/>
        <w:spacing w:afterLines="20" w:after="48" w:line="240" w:lineRule="auto"/>
        <w:ind w:left="567" w:hanging="567"/>
      </w:pPr>
      <w:r>
        <w:t>Laloy E, Rogiers B, Vrugt JA, Mallants D and Jacques D (2013) Efficient posterior exploration of a high‐dimensional groundwater model from two‐stage Markov chain Monte Carlo simulation and polynomial chaos expansion</w:t>
      </w:r>
      <w:r w:rsidR="00C461E4">
        <w:t>,</w:t>
      </w:r>
      <w:r>
        <w:t xml:space="preserve"> Water Resources Research 49(5)</w:t>
      </w:r>
      <w:r w:rsidR="00C461E4">
        <w:t>:</w:t>
      </w:r>
      <w:r>
        <w:t xml:space="preserve"> 2664-2682. </w:t>
      </w:r>
    </w:p>
    <w:p w14:paraId="1C9E5102" w14:textId="77777777" w:rsidR="002D337D" w:rsidRDefault="00DA1389" w:rsidP="005D77D8">
      <w:pPr>
        <w:pStyle w:val="Body"/>
        <w:spacing w:afterLines="20" w:after="48" w:line="240" w:lineRule="auto"/>
        <w:ind w:left="567" w:hanging="567"/>
      </w:pPr>
      <w:r>
        <w:t>Langmuir I (1918) The adsorption of gases on plane surfaces of glass, mica and platinum</w:t>
      </w:r>
      <w:r w:rsidR="00C461E4">
        <w:t>,</w:t>
      </w:r>
      <w:r>
        <w:t xml:space="preserve"> Journal of the American Chemical Society 40</w:t>
      </w:r>
      <w:r w:rsidR="00C461E4">
        <w:t>:</w:t>
      </w:r>
      <w:r>
        <w:t xml:space="preserve"> 1361-1403. </w:t>
      </w:r>
    </w:p>
    <w:p w14:paraId="009686FB" w14:textId="77777777" w:rsidR="002D337D" w:rsidRDefault="00CD71B9" w:rsidP="005D77D8">
      <w:pPr>
        <w:pStyle w:val="Body"/>
        <w:spacing w:afterLines="20" w:after="48" w:line="240" w:lineRule="auto"/>
        <w:ind w:left="567" w:hanging="567"/>
      </w:pPr>
      <w:r w:rsidRPr="00CD71B9">
        <w:t>Law DHS, Van der Meer LGH</w:t>
      </w:r>
      <w:r w:rsidR="00C461E4">
        <w:t xml:space="preserve"> and</w:t>
      </w:r>
      <w:r w:rsidRPr="00CD71B9">
        <w:t xml:space="preserve"> Gunter WD (2002) Numerical simulator comparison study for enhanced coalbed methane recovery processes, </w:t>
      </w:r>
      <w:r w:rsidR="00841A63">
        <w:t>P</w:t>
      </w:r>
      <w:r w:rsidRPr="00CD71B9">
        <w:t xml:space="preserve">art I: </w:t>
      </w:r>
      <w:r>
        <w:t>P</w:t>
      </w:r>
      <w:r w:rsidRPr="00CD71B9">
        <w:t>ure carbon dioxide injection</w:t>
      </w:r>
      <w:r>
        <w:t>,</w:t>
      </w:r>
      <w:r w:rsidRPr="00CD71B9">
        <w:t xml:space="preserve"> </w:t>
      </w:r>
      <w:r>
        <w:t>in:</w:t>
      </w:r>
      <w:r w:rsidRPr="00CD71B9">
        <w:t xml:space="preserve"> </w:t>
      </w:r>
      <w:r w:rsidR="00841A63" w:rsidRPr="00CD71B9">
        <w:t>Society of Petroleum Engineers</w:t>
      </w:r>
      <w:r w:rsidR="00841A63">
        <w:t xml:space="preserve"> </w:t>
      </w:r>
      <w:r w:rsidRPr="00CD71B9">
        <w:t>Gas Technology Symposium</w:t>
      </w:r>
      <w:r>
        <w:t>,</w:t>
      </w:r>
      <w:r w:rsidRPr="00CD71B9">
        <w:t xml:space="preserve"> </w:t>
      </w:r>
      <w:r w:rsidR="00841A63" w:rsidRPr="00841A63">
        <w:t>Calgary, Alberta, Canada</w:t>
      </w:r>
      <w:r w:rsidR="00841A63">
        <w:t>,</w:t>
      </w:r>
      <w:r w:rsidR="00841A63" w:rsidRPr="00841A63">
        <w:t xml:space="preserve"> </w:t>
      </w:r>
      <w:r w:rsidR="00841A63">
        <w:t>April 30–</w:t>
      </w:r>
      <w:r w:rsidR="00841A63" w:rsidRPr="00841A63">
        <w:t>May 2</w:t>
      </w:r>
      <w:r w:rsidR="00841A63">
        <w:t xml:space="preserve">, </w:t>
      </w:r>
      <w:r w:rsidR="00841A63" w:rsidRPr="00841A63">
        <w:t>2002</w:t>
      </w:r>
      <w:r w:rsidRPr="00CD71B9">
        <w:t>.</w:t>
      </w:r>
    </w:p>
    <w:p w14:paraId="29C50913" w14:textId="77777777" w:rsidR="002D337D" w:rsidRDefault="00CD71B9" w:rsidP="005D77D8">
      <w:pPr>
        <w:pStyle w:val="Body"/>
        <w:spacing w:afterLines="20" w:after="48" w:line="240" w:lineRule="auto"/>
        <w:ind w:left="567" w:hanging="567"/>
      </w:pPr>
      <w:r w:rsidRPr="00CD71B9">
        <w:t>Law DHS, Van der Meer LGH</w:t>
      </w:r>
      <w:r w:rsidR="00C461E4">
        <w:t xml:space="preserve"> and</w:t>
      </w:r>
      <w:r w:rsidRPr="00CD71B9">
        <w:t xml:space="preserve"> Gunter WD (</w:t>
      </w:r>
      <w:r>
        <w:t>2003</w:t>
      </w:r>
      <w:r w:rsidRPr="00CD71B9">
        <w:t xml:space="preserve">) Comparison of numerical simulators for greenhouse gas storage in coal beds, </w:t>
      </w:r>
      <w:r w:rsidR="00841A63">
        <w:t>P</w:t>
      </w:r>
      <w:r w:rsidRPr="00CD71B9">
        <w:t>art II: Flue gas injection</w:t>
      </w:r>
      <w:r w:rsidR="00841A63">
        <w:t>, in:</w:t>
      </w:r>
      <w:r w:rsidRPr="00CD71B9">
        <w:t xml:space="preserve"> Proceedings of the 6th International Conference on Gree</w:t>
      </w:r>
      <w:r w:rsidR="00841A63">
        <w:t>nhouse Gas Control Technologies</w:t>
      </w:r>
      <w:r w:rsidR="00841A63" w:rsidRPr="00841A63">
        <w:t>, Kyoto, Japan, October 1-4, 2002</w:t>
      </w:r>
      <w:r w:rsidRPr="00CD71B9">
        <w:t>.</w:t>
      </w:r>
    </w:p>
    <w:p w14:paraId="06F9F918" w14:textId="77777777" w:rsidR="002D337D" w:rsidRDefault="00841A63" w:rsidP="005D77D8">
      <w:pPr>
        <w:pStyle w:val="Body"/>
        <w:spacing w:afterLines="20" w:after="48" w:line="240" w:lineRule="auto"/>
        <w:ind w:left="567" w:hanging="567"/>
      </w:pPr>
      <w:r w:rsidRPr="00CD71B9">
        <w:t>Law DHS, Van der Meer LGH</w:t>
      </w:r>
      <w:r w:rsidR="00C461E4">
        <w:t xml:space="preserve"> and</w:t>
      </w:r>
      <w:r w:rsidRPr="00CD71B9">
        <w:t xml:space="preserve"> Gunter WD </w:t>
      </w:r>
      <w:r w:rsidRPr="00841A63">
        <w:t>(20</w:t>
      </w:r>
      <w:r>
        <w:t>04</w:t>
      </w:r>
      <w:r w:rsidRPr="00841A63">
        <w:t xml:space="preserve">) Comparison of numerical simulators for </w:t>
      </w:r>
      <w:r>
        <w:t xml:space="preserve">greenhouse gas sequestration in </w:t>
      </w:r>
      <w:r w:rsidRPr="00841A63">
        <w:t xml:space="preserve">coalbeds, Part III: </w:t>
      </w:r>
      <w:r>
        <w:t>More complex problems, 2nd Annual Conference on Carbon Sequestration, Alexandria, VA, USA, May 5–8, 2003.</w:t>
      </w:r>
    </w:p>
    <w:p w14:paraId="3ED5CEDF" w14:textId="77777777" w:rsidR="002D337D" w:rsidRDefault="007D6A94" w:rsidP="005D77D8">
      <w:pPr>
        <w:pStyle w:val="Body"/>
        <w:spacing w:afterLines="20" w:after="48" w:line="240" w:lineRule="auto"/>
        <w:ind w:left="567" w:hanging="567"/>
      </w:pPr>
      <w:r w:rsidRPr="00CD71B9">
        <w:t>Law DHS, Van der Meer LGH</w:t>
      </w:r>
      <w:r w:rsidR="00C461E4">
        <w:t xml:space="preserve"> and</w:t>
      </w:r>
      <w:r w:rsidRPr="00CD71B9">
        <w:t xml:space="preserve"> Gunter WD </w:t>
      </w:r>
      <w:r w:rsidRPr="00841A63">
        <w:t>(20</w:t>
      </w:r>
      <w:r>
        <w:t>05</w:t>
      </w:r>
      <w:r w:rsidRPr="00841A63">
        <w:t xml:space="preserve">) Comparison of numerical simulators for </w:t>
      </w:r>
      <w:r>
        <w:t xml:space="preserve">greenhouse gas sequestration in </w:t>
      </w:r>
      <w:r w:rsidRPr="00841A63">
        <w:t xml:space="preserve">coalbeds, Part </w:t>
      </w:r>
      <w:r>
        <w:t xml:space="preserve">IV:  History match of field micro-pilot test data, in: </w:t>
      </w:r>
      <w:r w:rsidRPr="007D6A94">
        <w:t>Proceedings of the 7th International Conference on Greenhouse Gas Control Technologies, Vancouver</w:t>
      </w:r>
      <w:r>
        <w:t>,</w:t>
      </w:r>
      <w:r w:rsidRPr="007D6A94">
        <w:t xml:space="preserve"> BC, Canada, September 5-9</w:t>
      </w:r>
      <w:r>
        <w:t>, pp. 2239-2242</w:t>
      </w:r>
      <w:r w:rsidRPr="007D6A94">
        <w:t>.</w:t>
      </w:r>
    </w:p>
    <w:p w14:paraId="2B6E053C" w14:textId="77777777" w:rsidR="002D337D" w:rsidRDefault="00952D6A" w:rsidP="005D77D8">
      <w:pPr>
        <w:pStyle w:val="Body"/>
        <w:spacing w:afterLines="20" w:after="48" w:line="240" w:lineRule="auto"/>
        <w:ind w:left="567" w:hanging="567"/>
      </w:pPr>
      <w:r w:rsidRPr="00952D6A">
        <w:t>Li X</w:t>
      </w:r>
      <w:r w:rsidR="00C461E4">
        <w:t xml:space="preserve"> and </w:t>
      </w:r>
      <w:r w:rsidRPr="00952D6A">
        <w:t>Fang ZM (2014) Current status</w:t>
      </w:r>
      <w:r>
        <w:t xml:space="preserve"> and technical challenges of CO</w:t>
      </w:r>
      <w:r>
        <w:rPr>
          <w:vertAlign w:val="subscript"/>
        </w:rPr>
        <w:t>2</w:t>
      </w:r>
      <w:r w:rsidRPr="00952D6A">
        <w:t xml:space="preserve"> storage in coal seams and enhanced coalbed methane recovery: </w:t>
      </w:r>
      <w:r>
        <w:t>A</w:t>
      </w:r>
      <w:r w:rsidRPr="00952D6A">
        <w:t>n overview</w:t>
      </w:r>
      <w:r w:rsidR="00C461E4">
        <w:t>,</w:t>
      </w:r>
      <w:r w:rsidRPr="00952D6A">
        <w:t xml:space="preserve"> International Journal of Coal Science </w:t>
      </w:r>
      <w:r>
        <w:t>and</w:t>
      </w:r>
      <w:r w:rsidRPr="00952D6A">
        <w:t xml:space="preserve"> Technology, 1(1)</w:t>
      </w:r>
      <w:r w:rsidR="00C461E4">
        <w:t>:</w:t>
      </w:r>
      <w:r w:rsidRPr="00952D6A">
        <w:t xml:space="preserve"> 93-102.</w:t>
      </w:r>
    </w:p>
    <w:p w14:paraId="36CBA437" w14:textId="77777777" w:rsidR="002D337D" w:rsidRDefault="00DA1389" w:rsidP="005D77D8">
      <w:pPr>
        <w:pStyle w:val="Body"/>
        <w:spacing w:afterLines="20" w:after="48" w:line="240" w:lineRule="auto"/>
        <w:ind w:left="567" w:hanging="567"/>
      </w:pPr>
      <w:r>
        <w:t>Li L, Srinivasan S, Zhou H and Gómez-Hernández JJ (2015) Two-point or multiple-point statistics? A comparison between the ensemble Kalman filtering and the ensemble pattern matching inverse methods</w:t>
      </w:r>
      <w:r w:rsidR="00C461E4">
        <w:t>,</w:t>
      </w:r>
      <w:r>
        <w:t xml:space="preserve"> Advances in Water Resources</w:t>
      </w:r>
      <w:r w:rsidR="00C461E4">
        <w:t xml:space="preserve"> 86(B): 297-310</w:t>
      </w:r>
      <w:r>
        <w:t xml:space="preserve">. </w:t>
      </w:r>
    </w:p>
    <w:p w14:paraId="3D67AE84" w14:textId="6FDD94E2" w:rsidR="002D337D" w:rsidRDefault="00DA1389" w:rsidP="005D77D8">
      <w:pPr>
        <w:pStyle w:val="Body"/>
        <w:spacing w:afterLines="20" w:after="48" w:line="240" w:lineRule="auto"/>
        <w:ind w:left="567" w:hanging="567"/>
      </w:pPr>
      <w:r>
        <w:t>Li L, Zhou H and Gomez-Hernandez J (2011) A comparative study of three-dimensional hydraulic conductivity upscaling at the macro-dispersion experiment (MADE) site, Columbus Air Force Base, Mississippi (USA)</w:t>
      </w:r>
      <w:r w:rsidR="00C461E4">
        <w:t>,</w:t>
      </w:r>
      <w:r>
        <w:t xml:space="preserve"> Journal of Hydrology 404(3-4)</w:t>
      </w:r>
      <w:r w:rsidR="000D664D">
        <w:t>:</w:t>
      </w:r>
      <w:r>
        <w:t xml:space="preserve"> 278-293. </w:t>
      </w:r>
    </w:p>
    <w:p w14:paraId="4D9EE44E" w14:textId="77777777" w:rsidR="002D337D" w:rsidRDefault="007B078F" w:rsidP="005D77D8">
      <w:pPr>
        <w:pStyle w:val="Body"/>
        <w:spacing w:afterLines="20" w:after="48" w:line="240" w:lineRule="auto"/>
        <w:ind w:left="567" w:hanging="567"/>
      </w:pPr>
      <w:r w:rsidRPr="007B078F">
        <w:t>Lichtner PC</w:t>
      </w:r>
      <w:r w:rsidR="002A3E91">
        <w:t>, Hammond GE, Lu C, Karra S, Bisht G, Andre B, Mills R, Kumar J</w:t>
      </w:r>
      <w:r>
        <w:t xml:space="preserve"> (2015</w:t>
      </w:r>
      <w:r w:rsidRPr="007B078F">
        <w:t xml:space="preserve">) </w:t>
      </w:r>
      <w:r w:rsidR="002A3E91">
        <w:t>P</w:t>
      </w:r>
      <w:r w:rsidRPr="007B078F">
        <w:t>FLOTRAN User</w:t>
      </w:r>
      <w:r w:rsidR="002A3E91">
        <w:t xml:space="preserve"> Manual</w:t>
      </w:r>
      <w:r w:rsidRPr="007B078F">
        <w:t xml:space="preserve">: </w:t>
      </w:r>
      <w:r w:rsidR="002A3E91">
        <w:t>A Massively Parallel Reactive Flow and Transport Model for Describing Surface and Subsurface Processes</w:t>
      </w:r>
      <w:r>
        <w:t xml:space="preserve">, </w:t>
      </w:r>
      <w:r w:rsidRPr="007B078F">
        <w:t>Los Alamos Nat</w:t>
      </w:r>
      <w:r>
        <w:t>iona</w:t>
      </w:r>
      <w:r w:rsidRPr="007B078F">
        <w:t>l Lab</w:t>
      </w:r>
      <w:r>
        <w:t>oratory, Los Alamos, NM, USA</w:t>
      </w:r>
      <w:r w:rsidR="002A3E91">
        <w:t>, 195p</w:t>
      </w:r>
      <w:r w:rsidRPr="007B078F">
        <w:t xml:space="preserve">. </w:t>
      </w:r>
    </w:p>
    <w:p w14:paraId="63A962D2" w14:textId="77777777" w:rsidR="002D337D" w:rsidRDefault="00DA1389" w:rsidP="005D77D8">
      <w:pPr>
        <w:pStyle w:val="Body"/>
        <w:spacing w:afterLines="20" w:after="48" w:line="240" w:lineRule="auto"/>
        <w:ind w:left="567" w:hanging="567"/>
      </w:pPr>
      <w:r>
        <w:t>Lindsay N, Murphy F, Walsh J and Watterson J (1993) Outcrop studies of shale smears on fault surfaces</w:t>
      </w:r>
      <w:r w:rsidR="00C461E4">
        <w:t>,</w:t>
      </w:r>
      <w:r>
        <w:t xml:space="preserve"> The </w:t>
      </w:r>
      <w:r w:rsidR="00C461E4">
        <w:t xml:space="preserve">Geological Modelling of Hydrocarbon Reservoirs and Outcrop Analogues, pp. </w:t>
      </w:r>
      <w:r>
        <w:t xml:space="preserve">113-123. </w:t>
      </w:r>
    </w:p>
    <w:p w14:paraId="7440EE00" w14:textId="77777777" w:rsidR="002D337D" w:rsidRDefault="00DA1389" w:rsidP="005D77D8">
      <w:pPr>
        <w:pStyle w:val="Body"/>
        <w:spacing w:afterLines="20" w:after="48" w:line="240" w:lineRule="auto"/>
        <w:ind w:left="567" w:hanging="567"/>
      </w:pPr>
      <w:r>
        <w:t>Liu H, Doughty C and Bodvarsson G (1998) An active fracture model for unsaturated flow and transport in fractured rocks</w:t>
      </w:r>
      <w:r w:rsidR="00C461E4">
        <w:t xml:space="preserve">, </w:t>
      </w:r>
      <w:r>
        <w:t>Water Resources Research 34(10)</w:t>
      </w:r>
      <w:r w:rsidR="00C461E4">
        <w:t>:</w:t>
      </w:r>
      <w:r>
        <w:t xml:space="preserve"> 2633-2646. </w:t>
      </w:r>
    </w:p>
    <w:p w14:paraId="79F75C6C" w14:textId="77777777" w:rsidR="002D337D" w:rsidRDefault="00DA1389" w:rsidP="005D77D8">
      <w:pPr>
        <w:pStyle w:val="Body"/>
        <w:spacing w:afterLines="20" w:after="48" w:line="240" w:lineRule="auto"/>
        <w:ind w:left="567" w:hanging="567"/>
      </w:pPr>
      <w:r>
        <w:t xml:space="preserve">Liu H, Zhang G and Bodvarsson G (2003) The </w:t>
      </w:r>
      <w:r w:rsidR="00C461E4">
        <w:t xml:space="preserve">active fracture model: Its relation to fractal flow patterns and an evaluation using field observations, </w:t>
      </w:r>
      <w:r>
        <w:t>Vadose Zone Journal 2(2)</w:t>
      </w:r>
      <w:r w:rsidR="00C461E4">
        <w:t>:</w:t>
      </w:r>
      <w:r>
        <w:t xml:space="preserve"> 259-269. </w:t>
      </w:r>
    </w:p>
    <w:p w14:paraId="554C9222" w14:textId="20596465" w:rsidR="00F40D4B" w:rsidRDefault="00F40D4B" w:rsidP="00A45100">
      <w:pPr>
        <w:pStyle w:val="Body"/>
        <w:spacing w:afterLines="20" w:after="48" w:line="240" w:lineRule="auto"/>
        <w:ind w:left="567" w:hanging="567"/>
      </w:pPr>
      <w:r>
        <w:t>Liu Y, Harding A, Abriel W and Strebelle S (2014). Multiple-point simulation integrating wells, three-dimensional seismic data, and geology. AAPG Bulletin 88: 905–921.</w:t>
      </w:r>
    </w:p>
    <w:p w14:paraId="21A1A721" w14:textId="77777777" w:rsidR="002D337D" w:rsidRDefault="00DA1389" w:rsidP="005D77D8">
      <w:pPr>
        <w:pStyle w:val="Body"/>
        <w:spacing w:afterLines="20" w:after="48" w:line="240" w:lineRule="auto"/>
        <w:ind w:left="567" w:hanging="567"/>
      </w:pPr>
      <w:r>
        <w:t>Liu X, Zhang C, Liu Q and Birkholzer J (2009) Multiple-point statistical prediction on fracture networks at Yucca Mountain</w:t>
      </w:r>
      <w:r w:rsidR="00C461E4">
        <w:t>,</w:t>
      </w:r>
      <w:r>
        <w:t xml:space="preserve"> Environmental Geology 57(6)</w:t>
      </w:r>
      <w:r w:rsidR="00C461E4">
        <w:t>:</w:t>
      </w:r>
      <w:r>
        <w:t xml:space="preserve"> 1361-1370. </w:t>
      </w:r>
    </w:p>
    <w:p w14:paraId="51955542" w14:textId="77777777" w:rsidR="002D337D" w:rsidRDefault="00DA1389" w:rsidP="005D77D8">
      <w:pPr>
        <w:pStyle w:val="Body"/>
        <w:spacing w:afterLines="20" w:after="48" w:line="240" w:lineRule="auto"/>
        <w:ind w:left="567" w:hanging="567"/>
      </w:pPr>
      <w:r>
        <w:t>Liu Y (2006) Using the Snesim program for multiple-point statistical simulation</w:t>
      </w:r>
      <w:r w:rsidR="00C461E4">
        <w:t xml:space="preserve">, </w:t>
      </w:r>
      <w:r>
        <w:t xml:space="preserve">Computers </w:t>
      </w:r>
      <w:r w:rsidR="00C461E4">
        <w:t xml:space="preserve">and </w:t>
      </w:r>
      <w:r>
        <w:t>Geosciences 32(10)</w:t>
      </w:r>
      <w:r w:rsidR="00C461E4">
        <w:t>:</w:t>
      </w:r>
      <w:r>
        <w:t xml:space="preserve"> 1544-1563. </w:t>
      </w:r>
    </w:p>
    <w:p w14:paraId="3AC0FCE8" w14:textId="12D08E50" w:rsidR="00727ACD" w:rsidRPr="00A45100" w:rsidRDefault="00727ACD" w:rsidP="00A45100">
      <w:pPr>
        <w:pStyle w:val="Body"/>
        <w:spacing w:afterLines="20" w:after="48" w:line="240" w:lineRule="auto"/>
        <w:ind w:left="567" w:hanging="567"/>
      </w:pPr>
      <w:r w:rsidRPr="00A45100">
        <w:t>Lohne A, Vimovsky G and Durlofsky LJ (2006) Two-stage upscaling of two-phase flow: from core to simulation scale. SPE Journal, September 2006: 304-316.</w:t>
      </w:r>
    </w:p>
    <w:p w14:paraId="68F4AEA0" w14:textId="77777777" w:rsidR="002D337D" w:rsidRDefault="00DA1389" w:rsidP="005D77D8">
      <w:pPr>
        <w:pStyle w:val="Body"/>
        <w:spacing w:afterLines="20" w:after="48" w:line="240" w:lineRule="auto"/>
        <w:ind w:left="567" w:hanging="567"/>
      </w:pPr>
      <w:r>
        <w:t xml:space="preserve">Long J, Remer J, Wilson C and Witherspoon P (1982) Porous </w:t>
      </w:r>
      <w:r w:rsidR="00C461E4">
        <w:t>media equivalents for networks of discontinuous fractures,</w:t>
      </w:r>
      <w:r>
        <w:t xml:space="preserve"> Water Resources Research 18(3)</w:t>
      </w:r>
      <w:r w:rsidR="00C461E4">
        <w:t>:</w:t>
      </w:r>
      <w:r>
        <w:t xml:space="preserve"> 645-658. </w:t>
      </w:r>
    </w:p>
    <w:p w14:paraId="0DDC0E50" w14:textId="77777777" w:rsidR="002D337D" w:rsidRDefault="00DA1389" w:rsidP="005D77D8">
      <w:pPr>
        <w:pStyle w:val="Body"/>
        <w:spacing w:afterLines="20" w:after="48" w:line="240" w:lineRule="auto"/>
        <w:ind w:left="567" w:hanging="567"/>
      </w:pPr>
      <w:r>
        <w:t>Loveless S, Bense V and Turner J (2011) Fault architecture and deformation processes within poorly lithified rift sediments, Central Greece</w:t>
      </w:r>
      <w:r w:rsidR="00C461E4">
        <w:t>,</w:t>
      </w:r>
      <w:r>
        <w:t xml:space="preserve"> Journal of Structural Geology 33(11)</w:t>
      </w:r>
      <w:r w:rsidR="00C461E4">
        <w:t>:</w:t>
      </w:r>
      <w:r>
        <w:t xml:space="preserve"> 1554-1568. </w:t>
      </w:r>
    </w:p>
    <w:p w14:paraId="4E1DD2E7" w14:textId="77777777" w:rsidR="002D337D" w:rsidRDefault="00B156EE" w:rsidP="005D77D8">
      <w:pPr>
        <w:pStyle w:val="Body"/>
        <w:spacing w:afterLines="20" w:after="48" w:line="240" w:lineRule="auto"/>
        <w:ind w:left="567" w:hanging="567"/>
      </w:pPr>
      <w:r w:rsidRPr="00B156EE">
        <w:t>MacQuarrie KT, Mayer KU (2005) Reactive transport modeling in fractured rock: A state-of-the-science review</w:t>
      </w:r>
      <w:r>
        <w:t>,</w:t>
      </w:r>
      <w:r w:rsidRPr="00B156EE">
        <w:t xml:space="preserve"> Earth</w:t>
      </w:r>
      <w:r w:rsidR="00242124">
        <w:t xml:space="preserve"> </w:t>
      </w:r>
      <w:r w:rsidRPr="00B156EE">
        <w:t>Science Reviews 72(3)</w:t>
      </w:r>
      <w:r w:rsidR="00242124">
        <w:t>:</w:t>
      </w:r>
      <w:r w:rsidRPr="00B156EE">
        <w:t xml:space="preserve"> 189-227.</w:t>
      </w:r>
    </w:p>
    <w:p w14:paraId="6930B877" w14:textId="77777777" w:rsidR="002D337D" w:rsidRDefault="00DA1389" w:rsidP="005D77D8">
      <w:pPr>
        <w:pStyle w:val="Body"/>
        <w:spacing w:afterLines="20" w:after="48" w:line="240" w:lineRule="auto"/>
        <w:ind w:left="567" w:hanging="567"/>
      </w:pPr>
      <w:r>
        <w:t>Maharaja A (2008) TiGenerator: Object-based training image generator</w:t>
      </w:r>
      <w:r w:rsidR="00242124">
        <w:t>,</w:t>
      </w:r>
      <w:r>
        <w:t xml:space="preserve"> Computers </w:t>
      </w:r>
      <w:r w:rsidR="00242124">
        <w:t xml:space="preserve">and </w:t>
      </w:r>
      <w:r>
        <w:t>Geosciences 34(12)</w:t>
      </w:r>
      <w:r w:rsidR="00242124">
        <w:t>:</w:t>
      </w:r>
      <w:r>
        <w:t xml:space="preserve"> 1753-1761. </w:t>
      </w:r>
    </w:p>
    <w:p w14:paraId="0D219130" w14:textId="77777777" w:rsidR="002D337D" w:rsidRDefault="00DA1389" w:rsidP="005D77D8">
      <w:pPr>
        <w:pStyle w:val="Body"/>
        <w:spacing w:afterLines="20" w:after="48" w:line="240" w:lineRule="auto"/>
        <w:ind w:left="567" w:hanging="567"/>
      </w:pPr>
      <w:r>
        <w:t>Mahmud K, Mariethoz G, Baker A and Sharma A (2015) Integrating multiple scales of hydraulic conductivity measurements in training image-based stochastic models</w:t>
      </w:r>
      <w:r w:rsidR="00242124">
        <w:t>,</w:t>
      </w:r>
      <w:r>
        <w:t xml:space="preserve"> Water Resources Research 51(1)</w:t>
      </w:r>
      <w:r w:rsidR="00242124">
        <w:t>:</w:t>
      </w:r>
      <w:r>
        <w:t xml:space="preserve"> 465-480. </w:t>
      </w:r>
    </w:p>
    <w:p w14:paraId="5BCB9DC0" w14:textId="77777777" w:rsidR="002D337D" w:rsidRDefault="00DA1389" w:rsidP="005D77D8">
      <w:pPr>
        <w:pStyle w:val="Body"/>
        <w:spacing w:afterLines="20" w:after="48" w:line="240" w:lineRule="auto"/>
        <w:ind w:left="567" w:hanging="567"/>
      </w:pPr>
      <w:r>
        <w:t>Mallants D, Jacques D and Perko J (2007) Modelling multi-phase flow phenomena in concrete barriers used for geological disposal of radioactive waste</w:t>
      </w:r>
      <w:r w:rsidR="00242124">
        <w:t>,</w:t>
      </w:r>
      <w:r>
        <w:t xml:space="preserve"> The 11th International Conference on Environmental Remediation and Radioactive Waste Management</w:t>
      </w:r>
      <w:r w:rsidR="00242124">
        <w:t>,</w:t>
      </w:r>
      <w:r>
        <w:t xml:space="preserve"> American Society of Mechanical Engineers.</w:t>
      </w:r>
    </w:p>
    <w:p w14:paraId="2D6FBB3F" w14:textId="77777777" w:rsidR="002D337D" w:rsidRDefault="00DA1389" w:rsidP="005D77D8">
      <w:pPr>
        <w:pStyle w:val="Body"/>
        <w:spacing w:afterLines="20" w:after="48" w:line="240" w:lineRule="auto"/>
        <w:ind w:left="567" w:hanging="567"/>
      </w:pPr>
      <w:r>
        <w:t>Mallants D, Vanclooster M, Diels J, and Feyen J (1996) A stochastic approach to simulate water flow in a macroporous soil</w:t>
      </w:r>
      <w:r w:rsidR="00242124">
        <w:t xml:space="preserve">, </w:t>
      </w:r>
      <w:r>
        <w:t>Geoderma 70: 299-324.</w:t>
      </w:r>
    </w:p>
    <w:p w14:paraId="326F3A54" w14:textId="77777777" w:rsidR="002D337D" w:rsidRDefault="00DA1389" w:rsidP="005D77D8">
      <w:pPr>
        <w:pStyle w:val="Body"/>
        <w:spacing w:afterLines="20" w:after="48" w:line="240" w:lineRule="auto"/>
        <w:ind w:left="567" w:hanging="567"/>
      </w:pPr>
      <w:r>
        <w:t>Mallants D, Vermariën E, Perko J, Gedeon M and Olyslaegers G (2009) Overview of qualification file for conceptual models and codes for long-term radiological safety assessments</w:t>
      </w:r>
      <w:r w:rsidR="00242124">
        <w:t>,</w:t>
      </w:r>
      <w:r>
        <w:t xml:space="preserve"> ONDRAF/NIRAS (Belgian </w:t>
      </w:r>
      <w:r w:rsidR="00242124">
        <w:t>Agency for Radioactive Waste and Enriched Fissile Materials).</w:t>
      </w:r>
    </w:p>
    <w:p w14:paraId="701D6534" w14:textId="77777777" w:rsidR="002D337D" w:rsidRDefault="002A3E91" w:rsidP="005D77D8">
      <w:pPr>
        <w:pStyle w:val="Body"/>
        <w:spacing w:afterLines="20" w:after="48" w:line="240" w:lineRule="auto"/>
        <w:ind w:left="567" w:hanging="567"/>
      </w:pPr>
      <w:r>
        <w:t>Manik J, Ertekin T, Kohler T (2002) Development and validation of a compositional coalbed simulator, Journal of Canadian Petroleum Technology, 41 (2002)</w:t>
      </w:r>
      <w:r w:rsidR="00242124">
        <w:t>:</w:t>
      </w:r>
      <w:r>
        <w:t xml:space="preserve"> 39–45.</w:t>
      </w:r>
    </w:p>
    <w:p w14:paraId="32C0810A" w14:textId="77777777" w:rsidR="002D337D" w:rsidRDefault="00DA1389" w:rsidP="005D77D8">
      <w:pPr>
        <w:pStyle w:val="Body"/>
        <w:spacing w:afterLines="20" w:after="48" w:line="240" w:lineRule="auto"/>
        <w:ind w:left="567" w:hanging="567"/>
      </w:pPr>
      <w:r>
        <w:t>Manzocchi T, Childs C and Walsh J (2010) Faults and fault properties in hydrocarbon flow models</w:t>
      </w:r>
      <w:r w:rsidR="00242124">
        <w:t>,</w:t>
      </w:r>
      <w:r>
        <w:t xml:space="preserve"> Geofluids 10(1-2)</w:t>
      </w:r>
      <w:r w:rsidR="00242124">
        <w:t>:</w:t>
      </w:r>
      <w:r>
        <w:t xml:space="preserve"> 94-113. </w:t>
      </w:r>
    </w:p>
    <w:p w14:paraId="1E232DEF" w14:textId="77777777" w:rsidR="002D337D" w:rsidRDefault="00DA1389" w:rsidP="005D77D8">
      <w:pPr>
        <w:pStyle w:val="Body"/>
        <w:spacing w:afterLines="20" w:after="48" w:line="240" w:lineRule="auto"/>
        <w:ind w:left="567" w:hanging="567"/>
      </w:pPr>
      <w:r>
        <w:t xml:space="preserve">Manzocchi T, Heath A, Palananthakumar B, Childs C and Walsh J (2008) Faults in conventional flow simulation models: </w:t>
      </w:r>
      <w:r w:rsidR="00242124">
        <w:t>A</w:t>
      </w:r>
      <w:r>
        <w:t xml:space="preserve"> consideration of representational assumptions and geological uncertainties</w:t>
      </w:r>
      <w:r w:rsidR="00242124">
        <w:t>,</w:t>
      </w:r>
      <w:r>
        <w:t xml:space="preserve"> Petroleum Geoscience 14(1)</w:t>
      </w:r>
      <w:r w:rsidR="00242124">
        <w:t>:</w:t>
      </w:r>
      <w:r>
        <w:t xml:space="preserve"> 91-110. </w:t>
      </w:r>
    </w:p>
    <w:p w14:paraId="46A5E05F" w14:textId="77777777" w:rsidR="002D337D" w:rsidRDefault="00DA1389" w:rsidP="005D77D8">
      <w:pPr>
        <w:pStyle w:val="Body"/>
        <w:spacing w:afterLines="20" w:after="48" w:line="240" w:lineRule="auto"/>
        <w:ind w:left="567" w:hanging="567"/>
      </w:pPr>
      <w:r>
        <w:t>Manzocchi T, Heath A, Walsh J and Childs C (2002) The representation of two phase fault-rock properties in flow simulation models</w:t>
      </w:r>
      <w:r w:rsidR="00242124">
        <w:t>,</w:t>
      </w:r>
      <w:r>
        <w:t xml:space="preserve"> Petroleum Geoscience 8(2)</w:t>
      </w:r>
      <w:r w:rsidR="00242124">
        <w:t>:</w:t>
      </w:r>
      <w:r>
        <w:t xml:space="preserve"> 119-132. </w:t>
      </w:r>
    </w:p>
    <w:p w14:paraId="649D7F57" w14:textId="77777777" w:rsidR="002D337D" w:rsidRDefault="00DA1389" w:rsidP="005D77D8">
      <w:pPr>
        <w:pStyle w:val="Body"/>
        <w:spacing w:afterLines="20" w:after="48" w:line="240" w:lineRule="auto"/>
        <w:ind w:left="567" w:hanging="567"/>
      </w:pPr>
      <w:r>
        <w:t>Manzocchi T, Walsh J, Nell P and Yielding G (1999) Fault transmissibility multipliers for flow simulation models</w:t>
      </w:r>
      <w:r w:rsidR="00242124">
        <w:t>,</w:t>
      </w:r>
      <w:r>
        <w:t xml:space="preserve"> Petroleum Geoscience 5(1)</w:t>
      </w:r>
      <w:r w:rsidR="00242124">
        <w:t>:</w:t>
      </w:r>
      <w:r>
        <w:t xml:space="preserve"> 53-63. </w:t>
      </w:r>
    </w:p>
    <w:p w14:paraId="092B1CDA" w14:textId="77777777" w:rsidR="002D337D" w:rsidRDefault="00DA1389" w:rsidP="005D77D8">
      <w:pPr>
        <w:pStyle w:val="Body"/>
        <w:spacing w:afterLines="20" w:after="48" w:line="240" w:lineRule="auto"/>
        <w:ind w:left="567" w:hanging="567"/>
      </w:pPr>
      <w:r>
        <w:t>Mariethoz G and Lefebvre S (2014) Bridges between multiple-point geostatistics and texture synthesis: Review and guidelines for future research</w:t>
      </w:r>
      <w:r w:rsidR="00242124">
        <w:t>,</w:t>
      </w:r>
      <w:r>
        <w:t xml:space="preserve"> Computers </w:t>
      </w:r>
      <w:r w:rsidR="00242124">
        <w:t>and</w:t>
      </w:r>
      <w:r>
        <w:t xml:space="preserve"> Geosciences 66</w:t>
      </w:r>
      <w:r w:rsidR="00242124">
        <w:t>:</w:t>
      </w:r>
      <w:r>
        <w:t xml:space="preserve"> 66-80. </w:t>
      </w:r>
    </w:p>
    <w:p w14:paraId="55FE8E6B" w14:textId="77777777" w:rsidR="002D337D" w:rsidRDefault="00DA1389" w:rsidP="005D77D8">
      <w:pPr>
        <w:pStyle w:val="Body"/>
        <w:spacing w:afterLines="20" w:after="48" w:line="240" w:lineRule="auto"/>
        <w:ind w:left="567" w:hanging="567"/>
      </w:pPr>
      <w:r>
        <w:t>Mariethoz G, Renard P and Straubhaar J (2010) The Direct Sampling method to perform multiple-point geostatistical simulations</w:t>
      </w:r>
      <w:r w:rsidR="00242124">
        <w:t>,</w:t>
      </w:r>
      <w:r>
        <w:t xml:space="preserve"> Water Resources Research 46</w:t>
      </w:r>
      <w:r w:rsidR="00242124">
        <w:t>(11)</w:t>
      </w:r>
      <w:r>
        <w:t xml:space="preserve">. </w:t>
      </w:r>
    </w:p>
    <w:p w14:paraId="21AA73B1" w14:textId="77777777" w:rsidR="002D337D" w:rsidRDefault="00DA1389" w:rsidP="005D77D8">
      <w:pPr>
        <w:pStyle w:val="Body"/>
        <w:spacing w:afterLines="20" w:after="48" w:line="240" w:lineRule="auto"/>
        <w:ind w:left="567" w:hanging="567"/>
      </w:pPr>
      <w:r>
        <w:t>Matrix Plus (2009) Groundwater (Deep Aquifer Modelling) for SANTOS GLNG Environmental Impact Statement</w:t>
      </w:r>
      <w:r w:rsidR="00242124">
        <w:t>,</w:t>
      </w:r>
      <w:r>
        <w:t xml:space="preserve"> Brisbane, Queensland.</w:t>
      </w:r>
    </w:p>
    <w:p w14:paraId="23251875" w14:textId="77777777" w:rsidR="002D337D" w:rsidRDefault="00952D6A" w:rsidP="005D77D8">
      <w:pPr>
        <w:pStyle w:val="Body"/>
        <w:spacing w:afterLines="20" w:after="48" w:line="240" w:lineRule="auto"/>
        <w:ind w:left="567" w:hanging="567"/>
      </w:pPr>
      <w:r w:rsidRPr="00952D6A">
        <w:t>Mayer KU, Alt-Epping P, Jacques D, Arora B</w:t>
      </w:r>
      <w:r w:rsidR="00242124">
        <w:t xml:space="preserve"> and</w:t>
      </w:r>
      <w:r w:rsidRPr="00952D6A">
        <w:t xml:space="preserve"> Steefel</w:t>
      </w:r>
      <w:r>
        <w:t xml:space="preserve"> C</w:t>
      </w:r>
      <w:r w:rsidRPr="00952D6A">
        <w:t>I (2015) Benchmark problems for reactive transport modeling of the generation and at</w:t>
      </w:r>
      <w:r>
        <w:t>tenuation of acid rock drainage,</w:t>
      </w:r>
      <w:r w:rsidRPr="00952D6A">
        <w:t xml:space="preserve"> Computational Geosciences, </w:t>
      </w:r>
      <w:r w:rsidR="00242124">
        <w:t xml:space="preserve">pp. </w:t>
      </w:r>
      <w:r w:rsidRPr="00952D6A">
        <w:t>1-13.</w:t>
      </w:r>
    </w:p>
    <w:p w14:paraId="6127FB19" w14:textId="77777777" w:rsidR="002D337D" w:rsidRDefault="00952D6A" w:rsidP="005D77D8">
      <w:pPr>
        <w:pStyle w:val="Body"/>
        <w:spacing w:afterLines="20" w:after="48" w:line="240" w:lineRule="auto"/>
        <w:ind w:left="567" w:hanging="567"/>
      </w:pPr>
      <w:r>
        <w:t xml:space="preserve">McLean K and McNamara D (2010) Fractures </w:t>
      </w:r>
      <w:r w:rsidR="00242124">
        <w:t>interpreted from acoustic formation imaging technology: Correlation to permeability,</w:t>
      </w:r>
      <w:r>
        <w:t xml:space="preserve"> Proceedings</w:t>
      </w:r>
      <w:r w:rsidR="00242124">
        <w:t xml:space="preserve"> of the 36th</w:t>
      </w:r>
      <w:r>
        <w:t xml:space="preserve"> Workshop on Geothermal Reservoir Engineering, California, USA, 31 January – 2 February 2011. </w:t>
      </w:r>
    </w:p>
    <w:p w14:paraId="55D8C992" w14:textId="77777777" w:rsidR="002D337D" w:rsidRDefault="00DA1389" w:rsidP="005D77D8">
      <w:pPr>
        <w:pStyle w:val="Body"/>
        <w:spacing w:afterLines="20" w:after="48" w:line="240" w:lineRule="auto"/>
        <w:ind w:left="567" w:hanging="567"/>
      </w:pPr>
      <w:r>
        <w:t>McKenna EP and Poeter SA (1995) Field example of data fusion in site characterization</w:t>
      </w:r>
      <w:r w:rsidR="00242124">
        <w:t>,</w:t>
      </w:r>
      <w:r>
        <w:t xml:space="preserve"> Water Resources Research 31(12)</w:t>
      </w:r>
      <w:r w:rsidR="00242124">
        <w:t>:</w:t>
      </w:r>
      <w:r>
        <w:t xml:space="preserve"> 3229-3240. </w:t>
      </w:r>
    </w:p>
    <w:p w14:paraId="78B9B78F" w14:textId="77777777" w:rsidR="002D337D" w:rsidRDefault="00DA1389" w:rsidP="005D77D8">
      <w:pPr>
        <w:pStyle w:val="Body"/>
        <w:spacing w:afterLines="20" w:after="48" w:line="240" w:lineRule="auto"/>
        <w:ind w:left="567" w:hanging="567"/>
      </w:pPr>
      <w:r>
        <w:t xml:space="preserve">Meerschaert MM, Dogan M, Dam RL, Hyndman DW and Benson DA (2013) Hydraulic conductivity fields: Gaussian or not? Water </w:t>
      </w:r>
      <w:r w:rsidR="00242124">
        <w:t>R</w:t>
      </w:r>
      <w:r>
        <w:t xml:space="preserve">esources </w:t>
      </w:r>
      <w:r w:rsidR="00242124">
        <w:t>R</w:t>
      </w:r>
      <w:r>
        <w:t>esearch 49(8)</w:t>
      </w:r>
      <w:r w:rsidR="00242124">
        <w:t>:</w:t>
      </w:r>
      <w:r>
        <w:t xml:space="preserve"> 4730-4737. </w:t>
      </w:r>
    </w:p>
    <w:p w14:paraId="07C3DAC5" w14:textId="77777777" w:rsidR="002D337D" w:rsidRDefault="00DA1389" w:rsidP="005D77D8">
      <w:pPr>
        <w:pStyle w:val="Body"/>
        <w:spacing w:afterLines="20" w:after="48" w:line="240" w:lineRule="auto"/>
        <w:ind w:left="567" w:hanging="567"/>
      </w:pPr>
      <w:r>
        <w:t>Michael H, Li H, Boucher A, Sun T, Caers J and Gorelick S (2010) Combining geologic-process models and geostatistics for conditional simulation of 3-D subsurface heterogeneity</w:t>
      </w:r>
      <w:r w:rsidR="00242124">
        <w:t>,</w:t>
      </w:r>
      <w:r>
        <w:t xml:space="preserve"> Water Resources Research 46</w:t>
      </w:r>
      <w:r w:rsidR="00242124">
        <w:t>(5)</w:t>
      </w:r>
      <w:r>
        <w:t>.</w:t>
      </w:r>
    </w:p>
    <w:p w14:paraId="7FAC67BE" w14:textId="77777777" w:rsidR="002D337D" w:rsidRDefault="000665C5" w:rsidP="005D77D8">
      <w:pPr>
        <w:pStyle w:val="Body"/>
        <w:spacing w:afterLines="20" w:after="48" w:line="240" w:lineRule="auto"/>
        <w:ind w:left="567" w:hanging="567"/>
      </w:pPr>
      <w:r w:rsidRPr="000665C5">
        <w:t>Middleton</w:t>
      </w:r>
      <w:r>
        <w:t xml:space="preserve"> </w:t>
      </w:r>
      <w:r w:rsidRPr="000665C5">
        <w:t>RS, Keating GN, Stauffer</w:t>
      </w:r>
      <w:r>
        <w:t xml:space="preserve"> </w:t>
      </w:r>
      <w:r w:rsidRPr="000665C5">
        <w:t>PH, Jordan</w:t>
      </w:r>
      <w:r>
        <w:t xml:space="preserve"> </w:t>
      </w:r>
      <w:r w:rsidRPr="000665C5">
        <w:t>AB, Viswanathan HS, Kang</w:t>
      </w:r>
      <w:r>
        <w:t xml:space="preserve"> </w:t>
      </w:r>
      <w:r w:rsidRPr="000665C5">
        <w:t xml:space="preserve">QJ,  Carey </w:t>
      </w:r>
      <w:r>
        <w:t xml:space="preserve">JW, </w:t>
      </w:r>
      <w:r w:rsidRPr="000665C5">
        <w:t xml:space="preserve">Mulkey </w:t>
      </w:r>
      <w:r>
        <w:t xml:space="preserve">ML, </w:t>
      </w:r>
      <w:r w:rsidRPr="000665C5">
        <w:t xml:space="preserve">Sullivan </w:t>
      </w:r>
      <w:r>
        <w:t>EJ</w:t>
      </w:r>
      <w:r w:rsidRPr="000665C5">
        <w:t xml:space="preserve">, Chu </w:t>
      </w:r>
      <w:r>
        <w:t>SP</w:t>
      </w:r>
      <w:r w:rsidRPr="000665C5">
        <w:t>, Esposito</w:t>
      </w:r>
      <w:r>
        <w:t xml:space="preserve"> R</w:t>
      </w:r>
      <w:r w:rsidR="00242124">
        <w:t xml:space="preserve"> and </w:t>
      </w:r>
      <w:r w:rsidRPr="000665C5">
        <w:t>Meckel</w:t>
      </w:r>
      <w:r>
        <w:t xml:space="preserve"> </w:t>
      </w:r>
      <w:r w:rsidRPr="000665C5">
        <w:t>TA (2012) The cross-scale science of CO</w:t>
      </w:r>
      <w:r w:rsidRPr="000665C5">
        <w:rPr>
          <w:vertAlign w:val="subscript"/>
        </w:rPr>
        <w:t>2</w:t>
      </w:r>
      <w:r w:rsidRPr="000665C5">
        <w:t xml:space="preserve"> capture and storage: </w:t>
      </w:r>
      <w:r>
        <w:t>F</w:t>
      </w:r>
      <w:r w:rsidRPr="000665C5">
        <w:t>rom pore scale to regional scale</w:t>
      </w:r>
      <w:r>
        <w:t>,</w:t>
      </w:r>
      <w:r w:rsidRPr="000665C5">
        <w:t xml:space="preserve"> Energy </w:t>
      </w:r>
      <w:r w:rsidR="00242124">
        <w:t xml:space="preserve">and </w:t>
      </w:r>
      <w:r w:rsidRPr="000665C5">
        <w:t>Environmental Science, 5(6)</w:t>
      </w:r>
      <w:r w:rsidR="00242124">
        <w:t xml:space="preserve">: </w:t>
      </w:r>
      <w:r w:rsidRPr="000665C5">
        <w:t>7328-7345.</w:t>
      </w:r>
    </w:p>
    <w:p w14:paraId="1414DC5C" w14:textId="77777777" w:rsidR="002D337D" w:rsidRDefault="002A3E91" w:rsidP="005D77D8">
      <w:pPr>
        <w:pStyle w:val="Body"/>
        <w:spacing w:afterLines="20" w:after="48" w:line="240" w:lineRule="auto"/>
        <w:ind w:left="567" w:hanging="567"/>
      </w:pPr>
      <w:r w:rsidRPr="002A3E91">
        <w:t>Middleton</w:t>
      </w:r>
      <w:r>
        <w:t xml:space="preserve"> R</w:t>
      </w:r>
      <w:r w:rsidRPr="002A3E91">
        <w:t>S, Carey JW, Currier RP, Hyman JD, Kang Q, Karra S,  Jiménez-Martínez</w:t>
      </w:r>
      <w:r>
        <w:t xml:space="preserve"> J</w:t>
      </w:r>
      <w:r w:rsidRPr="002A3E91">
        <w:t>, Porter</w:t>
      </w:r>
      <w:r>
        <w:t xml:space="preserve"> ML</w:t>
      </w:r>
      <w:r w:rsidR="00242124">
        <w:t xml:space="preserve"> and </w:t>
      </w:r>
      <w:r w:rsidRPr="002A3E91">
        <w:t>Viswanathan HS (2015) Shale gas and non-aqueous fracturing fluids: Opportunities and c</w:t>
      </w:r>
      <w:r>
        <w:t>hallenges for supercritical CO</w:t>
      </w:r>
      <w:r w:rsidRPr="00A45100">
        <w:t>2</w:t>
      </w:r>
      <w:r>
        <w:t xml:space="preserve">, </w:t>
      </w:r>
      <w:r w:rsidRPr="002A3E91">
        <w:t>Applied Energy 147</w:t>
      </w:r>
      <w:r w:rsidR="00242124">
        <w:t>:</w:t>
      </w:r>
      <w:r w:rsidRPr="002A3E91">
        <w:t xml:space="preserve"> 500-509.</w:t>
      </w:r>
    </w:p>
    <w:p w14:paraId="04C7977A" w14:textId="60B0D6FC" w:rsidR="00FA6266" w:rsidRDefault="00FA6266" w:rsidP="005D77D8">
      <w:pPr>
        <w:pStyle w:val="Body"/>
        <w:spacing w:afterLines="20" w:after="48" w:line="240" w:lineRule="auto"/>
        <w:ind w:left="567" w:hanging="567"/>
      </w:pPr>
      <w:r>
        <w:t>Moore C (2005) The Use of Regularized Inversion in Groundwater Model Calibration and Prediction Uncertainty Analysis, PhD thesis, University of Queensland, St. Lucia, Australia.</w:t>
      </w:r>
    </w:p>
    <w:p w14:paraId="7F568478" w14:textId="77777777" w:rsidR="002D337D" w:rsidRDefault="00DA1389" w:rsidP="005D77D8">
      <w:pPr>
        <w:pStyle w:val="Body"/>
        <w:spacing w:afterLines="20" w:after="48" w:line="240" w:lineRule="auto"/>
        <w:ind w:left="567" w:hanging="567"/>
      </w:pPr>
      <w:r>
        <w:t>Moore C, Wohling T</w:t>
      </w:r>
      <w:r w:rsidR="00242124">
        <w:t xml:space="preserve"> and </w:t>
      </w:r>
      <w:r>
        <w:t>Wolf L (2011) Optimisation of monitoring data for increased predictive reliability of regional water allocation models</w:t>
      </w:r>
      <w:r w:rsidR="00242124">
        <w:t>,</w:t>
      </w:r>
      <w:r>
        <w:t xml:space="preserve"> 19th International Congress on Modelling and Simulation, Perth, Australia, 12–16 December 2011 .</w:t>
      </w:r>
    </w:p>
    <w:p w14:paraId="7D663909" w14:textId="65F03F45" w:rsidR="006477D8" w:rsidRDefault="006477D8" w:rsidP="00A45100">
      <w:pPr>
        <w:pStyle w:val="Body"/>
        <w:spacing w:afterLines="20" w:after="48" w:line="240" w:lineRule="auto"/>
        <w:ind w:left="567" w:hanging="567"/>
      </w:pPr>
      <w:r>
        <w:t xml:space="preserve">Moore C, Doherty J, Howell S and Erriah L (2013). Upscaling hydraulic properties and processes in the Coal Seam Gas Context - Heterogeneity and dual </w:t>
      </w:r>
      <w:r w:rsidR="004B1BB4">
        <w:t>p</w:t>
      </w:r>
      <w:r>
        <w:t>hase flow challenges in lithologically segregated upscaling. CSIRO Client Report: 129 pp.</w:t>
      </w:r>
    </w:p>
    <w:p w14:paraId="3524E1A3" w14:textId="53823258" w:rsidR="002D337D" w:rsidRDefault="00DA1389" w:rsidP="005D77D8">
      <w:pPr>
        <w:pStyle w:val="Body"/>
        <w:spacing w:afterLines="20" w:after="48" w:line="240" w:lineRule="auto"/>
        <w:ind w:left="567" w:hanging="567"/>
      </w:pPr>
      <w:r>
        <w:t>Moore C, Doherty J, Howell S and Erriah L (2014</w:t>
      </w:r>
      <w:r w:rsidR="0068287F">
        <w:t>a</w:t>
      </w:r>
      <w:r>
        <w:t xml:space="preserve">) Some </w:t>
      </w:r>
      <w:r w:rsidR="00242124">
        <w:t>challenges posed by coal bed methane regional assessment modeling,</w:t>
      </w:r>
      <w:r>
        <w:t xml:space="preserve"> Ground</w:t>
      </w:r>
      <w:r w:rsidR="00242124">
        <w:t xml:space="preserve"> W</w:t>
      </w:r>
      <w:r>
        <w:t xml:space="preserve">ater </w:t>
      </w:r>
      <w:r w:rsidR="00242124">
        <w:t>53(5): 737-747</w:t>
      </w:r>
      <w:r>
        <w:t>.</w:t>
      </w:r>
    </w:p>
    <w:p w14:paraId="6D9F57AB" w14:textId="44D24CC2" w:rsidR="00D5550C" w:rsidRDefault="00D5550C">
      <w:pPr>
        <w:pStyle w:val="Body"/>
        <w:spacing w:afterLines="20" w:after="48" w:line="240" w:lineRule="auto"/>
        <w:ind w:left="567" w:hanging="567"/>
      </w:pPr>
      <w:r>
        <w:t>Moore C, Cui T, Doherty J, Turnadge C, Pagendam D, and Peeters L (2014</w:t>
      </w:r>
      <w:r w:rsidR="0068287F">
        <w:t>b</w:t>
      </w:r>
      <w:r>
        <w:t>) Uncertainty analysis, data worth analysis and hypothesis testing: Assessments to support Environmental impact Assessments related to cumulative impacts of Coal Seam Gas extraction in the Surat Basin, Queensland. CSIRO, Australia.</w:t>
      </w:r>
    </w:p>
    <w:p w14:paraId="62F0EF5F" w14:textId="77777777" w:rsidR="002D337D" w:rsidRDefault="00DA1389" w:rsidP="005D77D8">
      <w:pPr>
        <w:pStyle w:val="Body"/>
        <w:spacing w:afterLines="20" w:after="48" w:line="240" w:lineRule="auto"/>
        <w:ind w:left="567" w:hanging="567"/>
      </w:pPr>
      <w:r>
        <w:t>Moore T (2012) Coalbed methane: A review</w:t>
      </w:r>
      <w:r w:rsidR="00242124">
        <w:t>,</w:t>
      </w:r>
      <w:r>
        <w:t xml:space="preserve"> International Journal of Coal Geology 101</w:t>
      </w:r>
      <w:r w:rsidR="00242124">
        <w:t>:</w:t>
      </w:r>
      <w:r>
        <w:t xml:space="preserve"> 36-81. </w:t>
      </w:r>
    </w:p>
    <w:p w14:paraId="501C0273" w14:textId="77777777" w:rsidR="002D337D" w:rsidRDefault="00DA1389" w:rsidP="005D77D8">
      <w:pPr>
        <w:pStyle w:val="Body"/>
        <w:spacing w:afterLines="20" w:after="48" w:line="240" w:lineRule="auto"/>
        <w:ind w:left="567" w:hanging="567"/>
      </w:pPr>
      <w:r>
        <w:t>Morad K, Mireault R and Dean L (2008) Reservoir Engineering for Geologists: Coalbed Methane Fundamentals.</w:t>
      </w:r>
    </w:p>
    <w:p w14:paraId="5D96E80B" w14:textId="4CB81A59" w:rsidR="002D337D" w:rsidRDefault="007B078F" w:rsidP="005D77D8">
      <w:pPr>
        <w:pStyle w:val="Body"/>
        <w:spacing w:afterLines="20" w:after="48" w:line="240" w:lineRule="auto"/>
        <w:ind w:left="567" w:hanging="567"/>
      </w:pPr>
      <w:r w:rsidRPr="007B078F">
        <w:t>Morris JP, Hao Y</w:t>
      </w:r>
      <w:r>
        <w:t xml:space="preserve">, </w:t>
      </w:r>
      <w:r w:rsidRPr="007B078F">
        <w:t>Foxall W</w:t>
      </w:r>
      <w:r w:rsidR="00242124">
        <w:t xml:space="preserve"> and </w:t>
      </w:r>
      <w:r>
        <w:t>McNab</w:t>
      </w:r>
      <w:r w:rsidRPr="007B078F">
        <w:t xml:space="preserve"> W</w:t>
      </w:r>
      <w:r>
        <w:t xml:space="preserve"> (2011)</w:t>
      </w:r>
      <w:r w:rsidRPr="007B078F">
        <w:t xml:space="preserve"> A study of injection-induced mechanical </w:t>
      </w:r>
      <w:r>
        <w:t>deformation at the In Salah CO</w:t>
      </w:r>
      <w:r w:rsidRPr="00A45100">
        <w:t>2</w:t>
      </w:r>
      <w:r w:rsidRPr="007B078F">
        <w:t xml:space="preserve"> storage project</w:t>
      </w:r>
      <w:r>
        <w:t>,</w:t>
      </w:r>
      <w:r w:rsidRPr="007B078F">
        <w:t xml:space="preserve"> International Journal of Greenhouse Gas Control 5(2)</w:t>
      </w:r>
      <w:r w:rsidR="00242124">
        <w:t>:</w:t>
      </w:r>
      <w:r w:rsidRPr="007B078F">
        <w:t xml:space="preserve"> 270-280.</w:t>
      </w:r>
    </w:p>
    <w:p w14:paraId="24449BC1" w14:textId="28D32433" w:rsidR="00AC0D2C" w:rsidRDefault="00AC0D2C" w:rsidP="00A45100">
      <w:pPr>
        <w:pStyle w:val="Body"/>
        <w:spacing w:afterLines="20" w:after="48" w:line="240" w:lineRule="auto"/>
        <w:ind w:left="567" w:hanging="567"/>
      </w:pPr>
      <w:r>
        <w:t>Motz</w:t>
      </w:r>
      <w:r w:rsidRPr="00AC0D2C">
        <w:t xml:space="preserve"> </w:t>
      </w:r>
      <w:r>
        <w:t>LH (1992) Salt-water upconing in an aquifer overlain by a leaky confining bed. Ground Water 30: 192-198.</w:t>
      </w:r>
    </w:p>
    <w:p w14:paraId="0150C7EA" w14:textId="77777777" w:rsidR="002D337D" w:rsidRDefault="00B156EE" w:rsidP="005D77D8">
      <w:pPr>
        <w:pStyle w:val="Body"/>
        <w:spacing w:afterLines="20" w:after="48" w:line="240" w:lineRule="auto"/>
        <w:ind w:left="567" w:hanging="567"/>
      </w:pPr>
      <w:r w:rsidRPr="00B156EE">
        <w:t>Mukhopadhyay S, Birkholzer JT, Nicot JP</w:t>
      </w:r>
      <w:r w:rsidR="00242124">
        <w:t xml:space="preserve"> and </w:t>
      </w:r>
      <w:r w:rsidRPr="00B156EE">
        <w:t>Hosseini SA (2012) A model comparison initiative for a CO</w:t>
      </w:r>
      <w:r w:rsidRPr="00A45100">
        <w:t>2</w:t>
      </w:r>
      <w:r w:rsidRPr="00B156EE">
        <w:t xml:space="preserve"> injection field test: </w:t>
      </w:r>
      <w:r w:rsidR="00242124">
        <w:t>A</w:t>
      </w:r>
      <w:r w:rsidRPr="00B156EE">
        <w:t>n introduction to Sim-SEQ</w:t>
      </w:r>
      <w:r>
        <w:t>,</w:t>
      </w:r>
      <w:r w:rsidRPr="00B156EE">
        <w:t xml:space="preserve"> Environmental Earth Sciences 67(2)</w:t>
      </w:r>
      <w:r w:rsidR="00242124">
        <w:t>:</w:t>
      </w:r>
      <w:r w:rsidRPr="00B156EE">
        <w:t xml:space="preserve"> 601-611.</w:t>
      </w:r>
    </w:p>
    <w:p w14:paraId="13120E4A" w14:textId="77777777" w:rsidR="002D337D" w:rsidRDefault="00DA1389" w:rsidP="005D77D8">
      <w:pPr>
        <w:pStyle w:val="Body"/>
        <w:spacing w:afterLines="20" w:after="48" w:line="240" w:lineRule="auto"/>
        <w:ind w:left="567" w:hanging="567"/>
      </w:pPr>
      <w:r>
        <w:t>Myers RD (1999) Structure and hydraulics of brittle faults in sandstone</w:t>
      </w:r>
      <w:r w:rsidR="00242124">
        <w:t xml:space="preserve">, PhD thesis, </w:t>
      </w:r>
      <w:r>
        <w:t>Stanford University</w:t>
      </w:r>
      <w:r w:rsidR="00242124">
        <w:t>, Palo Alto, CA, USA.</w:t>
      </w:r>
    </w:p>
    <w:p w14:paraId="36BADBCA" w14:textId="77777777" w:rsidR="002D337D" w:rsidRDefault="00DA1389" w:rsidP="005D77D8">
      <w:pPr>
        <w:pStyle w:val="Body"/>
        <w:spacing w:afterLines="20" w:after="48" w:line="240" w:lineRule="auto"/>
        <w:ind w:left="567" w:hanging="567"/>
      </w:pPr>
      <w:r>
        <w:t xml:space="preserve">Neuman S and Witherspoon PA (1969) Applicability of current theories of flow in leaky </w:t>
      </w:r>
      <w:r w:rsidR="00242124">
        <w:t>aquifers,</w:t>
      </w:r>
      <w:r>
        <w:t xml:space="preserve"> Water Resources Research 5(4)</w:t>
      </w:r>
      <w:r w:rsidR="00242124">
        <w:t>:</w:t>
      </w:r>
      <w:r>
        <w:t xml:space="preserve"> 817-</w:t>
      </w:r>
      <w:r w:rsidR="00242124">
        <w:t>829.</w:t>
      </w:r>
    </w:p>
    <w:p w14:paraId="398EAE7C" w14:textId="77777777" w:rsidR="002D337D" w:rsidRDefault="00DA1389" w:rsidP="005D77D8">
      <w:pPr>
        <w:pStyle w:val="Body"/>
        <w:spacing w:afterLines="20" w:after="48" w:line="240" w:lineRule="auto"/>
        <w:ind w:left="567" w:hanging="567"/>
      </w:pPr>
      <w:r>
        <w:t xml:space="preserve">Neuman SP (1988) Stochastic </w:t>
      </w:r>
      <w:r w:rsidR="00242124">
        <w:t>continuum representation of fractured rock permeability as an alternative to the REV and fracture network concepts, in</w:t>
      </w:r>
      <w:r>
        <w:t>: Custodio E, Gurgui A and Ferreira JPL (ed</w:t>
      </w:r>
      <w:r w:rsidR="00242124">
        <w:t>.</w:t>
      </w:r>
      <w:r>
        <w:t>s) Groundwater Flow and Quality Modelling</w:t>
      </w:r>
      <w:r w:rsidR="00242124">
        <w:t>,</w:t>
      </w:r>
      <w:r>
        <w:t xml:space="preserve"> Springer Netherlands, </w:t>
      </w:r>
      <w:r w:rsidR="00242124">
        <w:t xml:space="preserve">pp. </w:t>
      </w:r>
      <w:r>
        <w:t>331-362.</w:t>
      </w:r>
    </w:p>
    <w:p w14:paraId="31C8A1F7" w14:textId="77777777" w:rsidR="002D337D" w:rsidRDefault="00DA1389" w:rsidP="005D77D8">
      <w:pPr>
        <w:pStyle w:val="Body"/>
        <w:spacing w:afterLines="20" w:after="48" w:line="240" w:lineRule="auto"/>
        <w:ind w:left="567" w:hanging="567"/>
      </w:pPr>
      <w:r>
        <w:t>Neuman SP and Di Federico V (1998) Correlation, flow, and transport in multiscale permeability fields</w:t>
      </w:r>
      <w:r w:rsidR="00242124">
        <w:t>, in:</w:t>
      </w:r>
      <w:r>
        <w:t xml:space="preserve"> Scale </w:t>
      </w:r>
      <w:r w:rsidR="00242124">
        <w:t>D</w:t>
      </w:r>
      <w:r>
        <w:t xml:space="preserve">ependence and </w:t>
      </w:r>
      <w:r w:rsidR="00242124">
        <w:t>S</w:t>
      </w:r>
      <w:r>
        <w:t xml:space="preserve">cale </w:t>
      </w:r>
      <w:r w:rsidR="00242124">
        <w:t>I</w:t>
      </w:r>
      <w:r>
        <w:t xml:space="preserve">nvariance in </w:t>
      </w:r>
      <w:r w:rsidR="00242124">
        <w:t>H</w:t>
      </w:r>
      <w:r>
        <w:t>ydrology</w:t>
      </w:r>
      <w:r w:rsidR="00242124">
        <w:t>,</w:t>
      </w:r>
      <w:r>
        <w:t xml:space="preserve"> Cambridge Univ</w:t>
      </w:r>
      <w:r w:rsidR="00242124">
        <w:t>ersity</w:t>
      </w:r>
      <w:r>
        <w:t xml:space="preserve"> Press, Cambridge, UK, </w:t>
      </w:r>
      <w:r w:rsidR="00242124">
        <w:t xml:space="preserve">pp. </w:t>
      </w:r>
      <w:r>
        <w:t xml:space="preserve">354-397. </w:t>
      </w:r>
    </w:p>
    <w:p w14:paraId="42D22AB4" w14:textId="2F127CF9" w:rsidR="00DC1DD0" w:rsidRDefault="00DC1DD0" w:rsidP="00DC1DD0">
      <w:pPr>
        <w:pStyle w:val="Body"/>
        <w:spacing w:afterLines="20" w:after="48"/>
        <w:ind w:left="567" w:hanging="567"/>
      </w:pPr>
      <w:r>
        <w:t>Neuman SP and Wierenga PJ (2003) A Comprehensive Strategy of Hydrogeologic Modeling and Uncertainty Analysis for Nuclear Facilities and Sites. NUREG/CR-6805 U.S. Nuclear Regulatory Commission, Office of Nuclear Regulatory Research, Washington, DC.</w:t>
      </w:r>
    </w:p>
    <w:p w14:paraId="78FA4F2D" w14:textId="77777777" w:rsidR="002D337D" w:rsidRDefault="00DA1389" w:rsidP="005D77D8">
      <w:pPr>
        <w:pStyle w:val="Body"/>
        <w:spacing w:afterLines="20" w:after="48" w:line="240" w:lineRule="auto"/>
        <w:ind w:left="567" w:hanging="567"/>
      </w:pPr>
      <w:r>
        <w:t xml:space="preserve">New South Wales Chief Scientist and Engineer (2014) Independent review of coal seam gas activity in NSW – </w:t>
      </w:r>
      <w:r w:rsidR="00242124">
        <w:t xml:space="preserve">Information </w:t>
      </w:r>
      <w:r>
        <w:t>paper: Abandoned wells.</w:t>
      </w:r>
    </w:p>
    <w:p w14:paraId="35BC785F" w14:textId="77777777" w:rsidR="002D337D" w:rsidRDefault="004768C0" w:rsidP="005D77D8">
      <w:pPr>
        <w:pStyle w:val="Body"/>
        <w:spacing w:afterLines="20" w:after="48" w:line="240" w:lineRule="auto"/>
        <w:ind w:left="567" w:hanging="567"/>
      </w:pPr>
      <w:r>
        <w:t>New South Wales Office of Water (2010) PINNEENA 3.2 Continuous Monitoring – Users Guide, New South Wales groundwater data archive.</w:t>
      </w:r>
    </w:p>
    <w:p w14:paraId="1A629447" w14:textId="77777777" w:rsidR="002D337D" w:rsidRDefault="00DA1389" w:rsidP="005D77D8">
      <w:pPr>
        <w:pStyle w:val="Body"/>
        <w:spacing w:afterLines="20" w:after="48" w:line="240" w:lineRule="auto"/>
        <w:ind w:left="567" w:hanging="567"/>
      </w:pPr>
      <w:r>
        <w:t>New South Wales Office of Water (2012) NSW Aquifer Interference Policy.</w:t>
      </w:r>
    </w:p>
    <w:p w14:paraId="52DF315F" w14:textId="66CE08A0" w:rsidR="002D337D" w:rsidRDefault="00BC10F2" w:rsidP="005D77D8">
      <w:pPr>
        <w:pStyle w:val="Body"/>
        <w:spacing w:afterLines="20" w:after="48" w:line="240" w:lineRule="auto"/>
        <w:ind w:left="567" w:hanging="567"/>
      </w:pPr>
      <w:r w:rsidRPr="00BC10F2">
        <w:t>Nordbotten JM, Kavetski D, Celia MA, Bachu S (200</w:t>
      </w:r>
      <w:r w:rsidR="004367DF">
        <w:t>9</w:t>
      </w:r>
      <w:r w:rsidRPr="00BC10F2">
        <w:t>) Model for CO</w:t>
      </w:r>
      <w:r w:rsidRPr="00BC10F2">
        <w:rPr>
          <w:vertAlign w:val="subscript"/>
        </w:rPr>
        <w:t>2</w:t>
      </w:r>
      <w:r w:rsidRPr="00BC10F2">
        <w:t xml:space="preserve"> leakage including multiple geological layers and multiple leaky wells</w:t>
      </w:r>
      <w:r>
        <w:t>,</w:t>
      </w:r>
      <w:r w:rsidRPr="00BC10F2">
        <w:t xml:space="preserve"> Environmental </w:t>
      </w:r>
      <w:r>
        <w:t>S</w:t>
      </w:r>
      <w:r w:rsidRPr="00BC10F2">
        <w:t xml:space="preserve">cience </w:t>
      </w:r>
      <w:r w:rsidR="00242124">
        <w:t>and</w:t>
      </w:r>
      <w:r w:rsidRPr="00BC10F2">
        <w:t xml:space="preserve"> </w:t>
      </w:r>
      <w:r>
        <w:t>T</w:t>
      </w:r>
      <w:r w:rsidRPr="00BC10F2">
        <w:t>echnology 43(3)</w:t>
      </w:r>
      <w:r w:rsidR="00242124">
        <w:t>:</w:t>
      </w:r>
      <w:r w:rsidRPr="00BC10F2">
        <w:t xml:space="preserve"> 743-749.</w:t>
      </w:r>
    </w:p>
    <w:p w14:paraId="5775F196" w14:textId="77777777" w:rsidR="002D337D" w:rsidRDefault="00DA1389" w:rsidP="005D77D8">
      <w:pPr>
        <w:pStyle w:val="Body"/>
        <w:spacing w:afterLines="20" w:after="48" w:line="240" w:lineRule="auto"/>
        <w:ind w:left="567" w:hanging="567"/>
      </w:pPr>
      <w:r>
        <w:t>Office of Groundwater Impact Assessment (2013) Annual Report 2013 for the Surat Underground Water Impact Report</w:t>
      </w:r>
      <w:r w:rsidR="00242124">
        <w:t>,</w:t>
      </w:r>
      <w:r>
        <w:t xml:space="preserve"> Office of Groundwater Impact Assessment, Department of Natural Resources and Mines</w:t>
      </w:r>
      <w:r w:rsidR="00242124">
        <w:t xml:space="preserve">, </w:t>
      </w:r>
      <w:r>
        <w:t>Brisbane, Queensland.</w:t>
      </w:r>
    </w:p>
    <w:p w14:paraId="62C1ECCB" w14:textId="77777777" w:rsidR="002D337D" w:rsidRDefault="00DA1389" w:rsidP="005D77D8">
      <w:pPr>
        <w:pStyle w:val="Body"/>
        <w:spacing w:afterLines="20" w:after="48" w:line="240" w:lineRule="auto"/>
        <w:ind w:left="567" w:hanging="567"/>
      </w:pPr>
      <w:r>
        <w:t>Office of Groundwater Impact Assessment (2014) Annual Report 2014 for the Surat Underground Water Impact Report</w:t>
      </w:r>
      <w:r w:rsidR="00242124">
        <w:t>,</w:t>
      </w:r>
      <w:r>
        <w:t xml:space="preserve"> Office of Groundwater Impact Assessment, Department of Natural Resources and Mines</w:t>
      </w:r>
      <w:r w:rsidR="00242124">
        <w:t xml:space="preserve">, </w:t>
      </w:r>
      <w:r>
        <w:t>Brisbane.</w:t>
      </w:r>
    </w:p>
    <w:p w14:paraId="44A617C4" w14:textId="77777777" w:rsidR="002D337D" w:rsidRDefault="00881A6F" w:rsidP="005D77D8">
      <w:pPr>
        <w:pStyle w:val="Body"/>
        <w:spacing w:afterLines="20" w:after="48" w:line="240" w:lineRule="auto"/>
        <w:ind w:left="567" w:hanging="567"/>
      </w:pPr>
      <w:r>
        <w:t>Olivella S, Gens A, Carrera J</w:t>
      </w:r>
      <w:r w:rsidR="00242124">
        <w:t xml:space="preserve"> and </w:t>
      </w:r>
      <w:r>
        <w:t>Alonso EE (1996) Numerical formulation for a simulator (CODE_BRIGHT) for the coupled analysis of saline media, Engineering Computations</w:t>
      </w:r>
      <w:r w:rsidR="00242124">
        <w:t xml:space="preserve"> </w:t>
      </w:r>
      <w:r>
        <w:t>13(7)</w:t>
      </w:r>
      <w:r w:rsidR="00242124">
        <w:t>:</w:t>
      </w:r>
      <w:r>
        <w:t xml:space="preserve"> 87</w:t>
      </w:r>
      <w:r w:rsidR="00242124">
        <w:t>-</w:t>
      </w:r>
      <w:r>
        <w:t>112.</w:t>
      </w:r>
    </w:p>
    <w:p w14:paraId="32EA82E2" w14:textId="77777777" w:rsidR="002D337D" w:rsidRDefault="00881A6F" w:rsidP="005D77D8">
      <w:pPr>
        <w:pStyle w:val="Body"/>
        <w:spacing w:afterLines="20" w:after="48" w:line="240" w:lineRule="auto"/>
        <w:ind w:left="567" w:hanging="567"/>
      </w:pPr>
      <w:r>
        <w:t>Oreskes N, Shraderfrechette K and Belitz K (1994) Verification, validation, and confirmation of numerical models in the earth sciences</w:t>
      </w:r>
      <w:r w:rsidR="00242124">
        <w:t>,</w:t>
      </w:r>
      <w:r>
        <w:t xml:space="preserve"> Science 263(5147)</w:t>
      </w:r>
      <w:r w:rsidR="00242124">
        <w:t>:</w:t>
      </w:r>
      <w:r>
        <w:t xml:space="preserve"> 641-646. </w:t>
      </w:r>
    </w:p>
    <w:p w14:paraId="69ABF948" w14:textId="73512582" w:rsidR="002D337D" w:rsidRDefault="00DA1389" w:rsidP="005D77D8">
      <w:pPr>
        <w:pStyle w:val="Body"/>
        <w:spacing w:afterLines="20" w:after="48" w:line="240" w:lineRule="auto"/>
        <w:ind w:left="567" w:hanging="567"/>
      </w:pPr>
      <w:r>
        <w:t xml:space="preserve">Overbey WK, Yost LE, and Yost II AB (1988) Analysis of </w:t>
      </w:r>
      <w:r w:rsidR="00242124">
        <w:t>natural fractures observed by borehole video camera in a horizontal well, in:</w:t>
      </w:r>
      <w:r w:rsidR="0071016E">
        <w:t xml:space="preserve"> </w:t>
      </w:r>
      <w:r w:rsidR="00242124" w:rsidRPr="00242124">
        <w:t>SPE Gas Technology Symposium</w:t>
      </w:r>
      <w:r w:rsidR="00242124">
        <w:t>,</w:t>
      </w:r>
      <w:r w:rsidR="00242124" w:rsidRPr="00242124">
        <w:t xml:space="preserve"> Society of Petroleum Engineers.</w:t>
      </w:r>
    </w:p>
    <w:p w14:paraId="05872F8D" w14:textId="77777777" w:rsidR="002D337D" w:rsidRDefault="00DA1389" w:rsidP="005D77D8">
      <w:pPr>
        <w:pStyle w:val="Body"/>
        <w:spacing w:afterLines="20" w:after="48" w:line="240" w:lineRule="auto"/>
        <w:ind w:left="567" w:hanging="567"/>
      </w:pPr>
      <w:r>
        <w:t>Pan Z and Connell L (2012) Modelling permeability for coal reservoirs: A review of analytical models and testing data</w:t>
      </w:r>
      <w:r w:rsidR="00242124">
        <w:t>,</w:t>
      </w:r>
      <w:r>
        <w:t xml:space="preserve"> International Journal of Coal Geology 92</w:t>
      </w:r>
      <w:r w:rsidR="00F05DAB">
        <w:t>:</w:t>
      </w:r>
      <w:r>
        <w:t xml:space="preserve"> 1-44. </w:t>
      </w:r>
    </w:p>
    <w:p w14:paraId="2E37F962" w14:textId="77777777" w:rsidR="002D337D" w:rsidRDefault="00DA1389" w:rsidP="005D77D8">
      <w:pPr>
        <w:pStyle w:val="Body"/>
        <w:spacing w:afterLines="20" w:after="48" w:line="240" w:lineRule="auto"/>
        <w:ind w:left="567" w:hanging="567"/>
      </w:pPr>
      <w:r>
        <w:t>Panday S, Langevin CD, Niswonger RG, Ibaraki M and Hughes JD (2013) MODFLOW–USG version 1: An unstructured grid version of MODFLOW for simulating groundwater flow and tightly coupled processes using a control volume finite-difference formulation</w:t>
      </w:r>
      <w:r w:rsidR="00F05DAB">
        <w:t>,</w:t>
      </w:r>
      <w:r>
        <w:t xml:space="preserve"> U</w:t>
      </w:r>
      <w:r w:rsidR="00F05DAB">
        <w:t>.</w:t>
      </w:r>
      <w:r>
        <w:t>S</w:t>
      </w:r>
      <w:r w:rsidR="00F05DAB">
        <w:t>.</w:t>
      </w:r>
      <w:r>
        <w:t xml:space="preserve"> Geological Survey.</w:t>
      </w:r>
    </w:p>
    <w:p w14:paraId="3466F12E" w14:textId="77777777" w:rsidR="002D337D" w:rsidRDefault="00DA1389" w:rsidP="005D77D8">
      <w:pPr>
        <w:pStyle w:val="Body"/>
        <w:spacing w:afterLines="20" w:after="48" w:line="240" w:lineRule="auto"/>
        <w:ind w:left="567" w:hanging="567"/>
      </w:pPr>
      <w:r>
        <w:t>Pei Y, Paton DA, Knipe RJ and Wu K (2015) A review of fault sealing behaviour and its evaluation in siliciclastic rocks</w:t>
      </w:r>
      <w:r w:rsidR="00F05DAB">
        <w:t>,</w:t>
      </w:r>
      <w:r>
        <w:t xml:space="preserve"> Earth</w:t>
      </w:r>
      <w:r w:rsidR="00F05DAB">
        <w:t xml:space="preserve"> </w:t>
      </w:r>
      <w:r>
        <w:t>Science Reviews</w:t>
      </w:r>
      <w:r w:rsidR="00F05DAB">
        <w:t xml:space="preserve"> </w:t>
      </w:r>
      <w:r w:rsidR="00F05DAB" w:rsidRPr="00F05DAB">
        <w:t>150</w:t>
      </w:r>
      <w:r w:rsidR="00F05DAB">
        <w:t>:</w:t>
      </w:r>
      <w:r w:rsidR="00F05DAB" w:rsidRPr="00F05DAB">
        <w:t xml:space="preserve"> 121-138.</w:t>
      </w:r>
    </w:p>
    <w:p w14:paraId="6C3F3D9C" w14:textId="3DA740D7" w:rsidR="002D337D" w:rsidRDefault="00150BDB" w:rsidP="005D77D8">
      <w:pPr>
        <w:pStyle w:val="Body"/>
        <w:spacing w:afterLines="20" w:after="48" w:line="240" w:lineRule="auto"/>
        <w:ind w:left="567" w:hanging="567"/>
      </w:pPr>
      <w:r w:rsidRPr="00150BDB">
        <w:t>Pettersen</w:t>
      </w:r>
      <w:r>
        <w:t xml:space="preserve"> O (2006) Basics of Reservoir Simulation With the ECLIPSE Reservoir Simulator, Lecture Notes, </w:t>
      </w:r>
      <w:r w:rsidRPr="00150BDB">
        <w:t>Dep</w:t>
      </w:r>
      <w:r>
        <w:t>artmen</w:t>
      </w:r>
      <w:r w:rsidRPr="00150BDB">
        <w:t>t of Mathematics, Univ</w:t>
      </w:r>
      <w:r>
        <w:t>ersity</w:t>
      </w:r>
      <w:r w:rsidRPr="00150BDB">
        <w:t xml:space="preserve"> of Bergen</w:t>
      </w:r>
      <w:r>
        <w:t>, Norway, 114p., URL=&lt;</w:t>
      </w:r>
      <w:r w:rsidRPr="00150BDB">
        <w:t>http://folk.uib.no/fciop/index_htm_files/ResSimNotes.pdf</w:t>
      </w:r>
      <w:r>
        <w:t xml:space="preserve">&gt;, viewed 16 November 2015. </w:t>
      </w:r>
    </w:p>
    <w:p w14:paraId="512B89F3" w14:textId="4A7A072F" w:rsidR="002D337D" w:rsidRDefault="00150BDB" w:rsidP="005D77D8">
      <w:pPr>
        <w:pStyle w:val="Body"/>
        <w:spacing w:afterLines="20" w:after="48" w:line="240" w:lineRule="auto"/>
        <w:ind w:left="567" w:hanging="567"/>
      </w:pPr>
      <w:r w:rsidRPr="00150BDB">
        <w:t>PHH Engineering Software (2014) GCOMP, URL=&lt;http://www.phhpc.com/simulation/gcomp.php&gt;, viewed 16 November 2015.</w:t>
      </w:r>
    </w:p>
    <w:p w14:paraId="0E5807EC" w14:textId="77777777" w:rsidR="002D337D" w:rsidRDefault="00DA1389" w:rsidP="005D77D8">
      <w:pPr>
        <w:pStyle w:val="Body"/>
        <w:spacing w:afterLines="20" w:after="48" w:line="240" w:lineRule="auto"/>
        <w:ind w:left="567" w:hanging="567"/>
      </w:pPr>
      <w:r>
        <w:t>Poeter SA and McKenna EP (1995) Reducing unc</w:t>
      </w:r>
      <w:r w:rsidR="00F30E04">
        <w:t>ertainty associated with ground</w:t>
      </w:r>
      <w:r>
        <w:t>w</w:t>
      </w:r>
      <w:r w:rsidR="00F30E04">
        <w:t>a</w:t>
      </w:r>
      <w:r>
        <w:t>ter flow and transport predictions</w:t>
      </w:r>
      <w:r w:rsidR="00F05DAB">
        <w:t xml:space="preserve">, </w:t>
      </w:r>
      <w:r>
        <w:t>Ground</w:t>
      </w:r>
      <w:r w:rsidR="00F05DAB">
        <w:t xml:space="preserve"> W</w:t>
      </w:r>
      <w:r>
        <w:t>ater 33(6): 899-904.</w:t>
      </w:r>
    </w:p>
    <w:p w14:paraId="74B166B7" w14:textId="3C1BAC04" w:rsidR="00AC0D2C" w:rsidRDefault="00AC0D2C" w:rsidP="00A45100">
      <w:pPr>
        <w:pStyle w:val="Body"/>
        <w:spacing w:afterLines="20" w:after="48" w:line="240" w:lineRule="auto"/>
        <w:ind w:left="567" w:hanging="567"/>
      </w:pPr>
      <w:r>
        <w:t>Post V, Kooi H, and Simmons C (2007). Using Hydraulic Head Measurements in Variable-Density Ground Water Flow Analyses. Ground Water 45: 664-671.</w:t>
      </w:r>
    </w:p>
    <w:p w14:paraId="623497A3" w14:textId="77777777" w:rsidR="002D337D" w:rsidRDefault="00F05DAB" w:rsidP="005D77D8">
      <w:pPr>
        <w:pStyle w:val="Body"/>
        <w:spacing w:afterLines="20" w:after="48" w:line="240" w:lineRule="auto"/>
        <w:ind w:left="567" w:hanging="567"/>
      </w:pPr>
      <w:r w:rsidRPr="000665C5">
        <w:t>Preisig M</w:t>
      </w:r>
      <w:r>
        <w:t xml:space="preserve"> and </w:t>
      </w:r>
      <w:r w:rsidRPr="000665C5">
        <w:t>Prévost JH (2011) Coupled multi-phase thermo-poromechanical effects</w:t>
      </w:r>
      <w:r>
        <w:t>,</w:t>
      </w:r>
      <w:r w:rsidRPr="000665C5">
        <w:t xml:space="preserve"> </w:t>
      </w:r>
      <w:r>
        <w:t>c</w:t>
      </w:r>
      <w:r w:rsidRPr="000665C5">
        <w:t>ase study: CO</w:t>
      </w:r>
      <w:r w:rsidRPr="000665C5">
        <w:rPr>
          <w:vertAlign w:val="subscript"/>
        </w:rPr>
        <w:t>2</w:t>
      </w:r>
      <w:r w:rsidRPr="000665C5">
        <w:t xml:space="preserve"> injection at In Salah, Algeria</w:t>
      </w:r>
      <w:r>
        <w:t>,</w:t>
      </w:r>
      <w:r w:rsidRPr="000665C5">
        <w:t xml:space="preserve"> International Journal of Greenhouse Gas Control, 5(4)</w:t>
      </w:r>
      <w:r>
        <w:t>:</w:t>
      </w:r>
      <w:r w:rsidRPr="000665C5">
        <w:t xml:space="preserve"> 1055-1064.</w:t>
      </w:r>
    </w:p>
    <w:p w14:paraId="16AA3D2E" w14:textId="77777777" w:rsidR="002D337D" w:rsidRDefault="00F05DAB" w:rsidP="005D77D8">
      <w:pPr>
        <w:pStyle w:val="Body"/>
        <w:spacing w:afterLines="20" w:after="48" w:line="240" w:lineRule="auto"/>
        <w:ind w:left="567" w:hanging="567"/>
      </w:pPr>
      <w:r w:rsidRPr="00F30E04">
        <w:t>Prevost JH (198</w:t>
      </w:r>
      <w:r>
        <w:t>3</w:t>
      </w:r>
      <w:r w:rsidRPr="00F30E04">
        <w:t xml:space="preserve">) DYNA-FLOW: </w:t>
      </w:r>
      <w:r>
        <w:t>A</w:t>
      </w:r>
      <w:r w:rsidRPr="00F30E04">
        <w:t xml:space="preserve"> nonlinear transient finite element analysis program</w:t>
      </w:r>
      <w:r>
        <w:t>,</w:t>
      </w:r>
      <w:r w:rsidRPr="00F30E04">
        <w:t xml:space="preserve"> Princeton University, Department of Civil Engineering, School of Engineering and Applied Science</w:t>
      </w:r>
      <w:r>
        <w:t>, Princeton, NJ, USA, 516p</w:t>
      </w:r>
      <w:r w:rsidRPr="00F30E04">
        <w:t>.</w:t>
      </w:r>
    </w:p>
    <w:p w14:paraId="1BF9D5F2" w14:textId="77777777" w:rsidR="002D337D" w:rsidRDefault="00DA1389" w:rsidP="005D77D8">
      <w:pPr>
        <w:pStyle w:val="Body"/>
        <w:spacing w:afterLines="20" w:after="48" w:line="240" w:lineRule="auto"/>
        <w:ind w:left="567" w:hanging="567"/>
      </w:pPr>
      <w:r>
        <w:t>Pruess K (1991) TOUGH2: A general-purpose numerical simulator for multiphase fluid and heat flow</w:t>
      </w:r>
      <w:r w:rsidR="00F05DAB">
        <w:t>,</w:t>
      </w:r>
      <w:r>
        <w:t xml:space="preserve"> Lawrence Berkeley Lab</w:t>
      </w:r>
      <w:r w:rsidR="00F05DAB">
        <w:t xml:space="preserve">oratory, </w:t>
      </w:r>
      <w:r>
        <w:t xml:space="preserve">Berkeley, </w:t>
      </w:r>
      <w:r w:rsidR="00F05DAB">
        <w:t>CA, USA.</w:t>
      </w:r>
    </w:p>
    <w:p w14:paraId="5A915C49" w14:textId="77777777" w:rsidR="002D337D" w:rsidRDefault="00B45FE5" w:rsidP="005D77D8">
      <w:pPr>
        <w:pStyle w:val="Body"/>
        <w:spacing w:afterLines="20" w:after="48" w:line="240" w:lineRule="auto"/>
        <w:ind w:left="567" w:hanging="567"/>
      </w:pPr>
      <w:r>
        <w:t>Pruess K (2005) Numerical studies of fluid leakage from a geologic disposal reservoir for CO</w:t>
      </w:r>
      <w:r w:rsidRPr="00BC10F2">
        <w:rPr>
          <w:vertAlign w:val="subscript"/>
        </w:rPr>
        <w:t>2</w:t>
      </w:r>
      <w:r>
        <w:t xml:space="preserve"> show self‐limiting feedback between fluid flow and heat transfer</w:t>
      </w:r>
      <w:r w:rsidR="00F05DAB">
        <w:t>,</w:t>
      </w:r>
      <w:r>
        <w:t xml:space="preserve"> Geophysical </w:t>
      </w:r>
      <w:r w:rsidR="00F05DAB">
        <w:t>R</w:t>
      </w:r>
      <w:r>
        <w:t xml:space="preserve">esearch </w:t>
      </w:r>
      <w:r w:rsidR="00F05DAB">
        <w:t>L</w:t>
      </w:r>
      <w:r>
        <w:t xml:space="preserve">etters 32(14). </w:t>
      </w:r>
    </w:p>
    <w:p w14:paraId="158E3F47" w14:textId="77777777" w:rsidR="002D337D" w:rsidRDefault="00B45FE5" w:rsidP="005D77D8">
      <w:pPr>
        <w:pStyle w:val="Body"/>
        <w:spacing w:afterLines="20" w:after="48" w:line="240" w:lineRule="auto"/>
        <w:ind w:left="567" w:hanging="567"/>
      </w:pPr>
      <w:r>
        <w:t xml:space="preserve">Pruess K (2008) On </w:t>
      </w:r>
      <w:r w:rsidRPr="00BC10F2">
        <w:t>CO</w:t>
      </w:r>
      <w:r w:rsidRPr="00BC10F2">
        <w:rPr>
          <w:vertAlign w:val="subscript"/>
        </w:rPr>
        <w:t>2</w:t>
      </w:r>
      <w:r>
        <w:t xml:space="preserve"> fluid flow and heat transfer behavior in the subsurface, following leakage from a geologic storage reservoir</w:t>
      </w:r>
      <w:r w:rsidR="00F05DAB">
        <w:t>,</w:t>
      </w:r>
      <w:r>
        <w:t xml:space="preserve"> Environmental Geology 54(8)</w:t>
      </w:r>
      <w:r w:rsidR="00F05DAB">
        <w:t>:</w:t>
      </w:r>
      <w:r>
        <w:t xml:space="preserve"> 1677-1686. </w:t>
      </w:r>
    </w:p>
    <w:p w14:paraId="0D1E49B5" w14:textId="77777777" w:rsidR="002D337D" w:rsidRDefault="00B45FE5" w:rsidP="005D77D8">
      <w:pPr>
        <w:pStyle w:val="Body"/>
        <w:spacing w:afterLines="20" w:after="48" w:line="240" w:lineRule="auto"/>
        <w:ind w:left="567" w:hanging="567"/>
      </w:pPr>
      <w:r w:rsidRPr="00B45FE5">
        <w:t>Pruess K, Oldenburg</w:t>
      </w:r>
      <w:r>
        <w:t xml:space="preserve"> C</w:t>
      </w:r>
      <w:r w:rsidR="00F05DAB">
        <w:t xml:space="preserve"> and</w:t>
      </w:r>
      <w:r w:rsidRPr="00B45FE5">
        <w:t xml:space="preserve"> Moridis</w:t>
      </w:r>
      <w:r>
        <w:t xml:space="preserve"> D (</w:t>
      </w:r>
      <w:r w:rsidRPr="00B45FE5">
        <w:t>1999</w:t>
      </w:r>
      <w:r>
        <w:t>)</w:t>
      </w:r>
      <w:r w:rsidRPr="00B45FE5">
        <w:t xml:space="preserve"> TOUGH2 User's Guide</w:t>
      </w:r>
      <w:r>
        <w:t>,</w:t>
      </w:r>
      <w:r w:rsidRPr="00B45FE5">
        <w:t xml:space="preserve"> Version 2.0</w:t>
      </w:r>
      <w:r>
        <w:t xml:space="preserve">, report </w:t>
      </w:r>
      <w:r w:rsidR="00F05DAB">
        <w:t>no.</w:t>
      </w:r>
      <w:r w:rsidRPr="00B45FE5">
        <w:t xml:space="preserve"> LBNL-43134</w:t>
      </w:r>
      <w:r>
        <w:t xml:space="preserve">, </w:t>
      </w:r>
      <w:r w:rsidRPr="00B45FE5">
        <w:t>Lawrence Berkeley National Laboratory</w:t>
      </w:r>
      <w:r>
        <w:t xml:space="preserve">, </w:t>
      </w:r>
      <w:r w:rsidRPr="00B45FE5">
        <w:t xml:space="preserve">Berkeley, </w:t>
      </w:r>
      <w:r>
        <w:t>CA, USA, 212p</w:t>
      </w:r>
      <w:r w:rsidRPr="00B45FE5">
        <w:t xml:space="preserve">. </w:t>
      </w:r>
    </w:p>
    <w:p w14:paraId="5DFE6018" w14:textId="77777777" w:rsidR="002D337D" w:rsidRDefault="00841A63" w:rsidP="005D77D8">
      <w:pPr>
        <w:pStyle w:val="Body"/>
        <w:spacing w:afterLines="20" w:after="48" w:line="240" w:lineRule="auto"/>
        <w:ind w:left="567" w:hanging="567"/>
      </w:pPr>
      <w:r w:rsidRPr="00841A63">
        <w:t>Pruess K, García J, Kovscek T, Oldenburg C, Rutqvist J, Steefel C</w:t>
      </w:r>
      <w:r w:rsidR="00F05DAB">
        <w:t xml:space="preserve"> and </w:t>
      </w:r>
      <w:r w:rsidRPr="00841A63">
        <w:t>Xu T</w:t>
      </w:r>
      <w:r>
        <w:t xml:space="preserve"> (2004)</w:t>
      </w:r>
      <w:r w:rsidRPr="00841A63">
        <w:t xml:space="preserve"> Code intercomparison builds confidence in numerical simulation models for geologic disposal of CO</w:t>
      </w:r>
      <w:r w:rsidRPr="00841A63">
        <w:rPr>
          <w:vertAlign w:val="subscript"/>
        </w:rPr>
        <w:t>2</w:t>
      </w:r>
      <w:r>
        <w:t>,</w:t>
      </w:r>
      <w:r w:rsidRPr="00841A63">
        <w:t xml:space="preserve"> Energy 29(9)</w:t>
      </w:r>
      <w:r w:rsidR="00F05DAB">
        <w:t>:</w:t>
      </w:r>
      <w:r w:rsidRPr="00841A63">
        <w:t xml:space="preserve"> 1431-1444.</w:t>
      </w:r>
    </w:p>
    <w:p w14:paraId="02B97388" w14:textId="77777777" w:rsidR="002D337D" w:rsidRDefault="00DA1389" w:rsidP="005D77D8">
      <w:pPr>
        <w:pStyle w:val="Body"/>
        <w:spacing w:afterLines="20" w:after="48" w:line="240" w:lineRule="auto"/>
        <w:ind w:left="567" w:hanging="567"/>
      </w:pPr>
      <w:r>
        <w:t>Pucci AA and Murashige JAE (1987) Applications of universal kriging to an aquifer study in New Jersey</w:t>
      </w:r>
      <w:r w:rsidR="00F05DAB">
        <w:t xml:space="preserve">, </w:t>
      </w:r>
      <w:r>
        <w:t>Ground</w:t>
      </w:r>
      <w:r w:rsidR="00F05DAB">
        <w:t xml:space="preserve"> W</w:t>
      </w:r>
      <w:r>
        <w:t>ater 25(6)</w:t>
      </w:r>
      <w:r w:rsidR="00F05DAB">
        <w:t>:</w:t>
      </w:r>
      <w:r>
        <w:t xml:space="preserve"> 672-678. </w:t>
      </w:r>
    </w:p>
    <w:p w14:paraId="1F91D0B8" w14:textId="77777777" w:rsidR="002D337D" w:rsidRDefault="00DA1389" w:rsidP="005D77D8">
      <w:pPr>
        <w:pStyle w:val="Body"/>
        <w:spacing w:afterLines="20" w:after="48" w:line="240" w:lineRule="auto"/>
        <w:ind w:left="567" w:hanging="567"/>
      </w:pPr>
      <w:r>
        <w:t>Queensland Gas Company (2013) Approval Conditions 49 to 64 Stage 3 CSG Water Monitoring and Management Plan. Brisbane, Queensland</w:t>
      </w:r>
      <w:r w:rsidR="00F05DAB">
        <w:t>,</w:t>
      </w:r>
      <w:r>
        <w:t xml:space="preserve"> </w:t>
      </w:r>
      <w:r w:rsidR="00F05DAB">
        <w:t>URL=</w:t>
      </w:r>
      <w:r>
        <w:t>&lt;http://www.qgc.com.au/ebooks/201409_QGC_Stage_3_WMMP/index.html#/1/&gt;.</w:t>
      </w:r>
    </w:p>
    <w:p w14:paraId="3800F20C" w14:textId="77777777" w:rsidR="002D337D" w:rsidRDefault="00DA1389" w:rsidP="005D77D8">
      <w:pPr>
        <w:pStyle w:val="Body"/>
        <w:spacing w:afterLines="20" w:after="48" w:line="240" w:lineRule="auto"/>
        <w:ind w:left="567" w:hanging="567"/>
      </w:pPr>
      <w:r>
        <w:t>Queensland Water Commission (2012) Underground water impact report for the Surat cumulative management area</w:t>
      </w:r>
      <w:r w:rsidR="00F05DAB">
        <w:t>,</w:t>
      </w:r>
      <w:r>
        <w:t xml:space="preserve"> Brisbane</w:t>
      </w:r>
      <w:r w:rsidR="00F05DAB">
        <w:t>, Queensland, URL=</w:t>
      </w:r>
      <w:r>
        <w:t>&lt;https://www.dnrm.qld.gov.au/ogia/surat-underground-water-impact-report&gt;.</w:t>
      </w:r>
    </w:p>
    <w:p w14:paraId="1752809E" w14:textId="77777777" w:rsidR="002D337D" w:rsidRDefault="00DA1389" w:rsidP="005D77D8">
      <w:pPr>
        <w:pStyle w:val="Body"/>
        <w:spacing w:afterLines="20" w:after="48" w:line="240" w:lineRule="auto"/>
        <w:ind w:left="567" w:hanging="567"/>
      </w:pPr>
      <w:r>
        <w:t>Rawling GC, Goodwin LB and Wilson JL (2001) Internal architecture, permeability structure, and hydrologic significance of contrasting fault-zone types</w:t>
      </w:r>
      <w:r w:rsidR="00F05DAB">
        <w:t>,</w:t>
      </w:r>
      <w:r>
        <w:t xml:space="preserve"> Geology 29(1)</w:t>
      </w:r>
      <w:r w:rsidR="00F05DAB">
        <w:t>:</w:t>
      </w:r>
      <w:r>
        <w:t xml:space="preserve"> 43-46. </w:t>
      </w:r>
    </w:p>
    <w:p w14:paraId="531CE119" w14:textId="77777777" w:rsidR="002D337D" w:rsidRDefault="00DA1389" w:rsidP="005D77D8">
      <w:pPr>
        <w:pStyle w:val="Body"/>
        <w:spacing w:afterLines="20" w:after="48" w:line="240" w:lineRule="auto"/>
        <w:ind w:left="567" w:hanging="567"/>
      </w:pPr>
      <w:r>
        <w:t>Raymer L, Hunt E and Gardner JS (1980) An improved sonic transit time-to-porosity transform</w:t>
      </w:r>
      <w:r w:rsidR="00F05DAB">
        <w:t>,</w:t>
      </w:r>
      <w:r>
        <w:t xml:space="preserve"> SPWLA 21st </w:t>
      </w:r>
      <w:r w:rsidR="00F05DAB">
        <w:t>A</w:t>
      </w:r>
      <w:r>
        <w:t xml:space="preserve">nnual </w:t>
      </w:r>
      <w:r w:rsidR="00F05DAB">
        <w:t>L</w:t>
      </w:r>
      <w:r>
        <w:t xml:space="preserve">ogging </w:t>
      </w:r>
      <w:r w:rsidR="00F05DAB">
        <w:t>S</w:t>
      </w:r>
      <w:r>
        <w:t>ymposium</w:t>
      </w:r>
      <w:r w:rsidR="00F05DAB">
        <w:t>,</w:t>
      </w:r>
      <w:r>
        <w:t xml:space="preserve"> Society of Petrophysicists and Well-Log Analysts.</w:t>
      </w:r>
    </w:p>
    <w:p w14:paraId="15F462A9" w14:textId="77777777" w:rsidR="002D337D" w:rsidRDefault="00D61A3C" w:rsidP="005D77D8">
      <w:pPr>
        <w:pStyle w:val="Body"/>
        <w:spacing w:afterLines="20" w:after="48" w:line="240" w:lineRule="auto"/>
        <w:ind w:left="567" w:hanging="567"/>
      </w:pPr>
      <w:r w:rsidRPr="00D61A3C">
        <w:t xml:space="preserve">Raza SH, Treiber LE and Archer DL (1968) Wettability of </w:t>
      </w:r>
      <w:r w:rsidR="00370950">
        <w:t>r</w:t>
      </w:r>
      <w:r w:rsidRPr="00D61A3C">
        <w:t xml:space="preserve">eservoir </w:t>
      </w:r>
      <w:r w:rsidR="00370950">
        <w:t>r</w:t>
      </w:r>
      <w:r w:rsidRPr="00D61A3C">
        <w:t xml:space="preserve">ocks and </w:t>
      </w:r>
      <w:r w:rsidR="00370950">
        <w:t>i</w:t>
      </w:r>
      <w:r w:rsidRPr="00D61A3C">
        <w:t xml:space="preserve">ts </w:t>
      </w:r>
      <w:r w:rsidR="00370950">
        <w:t>e</w:t>
      </w:r>
      <w:r w:rsidRPr="00D61A3C">
        <w:t>valuation</w:t>
      </w:r>
      <w:r w:rsidR="00370950">
        <w:t>,</w:t>
      </w:r>
      <w:r w:rsidRPr="00D61A3C">
        <w:t xml:space="preserve"> Prod</w:t>
      </w:r>
      <w:r w:rsidR="00370950">
        <w:t>uction</w:t>
      </w:r>
      <w:r w:rsidRPr="00D61A3C">
        <w:t xml:space="preserve"> Monthly 37(4): 82-87.</w:t>
      </w:r>
    </w:p>
    <w:p w14:paraId="5B79BA6B" w14:textId="77777777" w:rsidR="002D337D" w:rsidRDefault="00DA1389" w:rsidP="005D77D8">
      <w:pPr>
        <w:pStyle w:val="Body"/>
        <w:spacing w:afterLines="20" w:after="48" w:line="240" w:lineRule="auto"/>
        <w:ind w:left="567" w:hanging="567"/>
      </w:pPr>
      <w:r>
        <w:t>Refsgaard JC and Henriksen HJ (2004) Modelling guidelines––terminology and guiding principles</w:t>
      </w:r>
      <w:r w:rsidR="00F05DAB">
        <w:t>,</w:t>
      </w:r>
      <w:r>
        <w:t xml:space="preserve"> Advances in Water Resources 27(1)</w:t>
      </w:r>
      <w:r w:rsidR="00F05DAB">
        <w:t>:</w:t>
      </w:r>
      <w:r>
        <w:t xml:space="preserve"> 71-82. </w:t>
      </w:r>
    </w:p>
    <w:p w14:paraId="23EA6765" w14:textId="77123D67" w:rsidR="00DC4D39" w:rsidRDefault="00DC4D39" w:rsidP="00DC4D39">
      <w:pPr>
        <w:pStyle w:val="Body"/>
        <w:spacing w:afterLines="20" w:after="48"/>
        <w:ind w:left="567" w:hanging="567"/>
      </w:pPr>
      <w:r>
        <w:t>Refsgaard</w:t>
      </w:r>
      <w:r w:rsidRPr="00DC4D39">
        <w:t xml:space="preserve"> </w:t>
      </w:r>
      <w:r>
        <w:t>JC, Christensen S, Sonnenborg TO, Seifert D, Højberg AL, Troldborg L (2012) Review of strategies for handling geological uncertainty in groundwater flow and transport modeling. Advances in Water Resources 36: 36-50.</w:t>
      </w:r>
    </w:p>
    <w:p w14:paraId="67F19095" w14:textId="77777777" w:rsidR="002D337D" w:rsidRDefault="00DA1389" w:rsidP="005D77D8">
      <w:pPr>
        <w:pStyle w:val="Body"/>
        <w:spacing w:afterLines="20" w:after="48" w:line="240" w:lineRule="auto"/>
        <w:ind w:left="567" w:hanging="567"/>
      </w:pPr>
      <w:r>
        <w:t xml:space="preserve">Remy N, Boucher A and Wu J (2009) Applied </w:t>
      </w:r>
      <w:r w:rsidR="00F05DAB">
        <w:t>G</w:t>
      </w:r>
      <w:r>
        <w:t xml:space="preserve">eostatistics with SGeMS: </w:t>
      </w:r>
      <w:r w:rsidR="00F05DAB">
        <w:t>A</w:t>
      </w:r>
      <w:r>
        <w:t xml:space="preserve"> </w:t>
      </w:r>
      <w:r w:rsidR="00F05DAB">
        <w:t>U</w:t>
      </w:r>
      <w:r>
        <w:t xml:space="preserve">ser's </w:t>
      </w:r>
      <w:r w:rsidR="00F05DAB">
        <w:t>G</w:t>
      </w:r>
      <w:r>
        <w:t>uide</w:t>
      </w:r>
      <w:r w:rsidR="00F05DAB">
        <w:t>,</w:t>
      </w:r>
      <w:r>
        <w:t xml:space="preserve"> Cambridge University Press</w:t>
      </w:r>
      <w:r w:rsidR="00F05DAB">
        <w:t>, Cambridge, UK</w:t>
      </w:r>
      <w:r>
        <w:t>.</w:t>
      </w:r>
    </w:p>
    <w:p w14:paraId="57D499B2" w14:textId="47133FEE" w:rsidR="00EB2DA4" w:rsidRDefault="00EB2DA4" w:rsidP="005D77D8">
      <w:pPr>
        <w:pStyle w:val="Body"/>
        <w:spacing w:afterLines="20" w:after="48" w:line="240" w:lineRule="auto"/>
        <w:ind w:left="567" w:hanging="567"/>
      </w:pPr>
      <w:r w:rsidRPr="00A45100">
        <w:t xml:space="preserve">Renard P, </w:t>
      </w:r>
      <w:r w:rsidRPr="00EB2DA4">
        <w:t>Straubhaar J</w:t>
      </w:r>
      <w:r>
        <w:t xml:space="preserve">, </w:t>
      </w:r>
      <w:r w:rsidRPr="00EB2DA4">
        <w:t>Caers J</w:t>
      </w:r>
      <w:r>
        <w:t xml:space="preserve">, </w:t>
      </w:r>
      <w:r w:rsidRPr="00EB2DA4">
        <w:t>Mariethoz</w:t>
      </w:r>
      <w:r>
        <w:t xml:space="preserve"> </w:t>
      </w:r>
      <w:r w:rsidRPr="00EB2DA4">
        <w:t>G</w:t>
      </w:r>
      <w:r w:rsidRPr="00A45100">
        <w:t xml:space="preserve"> (2011) Conditioning facies simulations with connectivity data.  Mathematical geosciences, 43: 879-903.</w:t>
      </w:r>
    </w:p>
    <w:p w14:paraId="5EB99253" w14:textId="35FAEA8E" w:rsidR="00EB2DA4" w:rsidRDefault="00EB2DA4" w:rsidP="005D77D8">
      <w:pPr>
        <w:pStyle w:val="Body"/>
        <w:spacing w:afterLines="20" w:after="48" w:line="240" w:lineRule="auto"/>
        <w:ind w:left="567" w:hanging="567"/>
      </w:pPr>
      <w:r w:rsidRPr="00A45100">
        <w:t>Renard P and Allard D (2011) Connectivity metrics for subsurface flow and transport.  Advances in Water Resources 51: 168-196.</w:t>
      </w:r>
    </w:p>
    <w:p w14:paraId="39448BAE" w14:textId="77777777" w:rsidR="002D337D" w:rsidRDefault="00DA1389" w:rsidP="005D77D8">
      <w:pPr>
        <w:pStyle w:val="Body"/>
        <w:spacing w:afterLines="20" w:after="48" w:line="240" w:lineRule="auto"/>
        <w:ind w:left="567" w:hanging="567"/>
      </w:pPr>
      <w:r>
        <w:t>Renard P and de Marsily G (1997) Calculating equivalent permeability: A review</w:t>
      </w:r>
      <w:r w:rsidR="00F05DAB">
        <w:t>,</w:t>
      </w:r>
      <w:r>
        <w:t xml:space="preserve"> Advances in Water Resources 20</w:t>
      </w:r>
      <w:r w:rsidR="00F05DAB">
        <w:t xml:space="preserve"> </w:t>
      </w:r>
      <w:r>
        <w:t>(5-6)</w:t>
      </w:r>
      <w:r w:rsidR="00F05DAB">
        <w:t>:</w:t>
      </w:r>
      <w:r>
        <w:t xml:space="preserve"> 253-278. </w:t>
      </w:r>
    </w:p>
    <w:p w14:paraId="15AF6D1A" w14:textId="77777777" w:rsidR="002D337D" w:rsidRDefault="00DA1389" w:rsidP="005D77D8">
      <w:pPr>
        <w:pStyle w:val="Body"/>
        <w:spacing w:afterLines="20" w:after="48" w:line="240" w:lineRule="auto"/>
        <w:ind w:left="567" w:hanging="567"/>
      </w:pPr>
      <w:r>
        <w:t>Ricard L, Godel B, Smerdon B and Esteban L (2014) Aquitard hydraulic properties estimation from wireline logs analysis: An application to the Surat Basin, Queensland</w:t>
      </w:r>
      <w:r w:rsidR="00F05DAB">
        <w:t>,</w:t>
      </w:r>
      <w:r>
        <w:t xml:space="preserve"> Australian Earth Science Convention.</w:t>
      </w:r>
    </w:p>
    <w:p w14:paraId="05F93E96" w14:textId="77777777" w:rsidR="002D337D" w:rsidRDefault="00DA1389" w:rsidP="005D77D8">
      <w:pPr>
        <w:pStyle w:val="Body"/>
        <w:spacing w:afterLines="20" w:after="48" w:line="240" w:lineRule="auto"/>
        <w:ind w:left="567" w:hanging="567"/>
      </w:pPr>
      <w:r>
        <w:t>Ringrose P, Nordahl K and Wen R (2005) Vertical permeability estimation in heterolithic tidal deltaic sandstones</w:t>
      </w:r>
      <w:r w:rsidR="00F05DAB">
        <w:t>,</w:t>
      </w:r>
      <w:r>
        <w:t xml:space="preserve"> Petroleum Geoscience 11(1)</w:t>
      </w:r>
      <w:r w:rsidR="00F05DAB">
        <w:t>:</w:t>
      </w:r>
      <w:r>
        <w:t xml:space="preserve"> 29-36. </w:t>
      </w:r>
    </w:p>
    <w:p w14:paraId="45E2C68D" w14:textId="77777777" w:rsidR="002D337D" w:rsidRDefault="00DA1389" w:rsidP="005D77D8">
      <w:pPr>
        <w:pStyle w:val="Body"/>
        <w:spacing w:afterLines="20" w:after="48" w:line="240" w:lineRule="auto"/>
        <w:ind w:left="567" w:hanging="567"/>
      </w:pPr>
      <w:r>
        <w:t>Rogiers B, Mallants D, Batelaan O, Gedeon M, Huysmans M and Dassargues A (2012) Estimation of hydraulic conductivity and its uncertainty from grain-size data using GLUE and artificial neural networks</w:t>
      </w:r>
      <w:r w:rsidR="00F05DAB">
        <w:t>,</w:t>
      </w:r>
      <w:r>
        <w:t xml:space="preserve"> Mathematical Geosciences 44(6)</w:t>
      </w:r>
      <w:r w:rsidR="00F05DAB">
        <w:t>:</w:t>
      </w:r>
      <w:r>
        <w:t xml:space="preserve"> 739-763. </w:t>
      </w:r>
    </w:p>
    <w:p w14:paraId="27E7E2B2" w14:textId="77777777" w:rsidR="002D337D" w:rsidRDefault="00DA1389" w:rsidP="005D77D8">
      <w:pPr>
        <w:pStyle w:val="Body"/>
        <w:spacing w:afterLines="20" w:after="48" w:line="240" w:lineRule="auto"/>
        <w:ind w:left="567" w:hanging="567"/>
      </w:pPr>
      <w:r>
        <w:t xml:space="preserve">Rogiers B, Beerten K, Smekens T, Mallants D, Gedeon M, Huysmans M, Batelaan O, and Dassargues A (2013) The usefulness of outcrop-analogue air-permeameter measurements for analysing aquifer heterogeneity: </w:t>
      </w:r>
      <w:r w:rsidR="00F05DAB">
        <w:t>T</w:t>
      </w:r>
      <w:r>
        <w:t>esting outcrop hydrogeological parameters with independent borehole data</w:t>
      </w:r>
      <w:r w:rsidR="00F05DAB">
        <w:t>,</w:t>
      </w:r>
      <w:r>
        <w:t xml:space="preserve"> Hydrology and Earth System Sciences</w:t>
      </w:r>
      <w:r w:rsidR="00F05DAB">
        <w:t xml:space="preserve"> </w:t>
      </w:r>
      <w:r>
        <w:t>17: 5155–5166.</w:t>
      </w:r>
    </w:p>
    <w:p w14:paraId="05F0877B" w14:textId="77777777" w:rsidR="002D337D" w:rsidRDefault="00DA1389" w:rsidP="005D77D8">
      <w:pPr>
        <w:pStyle w:val="Body"/>
        <w:spacing w:afterLines="20" w:after="48" w:line="240" w:lineRule="auto"/>
        <w:ind w:left="567" w:hanging="567"/>
      </w:pPr>
      <w:r>
        <w:t>Rogiers B, Vienken T, Gedeon M, Batelaan O, Mallants D, Huysmans M and Dassargues A (2014a) Multi-scale aquifer characterization and groundwater flow model parameterization using direct push technologies</w:t>
      </w:r>
      <w:r w:rsidR="00F05DAB">
        <w:t>,</w:t>
      </w:r>
      <w:r>
        <w:t xml:space="preserve"> Environmental Ear</w:t>
      </w:r>
      <w:r w:rsidR="00F05DAB">
        <w:t>t</w:t>
      </w:r>
      <w:r>
        <w:t xml:space="preserve">h Sciences 72 (5): 1303–1324. </w:t>
      </w:r>
    </w:p>
    <w:p w14:paraId="778A31BA" w14:textId="77777777" w:rsidR="002D337D" w:rsidRDefault="00DA1389" w:rsidP="005D77D8">
      <w:pPr>
        <w:pStyle w:val="Body"/>
        <w:spacing w:afterLines="20" w:after="48" w:line="240" w:lineRule="auto"/>
        <w:ind w:left="567" w:hanging="567"/>
      </w:pPr>
      <w:r>
        <w:t>Rogiers B, Winters P, Huysmans M, Beerten K, Mallants D, Gedeon M, Batelaan O, and Dassargues A (2014b) High resolution saturated hydraulic conductivity logging of borehole cores using air permeability measurements</w:t>
      </w:r>
      <w:r w:rsidR="00F05DAB">
        <w:t>,</w:t>
      </w:r>
      <w:r>
        <w:t xml:space="preserve"> Hydrogeology Journal</w:t>
      </w:r>
      <w:r w:rsidR="00F05DAB">
        <w:t xml:space="preserve"> </w:t>
      </w:r>
      <w:r w:rsidR="00F05DAB" w:rsidRPr="00F05DAB">
        <w:t>22(6)</w:t>
      </w:r>
      <w:r w:rsidR="00F05DAB">
        <w:t>:</w:t>
      </w:r>
      <w:r w:rsidR="00F05DAB" w:rsidRPr="00F05DAB">
        <w:t xml:space="preserve"> 1345-1358</w:t>
      </w:r>
      <w:r>
        <w:t>.</w:t>
      </w:r>
    </w:p>
    <w:p w14:paraId="4BF64676" w14:textId="46727ED3" w:rsidR="00DC4D39" w:rsidRDefault="00DC4D39" w:rsidP="00A45100">
      <w:pPr>
        <w:pStyle w:val="Body"/>
        <w:spacing w:afterLines="20" w:after="48" w:line="240" w:lineRule="auto"/>
        <w:ind w:left="567" w:hanging="567"/>
      </w:pPr>
      <w:r>
        <w:t>Rojas R, Kahunde S, Peeters L, Batelaan O, Feyen L, Dassargues A (2010) Application of a multimodel approach to account for conceptual model and scenario un</w:t>
      </w:r>
      <w:r w:rsidR="003A385B">
        <w:t>c</w:t>
      </w:r>
      <w:r>
        <w:t>ertainties in groundwater modelling. Journal of Hydrology 394: 416-435.</w:t>
      </w:r>
    </w:p>
    <w:p w14:paraId="6F8955CB" w14:textId="02B6B693" w:rsidR="00254DF5" w:rsidRDefault="00254DF5" w:rsidP="00A45100">
      <w:pPr>
        <w:pStyle w:val="Body"/>
        <w:spacing w:afterLines="20" w:after="48" w:line="240" w:lineRule="auto"/>
        <w:ind w:left="567" w:hanging="567"/>
      </w:pPr>
      <w:r>
        <w:t>Ross JL, Ozbek MM, and Pinder GF (2009) Aleatoric and epistemic uncertainty in groundwater flow and transport simulation. Water Resources Research 45: W00B15.</w:t>
      </w:r>
    </w:p>
    <w:p w14:paraId="0BA2A7AE" w14:textId="77777777" w:rsidR="009A78B7" w:rsidRDefault="00DA1389">
      <w:pPr>
        <w:pStyle w:val="Body"/>
        <w:spacing w:after="0" w:line="240" w:lineRule="auto"/>
        <w:ind w:left="567" w:hanging="567"/>
      </w:pPr>
      <w:r>
        <w:t xml:space="preserve">Rubin Y (2003) Applied </w:t>
      </w:r>
      <w:r w:rsidR="00F05DAB">
        <w:t>Stochastic Hydrogeology,</w:t>
      </w:r>
      <w:r>
        <w:t xml:space="preserve"> Oxford University Press, Oxford, UK.</w:t>
      </w:r>
    </w:p>
    <w:p w14:paraId="7A078278" w14:textId="77777777" w:rsidR="009A78B7" w:rsidRDefault="00DA1389">
      <w:pPr>
        <w:pStyle w:val="Body"/>
        <w:spacing w:after="0" w:line="240" w:lineRule="auto"/>
        <w:ind w:left="567" w:hanging="567"/>
      </w:pPr>
      <w:r>
        <w:t>Rubin Y and Gomez-Hernandez J (1990) A stochastic approach to the problem of upscaling of conductivity in disordered media - Theory and unconditional numerical simulations</w:t>
      </w:r>
      <w:r w:rsidR="00F05DAB">
        <w:t>,</w:t>
      </w:r>
      <w:r>
        <w:t xml:space="preserve"> Water Resources Research 26(4)</w:t>
      </w:r>
      <w:r w:rsidR="00F05DAB">
        <w:t>:</w:t>
      </w:r>
      <w:r>
        <w:t xml:space="preserve"> 691-701. </w:t>
      </w:r>
    </w:p>
    <w:p w14:paraId="0D2521A5" w14:textId="77777777" w:rsidR="009A78B7" w:rsidRDefault="00DA1389">
      <w:pPr>
        <w:pStyle w:val="Body"/>
        <w:spacing w:after="0" w:line="240" w:lineRule="auto"/>
        <w:ind w:left="567" w:hanging="567"/>
      </w:pPr>
      <w:r>
        <w:t>Rubin Y and Hubbard SS (2006) Hydrogeophysics</w:t>
      </w:r>
      <w:r w:rsidR="00F05DAB">
        <w:t>,</w:t>
      </w:r>
      <w:r>
        <w:t xml:space="preserve"> Springer Science </w:t>
      </w:r>
      <w:r w:rsidR="00F05DAB">
        <w:t xml:space="preserve">and </w:t>
      </w:r>
      <w:r>
        <w:t>Business Media.</w:t>
      </w:r>
    </w:p>
    <w:p w14:paraId="648867B8" w14:textId="77777777" w:rsidR="009A78B7" w:rsidRDefault="006F29FA">
      <w:pPr>
        <w:pStyle w:val="Body"/>
        <w:spacing w:after="0" w:line="240" w:lineRule="auto"/>
        <w:ind w:left="567" w:hanging="567"/>
      </w:pPr>
      <w:r w:rsidRPr="006F29FA">
        <w:t>Salmon SU, Rate AW, Rengel</w:t>
      </w:r>
      <w:r>
        <w:t xml:space="preserve"> </w:t>
      </w:r>
      <w:r w:rsidRPr="006F29FA">
        <w:t>Z, Appleyard S, Prommer H</w:t>
      </w:r>
      <w:r w:rsidR="00F05DAB">
        <w:t xml:space="preserve"> and</w:t>
      </w:r>
      <w:r w:rsidRPr="006F29FA">
        <w:t xml:space="preserve"> Hinz C (2014) Reactive transport controls on sandy acid sulfate soils and impacts on shallow groundwater quality</w:t>
      </w:r>
      <w:r>
        <w:t>,</w:t>
      </w:r>
      <w:r w:rsidRPr="006F29FA">
        <w:t xml:space="preserve"> Water Resources Research 50(6)</w:t>
      </w:r>
      <w:r w:rsidR="00F05DAB">
        <w:t>:</w:t>
      </w:r>
      <w:r w:rsidRPr="006F29FA">
        <w:t xml:space="preserve"> 4924-4952.</w:t>
      </w:r>
    </w:p>
    <w:p w14:paraId="5FFFE132" w14:textId="77777777" w:rsidR="009A78B7" w:rsidRDefault="00B1063B">
      <w:pPr>
        <w:pStyle w:val="Body"/>
        <w:spacing w:after="0" w:line="240" w:lineRule="auto"/>
        <w:ind w:left="567" w:hanging="567"/>
      </w:pPr>
      <w:r w:rsidRPr="00B1063B">
        <w:t>Samper J, Moreira</w:t>
      </w:r>
      <w:r>
        <w:t xml:space="preserve"> </w:t>
      </w:r>
      <w:r w:rsidRPr="00B1063B">
        <w:t xml:space="preserve">S, Alvares D, Montenegro L, Lu C, López </w:t>
      </w:r>
      <w:r>
        <w:t>C, Bonilla M, Ma H, Li Y, Pisani B, Arechaga F, Gil A, Menéndez JA, Lucas T</w:t>
      </w:r>
      <w:r w:rsidR="00F05DAB">
        <w:t xml:space="preserve"> and</w:t>
      </w:r>
      <w:r>
        <w:t xml:space="preserve"> Valle-García</w:t>
      </w:r>
      <w:r w:rsidRPr="00B1063B">
        <w:t xml:space="preserve"> </w:t>
      </w:r>
      <w:r>
        <w:t xml:space="preserve">R </w:t>
      </w:r>
      <w:r w:rsidRPr="00B1063B">
        <w:t>(2008) Model predictions of water chemistry for the future pit lake in As Pontes, A Coruña (Spain)</w:t>
      </w:r>
      <w:r>
        <w:t>, in:</w:t>
      </w:r>
      <w:r w:rsidRPr="00B1063B">
        <w:t xml:space="preserve"> K Vary</w:t>
      </w:r>
      <w:r>
        <w:t xml:space="preserve">, </w:t>
      </w:r>
      <w:r w:rsidRPr="00B1063B">
        <w:t xml:space="preserve">Rapantova N </w:t>
      </w:r>
      <w:r w:rsidR="00F05DAB">
        <w:t xml:space="preserve">and </w:t>
      </w:r>
      <w:r w:rsidRPr="00B1063B">
        <w:t>Hrkal Z (</w:t>
      </w:r>
      <w:r>
        <w:t>ed.</w:t>
      </w:r>
      <w:r w:rsidRPr="00B1063B">
        <w:t>s)</w:t>
      </w:r>
      <w:r>
        <w:t xml:space="preserve"> </w:t>
      </w:r>
      <w:r w:rsidRPr="00B1063B">
        <w:t>Mine Water and the Environment</w:t>
      </w:r>
      <w:r>
        <w:t xml:space="preserve">, </w:t>
      </w:r>
      <w:r w:rsidRPr="00B1063B">
        <w:t>X International Mine Water Association Congress.</w:t>
      </w:r>
    </w:p>
    <w:p w14:paraId="766F35D2" w14:textId="77777777" w:rsidR="009A78B7" w:rsidRDefault="00DA1389">
      <w:pPr>
        <w:pStyle w:val="Body"/>
        <w:spacing w:after="0" w:line="240" w:lineRule="auto"/>
        <w:ind w:left="567" w:hanging="567"/>
      </w:pPr>
      <w:r>
        <w:t>Sanchez-Vila X, Carrera J and Girardi J (1996) Scale effects in transmissivity</w:t>
      </w:r>
      <w:r w:rsidR="00F05DAB">
        <w:t>,</w:t>
      </w:r>
      <w:r>
        <w:t xml:space="preserve"> Journal of Hydrology 183(1-2)</w:t>
      </w:r>
      <w:r w:rsidR="00F05DAB">
        <w:t>:</w:t>
      </w:r>
      <w:r>
        <w:t xml:space="preserve"> 1-22. </w:t>
      </w:r>
    </w:p>
    <w:p w14:paraId="2370A064" w14:textId="77777777" w:rsidR="009A78B7" w:rsidRDefault="00DA1389">
      <w:pPr>
        <w:pStyle w:val="Body"/>
        <w:spacing w:after="0" w:line="240" w:lineRule="auto"/>
        <w:ind w:left="567" w:hanging="567"/>
      </w:pPr>
      <w:r>
        <w:t>Sanchez-Vila X, Girardi J and Carerra J (1995) A synthesis of approaches to upscaling of hydraulic conductivities</w:t>
      </w:r>
      <w:r w:rsidR="00F05DAB">
        <w:t>,</w:t>
      </w:r>
      <w:r>
        <w:t xml:space="preserve"> Water Resources Research 31(4)</w:t>
      </w:r>
      <w:r w:rsidR="00F05DAB">
        <w:t>:</w:t>
      </w:r>
      <w:r>
        <w:t xml:space="preserve"> 867-882. </w:t>
      </w:r>
    </w:p>
    <w:p w14:paraId="32C5F3C5" w14:textId="77777777" w:rsidR="009A78B7" w:rsidRDefault="00DA1389">
      <w:pPr>
        <w:pStyle w:val="Body"/>
        <w:spacing w:after="0" w:line="240" w:lineRule="auto"/>
        <w:ind w:left="567" w:hanging="567"/>
      </w:pPr>
      <w:r>
        <w:t>Sanchez-Vila X, Guadagnini A and Carrera J (2006) Representative hydraulic conductivities in saturated groundwater flow</w:t>
      </w:r>
      <w:r w:rsidR="00F05DAB">
        <w:t xml:space="preserve">, </w:t>
      </w:r>
      <w:r>
        <w:t>Reviews of Geophysics 44(3).</w:t>
      </w:r>
    </w:p>
    <w:p w14:paraId="6F25A56E" w14:textId="77777777" w:rsidR="009A78B7" w:rsidRDefault="00DA1389">
      <w:pPr>
        <w:pStyle w:val="Body"/>
        <w:spacing w:after="0" w:line="240" w:lineRule="auto"/>
        <w:ind w:left="567" w:hanging="567"/>
      </w:pPr>
      <w:r>
        <w:t>Santos (2010) Bowen Basin groundwater modelling report.</w:t>
      </w:r>
    </w:p>
    <w:p w14:paraId="12485723" w14:textId="77777777" w:rsidR="009A78B7" w:rsidRDefault="006F29FA">
      <w:pPr>
        <w:pStyle w:val="Body"/>
        <w:spacing w:after="0" w:line="240" w:lineRule="auto"/>
        <w:ind w:left="567" w:hanging="567"/>
      </w:pPr>
      <w:r>
        <w:t>Sarma P, Aziz K</w:t>
      </w:r>
      <w:r w:rsidR="0014589E">
        <w:t xml:space="preserve"> and </w:t>
      </w:r>
      <w:r>
        <w:t>Durlofsky LJ (2005) Implementation of adjoint solution for optimal control of smart wells, in: SPE Paper 92864, presented at the SPE Reservoir Simulation Symposium, Houston, TX, USA.</w:t>
      </w:r>
    </w:p>
    <w:p w14:paraId="7C439C06" w14:textId="77777777" w:rsidR="009A78B7" w:rsidRDefault="00DA1389">
      <w:pPr>
        <w:pStyle w:val="Body"/>
        <w:spacing w:after="0" w:line="240" w:lineRule="auto"/>
        <w:ind w:left="567" w:hanging="567"/>
      </w:pPr>
      <w:r>
        <w:t xml:space="preserve">Sawyer WK, Paul GW and Schraufnagel RA (1990) Development </w:t>
      </w:r>
      <w:r w:rsidR="0014589E">
        <w:t>a</w:t>
      </w:r>
      <w:r>
        <w:t xml:space="preserve">nd </w:t>
      </w:r>
      <w:r w:rsidR="0014589E">
        <w:t>a</w:t>
      </w:r>
      <w:r>
        <w:t xml:space="preserve">pplication </w:t>
      </w:r>
      <w:r w:rsidR="0014589E">
        <w:t>o</w:t>
      </w:r>
      <w:r>
        <w:t xml:space="preserve">f </w:t>
      </w:r>
      <w:r w:rsidR="0014589E">
        <w:t>a</w:t>
      </w:r>
      <w:r>
        <w:t xml:space="preserve"> 3-D </w:t>
      </w:r>
      <w:r w:rsidR="0014589E">
        <w:t>c</w:t>
      </w:r>
      <w:r>
        <w:t xml:space="preserve">oalbed </w:t>
      </w:r>
      <w:r w:rsidR="0014589E">
        <w:t>s</w:t>
      </w:r>
      <w:r>
        <w:t>imulator</w:t>
      </w:r>
      <w:r w:rsidR="0014589E">
        <w:t xml:space="preserve">, </w:t>
      </w:r>
      <w:r>
        <w:t>Annual Technical Meeting</w:t>
      </w:r>
      <w:r w:rsidR="0014589E">
        <w:t xml:space="preserve">, </w:t>
      </w:r>
      <w:r>
        <w:t>Petroleum Society of Canada.</w:t>
      </w:r>
    </w:p>
    <w:p w14:paraId="48C588DE" w14:textId="77777777" w:rsidR="009A78B7" w:rsidRDefault="00DA1389">
      <w:pPr>
        <w:pStyle w:val="Body"/>
        <w:spacing w:after="0" w:line="240" w:lineRule="auto"/>
        <w:ind w:left="567" w:hanging="567"/>
      </w:pPr>
      <w:r>
        <w:t xml:space="preserve">Schaeffer J (2008) Scaling point based aquifer data for developing regional groundwater models: </w:t>
      </w:r>
      <w:r w:rsidR="0014589E">
        <w:t xml:space="preserve">Application </w:t>
      </w:r>
      <w:r>
        <w:t>to the Gippsland groundwater system</w:t>
      </w:r>
      <w:r w:rsidR="0014589E">
        <w:t>,</w:t>
      </w:r>
      <w:r>
        <w:t xml:space="preserve"> </w:t>
      </w:r>
      <w:r w:rsidR="0014589E">
        <w:t xml:space="preserve">PhD thesis, </w:t>
      </w:r>
      <w:r>
        <w:t>University of Melbourne, Melbourne, Victoria.</w:t>
      </w:r>
    </w:p>
    <w:p w14:paraId="5D207BB2" w14:textId="77777777" w:rsidR="009A78B7" w:rsidRDefault="00DA1389">
      <w:pPr>
        <w:pStyle w:val="Body"/>
        <w:spacing w:after="0" w:line="240" w:lineRule="auto"/>
        <w:ind w:left="567" w:hanging="567"/>
      </w:pPr>
      <w:r>
        <w:t>Schlumberger (1991) Log Interpretation Principles / Applications</w:t>
      </w:r>
      <w:r w:rsidR="0014589E">
        <w:t>,</w:t>
      </w:r>
      <w:r>
        <w:t xml:space="preserve"> Schlumberger Wireline and Testing, Houston, </w:t>
      </w:r>
      <w:r w:rsidR="0014589E">
        <w:t>TX</w:t>
      </w:r>
      <w:r>
        <w:t>, USA.</w:t>
      </w:r>
    </w:p>
    <w:p w14:paraId="42364DB5" w14:textId="77777777" w:rsidR="00DA1389" w:rsidRDefault="00DA1389" w:rsidP="002D337D">
      <w:pPr>
        <w:pStyle w:val="Body"/>
        <w:spacing w:afterLines="20" w:after="48" w:line="240" w:lineRule="auto"/>
        <w:ind w:left="567" w:hanging="567"/>
      </w:pPr>
      <w:r>
        <w:t>Schlumberger (2011) Manual for ECLIPSE Reservoir Simulation Software</w:t>
      </w:r>
      <w:r w:rsidR="0014589E">
        <w:t>,</w:t>
      </w:r>
      <w:r>
        <w:t xml:space="preserve"> Houston, </w:t>
      </w:r>
      <w:r w:rsidR="0014589E">
        <w:t>TX</w:t>
      </w:r>
      <w:r>
        <w:t>, USA.</w:t>
      </w:r>
    </w:p>
    <w:p w14:paraId="384FDDC3" w14:textId="77777777" w:rsidR="002D337D" w:rsidRDefault="00DA1389" w:rsidP="005D77D8">
      <w:pPr>
        <w:pStyle w:val="Body"/>
        <w:spacing w:afterLines="20" w:after="48" w:line="240" w:lineRule="auto"/>
        <w:ind w:left="567" w:hanging="567"/>
      </w:pPr>
      <w:r>
        <w:t xml:space="preserve">Schulze-Makuch D and Cherkauer D (1998) Variations in hydraulic conductivity with scale of measurement during aquifer tests in heterogeneous, porous carbonate rocks, </w:t>
      </w:r>
      <w:r w:rsidR="0014589E">
        <w:t xml:space="preserve">Hydrogeology Journal </w:t>
      </w:r>
      <w:r>
        <w:t>6</w:t>
      </w:r>
      <w:r w:rsidR="0014589E">
        <w:t>:</w:t>
      </w:r>
      <w:r>
        <w:t xml:space="preserve"> 204–215.</w:t>
      </w:r>
    </w:p>
    <w:p w14:paraId="6AFB66D7" w14:textId="77777777" w:rsidR="002D337D" w:rsidRDefault="00F30E04" w:rsidP="005D77D8">
      <w:pPr>
        <w:pStyle w:val="Body"/>
        <w:spacing w:afterLines="20" w:after="48" w:line="240" w:lineRule="auto"/>
        <w:ind w:left="567" w:hanging="567"/>
      </w:pPr>
      <w:r w:rsidRPr="00F30E04">
        <w:t>Schneider A, Kröhn KP, Püschel A (2012) Developing a modelling tool for density-driven flow in complex hydrogeological structure</w:t>
      </w:r>
      <w:r w:rsidR="0014589E">
        <w:t>s,</w:t>
      </w:r>
      <w:r w:rsidRPr="00F30E04">
        <w:t xml:space="preserve"> Computing and Visualization in Science 15(4)</w:t>
      </w:r>
      <w:r w:rsidR="0014589E">
        <w:t>:</w:t>
      </w:r>
      <w:r w:rsidRPr="00F30E04">
        <w:t xml:space="preserve"> 163-168.</w:t>
      </w:r>
    </w:p>
    <w:p w14:paraId="49A5409D" w14:textId="77777777" w:rsidR="002D337D" w:rsidRDefault="00DA1389" w:rsidP="005D77D8">
      <w:pPr>
        <w:pStyle w:val="Body"/>
        <w:spacing w:afterLines="20" w:after="48" w:line="240" w:lineRule="auto"/>
        <w:ind w:left="567" w:hanging="567"/>
      </w:pPr>
      <w:r>
        <w:t>Shapiro SS and Wilk MB (1965) An analysis of variance test for normality (complete samples)</w:t>
      </w:r>
      <w:r w:rsidR="0014589E">
        <w:t xml:space="preserve">, </w:t>
      </w:r>
      <w:r>
        <w:t>Biometrika 5</w:t>
      </w:r>
      <w:r w:rsidR="0014589E">
        <w:t>2:</w:t>
      </w:r>
      <w:r>
        <w:t xml:space="preserve"> 591-611.</w:t>
      </w:r>
    </w:p>
    <w:p w14:paraId="63ACA046" w14:textId="77777777" w:rsidR="002D337D" w:rsidRDefault="00DA1389" w:rsidP="005D77D8">
      <w:pPr>
        <w:pStyle w:val="Body"/>
        <w:spacing w:afterLines="20" w:after="48" w:line="240" w:lineRule="auto"/>
        <w:ind w:left="567" w:hanging="567"/>
      </w:pPr>
      <w:r>
        <w:t>Shipton Z and Cowie P (2001) Damage zone and slip-surface evolution over μm to km scales in high-porosity Navajo sandstone, Utah</w:t>
      </w:r>
      <w:r w:rsidR="0014589E">
        <w:t>,</w:t>
      </w:r>
      <w:r>
        <w:t xml:space="preserve"> Journal of Structural Geology 23(12)</w:t>
      </w:r>
      <w:r w:rsidR="0014589E">
        <w:t>:</w:t>
      </w:r>
      <w:r>
        <w:t xml:space="preserve"> 1825-1844. </w:t>
      </w:r>
    </w:p>
    <w:p w14:paraId="708D8414" w14:textId="77777777" w:rsidR="002D337D" w:rsidRDefault="00DA1389" w:rsidP="005D77D8">
      <w:pPr>
        <w:pStyle w:val="Body"/>
        <w:spacing w:afterLines="20" w:after="48" w:line="240" w:lineRule="auto"/>
        <w:ind w:left="567" w:hanging="567"/>
      </w:pPr>
      <w:r>
        <w:t xml:space="preserve">Silva D and Deutsch C (2014) A </w:t>
      </w:r>
      <w:r w:rsidR="0014589E">
        <w:t>multiple training image approach for spatial modeling of geologic domains,</w:t>
      </w:r>
      <w:r>
        <w:t xml:space="preserve"> Mathematical Geosciences 46</w:t>
      </w:r>
      <w:r w:rsidR="0014589E">
        <w:t xml:space="preserve"> </w:t>
      </w:r>
      <w:r>
        <w:t>(7)</w:t>
      </w:r>
      <w:r w:rsidR="0014589E">
        <w:t>:</w:t>
      </w:r>
      <w:r>
        <w:t xml:space="preserve"> 815-840. </w:t>
      </w:r>
    </w:p>
    <w:p w14:paraId="0010EDA1" w14:textId="77777777" w:rsidR="002D337D" w:rsidRDefault="00DA1389" w:rsidP="005D77D8">
      <w:pPr>
        <w:pStyle w:val="Body"/>
        <w:spacing w:afterLines="20" w:after="48" w:line="240" w:lineRule="auto"/>
        <w:ind w:left="567" w:hanging="567"/>
      </w:pPr>
      <w:r>
        <w:t>Šimůnek J, Jarvis N, van Genuchten M and Gardenas A (2003) Review and comparison of models for describing non-equilibrium and preferential flow and transport in the vadose zone</w:t>
      </w:r>
      <w:r w:rsidR="0014589E">
        <w:t>,</w:t>
      </w:r>
      <w:r>
        <w:t xml:space="preserve"> Journal of Hydrology 272(1-4)</w:t>
      </w:r>
      <w:r w:rsidR="0014589E">
        <w:t>:</w:t>
      </w:r>
      <w:r>
        <w:t xml:space="preserve"> 14-35. </w:t>
      </w:r>
    </w:p>
    <w:p w14:paraId="2478DE6E" w14:textId="77777777" w:rsidR="002D337D" w:rsidRDefault="00DA1389" w:rsidP="005D77D8">
      <w:pPr>
        <w:pStyle w:val="Body"/>
        <w:spacing w:afterLines="20" w:after="48" w:line="240" w:lineRule="auto"/>
        <w:ind w:left="567" w:hanging="567"/>
      </w:pPr>
      <w:r>
        <w:t xml:space="preserve">Šimůnek J and van Genuchten MT (2006) Contaminant </w:t>
      </w:r>
      <w:r w:rsidR="0014589E">
        <w:t>transport in the unsaturated zone theory and modeling, in:</w:t>
      </w:r>
      <w:r>
        <w:t xml:space="preserve"> Delleur JW (ed.) The Handbook of Groundwater Engineering</w:t>
      </w:r>
      <w:r w:rsidR="0014589E">
        <w:t>,</w:t>
      </w:r>
      <w:r>
        <w:t xml:space="preserve"> CRC Press, 22-21-22-46.</w:t>
      </w:r>
    </w:p>
    <w:p w14:paraId="4BF9EA7E" w14:textId="77777777" w:rsidR="002D337D" w:rsidRDefault="00DA1389" w:rsidP="005D77D8">
      <w:pPr>
        <w:pStyle w:val="Body"/>
        <w:spacing w:afterLines="20" w:after="48" w:line="240" w:lineRule="auto"/>
        <w:ind w:left="567" w:hanging="567"/>
      </w:pPr>
      <w:r>
        <w:t>Sinclair Knight Merz (2013) Monitoring and management of non-</w:t>
      </w:r>
      <w:r w:rsidR="0014589E">
        <w:t>L</w:t>
      </w:r>
      <w:r>
        <w:t xml:space="preserve">ake Eyre bore integrity – </w:t>
      </w:r>
      <w:r w:rsidR="0014589E">
        <w:t>D</w:t>
      </w:r>
      <w:r>
        <w:t>raft guidance for bore monitoring approaches</w:t>
      </w:r>
      <w:r w:rsidR="0014589E">
        <w:t>,</w:t>
      </w:r>
      <w:r>
        <w:t xml:space="preserve"> </w:t>
      </w:r>
      <w:r w:rsidR="0014589E">
        <w:t>r</w:t>
      </w:r>
      <w:r>
        <w:t>eport prepared for the Australian Government Department of Sustainability, Environment, Water, Population and Communities.</w:t>
      </w:r>
    </w:p>
    <w:p w14:paraId="4DA5C4A8" w14:textId="77777777" w:rsidR="002D337D" w:rsidRDefault="00DA1389" w:rsidP="005D77D8">
      <w:pPr>
        <w:pStyle w:val="Body"/>
        <w:spacing w:afterLines="20" w:after="48" w:line="240" w:lineRule="auto"/>
        <w:ind w:left="567" w:hanging="567"/>
      </w:pPr>
      <w:r>
        <w:t>Slater L (2007) Near surface electrical characterization of hydraulic conductivity: From petrophysical properties to aquifer geometries—A review</w:t>
      </w:r>
      <w:r w:rsidR="0014589E">
        <w:t>,</w:t>
      </w:r>
      <w:r>
        <w:t xml:space="preserve"> Surveys in Geophysics 28(2-3)</w:t>
      </w:r>
      <w:r w:rsidR="0014589E">
        <w:t>:</w:t>
      </w:r>
      <w:r>
        <w:t xml:space="preserve"> 169-197. </w:t>
      </w:r>
    </w:p>
    <w:p w14:paraId="6B76358C" w14:textId="77777777" w:rsidR="002D337D" w:rsidRDefault="00DA1389" w:rsidP="005D77D8">
      <w:pPr>
        <w:pStyle w:val="Body"/>
        <w:spacing w:afterLines="20" w:after="48" w:line="240" w:lineRule="auto"/>
        <w:ind w:left="567" w:hanging="567"/>
      </w:pPr>
      <w:r>
        <w:t>Smerdon B, Smith L, Harrington G, Gardner W, Delle Piane C and Sarout J (2014) Estimating the hydraulic properties of an aquitard from in situ pore pressure measurements</w:t>
      </w:r>
      <w:r w:rsidR="0014589E">
        <w:t>,</w:t>
      </w:r>
      <w:r>
        <w:t xml:space="preserve"> Hydrogeology Journal 22(8)</w:t>
      </w:r>
      <w:r w:rsidR="0014589E">
        <w:t>:</w:t>
      </w:r>
      <w:r>
        <w:t xml:space="preserve"> 1875-1887. </w:t>
      </w:r>
    </w:p>
    <w:p w14:paraId="30F137DE" w14:textId="77777777" w:rsidR="002D337D" w:rsidRDefault="00DA1389" w:rsidP="005D77D8">
      <w:pPr>
        <w:pStyle w:val="Body"/>
        <w:spacing w:afterLines="20" w:after="48" w:line="240" w:lineRule="auto"/>
        <w:ind w:left="567" w:hanging="567"/>
      </w:pPr>
      <w:r>
        <w:t>Smith SD, Solomon DK and Gardner WP (2013) Testing helium equilibrium between quartz and pore water as a method to determine pore water helium concentrations</w:t>
      </w:r>
      <w:r w:rsidR="0014589E">
        <w:t>,</w:t>
      </w:r>
      <w:r>
        <w:t xml:space="preserve"> Applied Geochemistry 35</w:t>
      </w:r>
      <w:r w:rsidR="0014589E">
        <w:t>:</w:t>
      </w:r>
      <w:r>
        <w:t xml:space="preserve"> 187-195. </w:t>
      </w:r>
    </w:p>
    <w:p w14:paraId="30F90ACE" w14:textId="77777777" w:rsidR="002D337D" w:rsidRDefault="00B45FE5" w:rsidP="005D77D8">
      <w:pPr>
        <w:pStyle w:val="Body"/>
        <w:spacing w:afterLines="20" w:after="48" w:line="240" w:lineRule="auto"/>
        <w:ind w:left="567" w:hanging="567"/>
      </w:pPr>
      <w:r w:rsidRPr="00B45FE5">
        <w:t>Spencer SJ, Somers ML, Pinchewski WV, Doig ID</w:t>
      </w:r>
      <w:r>
        <w:t xml:space="preserve"> (</w:t>
      </w:r>
      <w:r w:rsidRPr="00B45FE5">
        <w:t>1987</w:t>
      </w:r>
      <w:r>
        <w:t xml:space="preserve">) </w:t>
      </w:r>
      <w:r w:rsidRPr="00B45FE5">
        <w:t>Numerical simulation of gas drainage from coal seams</w:t>
      </w:r>
      <w:r>
        <w:t>, in:</w:t>
      </w:r>
      <w:r w:rsidRPr="00B45FE5">
        <w:t xml:space="preserve"> Proceedings of the 62nd SPE Annual Technical Confer</w:t>
      </w:r>
      <w:r>
        <w:t>ence and Exhibition, Dallas, TX, USA</w:t>
      </w:r>
      <w:r w:rsidRPr="00B45FE5">
        <w:t>, pp. 217</w:t>
      </w:r>
      <w:r w:rsidR="0014589E">
        <w:t>-</w:t>
      </w:r>
      <w:r w:rsidRPr="00B45FE5">
        <w:t>229.</w:t>
      </w:r>
    </w:p>
    <w:p w14:paraId="5D203B6E" w14:textId="77777777" w:rsidR="002D337D" w:rsidRDefault="00DA1389" w:rsidP="005D77D8">
      <w:pPr>
        <w:pStyle w:val="Body"/>
        <w:spacing w:afterLines="20" w:after="48" w:line="240" w:lineRule="auto"/>
        <w:ind w:left="567" w:hanging="567"/>
      </w:pPr>
      <w:r>
        <w:t>Sperrevik S, Gillespie PA, Fisher QJ, Halvorsen T and Knipe RJ (2002) Empirical estimation of fault rock properties</w:t>
      </w:r>
      <w:r w:rsidR="0014589E">
        <w:t xml:space="preserve">, in: </w:t>
      </w:r>
      <w:r>
        <w:t xml:space="preserve"> Koestler AG and Hunsdale R (ed</w:t>
      </w:r>
      <w:r w:rsidR="0014589E">
        <w:t>.</w:t>
      </w:r>
      <w:r>
        <w:t>s) Hydrocarbon Seal Quantification</w:t>
      </w:r>
      <w:r w:rsidR="0014589E">
        <w:t>,</w:t>
      </w:r>
      <w:r>
        <w:t xml:space="preserve"> Elsevier Science, Amsterdam, </w:t>
      </w:r>
      <w:r w:rsidR="0014589E">
        <w:t xml:space="preserve">The Netherlands, pp. </w:t>
      </w:r>
      <w:r>
        <w:t>109-125.</w:t>
      </w:r>
    </w:p>
    <w:p w14:paraId="3894C673" w14:textId="77777777" w:rsidR="002D337D" w:rsidRDefault="00DA1389" w:rsidP="005D77D8">
      <w:pPr>
        <w:pStyle w:val="Body"/>
        <w:spacing w:afterLines="20" w:after="48" w:line="240" w:lineRule="auto"/>
        <w:ind w:left="567" w:hanging="567"/>
      </w:pPr>
      <w:r>
        <w:t>Springer D, Loaiciga H, Cullen S and Everett L (1998) Air permeability of porous materials under controlled laboratory conditions</w:t>
      </w:r>
      <w:r w:rsidR="0014589E">
        <w:t>,</w:t>
      </w:r>
      <w:r>
        <w:t xml:space="preserve"> Ground Water 36(4)</w:t>
      </w:r>
      <w:r w:rsidR="0014589E">
        <w:t>:</w:t>
      </w:r>
      <w:r>
        <w:t xml:space="preserve"> 558-565. </w:t>
      </w:r>
    </w:p>
    <w:p w14:paraId="44823E92" w14:textId="3686C805" w:rsidR="00DC4D39" w:rsidRDefault="00DC4D39" w:rsidP="00A45100">
      <w:pPr>
        <w:pStyle w:val="Body"/>
        <w:spacing w:afterLines="20" w:after="48" w:line="240" w:lineRule="auto"/>
        <w:ind w:left="567" w:hanging="567"/>
      </w:pPr>
      <w:r>
        <w:t>Srinivasan</w:t>
      </w:r>
      <w:r w:rsidRPr="00DC4D39">
        <w:t xml:space="preserve"> </w:t>
      </w:r>
      <w:r>
        <w:t>G, Tartakovsky DM, Robinson BA, and Aceves AB (2007) Quantification of uncertainty in geochemical reactions. Water Resources Research 43, W12415.</w:t>
      </w:r>
    </w:p>
    <w:p w14:paraId="3E8DFB4D" w14:textId="77777777" w:rsidR="002D337D" w:rsidRDefault="00F30E04" w:rsidP="005D77D8">
      <w:pPr>
        <w:pStyle w:val="Body"/>
        <w:spacing w:afterLines="20" w:after="48" w:line="240" w:lineRule="auto"/>
        <w:ind w:left="567" w:hanging="567"/>
      </w:pPr>
      <w:r w:rsidRPr="00F30E04">
        <w:t>Stadler L, Hinkelmann R, Helmig R (2012) Modeling macroporous soils with a two-phase dual-permeability model</w:t>
      </w:r>
      <w:r>
        <w:t>,</w:t>
      </w:r>
      <w:r w:rsidRPr="00F30E04">
        <w:t xml:space="preserve"> Transport in Porous Media 95(3)</w:t>
      </w:r>
      <w:r w:rsidR="0014589E">
        <w:t>:</w:t>
      </w:r>
      <w:r w:rsidRPr="00F30E04">
        <w:t xml:space="preserve"> 585-601.</w:t>
      </w:r>
    </w:p>
    <w:p w14:paraId="67EE846C" w14:textId="77777777" w:rsidR="002D337D" w:rsidRDefault="00DA1389" w:rsidP="005D77D8">
      <w:pPr>
        <w:pStyle w:val="Body"/>
        <w:spacing w:afterLines="20" w:after="48" w:line="240" w:lineRule="auto"/>
        <w:ind w:left="567" w:hanging="567"/>
      </w:pPr>
      <w:r>
        <w:t>State of New South Wales (2015) Environmental Planning and Assessment Act 1979</w:t>
      </w:r>
      <w:r w:rsidR="0014589E">
        <w:t>, i</w:t>
      </w:r>
      <w:r>
        <w:t>n: Wales SoNS (ed.) 203.</w:t>
      </w:r>
    </w:p>
    <w:p w14:paraId="445B2011" w14:textId="77777777" w:rsidR="002D337D" w:rsidRDefault="00DA1389" w:rsidP="005D77D8">
      <w:pPr>
        <w:pStyle w:val="Body"/>
        <w:spacing w:afterLines="20" w:after="48" w:line="240" w:lineRule="auto"/>
        <w:ind w:left="567" w:hanging="567"/>
      </w:pPr>
      <w:r>
        <w:t>State of Queensland (2014) State Development and Public Works Organisation Act 1971.</w:t>
      </w:r>
    </w:p>
    <w:p w14:paraId="76E9F72D" w14:textId="77777777" w:rsidR="002D337D" w:rsidRDefault="00F30E04" w:rsidP="005D77D8">
      <w:pPr>
        <w:pStyle w:val="Body"/>
        <w:spacing w:afterLines="20" w:after="48" w:line="240" w:lineRule="auto"/>
        <w:ind w:left="567" w:hanging="567"/>
      </w:pPr>
      <w:r>
        <w:t>Steefel CI (2008) CrunchFlow Software for Modeling Multicomponent Reactive Flow and Transport: User’s Manual, Earth Sciences Division, Lawrence Berkeley National Laboratory, Berkeley, CA, USA, 91p.</w:t>
      </w:r>
    </w:p>
    <w:p w14:paraId="08BC72BC" w14:textId="77777777" w:rsidR="002D337D" w:rsidRDefault="00952D6A" w:rsidP="005D77D8">
      <w:pPr>
        <w:pStyle w:val="Body"/>
        <w:spacing w:afterLines="20" w:after="48" w:line="240" w:lineRule="auto"/>
        <w:ind w:left="567" w:hanging="567"/>
      </w:pPr>
      <w:r w:rsidRPr="00952D6A">
        <w:t xml:space="preserve">Steefel CI, Appelo CAJ, Arora B, Jacques D, Kalbacher T, Kolditz O, </w:t>
      </w:r>
      <w:r>
        <w:t>Lagneau V, Lichtner PC, Mayer KU, Meeussen JCL, Molins S, Moulton D, Shao H, Šimůnek J, Spycher N, Yabusaki SB</w:t>
      </w:r>
      <w:r w:rsidR="0014589E">
        <w:t xml:space="preserve"> and</w:t>
      </w:r>
      <w:r>
        <w:t xml:space="preserve"> </w:t>
      </w:r>
      <w:r w:rsidRPr="00952D6A">
        <w:t>Yeh GT (2014) Reactive transport codes for subsurface environmental simulation</w:t>
      </w:r>
      <w:r w:rsidR="0014589E">
        <w:t>,</w:t>
      </w:r>
      <w:r w:rsidRPr="00952D6A">
        <w:t xml:space="preserve"> Computational Geosciences </w:t>
      </w:r>
      <w:r w:rsidR="0014589E">
        <w:t>19 (3): 445-478</w:t>
      </w:r>
      <w:r w:rsidRPr="00952D6A">
        <w:t>.</w:t>
      </w:r>
    </w:p>
    <w:p w14:paraId="408A53AA" w14:textId="77777777" w:rsidR="002D337D" w:rsidRDefault="00DA1389" w:rsidP="005D77D8">
      <w:pPr>
        <w:pStyle w:val="Body"/>
        <w:spacing w:afterLines="20" w:after="48" w:line="240" w:lineRule="auto"/>
        <w:ind w:left="567" w:hanging="567"/>
      </w:pPr>
      <w:r>
        <w:t>Strand J, Freij-Ayoub R and Ahmed S (2012) Simulating the impact of coal seam gas water production on aquifers</w:t>
      </w:r>
      <w:r w:rsidR="0014589E">
        <w:t>,</w:t>
      </w:r>
      <w:r>
        <w:t xml:space="preserve"> APPEA Journal and Conference Proceedings.</w:t>
      </w:r>
    </w:p>
    <w:p w14:paraId="15B87189" w14:textId="77777777" w:rsidR="002D337D" w:rsidRDefault="00DA1389" w:rsidP="005D77D8">
      <w:pPr>
        <w:pStyle w:val="Body"/>
        <w:spacing w:afterLines="20" w:after="48" w:line="240" w:lineRule="auto"/>
        <w:ind w:left="567" w:hanging="567"/>
      </w:pPr>
      <w:r>
        <w:t>Strebelle S (2000) Sequential simulation drawing structures from training images</w:t>
      </w:r>
      <w:r w:rsidR="0014589E">
        <w:t xml:space="preserve">, PhD thesis, </w:t>
      </w:r>
      <w:r>
        <w:t xml:space="preserve">Stanford University, </w:t>
      </w:r>
      <w:r w:rsidR="0014589E">
        <w:t>Palo Alto</w:t>
      </w:r>
      <w:r>
        <w:t>, CA, USA.</w:t>
      </w:r>
    </w:p>
    <w:p w14:paraId="5FE840E7" w14:textId="77777777" w:rsidR="002D337D" w:rsidRDefault="00DA1389" w:rsidP="005D77D8">
      <w:pPr>
        <w:pStyle w:val="Body"/>
        <w:spacing w:afterLines="20" w:after="48" w:line="240" w:lineRule="auto"/>
        <w:ind w:left="567" w:hanging="567"/>
      </w:pPr>
      <w:r>
        <w:t>Strebelle S (2002) Conditional simulation of complex geological structures using multiple-point statistics</w:t>
      </w:r>
      <w:r w:rsidR="0014589E">
        <w:t>,</w:t>
      </w:r>
      <w:r>
        <w:t xml:space="preserve"> Mathematical Geology 34(1)</w:t>
      </w:r>
      <w:r w:rsidR="0014589E">
        <w:t>:</w:t>
      </w:r>
      <w:r>
        <w:t xml:space="preserve"> 1-21. </w:t>
      </w:r>
    </w:p>
    <w:p w14:paraId="6C0EB73B" w14:textId="77777777" w:rsidR="002D337D" w:rsidRDefault="00DA1389" w:rsidP="005D77D8">
      <w:pPr>
        <w:pStyle w:val="Body"/>
        <w:spacing w:afterLines="20" w:after="48" w:line="240" w:lineRule="auto"/>
        <w:ind w:left="567" w:hanging="567"/>
      </w:pPr>
      <w:r>
        <w:t>Schlumberger Water Services (2012) Namoi Catchment Water Study Independent Expert Final Study Report</w:t>
      </w:r>
      <w:r w:rsidR="0014589E">
        <w:t>,</w:t>
      </w:r>
      <w:r>
        <w:t xml:space="preserve"> Perth, Western Australia.</w:t>
      </w:r>
    </w:p>
    <w:p w14:paraId="141196DB" w14:textId="3546406F" w:rsidR="00254DF5" w:rsidRDefault="00254DF5" w:rsidP="00254DF5">
      <w:pPr>
        <w:pStyle w:val="Body"/>
        <w:spacing w:afterLines="20" w:after="48"/>
        <w:ind w:left="567" w:hanging="567"/>
      </w:pPr>
      <w:r>
        <w:t>Swiler LP, Paez PT, Mayes RL (2009). Epistemic Uncertainty Quantification Tutorial. Proceedings of the IMAC-XXVII. February 9-12, 2009 Orlando, Florida USA. Society for Experimental Mechanics Inc.: 17 pp.</w:t>
      </w:r>
    </w:p>
    <w:p w14:paraId="0B98400F" w14:textId="77777777" w:rsidR="002D337D" w:rsidRDefault="00DA1389" w:rsidP="005D77D8">
      <w:pPr>
        <w:pStyle w:val="Body"/>
        <w:spacing w:afterLines="20" w:after="48" w:line="240" w:lineRule="auto"/>
        <w:ind w:left="567" w:hanging="567"/>
      </w:pPr>
      <w:r>
        <w:t>Szymkiewicz A (2013) Upscaling from Darcy scale to field scale</w:t>
      </w:r>
      <w:r w:rsidR="0014589E">
        <w:t>,</w:t>
      </w:r>
      <w:r>
        <w:t xml:space="preserve"> </w:t>
      </w:r>
      <w:r w:rsidR="0014589E">
        <w:t xml:space="preserve">in: </w:t>
      </w:r>
      <w:r>
        <w:t>Modelling Water Flow in Unsaturated Porous Media</w:t>
      </w:r>
      <w:r w:rsidR="0014589E">
        <w:t>,</w:t>
      </w:r>
      <w:r>
        <w:t xml:space="preserve"> Springer, 139-175.</w:t>
      </w:r>
    </w:p>
    <w:p w14:paraId="6ADE2908" w14:textId="77777777" w:rsidR="002D337D" w:rsidRDefault="00DA1389" w:rsidP="005D77D8">
      <w:pPr>
        <w:pStyle w:val="Body"/>
        <w:spacing w:afterLines="20" w:after="48" w:line="240" w:lineRule="auto"/>
        <w:ind w:left="567" w:hanging="567"/>
      </w:pPr>
      <w:r>
        <w:t>Taylor AR, Pichler MM, Olifent V, Thompson J, Bestland EA, Davies PJ, Lamontagne S, Suckow AO, Robinson NI</w:t>
      </w:r>
      <w:r w:rsidR="0014589E">
        <w:t xml:space="preserve"> and </w:t>
      </w:r>
      <w:r>
        <w:t xml:space="preserve">Love A (2015) Groundwater </w:t>
      </w:r>
      <w:r w:rsidR="0014589E">
        <w:t>f</w:t>
      </w:r>
      <w:r>
        <w:t xml:space="preserve">low Systems of </w:t>
      </w:r>
      <w:r w:rsidR="0014589E">
        <w:t>n</w:t>
      </w:r>
      <w:r>
        <w:t xml:space="preserve">orth </w:t>
      </w:r>
      <w:r w:rsidR="0014589E">
        <w:t>e</w:t>
      </w:r>
      <w:r>
        <w:t xml:space="preserve">astern Eyre Peninsula: </w:t>
      </w:r>
      <w:r w:rsidR="0014589E">
        <w:t>A</w:t>
      </w:r>
      <w:r>
        <w:t xml:space="preserve"> multi-disciplinary approach: </w:t>
      </w:r>
      <w:r w:rsidR="0014589E">
        <w:t>H</w:t>
      </w:r>
      <w:r>
        <w:t>ydrogeology, geophysics and environmental tracers</w:t>
      </w:r>
      <w:r w:rsidR="0014589E">
        <w:t>,</w:t>
      </w:r>
      <w:r>
        <w:t xml:space="preserve"> Facilitating Long Term Outback Water Solutions ―Stage 2</w:t>
      </w:r>
      <w:r w:rsidR="0014589E">
        <w:t>,</w:t>
      </w:r>
      <w:r>
        <w:t xml:space="preserve"> Goyder Institute for Water Research</w:t>
      </w:r>
      <w:r w:rsidR="0014589E">
        <w:t>, Adelaide, South Australia</w:t>
      </w:r>
      <w:r>
        <w:t>.</w:t>
      </w:r>
    </w:p>
    <w:p w14:paraId="4DE847C9" w14:textId="6316C834" w:rsidR="00365C92" w:rsidRDefault="00365C92" w:rsidP="005D77D8">
      <w:pPr>
        <w:pStyle w:val="Body"/>
        <w:spacing w:afterLines="20" w:after="48" w:line="240" w:lineRule="auto"/>
        <w:ind w:left="567" w:hanging="567"/>
      </w:pPr>
      <w:r>
        <w:t>Tanikawa W and Shimamoto T (2006) Klinkenberg effect for gas permeability and its comparison to water permeability for porous sedimentary rocks. Hydrology and Earth System Sciences Discussion, 3: 1315-1338.</w:t>
      </w:r>
    </w:p>
    <w:p w14:paraId="67D910D7" w14:textId="77777777" w:rsidR="002D337D" w:rsidRDefault="00881A6F" w:rsidP="005D77D8">
      <w:pPr>
        <w:pStyle w:val="Body"/>
        <w:spacing w:afterLines="20" w:after="48" w:line="240" w:lineRule="auto"/>
        <w:ind w:left="567" w:hanging="567"/>
      </w:pPr>
      <w:r w:rsidRPr="00881A6F">
        <w:t>Teles</w:t>
      </w:r>
      <w:r>
        <w:t xml:space="preserve"> </w:t>
      </w:r>
      <w:r w:rsidRPr="00881A6F">
        <w:t>V</w:t>
      </w:r>
      <w:r>
        <w:t xml:space="preserve">, </w:t>
      </w:r>
      <w:r w:rsidRPr="00881A6F">
        <w:t>Fornel</w:t>
      </w:r>
      <w:r>
        <w:t xml:space="preserve"> </w:t>
      </w:r>
      <w:r w:rsidRPr="00881A6F">
        <w:t xml:space="preserve">A, Houel P, Delmas </w:t>
      </w:r>
      <w:r>
        <w:t>J</w:t>
      </w:r>
      <w:r w:rsidRPr="00881A6F">
        <w:t>, Mengus JM, Michel A</w:t>
      </w:r>
      <w:r w:rsidR="0014589E">
        <w:t xml:space="preserve"> and </w:t>
      </w:r>
      <w:r w:rsidRPr="00881A6F">
        <w:t xml:space="preserve">Maurand N (2014) Coupling </w:t>
      </w:r>
      <w:r w:rsidR="0014589E" w:rsidRPr="00881A6F">
        <w:t>basin and reservoir simulators for an improved co2 injection flow model</w:t>
      </w:r>
      <w:r>
        <w:t>,</w:t>
      </w:r>
      <w:r w:rsidRPr="00881A6F">
        <w:t xml:space="preserve"> Energy Procedia</w:t>
      </w:r>
      <w:r w:rsidR="0014589E">
        <w:t xml:space="preserve"> </w:t>
      </w:r>
      <w:r w:rsidRPr="00881A6F">
        <w:t>63</w:t>
      </w:r>
      <w:r w:rsidR="0014589E">
        <w:t>:</w:t>
      </w:r>
      <w:r w:rsidRPr="00881A6F">
        <w:t xml:space="preserve"> 3665-3675.</w:t>
      </w:r>
    </w:p>
    <w:p w14:paraId="0D67E88B" w14:textId="77777777" w:rsidR="002D337D" w:rsidRDefault="00DA1389" w:rsidP="005D77D8">
      <w:pPr>
        <w:pStyle w:val="Body"/>
        <w:spacing w:afterLines="20" w:after="48" w:line="240" w:lineRule="auto"/>
        <w:ind w:left="567" w:hanging="567"/>
      </w:pPr>
      <w:r>
        <w:t>TerHeege J, Wassing B, Orlic B, Giger S and Clennell M (2013) Constraints</w:t>
      </w:r>
      <w:r w:rsidR="0014589E">
        <w:t xml:space="preserve"> on the sealing capacity of faults with clay smears from discrete element models validated by laboratory experiments,</w:t>
      </w:r>
      <w:r>
        <w:t xml:space="preserve"> Rock Mechanics and Rock Engineering 46</w:t>
      </w:r>
      <w:r w:rsidR="0014589E">
        <w:t xml:space="preserve"> </w:t>
      </w:r>
      <w:r>
        <w:t>(3)</w:t>
      </w:r>
      <w:r w:rsidR="0014589E">
        <w:t>:</w:t>
      </w:r>
      <w:r>
        <w:t xml:space="preserve"> 465-478. </w:t>
      </w:r>
    </w:p>
    <w:p w14:paraId="6650C734" w14:textId="31783BF2" w:rsidR="002D337D" w:rsidRDefault="00B156EE" w:rsidP="005D77D8">
      <w:pPr>
        <w:pStyle w:val="Body"/>
        <w:spacing w:afterLines="20" w:after="48" w:line="240" w:lineRule="auto"/>
        <w:ind w:left="567" w:hanging="567"/>
      </w:pPr>
      <w:r w:rsidRPr="00B156EE">
        <w:t>Thararoop P, Karpyn ZT</w:t>
      </w:r>
      <w:r w:rsidR="0014589E">
        <w:t xml:space="preserve"> and </w:t>
      </w:r>
      <w:r w:rsidRPr="00B156EE">
        <w:t>Ertekin T (2012) Development of a multi-mechanistic, dual-porosity, dual-permeability, numerical flow model for coalbed methane reservoirs</w:t>
      </w:r>
      <w:r>
        <w:t>,</w:t>
      </w:r>
      <w:r w:rsidRPr="00B156EE">
        <w:t xml:space="preserve"> Journal of Natural Gas Science and Engineering 8</w:t>
      </w:r>
      <w:r w:rsidR="0014589E">
        <w:t>:</w:t>
      </w:r>
      <w:r w:rsidRPr="00B156EE">
        <w:t xml:space="preserve"> 121-131.</w:t>
      </w:r>
    </w:p>
    <w:p w14:paraId="43F70443" w14:textId="77777777" w:rsidR="002D337D" w:rsidRDefault="00DA1389" w:rsidP="005D77D8">
      <w:pPr>
        <w:pStyle w:val="Body"/>
        <w:spacing w:afterLines="20" w:after="48" w:line="240" w:lineRule="auto"/>
        <w:ind w:left="567" w:hanging="567"/>
      </w:pPr>
      <w:r>
        <w:t>Theis C (1935) The relation between the lowering of the piezometric surface and the rate and duration of discharge of a well using ground water storage</w:t>
      </w:r>
      <w:r w:rsidR="0014589E">
        <w:t xml:space="preserve">, EoS: </w:t>
      </w:r>
      <w:r>
        <w:t>Transactions</w:t>
      </w:r>
      <w:r w:rsidR="0014589E">
        <w:t xml:space="preserve"> of the </w:t>
      </w:r>
      <w:r>
        <w:t>American Geophysical Union 16</w:t>
      </w:r>
      <w:r w:rsidR="0014589E">
        <w:t>:</w:t>
      </w:r>
      <w:r>
        <w:t xml:space="preserve"> 519-524. </w:t>
      </w:r>
    </w:p>
    <w:p w14:paraId="766B472B" w14:textId="77777777" w:rsidR="002D337D" w:rsidRDefault="00DA1389" w:rsidP="005D77D8">
      <w:pPr>
        <w:pStyle w:val="Body"/>
        <w:spacing w:afterLines="20" w:after="48" w:line="240" w:lineRule="auto"/>
        <w:ind w:left="567" w:hanging="567"/>
      </w:pPr>
      <w:r>
        <w:t>Therrien R and Sudicky E (1996) Three-dimensional analysis of variably-saturated flow and solute transport in discretely-fractured porous media</w:t>
      </w:r>
      <w:r w:rsidR="00FE7263">
        <w:t>,</w:t>
      </w:r>
      <w:r>
        <w:t xml:space="preserve"> Journal of Contaminant Hydrology 23(1-2)</w:t>
      </w:r>
      <w:r w:rsidR="00FE7263">
        <w:t>:</w:t>
      </w:r>
      <w:r>
        <w:t xml:space="preserve"> 1-44. </w:t>
      </w:r>
    </w:p>
    <w:p w14:paraId="0C962BBE" w14:textId="77777777" w:rsidR="002D337D" w:rsidRDefault="00DA1389" w:rsidP="005D77D8">
      <w:pPr>
        <w:pStyle w:val="Body"/>
        <w:spacing w:afterLines="20" w:after="48" w:line="240" w:lineRule="auto"/>
        <w:ind w:left="567" w:hanging="567"/>
      </w:pPr>
      <w:r>
        <w:t>Timms WA, Crane R, Anderson DJ, Bouzalakos S, Whelan M, McGeeney D, Rahman PF, Guinea A and Acworth RI (2015) Accelerated gravity testing of aquitard core permeability and implications at formation and regional scale</w:t>
      </w:r>
      <w:r w:rsidR="00FE7263">
        <w:t xml:space="preserve">, </w:t>
      </w:r>
      <w:r w:rsidR="00FE7263" w:rsidRPr="00FE7263">
        <w:t>Hydrology and Earth System Sciences</w:t>
      </w:r>
      <w:r w:rsidR="00FE7263">
        <w:t xml:space="preserve"> </w:t>
      </w:r>
      <w:r>
        <w:t>Discuss</w:t>
      </w:r>
      <w:r w:rsidR="00FE7263">
        <w:t xml:space="preserve">ions </w:t>
      </w:r>
      <w:r>
        <w:t>12</w:t>
      </w:r>
      <w:r w:rsidR="00FE7263">
        <w:t>:</w:t>
      </w:r>
      <w:r>
        <w:t xml:space="preserve"> 2799–2841</w:t>
      </w:r>
      <w:r w:rsidR="00FE7263">
        <w:t>.</w:t>
      </w:r>
    </w:p>
    <w:p w14:paraId="41901547" w14:textId="1280EB56" w:rsidR="009B7911" w:rsidRDefault="009B7911" w:rsidP="009B7911">
      <w:pPr>
        <w:pStyle w:val="Body"/>
        <w:spacing w:afterLines="20" w:after="48" w:line="240" w:lineRule="auto"/>
        <w:ind w:left="567" w:hanging="567"/>
      </w:pPr>
      <w:r w:rsidRPr="00A45100">
        <w:t>Tonkin M and Doherty J</w:t>
      </w:r>
      <w:r>
        <w:t>E</w:t>
      </w:r>
      <w:r w:rsidRPr="00A45100">
        <w:t xml:space="preserve"> </w:t>
      </w:r>
      <w:r>
        <w:t>(</w:t>
      </w:r>
      <w:r w:rsidRPr="00A45100">
        <w:t>2009</w:t>
      </w:r>
      <w:r>
        <w:t>)</w:t>
      </w:r>
      <w:r w:rsidRPr="00A45100">
        <w:t xml:space="preserve"> Calibration-constrained Monte Carlo analysis of highly</w:t>
      </w:r>
      <w:r>
        <w:t xml:space="preserve"> </w:t>
      </w:r>
      <w:r w:rsidRPr="00A45100">
        <w:t>parameterized models using subspace techniques. Water Resources Research 45, WOOB10,</w:t>
      </w:r>
      <w:r>
        <w:t xml:space="preserve"> </w:t>
      </w:r>
      <w:r w:rsidRPr="00A45100">
        <w:t>doi:10.1029/2007WR006678.</w:t>
      </w:r>
    </w:p>
    <w:p w14:paraId="7818D9E2" w14:textId="77777777" w:rsidR="002D337D" w:rsidRDefault="00DA1389" w:rsidP="005D77D8">
      <w:pPr>
        <w:pStyle w:val="Body"/>
        <w:spacing w:afterLines="20" w:after="48" w:line="240" w:lineRule="auto"/>
        <w:ind w:left="567" w:hanging="567"/>
      </w:pPr>
      <w:r>
        <w:t>Torabi A and Berg S (2011) Scaling of fault attributes: A review</w:t>
      </w:r>
      <w:r w:rsidR="00FE7263">
        <w:t>,</w:t>
      </w:r>
      <w:r>
        <w:t xml:space="preserve"> Marine and Petroleum Geology 28(8)</w:t>
      </w:r>
      <w:r w:rsidR="00FE7263">
        <w:t>:</w:t>
      </w:r>
      <w:r>
        <w:t xml:space="preserve"> 1444-1460. </w:t>
      </w:r>
    </w:p>
    <w:p w14:paraId="6C6BA657" w14:textId="77777777" w:rsidR="002D337D" w:rsidRDefault="00DA1389" w:rsidP="005D77D8">
      <w:pPr>
        <w:pStyle w:val="Body"/>
        <w:spacing w:afterLines="20" w:after="48" w:line="240" w:lineRule="auto"/>
        <w:ind w:left="567" w:hanging="567"/>
      </w:pPr>
      <w:r>
        <w:t>Tran T (1996) The ‘missing scale’ and direct simulation of block effective properties</w:t>
      </w:r>
      <w:r w:rsidR="00FE7263">
        <w:t>,</w:t>
      </w:r>
      <w:r>
        <w:t xml:space="preserve"> Journal of Hydrology 183: 37-56.</w:t>
      </w:r>
    </w:p>
    <w:p w14:paraId="061DCAC6" w14:textId="7BFB83F6" w:rsidR="00EB2DA4" w:rsidRDefault="00EB2DA4" w:rsidP="005D77D8">
      <w:pPr>
        <w:pStyle w:val="Body"/>
        <w:spacing w:afterLines="20" w:after="48" w:line="240" w:lineRule="auto"/>
        <w:ind w:left="567" w:hanging="567"/>
      </w:pPr>
      <w:r w:rsidRPr="00A45100">
        <w:t xml:space="preserve">Trinchero </w:t>
      </w:r>
      <w:r w:rsidRPr="00EB2DA4">
        <w:t>P</w:t>
      </w:r>
      <w:r>
        <w:t xml:space="preserve">, </w:t>
      </w:r>
      <w:r w:rsidRPr="00EB2DA4">
        <w:t>Sanchez-Vila X</w:t>
      </w:r>
      <w:r>
        <w:t xml:space="preserve">, </w:t>
      </w:r>
      <w:r w:rsidRPr="00EB2DA4">
        <w:t>Fernandez-Garcia D</w:t>
      </w:r>
      <w:r>
        <w:t>, (</w:t>
      </w:r>
      <w:r w:rsidRPr="00A45100">
        <w:t>2008)  Point to point connectivity, an abstract concept of a key issue for risk assessment studies? Advances in water resources 31. 1742-1753.</w:t>
      </w:r>
    </w:p>
    <w:p w14:paraId="0B003A2E" w14:textId="75229275" w:rsidR="00DC1DD0" w:rsidRDefault="00DC1DD0" w:rsidP="00DC1DD0">
      <w:pPr>
        <w:pStyle w:val="Body"/>
        <w:spacing w:afterLines="20" w:after="48" w:line="240" w:lineRule="auto"/>
        <w:ind w:left="567" w:hanging="567"/>
      </w:pPr>
      <w:r w:rsidRPr="00A45100">
        <w:t>Troldborg L, Refsgaard JC, Jensen KH, Engesgaard P</w:t>
      </w:r>
      <w:r>
        <w:t xml:space="preserve"> (2007)</w:t>
      </w:r>
      <w:r w:rsidRPr="00A45100">
        <w:t xml:space="preserve"> The importance of alternative conceptual models for simulation of concentrations in multiaquifer</w:t>
      </w:r>
      <w:r>
        <w:t xml:space="preserve"> </w:t>
      </w:r>
      <w:r w:rsidRPr="00A45100">
        <w:t>system. Hydrogeol</w:t>
      </w:r>
      <w:r>
        <w:t>ogy</w:t>
      </w:r>
      <w:r w:rsidRPr="00A45100">
        <w:t xml:space="preserve"> J</w:t>
      </w:r>
      <w:r>
        <w:t xml:space="preserve">ournal </w:t>
      </w:r>
      <w:r w:rsidRPr="00A45100">
        <w:t>15:843–60.</w:t>
      </w:r>
    </w:p>
    <w:p w14:paraId="78D93F87" w14:textId="77777777" w:rsidR="002D337D" w:rsidRDefault="00DA1389" w:rsidP="005D77D8">
      <w:pPr>
        <w:pStyle w:val="Body"/>
        <w:spacing w:afterLines="20" w:after="48" w:line="240" w:lineRule="auto"/>
        <w:ind w:left="567" w:hanging="567"/>
      </w:pPr>
      <w:r>
        <w:t>Turnadge C and Smerdon BD (2014) A review of methods for modelling environmental tracers in groundwater: Advantages of tracer concentration simulation</w:t>
      </w:r>
      <w:r w:rsidR="00FE7263">
        <w:t>,</w:t>
      </w:r>
      <w:r>
        <w:t xml:space="preserve"> Journal of Hydrology 519</w:t>
      </w:r>
      <w:r w:rsidR="00FE7263">
        <w:t>:</w:t>
      </w:r>
      <w:r>
        <w:t xml:space="preserve"> 3674-3689. </w:t>
      </w:r>
    </w:p>
    <w:p w14:paraId="41671BD9" w14:textId="666B5269" w:rsidR="002D337D" w:rsidRDefault="00DA1389" w:rsidP="005D77D8">
      <w:pPr>
        <w:pStyle w:val="Body"/>
        <w:spacing w:afterLines="20" w:after="48" w:line="240" w:lineRule="auto"/>
        <w:ind w:left="567" w:hanging="567"/>
      </w:pPr>
      <w:r>
        <w:t>Underschultz J, Esterle J, and Strand J (201</w:t>
      </w:r>
      <w:r w:rsidR="00B25047">
        <w:t>8</w:t>
      </w:r>
      <w:r>
        <w:t>) Conceptual representation of fluid flow conditions associated with faults in sedimentary basins</w:t>
      </w:r>
      <w:r w:rsidR="00FE7263">
        <w:t>, report p</w:t>
      </w:r>
      <w:r>
        <w:t>repared for the Office of Water Science (OWS), Canberra</w:t>
      </w:r>
      <w:r w:rsidR="00FE7263">
        <w:t>, Australian Capital Territory</w:t>
      </w:r>
      <w:r>
        <w:t>.</w:t>
      </w:r>
    </w:p>
    <w:p w14:paraId="2BA42CC6" w14:textId="77777777" w:rsidR="002D337D" w:rsidRDefault="00DA1389" w:rsidP="005D77D8">
      <w:pPr>
        <w:pStyle w:val="Body"/>
        <w:spacing w:afterLines="20" w:after="48" w:line="240" w:lineRule="auto"/>
        <w:ind w:left="567" w:hanging="567"/>
      </w:pPr>
      <w:r>
        <w:t>United States Environmental Protection Agency (2003a) Use of airborne, borehole and surface geophysical techniques at contaminated sites</w:t>
      </w:r>
      <w:r w:rsidR="00FE7263">
        <w:t>:</w:t>
      </w:r>
      <w:r>
        <w:t xml:space="preserve"> A reference guide</w:t>
      </w:r>
      <w:r w:rsidR="00FE7263">
        <w:t>, report no.</w:t>
      </w:r>
      <w:r>
        <w:t xml:space="preserve"> EPA/625/R-92/007.</w:t>
      </w:r>
    </w:p>
    <w:p w14:paraId="545672B5" w14:textId="77777777" w:rsidR="002D337D" w:rsidRDefault="00DA1389" w:rsidP="005D77D8">
      <w:pPr>
        <w:pStyle w:val="Body"/>
        <w:spacing w:afterLines="20" w:after="48" w:line="240" w:lineRule="auto"/>
        <w:ind w:left="567" w:hanging="567"/>
      </w:pPr>
      <w:r>
        <w:t>United States Environmental Protection Agency (2003b) Subsurface characterisation and monitoring techniques</w:t>
      </w:r>
      <w:r w:rsidR="00FE7263">
        <w:t>:</w:t>
      </w:r>
      <w:r>
        <w:t xml:space="preserve"> A desk reference guide</w:t>
      </w:r>
      <w:r w:rsidR="00FE7263">
        <w:t>:</w:t>
      </w:r>
      <w:r>
        <w:t xml:space="preserve"> Volume I: Solids and Groundwater, Appendices A and B</w:t>
      </w:r>
      <w:r w:rsidR="00FE7263">
        <w:t xml:space="preserve">, report no. </w:t>
      </w:r>
      <w:r>
        <w:t>EPA625/R-93/003a.</w:t>
      </w:r>
    </w:p>
    <w:p w14:paraId="137B6E3C" w14:textId="77777777" w:rsidR="002D337D" w:rsidRDefault="00DA1389" w:rsidP="005D77D8">
      <w:pPr>
        <w:pStyle w:val="Body"/>
        <w:spacing w:afterLines="20" w:after="48" w:line="240" w:lineRule="auto"/>
        <w:ind w:left="567" w:hanging="567"/>
      </w:pPr>
      <w:r>
        <w:t>United States Environmental Protection Agency (2009) Statistical analysis of groundwater monitoring dat</w:t>
      </w:r>
      <w:r w:rsidR="00FE7263">
        <w:t>a</w:t>
      </w:r>
      <w:r>
        <w:t xml:space="preserve"> at RCRA facilities – Unified Guidance</w:t>
      </w:r>
      <w:r w:rsidR="00FE7263">
        <w:t>, report no</w:t>
      </w:r>
      <w:r>
        <w:t>. EPA 530/R-09-007.</w:t>
      </w:r>
    </w:p>
    <w:p w14:paraId="0140BD88" w14:textId="64089385" w:rsidR="002D337D" w:rsidRDefault="00E54883" w:rsidP="005D77D8">
      <w:pPr>
        <w:pStyle w:val="Body"/>
        <w:spacing w:afterLines="20" w:after="48" w:line="240" w:lineRule="auto"/>
        <w:ind w:left="567" w:hanging="567"/>
      </w:pPr>
      <w:r>
        <w:t>University of British Columbia (2015) The Reactive Transport Code MIN3P: Multicomponent reactive transport modeling in variably saturated porous media, URL=&lt;</w:t>
      </w:r>
      <w:r w:rsidRPr="00E54883">
        <w:t>http://www.eos.ubc.ca/research/hydro/research/min3p/reactive_tran_web.htm</w:t>
      </w:r>
      <w:r>
        <w:t>&gt;, viewed 16 November 2015.</w:t>
      </w:r>
    </w:p>
    <w:p w14:paraId="2BB3B3B1" w14:textId="77777777" w:rsidR="002D337D" w:rsidRDefault="00DA1389" w:rsidP="005D77D8">
      <w:pPr>
        <w:pStyle w:val="Body"/>
        <w:spacing w:afterLines="20" w:after="48" w:line="240" w:lineRule="auto"/>
        <w:ind w:left="567" w:hanging="567"/>
      </w:pPr>
      <w:r>
        <w:t xml:space="preserve">University of Southern Queensland (2011) Preliminary </w:t>
      </w:r>
      <w:r w:rsidR="00FE7263">
        <w:t xml:space="preserve">assessment of cumulative drawdown impacts in </w:t>
      </w:r>
      <w:r>
        <w:t xml:space="preserve">the Surat </w:t>
      </w:r>
      <w:r w:rsidR="00FE7263">
        <w:t>B</w:t>
      </w:r>
      <w:r>
        <w:t xml:space="preserve">asin </w:t>
      </w:r>
      <w:r w:rsidR="00FE7263">
        <w:t>a</w:t>
      </w:r>
      <w:r>
        <w:t xml:space="preserve">ssociated with the </w:t>
      </w:r>
      <w:r w:rsidR="00FE7263">
        <w:t>coal seam gas industry</w:t>
      </w:r>
      <w:r>
        <w:t xml:space="preserve">: Investigation of parameters and features for a regional model of Surat Basin </w:t>
      </w:r>
      <w:r w:rsidR="00FE7263">
        <w:t>coal seam gas developments,</w:t>
      </w:r>
      <w:r>
        <w:t xml:space="preserve"> Toowoomba, Queensland.</w:t>
      </w:r>
    </w:p>
    <w:p w14:paraId="28016A5D" w14:textId="77777777" w:rsidR="002D337D" w:rsidRDefault="00DA1389" w:rsidP="005D77D8">
      <w:pPr>
        <w:pStyle w:val="Body"/>
        <w:spacing w:afterLines="20" w:after="48" w:line="240" w:lineRule="auto"/>
        <w:ind w:left="567" w:hanging="567"/>
      </w:pPr>
      <w:r>
        <w:t>Van der Baan M and Jutten C (2000) Neural networks in geophysical applications</w:t>
      </w:r>
      <w:r w:rsidR="00FE7263">
        <w:t>,</w:t>
      </w:r>
      <w:r>
        <w:t xml:space="preserve"> Geophysics 65(4)</w:t>
      </w:r>
      <w:r w:rsidR="00FE7263">
        <w:t>:</w:t>
      </w:r>
      <w:r>
        <w:t xml:space="preserve"> 1032-1047. </w:t>
      </w:r>
    </w:p>
    <w:p w14:paraId="595A47B0" w14:textId="77777777" w:rsidR="002D337D" w:rsidRDefault="00DA1389" w:rsidP="005D77D8">
      <w:pPr>
        <w:pStyle w:val="Body"/>
        <w:spacing w:afterLines="20" w:after="48" w:line="240" w:lineRule="auto"/>
        <w:ind w:left="567" w:hanging="567"/>
      </w:pPr>
      <w:r>
        <w:t>van der Kamp G (2001) Methods for determining the in situ hydraulic conductivity of shallow aquitards–</w:t>
      </w:r>
      <w:r w:rsidR="00FE7263">
        <w:t xml:space="preserve">An </w:t>
      </w:r>
      <w:r>
        <w:t>overview</w:t>
      </w:r>
      <w:r w:rsidR="00FE7263">
        <w:t>,</w:t>
      </w:r>
      <w:r>
        <w:t xml:space="preserve"> Hydrogeology Journal 9(1)</w:t>
      </w:r>
      <w:r w:rsidR="00FE7263">
        <w:t>:</w:t>
      </w:r>
      <w:r>
        <w:t xml:space="preserve"> 5-16. </w:t>
      </w:r>
    </w:p>
    <w:p w14:paraId="777D2195" w14:textId="77777777" w:rsidR="002D337D" w:rsidRDefault="00DA1389" w:rsidP="005D77D8">
      <w:pPr>
        <w:pStyle w:val="Body"/>
        <w:spacing w:afterLines="20" w:after="48" w:line="240" w:lineRule="auto"/>
        <w:ind w:left="567" w:hanging="567"/>
      </w:pPr>
      <w:r>
        <w:t xml:space="preserve">van der Schalie R, Parinussa RM, Renzullo LJ, van Dijk AIJM, Su CH and de Jeu RAM (2015) SMOS soil moisture retrievals using the Land Parameter Retrieval Model: </w:t>
      </w:r>
      <w:r w:rsidR="00FE7263">
        <w:t>E</w:t>
      </w:r>
      <w:r>
        <w:t>valuation over the Murrumbidgee Catchment, southeast Australia, Remote Sensing of the Environment</w:t>
      </w:r>
      <w:r w:rsidR="00FE7263">
        <w:t xml:space="preserve"> 163:</w:t>
      </w:r>
      <w:r w:rsidR="00FE7263" w:rsidRPr="00FE7263">
        <w:t xml:space="preserve"> 70-79</w:t>
      </w:r>
      <w:r w:rsidR="00FE7263">
        <w:t>.</w:t>
      </w:r>
    </w:p>
    <w:p w14:paraId="167E5634" w14:textId="77777777" w:rsidR="002D337D" w:rsidRDefault="00DA1389" w:rsidP="005D77D8">
      <w:pPr>
        <w:pStyle w:val="Body"/>
        <w:spacing w:afterLines="20" w:after="48" w:line="240" w:lineRule="auto"/>
        <w:ind w:left="567" w:hanging="567"/>
      </w:pPr>
      <w:r>
        <w:t>van Genuchten MT (1980) A closed-form equation for predicting the hydraulic conductivity of unsaturated soils</w:t>
      </w:r>
      <w:r w:rsidR="00FE7263">
        <w:t>,</w:t>
      </w:r>
      <w:r>
        <w:t xml:space="preserve"> Soil </w:t>
      </w:r>
      <w:r w:rsidR="00FE7263">
        <w:t>S</w:t>
      </w:r>
      <w:r>
        <w:t xml:space="preserve">cience </w:t>
      </w:r>
      <w:r w:rsidR="00FE7263">
        <w:t>S</w:t>
      </w:r>
      <w:r>
        <w:t xml:space="preserve">ociety of America </w:t>
      </w:r>
      <w:r w:rsidR="00FE7263">
        <w:t>J</w:t>
      </w:r>
      <w:r>
        <w:t>ournal 44(5)</w:t>
      </w:r>
      <w:r w:rsidR="00FE7263">
        <w:t>:</w:t>
      </w:r>
      <w:r>
        <w:t xml:space="preserve"> 892-898. </w:t>
      </w:r>
    </w:p>
    <w:p w14:paraId="07BDD326" w14:textId="77777777" w:rsidR="002D337D" w:rsidRDefault="00DA1389" w:rsidP="005D77D8">
      <w:pPr>
        <w:pStyle w:val="Body"/>
        <w:spacing w:afterLines="20" w:after="48" w:line="240" w:lineRule="auto"/>
        <w:ind w:left="567" w:hanging="567"/>
      </w:pPr>
      <w:r>
        <w:t>Varljen MD and Shafer JM (1991) Assessment of uncertainty in time-related capture zones using conditional simulation of hydraulic conductivity</w:t>
      </w:r>
      <w:r w:rsidR="00FE7263">
        <w:t>,</w:t>
      </w:r>
      <w:r>
        <w:t xml:space="preserve"> Ground</w:t>
      </w:r>
      <w:r w:rsidR="00F05DAB">
        <w:t xml:space="preserve"> W</w:t>
      </w:r>
      <w:r>
        <w:t>ater 29(5): 737-748.</w:t>
      </w:r>
    </w:p>
    <w:p w14:paraId="185A0C82" w14:textId="77777777" w:rsidR="002D337D" w:rsidRDefault="00DA1389" w:rsidP="005D77D8">
      <w:pPr>
        <w:pStyle w:val="Body"/>
        <w:spacing w:afterLines="20" w:after="48" w:line="240" w:lineRule="auto"/>
        <w:ind w:left="567" w:hanging="567"/>
      </w:pPr>
      <w:r>
        <w:t>Varma S and Michael K (2012) Impact of multi-purpose aquifer utilisation on a variable-density groundwater flow system in the Gippsland Basin, Australia</w:t>
      </w:r>
      <w:r w:rsidR="00FE7263">
        <w:t>,</w:t>
      </w:r>
      <w:r>
        <w:t xml:space="preserve"> Hydrogeology Journal 20(1)</w:t>
      </w:r>
      <w:r w:rsidR="00FE7263">
        <w:t>:</w:t>
      </w:r>
      <w:r>
        <w:t xml:space="preserve"> 119-134. </w:t>
      </w:r>
    </w:p>
    <w:p w14:paraId="1D20624B" w14:textId="4DBC698A" w:rsidR="00A6180F" w:rsidRDefault="00A6180F" w:rsidP="00A45100">
      <w:pPr>
        <w:pStyle w:val="Body"/>
        <w:spacing w:afterLines="20" w:after="48" w:line="240" w:lineRule="auto"/>
        <w:ind w:left="567" w:hanging="567"/>
      </w:pPr>
      <w:r>
        <w:t>Venkataramanan</w:t>
      </w:r>
      <w:r w:rsidRPr="00A6180F">
        <w:t xml:space="preserve"> </w:t>
      </w:r>
      <w:r>
        <w:t xml:space="preserve">L, </w:t>
      </w:r>
      <w:r w:rsidRPr="00A45100">
        <w:t>Hürlimann</w:t>
      </w:r>
      <w:r>
        <w:t xml:space="preserve"> MD, Tarvin JA, Fellah K, Acero-Allard D, and Seleznev NV (2014). Experimental Study of the Effects of Wettability and Fluid Saturation on Nuclear Magnetic Resonance and Dielectric Measurements in Limestone. Petrophysics 55: 572–586.</w:t>
      </w:r>
    </w:p>
    <w:p w14:paraId="519E9770" w14:textId="77777777" w:rsidR="002D337D" w:rsidRDefault="00DA1389" w:rsidP="005D77D8">
      <w:pPr>
        <w:pStyle w:val="Body"/>
        <w:spacing w:afterLines="20" w:after="48" w:line="240" w:lineRule="auto"/>
        <w:ind w:left="567" w:hanging="567"/>
      </w:pPr>
      <w:r>
        <w:t xml:space="preserve">Vereecken H, Binley A, Cassiani G, Revil A and Titov K (2006) Applied </w:t>
      </w:r>
      <w:r w:rsidR="00FE7263">
        <w:t>H</w:t>
      </w:r>
      <w:r>
        <w:t>ydrogeophysics</w:t>
      </w:r>
      <w:r w:rsidR="00FE7263">
        <w:t>,</w:t>
      </w:r>
      <w:r>
        <w:t xml:space="preserve"> Springer.</w:t>
      </w:r>
    </w:p>
    <w:p w14:paraId="4C249714" w14:textId="77777777" w:rsidR="002D337D" w:rsidRDefault="00DA1389" w:rsidP="005D77D8">
      <w:pPr>
        <w:pStyle w:val="Body"/>
        <w:spacing w:afterLines="20" w:after="48" w:line="240" w:lineRule="auto"/>
        <w:ind w:left="567" w:hanging="567"/>
      </w:pPr>
      <w:r>
        <w:t>Vermilye JM and Scholz CH (1998) The process zone: A microstructural view of fault growth</w:t>
      </w:r>
      <w:r w:rsidR="00FE7263">
        <w:t>,</w:t>
      </w:r>
      <w:r>
        <w:t xml:space="preserve"> Journal of Geophysical Research: Solid Earth (1978–2012) 103(B6)</w:t>
      </w:r>
      <w:r w:rsidR="00FE7263">
        <w:t>:</w:t>
      </w:r>
      <w:r>
        <w:t xml:space="preserve"> 12223-12237. </w:t>
      </w:r>
    </w:p>
    <w:p w14:paraId="32C4A99E" w14:textId="77777777" w:rsidR="002D337D" w:rsidRDefault="00DA1389" w:rsidP="005D77D8">
      <w:pPr>
        <w:pStyle w:val="Body"/>
        <w:spacing w:afterLines="20" w:after="48" w:line="240" w:lineRule="auto"/>
        <w:ind w:left="567" w:hanging="567"/>
      </w:pPr>
      <w:r>
        <w:t>Vidstrand P (2001) Comparison of upscaling methods to estimate hydraulic conductivity</w:t>
      </w:r>
      <w:r w:rsidR="00FE7263">
        <w:t>,</w:t>
      </w:r>
      <w:r>
        <w:t xml:space="preserve"> Ground Water 39(3)</w:t>
      </w:r>
      <w:r w:rsidR="00FE7263">
        <w:t>:</w:t>
      </w:r>
      <w:r>
        <w:t xml:space="preserve"> 401-407. </w:t>
      </w:r>
    </w:p>
    <w:p w14:paraId="3DABD396" w14:textId="77777777" w:rsidR="002D337D" w:rsidRDefault="00DA1389" w:rsidP="005D77D8">
      <w:pPr>
        <w:pStyle w:val="Body"/>
        <w:spacing w:afterLines="20" w:after="48" w:line="240" w:lineRule="auto"/>
        <w:ind w:left="567" w:hanging="567"/>
      </w:pPr>
      <w:r>
        <w:t>Vienken T and Dietrich P (2011) Field evaluation of methods for determining hydraulic conductivity from grain size data</w:t>
      </w:r>
      <w:r w:rsidR="00FE7263">
        <w:t>,</w:t>
      </w:r>
      <w:r>
        <w:t xml:space="preserve"> Journal of Hydrology 400(1)</w:t>
      </w:r>
      <w:r w:rsidR="00FE7263">
        <w:t>:</w:t>
      </w:r>
      <w:r>
        <w:t xml:space="preserve"> 58-71. </w:t>
      </w:r>
    </w:p>
    <w:p w14:paraId="03E0FC62" w14:textId="77777777" w:rsidR="002D337D" w:rsidRDefault="00881A6F" w:rsidP="005D77D8">
      <w:pPr>
        <w:pStyle w:val="Body"/>
        <w:spacing w:afterLines="20" w:after="48" w:line="240" w:lineRule="auto"/>
        <w:ind w:left="567" w:hanging="567"/>
      </w:pPr>
      <w:r>
        <w:t>Vilarrasa V, Olivella S, Silva O, Carrera J (2012) Numerical simulation of non-isothermal CO</w:t>
      </w:r>
      <w:r w:rsidRPr="00881A6F">
        <w:rPr>
          <w:vertAlign w:val="subscript"/>
        </w:rPr>
        <w:t>2</w:t>
      </w:r>
      <w:r>
        <w:t xml:space="preserve"> injection using the thermo-hydro-mechanical code CODE_BRIGHT, in:</w:t>
      </w:r>
      <w:r w:rsidRPr="00881A6F">
        <w:t xml:space="preserve"> EGU General Assembly Conference Abstracts (</w:t>
      </w:r>
      <w:r>
        <w:t>v</w:t>
      </w:r>
      <w:r w:rsidRPr="00881A6F">
        <w:t>ol. 14, p. 759).</w:t>
      </w:r>
    </w:p>
    <w:p w14:paraId="693EFBBD" w14:textId="77777777" w:rsidR="002D337D" w:rsidRDefault="00DA1389" w:rsidP="005D77D8">
      <w:pPr>
        <w:pStyle w:val="Body"/>
        <w:spacing w:afterLines="20" w:after="48" w:line="240" w:lineRule="auto"/>
        <w:ind w:left="567" w:hanging="567"/>
      </w:pPr>
      <w:r>
        <w:t xml:space="preserve">Wackernagel H (2003) Multivariate </w:t>
      </w:r>
      <w:r w:rsidR="00FE7263">
        <w:t>G</w:t>
      </w:r>
      <w:r>
        <w:t>eostatistics</w:t>
      </w:r>
      <w:r w:rsidR="00FE7263">
        <w:t>,</w:t>
      </w:r>
      <w:r>
        <w:t xml:space="preserve"> Springer Science </w:t>
      </w:r>
      <w:r w:rsidR="00FE7263">
        <w:t xml:space="preserve">and </w:t>
      </w:r>
      <w:r>
        <w:t>Business Media.</w:t>
      </w:r>
    </w:p>
    <w:p w14:paraId="44CB5B4D" w14:textId="56380F3C" w:rsidR="00195190" w:rsidRDefault="00195190" w:rsidP="00195190">
      <w:pPr>
        <w:pStyle w:val="Body"/>
        <w:spacing w:afterLines="20" w:after="48"/>
        <w:ind w:left="567" w:hanging="567"/>
      </w:pPr>
      <w:r>
        <w:t>Wallis I, Moore C, Post V, Wolf L, Martens E, Prommer H (2014). Using predictive uncertainty analysis to optimise tracer test design and data acquisition. Journal of Hydrology 515: 191–204.</w:t>
      </w:r>
    </w:p>
    <w:p w14:paraId="631E2029" w14:textId="487A6C25" w:rsidR="00195190" w:rsidRDefault="00195190" w:rsidP="00195190">
      <w:pPr>
        <w:pStyle w:val="Body"/>
        <w:spacing w:afterLines="20" w:after="48" w:line="240" w:lineRule="auto"/>
        <w:ind w:left="567" w:hanging="567"/>
      </w:pPr>
      <w:r>
        <w:tab/>
      </w:r>
    </w:p>
    <w:p w14:paraId="304C6E15" w14:textId="77777777" w:rsidR="002D337D" w:rsidRDefault="00DA1389" w:rsidP="005D77D8">
      <w:pPr>
        <w:pStyle w:val="Body"/>
        <w:spacing w:afterLines="20" w:after="48" w:line="240" w:lineRule="auto"/>
        <w:ind w:left="567" w:hanging="567"/>
      </w:pPr>
      <w:r>
        <w:t>Wang K, Wang G, Ren T and Cheng Y (2014) Methane and CO</w:t>
      </w:r>
      <w:r w:rsidRPr="00BC10F2">
        <w:rPr>
          <w:vertAlign w:val="subscript"/>
        </w:rPr>
        <w:t>2</w:t>
      </w:r>
      <w:r>
        <w:t xml:space="preserve"> sorption hysteresis on coal: A critical review</w:t>
      </w:r>
      <w:r w:rsidR="00FE7263">
        <w:t>,</w:t>
      </w:r>
      <w:r>
        <w:t xml:space="preserve"> International Journal of Coal Geology 132</w:t>
      </w:r>
      <w:r w:rsidR="00FE7263">
        <w:t>:</w:t>
      </w:r>
      <w:r>
        <w:t xml:space="preserve"> 60-80. </w:t>
      </w:r>
    </w:p>
    <w:p w14:paraId="7F27EF18" w14:textId="77777777" w:rsidR="002D337D" w:rsidRDefault="00DA1389" w:rsidP="005D77D8">
      <w:pPr>
        <w:pStyle w:val="Body"/>
        <w:spacing w:afterLines="20" w:after="48" w:line="240" w:lineRule="auto"/>
        <w:ind w:left="567" w:hanging="567"/>
      </w:pPr>
      <w:r>
        <w:t>Warren J and Price H (1961) Flow in heterogeneous porous media</w:t>
      </w:r>
      <w:r w:rsidR="00FE7263">
        <w:t>,</w:t>
      </w:r>
      <w:r>
        <w:t xml:space="preserve"> Society of Petroleum Engineers Journal 1(3)</w:t>
      </w:r>
      <w:r w:rsidR="00FE7263">
        <w:t>:</w:t>
      </w:r>
      <w:r>
        <w:t xml:space="preserve"> 153-169. </w:t>
      </w:r>
    </w:p>
    <w:p w14:paraId="3A0C7942" w14:textId="77777777" w:rsidR="002D337D" w:rsidRDefault="007B078F" w:rsidP="005D77D8">
      <w:pPr>
        <w:pStyle w:val="Body"/>
        <w:spacing w:afterLines="20" w:after="48" w:line="240" w:lineRule="auto"/>
        <w:ind w:left="567" w:hanging="567"/>
      </w:pPr>
      <w:r w:rsidRPr="007B078F">
        <w:t>Watanabe N, Kolditz O (2015) Numerical stability analysis of two‐dimensional solute transport along a discrete fracture in a porous rock matrix</w:t>
      </w:r>
      <w:r>
        <w:t>,</w:t>
      </w:r>
      <w:r w:rsidRPr="007B078F">
        <w:t xml:space="preserve"> Water Resources Research 51(7)</w:t>
      </w:r>
      <w:r w:rsidR="00FE7263">
        <w:t>:</w:t>
      </w:r>
      <w:r w:rsidRPr="007B078F">
        <w:t xml:space="preserve"> 5855-5868.</w:t>
      </w:r>
    </w:p>
    <w:p w14:paraId="0B94B777" w14:textId="77777777" w:rsidR="002D337D" w:rsidRDefault="00DA1389" w:rsidP="005D77D8">
      <w:pPr>
        <w:pStyle w:val="Body"/>
        <w:spacing w:afterLines="20" w:after="48" w:line="240" w:lineRule="auto"/>
        <w:ind w:left="567" w:hanging="567"/>
      </w:pPr>
      <w:r>
        <w:t>Watermark Numerical Computing (2012) Predictive uncertainty of the regional-scale groundwater flow model for the Surat Cumulative Management Area</w:t>
      </w:r>
      <w:r w:rsidR="007B078F">
        <w:t>,</w:t>
      </w:r>
      <w:r>
        <w:t xml:space="preserve"> </w:t>
      </w:r>
      <w:r w:rsidR="00FE7263">
        <w:t xml:space="preserve">report </w:t>
      </w:r>
      <w:r>
        <w:t>prepared by Watermark Numerical Computing for the Queensland Water Commission</w:t>
      </w:r>
      <w:r w:rsidR="00FE7263">
        <w:t>, Brisbane, Queensland</w:t>
      </w:r>
      <w:r>
        <w:t>.</w:t>
      </w:r>
    </w:p>
    <w:p w14:paraId="6FBAB0A9" w14:textId="19630963" w:rsidR="00C44692" w:rsidRDefault="00C44692">
      <w:pPr>
        <w:pStyle w:val="Body"/>
        <w:spacing w:afterLines="20" w:after="48" w:line="240" w:lineRule="auto"/>
        <w:ind w:left="567" w:hanging="567"/>
      </w:pPr>
      <w:r>
        <w:t xml:space="preserve">Watson TA, Doherty JE and Christensen S (2012) Parameter and predictive outcomes of model simplification. Water Resources Research </w:t>
      </w:r>
      <w:r w:rsidRPr="00C44692">
        <w:t>49:</w:t>
      </w:r>
      <w:r w:rsidRPr="00A45100">
        <w:t xml:space="preserve"> 3952–3977</w:t>
      </w:r>
      <w:r>
        <w:t>.</w:t>
      </w:r>
    </w:p>
    <w:p w14:paraId="634F0594" w14:textId="77777777" w:rsidR="002D337D" w:rsidRDefault="00DA1389" w:rsidP="005D77D8">
      <w:pPr>
        <w:pStyle w:val="Body"/>
        <w:spacing w:afterLines="20" w:after="48" w:line="240" w:lineRule="auto"/>
        <w:ind w:left="567" w:hanging="567"/>
      </w:pPr>
      <w:r>
        <w:t>Weber D and Englund E (1992) Evaluation and comparison of spatial interpolators</w:t>
      </w:r>
      <w:r w:rsidR="00FE7263">
        <w:t>,</w:t>
      </w:r>
      <w:r>
        <w:t xml:space="preserve"> Mathematical Geology 24(4)</w:t>
      </w:r>
      <w:r w:rsidR="00FE7263">
        <w:t>:</w:t>
      </w:r>
      <w:r>
        <w:t xml:space="preserve"> 381-391. </w:t>
      </w:r>
    </w:p>
    <w:p w14:paraId="6995E531" w14:textId="77777777" w:rsidR="002D337D" w:rsidRDefault="00DA1389" w:rsidP="005D77D8">
      <w:pPr>
        <w:pStyle w:val="Body"/>
        <w:spacing w:afterLines="20" w:after="48" w:line="240" w:lineRule="auto"/>
        <w:ind w:left="567" w:hanging="567"/>
      </w:pPr>
      <w:r>
        <w:t>Weber D and Englund E (1994) Evaluation and comparison of spatial interpolators II</w:t>
      </w:r>
      <w:r w:rsidR="00FE7263">
        <w:t>,</w:t>
      </w:r>
      <w:r>
        <w:t xml:space="preserve"> Mathematical Geology 26(5)</w:t>
      </w:r>
      <w:r w:rsidR="00FE7263">
        <w:t>:</w:t>
      </w:r>
      <w:r>
        <w:t xml:space="preserve"> 589-603. </w:t>
      </w:r>
    </w:p>
    <w:p w14:paraId="36866E41" w14:textId="77777777" w:rsidR="002D337D" w:rsidRDefault="00DA1389" w:rsidP="005D77D8">
      <w:pPr>
        <w:pStyle w:val="Body"/>
        <w:spacing w:afterLines="20" w:after="48" w:line="240" w:lineRule="auto"/>
        <w:ind w:left="567" w:hanging="567"/>
      </w:pPr>
      <w:r>
        <w:t>Weber K (1986) How heterogeneity affects oil recovery</w:t>
      </w:r>
      <w:r w:rsidR="00FE7263">
        <w:t>,</w:t>
      </w:r>
      <w:r>
        <w:t xml:space="preserve"> Reservoir </w:t>
      </w:r>
      <w:r w:rsidR="00FE7263">
        <w:t>C</w:t>
      </w:r>
      <w:r>
        <w:t>haracterization 487</w:t>
      </w:r>
      <w:r w:rsidR="00FE7263">
        <w:t>:</w:t>
      </w:r>
      <w:r>
        <w:t xml:space="preserve"> 544. </w:t>
      </w:r>
    </w:p>
    <w:p w14:paraId="5E408B34" w14:textId="77777777" w:rsidR="002D337D" w:rsidRDefault="00DA1389" w:rsidP="005D77D8">
      <w:pPr>
        <w:pStyle w:val="Body"/>
        <w:spacing w:afterLines="20" w:after="48" w:line="240" w:lineRule="auto"/>
        <w:ind w:left="567" w:hanging="567"/>
      </w:pPr>
      <w:r>
        <w:t>Wellmann JF, Finsterle S and Croucher A (2014) Integrating structural geological data into the inverse modelling framework of iTOUGH2</w:t>
      </w:r>
      <w:r w:rsidR="00FE7263">
        <w:t>,</w:t>
      </w:r>
      <w:r>
        <w:t xml:space="preserve"> Computers </w:t>
      </w:r>
      <w:r w:rsidR="00FE7263">
        <w:t xml:space="preserve">and </w:t>
      </w:r>
      <w:r>
        <w:t>Geosciences 65</w:t>
      </w:r>
      <w:r w:rsidR="00FE7263">
        <w:t>:</w:t>
      </w:r>
      <w:r>
        <w:t xml:space="preserve"> 95-109. </w:t>
      </w:r>
    </w:p>
    <w:p w14:paraId="6D2930B1" w14:textId="61A2311A" w:rsidR="002D337D" w:rsidRDefault="00DA1389" w:rsidP="005D77D8">
      <w:pPr>
        <w:pStyle w:val="Body"/>
        <w:spacing w:afterLines="20" w:after="48" w:line="240" w:lineRule="auto"/>
        <w:ind w:left="567" w:hanging="567"/>
      </w:pPr>
      <w:r>
        <w:t>Wen X and Gomez</w:t>
      </w:r>
      <w:r w:rsidR="00895ADF">
        <w:t>-</w:t>
      </w:r>
      <w:r>
        <w:t>Hernandez J (1996) Upscaling hydraulic conductivities in heterogeneous media: An overview</w:t>
      </w:r>
      <w:r w:rsidR="00FE7263">
        <w:t>,</w:t>
      </w:r>
      <w:r>
        <w:t xml:space="preserve"> Journal of Hydrology 183(1-2)</w:t>
      </w:r>
      <w:r w:rsidR="00FE7263">
        <w:t>:</w:t>
      </w:r>
      <w:r>
        <w:t xml:space="preserve"> R9-R32. </w:t>
      </w:r>
    </w:p>
    <w:p w14:paraId="48A538EB" w14:textId="7C029287" w:rsidR="00895ADF" w:rsidRDefault="00895ADF" w:rsidP="00A45100">
      <w:pPr>
        <w:pStyle w:val="Body"/>
        <w:spacing w:afterLines="20" w:after="48" w:line="240" w:lineRule="auto"/>
        <w:ind w:left="567" w:hanging="567"/>
      </w:pPr>
      <w:r>
        <w:t>Weissmann GS, Zhang Y, LaBolle EM, and Fogg GE (2002). Dispersion of groundwater age in an alluvial aquifer system. Water Resources Research 38(10): 1198, doi:1110.1029/2001WR000907.</w:t>
      </w:r>
    </w:p>
    <w:p w14:paraId="603DD83B" w14:textId="77777777" w:rsidR="002D337D" w:rsidRDefault="00787997" w:rsidP="005D77D8">
      <w:pPr>
        <w:pStyle w:val="Body"/>
        <w:spacing w:afterLines="20" w:after="48" w:line="240" w:lineRule="auto"/>
        <w:ind w:left="567" w:hanging="567"/>
      </w:pPr>
      <w:r w:rsidRPr="00787997">
        <w:t>Wessling S, Bartetzko A</w:t>
      </w:r>
      <w:r>
        <w:t xml:space="preserve"> and </w:t>
      </w:r>
      <w:r w:rsidRPr="00787997">
        <w:t>Tesch P (2013) Quantification of uncertainty in a multistage/multiparameter modeling workflow: Pore pressure from geophysical well logs</w:t>
      </w:r>
      <w:r>
        <w:t>,</w:t>
      </w:r>
      <w:r w:rsidRPr="00787997">
        <w:t xml:space="preserve"> Geophysics 78(3)</w:t>
      </w:r>
      <w:r>
        <w:t>:</w:t>
      </w:r>
      <w:r w:rsidRPr="00787997">
        <w:t xml:space="preserve"> WB101-WB112.</w:t>
      </w:r>
    </w:p>
    <w:p w14:paraId="3F9D38DC" w14:textId="77777777" w:rsidR="002D337D" w:rsidRDefault="00B45FE5" w:rsidP="005D77D8">
      <w:pPr>
        <w:pStyle w:val="Body"/>
        <w:spacing w:afterLines="20" w:after="48" w:line="240" w:lineRule="auto"/>
        <w:ind w:left="567" w:hanging="567"/>
      </w:pPr>
      <w:r>
        <w:t>White MD</w:t>
      </w:r>
      <w:r w:rsidR="00FE7263">
        <w:t xml:space="preserve"> and </w:t>
      </w:r>
      <w:r>
        <w:t xml:space="preserve">Oostrom M (2006) STOMP Subsurface Transport Over Multiple Phase: User's Guide, report </w:t>
      </w:r>
      <w:r w:rsidR="00FE7263">
        <w:t>no.</w:t>
      </w:r>
      <w:r>
        <w:t xml:space="preserve"> PNNL-15782 (UC-2010), Pacific Northwest National Laboratory, Richland, WA, USA, 317p.</w:t>
      </w:r>
    </w:p>
    <w:p w14:paraId="4943AF18" w14:textId="38103D3E" w:rsidR="00A72ED0" w:rsidRDefault="00A72ED0" w:rsidP="00A45100">
      <w:pPr>
        <w:pStyle w:val="Body"/>
        <w:spacing w:afterLines="20" w:after="48" w:line="240" w:lineRule="auto"/>
        <w:ind w:left="567" w:hanging="567"/>
      </w:pPr>
      <w:r>
        <w:t>White</w:t>
      </w:r>
      <w:r w:rsidRPr="00A72ED0">
        <w:t xml:space="preserve"> </w:t>
      </w:r>
      <w:r>
        <w:t xml:space="preserve">JT, Doherty J, Hughes JD (2014). Quantifying the predictive consequences of model error with linear subspace analysis. Water Resources Research 50: </w:t>
      </w:r>
      <w:r w:rsidR="00B24AB8">
        <w:t>1152-1173</w:t>
      </w:r>
      <w:r>
        <w:t>.</w:t>
      </w:r>
    </w:p>
    <w:p w14:paraId="0D9B1935" w14:textId="77777777" w:rsidR="002D337D" w:rsidRDefault="00DA1389" w:rsidP="005D77D8">
      <w:pPr>
        <w:pStyle w:val="Body"/>
        <w:spacing w:afterLines="20" w:after="48" w:line="240" w:lineRule="auto"/>
        <w:ind w:left="567" w:hanging="567"/>
      </w:pPr>
      <w:r>
        <w:t>Wright M, Dillon P, Pavelic P, Peter P and Nefiodovas A (2002) Measurement of 3‐D</w:t>
      </w:r>
      <w:r w:rsidR="00FE7263">
        <w:t xml:space="preserve"> hydraulic conductivity in aquifer cores at in situ effective stresses</w:t>
      </w:r>
      <w:r>
        <w:t>. Ground</w:t>
      </w:r>
      <w:r w:rsidR="00F05DAB">
        <w:t xml:space="preserve"> W</w:t>
      </w:r>
      <w:r>
        <w:t>ater 40</w:t>
      </w:r>
      <w:r w:rsidR="00FE7263">
        <w:t xml:space="preserve"> </w:t>
      </w:r>
      <w:r>
        <w:t>(5)</w:t>
      </w:r>
      <w:r w:rsidR="00FE7263">
        <w:t>:</w:t>
      </w:r>
      <w:r>
        <w:t xml:space="preserve"> 509-517. </w:t>
      </w:r>
    </w:p>
    <w:p w14:paraId="1222AC19" w14:textId="77777777" w:rsidR="002D337D" w:rsidRDefault="00DA1389" w:rsidP="005D77D8">
      <w:pPr>
        <w:pStyle w:val="Body"/>
        <w:spacing w:afterLines="20" w:after="48" w:line="240" w:lineRule="auto"/>
        <w:ind w:left="567" w:hanging="567"/>
      </w:pPr>
      <w:r>
        <w:t>Wu J, Boucher A and Zhang T (2008) A SGeMS code for pattern simulation of continuous and categorical variables: FILTERSIM</w:t>
      </w:r>
      <w:r w:rsidR="00FE7263">
        <w:t>,</w:t>
      </w:r>
      <w:r>
        <w:t xml:space="preserve"> Computers </w:t>
      </w:r>
      <w:r w:rsidR="00FE7263">
        <w:t xml:space="preserve">and </w:t>
      </w:r>
      <w:r>
        <w:t>Geosciences 34(12)</w:t>
      </w:r>
      <w:r w:rsidR="00FE7263">
        <w:t>:</w:t>
      </w:r>
      <w:r>
        <w:t xml:space="preserve"> 1863-1876. </w:t>
      </w:r>
    </w:p>
    <w:p w14:paraId="5730E424" w14:textId="77777777" w:rsidR="002D337D" w:rsidRDefault="00DA1389" w:rsidP="005D77D8">
      <w:pPr>
        <w:pStyle w:val="Body"/>
        <w:spacing w:afterLines="20" w:after="48" w:line="240" w:lineRule="auto"/>
        <w:ind w:left="567" w:hanging="567"/>
      </w:pPr>
      <w:r>
        <w:t>Xu C, Dowd P, Mardia K and Fowell R (2006) A connectivity index for discrete fracture networks</w:t>
      </w:r>
      <w:r w:rsidR="00FE7263">
        <w:t>,</w:t>
      </w:r>
      <w:r>
        <w:t xml:space="preserve"> Mathematical Geology 38(5)</w:t>
      </w:r>
      <w:r w:rsidR="00FE7263">
        <w:t>:</w:t>
      </w:r>
      <w:r>
        <w:t xml:space="preserve"> 611-634. </w:t>
      </w:r>
    </w:p>
    <w:p w14:paraId="09AD279A" w14:textId="77777777" w:rsidR="002D337D" w:rsidRDefault="00DA1389" w:rsidP="005D77D8">
      <w:pPr>
        <w:pStyle w:val="Body"/>
        <w:spacing w:afterLines="20" w:after="48" w:line="240" w:lineRule="auto"/>
        <w:ind w:left="567" w:hanging="567"/>
      </w:pPr>
      <w:r>
        <w:t>Xu W, Tran T, Srivastava R and Journel A (1992) Integrating seismic data in reservoir modeling: the collocated co</w:t>
      </w:r>
      <w:r w:rsidR="00FE7263">
        <w:t>-</w:t>
      </w:r>
      <w:r>
        <w:t>kriging alternative</w:t>
      </w:r>
      <w:r w:rsidR="00FE7263">
        <w:t>,</w:t>
      </w:r>
      <w:r>
        <w:t xml:space="preserve"> SPE </w:t>
      </w:r>
      <w:r w:rsidR="00FE7263">
        <w:t>A</w:t>
      </w:r>
      <w:r>
        <w:t xml:space="preserve">nnual </w:t>
      </w:r>
      <w:r w:rsidR="00FE7263">
        <w:t>T</w:t>
      </w:r>
      <w:r>
        <w:t xml:space="preserve">echnical </w:t>
      </w:r>
      <w:r w:rsidR="00FE7263">
        <w:t>C</w:t>
      </w:r>
      <w:r>
        <w:t xml:space="preserve">onference and </w:t>
      </w:r>
      <w:r w:rsidR="00FE7263">
        <w:t>E</w:t>
      </w:r>
      <w:r>
        <w:t>xhibitio</w:t>
      </w:r>
      <w:r w:rsidR="00FE7263">
        <w:t xml:space="preserve">n, </w:t>
      </w:r>
      <w:r>
        <w:t>Society of Petroleum Engineers.</w:t>
      </w:r>
    </w:p>
    <w:p w14:paraId="52D4EF59" w14:textId="77777777" w:rsidR="002D337D" w:rsidRDefault="00DA1389" w:rsidP="005D77D8">
      <w:pPr>
        <w:pStyle w:val="Body"/>
        <w:spacing w:afterLines="20" w:after="48" w:line="240" w:lineRule="auto"/>
        <w:ind w:left="567" w:hanging="567"/>
      </w:pPr>
      <w:r>
        <w:t>Yang Y and Apling AC (2010) A permeability–porosity relationship for mudstones</w:t>
      </w:r>
      <w:r w:rsidR="00FE7263">
        <w:t>,</w:t>
      </w:r>
      <w:r>
        <w:t xml:space="preserve"> Marine and </w:t>
      </w:r>
      <w:r w:rsidR="00FE7263">
        <w:t xml:space="preserve">Petroleum Geology </w:t>
      </w:r>
      <w:r>
        <w:t>27: 1692–1697.</w:t>
      </w:r>
      <w:r>
        <w:tab/>
      </w:r>
    </w:p>
    <w:p w14:paraId="4DEF1035" w14:textId="77777777" w:rsidR="002D337D" w:rsidRDefault="006F29FA" w:rsidP="005D77D8">
      <w:pPr>
        <w:pStyle w:val="Body"/>
        <w:spacing w:afterLines="20" w:after="48" w:line="240" w:lineRule="auto"/>
        <w:ind w:left="567" w:hanging="567"/>
      </w:pPr>
      <w:r w:rsidRPr="006F29FA">
        <w:t>Yeh</w:t>
      </w:r>
      <w:r>
        <w:t xml:space="preserve"> </w:t>
      </w:r>
      <w:r w:rsidRPr="006F29FA">
        <w:t>GT</w:t>
      </w:r>
      <w:r w:rsidR="00FE7263">
        <w:t xml:space="preserve"> and </w:t>
      </w:r>
      <w:r w:rsidRPr="006F29FA">
        <w:t>Tripathi VS</w:t>
      </w:r>
      <w:r>
        <w:t xml:space="preserve"> </w:t>
      </w:r>
      <w:r w:rsidRPr="006F29FA">
        <w:t xml:space="preserve">(1991) A model for simulating transport of reactive multispecies components: </w:t>
      </w:r>
      <w:r>
        <w:t>M</w:t>
      </w:r>
      <w:r w:rsidRPr="006F29FA">
        <w:t>odel development and demonstration</w:t>
      </w:r>
      <w:r>
        <w:t xml:space="preserve">, </w:t>
      </w:r>
      <w:r w:rsidRPr="006F29FA">
        <w:t>Water Resour</w:t>
      </w:r>
      <w:r>
        <w:t>ces</w:t>
      </w:r>
      <w:r w:rsidRPr="006F29FA">
        <w:t xml:space="preserve"> Res</w:t>
      </w:r>
      <w:r>
        <w:t>earch</w:t>
      </w:r>
      <w:r w:rsidRPr="006F29FA">
        <w:t xml:space="preserve"> 27(12)</w:t>
      </w:r>
      <w:r w:rsidR="00FE7263">
        <w:t>:</w:t>
      </w:r>
      <w:r w:rsidRPr="006F29FA">
        <w:t xml:space="preserve"> 3075-3094.</w:t>
      </w:r>
    </w:p>
    <w:p w14:paraId="674DAA27" w14:textId="77777777" w:rsidR="002D337D" w:rsidRDefault="00DA1389" w:rsidP="005D77D8">
      <w:pPr>
        <w:pStyle w:val="Body"/>
        <w:spacing w:afterLines="20" w:after="48" w:line="240" w:lineRule="auto"/>
        <w:ind w:left="567" w:hanging="567"/>
      </w:pPr>
      <w:r>
        <w:t xml:space="preserve">Yielding G, Freeman B and Needham D (1997) Quantitative fault seal </w:t>
      </w:r>
      <w:r w:rsidR="00FE7263">
        <w:t xml:space="preserve">prediction, </w:t>
      </w:r>
      <w:r>
        <w:t>A</w:t>
      </w:r>
      <w:r w:rsidR="00FE7263">
        <w:t>APG</w:t>
      </w:r>
      <w:r>
        <w:t xml:space="preserve"> Bulletin</w:t>
      </w:r>
      <w:r w:rsidR="00C45BB6">
        <w:t xml:space="preserve"> </w:t>
      </w:r>
      <w:r>
        <w:t>81(6)</w:t>
      </w:r>
      <w:r w:rsidR="00C45BB6">
        <w:t>:</w:t>
      </w:r>
      <w:r>
        <w:t xml:space="preserve"> 897-917</w:t>
      </w:r>
      <w:r w:rsidR="00C45BB6">
        <w:t>, American Association of Petroleum Geologists</w:t>
      </w:r>
      <w:r>
        <w:t xml:space="preserve">. </w:t>
      </w:r>
    </w:p>
    <w:p w14:paraId="29857F66" w14:textId="77777777" w:rsidR="002D337D" w:rsidRDefault="00DA1389" w:rsidP="005D77D8">
      <w:pPr>
        <w:pStyle w:val="Body"/>
        <w:spacing w:afterLines="20" w:after="48" w:line="240" w:lineRule="auto"/>
        <w:ind w:left="567" w:hanging="567"/>
      </w:pPr>
      <w:r>
        <w:t xml:space="preserve">Yu L, Rogiers B, Gedeon M, Marivoet J, De Craen M and Mallants D (2013) A critical review of laboratory and in-situ hydraulic conductivity measurements for the Boom </w:t>
      </w:r>
      <w:r w:rsidR="00C45BB6">
        <w:t>c</w:t>
      </w:r>
      <w:r>
        <w:t>lay in Belgium</w:t>
      </w:r>
      <w:r w:rsidR="00C45BB6">
        <w:t>,</w:t>
      </w:r>
      <w:r>
        <w:t xml:space="preserve"> Applied Clay Science 75</w:t>
      </w:r>
      <w:r w:rsidR="00C45BB6">
        <w:t>:</w:t>
      </w:r>
      <w:r>
        <w:t xml:space="preserve"> 1-12. </w:t>
      </w:r>
    </w:p>
    <w:p w14:paraId="01752EBF" w14:textId="77777777" w:rsidR="002D337D" w:rsidRDefault="007D6A94" w:rsidP="005D77D8">
      <w:pPr>
        <w:pStyle w:val="Body"/>
        <w:spacing w:afterLines="20" w:after="48" w:line="240" w:lineRule="auto"/>
        <w:ind w:left="567" w:hanging="567"/>
      </w:pPr>
      <w:r w:rsidRPr="007D6A94">
        <w:t>Zarrouk</w:t>
      </w:r>
      <w:r>
        <w:t xml:space="preserve"> </w:t>
      </w:r>
      <w:r w:rsidRPr="007D6A94">
        <w:t>SJ, Moore TA (2009) Preliminary reservoir model of enhanced coalbed methane (ECBM) in a subbituminous coal seam, Huntly Coalfield, New Zealand</w:t>
      </w:r>
      <w:r>
        <w:t>,</w:t>
      </w:r>
      <w:r w:rsidRPr="007D6A94">
        <w:t xml:space="preserve"> International Journal of Coal Geology 77(1)</w:t>
      </w:r>
      <w:r w:rsidR="00C45BB6">
        <w:t>:</w:t>
      </w:r>
      <w:r w:rsidRPr="007D6A94">
        <w:t xml:space="preserve"> 153-161.</w:t>
      </w:r>
    </w:p>
    <w:p w14:paraId="078EFBD4" w14:textId="77777777" w:rsidR="002D337D" w:rsidRDefault="00F86BF2" w:rsidP="005D77D8">
      <w:pPr>
        <w:pStyle w:val="Body"/>
        <w:spacing w:afterLines="20" w:after="48" w:line="240" w:lineRule="auto"/>
        <w:ind w:left="567" w:hanging="567"/>
      </w:pPr>
      <w:r w:rsidRPr="00F86BF2">
        <w:t>Zhang F</w:t>
      </w:r>
      <w:r w:rsidR="00B1063B">
        <w:t>, Yeh GT, Parker JC</w:t>
      </w:r>
      <w:r w:rsidR="00C45BB6">
        <w:t xml:space="preserve"> and </w:t>
      </w:r>
      <w:r w:rsidR="00B1063B">
        <w:t>Shi X</w:t>
      </w:r>
      <w:r w:rsidRPr="00F86BF2">
        <w:t xml:space="preserve"> (2012) Groundwater Reactive Transport Models</w:t>
      </w:r>
      <w:r>
        <w:t>,</w:t>
      </w:r>
      <w:r w:rsidRPr="00F86BF2">
        <w:t xml:space="preserve"> Bentham Science Publishers</w:t>
      </w:r>
      <w:r w:rsidR="00B1063B">
        <w:t xml:space="preserve">, </w:t>
      </w:r>
      <w:r w:rsidR="00B1063B" w:rsidRPr="00B1063B">
        <w:t>Dubai, United Arab Emirates</w:t>
      </w:r>
      <w:r w:rsidRPr="00F86BF2">
        <w:t>.</w:t>
      </w:r>
    </w:p>
    <w:p w14:paraId="135FAE77" w14:textId="620A4AE3" w:rsidR="002D337D" w:rsidRDefault="00F30E04" w:rsidP="005D77D8">
      <w:pPr>
        <w:pStyle w:val="Body"/>
        <w:spacing w:afterLines="20" w:after="48" w:line="240" w:lineRule="auto"/>
        <w:ind w:left="567" w:hanging="567"/>
      </w:pPr>
      <w:r w:rsidRPr="00F30E04">
        <w:t>Zhang L, Soong Y, Dilmore R</w:t>
      </w:r>
      <w:r w:rsidR="00C45BB6">
        <w:t xml:space="preserve"> and </w:t>
      </w:r>
      <w:r w:rsidRPr="00F30E04">
        <w:t xml:space="preserve">Lopano C (2015) Numerical simulation of porosity and permeability evolution of Mount Simon sandstone under geological </w:t>
      </w:r>
      <w:r>
        <w:t>carbon sequestration conditions,</w:t>
      </w:r>
      <w:r w:rsidRPr="00F30E04">
        <w:t xml:space="preserve"> Chemical Geology 403</w:t>
      </w:r>
      <w:r w:rsidR="00C45BB6">
        <w:t>:</w:t>
      </w:r>
      <w:r w:rsidRPr="00F30E04">
        <w:t xml:space="preserve"> 1-12.</w:t>
      </w:r>
    </w:p>
    <w:p w14:paraId="58B4BDEB" w14:textId="3FE7DEBA" w:rsidR="002D337D" w:rsidRDefault="00DA1389" w:rsidP="005D77D8">
      <w:pPr>
        <w:pStyle w:val="Body"/>
        <w:spacing w:afterLines="20" w:after="48" w:line="240" w:lineRule="auto"/>
        <w:ind w:left="567" w:hanging="567"/>
      </w:pPr>
      <w:r>
        <w:t>Zhang Y, Gartrell A, Underschultz J and Dewhurst D (2009) Numerical modelling of strain localisation and fluid flow during extensional fault reactivation: Implications for hydrocarbon preservation</w:t>
      </w:r>
      <w:r w:rsidR="00C45BB6">
        <w:t>,</w:t>
      </w:r>
      <w:r>
        <w:t xml:space="preserve"> Journal of Structural Geology 31(3)</w:t>
      </w:r>
      <w:r w:rsidR="000D664D">
        <w:t>:</w:t>
      </w:r>
      <w:r>
        <w:t xml:space="preserve"> 315-327. </w:t>
      </w:r>
    </w:p>
    <w:p w14:paraId="28E6C8C9" w14:textId="77777777" w:rsidR="002D337D" w:rsidRDefault="00DA1389" w:rsidP="005D77D8">
      <w:pPr>
        <w:pStyle w:val="Body"/>
        <w:spacing w:afterLines="20" w:after="48" w:line="240" w:lineRule="auto"/>
        <w:ind w:left="567" w:hanging="567"/>
      </w:pPr>
      <w:r>
        <w:t>Zhang Y, Underschultz J, Gartrell A, Dewhurst D and Langhi L (2011) Effects of regional fluid pressure gradients on strain localisation and fluid flow during extensional fault reactivation</w:t>
      </w:r>
      <w:r w:rsidR="00C45BB6">
        <w:t>,</w:t>
      </w:r>
      <w:r>
        <w:t xml:space="preserve"> Marine and Petroleum Geology 28(9)</w:t>
      </w:r>
      <w:r w:rsidR="00C45BB6">
        <w:t>:</w:t>
      </w:r>
      <w:r>
        <w:t xml:space="preserve"> 1703-1713. </w:t>
      </w:r>
    </w:p>
    <w:p w14:paraId="38B19219" w14:textId="77777777" w:rsidR="002D337D" w:rsidRDefault="00DA1389" w:rsidP="005D77D8">
      <w:pPr>
        <w:pStyle w:val="Body"/>
        <w:spacing w:afterLines="20" w:after="48" w:line="240" w:lineRule="auto"/>
        <w:ind w:left="567" w:hanging="567"/>
      </w:pPr>
      <w:r>
        <w:t>Zhou H, Li L and Gomez-Hernandez J (2010) Three-dimensional hydraulic conductivity upscaling in groundwater modeling</w:t>
      </w:r>
      <w:r w:rsidR="00C45BB6">
        <w:t>,</w:t>
      </w:r>
      <w:r>
        <w:t xml:space="preserve"> Computers </w:t>
      </w:r>
      <w:r w:rsidR="00C45BB6">
        <w:t>and</w:t>
      </w:r>
      <w:r>
        <w:t xml:space="preserve"> Geosciences 36(10)</w:t>
      </w:r>
      <w:r w:rsidR="00C45BB6">
        <w:t>:</w:t>
      </w:r>
      <w:r>
        <w:t xml:space="preserve"> 1224-1235. </w:t>
      </w:r>
    </w:p>
    <w:p w14:paraId="0F3EA313" w14:textId="77777777" w:rsidR="002D337D" w:rsidRDefault="00DA1389" w:rsidP="005D77D8">
      <w:pPr>
        <w:pStyle w:val="Body"/>
        <w:spacing w:afterLines="20" w:after="48" w:line="240" w:lineRule="auto"/>
        <w:ind w:left="567" w:hanging="567"/>
      </w:pPr>
      <w:r>
        <w:t>Zhu H and Journel AG (1993) Formatting and integrating soft data: Stochastic imaging via the Markov-Bayes algorithm</w:t>
      </w:r>
      <w:r w:rsidR="00C45BB6">
        <w:t>,</w:t>
      </w:r>
      <w:r>
        <w:t xml:space="preserve"> Geostatistics Tróia</w:t>
      </w:r>
      <w:r w:rsidR="00C45BB6">
        <w:t xml:space="preserve"> </w:t>
      </w:r>
      <w:r>
        <w:t>92</w:t>
      </w:r>
      <w:r w:rsidR="00C45BB6">
        <w:t>,</w:t>
      </w:r>
      <w:r>
        <w:t xml:space="preserve"> Springer, </w:t>
      </w:r>
      <w:r w:rsidR="00C45BB6">
        <w:t xml:space="preserve">pp. </w:t>
      </w:r>
      <w:r>
        <w:t>1-12.</w:t>
      </w:r>
    </w:p>
    <w:p w14:paraId="7102C925" w14:textId="417647C2" w:rsidR="002D337D" w:rsidRDefault="00881A6F" w:rsidP="005D77D8">
      <w:pPr>
        <w:pStyle w:val="Body"/>
        <w:spacing w:afterLines="20" w:after="48" w:line="240" w:lineRule="auto"/>
        <w:ind w:left="567" w:hanging="567"/>
      </w:pPr>
      <w:r w:rsidRPr="00881A6F">
        <w:t>Zhu</w:t>
      </w:r>
      <w:r>
        <w:t xml:space="preserve"> </w:t>
      </w:r>
      <w:r w:rsidRPr="00881A6F">
        <w:t>WC</w:t>
      </w:r>
      <w:r>
        <w:t xml:space="preserve">, </w:t>
      </w:r>
      <w:r w:rsidRPr="00881A6F">
        <w:t>Liu</w:t>
      </w:r>
      <w:r>
        <w:t xml:space="preserve"> </w:t>
      </w:r>
      <w:r w:rsidRPr="00881A6F">
        <w:t>J, Sheng JC</w:t>
      </w:r>
      <w:r w:rsidR="00C45BB6">
        <w:t xml:space="preserve"> and</w:t>
      </w:r>
      <w:r w:rsidR="003A385B">
        <w:t xml:space="preserve"> </w:t>
      </w:r>
      <w:r w:rsidRPr="00881A6F">
        <w:t>Elsworth D</w:t>
      </w:r>
      <w:r>
        <w:t xml:space="preserve"> (2007)</w:t>
      </w:r>
      <w:r w:rsidRPr="00881A6F">
        <w:t xml:space="preserve"> Analysis of coupled gas flow and deformation process with desorption and Klinkenberg effects in coal seams</w:t>
      </w:r>
      <w:r>
        <w:t>,</w:t>
      </w:r>
      <w:r w:rsidRPr="00881A6F">
        <w:t xml:space="preserve"> International Journal of Rock Mechanics and Mining Sciences, 44(7)</w:t>
      </w:r>
      <w:r w:rsidR="00C45BB6">
        <w:t>:</w:t>
      </w:r>
      <w:r w:rsidRPr="00881A6F">
        <w:t xml:space="preserve"> 971-980.</w:t>
      </w:r>
    </w:p>
    <w:p w14:paraId="12EB87F5" w14:textId="77777777" w:rsidR="002D337D" w:rsidRDefault="00DA1389" w:rsidP="005D77D8">
      <w:pPr>
        <w:pStyle w:val="Body"/>
        <w:spacing w:afterLines="20" w:after="48" w:line="240" w:lineRule="auto"/>
        <w:ind w:left="567" w:hanging="567"/>
      </w:pPr>
      <w:r>
        <w:t>Zinn B and Harvey CF (2003) When good statistical models of aquifer heterogeneity go bad: A comparison of flow, dispersion, and mass transfer in connected and multivariate Gaussian hydraulic conductivity fields</w:t>
      </w:r>
      <w:r w:rsidR="00C45BB6">
        <w:t>,</w:t>
      </w:r>
      <w:r>
        <w:t xml:space="preserve"> Water Resources Research 39(3). </w:t>
      </w:r>
    </w:p>
    <w:p w14:paraId="70CB6AB0" w14:textId="77777777" w:rsidR="002D337D" w:rsidRDefault="000665C5" w:rsidP="005D77D8">
      <w:pPr>
        <w:pStyle w:val="Body"/>
        <w:spacing w:afterLines="20" w:after="48" w:line="240" w:lineRule="auto"/>
        <w:ind w:left="567" w:hanging="567"/>
      </w:pPr>
      <w:r w:rsidRPr="000665C5">
        <w:t>Zyvoloski G</w:t>
      </w:r>
      <w:r>
        <w:t>,</w:t>
      </w:r>
      <w:r w:rsidRPr="000665C5">
        <w:t xml:space="preserve"> Dash</w:t>
      </w:r>
      <w:r>
        <w:t xml:space="preserve"> Z</w:t>
      </w:r>
      <w:r w:rsidR="0096235B">
        <w:t xml:space="preserve"> and </w:t>
      </w:r>
      <w:r w:rsidRPr="000665C5">
        <w:t>Kelkar</w:t>
      </w:r>
      <w:r>
        <w:t xml:space="preserve"> S (1997)</w:t>
      </w:r>
      <w:r w:rsidRPr="000665C5">
        <w:t xml:space="preserve"> FEHM 1.0: Finite element heat and mass transfer code</w:t>
      </w:r>
      <w:r>
        <w:t>, r</w:t>
      </w:r>
      <w:r w:rsidRPr="000665C5">
        <w:t>ep</w:t>
      </w:r>
      <w:r>
        <w:t xml:space="preserve">ort </w:t>
      </w:r>
      <w:r w:rsidR="00C45BB6">
        <w:t>no.</w:t>
      </w:r>
      <w:r>
        <w:t xml:space="preserve"> </w:t>
      </w:r>
      <w:r w:rsidRPr="000665C5">
        <w:t>LA-12062</w:t>
      </w:r>
      <w:r>
        <w:t xml:space="preserve">, Los Alamos National Laboratory, </w:t>
      </w:r>
      <w:r w:rsidRPr="000665C5">
        <w:t>Los Alamos, NM</w:t>
      </w:r>
      <w:r>
        <w:t>, USA, 59p</w:t>
      </w:r>
      <w:r w:rsidRPr="000665C5">
        <w:t xml:space="preserve">.  </w:t>
      </w:r>
    </w:p>
    <w:p w14:paraId="46C8D3FA" w14:textId="77777777" w:rsidR="00DA1389" w:rsidRDefault="00DA1389" w:rsidP="00DA1389">
      <w:pPr>
        <w:pStyle w:val="Body"/>
        <w:rPr>
          <w:highlight w:val="lightGray"/>
        </w:rPr>
      </w:pPr>
    </w:p>
    <w:p w14:paraId="3B68418C" w14:textId="77777777" w:rsidR="0001168A" w:rsidRPr="00A45100" w:rsidRDefault="0001168A" w:rsidP="0001168A">
      <w:pPr>
        <w:pStyle w:val="Body"/>
        <w:rPr>
          <w:highlight w:val="cyan"/>
        </w:rPr>
      </w:pPr>
    </w:p>
    <w:p w14:paraId="15AB09C2" w14:textId="77777777" w:rsidR="0001168A" w:rsidRPr="00A45100" w:rsidRDefault="0001168A" w:rsidP="0001168A">
      <w:pPr>
        <w:pStyle w:val="Body"/>
        <w:rPr>
          <w:highlight w:val="cyan"/>
        </w:rPr>
      </w:pPr>
    </w:p>
    <w:p w14:paraId="66A190BA" w14:textId="6E5BC8B4" w:rsidR="009647EC" w:rsidRDefault="00901C74" w:rsidP="009647EC">
      <w:pPr>
        <w:rPr>
          <w:rFonts w:ascii="Calibri-Bold" w:hAnsi="Calibri-Bold" w:cs="Calibri-Bold"/>
          <w:color w:val="00AEEF"/>
          <w:sz w:val="48"/>
          <w:szCs w:val="48"/>
          <w:highlight w:val="lightGray"/>
          <w:lang w:val="en-GB"/>
        </w:rPr>
      </w:pPr>
      <w:r>
        <w:rPr>
          <w:highlight w:val="cyan"/>
        </w:rPr>
        <w:br w:type="page"/>
      </w:r>
    </w:p>
    <w:p w14:paraId="5F3A0AFB" w14:textId="43AB8132" w:rsidR="002C6458" w:rsidRDefault="00E154E7" w:rsidP="009647EC">
      <w:pPr>
        <w:pStyle w:val="Heading1"/>
      </w:pPr>
      <w:bookmarkStart w:id="288" w:name="_Toc449696840"/>
      <w:r>
        <w:t>Appendi</w:t>
      </w:r>
      <w:r w:rsidR="00580D78">
        <w:t>x</w:t>
      </w:r>
      <w:r w:rsidR="006B6DB8">
        <w:t xml:space="preserve"> </w:t>
      </w:r>
      <w:r w:rsidR="00F3473A">
        <w:t>1</w:t>
      </w:r>
      <w:bookmarkEnd w:id="288"/>
    </w:p>
    <w:p w14:paraId="50C4301A" w14:textId="77777777" w:rsidR="00E154E7" w:rsidRDefault="006B6DB8" w:rsidP="002C6458">
      <w:pPr>
        <w:pStyle w:val="Heading2"/>
      </w:pPr>
      <w:bookmarkStart w:id="289" w:name="_Toc449696841"/>
      <w:r>
        <w:t>Multiphase flow models</w:t>
      </w:r>
      <w:bookmarkEnd w:id="289"/>
    </w:p>
    <w:p w14:paraId="11762506" w14:textId="06FDA170" w:rsidR="00054894" w:rsidRDefault="00054894" w:rsidP="00054894">
      <w:pPr>
        <w:pStyle w:val="Body"/>
        <w:spacing w:after="240"/>
      </w:pPr>
      <w:r>
        <w:t xml:space="preserve">Multiphase flow models capable of simulating the flow of water and gas resulting from CSG extraction are summarised in </w:t>
      </w:r>
      <w:r w:rsidR="00084CDD">
        <w:fldChar w:fldCharType="begin"/>
      </w:r>
      <w:r w:rsidR="00FB60DD">
        <w:instrText xml:space="preserve"> REF _Ref433874666 \h </w:instrText>
      </w:r>
      <w:r w:rsidR="00084CDD">
        <w:fldChar w:fldCharType="separate"/>
      </w:r>
      <w:r w:rsidR="00C52E30" w:rsidRPr="00B868E6">
        <w:t xml:space="preserve">Table </w:t>
      </w:r>
      <w:r w:rsidR="00C52E30">
        <w:rPr>
          <w:noProof/>
        </w:rPr>
        <w:t>20</w:t>
      </w:r>
      <w:r w:rsidR="00084CDD">
        <w:fldChar w:fldCharType="end"/>
      </w:r>
      <w:r>
        <w:t>. To varying extents, these models are capable of representing local scale flow processes such as gas sorption and relative rock permeability; and fracture–matrix flow using dual domain and/or discrete fracture network approaches. Also indicated is the suitability of models to simulate the swelling or shrinkage of coal seams due to geomechanical stresses. An additional consideration is the ability of models to simulate reactive solute transport; i.e., of solutes used in CSG extraction. These models are suitable for the simulation of compounds used in CSG production, such as proppants and chemicals used in hydraulic fracturing processes.  Notable published comparisons of models (tabulated here or otherwise) include:</w:t>
      </w:r>
    </w:p>
    <w:p w14:paraId="7C7706E8" w14:textId="77777777" w:rsidR="00054894" w:rsidRPr="00021448" w:rsidRDefault="00054894" w:rsidP="00054894">
      <w:pPr>
        <w:pStyle w:val="Body"/>
        <w:numPr>
          <w:ilvl w:val="0"/>
          <w:numId w:val="50"/>
        </w:numPr>
        <w:spacing w:line="240" w:lineRule="atLeast"/>
        <w:ind w:left="357" w:hanging="357"/>
      </w:pPr>
      <w:r w:rsidRPr="00021448">
        <w:t>Law et al. (2002): GEM, ECLIPSE, COMET, SIMED II, GCOMP</w:t>
      </w:r>
    </w:p>
    <w:p w14:paraId="7D50E72A" w14:textId="77777777" w:rsidR="00054894" w:rsidRPr="00021448" w:rsidRDefault="00054894" w:rsidP="00054894">
      <w:pPr>
        <w:pStyle w:val="Body"/>
        <w:numPr>
          <w:ilvl w:val="0"/>
          <w:numId w:val="50"/>
        </w:numPr>
        <w:spacing w:line="240" w:lineRule="atLeast"/>
        <w:ind w:left="357" w:hanging="357"/>
      </w:pPr>
      <w:r w:rsidRPr="00021448">
        <w:t>Law et al. (2003, 2004): GEM, ECLIPSE, COMET, SIMED II, GCOMP, METSIM</w:t>
      </w:r>
    </w:p>
    <w:p w14:paraId="23C14440" w14:textId="77777777" w:rsidR="00054894" w:rsidRPr="007D6A94" w:rsidRDefault="00054894" w:rsidP="00054894">
      <w:pPr>
        <w:pStyle w:val="Body"/>
        <w:numPr>
          <w:ilvl w:val="0"/>
          <w:numId w:val="50"/>
        </w:numPr>
        <w:spacing w:line="240" w:lineRule="atLeast"/>
        <w:ind w:left="357" w:hanging="357"/>
      </w:pPr>
      <w:r w:rsidRPr="007D6A94">
        <w:t>Law et al. (2005): GEM, COMET, SIMED II, METSIM, PSU-COALCOMP</w:t>
      </w:r>
    </w:p>
    <w:p w14:paraId="486406D1" w14:textId="77777777" w:rsidR="00054894" w:rsidRPr="00021448" w:rsidRDefault="00054894" w:rsidP="00054894">
      <w:pPr>
        <w:pStyle w:val="Body"/>
        <w:numPr>
          <w:ilvl w:val="0"/>
          <w:numId w:val="50"/>
        </w:numPr>
        <w:spacing w:line="240" w:lineRule="atLeast"/>
        <w:ind w:left="357" w:hanging="357"/>
      </w:pPr>
      <w:r w:rsidRPr="00021448">
        <w:t>Pruess et al. (2004): TOUGH2, MUFTE, SIMED, SIMSCOPP, GPRS, GEM, FLOTRAN, ECLIPSE, NUFT, STOMP</w:t>
      </w:r>
    </w:p>
    <w:p w14:paraId="40666946" w14:textId="77777777" w:rsidR="00054894" w:rsidRPr="00021448" w:rsidRDefault="00054894" w:rsidP="00054894">
      <w:pPr>
        <w:pStyle w:val="Body"/>
        <w:numPr>
          <w:ilvl w:val="0"/>
          <w:numId w:val="50"/>
        </w:numPr>
        <w:spacing w:line="240" w:lineRule="atLeast"/>
        <w:ind w:left="357" w:hanging="357"/>
      </w:pPr>
      <w:r w:rsidRPr="00021448">
        <w:t>MacQuarrie et al. (2005): ARASE, CORE2D, CRUNCH, DART, FLOTRAN, FRAC3DVS, HYTEC, HYDROGEOCHEM, MIN3P, NUFT, PHAST, PHT3D, RETRASO, TOUGH–REACT, TOUGH2–CHEM</w:t>
      </w:r>
    </w:p>
    <w:p w14:paraId="33E18B1B" w14:textId="77777777" w:rsidR="00054894" w:rsidRPr="00021448" w:rsidRDefault="00054894" w:rsidP="00054894">
      <w:pPr>
        <w:pStyle w:val="Body"/>
        <w:numPr>
          <w:ilvl w:val="0"/>
          <w:numId w:val="50"/>
        </w:numPr>
        <w:spacing w:line="240" w:lineRule="atLeast"/>
        <w:ind w:left="357" w:hanging="357"/>
      </w:pPr>
      <w:r w:rsidRPr="00021448">
        <w:t>Class et al. (2009): COORES, DUMUX, ECLIPSE, FEHM, GEM, GPRS, IPARS, MORES, MUFTE, ROCKFLOW, RTAFF2, ELSA, TOUGH2, VESA</w:t>
      </w:r>
    </w:p>
    <w:p w14:paraId="6EA25B21" w14:textId="77777777" w:rsidR="00054894" w:rsidRPr="00021448" w:rsidRDefault="00054894" w:rsidP="00054894">
      <w:pPr>
        <w:pStyle w:val="Body"/>
        <w:numPr>
          <w:ilvl w:val="0"/>
          <w:numId w:val="50"/>
        </w:numPr>
        <w:spacing w:line="240" w:lineRule="atLeast"/>
        <w:ind w:left="357" w:hanging="357"/>
      </w:pPr>
      <w:r w:rsidRPr="00021448">
        <w:t>Jiang (2011): CODE_BRIGHT, COORES, DUMUX, ECLIPSE, ELSA, FEHM, GEM, IPARS, MIN3P, MUFTE, PFLOTRAN, ROCKFLOW, RTAFF2</w:t>
      </w:r>
    </w:p>
    <w:p w14:paraId="658EF666" w14:textId="77777777" w:rsidR="00054894" w:rsidRPr="00021448" w:rsidRDefault="00054894" w:rsidP="00054894">
      <w:pPr>
        <w:pStyle w:val="Body"/>
        <w:numPr>
          <w:ilvl w:val="0"/>
          <w:numId w:val="50"/>
        </w:numPr>
        <w:spacing w:line="240" w:lineRule="atLeast"/>
        <w:ind w:left="357" w:hanging="357"/>
      </w:pPr>
      <w:r w:rsidRPr="00021448">
        <w:t>Mukhopadhyay et al. (2012): GEM, TOUGH2, ECLIPSE, CCS_MULTIF, STOMP, VESA, DUMUX</w:t>
      </w:r>
    </w:p>
    <w:p w14:paraId="388F992C" w14:textId="77777777" w:rsidR="00054894" w:rsidRPr="00021448" w:rsidRDefault="00054894" w:rsidP="00054894">
      <w:pPr>
        <w:pStyle w:val="Body"/>
        <w:numPr>
          <w:ilvl w:val="0"/>
          <w:numId w:val="50"/>
        </w:numPr>
        <w:spacing w:line="240" w:lineRule="atLeast"/>
        <w:ind w:left="357" w:hanging="357"/>
      </w:pPr>
      <w:r w:rsidRPr="00B156EE">
        <w:t>Thararoop et al. (2012): GEM, ECLIPSE</w:t>
      </w:r>
      <w:r w:rsidRPr="00021448">
        <w:t>, COMET, SIMED II, GCOMP, PSU-COALCOMP</w:t>
      </w:r>
    </w:p>
    <w:p w14:paraId="77F3F8F5" w14:textId="77777777" w:rsidR="00054894" w:rsidRPr="00021448" w:rsidRDefault="00054894" w:rsidP="00054894">
      <w:pPr>
        <w:pStyle w:val="Body"/>
        <w:numPr>
          <w:ilvl w:val="0"/>
          <w:numId w:val="50"/>
        </w:numPr>
        <w:spacing w:line="240" w:lineRule="atLeast"/>
        <w:ind w:left="357" w:hanging="357"/>
      </w:pPr>
      <w:r w:rsidRPr="00B156EE">
        <w:t>Kempka et al. (2013): ECLIPSE, TOUGH2</w:t>
      </w:r>
      <w:r w:rsidRPr="00021448">
        <w:t>, DUMUX, OPENGEOSYS</w:t>
      </w:r>
    </w:p>
    <w:p w14:paraId="65A2D63F" w14:textId="77777777" w:rsidR="00054894" w:rsidRPr="00021448" w:rsidRDefault="00054894" w:rsidP="00054894">
      <w:pPr>
        <w:pStyle w:val="Body"/>
        <w:numPr>
          <w:ilvl w:val="0"/>
          <w:numId w:val="50"/>
        </w:numPr>
        <w:spacing w:line="240" w:lineRule="atLeast"/>
        <w:ind w:left="357" w:hanging="357"/>
      </w:pPr>
      <w:r w:rsidRPr="00952D6A">
        <w:t>Steefel et al. (2014): PHREEQC, HPX, PHT3D, OPENGEOSYS, HYTEC, ORCHESTRA, TOUGHREACT, STOMP,</w:t>
      </w:r>
      <w:r w:rsidRPr="00021448">
        <w:t xml:space="preserve"> HYDROGEOCHEM, CRUNCHFLOW, MIN3P, PFLOTRAN</w:t>
      </w:r>
    </w:p>
    <w:p w14:paraId="330229D8" w14:textId="77777777" w:rsidR="00054894" w:rsidRPr="00021448" w:rsidRDefault="00054894" w:rsidP="00054894">
      <w:pPr>
        <w:pStyle w:val="Body"/>
        <w:numPr>
          <w:ilvl w:val="0"/>
          <w:numId w:val="50"/>
        </w:numPr>
        <w:spacing w:line="240" w:lineRule="atLeast"/>
        <w:ind w:left="357" w:hanging="357"/>
      </w:pPr>
      <w:r w:rsidRPr="00021448">
        <w:t>Li and Fang (2014): GEM, ECLIPSE, COMET, SIMED II, GCOMP</w:t>
      </w:r>
    </w:p>
    <w:p w14:paraId="750C2014" w14:textId="77777777" w:rsidR="00054894" w:rsidRPr="00021448" w:rsidRDefault="00054894" w:rsidP="00054894">
      <w:pPr>
        <w:pStyle w:val="Body"/>
        <w:numPr>
          <w:ilvl w:val="0"/>
          <w:numId w:val="50"/>
        </w:numPr>
        <w:spacing w:line="240" w:lineRule="atLeast"/>
        <w:ind w:left="357" w:hanging="357"/>
      </w:pPr>
      <w:r w:rsidRPr="00952D6A">
        <w:t>Jansen et al. (</w:t>
      </w:r>
      <w:r w:rsidRPr="00021448">
        <w:t>2014): MORES, ECLIPSE, GPRS, MATLAB Reservoir Simulation toolbox</w:t>
      </w:r>
    </w:p>
    <w:p w14:paraId="6D378C95" w14:textId="77777777" w:rsidR="00054894" w:rsidRPr="00952D6A" w:rsidRDefault="00054894" w:rsidP="00054894">
      <w:pPr>
        <w:pStyle w:val="Body"/>
        <w:numPr>
          <w:ilvl w:val="0"/>
          <w:numId w:val="50"/>
        </w:numPr>
        <w:spacing w:after="240" w:line="240" w:lineRule="atLeast"/>
        <w:ind w:left="357" w:hanging="357"/>
      </w:pPr>
      <w:r w:rsidRPr="00952D6A">
        <w:t>Mayer et al. (2015): CRUNCHFLOW, FLOWTRAN, HP1, MIN3P</w:t>
      </w:r>
    </w:p>
    <w:p w14:paraId="071930EF" w14:textId="77777777" w:rsidR="005A053F" w:rsidRDefault="00054894" w:rsidP="00BA37EA">
      <w:pPr>
        <w:pStyle w:val="Body"/>
        <w:sectPr w:rsidR="005A053F" w:rsidSect="008A1135">
          <w:headerReference w:type="even" r:id="rId95"/>
          <w:headerReference w:type="default" r:id="rId96"/>
          <w:footerReference w:type="even" r:id="rId97"/>
          <w:footerReference w:type="default" r:id="rId98"/>
          <w:headerReference w:type="first" r:id="rId99"/>
          <w:pgSz w:w="11900" w:h="16840"/>
          <w:pgMar w:top="1440" w:right="1440" w:bottom="1440" w:left="1440" w:header="0" w:footer="0" w:gutter="0"/>
          <w:cols w:space="284"/>
          <w:noEndnote/>
          <w:docGrid w:linePitch="326"/>
        </w:sectPr>
      </w:pPr>
      <w:r>
        <w:t>In addition to numerical approaches, simplified solutions may also be used where appropriate. These include semi-</w:t>
      </w:r>
      <w:r w:rsidRPr="00BC10F2">
        <w:t>analytical models such as ELSA (Nordbotten et al., 2009) and VESA (Gasada et al., 2009) as well as closed form analytical</w:t>
      </w:r>
      <w:r>
        <w:t xml:space="preserve"> solutions. The applicability of simplified approaches in the context of carbon sequestration was discussed by Court et al. (2012) and Bandilla et al. (2015). Huang et al. (2014) compared ELSA and VESA models to single phase analytical solutions including the Theis (1935) solution. </w:t>
      </w:r>
    </w:p>
    <w:p w14:paraId="6C76FD97" w14:textId="77777777" w:rsidR="00054894" w:rsidRPr="00054894" w:rsidRDefault="004257E0" w:rsidP="004257E0">
      <w:pPr>
        <w:pStyle w:val="Imagecaption"/>
        <w:pBdr>
          <w:top w:val="none" w:sz="0" w:space="0" w:color="auto"/>
        </w:pBdr>
      </w:pPr>
      <w:bookmarkStart w:id="290" w:name="_Ref433874666"/>
      <w:bookmarkStart w:id="291" w:name="_Toc449696240"/>
      <w:r w:rsidRPr="00B868E6">
        <w:t xml:space="preserve">Table </w:t>
      </w:r>
      <w:r w:rsidR="00084CDD">
        <w:fldChar w:fldCharType="begin"/>
      </w:r>
      <w:r w:rsidR="00E12159">
        <w:instrText xml:space="preserve"> SEQ Table \* ARABIC </w:instrText>
      </w:r>
      <w:r w:rsidR="00084CDD">
        <w:fldChar w:fldCharType="separate"/>
      </w:r>
      <w:r w:rsidR="00C52E30">
        <w:rPr>
          <w:noProof/>
        </w:rPr>
        <w:t>20</w:t>
      </w:r>
      <w:r w:rsidR="00084CDD">
        <w:fldChar w:fldCharType="end"/>
      </w:r>
      <w:bookmarkEnd w:id="290"/>
      <w:r w:rsidRPr="00B868E6">
        <w:t xml:space="preserve">. </w:t>
      </w:r>
      <w:r w:rsidR="00B868E6" w:rsidRPr="00B868E6">
        <w:t>Comparison of m</w:t>
      </w:r>
      <w:r w:rsidR="00054894" w:rsidRPr="00B868E6">
        <w:t>ulti</w:t>
      </w:r>
      <w:r w:rsidR="00B868E6" w:rsidRPr="00B868E6">
        <w:t>-</w:t>
      </w:r>
      <w:r w:rsidR="00054894" w:rsidRPr="00B868E6">
        <w:t xml:space="preserve">phase flow </w:t>
      </w:r>
      <w:r w:rsidR="00B868E6">
        <w:t>modelling codes</w:t>
      </w:r>
      <w:bookmarkEnd w:id="291"/>
      <w:r w:rsidR="00054894" w:rsidRPr="00054894">
        <w:t xml:space="preserve"> </w:t>
      </w:r>
    </w:p>
    <w:tbl>
      <w:tblPr>
        <w:tblStyle w:val="LightList12"/>
        <w:tblW w:w="5000" w:type="pct"/>
        <w:tblBorders>
          <w:top w:val="single" w:sz="4" w:space="0" w:color="auto"/>
          <w:left w:val="none" w:sz="0" w:space="0" w:color="auto"/>
          <w:bottom w:val="single" w:sz="4" w:space="0" w:color="auto"/>
          <w:right w:val="none" w:sz="0" w:space="0" w:color="auto"/>
        </w:tblBorders>
        <w:tblLook w:val="0600" w:firstRow="0" w:lastRow="0" w:firstColumn="0" w:lastColumn="0" w:noHBand="1" w:noVBand="1"/>
      </w:tblPr>
      <w:tblGrid>
        <w:gridCol w:w="1705"/>
        <w:gridCol w:w="3036"/>
        <w:gridCol w:w="3644"/>
        <w:gridCol w:w="1575"/>
        <w:gridCol w:w="2195"/>
        <w:gridCol w:w="2195"/>
        <w:gridCol w:w="2195"/>
        <w:gridCol w:w="2195"/>
        <w:gridCol w:w="2194"/>
      </w:tblGrid>
      <w:tr w:rsidR="00054894" w:rsidRPr="00054894" w14:paraId="5C45BA20" w14:textId="77777777" w:rsidTr="00E54883">
        <w:trPr>
          <w:trHeight w:hRule="exact" w:val="624"/>
          <w:tblHeader/>
        </w:trPr>
        <w:tc>
          <w:tcPr>
            <w:tcW w:w="407" w:type="pct"/>
            <w:tcBorders>
              <w:top w:val="single" w:sz="4" w:space="0" w:color="auto"/>
              <w:bottom w:val="single" w:sz="4" w:space="0" w:color="auto"/>
            </w:tcBorders>
            <w:shd w:val="clear" w:color="auto" w:fill="F2F2F2" w:themeFill="background1" w:themeFillShade="F2"/>
            <w:vAlign w:val="bottom"/>
          </w:tcPr>
          <w:p w14:paraId="2BEB6F9C" w14:textId="77777777" w:rsidR="00054894" w:rsidRPr="00054894" w:rsidRDefault="00054894" w:rsidP="00054894">
            <w:pPr>
              <w:spacing w:before="120" w:after="120"/>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Model</w:t>
            </w:r>
            <w:r>
              <w:rPr>
                <w:rFonts w:ascii="Calibri" w:eastAsia="Times New Roman" w:hAnsi="Calibri" w:cs="Arial"/>
                <w:color w:val="000000"/>
                <w:sz w:val="18"/>
                <w:szCs w:val="14"/>
                <w:lang w:val="en-US" w:eastAsia="en-AU"/>
              </w:rPr>
              <w:t xml:space="preserve"> *</w:t>
            </w:r>
          </w:p>
        </w:tc>
        <w:tc>
          <w:tcPr>
            <w:tcW w:w="725" w:type="pct"/>
            <w:tcBorders>
              <w:top w:val="single" w:sz="4" w:space="0" w:color="auto"/>
              <w:bottom w:val="single" w:sz="4" w:space="0" w:color="auto"/>
            </w:tcBorders>
            <w:shd w:val="clear" w:color="auto" w:fill="F2F2F2" w:themeFill="background1" w:themeFillShade="F2"/>
            <w:vAlign w:val="bottom"/>
          </w:tcPr>
          <w:p w14:paraId="022580ED" w14:textId="77777777" w:rsidR="00054894" w:rsidRPr="00054894" w:rsidRDefault="00054894" w:rsidP="00054894">
            <w:pPr>
              <w:spacing w:before="120" w:after="120"/>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Source</w:t>
            </w:r>
          </w:p>
        </w:tc>
        <w:tc>
          <w:tcPr>
            <w:tcW w:w="870" w:type="pct"/>
            <w:tcBorders>
              <w:top w:val="single" w:sz="4" w:space="0" w:color="auto"/>
              <w:bottom w:val="single" w:sz="4" w:space="0" w:color="auto"/>
            </w:tcBorders>
            <w:shd w:val="clear" w:color="auto" w:fill="F2F2F2" w:themeFill="background1" w:themeFillShade="F2"/>
            <w:vAlign w:val="bottom"/>
          </w:tcPr>
          <w:p w14:paraId="73CFC1FC" w14:textId="77777777" w:rsidR="00054894" w:rsidRPr="00054894" w:rsidRDefault="00054894" w:rsidP="00054894">
            <w:pPr>
              <w:spacing w:before="120" w:after="120"/>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Example</w:t>
            </w:r>
          </w:p>
        </w:tc>
        <w:tc>
          <w:tcPr>
            <w:tcW w:w="376" w:type="pct"/>
            <w:tcBorders>
              <w:top w:val="single" w:sz="4" w:space="0" w:color="auto"/>
              <w:bottom w:val="single" w:sz="4" w:space="0" w:color="auto"/>
            </w:tcBorders>
            <w:shd w:val="clear" w:color="auto" w:fill="F2F2F2" w:themeFill="background1" w:themeFillShade="F2"/>
            <w:vAlign w:val="bottom"/>
          </w:tcPr>
          <w:p w14:paraId="0451E21B" w14:textId="77777777" w:rsidR="00054894" w:rsidRPr="00054894" w:rsidRDefault="009D2AD3" w:rsidP="00E54883">
            <w:pPr>
              <w:spacing w:before="120" w:after="120"/>
              <w:rPr>
                <w:rFonts w:ascii="Calibri" w:eastAsia="Times New Roman" w:hAnsi="Calibri" w:cs="Arial"/>
                <w:color w:val="000000"/>
                <w:sz w:val="18"/>
                <w:szCs w:val="14"/>
                <w:lang w:eastAsia="en-AU"/>
              </w:rPr>
            </w:pPr>
            <w:r>
              <w:rPr>
                <w:rFonts w:ascii="Calibri" w:eastAsia="Times New Roman" w:hAnsi="Calibri" w:cs="Arial"/>
                <w:color w:val="000000"/>
                <w:sz w:val="18"/>
                <w:szCs w:val="14"/>
                <w:lang w:eastAsia="en-AU"/>
              </w:rPr>
              <w:t>Availability</w:t>
            </w:r>
          </w:p>
        </w:tc>
        <w:tc>
          <w:tcPr>
            <w:tcW w:w="524" w:type="pct"/>
            <w:tcBorders>
              <w:top w:val="single" w:sz="4" w:space="0" w:color="auto"/>
              <w:bottom w:val="single" w:sz="4" w:space="0" w:color="auto"/>
            </w:tcBorders>
            <w:shd w:val="clear" w:color="auto" w:fill="F2F2F2" w:themeFill="background1" w:themeFillShade="F2"/>
            <w:vAlign w:val="bottom"/>
          </w:tcPr>
          <w:p w14:paraId="545BCC19" w14:textId="77777777" w:rsidR="00054894" w:rsidRPr="00054894" w:rsidRDefault="00054894" w:rsidP="00054894">
            <w:pPr>
              <w:spacing w:before="120" w:after="120"/>
              <w:jc w:val="center"/>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Dual domain flow</w:t>
            </w:r>
          </w:p>
        </w:tc>
        <w:tc>
          <w:tcPr>
            <w:tcW w:w="524" w:type="pct"/>
            <w:tcBorders>
              <w:top w:val="single" w:sz="4" w:space="0" w:color="auto"/>
              <w:bottom w:val="single" w:sz="4" w:space="0" w:color="auto"/>
            </w:tcBorders>
            <w:shd w:val="clear" w:color="auto" w:fill="F2F2F2" w:themeFill="background1" w:themeFillShade="F2"/>
            <w:vAlign w:val="bottom"/>
          </w:tcPr>
          <w:p w14:paraId="60B1ADF3" w14:textId="77777777" w:rsidR="00054894" w:rsidRPr="00054894" w:rsidRDefault="00054894" w:rsidP="00054894">
            <w:pPr>
              <w:spacing w:before="120" w:after="120"/>
              <w:jc w:val="center"/>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Gas desorption</w:t>
            </w:r>
          </w:p>
        </w:tc>
        <w:tc>
          <w:tcPr>
            <w:tcW w:w="524" w:type="pct"/>
            <w:tcBorders>
              <w:top w:val="single" w:sz="4" w:space="0" w:color="auto"/>
              <w:bottom w:val="single" w:sz="4" w:space="0" w:color="auto"/>
            </w:tcBorders>
            <w:shd w:val="clear" w:color="auto" w:fill="F2F2F2" w:themeFill="background1" w:themeFillShade="F2"/>
            <w:vAlign w:val="bottom"/>
          </w:tcPr>
          <w:p w14:paraId="1B6B3F70" w14:textId="77777777" w:rsidR="00054894" w:rsidRPr="00054894" w:rsidRDefault="00054894" w:rsidP="00054894">
            <w:pPr>
              <w:spacing w:before="120" w:after="120"/>
              <w:jc w:val="center"/>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Geomechanical effects</w:t>
            </w:r>
          </w:p>
        </w:tc>
        <w:tc>
          <w:tcPr>
            <w:tcW w:w="524" w:type="pct"/>
            <w:tcBorders>
              <w:top w:val="single" w:sz="4" w:space="0" w:color="auto"/>
              <w:bottom w:val="single" w:sz="4" w:space="0" w:color="auto"/>
            </w:tcBorders>
            <w:shd w:val="clear" w:color="auto" w:fill="F2F2F2" w:themeFill="background1" w:themeFillShade="F2"/>
            <w:vAlign w:val="bottom"/>
          </w:tcPr>
          <w:p w14:paraId="7C6D5E56" w14:textId="77777777" w:rsidR="00054894" w:rsidRPr="00054894" w:rsidRDefault="00054894" w:rsidP="00054894">
            <w:pPr>
              <w:spacing w:before="120" w:after="120"/>
              <w:jc w:val="center"/>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Discrete fracture networks</w:t>
            </w:r>
          </w:p>
        </w:tc>
        <w:tc>
          <w:tcPr>
            <w:tcW w:w="524" w:type="pct"/>
            <w:tcBorders>
              <w:top w:val="single" w:sz="4" w:space="0" w:color="auto"/>
              <w:bottom w:val="single" w:sz="4" w:space="0" w:color="auto"/>
            </w:tcBorders>
            <w:shd w:val="clear" w:color="auto" w:fill="F2F2F2" w:themeFill="background1" w:themeFillShade="F2"/>
            <w:vAlign w:val="bottom"/>
          </w:tcPr>
          <w:p w14:paraId="0AC9015B" w14:textId="77777777" w:rsidR="00054894" w:rsidRPr="00054894" w:rsidRDefault="00054894" w:rsidP="00054894">
            <w:pPr>
              <w:spacing w:before="120" w:after="120"/>
              <w:jc w:val="center"/>
              <w:rPr>
                <w:rFonts w:ascii="Calibri" w:eastAsia="Times New Roman" w:hAnsi="Calibri" w:cs="Arial"/>
                <w:color w:val="000000"/>
                <w:sz w:val="18"/>
                <w:szCs w:val="14"/>
                <w:lang w:val="en-US" w:eastAsia="en-AU"/>
              </w:rPr>
            </w:pPr>
            <w:r w:rsidRPr="00054894">
              <w:rPr>
                <w:rFonts w:ascii="Calibri" w:eastAsia="Times New Roman" w:hAnsi="Calibri" w:cs="Arial"/>
                <w:color w:val="000000"/>
                <w:sz w:val="18"/>
                <w:szCs w:val="14"/>
                <w:lang w:val="en-US" w:eastAsia="en-AU"/>
              </w:rPr>
              <w:t>Reactive solute transport</w:t>
            </w:r>
          </w:p>
        </w:tc>
      </w:tr>
      <w:tr w:rsidR="00054894" w:rsidRPr="00834D8A" w14:paraId="2BB33E91" w14:textId="77777777" w:rsidTr="00E54883">
        <w:trPr>
          <w:trHeight w:hRule="exact" w:val="340"/>
        </w:trPr>
        <w:tc>
          <w:tcPr>
            <w:tcW w:w="407" w:type="pct"/>
            <w:tcBorders>
              <w:top w:val="nil"/>
            </w:tcBorders>
            <w:shd w:val="clear" w:color="auto" w:fill="auto"/>
            <w:vAlign w:val="center"/>
          </w:tcPr>
          <w:p w14:paraId="7A02550F" w14:textId="77777777" w:rsidR="00054894" w:rsidRPr="00834D8A" w:rsidRDefault="00054894" w:rsidP="00054894">
            <w:pPr>
              <w:suppressAutoHyphens/>
              <w:autoSpaceDE w:val="0"/>
              <w:autoSpaceDN w:val="0"/>
              <w:adjustRightInd w:val="0"/>
              <w:spacing w:before="20" w:after="20"/>
              <w:textAlignment w:val="center"/>
              <w:rPr>
                <w:rFonts w:ascii="Calibri" w:eastAsiaTheme="minorEastAsia" w:hAnsi="Calibri" w:cs="Calibri"/>
                <w:color w:val="000000"/>
                <w:sz w:val="20"/>
                <w:szCs w:val="20"/>
                <w:lang w:val="en-GB" w:eastAsia="ja-JP"/>
              </w:rPr>
            </w:pPr>
            <w:r w:rsidRPr="00834D8A">
              <w:rPr>
                <w:rFonts w:ascii="Calibri" w:eastAsiaTheme="minorEastAsia" w:hAnsi="Calibri" w:cs="Calibri"/>
                <w:color w:val="000000"/>
                <w:sz w:val="20"/>
                <w:szCs w:val="20"/>
                <w:lang w:val="en-GB" w:eastAsia="ja-JP"/>
              </w:rPr>
              <w:t>CODE_BRIGHT</w:t>
            </w:r>
          </w:p>
        </w:tc>
        <w:tc>
          <w:tcPr>
            <w:tcW w:w="725" w:type="pct"/>
            <w:tcBorders>
              <w:top w:val="nil"/>
            </w:tcBorders>
            <w:shd w:val="clear" w:color="auto" w:fill="auto"/>
            <w:vAlign w:val="center"/>
          </w:tcPr>
          <w:p w14:paraId="46860ED2" w14:textId="77777777" w:rsidR="00054894" w:rsidRPr="00D61ACF" w:rsidRDefault="00054894" w:rsidP="00F30E04">
            <w:pPr>
              <w:pStyle w:val="Body"/>
              <w:rPr>
                <w:lang w:eastAsia="ja-JP"/>
              </w:rPr>
            </w:pPr>
            <w:r w:rsidRPr="00881A6F">
              <w:rPr>
                <w:sz w:val="20"/>
                <w:lang w:eastAsia="ja-JP"/>
              </w:rPr>
              <w:t>Olivella et al. (1996)</w:t>
            </w:r>
          </w:p>
        </w:tc>
        <w:tc>
          <w:tcPr>
            <w:tcW w:w="870" w:type="pct"/>
            <w:tcBorders>
              <w:top w:val="nil"/>
            </w:tcBorders>
            <w:shd w:val="clear" w:color="auto" w:fill="auto"/>
            <w:vAlign w:val="center"/>
          </w:tcPr>
          <w:p w14:paraId="1FF35732" w14:textId="77777777" w:rsidR="00054894" w:rsidRPr="00D61ACF" w:rsidRDefault="00054894" w:rsidP="00881A6F">
            <w:pPr>
              <w:pStyle w:val="Body"/>
              <w:rPr>
                <w:lang w:eastAsia="en-AU"/>
              </w:rPr>
            </w:pPr>
            <w:r w:rsidRPr="00881A6F">
              <w:rPr>
                <w:sz w:val="20"/>
                <w:lang w:eastAsia="en-AU"/>
              </w:rPr>
              <w:t xml:space="preserve">Vilarrasa </w:t>
            </w:r>
            <w:r w:rsidR="00F30E04">
              <w:rPr>
                <w:sz w:val="20"/>
                <w:lang w:eastAsia="en-AU"/>
              </w:rPr>
              <w:t>et al.</w:t>
            </w:r>
            <w:r w:rsidRPr="00881A6F">
              <w:rPr>
                <w:sz w:val="20"/>
                <w:lang w:eastAsia="en-AU"/>
              </w:rPr>
              <w:t xml:space="preserve"> (2012)</w:t>
            </w:r>
          </w:p>
        </w:tc>
        <w:tc>
          <w:tcPr>
            <w:tcW w:w="376" w:type="pct"/>
            <w:tcBorders>
              <w:top w:val="nil"/>
            </w:tcBorders>
            <w:shd w:val="clear" w:color="auto" w:fill="auto"/>
            <w:vAlign w:val="center"/>
          </w:tcPr>
          <w:p w14:paraId="5564E8E3" w14:textId="77777777" w:rsidR="00054894" w:rsidRPr="00834D8A" w:rsidRDefault="009D2AD3" w:rsidP="00E54883">
            <w:pPr>
              <w:pStyle w:val="Body"/>
              <w:spacing w:before="20" w:after="20" w:line="240" w:lineRule="auto"/>
              <w:rPr>
                <w:sz w:val="20"/>
                <w:szCs w:val="20"/>
                <w:lang w:eastAsia="en-AU"/>
              </w:rPr>
            </w:pPr>
            <w:r w:rsidRPr="00834D8A">
              <w:rPr>
                <w:sz w:val="20"/>
                <w:szCs w:val="20"/>
                <w:lang w:eastAsia="en-AU"/>
              </w:rPr>
              <w:t>Academic</w:t>
            </w:r>
          </w:p>
        </w:tc>
        <w:tc>
          <w:tcPr>
            <w:tcW w:w="524" w:type="pct"/>
            <w:tcBorders>
              <w:top w:val="nil"/>
            </w:tcBorders>
            <w:shd w:val="clear" w:color="auto" w:fill="auto"/>
            <w:vAlign w:val="center"/>
          </w:tcPr>
          <w:p w14:paraId="1B47307F" w14:textId="77777777" w:rsidR="00054894" w:rsidRPr="00834D8A" w:rsidRDefault="00054894" w:rsidP="00054894">
            <w:pPr>
              <w:spacing w:before="20" w:after="20"/>
              <w:jc w:val="center"/>
              <w:rPr>
                <w:rFonts w:ascii="Calibri" w:eastAsia="Times New Roman" w:hAnsi="Calibri" w:cs="Arial"/>
                <w:b/>
                <w:sz w:val="20"/>
                <w:szCs w:val="20"/>
                <w:lang w:val="en-US" w:eastAsia="en-AU"/>
              </w:rPr>
            </w:pPr>
          </w:p>
        </w:tc>
        <w:tc>
          <w:tcPr>
            <w:tcW w:w="524" w:type="pct"/>
            <w:tcBorders>
              <w:top w:val="nil"/>
            </w:tcBorders>
            <w:shd w:val="clear" w:color="auto" w:fill="auto"/>
            <w:vAlign w:val="center"/>
          </w:tcPr>
          <w:p w14:paraId="151C3E6C" w14:textId="77777777" w:rsidR="00054894" w:rsidRPr="00834D8A" w:rsidRDefault="00054894"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tcBorders>
              <w:top w:val="nil"/>
            </w:tcBorders>
            <w:shd w:val="clear" w:color="auto" w:fill="auto"/>
            <w:vAlign w:val="center"/>
          </w:tcPr>
          <w:p w14:paraId="7793773E" w14:textId="77777777" w:rsidR="00054894" w:rsidRPr="00834D8A" w:rsidRDefault="00054894"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tcBorders>
              <w:top w:val="nil"/>
            </w:tcBorders>
            <w:shd w:val="clear" w:color="auto" w:fill="auto"/>
          </w:tcPr>
          <w:p w14:paraId="6F5286B2" w14:textId="77777777" w:rsidR="00054894" w:rsidRPr="00834D8A" w:rsidRDefault="00054894" w:rsidP="00054894">
            <w:pPr>
              <w:spacing w:before="20" w:after="20"/>
              <w:jc w:val="center"/>
              <w:rPr>
                <w:rFonts w:ascii="Calibri" w:eastAsia="Times New Roman" w:hAnsi="Calibri" w:cs="Arial"/>
                <w:b/>
                <w:sz w:val="20"/>
                <w:szCs w:val="20"/>
                <w:lang w:val="en-US" w:eastAsia="en-AU"/>
              </w:rPr>
            </w:pPr>
          </w:p>
        </w:tc>
        <w:tc>
          <w:tcPr>
            <w:tcW w:w="524" w:type="pct"/>
            <w:tcBorders>
              <w:top w:val="nil"/>
            </w:tcBorders>
            <w:shd w:val="clear" w:color="auto" w:fill="auto"/>
            <w:vAlign w:val="center"/>
          </w:tcPr>
          <w:p w14:paraId="4C06608F" w14:textId="77777777" w:rsidR="00054894" w:rsidRPr="00834D8A" w:rsidRDefault="00054894" w:rsidP="00054894">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p>
        </w:tc>
      </w:tr>
      <w:tr w:rsidR="00054894" w:rsidRPr="00834D8A" w14:paraId="6ACD0C8E" w14:textId="77777777" w:rsidTr="00E54883">
        <w:trPr>
          <w:trHeight w:hRule="exact" w:val="340"/>
        </w:trPr>
        <w:tc>
          <w:tcPr>
            <w:tcW w:w="407" w:type="pct"/>
            <w:tcBorders>
              <w:top w:val="nil"/>
            </w:tcBorders>
            <w:shd w:val="clear" w:color="auto" w:fill="auto"/>
            <w:vAlign w:val="center"/>
          </w:tcPr>
          <w:p w14:paraId="16741ABE" w14:textId="77777777" w:rsidR="00054894" w:rsidRPr="00834D8A" w:rsidRDefault="00054894"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COMET</w:t>
            </w:r>
            <w:r w:rsidR="003D76E6" w:rsidRPr="00834D8A">
              <w:rPr>
                <w:rFonts w:asciiTheme="majorHAnsi" w:eastAsiaTheme="minorEastAsia" w:hAnsiTheme="majorHAnsi" w:cs="Calibri"/>
                <w:color w:val="000000"/>
                <w:sz w:val="20"/>
                <w:szCs w:val="20"/>
                <w:lang w:val="en-GB" w:eastAsia="ja-JP"/>
              </w:rPr>
              <w:t xml:space="preserve"> </w:t>
            </w:r>
            <w:r w:rsidR="003D76E6" w:rsidRPr="00834D8A">
              <w:rPr>
                <w:rFonts w:asciiTheme="majorHAnsi" w:eastAsiaTheme="minorEastAsia" w:hAnsiTheme="majorHAnsi" w:cs="Calibri"/>
                <w:color w:val="000000"/>
                <w:sz w:val="20"/>
                <w:szCs w:val="20"/>
                <w:vertAlign w:val="superscript"/>
                <w:lang w:val="en-GB" w:eastAsia="ja-JP"/>
              </w:rPr>
              <w:t>b</w:t>
            </w:r>
          </w:p>
        </w:tc>
        <w:tc>
          <w:tcPr>
            <w:tcW w:w="725" w:type="pct"/>
            <w:tcBorders>
              <w:top w:val="nil"/>
            </w:tcBorders>
            <w:shd w:val="clear" w:color="auto" w:fill="auto"/>
            <w:vAlign w:val="center"/>
          </w:tcPr>
          <w:p w14:paraId="7F32AB3C" w14:textId="77777777" w:rsidR="00054894" w:rsidRPr="004F3F57" w:rsidRDefault="004F3F57" w:rsidP="004F3F57">
            <w:pPr>
              <w:pStyle w:val="Body"/>
              <w:rPr>
                <w:sz w:val="20"/>
                <w:lang w:eastAsia="en-AU"/>
              </w:rPr>
            </w:pPr>
            <w:r>
              <w:rPr>
                <w:sz w:val="20"/>
                <w:lang w:eastAsia="en-AU"/>
              </w:rPr>
              <w:t>ARI (2015)</w:t>
            </w:r>
          </w:p>
        </w:tc>
        <w:tc>
          <w:tcPr>
            <w:tcW w:w="870" w:type="pct"/>
            <w:tcBorders>
              <w:top w:val="nil"/>
            </w:tcBorders>
            <w:shd w:val="clear" w:color="auto" w:fill="auto"/>
            <w:vAlign w:val="center"/>
          </w:tcPr>
          <w:p w14:paraId="55E0102F" w14:textId="77777777" w:rsidR="00054894" w:rsidRPr="00D61ACF" w:rsidRDefault="00054894" w:rsidP="00881A6F">
            <w:pPr>
              <w:pStyle w:val="Body"/>
              <w:rPr>
                <w:lang w:eastAsia="en-AU"/>
              </w:rPr>
            </w:pPr>
            <w:r w:rsidRPr="00881A6F">
              <w:rPr>
                <w:sz w:val="20"/>
                <w:lang w:eastAsia="en-AU"/>
              </w:rPr>
              <w:t>Sawyer et al. (1990)</w:t>
            </w:r>
          </w:p>
        </w:tc>
        <w:tc>
          <w:tcPr>
            <w:tcW w:w="376" w:type="pct"/>
            <w:tcBorders>
              <w:top w:val="nil"/>
            </w:tcBorders>
            <w:shd w:val="clear" w:color="auto" w:fill="auto"/>
            <w:vAlign w:val="center"/>
          </w:tcPr>
          <w:p w14:paraId="0FD9D0CA" w14:textId="77777777" w:rsidR="00054894"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tcBorders>
              <w:top w:val="nil"/>
            </w:tcBorders>
            <w:shd w:val="clear" w:color="auto" w:fill="auto"/>
            <w:vAlign w:val="center"/>
          </w:tcPr>
          <w:p w14:paraId="322B9692" w14:textId="77777777" w:rsidR="00054894" w:rsidRPr="00834D8A" w:rsidRDefault="00054894" w:rsidP="00054894">
            <w:pPr>
              <w:spacing w:before="20" w:after="20"/>
              <w:jc w:val="center"/>
              <w:rPr>
                <w:rFonts w:ascii="Calibri" w:eastAsia="Times New Roman" w:hAnsi="Calibri" w:cs="Arial"/>
                <w:b/>
                <w:sz w:val="20"/>
                <w:szCs w:val="20"/>
                <w:lang w:val="en-US" w:eastAsia="en-AU"/>
              </w:rPr>
            </w:pPr>
            <w:bookmarkStart w:id="292" w:name="OLE_LINK1"/>
            <w:bookmarkStart w:id="293" w:name="OLE_LINK2"/>
            <w:bookmarkStart w:id="294" w:name="OLE_LINK3"/>
            <w:bookmarkStart w:id="295" w:name="OLE_LINK4"/>
            <w:r w:rsidRPr="00834D8A">
              <w:rPr>
                <w:rFonts w:ascii="Calibri" w:eastAsia="Times New Roman" w:hAnsi="Calibri" w:cs="Arial"/>
                <w:b/>
                <w:sz w:val="20"/>
                <w:szCs w:val="20"/>
                <w:lang w:val="en-US" w:eastAsia="en-AU"/>
              </w:rPr>
              <w:sym w:font="Wingdings" w:char="F0FC"/>
            </w:r>
            <w:bookmarkEnd w:id="292"/>
            <w:bookmarkEnd w:id="293"/>
            <w:bookmarkEnd w:id="294"/>
            <w:bookmarkEnd w:id="295"/>
          </w:p>
        </w:tc>
        <w:tc>
          <w:tcPr>
            <w:tcW w:w="524" w:type="pct"/>
            <w:tcBorders>
              <w:top w:val="nil"/>
            </w:tcBorders>
            <w:shd w:val="clear" w:color="auto" w:fill="auto"/>
            <w:vAlign w:val="center"/>
          </w:tcPr>
          <w:p w14:paraId="4D3C39ED" w14:textId="77777777" w:rsidR="00054894" w:rsidRPr="00834D8A" w:rsidRDefault="00054894"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tcBorders>
              <w:top w:val="nil"/>
            </w:tcBorders>
            <w:shd w:val="clear" w:color="auto" w:fill="auto"/>
            <w:vAlign w:val="center"/>
          </w:tcPr>
          <w:p w14:paraId="1A871F9A" w14:textId="77777777" w:rsidR="00054894" w:rsidRPr="00834D8A" w:rsidRDefault="00054894"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tcBorders>
              <w:top w:val="nil"/>
            </w:tcBorders>
            <w:shd w:val="clear" w:color="auto" w:fill="auto"/>
          </w:tcPr>
          <w:p w14:paraId="4CD41D01" w14:textId="77777777" w:rsidR="00054894" w:rsidRPr="00834D8A" w:rsidRDefault="00054894" w:rsidP="00054894">
            <w:pPr>
              <w:spacing w:before="20" w:after="20"/>
              <w:jc w:val="center"/>
              <w:rPr>
                <w:rFonts w:ascii="Calibri" w:eastAsia="Times New Roman" w:hAnsi="Calibri" w:cs="Arial"/>
                <w:b/>
                <w:sz w:val="20"/>
                <w:szCs w:val="20"/>
                <w:lang w:val="en-US" w:eastAsia="en-AU"/>
              </w:rPr>
            </w:pPr>
          </w:p>
        </w:tc>
        <w:tc>
          <w:tcPr>
            <w:tcW w:w="524" w:type="pct"/>
            <w:tcBorders>
              <w:top w:val="nil"/>
            </w:tcBorders>
            <w:shd w:val="clear" w:color="auto" w:fill="auto"/>
            <w:vAlign w:val="center"/>
          </w:tcPr>
          <w:p w14:paraId="006982D6" w14:textId="77777777" w:rsidR="00054894" w:rsidRPr="00834D8A" w:rsidRDefault="00054894" w:rsidP="00054894">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p>
        </w:tc>
      </w:tr>
      <w:tr w:rsidR="00054894" w:rsidRPr="00834D8A" w14:paraId="362A10BC" w14:textId="77777777" w:rsidTr="00E54883">
        <w:trPr>
          <w:trHeight w:hRule="exact" w:val="340"/>
        </w:trPr>
        <w:tc>
          <w:tcPr>
            <w:tcW w:w="407" w:type="pct"/>
            <w:shd w:val="clear" w:color="auto" w:fill="auto"/>
            <w:vAlign w:val="center"/>
          </w:tcPr>
          <w:p w14:paraId="576781FF" w14:textId="77777777" w:rsidR="00054894" w:rsidRPr="00834D8A" w:rsidRDefault="00054894"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 xml:space="preserve">COMSOL </w:t>
            </w:r>
          </w:p>
        </w:tc>
        <w:tc>
          <w:tcPr>
            <w:tcW w:w="725" w:type="pct"/>
            <w:shd w:val="clear" w:color="auto" w:fill="auto"/>
            <w:vAlign w:val="center"/>
          </w:tcPr>
          <w:p w14:paraId="38F2F6C5" w14:textId="77777777" w:rsidR="00054894" w:rsidRPr="004F3F57" w:rsidRDefault="004F3F57" w:rsidP="004F3F57">
            <w:pPr>
              <w:pStyle w:val="Body"/>
              <w:rPr>
                <w:sz w:val="20"/>
                <w:lang w:eastAsia="en-AU"/>
              </w:rPr>
            </w:pPr>
            <w:r>
              <w:rPr>
                <w:sz w:val="20"/>
                <w:lang w:eastAsia="en-AU"/>
              </w:rPr>
              <w:t>COMSOL Inc. (2015)</w:t>
            </w:r>
          </w:p>
        </w:tc>
        <w:tc>
          <w:tcPr>
            <w:tcW w:w="870" w:type="pct"/>
            <w:shd w:val="clear" w:color="auto" w:fill="auto"/>
            <w:vAlign w:val="center"/>
          </w:tcPr>
          <w:p w14:paraId="5BF1A2F4" w14:textId="77777777" w:rsidR="00054894" w:rsidRPr="00881A6F" w:rsidRDefault="00054894" w:rsidP="00881A6F">
            <w:pPr>
              <w:pStyle w:val="Body"/>
            </w:pPr>
            <w:r w:rsidRPr="00881A6F">
              <w:rPr>
                <w:sz w:val="20"/>
              </w:rPr>
              <w:t>Zhu et al. (2007)</w:t>
            </w:r>
          </w:p>
        </w:tc>
        <w:tc>
          <w:tcPr>
            <w:tcW w:w="376" w:type="pct"/>
            <w:shd w:val="clear" w:color="auto" w:fill="auto"/>
            <w:vAlign w:val="center"/>
          </w:tcPr>
          <w:p w14:paraId="60055E1A" w14:textId="77777777" w:rsidR="00054894"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shd w:val="clear" w:color="auto" w:fill="auto"/>
            <w:vAlign w:val="center"/>
          </w:tcPr>
          <w:p w14:paraId="48F80820" w14:textId="77777777" w:rsidR="00054894" w:rsidRPr="00834D8A" w:rsidRDefault="00054894"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6E5C970D" w14:textId="77777777" w:rsidR="00054894" w:rsidRPr="00834D8A" w:rsidRDefault="00054894"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711BCF59" w14:textId="77777777" w:rsidR="00054894" w:rsidRPr="00834D8A" w:rsidRDefault="00054894"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tcPr>
          <w:p w14:paraId="52EE6C76" w14:textId="77777777" w:rsidR="00054894" w:rsidRPr="00834D8A" w:rsidRDefault="00054894"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tcPr>
          <w:p w14:paraId="1FC3D0B2" w14:textId="77777777" w:rsidR="00054894" w:rsidRPr="00834D8A" w:rsidRDefault="00054894"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r>
      <w:tr w:rsidR="009D2AD3" w:rsidRPr="00834D8A" w14:paraId="570A0AA4" w14:textId="77777777" w:rsidTr="00E54883">
        <w:trPr>
          <w:trHeight w:hRule="exact" w:val="340"/>
        </w:trPr>
        <w:tc>
          <w:tcPr>
            <w:tcW w:w="407" w:type="pct"/>
            <w:shd w:val="clear" w:color="auto" w:fill="auto"/>
            <w:vAlign w:val="center"/>
          </w:tcPr>
          <w:p w14:paraId="06D0CE7F"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COORES</w:t>
            </w:r>
          </w:p>
        </w:tc>
        <w:tc>
          <w:tcPr>
            <w:tcW w:w="725" w:type="pct"/>
            <w:shd w:val="clear" w:color="auto" w:fill="auto"/>
            <w:vAlign w:val="center"/>
          </w:tcPr>
          <w:p w14:paraId="138E9B95" w14:textId="77777777" w:rsidR="009D2AD3" w:rsidRPr="004F3F57" w:rsidRDefault="004F3F57" w:rsidP="004F3F57">
            <w:pPr>
              <w:pStyle w:val="Body"/>
              <w:rPr>
                <w:sz w:val="20"/>
                <w:lang w:eastAsia="en-AU"/>
              </w:rPr>
            </w:pPr>
            <w:r>
              <w:rPr>
                <w:sz w:val="20"/>
                <w:lang w:eastAsia="en-AU"/>
              </w:rPr>
              <w:t>CGS Europe (2015)</w:t>
            </w:r>
          </w:p>
        </w:tc>
        <w:tc>
          <w:tcPr>
            <w:tcW w:w="870" w:type="pct"/>
            <w:shd w:val="clear" w:color="auto" w:fill="auto"/>
            <w:vAlign w:val="center"/>
          </w:tcPr>
          <w:p w14:paraId="60F35481" w14:textId="77777777" w:rsidR="009D2AD3" w:rsidRPr="00D61ACF" w:rsidRDefault="009D2AD3" w:rsidP="00881A6F">
            <w:pPr>
              <w:pStyle w:val="Body"/>
              <w:rPr>
                <w:lang w:eastAsia="en-AU"/>
              </w:rPr>
            </w:pPr>
            <w:r w:rsidRPr="00881A6F">
              <w:rPr>
                <w:sz w:val="20"/>
                <w:lang w:eastAsia="en-AU"/>
              </w:rPr>
              <w:t>Tele</w:t>
            </w:r>
            <w:r w:rsidR="00F30E04">
              <w:rPr>
                <w:sz w:val="20"/>
                <w:lang w:eastAsia="en-AU"/>
              </w:rPr>
              <w:t>s et al.</w:t>
            </w:r>
            <w:r w:rsidRPr="00881A6F">
              <w:rPr>
                <w:sz w:val="20"/>
                <w:lang w:eastAsia="en-AU"/>
              </w:rPr>
              <w:t xml:space="preserve"> (2014)</w:t>
            </w:r>
          </w:p>
        </w:tc>
        <w:tc>
          <w:tcPr>
            <w:tcW w:w="376" w:type="pct"/>
            <w:shd w:val="clear" w:color="auto" w:fill="auto"/>
            <w:vAlign w:val="center"/>
          </w:tcPr>
          <w:p w14:paraId="71FDCD99"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shd w:val="clear" w:color="auto" w:fill="auto"/>
            <w:vAlign w:val="center"/>
          </w:tcPr>
          <w:p w14:paraId="30C566A3"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1FFF3F07"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1E21B1C8"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0DAE0F04"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6982B942"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r>
      <w:tr w:rsidR="009D2AD3" w:rsidRPr="00834D8A" w14:paraId="4614D583" w14:textId="77777777" w:rsidTr="00E54883">
        <w:trPr>
          <w:trHeight w:hRule="exact" w:val="340"/>
        </w:trPr>
        <w:tc>
          <w:tcPr>
            <w:tcW w:w="407" w:type="pct"/>
            <w:shd w:val="clear" w:color="auto" w:fill="auto"/>
            <w:vAlign w:val="center"/>
          </w:tcPr>
          <w:p w14:paraId="37472479" w14:textId="77777777" w:rsidR="009D2AD3" w:rsidRPr="00834D8A" w:rsidRDefault="009D2AD3" w:rsidP="00054894">
            <w:pPr>
              <w:suppressAutoHyphens/>
              <w:autoSpaceDE w:val="0"/>
              <w:autoSpaceDN w:val="0"/>
              <w:adjustRightInd w:val="0"/>
              <w:spacing w:before="20" w:after="20"/>
              <w:textAlignment w:val="center"/>
              <w:rPr>
                <w:rFonts w:ascii="Calibri" w:eastAsiaTheme="minorEastAsia" w:hAnsi="Calibri" w:cs="Calibri"/>
                <w:sz w:val="20"/>
                <w:szCs w:val="20"/>
                <w:lang w:val="en-GB" w:eastAsia="ja-JP"/>
              </w:rPr>
            </w:pPr>
            <w:r w:rsidRPr="00834D8A">
              <w:rPr>
                <w:rFonts w:ascii="Calibri" w:eastAsiaTheme="minorEastAsia" w:hAnsi="Calibri" w:cs="Calibri"/>
                <w:sz w:val="20"/>
                <w:szCs w:val="20"/>
                <w:lang w:val="en-GB" w:eastAsia="ja-JP"/>
              </w:rPr>
              <w:t>CORE2D</w:t>
            </w:r>
          </w:p>
        </w:tc>
        <w:tc>
          <w:tcPr>
            <w:tcW w:w="725" w:type="pct"/>
            <w:shd w:val="clear" w:color="auto" w:fill="auto"/>
            <w:vAlign w:val="center"/>
          </w:tcPr>
          <w:p w14:paraId="3F4F0934" w14:textId="77777777" w:rsidR="009D2AD3" w:rsidRPr="00D61ACF" w:rsidRDefault="009D2AD3" w:rsidP="00F30E04">
            <w:pPr>
              <w:pStyle w:val="Body"/>
              <w:rPr>
                <w:lang w:eastAsia="en-AU"/>
              </w:rPr>
            </w:pPr>
            <w:r w:rsidRPr="00F86BF2">
              <w:rPr>
                <w:sz w:val="20"/>
                <w:lang w:eastAsia="en-AU"/>
              </w:rPr>
              <w:t>Zhang et al. (2012)</w:t>
            </w:r>
          </w:p>
        </w:tc>
        <w:tc>
          <w:tcPr>
            <w:tcW w:w="870" w:type="pct"/>
            <w:shd w:val="clear" w:color="auto" w:fill="auto"/>
            <w:vAlign w:val="center"/>
          </w:tcPr>
          <w:p w14:paraId="5620E229" w14:textId="77777777" w:rsidR="009D2AD3" w:rsidRPr="00D61ACF" w:rsidRDefault="009D2AD3" w:rsidP="00F30E04">
            <w:pPr>
              <w:pStyle w:val="Body"/>
              <w:rPr>
                <w:lang w:eastAsia="en-AU"/>
              </w:rPr>
            </w:pPr>
            <w:r w:rsidRPr="00B1063B">
              <w:rPr>
                <w:sz w:val="20"/>
                <w:lang w:eastAsia="en-AU"/>
              </w:rPr>
              <w:t>Samper et al. (2008)</w:t>
            </w:r>
          </w:p>
        </w:tc>
        <w:tc>
          <w:tcPr>
            <w:tcW w:w="376" w:type="pct"/>
            <w:shd w:val="clear" w:color="auto" w:fill="auto"/>
            <w:vAlign w:val="center"/>
          </w:tcPr>
          <w:p w14:paraId="469129AB"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49F858BE"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57713FC6"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c>
          <w:tcPr>
            <w:tcW w:w="524" w:type="pct"/>
            <w:shd w:val="clear" w:color="auto" w:fill="auto"/>
            <w:vAlign w:val="center"/>
          </w:tcPr>
          <w:p w14:paraId="2EA86519"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0D3B4594"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35E8FBE8"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r>
      <w:tr w:rsidR="009D2AD3" w:rsidRPr="00834D8A" w14:paraId="42BDAD8D" w14:textId="77777777" w:rsidTr="00E54883">
        <w:trPr>
          <w:trHeight w:hRule="exact" w:val="340"/>
        </w:trPr>
        <w:tc>
          <w:tcPr>
            <w:tcW w:w="407" w:type="pct"/>
            <w:shd w:val="clear" w:color="auto" w:fill="auto"/>
            <w:vAlign w:val="center"/>
          </w:tcPr>
          <w:p w14:paraId="284FE173"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 xml:space="preserve">COSFLOW </w:t>
            </w:r>
            <w:r w:rsidRPr="00834D8A">
              <w:rPr>
                <w:rFonts w:asciiTheme="majorHAnsi" w:eastAsiaTheme="minorEastAsia" w:hAnsiTheme="majorHAnsi" w:cs="Calibri"/>
                <w:color w:val="000000"/>
                <w:sz w:val="20"/>
                <w:szCs w:val="20"/>
                <w:vertAlign w:val="superscript"/>
                <w:lang w:val="en-GB" w:eastAsia="ja-JP"/>
              </w:rPr>
              <w:t>b</w:t>
            </w:r>
          </w:p>
        </w:tc>
        <w:tc>
          <w:tcPr>
            <w:tcW w:w="725" w:type="pct"/>
            <w:shd w:val="clear" w:color="auto" w:fill="auto"/>
            <w:vAlign w:val="center"/>
          </w:tcPr>
          <w:p w14:paraId="1B88D0F8" w14:textId="77777777" w:rsidR="009D2AD3" w:rsidRPr="00D61ACF" w:rsidRDefault="009D2AD3" w:rsidP="00B1063B">
            <w:pPr>
              <w:pStyle w:val="Body"/>
              <w:rPr>
                <w:lang w:eastAsia="en-AU"/>
              </w:rPr>
            </w:pPr>
            <w:r w:rsidRPr="00B1063B">
              <w:rPr>
                <w:sz w:val="20"/>
                <w:lang w:eastAsia="en-AU"/>
              </w:rPr>
              <w:t>Adhikary and Guo (2005)</w:t>
            </w:r>
          </w:p>
        </w:tc>
        <w:tc>
          <w:tcPr>
            <w:tcW w:w="870" w:type="pct"/>
            <w:shd w:val="clear" w:color="auto" w:fill="auto"/>
            <w:vAlign w:val="center"/>
          </w:tcPr>
          <w:p w14:paraId="6AC58BEA" w14:textId="77777777" w:rsidR="009D2AD3" w:rsidRPr="00D61ACF" w:rsidRDefault="009D2AD3" w:rsidP="00F30E04">
            <w:pPr>
              <w:pStyle w:val="Body"/>
              <w:rPr>
                <w:lang w:eastAsia="en-AU"/>
              </w:rPr>
            </w:pPr>
            <w:r w:rsidRPr="001F0B04">
              <w:rPr>
                <w:sz w:val="20"/>
                <w:lang w:eastAsia="en-AU"/>
              </w:rPr>
              <w:t>Guo et al. (2009)</w:t>
            </w:r>
          </w:p>
        </w:tc>
        <w:tc>
          <w:tcPr>
            <w:tcW w:w="376" w:type="pct"/>
            <w:shd w:val="clear" w:color="auto" w:fill="auto"/>
            <w:vAlign w:val="center"/>
          </w:tcPr>
          <w:p w14:paraId="37957756"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7C0FE44C"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08B63172"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5093A360"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tcPr>
          <w:p w14:paraId="4AEF8639"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61FD0535"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r>
      <w:tr w:rsidR="009D2AD3" w:rsidRPr="00834D8A" w14:paraId="326C268F" w14:textId="77777777" w:rsidTr="00E54883">
        <w:trPr>
          <w:trHeight w:hRule="exact" w:val="340"/>
        </w:trPr>
        <w:tc>
          <w:tcPr>
            <w:tcW w:w="407" w:type="pct"/>
            <w:shd w:val="clear" w:color="auto" w:fill="auto"/>
            <w:vAlign w:val="center"/>
          </w:tcPr>
          <w:p w14:paraId="01B7D843" w14:textId="77777777" w:rsidR="009D2AD3" w:rsidRPr="00834D8A" w:rsidRDefault="009D2AD3" w:rsidP="00054894">
            <w:pPr>
              <w:suppressAutoHyphens/>
              <w:autoSpaceDE w:val="0"/>
              <w:autoSpaceDN w:val="0"/>
              <w:adjustRightInd w:val="0"/>
              <w:spacing w:before="20" w:after="20"/>
              <w:textAlignment w:val="center"/>
              <w:rPr>
                <w:rFonts w:ascii="Calibri" w:eastAsiaTheme="minorEastAsia" w:hAnsi="Calibri" w:cs="Calibri"/>
                <w:sz w:val="20"/>
                <w:szCs w:val="20"/>
                <w:lang w:val="en-GB" w:eastAsia="ja-JP"/>
              </w:rPr>
            </w:pPr>
            <w:r w:rsidRPr="00834D8A">
              <w:rPr>
                <w:rFonts w:ascii="Calibri" w:eastAsiaTheme="minorEastAsia" w:hAnsi="Calibri" w:cs="Calibri"/>
                <w:sz w:val="20"/>
                <w:szCs w:val="20"/>
                <w:lang w:val="en-GB" w:eastAsia="ja-JP"/>
              </w:rPr>
              <w:t>CRUNCHFLOW</w:t>
            </w:r>
          </w:p>
        </w:tc>
        <w:tc>
          <w:tcPr>
            <w:tcW w:w="725" w:type="pct"/>
            <w:shd w:val="clear" w:color="auto" w:fill="auto"/>
            <w:vAlign w:val="center"/>
          </w:tcPr>
          <w:p w14:paraId="04F0343F" w14:textId="77777777" w:rsidR="009D2AD3" w:rsidRPr="00D61ACF" w:rsidRDefault="009D2AD3" w:rsidP="00F30E04">
            <w:pPr>
              <w:pStyle w:val="Body"/>
              <w:rPr>
                <w:lang w:eastAsia="en-AU"/>
              </w:rPr>
            </w:pPr>
            <w:r w:rsidRPr="00F30E04">
              <w:rPr>
                <w:sz w:val="20"/>
                <w:lang w:eastAsia="en-AU"/>
              </w:rPr>
              <w:t>Steefel (2009)</w:t>
            </w:r>
          </w:p>
        </w:tc>
        <w:tc>
          <w:tcPr>
            <w:tcW w:w="870" w:type="pct"/>
            <w:shd w:val="clear" w:color="auto" w:fill="auto"/>
            <w:vAlign w:val="center"/>
          </w:tcPr>
          <w:p w14:paraId="0E110752" w14:textId="2C52497C" w:rsidR="009D2AD3" w:rsidRPr="00F30E04" w:rsidRDefault="009D2AD3">
            <w:pPr>
              <w:pStyle w:val="Body"/>
              <w:rPr>
                <w:sz w:val="20"/>
                <w:lang w:eastAsia="en-AU"/>
              </w:rPr>
            </w:pPr>
            <w:r w:rsidRPr="00F30E04">
              <w:rPr>
                <w:sz w:val="20"/>
                <w:lang w:eastAsia="en-AU"/>
              </w:rPr>
              <w:t>Zhang et al. (2015)</w:t>
            </w:r>
          </w:p>
        </w:tc>
        <w:tc>
          <w:tcPr>
            <w:tcW w:w="376" w:type="pct"/>
            <w:shd w:val="clear" w:color="auto" w:fill="auto"/>
            <w:vAlign w:val="center"/>
          </w:tcPr>
          <w:p w14:paraId="3E528243"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7E5C18BE"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b/>
                <w:color w:val="000000"/>
                <w:sz w:val="20"/>
                <w:szCs w:val="20"/>
                <w:lang w:val="en-GB" w:eastAsia="en-AU"/>
              </w:rPr>
            </w:pPr>
          </w:p>
        </w:tc>
        <w:tc>
          <w:tcPr>
            <w:tcW w:w="524" w:type="pct"/>
            <w:shd w:val="clear" w:color="auto" w:fill="auto"/>
            <w:vAlign w:val="center"/>
          </w:tcPr>
          <w:p w14:paraId="2E2E35CC"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b/>
                <w:color w:val="000000"/>
                <w:sz w:val="20"/>
                <w:szCs w:val="20"/>
                <w:lang w:val="en-GB" w:eastAsia="en-AU"/>
              </w:rPr>
            </w:pPr>
          </w:p>
        </w:tc>
        <w:tc>
          <w:tcPr>
            <w:tcW w:w="524" w:type="pct"/>
            <w:shd w:val="clear" w:color="auto" w:fill="auto"/>
            <w:vAlign w:val="center"/>
          </w:tcPr>
          <w:p w14:paraId="3DD2A7DB"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557E40BE"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67869E1A"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r>
      <w:tr w:rsidR="009D2AD3" w:rsidRPr="00834D8A" w14:paraId="73B42029" w14:textId="77777777" w:rsidTr="00E54883">
        <w:trPr>
          <w:trHeight w:hRule="exact" w:val="340"/>
        </w:trPr>
        <w:tc>
          <w:tcPr>
            <w:tcW w:w="407" w:type="pct"/>
            <w:shd w:val="clear" w:color="auto" w:fill="auto"/>
            <w:vAlign w:val="center"/>
          </w:tcPr>
          <w:p w14:paraId="7A1010FD"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D3F</w:t>
            </w:r>
          </w:p>
        </w:tc>
        <w:tc>
          <w:tcPr>
            <w:tcW w:w="725" w:type="pct"/>
            <w:shd w:val="clear" w:color="auto" w:fill="auto"/>
            <w:vAlign w:val="center"/>
          </w:tcPr>
          <w:p w14:paraId="5568C055" w14:textId="77777777" w:rsidR="009D2AD3" w:rsidRPr="00D61ACF" w:rsidRDefault="009D2AD3" w:rsidP="00F30E04">
            <w:pPr>
              <w:pStyle w:val="Body"/>
              <w:rPr>
                <w:lang w:eastAsia="en-AU"/>
              </w:rPr>
            </w:pPr>
            <w:r w:rsidRPr="00F30E04">
              <w:rPr>
                <w:sz w:val="20"/>
                <w:lang w:eastAsia="en-AU"/>
              </w:rPr>
              <w:t>Schneider et</w:t>
            </w:r>
            <w:r w:rsidR="00F30E04">
              <w:rPr>
                <w:sz w:val="20"/>
                <w:lang w:eastAsia="en-AU"/>
              </w:rPr>
              <w:t xml:space="preserve"> al.</w:t>
            </w:r>
            <w:r w:rsidRPr="00F30E04">
              <w:rPr>
                <w:sz w:val="20"/>
                <w:lang w:eastAsia="en-AU"/>
              </w:rPr>
              <w:t xml:space="preserve"> (2012)</w:t>
            </w:r>
          </w:p>
        </w:tc>
        <w:tc>
          <w:tcPr>
            <w:tcW w:w="870" w:type="pct"/>
            <w:shd w:val="clear" w:color="auto" w:fill="auto"/>
            <w:vAlign w:val="center"/>
          </w:tcPr>
          <w:p w14:paraId="2EA751A0" w14:textId="77777777" w:rsidR="009D2AD3" w:rsidRPr="007D6A94" w:rsidRDefault="009D2AD3" w:rsidP="00F30E04">
            <w:pPr>
              <w:pStyle w:val="Body"/>
              <w:rPr>
                <w:sz w:val="20"/>
                <w:lang w:eastAsia="en-AU"/>
              </w:rPr>
            </w:pPr>
            <w:r w:rsidRPr="007D6A94">
              <w:rPr>
                <w:sz w:val="20"/>
                <w:lang w:eastAsia="en-AU"/>
              </w:rPr>
              <w:t>Kroehn (2012)</w:t>
            </w:r>
          </w:p>
        </w:tc>
        <w:tc>
          <w:tcPr>
            <w:tcW w:w="376" w:type="pct"/>
            <w:shd w:val="clear" w:color="auto" w:fill="auto"/>
            <w:vAlign w:val="center"/>
          </w:tcPr>
          <w:p w14:paraId="63F32B4F"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02D15AC8"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vAlign w:val="center"/>
          </w:tcPr>
          <w:p w14:paraId="34945F68"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3B1CEDD4"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5FDCAEB6"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tcPr>
          <w:p w14:paraId="30276E02"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heme="minorEastAsia" w:hAnsi="Calibri" w:cs="Calibri"/>
                <w:sz w:val="20"/>
                <w:szCs w:val="20"/>
                <w:lang w:val="en-GB" w:eastAsia="ja-JP"/>
              </w:rPr>
              <w:t>R3T</w:t>
            </w:r>
          </w:p>
        </w:tc>
      </w:tr>
      <w:tr w:rsidR="009D2AD3" w:rsidRPr="00834D8A" w14:paraId="663CA182" w14:textId="77777777" w:rsidTr="00E54883">
        <w:trPr>
          <w:trHeight w:hRule="exact" w:val="340"/>
        </w:trPr>
        <w:tc>
          <w:tcPr>
            <w:tcW w:w="407" w:type="pct"/>
            <w:shd w:val="clear" w:color="auto" w:fill="auto"/>
            <w:vAlign w:val="center"/>
          </w:tcPr>
          <w:p w14:paraId="6042B223"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DUMUX</w:t>
            </w:r>
          </w:p>
        </w:tc>
        <w:tc>
          <w:tcPr>
            <w:tcW w:w="725" w:type="pct"/>
            <w:shd w:val="clear" w:color="auto" w:fill="auto"/>
            <w:vAlign w:val="center"/>
          </w:tcPr>
          <w:p w14:paraId="79B8E29F" w14:textId="77777777" w:rsidR="009D2AD3" w:rsidRPr="007D6A94" w:rsidRDefault="009D2AD3" w:rsidP="00F30E04">
            <w:pPr>
              <w:pStyle w:val="Body"/>
              <w:rPr>
                <w:sz w:val="20"/>
                <w:lang w:eastAsia="en-AU"/>
              </w:rPr>
            </w:pPr>
            <w:r w:rsidRPr="007D6A94">
              <w:rPr>
                <w:sz w:val="20"/>
                <w:lang w:eastAsia="en-AU"/>
              </w:rPr>
              <w:t>Flemisch et al., (2007)</w:t>
            </w:r>
          </w:p>
        </w:tc>
        <w:tc>
          <w:tcPr>
            <w:tcW w:w="870" w:type="pct"/>
            <w:shd w:val="clear" w:color="auto" w:fill="auto"/>
            <w:vAlign w:val="center"/>
          </w:tcPr>
          <w:p w14:paraId="44DADBE8" w14:textId="77777777" w:rsidR="009D2AD3" w:rsidRPr="00F30E04" w:rsidRDefault="009D2AD3" w:rsidP="00F30E04">
            <w:pPr>
              <w:pStyle w:val="Body"/>
              <w:rPr>
                <w:sz w:val="20"/>
                <w:lang w:eastAsia="en-AU"/>
              </w:rPr>
            </w:pPr>
            <w:r w:rsidRPr="00F30E04">
              <w:rPr>
                <w:sz w:val="20"/>
                <w:lang w:eastAsia="en-AU"/>
              </w:rPr>
              <w:t>Stadler et al. (2012)</w:t>
            </w:r>
          </w:p>
        </w:tc>
        <w:tc>
          <w:tcPr>
            <w:tcW w:w="376" w:type="pct"/>
            <w:shd w:val="clear" w:color="auto" w:fill="auto"/>
            <w:vAlign w:val="center"/>
          </w:tcPr>
          <w:p w14:paraId="1B332DB9"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156DCEE7"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30A72C57"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185CD6D5"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3CAA58F5"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6E2395F4"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r>
      <w:tr w:rsidR="009D2AD3" w:rsidRPr="00834D8A" w14:paraId="25CF05E0" w14:textId="77777777" w:rsidTr="00E54883">
        <w:trPr>
          <w:trHeight w:hRule="exact" w:val="340"/>
        </w:trPr>
        <w:tc>
          <w:tcPr>
            <w:tcW w:w="407" w:type="pct"/>
            <w:shd w:val="clear" w:color="auto" w:fill="auto"/>
            <w:vAlign w:val="center"/>
          </w:tcPr>
          <w:p w14:paraId="3F0CD969"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DYNAFLOW</w:t>
            </w:r>
          </w:p>
        </w:tc>
        <w:tc>
          <w:tcPr>
            <w:tcW w:w="725" w:type="pct"/>
            <w:shd w:val="clear" w:color="auto" w:fill="auto"/>
            <w:vAlign w:val="center"/>
          </w:tcPr>
          <w:p w14:paraId="6AFD5B2C" w14:textId="77777777" w:rsidR="009D2AD3" w:rsidRPr="00F30E04" w:rsidRDefault="009D2AD3" w:rsidP="00F30E04">
            <w:pPr>
              <w:pStyle w:val="Body"/>
              <w:rPr>
                <w:sz w:val="20"/>
                <w:lang w:eastAsia="en-AU"/>
              </w:rPr>
            </w:pPr>
            <w:r w:rsidRPr="00F30E04">
              <w:rPr>
                <w:sz w:val="20"/>
                <w:lang w:eastAsia="en-AU"/>
              </w:rPr>
              <w:t>Prevost (2010)</w:t>
            </w:r>
          </w:p>
        </w:tc>
        <w:tc>
          <w:tcPr>
            <w:tcW w:w="870" w:type="pct"/>
            <w:shd w:val="clear" w:color="auto" w:fill="auto"/>
            <w:vAlign w:val="center"/>
          </w:tcPr>
          <w:p w14:paraId="149F9282" w14:textId="77777777" w:rsidR="009D2AD3" w:rsidRPr="00F30E04" w:rsidRDefault="009D2AD3" w:rsidP="00F30E04">
            <w:pPr>
              <w:pStyle w:val="Body"/>
              <w:rPr>
                <w:sz w:val="20"/>
                <w:lang w:eastAsia="en-AU"/>
              </w:rPr>
            </w:pPr>
            <w:r w:rsidRPr="00F30E04">
              <w:rPr>
                <w:sz w:val="20"/>
                <w:lang w:eastAsia="en-AU"/>
              </w:rPr>
              <w:t>Preisig and Prevost (2011)</w:t>
            </w:r>
          </w:p>
        </w:tc>
        <w:tc>
          <w:tcPr>
            <w:tcW w:w="376" w:type="pct"/>
            <w:shd w:val="clear" w:color="auto" w:fill="auto"/>
            <w:vAlign w:val="center"/>
          </w:tcPr>
          <w:p w14:paraId="48C451E1"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2E85F79C"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vAlign w:val="center"/>
          </w:tcPr>
          <w:p w14:paraId="6478F176"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0ED43B40"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tcPr>
          <w:p w14:paraId="7EF1B1A1"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19387436"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r>
      <w:tr w:rsidR="009D2AD3" w:rsidRPr="00834D8A" w14:paraId="76B0D58B" w14:textId="77777777" w:rsidTr="00E54883">
        <w:trPr>
          <w:trHeight w:hRule="exact" w:val="340"/>
        </w:trPr>
        <w:tc>
          <w:tcPr>
            <w:tcW w:w="407" w:type="pct"/>
            <w:shd w:val="clear" w:color="auto" w:fill="auto"/>
            <w:vAlign w:val="center"/>
          </w:tcPr>
          <w:p w14:paraId="12211614"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 xml:space="preserve">ECLIPSE </w:t>
            </w:r>
            <w:r w:rsidRPr="00834D8A">
              <w:rPr>
                <w:rFonts w:asciiTheme="majorHAnsi" w:eastAsiaTheme="minorEastAsia" w:hAnsiTheme="majorHAnsi" w:cs="Calibri"/>
                <w:color w:val="000000"/>
                <w:sz w:val="20"/>
                <w:szCs w:val="20"/>
                <w:vertAlign w:val="superscript"/>
                <w:lang w:val="en-GB" w:eastAsia="ja-JP"/>
              </w:rPr>
              <w:t>a</w:t>
            </w:r>
          </w:p>
        </w:tc>
        <w:tc>
          <w:tcPr>
            <w:tcW w:w="725" w:type="pct"/>
            <w:shd w:val="clear" w:color="auto" w:fill="auto"/>
            <w:vAlign w:val="center"/>
          </w:tcPr>
          <w:p w14:paraId="1A58BD7B" w14:textId="77777777" w:rsidR="009D2AD3" w:rsidRPr="00150BDB" w:rsidRDefault="00150BDB" w:rsidP="00150BDB">
            <w:pPr>
              <w:pStyle w:val="Body"/>
              <w:rPr>
                <w:sz w:val="20"/>
                <w:lang w:eastAsia="en-AU"/>
              </w:rPr>
            </w:pPr>
            <w:r w:rsidRPr="00150BDB">
              <w:rPr>
                <w:sz w:val="20"/>
                <w:lang w:eastAsia="en-AU"/>
              </w:rPr>
              <w:t>Pettersen</w:t>
            </w:r>
            <w:r>
              <w:rPr>
                <w:sz w:val="20"/>
                <w:lang w:eastAsia="en-AU"/>
              </w:rPr>
              <w:t xml:space="preserve"> (2006)</w:t>
            </w:r>
          </w:p>
        </w:tc>
        <w:tc>
          <w:tcPr>
            <w:tcW w:w="870" w:type="pct"/>
            <w:shd w:val="clear" w:color="auto" w:fill="auto"/>
            <w:vAlign w:val="center"/>
          </w:tcPr>
          <w:p w14:paraId="5969E4B5" w14:textId="6BD9DE3B" w:rsidR="009D2AD3" w:rsidRPr="000665C5" w:rsidRDefault="009D2AD3" w:rsidP="000665C5">
            <w:pPr>
              <w:pStyle w:val="Body"/>
              <w:rPr>
                <w:sz w:val="20"/>
                <w:lang w:eastAsia="en-AU"/>
              </w:rPr>
            </w:pPr>
            <w:r w:rsidRPr="000665C5">
              <w:rPr>
                <w:sz w:val="20"/>
                <w:lang w:eastAsia="en-AU"/>
              </w:rPr>
              <w:t>Moore et al. (2014</w:t>
            </w:r>
            <w:r w:rsidR="0068287F">
              <w:rPr>
                <w:sz w:val="20"/>
                <w:lang w:eastAsia="en-AU"/>
              </w:rPr>
              <w:t>a</w:t>
            </w:r>
            <w:r w:rsidRPr="000665C5">
              <w:rPr>
                <w:sz w:val="20"/>
                <w:lang w:eastAsia="en-AU"/>
              </w:rPr>
              <w:t>)</w:t>
            </w:r>
          </w:p>
        </w:tc>
        <w:tc>
          <w:tcPr>
            <w:tcW w:w="376" w:type="pct"/>
            <w:shd w:val="clear" w:color="auto" w:fill="auto"/>
            <w:vAlign w:val="center"/>
          </w:tcPr>
          <w:p w14:paraId="4E77E977"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shd w:val="clear" w:color="auto" w:fill="auto"/>
            <w:vAlign w:val="center"/>
          </w:tcPr>
          <w:p w14:paraId="694461C7"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7F68108A"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564F8AFF"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4494450F"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072A23EC"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r>
      <w:tr w:rsidR="009D2AD3" w:rsidRPr="00834D8A" w14:paraId="66A5125E" w14:textId="77777777" w:rsidTr="00E54883">
        <w:trPr>
          <w:trHeight w:hRule="exact" w:val="340"/>
        </w:trPr>
        <w:tc>
          <w:tcPr>
            <w:tcW w:w="407" w:type="pct"/>
            <w:shd w:val="clear" w:color="auto" w:fill="auto"/>
            <w:vAlign w:val="center"/>
          </w:tcPr>
          <w:p w14:paraId="78FD3A44"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FAST CBM</w:t>
            </w:r>
          </w:p>
        </w:tc>
        <w:tc>
          <w:tcPr>
            <w:tcW w:w="725" w:type="pct"/>
            <w:shd w:val="clear" w:color="auto" w:fill="auto"/>
            <w:vAlign w:val="center"/>
          </w:tcPr>
          <w:p w14:paraId="25B13DD0" w14:textId="77777777" w:rsidR="009D2AD3" w:rsidRPr="00D61ACF" w:rsidRDefault="00150BDB" w:rsidP="00150BDB">
            <w:pPr>
              <w:pStyle w:val="Body"/>
              <w:rPr>
                <w:lang w:eastAsia="en-AU"/>
              </w:rPr>
            </w:pPr>
            <w:r>
              <w:rPr>
                <w:sz w:val="20"/>
                <w:lang w:eastAsia="en-AU"/>
              </w:rPr>
              <w:t>IHS (2015)</w:t>
            </w:r>
          </w:p>
        </w:tc>
        <w:tc>
          <w:tcPr>
            <w:tcW w:w="870" w:type="pct"/>
            <w:shd w:val="clear" w:color="auto" w:fill="auto"/>
            <w:vAlign w:val="center"/>
          </w:tcPr>
          <w:p w14:paraId="1B9D18D3" w14:textId="77777777" w:rsidR="009D2AD3" w:rsidRPr="000665C5" w:rsidRDefault="009D2AD3" w:rsidP="000665C5">
            <w:pPr>
              <w:pStyle w:val="Body"/>
              <w:rPr>
                <w:sz w:val="20"/>
                <w:lang w:eastAsia="en-AU"/>
              </w:rPr>
            </w:pPr>
            <w:r w:rsidRPr="000665C5">
              <w:rPr>
                <w:sz w:val="20"/>
                <w:lang w:eastAsia="en-AU"/>
              </w:rPr>
              <w:t>Karacan and Olea (2015)</w:t>
            </w:r>
          </w:p>
        </w:tc>
        <w:tc>
          <w:tcPr>
            <w:tcW w:w="376" w:type="pct"/>
            <w:shd w:val="clear" w:color="auto" w:fill="auto"/>
            <w:vAlign w:val="center"/>
          </w:tcPr>
          <w:p w14:paraId="74CE1C55"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shd w:val="clear" w:color="auto" w:fill="auto"/>
            <w:vAlign w:val="center"/>
          </w:tcPr>
          <w:p w14:paraId="2221E63C"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098A614B"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1CC33764"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0830B333"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4F576406"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r>
      <w:tr w:rsidR="009D2AD3" w:rsidRPr="00834D8A" w14:paraId="3FE799C1" w14:textId="77777777" w:rsidTr="00E54883">
        <w:trPr>
          <w:trHeight w:hRule="exact" w:val="340"/>
        </w:trPr>
        <w:tc>
          <w:tcPr>
            <w:tcW w:w="407" w:type="pct"/>
            <w:shd w:val="clear" w:color="auto" w:fill="auto"/>
            <w:vAlign w:val="center"/>
          </w:tcPr>
          <w:p w14:paraId="65BE9855"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FEHM</w:t>
            </w:r>
          </w:p>
        </w:tc>
        <w:tc>
          <w:tcPr>
            <w:tcW w:w="725" w:type="pct"/>
            <w:shd w:val="clear" w:color="auto" w:fill="auto"/>
            <w:vAlign w:val="center"/>
          </w:tcPr>
          <w:p w14:paraId="5BE6DC34" w14:textId="77777777" w:rsidR="009D2AD3" w:rsidRPr="000665C5" w:rsidRDefault="009D2AD3" w:rsidP="000665C5">
            <w:pPr>
              <w:pStyle w:val="Body"/>
              <w:rPr>
                <w:sz w:val="20"/>
                <w:lang w:eastAsia="en-AU"/>
              </w:rPr>
            </w:pPr>
            <w:r w:rsidRPr="000665C5">
              <w:rPr>
                <w:sz w:val="20"/>
                <w:lang w:eastAsia="en-AU"/>
              </w:rPr>
              <w:t>Zyvoloski et al. (1991)</w:t>
            </w:r>
          </w:p>
        </w:tc>
        <w:tc>
          <w:tcPr>
            <w:tcW w:w="870" w:type="pct"/>
            <w:shd w:val="clear" w:color="auto" w:fill="auto"/>
            <w:vAlign w:val="center"/>
          </w:tcPr>
          <w:p w14:paraId="429AA33D" w14:textId="77777777" w:rsidR="009D2AD3" w:rsidRPr="000665C5" w:rsidRDefault="009D2AD3" w:rsidP="000665C5">
            <w:pPr>
              <w:pStyle w:val="Body"/>
              <w:rPr>
                <w:sz w:val="20"/>
                <w:lang w:eastAsia="en-AU"/>
              </w:rPr>
            </w:pPr>
            <w:r w:rsidRPr="000665C5">
              <w:rPr>
                <w:sz w:val="20"/>
                <w:lang w:eastAsia="en-AU"/>
              </w:rPr>
              <w:t>Middleton et al. (2012)</w:t>
            </w:r>
          </w:p>
        </w:tc>
        <w:tc>
          <w:tcPr>
            <w:tcW w:w="376" w:type="pct"/>
            <w:shd w:val="clear" w:color="auto" w:fill="auto"/>
            <w:vAlign w:val="center"/>
          </w:tcPr>
          <w:p w14:paraId="417527AA"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Public domain</w:t>
            </w:r>
          </w:p>
        </w:tc>
        <w:tc>
          <w:tcPr>
            <w:tcW w:w="524" w:type="pct"/>
            <w:shd w:val="clear" w:color="auto" w:fill="auto"/>
            <w:vAlign w:val="center"/>
          </w:tcPr>
          <w:p w14:paraId="467F69B1"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21068957"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12CF8083"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3D81D404"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38AF80A9"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r>
      <w:tr w:rsidR="009D2AD3" w:rsidRPr="00834D8A" w14:paraId="6B92E6D9" w14:textId="77777777" w:rsidTr="00E54883">
        <w:trPr>
          <w:trHeight w:hRule="exact" w:val="340"/>
        </w:trPr>
        <w:tc>
          <w:tcPr>
            <w:tcW w:w="407" w:type="pct"/>
            <w:shd w:val="clear" w:color="auto" w:fill="auto"/>
            <w:vAlign w:val="center"/>
          </w:tcPr>
          <w:p w14:paraId="33024A18"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FRACMAN</w:t>
            </w:r>
          </w:p>
        </w:tc>
        <w:tc>
          <w:tcPr>
            <w:tcW w:w="725" w:type="pct"/>
            <w:shd w:val="clear" w:color="auto" w:fill="auto"/>
            <w:vAlign w:val="center"/>
          </w:tcPr>
          <w:p w14:paraId="79E15168" w14:textId="77777777" w:rsidR="009D2AD3" w:rsidRPr="00D61ACF" w:rsidRDefault="00E54883" w:rsidP="00054894">
            <w:pPr>
              <w:spacing w:before="20" w:after="20"/>
              <w:rPr>
                <w:rFonts w:ascii="Calibri" w:eastAsia="Times New Roman" w:hAnsi="Calibri" w:cs="Arial"/>
                <w:color w:val="526CD0" w:themeColor="accent5" w:themeShade="BF"/>
                <w:sz w:val="20"/>
                <w:szCs w:val="20"/>
                <w:lang w:val="en-US" w:eastAsia="en-AU"/>
              </w:rPr>
            </w:pPr>
            <w:r w:rsidRPr="00E54883">
              <w:rPr>
                <w:rStyle w:val="BodyChar"/>
                <w:sz w:val="20"/>
              </w:rPr>
              <w:t>Gol</w:t>
            </w:r>
            <w:r>
              <w:rPr>
                <w:rStyle w:val="BodyChar"/>
                <w:sz w:val="20"/>
              </w:rPr>
              <w:t>der Associates (2015)</w:t>
            </w:r>
          </w:p>
        </w:tc>
        <w:tc>
          <w:tcPr>
            <w:tcW w:w="870" w:type="pct"/>
            <w:shd w:val="clear" w:color="auto" w:fill="auto"/>
            <w:vAlign w:val="center"/>
          </w:tcPr>
          <w:p w14:paraId="53FD090D" w14:textId="77777777" w:rsidR="009D2AD3" w:rsidRPr="000665C5" w:rsidRDefault="009D2AD3" w:rsidP="000665C5">
            <w:pPr>
              <w:pStyle w:val="Body"/>
              <w:rPr>
                <w:sz w:val="20"/>
                <w:lang w:eastAsia="en-AU"/>
              </w:rPr>
            </w:pPr>
            <w:r w:rsidRPr="000665C5">
              <w:rPr>
                <w:sz w:val="20"/>
                <w:lang w:eastAsia="en-AU"/>
              </w:rPr>
              <w:t>Kim and Deo (2000)</w:t>
            </w:r>
          </w:p>
        </w:tc>
        <w:tc>
          <w:tcPr>
            <w:tcW w:w="376" w:type="pct"/>
            <w:shd w:val="clear" w:color="auto" w:fill="auto"/>
            <w:vAlign w:val="center"/>
          </w:tcPr>
          <w:p w14:paraId="2D5124BF"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shd w:val="clear" w:color="auto" w:fill="auto"/>
            <w:vAlign w:val="center"/>
          </w:tcPr>
          <w:p w14:paraId="1CFB71E1"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754C8AF1"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147B4753"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586BF3B9"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tcPr>
          <w:p w14:paraId="4071DF5E"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r>
      <w:tr w:rsidR="009D2AD3" w:rsidRPr="00834D8A" w14:paraId="1CF94D0E" w14:textId="77777777" w:rsidTr="00E54883">
        <w:trPr>
          <w:trHeight w:hRule="exact" w:val="340"/>
        </w:trPr>
        <w:tc>
          <w:tcPr>
            <w:tcW w:w="407" w:type="pct"/>
            <w:shd w:val="clear" w:color="auto" w:fill="auto"/>
            <w:vAlign w:val="center"/>
          </w:tcPr>
          <w:p w14:paraId="7DAEFA88"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GCOMP</w:t>
            </w:r>
          </w:p>
        </w:tc>
        <w:tc>
          <w:tcPr>
            <w:tcW w:w="725" w:type="pct"/>
            <w:shd w:val="clear" w:color="auto" w:fill="auto"/>
            <w:vAlign w:val="center"/>
          </w:tcPr>
          <w:p w14:paraId="3CCE1C3B" w14:textId="77777777" w:rsidR="009D2AD3" w:rsidRPr="00D61ACF" w:rsidRDefault="00150BDB" w:rsidP="00150BDB">
            <w:pPr>
              <w:pStyle w:val="Body"/>
              <w:rPr>
                <w:lang w:eastAsia="en-AU"/>
              </w:rPr>
            </w:pPr>
            <w:r w:rsidRPr="00150BDB">
              <w:rPr>
                <w:sz w:val="20"/>
                <w:lang w:eastAsia="en-AU"/>
              </w:rPr>
              <w:t xml:space="preserve">PHH </w:t>
            </w:r>
            <w:r>
              <w:rPr>
                <w:sz w:val="20"/>
                <w:lang w:eastAsia="en-AU"/>
              </w:rPr>
              <w:t>(</w:t>
            </w:r>
            <w:r w:rsidRPr="00150BDB">
              <w:rPr>
                <w:sz w:val="20"/>
                <w:lang w:eastAsia="en-AU"/>
              </w:rPr>
              <w:t>2014</w:t>
            </w:r>
            <w:r>
              <w:rPr>
                <w:sz w:val="20"/>
                <w:lang w:eastAsia="en-AU"/>
              </w:rPr>
              <w:t>)</w:t>
            </w:r>
          </w:p>
        </w:tc>
        <w:tc>
          <w:tcPr>
            <w:tcW w:w="870" w:type="pct"/>
            <w:shd w:val="clear" w:color="auto" w:fill="auto"/>
            <w:vAlign w:val="center"/>
          </w:tcPr>
          <w:p w14:paraId="4A1DE1C5" w14:textId="77777777" w:rsidR="009D2AD3" w:rsidRPr="000665C5" w:rsidRDefault="009D2AD3" w:rsidP="000665C5">
            <w:pPr>
              <w:pStyle w:val="Body"/>
              <w:rPr>
                <w:sz w:val="20"/>
                <w:lang w:eastAsia="en-AU"/>
              </w:rPr>
            </w:pPr>
            <w:r w:rsidRPr="000665C5">
              <w:rPr>
                <w:sz w:val="20"/>
                <w:lang w:eastAsia="en-AU"/>
              </w:rPr>
              <w:t>Hird and Dubrul</w:t>
            </w:r>
            <w:r w:rsidR="000665C5">
              <w:rPr>
                <w:sz w:val="20"/>
                <w:lang w:eastAsia="en-AU"/>
              </w:rPr>
              <w:t>e</w:t>
            </w:r>
            <w:r w:rsidRPr="000665C5">
              <w:rPr>
                <w:sz w:val="20"/>
                <w:lang w:eastAsia="en-AU"/>
              </w:rPr>
              <w:t xml:space="preserve"> (1998)</w:t>
            </w:r>
          </w:p>
        </w:tc>
        <w:tc>
          <w:tcPr>
            <w:tcW w:w="376" w:type="pct"/>
            <w:shd w:val="clear" w:color="auto" w:fill="auto"/>
            <w:vAlign w:val="center"/>
          </w:tcPr>
          <w:p w14:paraId="776B1057"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shd w:val="clear" w:color="auto" w:fill="auto"/>
            <w:vAlign w:val="center"/>
          </w:tcPr>
          <w:p w14:paraId="615EC846"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0C360A36"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103278DC"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7B534F15"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460DDD8D"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r>
      <w:tr w:rsidR="009D2AD3" w:rsidRPr="00834D8A" w14:paraId="7C22677B" w14:textId="77777777" w:rsidTr="00E54883">
        <w:trPr>
          <w:trHeight w:hRule="exact" w:val="340"/>
        </w:trPr>
        <w:tc>
          <w:tcPr>
            <w:tcW w:w="407" w:type="pct"/>
            <w:shd w:val="clear" w:color="auto" w:fill="auto"/>
            <w:vAlign w:val="center"/>
          </w:tcPr>
          <w:p w14:paraId="230DDBF8"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GEM</w:t>
            </w:r>
          </w:p>
        </w:tc>
        <w:tc>
          <w:tcPr>
            <w:tcW w:w="725" w:type="pct"/>
            <w:shd w:val="clear" w:color="auto" w:fill="auto"/>
            <w:vAlign w:val="center"/>
          </w:tcPr>
          <w:p w14:paraId="65BC7050" w14:textId="77777777" w:rsidR="009D2AD3" w:rsidRPr="00150BDB" w:rsidRDefault="00150BDB" w:rsidP="00150BDB">
            <w:pPr>
              <w:pStyle w:val="Body"/>
              <w:rPr>
                <w:sz w:val="20"/>
                <w:lang w:eastAsia="en-AU"/>
              </w:rPr>
            </w:pPr>
            <w:r>
              <w:rPr>
                <w:sz w:val="20"/>
                <w:lang w:eastAsia="en-AU"/>
              </w:rPr>
              <w:t>CMG (2014)</w:t>
            </w:r>
          </w:p>
        </w:tc>
        <w:tc>
          <w:tcPr>
            <w:tcW w:w="870" w:type="pct"/>
            <w:shd w:val="clear" w:color="auto" w:fill="auto"/>
            <w:vAlign w:val="center"/>
          </w:tcPr>
          <w:p w14:paraId="092DA840" w14:textId="77777777" w:rsidR="009D2AD3" w:rsidRPr="000665C5" w:rsidRDefault="009D2AD3" w:rsidP="000665C5">
            <w:pPr>
              <w:pStyle w:val="Body"/>
              <w:rPr>
                <w:sz w:val="20"/>
                <w:lang w:eastAsia="en-AU"/>
              </w:rPr>
            </w:pPr>
            <w:r w:rsidRPr="000665C5">
              <w:rPr>
                <w:sz w:val="20"/>
                <w:lang w:eastAsia="en-AU"/>
              </w:rPr>
              <w:t>Aminian et al. (2004)</w:t>
            </w:r>
          </w:p>
        </w:tc>
        <w:tc>
          <w:tcPr>
            <w:tcW w:w="376" w:type="pct"/>
            <w:shd w:val="clear" w:color="auto" w:fill="auto"/>
            <w:vAlign w:val="center"/>
          </w:tcPr>
          <w:p w14:paraId="379C440A"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shd w:val="clear" w:color="auto" w:fill="auto"/>
            <w:vAlign w:val="center"/>
          </w:tcPr>
          <w:p w14:paraId="00EB1498"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5581C058"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6DBCC17D"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7D57D5B0"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tcPr>
          <w:p w14:paraId="2DADB5C1"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r>
      <w:tr w:rsidR="009D2AD3" w:rsidRPr="00834D8A" w14:paraId="42A848D6" w14:textId="77777777" w:rsidTr="00E54883">
        <w:trPr>
          <w:trHeight w:hRule="exact" w:val="340"/>
        </w:trPr>
        <w:tc>
          <w:tcPr>
            <w:tcW w:w="407" w:type="pct"/>
            <w:shd w:val="clear" w:color="auto" w:fill="auto"/>
            <w:vAlign w:val="center"/>
          </w:tcPr>
          <w:p w14:paraId="4EE8C6A1"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GPRS</w:t>
            </w:r>
          </w:p>
        </w:tc>
        <w:tc>
          <w:tcPr>
            <w:tcW w:w="725" w:type="pct"/>
            <w:shd w:val="clear" w:color="auto" w:fill="auto"/>
            <w:vAlign w:val="center"/>
          </w:tcPr>
          <w:p w14:paraId="5318EC86" w14:textId="77777777" w:rsidR="009D2AD3" w:rsidRPr="006F29FA" w:rsidRDefault="009D2AD3" w:rsidP="006F29FA">
            <w:pPr>
              <w:pStyle w:val="Body"/>
              <w:rPr>
                <w:sz w:val="20"/>
                <w:lang w:eastAsia="en-AU"/>
              </w:rPr>
            </w:pPr>
            <w:r w:rsidRPr="006F29FA">
              <w:rPr>
                <w:sz w:val="20"/>
                <w:lang w:eastAsia="en-AU"/>
              </w:rPr>
              <w:t>Cao (2008)</w:t>
            </w:r>
          </w:p>
        </w:tc>
        <w:tc>
          <w:tcPr>
            <w:tcW w:w="870" w:type="pct"/>
            <w:shd w:val="clear" w:color="auto" w:fill="auto"/>
            <w:vAlign w:val="center"/>
          </w:tcPr>
          <w:p w14:paraId="7E36A8F1" w14:textId="77777777" w:rsidR="009D2AD3" w:rsidRPr="006F29FA" w:rsidRDefault="009D2AD3" w:rsidP="006F29FA">
            <w:pPr>
              <w:pStyle w:val="Body"/>
              <w:rPr>
                <w:sz w:val="20"/>
                <w:lang w:eastAsia="en-AU"/>
              </w:rPr>
            </w:pPr>
            <w:r w:rsidRPr="006F29FA">
              <w:rPr>
                <w:sz w:val="20"/>
                <w:lang w:eastAsia="en-AU"/>
              </w:rPr>
              <w:t>Sarma et al. (2005)</w:t>
            </w:r>
          </w:p>
        </w:tc>
        <w:tc>
          <w:tcPr>
            <w:tcW w:w="376" w:type="pct"/>
            <w:shd w:val="clear" w:color="auto" w:fill="auto"/>
            <w:vAlign w:val="center"/>
          </w:tcPr>
          <w:p w14:paraId="11FC24B5"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1118F0AC"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04D5C3D0"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17C5C76D"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1980514E"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tcPr>
          <w:p w14:paraId="6ABBD35B"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r>
      <w:tr w:rsidR="00220CAE" w:rsidRPr="00834D8A" w14:paraId="01347E5C" w14:textId="77777777" w:rsidTr="00E54883">
        <w:trPr>
          <w:trHeight w:hRule="exact" w:val="340"/>
        </w:trPr>
        <w:tc>
          <w:tcPr>
            <w:tcW w:w="407" w:type="pct"/>
            <w:shd w:val="clear" w:color="auto" w:fill="auto"/>
            <w:vAlign w:val="center"/>
          </w:tcPr>
          <w:p w14:paraId="4CFF2078" w14:textId="77777777" w:rsidR="00220CAE" w:rsidRPr="00834D8A" w:rsidRDefault="00220CAE" w:rsidP="00054894">
            <w:pPr>
              <w:suppressAutoHyphens/>
              <w:autoSpaceDE w:val="0"/>
              <w:autoSpaceDN w:val="0"/>
              <w:adjustRightInd w:val="0"/>
              <w:spacing w:before="20" w:after="20"/>
              <w:textAlignment w:val="center"/>
              <w:rPr>
                <w:rFonts w:ascii="Calibri" w:eastAsiaTheme="minorEastAsia" w:hAnsi="Calibri" w:cs="Calibri"/>
                <w:sz w:val="20"/>
                <w:szCs w:val="20"/>
                <w:lang w:val="en-GB" w:eastAsia="ja-JP"/>
              </w:rPr>
            </w:pPr>
            <w:r w:rsidRPr="00834D8A">
              <w:rPr>
                <w:rFonts w:ascii="Calibri" w:eastAsiaTheme="minorEastAsia" w:hAnsi="Calibri" w:cs="Calibri"/>
                <w:sz w:val="20"/>
                <w:szCs w:val="20"/>
                <w:lang w:val="en-GB" w:eastAsia="ja-JP"/>
              </w:rPr>
              <w:t>HYDROGEOCHEM</w:t>
            </w:r>
          </w:p>
        </w:tc>
        <w:tc>
          <w:tcPr>
            <w:tcW w:w="725" w:type="pct"/>
            <w:shd w:val="clear" w:color="auto" w:fill="auto"/>
            <w:vAlign w:val="center"/>
          </w:tcPr>
          <w:p w14:paraId="728D768E" w14:textId="77777777" w:rsidR="00220CAE" w:rsidRPr="006F29FA" w:rsidRDefault="006F29FA" w:rsidP="006F29FA">
            <w:pPr>
              <w:pStyle w:val="Body"/>
              <w:rPr>
                <w:sz w:val="20"/>
                <w:lang w:eastAsia="en-AU"/>
              </w:rPr>
            </w:pPr>
            <w:r>
              <w:rPr>
                <w:sz w:val="20"/>
                <w:lang w:eastAsia="en-AU"/>
              </w:rPr>
              <w:t>Yeh and Tripathi</w:t>
            </w:r>
            <w:r w:rsidR="00220CAE" w:rsidRPr="006F29FA">
              <w:rPr>
                <w:sz w:val="20"/>
                <w:lang w:eastAsia="en-AU"/>
              </w:rPr>
              <w:t xml:space="preserve"> (1991)</w:t>
            </w:r>
          </w:p>
        </w:tc>
        <w:tc>
          <w:tcPr>
            <w:tcW w:w="870" w:type="pct"/>
            <w:shd w:val="clear" w:color="auto" w:fill="auto"/>
            <w:vAlign w:val="center"/>
          </w:tcPr>
          <w:p w14:paraId="380A130F" w14:textId="77777777" w:rsidR="00220CAE" w:rsidRPr="00D61ACF" w:rsidRDefault="00220CAE" w:rsidP="006F29FA">
            <w:pPr>
              <w:pStyle w:val="Body"/>
              <w:rPr>
                <w:lang w:eastAsia="en-AU"/>
              </w:rPr>
            </w:pPr>
            <w:r w:rsidRPr="006F29FA">
              <w:rPr>
                <w:sz w:val="20"/>
                <w:lang w:eastAsia="en-AU"/>
              </w:rPr>
              <w:t>Kim et a</w:t>
            </w:r>
            <w:r w:rsidR="006F29FA" w:rsidRPr="006F29FA">
              <w:rPr>
                <w:sz w:val="20"/>
                <w:lang w:eastAsia="en-AU"/>
              </w:rPr>
              <w:t>l.</w:t>
            </w:r>
            <w:r w:rsidRPr="006F29FA">
              <w:rPr>
                <w:sz w:val="20"/>
                <w:lang w:eastAsia="en-AU"/>
              </w:rPr>
              <w:t xml:space="preserve"> (2015)</w:t>
            </w:r>
          </w:p>
        </w:tc>
        <w:tc>
          <w:tcPr>
            <w:tcW w:w="376" w:type="pct"/>
            <w:shd w:val="clear" w:color="auto" w:fill="auto"/>
            <w:vAlign w:val="center"/>
          </w:tcPr>
          <w:p w14:paraId="7589E875" w14:textId="77777777" w:rsidR="00220CAE" w:rsidRPr="00834D8A" w:rsidRDefault="00220CAE"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46A7D1AE" w14:textId="77777777" w:rsidR="00220CAE" w:rsidRPr="00834D8A" w:rsidRDefault="00220CAE"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2F23DFBF" w14:textId="77777777" w:rsidR="00220CAE" w:rsidRPr="00834D8A" w:rsidRDefault="00220CAE"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0E4B6C92" w14:textId="77777777" w:rsidR="00220CAE" w:rsidRPr="00834D8A" w:rsidRDefault="00220CAE"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7E90C9C5" w14:textId="77777777" w:rsidR="00220CAE" w:rsidRPr="00834D8A" w:rsidRDefault="00220CAE"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13997544" w14:textId="77777777" w:rsidR="00220CAE" w:rsidRPr="00834D8A" w:rsidRDefault="00220CAE"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r>
      <w:tr w:rsidR="009D2AD3" w:rsidRPr="00834D8A" w14:paraId="62DF775F" w14:textId="77777777" w:rsidTr="00E54883">
        <w:trPr>
          <w:trHeight w:hRule="exact" w:val="340"/>
        </w:trPr>
        <w:tc>
          <w:tcPr>
            <w:tcW w:w="407" w:type="pct"/>
            <w:shd w:val="clear" w:color="auto" w:fill="auto"/>
            <w:vAlign w:val="center"/>
          </w:tcPr>
          <w:p w14:paraId="55E03BEE"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IPARS</w:t>
            </w:r>
          </w:p>
        </w:tc>
        <w:tc>
          <w:tcPr>
            <w:tcW w:w="725" w:type="pct"/>
            <w:shd w:val="clear" w:color="auto" w:fill="auto"/>
            <w:vAlign w:val="center"/>
          </w:tcPr>
          <w:p w14:paraId="1667EF42" w14:textId="77777777" w:rsidR="009D2AD3" w:rsidRPr="00D61ACF" w:rsidRDefault="00150BDB" w:rsidP="00150BDB">
            <w:pPr>
              <w:pStyle w:val="Body"/>
              <w:rPr>
                <w:lang w:eastAsia="en-AU"/>
              </w:rPr>
            </w:pPr>
            <w:r w:rsidRPr="00150BDB">
              <w:rPr>
                <w:sz w:val="20"/>
                <w:lang w:eastAsia="en-AU"/>
              </w:rPr>
              <w:t>CSM</w:t>
            </w:r>
            <w:r>
              <w:rPr>
                <w:sz w:val="20"/>
                <w:lang w:eastAsia="en-AU"/>
              </w:rPr>
              <w:t xml:space="preserve"> (2015)</w:t>
            </w:r>
          </w:p>
        </w:tc>
        <w:tc>
          <w:tcPr>
            <w:tcW w:w="870" w:type="pct"/>
            <w:shd w:val="clear" w:color="auto" w:fill="auto"/>
            <w:vAlign w:val="center"/>
          </w:tcPr>
          <w:p w14:paraId="2C527518" w14:textId="77777777" w:rsidR="009D2AD3" w:rsidRPr="00D61ACF" w:rsidRDefault="009D2AD3" w:rsidP="006F29FA">
            <w:pPr>
              <w:pStyle w:val="Body"/>
              <w:rPr>
                <w:lang w:eastAsia="en-AU"/>
              </w:rPr>
            </w:pPr>
            <w:r w:rsidRPr="006F29FA">
              <w:rPr>
                <w:sz w:val="20"/>
                <w:lang w:eastAsia="en-AU"/>
              </w:rPr>
              <w:t>Delshad et al. (2013)</w:t>
            </w:r>
          </w:p>
        </w:tc>
        <w:tc>
          <w:tcPr>
            <w:tcW w:w="376" w:type="pct"/>
            <w:shd w:val="clear" w:color="auto" w:fill="auto"/>
            <w:vAlign w:val="center"/>
          </w:tcPr>
          <w:p w14:paraId="7262E372" w14:textId="77777777" w:rsidR="009D2AD3" w:rsidRPr="00834D8A" w:rsidRDefault="00220CAE"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Public domain</w:t>
            </w:r>
          </w:p>
        </w:tc>
        <w:tc>
          <w:tcPr>
            <w:tcW w:w="524" w:type="pct"/>
            <w:shd w:val="clear" w:color="auto" w:fill="auto"/>
            <w:vAlign w:val="center"/>
          </w:tcPr>
          <w:p w14:paraId="56BC826D"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18E46CBC"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0E2C39AC"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51AD3900"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7D7093B5"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r>
      <w:tr w:rsidR="009D2AD3" w:rsidRPr="00834D8A" w14:paraId="2607AF86" w14:textId="77777777" w:rsidTr="00E54883">
        <w:trPr>
          <w:trHeight w:hRule="exact" w:val="340"/>
        </w:trPr>
        <w:tc>
          <w:tcPr>
            <w:tcW w:w="407" w:type="pct"/>
            <w:shd w:val="clear" w:color="auto" w:fill="auto"/>
            <w:vAlign w:val="center"/>
          </w:tcPr>
          <w:p w14:paraId="31F351A7" w14:textId="77777777" w:rsidR="009D2AD3" w:rsidRPr="00834D8A" w:rsidRDefault="009D2AD3" w:rsidP="00054894">
            <w:pPr>
              <w:suppressAutoHyphens/>
              <w:autoSpaceDE w:val="0"/>
              <w:autoSpaceDN w:val="0"/>
              <w:adjustRightInd w:val="0"/>
              <w:spacing w:before="20" w:after="20"/>
              <w:textAlignment w:val="center"/>
              <w:rPr>
                <w:rFonts w:ascii="Calibri" w:eastAsiaTheme="minorEastAsia" w:hAnsi="Calibri" w:cs="Calibri"/>
                <w:sz w:val="20"/>
                <w:szCs w:val="20"/>
                <w:lang w:val="en-GB" w:eastAsia="ja-JP"/>
              </w:rPr>
            </w:pPr>
            <w:r w:rsidRPr="00834D8A">
              <w:rPr>
                <w:rFonts w:ascii="Calibri" w:eastAsiaTheme="minorEastAsia" w:hAnsi="Calibri" w:cs="Calibri"/>
                <w:sz w:val="20"/>
                <w:szCs w:val="20"/>
                <w:lang w:val="en-GB" w:eastAsia="ja-JP"/>
              </w:rPr>
              <w:t>MIN3P</w:t>
            </w:r>
          </w:p>
        </w:tc>
        <w:tc>
          <w:tcPr>
            <w:tcW w:w="725" w:type="pct"/>
            <w:shd w:val="clear" w:color="auto" w:fill="auto"/>
            <w:vAlign w:val="center"/>
          </w:tcPr>
          <w:p w14:paraId="5E903AD9" w14:textId="77777777" w:rsidR="009D2AD3" w:rsidRPr="00150BDB" w:rsidRDefault="00150BDB" w:rsidP="00150BDB">
            <w:pPr>
              <w:pStyle w:val="Body"/>
              <w:rPr>
                <w:sz w:val="20"/>
                <w:lang w:eastAsia="en-AU"/>
              </w:rPr>
            </w:pPr>
            <w:r>
              <w:rPr>
                <w:sz w:val="20"/>
                <w:lang w:eastAsia="en-AU"/>
              </w:rPr>
              <w:t>U</w:t>
            </w:r>
            <w:r w:rsidR="00E54883">
              <w:rPr>
                <w:sz w:val="20"/>
                <w:lang w:eastAsia="en-AU"/>
              </w:rPr>
              <w:t>BC (2015)</w:t>
            </w:r>
          </w:p>
        </w:tc>
        <w:tc>
          <w:tcPr>
            <w:tcW w:w="870" w:type="pct"/>
            <w:shd w:val="clear" w:color="auto" w:fill="auto"/>
            <w:vAlign w:val="center"/>
          </w:tcPr>
          <w:p w14:paraId="5E2E8619" w14:textId="77777777" w:rsidR="009D2AD3" w:rsidRPr="006F29FA" w:rsidRDefault="009D2AD3" w:rsidP="006F29FA">
            <w:pPr>
              <w:pStyle w:val="Body"/>
              <w:rPr>
                <w:sz w:val="20"/>
                <w:lang w:eastAsia="en-AU"/>
              </w:rPr>
            </w:pPr>
            <w:r w:rsidRPr="006F29FA">
              <w:rPr>
                <w:sz w:val="20"/>
                <w:lang w:eastAsia="en-AU"/>
              </w:rPr>
              <w:t>Salmon et a</w:t>
            </w:r>
            <w:r w:rsidR="006F29FA">
              <w:rPr>
                <w:sz w:val="20"/>
                <w:lang w:eastAsia="en-AU"/>
              </w:rPr>
              <w:t>l.</w:t>
            </w:r>
            <w:r w:rsidRPr="006F29FA">
              <w:rPr>
                <w:sz w:val="20"/>
                <w:lang w:eastAsia="en-AU"/>
              </w:rPr>
              <w:t xml:space="preserve"> (2014)</w:t>
            </w:r>
          </w:p>
        </w:tc>
        <w:tc>
          <w:tcPr>
            <w:tcW w:w="376" w:type="pct"/>
            <w:shd w:val="clear" w:color="auto" w:fill="auto"/>
            <w:vAlign w:val="center"/>
          </w:tcPr>
          <w:p w14:paraId="39DB632B" w14:textId="77777777" w:rsidR="009D2AD3" w:rsidRPr="00834D8A" w:rsidRDefault="00220CAE"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30784CA7"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122168F4"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26C41AA8"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4C3F537B"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34727538"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r>
      <w:tr w:rsidR="009D2AD3" w:rsidRPr="00834D8A" w14:paraId="675B67FC" w14:textId="77777777" w:rsidTr="00E54883">
        <w:trPr>
          <w:trHeight w:hRule="exact" w:val="340"/>
        </w:trPr>
        <w:tc>
          <w:tcPr>
            <w:tcW w:w="407" w:type="pct"/>
            <w:shd w:val="clear" w:color="auto" w:fill="auto"/>
            <w:vAlign w:val="center"/>
          </w:tcPr>
          <w:p w14:paraId="0FE57AC7"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MUFTE</w:t>
            </w:r>
          </w:p>
        </w:tc>
        <w:tc>
          <w:tcPr>
            <w:tcW w:w="725" w:type="pct"/>
            <w:shd w:val="clear" w:color="auto" w:fill="auto"/>
            <w:vAlign w:val="center"/>
          </w:tcPr>
          <w:p w14:paraId="71A3E8A0" w14:textId="77777777" w:rsidR="009D2AD3" w:rsidRPr="00D61ACF" w:rsidRDefault="00E54883" w:rsidP="00E54883">
            <w:pPr>
              <w:pStyle w:val="Body"/>
              <w:rPr>
                <w:lang w:eastAsia="en-AU"/>
              </w:rPr>
            </w:pPr>
            <w:r>
              <w:rPr>
                <w:sz w:val="20"/>
                <w:lang w:eastAsia="en-AU"/>
              </w:rPr>
              <w:t>IHE (2015)</w:t>
            </w:r>
          </w:p>
        </w:tc>
        <w:tc>
          <w:tcPr>
            <w:tcW w:w="870" w:type="pct"/>
            <w:shd w:val="clear" w:color="auto" w:fill="auto"/>
            <w:vAlign w:val="center"/>
          </w:tcPr>
          <w:p w14:paraId="38203524" w14:textId="77777777" w:rsidR="009D2AD3" w:rsidRPr="006F29FA" w:rsidRDefault="009D2AD3" w:rsidP="006F29FA">
            <w:pPr>
              <w:pStyle w:val="Body"/>
              <w:rPr>
                <w:sz w:val="20"/>
                <w:lang w:eastAsia="en-AU"/>
              </w:rPr>
            </w:pPr>
            <w:r w:rsidRPr="006F29FA">
              <w:rPr>
                <w:sz w:val="20"/>
                <w:lang w:eastAsia="en-AU"/>
              </w:rPr>
              <w:t>Bastian et al. (2000)</w:t>
            </w:r>
          </w:p>
        </w:tc>
        <w:tc>
          <w:tcPr>
            <w:tcW w:w="376" w:type="pct"/>
            <w:shd w:val="clear" w:color="auto" w:fill="auto"/>
            <w:vAlign w:val="center"/>
          </w:tcPr>
          <w:p w14:paraId="46A37906" w14:textId="77777777" w:rsidR="009D2AD3" w:rsidRPr="00834D8A" w:rsidRDefault="00220CAE"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0866B7F2"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67AB6D71"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36928089"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2D59E49B"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tcPr>
          <w:p w14:paraId="6CA3EA2B"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r>
      <w:tr w:rsidR="009D2AD3" w:rsidRPr="00834D8A" w14:paraId="17A192EA" w14:textId="77777777" w:rsidTr="00E54883">
        <w:trPr>
          <w:trHeight w:hRule="exact" w:val="340"/>
        </w:trPr>
        <w:tc>
          <w:tcPr>
            <w:tcW w:w="407" w:type="pct"/>
            <w:shd w:val="clear" w:color="auto" w:fill="auto"/>
            <w:vAlign w:val="center"/>
          </w:tcPr>
          <w:p w14:paraId="38B10BD5"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NUFT</w:t>
            </w:r>
          </w:p>
        </w:tc>
        <w:tc>
          <w:tcPr>
            <w:tcW w:w="725" w:type="pct"/>
            <w:shd w:val="clear" w:color="auto" w:fill="auto"/>
            <w:vAlign w:val="center"/>
          </w:tcPr>
          <w:p w14:paraId="7B1FC9AF" w14:textId="77777777" w:rsidR="009D2AD3" w:rsidRPr="007B078F" w:rsidRDefault="007B078F" w:rsidP="007B078F">
            <w:pPr>
              <w:pStyle w:val="Body"/>
              <w:rPr>
                <w:sz w:val="20"/>
                <w:lang w:eastAsia="en-AU"/>
              </w:rPr>
            </w:pPr>
            <w:r>
              <w:rPr>
                <w:sz w:val="20"/>
                <w:lang w:eastAsia="en-AU"/>
              </w:rPr>
              <w:t>Hao et al. (2012)</w:t>
            </w:r>
          </w:p>
        </w:tc>
        <w:tc>
          <w:tcPr>
            <w:tcW w:w="870" w:type="pct"/>
            <w:shd w:val="clear" w:color="auto" w:fill="auto"/>
            <w:vAlign w:val="center"/>
          </w:tcPr>
          <w:p w14:paraId="0D894094" w14:textId="77777777" w:rsidR="009D2AD3" w:rsidRPr="007B078F" w:rsidRDefault="009D2AD3" w:rsidP="007B078F">
            <w:pPr>
              <w:pStyle w:val="Body"/>
              <w:rPr>
                <w:sz w:val="20"/>
                <w:lang w:eastAsia="en-AU"/>
              </w:rPr>
            </w:pPr>
            <w:r w:rsidRPr="007B078F">
              <w:rPr>
                <w:sz w:val="20"/>
                <w:lang w:eastAsia="en-AU"/>
              </w:rPr>
              <w:t>Morris et al. (2011)</w:t>
            </w:r>
          </w:p>
        </w:tc>
        <w:tc>
          <w:tcPr>
            <w:tcW w:w="376" w:type="pct"/>
            <w:shd w:val="clear" w:color="auto" w:fill="auto"/>
            <w:vAlign w:val="center"/>
          </w:tcPr>
          <w:p w14:paraId="657F26EF" w14:textId="77777777" w:rsidR="009D2AD3" w:rsidRPr="00834D8A" w:rsidRDefault="00220CAE"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5A058F5E"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2259DC3F"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6C632138"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31FE545C"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04F7205F"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r w:rsidRPr="00834D8A">
              <w:rPr>
                <w:rFonts w:ascii="Calibri" w:eastAsia="Times New Roman" w:hAnsi="Calibri" w:cs="Arial"/>
                <w:b/>
                <w:color w:val="000000"/>
                <w:sz w:val="20"/>
                <w:szCs w:val="20"/>
                <w:lang w:val="en-GB" w:eastAsia="en-AU"/>
              </w:rPr>
              <w:sym w:font="Wingdings" w:char="F0FC"/>
            </w:r>
          </w:p>
        </w:tc>
      </w:tr>
      <w:tr w:rsidR="009D2AD3" w:rsidRPr="00834D8A" w14:paraId="3B9F0FD9" w14:textId="77777777" w:rsidTr="00E54883">
        <w:trPr>
          <w:trHeight w:hRule="exact" w:val="340"/>
        </w:trPr>
        <w:tc>
          <w:tcPr>
            <w:tcW w:w="407" w:type="pct"/>
            <w:shd w:val="clear" w:color="auto" w:fill="auto"/>
            <w:vAlign w:val="center"/>
          </w:tcPr>
          <w:p w14:paraId="2C8DC98A" w14:textId="77777777" w:rsidR="009D2AD3" w:rsidRPr="00834D8A" w:rsidRDefault="009D2AD3" w:rsidP="00054894">
            <w:pPr>
              <w:suppressAutoHyphens/>
              <w:autoSpaceDE w:val="0"/>
              <w:autoSpaceDN w:val="0"/>
              <w:adjustRightInd w:val="0"/>
              <w:spacing w:before="20" w:after="20"/>
              <w:textAlignment w:val="center"/>
              <w:rPr>
                <w:rFonts w:ascii="Calibri" w:eastAsiaTheme="minorEastAsia" w:hAnsi="Calibri" w:cs="Calibri"/>
                <w:color w:val="000000"/>
                <w:sz w:val="20"/>
                <w:szCs w:val="20"/>
                <w:lang w:val="en-GB" w:eastAsia="ja-JP"/>
              </w:rPr>
            </w:pPr>
            <w:r w:rsidRPr="00834D8A">
              <w:rPr>
                <w:rFonts w:ascii="Calibri" w:eastAsiaTheme="minorEastAsia" w:hAnsi="Calibri" w:cs="Calibri"/>
                <w:color w:val="000000"/>
                <w:sz w:val="20"/>
                <w:szCs w:val="20"/>
                <w:lang w:val="en-GB" w:eastAsia="ja-JP"/>
              </w:rPr>
              <w:t>OPENGEOSYS</w:t>
            </w:r>
          </w:p>
        </w:tc>
        <w:tc>
          <w:tcPr>
            <w:tcW w:w="725" w:type="pct"/>
            <w:shd w:val="clear" w:color="auto" w:fill="auto"/>
            <w:vAlign w:val="center"/>
          </w:tcPr>
          <w:p w14:paraId="56798541" w14:textId="77777777" w:rsidR="009D2AD3" w:rsidRPr="007B078F" w:rsidRDefault="009D2AD3" w:rsidP="007B078F">
            <w:pPr>
              <w:pStyle w:val="Body"/>
              <w:rPr>
                <w:sz w:val="20"/>
                <w:lang w:eastAsia="en-AU"/>
              </w:rPr>
            </w:pPr>
            <w:r w:rsidRPr="007B078F">
              <w:rPr>
                <w:sz w:val="20"/>
                <w:lang w:eastAsia="en-AU"/>
              </w:rPr>
              <w:t>Kolditz et al. (2012)</w:t>
            </w:r>
          </w:p>
        </w:tc>
        <w:tc>
          <w:tcPr>
            <w:tcW w:w="870" w:type="pct"/>
            <w:shd w:val="clear" w:color="auto" w:fill="auto"/>
            <w:vAlign w:val="center"/>
          </w:tcPr>
          <w:p w14:paraId="0EF9EB74" w14:textId="77777777" w:rsidR="009D2AD3" w:rsidRPr="007B078F" w:rsidRDefault="009D2AD3" w:rsidP="007B078F">
            <w:pPr>
              <w:pStyle w:val="Body"/>
              <w:rPr>
                <w:sz w:val="20"/>
                <w:lang w:eastAsia="en-AU"/>
              </w:rPr>
            </w:pPr>
            <w:r w:rsidRPr="007B078F">
              <w:rPr>
                <w:sz w:val="20"/>
                <w:lang w:eastAsia="en-AU"/>
              </w:rPr>
              <w:t>Watanabe and Kolditz (2015)</w:t>
            </w:r>
          </w:p>
        </w:tc>
        <w:tc>
          <w:tcPr>
            <w:tcW w:w="376" w:type="pct"/>
            <w:shd w:val="clear" w:color="auto" w:fill="auto"/>
            <w:vAlign w:val="center"/>
          </w:tcPr>
          <w:p w14:paraId="24CA76A4"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Public domain</w:t>
            </w:r>
          </w:p>
        </w:tc>
        <w:tc>
          <w:tcPr>
            <w:tcW w:w="524" w:type="pct"/>
            <w:shd w:val="clear" w:color="auto" w:fill="auto"/>
            <w:vAlign w:val="center"/>
          </w:tcPr>
          <w:p w14:paraId="06363F95"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6A31EDF9"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1883682A"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tcPr>
          <w:p w14:paraId="043FCCA8"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1E9B01C1" w14:textId="77777777" w:rsidR="009D2AD3" w:rsidRPr="00834D8A" w:rsidRDefault="009D2AD3" w:rsidP="00220CAE">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r w:rsidRPr="00834D8A">
              <w:rPr>
                <w:rFonts w:ascii="Calibri" w:eastAsiaTheme="minorEastAsia" w:hAnsi="Calibri" w:cs="Calibri"/>
                <w:color w:val="000000"/>
                <w:sz w:val="20"/>
                <w:szCs w:val="20"/>
                <w:lang w:val="en-GB" w:eastAsia="ja-JP"/>
              </w:rPr>
              <w:t>O</w:t>
            </w:r>
            <w:r w:rsidR="00220CAE" w:rsidRPr="00834D8A">
              <w:rPr>
                <w:rFonts w:ascii="Calibri" w:eastAsiaTheme="minorEastAsia" w:hAnsi="Calibri" w:cs="Calibri"/>
                <w:color w:val="000000"/>
                <w:sz w:val="20"/>
                <w:szCs w:val="20"/>
                <w:lang w:val="en-GB" w:eastAsia="ja-JP"/>
              </w:rPr>
              <w:t>GS</w:t>
            </w:r>
            <w:r w:rsidRPr="00834D8A">
              <w:rPr>
                <w:rFonts w:ascii="Calibri" w:eastAsiaTheme="minorEastAsia" w:hAnsi="Calibri" w:cs="Calibri"/>
                <w:color w:val="000000"/>
                <w:sz w:val="20"/>
                <w:szCs w:val="20"/>
                <w:lang w:val="en-GB" w:eastAsia="ja-JP"/>
              </w:rPr>
              <w:t>–CHEMAPP</w:t>
            </w:r>
          </w:p>
        </w:tc>
      </w:tr>
      <w:tr w:rsidR="009D2AD3" w:rsidRPr="00834D8A" w14:paraId="06716BB9" w14:textId="77777777" w:rsidTr="00E54883">
        <w:trPr>
          <w:trHeight w:hRule="exact" w:val="340"/>
        </w:trPr>
        <w:tc>
          <w:tcPr>
            <w:tcW w:w="407" w:type="pct"/>
            <w:shd w:val="clear" w:color="auto" w:fill="auto"/>
            <w:vAlign w:val="center"/>
          </w:tcPr>
          <w:p w14:paraId="602FBD4A" w14:textId="77777777" w:rsidR="009D2AD3" w:rsidRPr="00834D8A" w:rsidRDefault="009D2AD3" w:rsidP="00054894">
            <w:pPr>
              <w:suppressAutoHyphens/>
              <w:autoSpaceDE w:val="0"/>
              <w:autoSpaceDN w:val="0"/>
              <w:adjustRightInd w:val="0"/>
              <w:spacing w:before="20" w:after="20"/>
              <w:textAlignment w:val="center"/>
              <w:rPr>
                <w:rFonts w:ascii="Calibri" w:eastAsiaTheme="minorEastAsia" w:hAnsi="Calibri" w:cs="Calibri"/>
                <w:color w:val="000000"/>
                <w:sz w:val="20"/>
                <w:szCs w:val="20"/>
                <w:lang w:val="en-GB" w:eastAsia="ja-JP"/>
              </w:rPr>
            </w:pPr>
            <w:r w:rsidRPr="00834D8A">
              <w:rPr>
                <w:rFonts w:ascii="Calibri" w:eastAsiaTheme="minorEastAsia" w:hAnsi="Calibri" w:cs="Calibri"/>
                <w:color w:val="000000"/>
                <w:sz w:val="20"/>
                <w:szCs w:val="20"/>
                <w:lang w:val="en-GB" w:eastAsia="ja-JP"/>
              </w:rPr>
              <w:t>PFLOTRAN</w:t>
            </w:r>
          </w:p>
        </w:tc>
        <w:tc>
          <w:tcPr>
            <w:tcW w:w="725" w:type="pct"/>
            <w:shd w:val="clear" w:color="auto" w:fill="auto"/>
            <w:vAlign w:val="center"/>
          </w:tcPr>
          <w:p w14:paraId="227DA856" w14:textId="77777777" w:rsidR="009D2AD3" w:rsidRPr="007B078F" w:rsidRDefault="009D2AD3" w:rsidP="007B078F">
            <w:pPr>
              <w:pStyle w:val="Body"/>
              <w:rPr>
                <w:sz w:val="20"/>
                <w:lang w:eastAsia="en-AU"/>
              </w:rPr>
            </w:pPr>
            <w:r w:rsidRPr="007B078F">
              <w:rPr>
                <w:sz w:val="20"/>
                <w:lang w:eastAsia="en-AU"/>
              </w:rPr>
              <w:t>Lichtner et al. (2015)</w:t>
            </w:r>
          </w:p>
        </w:tc>
        <w:tc>
          <w:tcPr>
            <w:tcW w:w="870" w:type="pct"/>
            <w:shd w:val="clear" w:color="auto" w:fill="auto"/>
            <w:vAlign w:val="center"/>
          </w:tcPr>
          <w:p w14:paraId="49AFA6A9" w14:textId="77777777" w:rsidR="009D2AD3" w:rsidRPr="002A3E91" w:rsidRDefault="002A3E91" w:rsidP="002A3E91">
            <w:pPr>
              <w:pStyle w:val="Body"/>
              <w:rPr>
                <w:sz w:val="20"/>
                <w:lang w:eastAsia="en-AU"/>
              </w:rPr>
            </w:pPr>
            <w:r>
              <w:rPr>
                <w:sz w:val="20"/>
                <w:lang w:eastAsia="en-AU"/>
              </w:rPr>
              <w:t>Middleton et al.</w:t>
            </w:r>
            <w:r w:rsidR="009D2AD3" w:rsidRPr="002A3E91">
              <w:rPr>
                <w:sz w:val="20"/>
                <w:lang w:eastAsia="en-AU"/>
              </w:rPr>
              <w:t xml:space="preserve"> (2015)</w:t>
            </w:r>
          </w:p>
        </w:tc>
        <w:tc>
          <w:tcPr>
            <w:tcW w:w="376" w:type="pct"/>
            <w:shd w:val="clear" w:color="auto" w:fill="auto"/>
            <w:vAlign w:val="center"/>
          </w:tcPr>
          <w:p w14:paraId="72997CCE" w14:textId="77777777" w:rsidR="009D2AD3" w:rsidRPr="00834D8A" w:rsidRDefault="009D2AD3"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Public domain</w:t>
            </w:r>
          </w:p>
        </w:tc>
        <w:tc>
          <w:tcPr>
            <w:tcW w:w="524" w:type="pct"/>
            <w:shd w:val="clear" w:color="auto" w:fill="auto"/>
            <w:vAlign w:val="center"/>
          </w:tcPr>
          <w:p w14:paraId="0555DBC2"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49DC4AC3"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c>
          <w:tcPr>
            <w:tcW w:w="524" w:type="pct"/>
            <w:shd w:val="clear" w:color="auto" w:fill="auto"/>
            <w:vAlign w:val="center"/>
          </w:tcPr>
          <w:p w14:paraId="232CF7E7"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c>
          <w:tcPr>
            <w:tcW w:w="524" w:type="pct"/>
            <w:shd w:val="clear" w:color="auto" w:fill="auto"/>
          </w:tcPr>
          <w:p w14:paraId="0F2F2353"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1E6AE8CB"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r w:rsidRPr="00834D8A">
              <w:rPr>
                <w:rFonts w:ascii="Calibri" w:eastAsia="Times New Roman" w:hAnsi="Calibri" w:cs="Arial"/>
                <w:b/>
                <w:color w:val="000000"/>
                <w:sz w:val="20"/>
                <w:szCs w:val="20"/>
                <w:lang w:val="en-GB" w:eastAsia="en-AU"/>
              </w:rPr>
              <w:sym w:font="Wingdings" w:char="F0FC"/>
            </w:r>
          </w:p>
        </w:tc>
      </w:tr>
      <w:tr w:rsidR="009D2AD3" w:rsidRPr="00834D8A" w14:paraId="6C444752" w14:textId="77777777" w:rsidTr="00E54883">
        <w:trPr>
          <w:trHeight w:hRule="exact" w:val="340"/>
        </w:trPr>
        <w:tc>
          <w:tcPr>
            <w:tcW w:w="407" w:type="pct"/>
            <w:shd w:val="clear" w:color="auto" w:fill="auto"/>
            <w:vAlign w:val="center"/>
          </w:tcPr>
          <w:p w14:paraId="483E3F9F"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bookmarkStart w:id="296" w:name="OLE_LINK5"/>
            <w:bookmarkStart w:id="297" w:name="OLE_LINK6"/>
            <w:r w:rsidRPr="00834D8A">
              <w:rPr>
                <w:rFonts w:asciiTheme="majorHAnsi" w:eastAsiaTheme="minorEastAsia" w:hAnsiTheme="majorHAnsi" w:cs="Calibri"/>
                <w:color w:val="000000"/>
                <w:sz w:val="20"/>
                <w:szCs w:val="20"/>
                <w:lang w:val="en-GB" w:eastAsia="ja-JP"/>
              </w:rPr>
              <w:t>PSU-COALCOMP</w:t>
            </w:r>
            <w:bookmarkEnd w:id="296"/>
            <w:bookmarkEnd w:id="297"/>
          </w:p>
        </w:tc>
        <w:tc>
          <w:tcPr>
            <w:tcW w:w="725" w:type="pct"/>
            <w:shd w:val="clear" w:color="auto" w:fill="auto"/>
            <w:vAlign w:val="center"/>
          </w:tcPr>
          <w:p w14:paraId="171B7F12" w14:textId="77777777" w:rsidR="009D2AD3" w:rsidRPr="00D61ACF" w:rsidRDefault="009D2AD3" w:rsidP="002A3E91">
            <w:pPr>
              <w:pStyle w:val="Body"/>
              <w:rPr>
                <w:rFonts w:eastAsia="Times New Roman" w:cs="Arial"/>
                <w:lang w:eastAsia="en-AU"/>
              </w:rPr>
            </w:pPr>
            <w:r w:rsidRPr="002A3E91">
              <w:rPr>
                <w:sz w:val="20"/>
                <w:lang w:eastAsia="ja-JP"/>
              </w:rPr>
              <w:t xml:space="preserve">Manik et al. (2000) </w:t>
            </w:r>
          </w:p>
        </w:tc>
        <w:tc>
          <w:tcPr>
            <w:tcW w:w="870" w:type="pct"/>
            <w:shd w:val="clear" w:color="auto" w:fill="auto"/>
            <w:vAlign w:val="center"/>
          </w:tcPr>
          <w:p w14:paraId="14E693E2" w14:textId="202F6284" w:rsidR="009D2AD3" w:rsidRPr="002A3E91" w:rsidRDefault="009D2AD3">
            <w:pPr>
              <w:pStyle w:val="Body"/>
              <w:rPr>
                <w:sz w:val="20"/>
                <w:lang w:eastAsia="en-AU"/>
              </w:rPr>
            </w:pPr>
            <w:r w:rsidRPr="002A3E91">
              <w:rPr>
                <w:sz w:val="20"/>
                <w:lang w:eastAsia="en-AU"/>
              </w:rPr>
              <w:t>Bromhal et al. (2005)</w:t>
            </w:r>
          </w:p>
        </w:tc>
        <w:tc>
          <w:tcPr>
            <w:tcW w:w="376" w:type="pct"/>
            <w:shd w:val="clear" w:color="auto" w:fill="auto"/>
            <w:vAlign w:val="center"/>
          </w:tcPr>
          <w:p w14:paraId="6CC3FD5F" w14:textId="77777777" w:rsidR="009D2AD3" w:rsidRPr="00834D8A" w:rsidRDefault="009D2AD3" w:rsidP="00E54883">
            <w:pPr>
              <w:pStyle w:val="Body"/>
              <w:spacing w:before="20" w:after="20" w:line="240" w:lineRule="auto"/>
              <w:rPr>
                <w:sz w:val="20"/>
                <w:szCs w:val="20"/>
                <w:lang w:eastAsia="en-AU"/>
              </w:rPr>
            </w:pPr>
            <w:r w:rsidRPr="00834D8A">
              <w:rPr>
                <w:sz w:val="20"/>
                <w:szCs w:val="20"/>
                <w:lang w:eastAsia="en-AU"/>
              </w:rPr>
              <w:t>Academic</w:t>
            </w:r>
          </w:p>
        </w:tc>
        <w:tc>
          <w:tcPr>
            <w:tcW w:w="524" w:type="pct"/>
            <w:shd w:val="clear" w:color="auto" w:fill="auto"/>
            <w:vAlign w:val="center"/>
          </w:tcPr>
          <w:p w14:paraId="35DC0F29" w14:textId="77777777" w:rsidR="009D2AD3" w:rsidRPr="00834D8A" w:rsidRDefault="009D2AD3" w:rsidP="00054894">
            <w:pPr>
              <w:spacing w:before="20" w:after="20"/>
              <w:jc w:val="center"/>
              <w:rPr>
                <w:rFonts w:ascii="Calibri" w:eastAsia="Times New Roman" w:hAnsi="Calibri" w:cs="Arial"/>
                <w:b/>
                <w:sz w:val="20"/>
                <w:szCs w:val="20"/>
                <w:lang w:val="en-US" w:eastAsia="en-AU"/>
              </w:rPr>
            </w:pPr>
            <w:bookmarkStart w:id="298" w:name="OLE_LINK12"/>
            <w:bookmarkStart w:id="299" w:name="OLE_LINK13"/>
            <w:bookmarkStart w:id="300" w:name="OLE_LINK14"/>
            <w:bookmarkStart w:id="301" w:name="OLE_LINK15"/>
            <w:r w:rsidRPr="00834D8A">
              <w:rPr>
                <w:rFonts w:ascii="Calibri" w:eastAsia="Times New Roman" w:hAnsi="Calibri" w:cs="Arial"/>
                <w:b/>
                <w:sz w:val="20"/>
                <w:szCs w:val="20"/>
                <w:lang w:val="en-US" w:eastAsia="en-AU"/>
              </w:rPr>
              <w:sym w:font="Wingdings" w:char="F0FC"/>
            </w:r>
            <w:bookmarkEnd w:id="298"/>
            <w:bookmarkEnd w:id="299"/>
            <w:bookmarkEnd w:id="300"/>
            <w:bookmarkEnd w:id="301"/>
          </w:p>
        </w:tc>
        <w:tc>
          <w:tcPr>
            <w:tcW w:w="524" w:type="pct"/>
            <w:shd w:val="clear" w:color="auto" w:fill="auto"/>
            <w:vAlign w:val="center"/>
          </w:tcPr>
          <w:p w14:paraId="563E763A"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shd w:val="clear" w:color="auto" w:fill="auto"/>
            <w:vAlign w:val="center"/>
          </w:tcPr>
          <w:p w14:paraId="354A8336"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c>
          <w:tcPr>
            <w:tcW w:w="524" w:type="pct"/>
            <w:shd w:val="clear" w:color="auto" w:fill="auto"/>
          </w:tcPr>
          <w:p w14:paraId="069876ED"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22172071"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p>
        </w:tc>
      </w:tr>
      <w:tr w:rsidR="009D2AD3" w:rsidRPr="00834D8A" w14:paraId="0E80DC34" w14:textId="77777777" w:rsidTr="00E54883">
        <w:trPr>
          <w:trHeight w:hRule="exact" w:val="340"/>
        </w:trPr>
        <w:tc>
          <w:tcPr>
            <w:tcW w:w="407" w:type="pct"/>
            <w:shd w:val="clear" w:color="auto" w:fill="auto"/>
            <w:vAlign w:val="center"/>
          </w:tcPr>
          <w:p w14:paraId="1270FE71"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ROCKFLOW</w:t>
            </w:r>
          </w:p>
        </w:tc>
        <w:tc>
          <w:tcPr>
            <w:tcW w:w="725" w:type="pct"/>
            <w:shd w:val="clear" w:color="auto" w:fill="auto"/>
            <w:vAlign w:val="center"/>
          </w:tcPr>
          <w:p w14:paraId="13DDED06" w14:textId="77777777" w:rsidR="009D2AD3" w:rsidRPr="00D61ACF" w:rsidRDefault="009D2AD3" w:rsidP="002A3E91">
            <w:pPr>
              <w:pStyle w:val="Body"/>
              <w:rPr>
                <w:lang w:eastAsia="en-AU"/>
              </w:rPr>
            </w:pPr>
            <w:r w:rsidRPr="002A3E91">
              <w:rPr>
                <w:sz w:val="20"/>
                <w:lang w:eastAsia="en-AU"/>
              </w:rPr>
              <w:t>Kolditz (1995)</w:t>
            </w:r>
          </w:p>
        </w:tc>
        <w:tc>
          <w:tcPr>
            <w:tcW w:w="870" w:type="pct"/>
            <w:shd w:val="clear" w:color="auto" w:fill="auto"/>
            <w:vAlign w:val="center"/>
          </w:tcPr>
          <w:p w14:paraId="43DACCF5" w14:textId="77777777" w:rsidR="009D2AD3" w:rsidRPr="002A3E91" w:rsidRDefault="009D2AD3" w:rsidP="002A3E91">
            <w:pPr>
              <w:pStyle w:val="Body"/>
              <w:rPr>
                <w:sz w:val="20"/>
                <w:lang w:eastAsia="en-AU"/>
              </w:rPr>
            </w:pPr>
            <w:r w:rsidRPr="002A3E91">
              <w:rPr>
                <w:sz w:val="20"/>
                <w:lang w:eastAsia="en-AU"/>
              </w:rPr>
              <w:t>Class et al. (2009)</w:t>
            </w:r>
          </w:p>
        </w:tc>
        <w:tc>
          <w:tcPr>
            <w:tcW w:w="376" w:type="pct"/>
            <w:shd w:val="clear" w:color="auto" w:fill="auto"/>
            <w:vAlign w:val="center"/>
          </w:tcPr>
          <w:p w14:paraId="3BF59B4F" w14:textId="77777777" w:rsidR="009D2AD3" w:rsidRPr="00834D8A" w:rsidRDefault="009D2AD3" w:rsidP="00E54883">
            <w:pPr>
              <w:pStyle w:val="Body"/>
              <w:spacing w:before="20" w:after="20" w:line="240" w:lineRule="auto"/>
              <w:rPr>
                <w:sz w:val="20"/>
                <w:szCs w:val="20"/>
                <w:lang w:eastAsia="en-AU"/>
              </w:rPr>
            </w:pPr>
            <w:r w:rsidRPr="00834D8A">
              <w:rPr>
                <w:sz w:val="20"/>
                <w:szCs w:val="20"/>
                <w:lang w:eastAsia="en-AU"/>
              </w:rPr>
              <w:t>Academic</w:t>
            </w:r>
          </w:p>
        </w:tc>
        <w:tc>
          <w:tcPr>
            <w:tcW w:w="524" w:type="pct"/>
            <w:shd w:val="clear" w:color="auto" w:fill="auto"/>
            <w:vAlign w:val="center"/>
          </w:tcPr>
          <w:p w14:paraId="58540A67"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2B1FF00E"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03490C60"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tcPr>
          <w:p w14:paraId="246C76B3" w14:textId="77777777" w:rsidR="009D2AD3" w:rsidRPr="00834D8A" w:rsidRDefault="009D2AD3"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c>
          <w:tcPr>
            <w:tcW w:w="524" w:type="pct"/>
            <w:shd w:val="clear" w:color="auto" w:fill="auto"/>
            <w:vAlign w:val="center"/>
          </w:tcPr>
          <w:p w14:paraId="701270DE"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p>
        </w:tc>
      </w:tr>
      <w:tr w:rsidR="009D2AD3" w:rsidRPr="00834D8A" w14:paraId="265E7F94" w14:textId="77777777" w:rsidTr="00E54883">
        <w:trPr>
          <w:trHeight w:hRule="exact" w:val="340"/>
        </w:trPr>
        <w:tc>
          <w:tcPr>
            <w:tcW w:w="407" w:type="pct"/>
            <w:shd w:val="clear" w:color="auto" w:fill="auto"/>
            <w:vAlign w:val="center"/>
          </w:tcPr>
          <w:p w14:paraId="008C6B92"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RTAFF2</w:t>
            </w:r>
          </w:p>
        </w:tc>
        <w:tc>
          <w:tcPr>
            <w:tcW w:w="725" w:type="pct"/>
            <w:shd w:val="clear" w:color="auto" w:fill="auto"/>
            <w:vAlign w:val="center"/>
          </w:tcPr>
          <w:p w14:paraId="260767C1" w14:textId="77777777" w:rsidR="009D2AD3" w:rsidRPr="002A3E91" w:rsidRDefault="009D2AD3" w:rsidP="002A3E91">
            <w:pPr>
              <w:pStyle w:val="Body"/>
              <w:rPr>
                <w:sz w:val="20"/>
              </w:rPr>
            </w:pPr>
            <w:r w:rsidRPr="002A3E91">
              <w:rPr>
                <w:sz w:val="20"/>
              </w:rPr>
              <w:t xml:space="preserve">Sbai (2007) in </w:t>
            </w:r>
            <w:r w:rsidR="002A3E91">
              <w:rPr>
                <w:sz w:val="20"/>
              </w:rPr>
              <w:t>Class et al.</w:t>
            </w:r>
            <w:r w:rsidRPr="002A3E91">
              <w:rPr>
                <w:sz w:val="20"/>
              </w:rPr>
              <w:t xml:space="preserve"> (2009)</w:t>
            </w:r>
          </w:p>
        </w:tc>
        <w:tc>
          <w:tcPr>
            <w:tcW w:w="870" w:type="pct"/>
            <w:shd w:val="clear" w:color="auto" w:fill="auto"/>
            <w:vAlign w:val="center"/>
          </w:tcPr>
          <w:p w14:paraId="052414EF" w14:textId="77777777" w:rsidR="009D2AD3" w:rsidRPr="002A3E91" w:rsidRDefault="002A3E91" w:rsidP="002A3E91">
            <w:pPr>
              <w:pStyle w:val="Body"/>
              <w:rPr>
                <w:sz w:val="20"/>
                <w:lang w:eastAsia="en-AU"/>
              </w:rPr>
            </w:pPr>
            <w:r>
              <w:rPr>
                <w:sz w:val="20"/>
                <w:lang w:eastAsia="en-AU"/>
              </w:rPr>
              <w:t>Class et al.</w:t>
            </w:r>
            <w:r w:rsidR="009D2AD3" w:rsidRPr="002A3E91">
              <w:rPr>
                <w:sz w:val="20"/>
                <w:lang w:eastAsia="en-AU"/>
              </w:rPr>
              <w:t xml:space="preserve"> (2009)</w:t>
            </w:r>
          </w:p>
        </w:tc>
        <w:tc>
          <w:tcPr>
            <w:tcW w:w="376" w:type="pct"/>
            <w:shd w:val="clear" w:color="auto" w:fill="auto"/>
            <w:vAlign w:val="center"/>
          </w:tcPr>
          <w:p w14:paraId="5443CE2E" w14:textId="77777777" w:rsidR="009D2AD3" w:rsidRPr="00834D8A" w:rsidRDefault="009D2AD3" w:rsidP="00E54883">
            <w:pPr>
              <w:pStyle w:val="Body"/>
              <w:spacing w:before="20" w:after="20" w:line="240" w:lineRule="auto"/>
              <w:rPr>
                <w:sz w:val="20"/>
                <w:szCs w:val="20"/>
                <w:lang w:eastAsia="en-AU"/>
              </w:rPr>
            </w:pPr>
            <w:r w:rsidRPr="00834D8A">
              <w:rPr>
                <w:sz w:val="20"/>
                <w:szCs w:val="20"/>
                <w:lang w:eastAsia="en-AU"/>
              </w:rPr>
              <w:t>Academic</w:t>
            </w:r>
          </w:p>
        </w:tc>
        <w:tc>
          <w:tcPr>
            <w:tcW w:w="524" w:type="pct"/>
            <w:shd w:val="clear" w:color="auto" w:fill="auto"/>
            <w:vAlign w:val="center"/>
          </w:tcPr>
          <w:p w14:paraId="4849A97E"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4CF822C9"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665B54F4"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tcPr>
          <w:p w14:paraId="58D70FF9" w14:textId="77777777" w:rsidR="009D2AD3" w:rsidRPr="00834D8A" w:rsidRDefault="009D2AD3"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4D8C9C8C"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r w:rsidRPr="00834D8A">
              <w:rPr>
                <w:rFonts w:ascii="Calibri" w:eastAsia="Times New Roman" w:hAnsi="Calibri" w:cs="Arial"/>
                <w:b/>
                <w:color w:val="000000"/>
                <w:sz w:val="20"/>
                <w:szCs w:val="20"/>
                <w:lang w:val="en-GB" w:eastAsia="en-AU"/>
              </w:rPr>
              <w:sym w:font="Wingdings" w:char="F0FC"/>
            </w:r>
          </w:p>
        </w:tc>
      </w:tr>
      <w:tr w:rsidR="009D2AD3" w:rsidRPr="00834D8A" w14:paraId="55B4D075" w14:textId="77777777" w:rsidTr="00E54883">
        <w:trPr>
          <w:trHeight w:hRule="exact" w:val="340"/>
        </w:trPr>
        <w:tc>
          <w:tcPr>
            <w:tcW w:w="407" w:type="pct"/>
            <w:shd w:val="clear" w:color="auto" w:fill="auto"/>
            <w:vAlign w:val="center"/>
          </w:tcPr>
          <w:p w14:paraId="125106A4" w14:textId="77777777" w:rsidR="009D2AD3" w:rsidRPr="00834D8A" w:rsidRDefault="009D2AD3"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 xml:space="preserve">SIMED II </w:t>
            </w:r>
            <w:r w:rsidRPr="00834D8A">
              <w:rPr>
                <w:rFonts w:asciiTheme="majorHAnsi" w:eastAsiaTheme="minorEastAsia" w:hAnsiTheme="majorHAnsi" w:cs="Calibri"/>
                <w:color w:val="000000"/>
                <w:sz w:val="20"/>
                <w:szCs w:val="20"/>
                <w:vertAlign w:val="superscript"/>
                <w:lang w:val="en-GB" w:eastAsia="ja-JP"/>
              </w:rPr>
              <w:t>b</w:t>
            </w:r>
          </w:p>
        </w:tc>
        <w:tc>
          <w:tcPr>
            <w:tcW w:w="725" w:type="pct"/>
            <w:shd w:val="clear" w:color="auto" w:fill="auto"/>
            <w:vAlign w:val="center"/>
          </w:tcPr>
          <w:p w14:paraId="49788C0E" w14:textId="77777777" w:rsidR="009D2AD3" w:rsidRPr="00B45FE5" w:rsidRDefault="009D2AD3" w:rsidP="00B45FE5">
            <w:pPr>
              <w:pStyle w:val="Body"/>
              <w:rPr>
                <w:szCs w:val="20"/>
              </w:rPr>
            </w:pPr>
            <w:r w:rsidRPr="00B45FE5">
              <w:rPr>
                <w:sz w:val="20"/>
                <w:szCs w:val="20"/>
              </w:rPr>
              <w:t>Spencer et al. (1987)</w:t>
            </w:r>
          </w:p>
        </w:tc>
        <w:tc>
          <w:tcPr>
            <w:tcW w:w="870" w:type="pct"/>
            <w:shd w:val="clear" w:color="auto" w:fill="auto"/>
            <w:vAlign w:val="center"/>
          </w:tcPr>
          <w:p w14:paraId="30A1E40E" w14:textId="77777777" w:rsidR="009D2AD3" w:rsidRPr="00B45FE5" w:rsidRDefault="009D2AD3" w:rsidP="00B45FE5">
            <w:pPr>
              <w:pStyle w:val="Body"/>
              <w:rPr>
                <w:sz w:val="20"/>
                <w:lang w:eastAsia="en-AU"/>
              </w:rPr>
            </w:pPr>
            <w:r w:rsidRPr="00B45FE5">
              <w:rPr>
                <w:sz w:val="20"/>
                <w:lang w:eastAsia="en-AU"/>
              </w:rPr>
              <w:t>Connell and Detournay (2009)</w:t>
            </w:r>
          </w:p>
        </w:tc>
        <w:tc>
          <w:tcPr>
            <w:tcW w:w="376" w:type="pct"/>
            <w:shd w:val="clear" w:color="auto" w:fill="auto"/>
            <w:vAlign w:val="center"/>
          </w:tcPr>
          <w:p w14:paraId="4DB6C74D" w14:textId="77777777" w:rsidR="009D2AD3" w:rsidRPr="00834D8A" w:rsidRDefault="009D2AD3" w:rsidP="00E54883">
            <w:pPr>
              <w:pStyle w:val="Body"/>
              <w:spacing w:before="20" w:after="20" w:line="240" w:lineRule="auto"/>
              <w:rPr>
                <w:sz w:val="20"/>
                <w:szCs w:val="20"/>
                <w:lang w:eastAsia="en-AU"/>
              </w:rPr>
            </w:pPr>
            <w:r w:rsidRPr="00834D8A">
              <w:rPr>
                <w:sz w:val="20"/>
                <w:szCs w:val="20"/>
                <w:lang w:eastAsia="en-AU"/>
              </w:rPr>
              <w:t>Academic</w:t>
            </w:r>
          </w:p>
        </w:tc>
        <w:tc>
          <w:tcPr>
            <w:tcW w:w="524" w:type="pct"/>
            <w:shd w:val="clear" w:color="auto" w:fill="auto"/>
            <w:vAlign w:val="center"/>
          </w:tcPr>
          <w:p w14:paraId="7808A31F"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7E66C768"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shd w:val="clear" w:color="auto" w:fill="auto"/>
            <w:vAlign w:val="center"/>
          </w:tcPr>
          <w:p w14:paraId="47FCD765"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r w:rsidRPr="00834D8A">
              <w:rPr>
                <w:rFonts w:ascii="Calibri" w:eastAsiaTheme="minorEastAsia" w:hAnsi="Calibri" w:cs="Calibri"/>
                <w:color w:val="000000"/>
                <w:sz w:val="20"/>
                <w:szCs w:val="20"/>
                <w:lang w:val="en-GB" w:eastAsia="ja-JP"/>
              </w:rPr>
              <w:t>SIMED–FLAC3D</w:t>
            </w:r>
          </w:p>
        </w:tc>
        <w:tc>
          <w:tcPr>
            <w:tcW w:w="524" w:type="pct"/>
            <w:shd w:val="clear" w:color="auto" w:fill="auto"/>
          </w:tcPr>
          <w:p w14:paraId="49E005D9"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shd w:val="clear" w:color="auto" w:fill="auto"/>
            <w:vAlign w:val="center"/>
          </w:tcPr>
          <w:p w14:paraId="324D2C9A" w14:textId="77777777" w:rsidR="009D2AD3" w:rsidRPr="00834D8A" w:rsidRDefault="009D2AD3"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p>
        </w:tc>
      </w:tr>
      <w:tr w:rsidR="00220CAE" w:rsidRPr="00834D8A" w14:paraId="7076F5A8" w14:textId="77777777" w:rsidTr="00E54883">
        <w:trPr>
          <w:trHeight w:hRule="exact" w:val="340"/>
        </w:trPr>
        <w:tc>
          <w:tcPr>
            <w:tcW w:w="407" w:type="pct"/>
            <w:shd w:val="clear" w:color="auto" w:fill="auto"/>
            <w:vAlign w:val="center"/>
          </w:tcPr>
          <w:p w14:paraId="14AE0168" w14:textId="77777777" w:rsidR="00220CAE" w:rsidRPr="00834D8A" w:rsidRDefault="00220CAE"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SIMUSCOPP</w:t>
            </w:r>
          </w:p>
        </w:tc>
        <w:tc>
          <w:tcPr>
            <w:tcW w:w="725" w:type="pct"/>
            <w:shd w:val="clear" w:color="auto" w:fill="auto"/>
            <w:vAlign w:val="center"/>
          </w:tcPr>
          <w:p w14:paraId="7278B1A5" w14:textId="77777777" w:rsidR="00220CAE" w:rsidRPr="00E54883" w:rsidRDefault="00E54883" w:rsidP="00E54883">
            <w:pPr>
              <w:pStyle w:val="Body"/>
              <w:rPr>
                <w:sz w:val="20"/>
                <w:lang w:eastAsia="en-AU"/>
              </w:rPr>
            </w:pPr>
            <w:r>
              <w:rPr>
                <w:sz w:val="20"/>
                <w:lang w:eastAsia="en-AU"/>
              </w:rPr>
              <w:t>BURGEAP (2015)</w:t>
            </w:r>
          </w:p>
        </w:tc>
        <w:tc>
          <w:tcPr>
            <w:tcW w:w="870" w:type="pct"/>
            <w:shd w:val="clear" w:color="auto" w:fill="auto"/>
            <w:vAlign w:val="center"/>
          </w:tcPr>
          <w:p w14:paraId="1B43EFFE" w14:textId="77777777" w:rsidR="00220CAE" w:rsidRPr="00B45FE5" w:rsidRDefault="00220CAE" w:rsidP="00B45FE5">
            <w:pPr>
              <w:pStyle w:val="Body"/>
              <w:rPr>
                <w:sz w:val="20"/>
                <w:lang w:eastAsia="en-AU"/>
              </w:rPr>
            </w:pPr>
            <w:r w:rsidRPr="00B45FE5">
              <w:rPr>
                <w:sz w:val="20"/>
                <w:lang w:eastAsia="en-AU"/>
              </w:rPr>
              <w:t>Pruess et a</w:t>
            </w:r>
            <w:r w:rsidR="00B45FE5">
              <w:rPr>
                <w:sz w:val="20"/>
                <w:lang w:eastAsia="en-AU"/>
              </w:rPr>
              <w:t>l.</w:t>
            </w:r>
            <w:r w:rsidRPr="00B45FE5">
              <w:rPr>
                <w:sz w:val="20"/>
                <w:lang w:eastAsia="en-AU"/>
              </w:rPr>
              <w:t xml:space="preserve"> (2004)</w:t>
            </w:r>
          </w:p>
        </w:tc>
        <w:tc>
          <w:tcPr>
            <w:tcW w:w="376" w:type="pct"/>
            <w:shd w:val="clear" w:color="auto" w:fill="auto"/>
            <w:vAlign w:val="center"/>
          </w:tcPr>
          <w:p w14:paraId="185AB03A" w14:textId="77777777" w:rsidR="00220CAE" w:rsidRPr="00834D8A" w:rsidRDefault="00220CAE"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Academic</w:t>
            </w:r>
          </w:p>
        </w:tc>
        <w:tc>
          <w:tcPr>
            <w:tcW w:w="524" w:type="pct"/>
            <w:shd w:val="clear" w:color="auto" w:fill="auto"/>
            <w:vAlign w:val="center"/>
          </w:tcPr>
          <w:p w14:paraId="6A276973" w14:textId="77777777" w:rsidR="00220CAE" w:rsidRPr="00834D8A" w:rsidRDefault="00220CAE"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05054C74" w14:textId="77777777" w:rsidR="00220CAE" w:rsidRPr="00834D8A" w:rsidRDefault="00220CAE" w:rsidP="00054894">
            <w:pPr>
              <w:spacing w:before="20" w:after="20"/>
              <w:jc w:val="center"/>
              <w:rPr>
                <w:rFonts w:ascii="Calibri" w:eastAsia="Times New Roman" w:hAnsi="Calibri" w:cs="Arial"/>
                <w:b/>
                <w:sz w:val="20"/>
                <w:szCs w:val="20"/>
                <w:lang w:val="en-US" w:eastAsia="en-AU"/>
              </w:rPr>
            </w:pPr>
            <w:r w:rsidRPr="00834D8A">
              <w:rPr>
                <w:rFonts w:eastAsia="Times New Roman" w:cs="Arial"/>
                <w:b/>
                <w:sz w:val="20"/>
                <w:szCs w:val="20"/>
                <w:lang w:val="en-US" w:eastAsia="en-AU"/>
              </w:rPr>
              <w:sym w:font="Wingdings" w:char="F0FC"/>
            </w:r>
          </w:p>
        </w:tc>
        <w:tc>
          <w:tcPr>
            <w:tcW w:w="524" w:type="pct"/>
            <w:shd w:val="clear" w:color="auto" w:fill="auto"/>
            <w:vAlign w:val="center"/>
          </w:tcPr>
          <w:p w14:paraId="3752B24B"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p>
        </w:tc>
        <w:tc>
          <w:tcPr>
            <w:tcW w:w="524" w:type="pct"/>
            <w:shd w:val="clear" w:color="auto" w:fill="auto"/>
          </w:tcPr>
          <w:p w14:paraId="7A8EAAE7" w14:textId="77777777" w:rsidR="00220CAE" w:rsidRPr="00834D8A" w:rsidRDefault="00220CAE" w:rsidP="00054894">
            <w:pPr>
              <w:spacing w:before="20" w:after="20"/>
              <w:jc w:val="center"/>
              <w:rPr>
                <w:rFonts w:ascii="Calibri" w:eastAsia="Times New Roman" w:hAnsi="Calibri" w:cs="Arial"/>
                <w:b/>
                <w:sz w:val="20"/>
                <w:szCs w:val="20"/>
                <w:lang w:val="en-US" w:eastAsia="en-AU"/>
              </w:rPr>
            </w:pPr>
          </w:p>
        </w:tc>
        <w:tc>
          <w:tcPr>
            <w:tcW w:w="524" w:type="pct"/>
            <w:shd w:val="clear" w:color="auto" w:fill="auto"/>
            <w:vAlign w:val="center"/>
          </w:tcPr>
          <w:p w14:paraId="4E3F60F2"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r w:rsidRPr="00834D8A">
              <w:rPr>
                <w:rFonts w:ascii="Calibri" w:eastAsia="Times New Roman" w:hAnsi="Calibri" w:cs="Arial"/>
                <w:b/>
                <w:color w:val="000000"/>
                <w:sz w:val="20"/>
                <w:szCs w:val="20"/>
                <w:lang w:val="en-GB" w:eastAsia="en-AU"/>
              </w:rPr>
              <w:sym w:font="Wingdings" w:char="F0FC"/>
            </w:r>
          </w:p>
        </w:tc>
      </w:tr>
      <w:tr w:rsidR="00220CAE" w:rsidRPr="00834D8A" w14:paraId="38FAB0CD" w14:textId="77777777" w:rsidTr="00E54883">
        <w:trPr>
          <w:trHeight w:hRule="exact" w:val="340"/>
        </w:trPr>
        <w:tc>
          <w:tcPr>
            <w:tcW w:w="407" w:type="pct"/>
            <w:tcBorders>
              <w:bottom w:val="nil"/>
            </w:tcBorders>
            <w:shd w:val="clear" w:color="auto" w:fill="auto"/>
            <w:vAlign w:val="center"/>
          </w:tcPr>
          <w:p w14:paraId="1EBB34C1" w14:textId="77777777" w:rsidR="00220CAE" w:rsidRPr="00834D8A" w:rsidRDefault="00220CAE"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STOMP</w:t>
            </w:r>
          </w:p>
        </w:tc>
        <w:tc>
          <w:tcPr>
            <w:tcW w:w="725" w:type="pct"/>
            <w:tcBorders>
              <w:bottom w:val="nil"/>
            </w:tcBorders>
            <w:shd w:val="clear" w:color="auto" w:fill="auto"/>
            <w:vAlign w:val="center"/>
          </w:tcPr>
          <w:p w14:paraId="0EE39A5F" w14:textId="77777777" w:rsidR="00220CAE" w:rsidRPr="00B45FE5" w:rsidRDefault="00220CAE" w:rsidP="00B45FE5">
            <w:pPr>
              <w:pStyle w:val="Body"/>
              <w:rPr>
                <w:sz w:val="20"/>
                <w:lang w:eastAsia="en-AU"/>
              </w:rPr>
            </w:pPr>
            <w:r w:rsidRPr="00B45FE5">
              <w:rPr>
                <w:sz w:val="20"/>
                <w:lang w:eastAsia="en-AU"/>
              </w:rPr>
              <w:t>White and Oostrom (2006)</w:t>
            </w:r>
          </w:p>
        </w:tc>
        <w:tc>
          <w:tcPr>
            <w:tcW w:w="870" w:type="pct"/>
            <w:tcBorders>
              <w:bottom w:val="nil"/>
            </w:tcBorders>
            <w:shd w:val="clear" w:color="auto" w:fill="auto"/>
            <w:vAlign w:val="center"/>
          </w:tcPr>
          <w:p w14:paraId="4CA5E236" w14:textId="77777777" w:rsidR="00220CAE" w:rsidRPr="00B45FE5" w:rsidRDefault="00220CAE" w:rsidP="00B45FE5">
            <w:pPr>
              <w:pStyle w:val="Body"/>
              <w:rPr>
                <w:sz w:val="20"/>
                <w:lang w:eastAsia="en-AU"/>
              </w:rPr>
            </w:pPr>
            <w:r w:rsidRPr="00B45FE5">
              <w:rPr>
                <w:sz w:val="20"/>
                <w:lang w:eastAsia="en-AU"/>
              </w:rPr>
              <w:t>Pruess et al. (2004)</w:t>
            </w:r>
          </w:p>
        </w:tc>
        <w:tc>
          <w:tcPr>
            <w:tcW w:w="376" w:type="pct"/>
            <w:tcBorders>
              <w:bottom w:val="nil"/>
            </w:tcBorders>
            <w:shd w:val="clear" w:color="auto" w:fill="auto"/>
            <w:vAlign w:val="center"/>
          </w:tcPr>
          <w:p w14:paraId="12E41832" w14:textId="77777777" w:rsidR="00220CAE" w:rsidRPr="00834D8A" w:rsidRDefault="00220CAE" w:rsidP="00E54883">
            <w:pPr>
              <w:pStyle w:val="Body"/>
              <w:spacing w:before="20" w:after="20" w:line="240" w:lineRule="auto"/>
              <w:rPr>
                <w:sz w:val="20"/>
                <w:szCs w:val="20"/>
                <w:lang w:eastAsia="en-AU"/>
              </w:rPr>
            </w:pPr>
            <w:r w:rsidRPr="00834D8A">
              <w:rPr>
                <w:sz w:val="20"/>
                <w:szCs w:val="20"/>
                <w:lang w:eastAsia="en-AU"/>
              </w:rPr>
              <w:t>Academic</w:t>
            </w:r>
          </w:p>
        </w:tc>
        <w:tc>
          <w:tcPr>
            <w:tcW w:w="524" w:type="pct"/>
            <w:tcBorders>
              <w:bottom w:val="nil"/>
            </w:tcBorders>
            <w:shd w:val="clear" w:color="auto" w:fill="auto"/>
            <w:vAlign w:val="center"/>
          </w:tcPr>
          <w:p w14:paraId="53810331"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tcBorders>
              <w:bottom w:val="nil"/>
            </w:tcBorders>
            <w:shd w:val="clear" w:color="auto" w:fill="auto"/>
            <w:vAlign w:val="center"/>
          </w:tcPr>
          <w:p w14:paraId="17643E27"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tcBorders>
              <w:bottom w:val="nil"/>
            </w:tcBorders>
            <w:shd w:val="clear" w:color="auto" w:fill="auto"/>
            <w:vAlign w:val="center"/>
          </w:tcPr>
          <w:p w14:paraId="7BB11F5A"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p>
        </w:tc>
        <w:tc>
          <w:tcPr>
            <w:tcW w:w="524" w:type="pct"/>
            <w:tcBorders>
              <w:bottom w:val="nil"/>
            </w:tcBorders>
            <w:shd w:val="clear" w:color="auto" w:fill="auto"/>
          </w:tcPr>
          <w:p w14:paraId="550CC0F2"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tcBorders>
              <w:bottom w:val="nil"/>
            </w:tcBorders>
            <w:shd w:val="clear" w:color="auto" w:fill="auto"/>
            <w:vAlign w:val="center"/>
          </w:tcPr>
          <w:p w14:paraId="6552EA7D"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sz w:val="20"/>
                <w:szCs w:val="20"/>
                <w:lang w:val="en-GB" w:eastAsia="ja-JP"/>
              </w:rPr>
            </w:pPr>
            <w:r w:rsidRPr="00834D8A">
              <w:rPr>
                <w:rFonts w:ascii="Calibri" w:eastAsiaTheme="minorEastAsia" w:hAnsi="Calibri" w:cs="Calibri"/>
                <w:sz w:val="20"/>
                <w:szCs w:val="20"/>
                <w:lang w:val="en-GB" w:eastAsia="ja-JP"/>
              </w:rPr>
              <w:t>STOMP–ECKECHEM</w:t>
            </w:r>
          </w:p>
        </w:tc>
      </w:tr>
      <w:tr w:rsidR="00220CAE" w:rsidRPr="00834D8A" w14:paraId="5E62A341" w14:textId="77777777" w:rsidTr="00E54883">
        <w:trPr>
          <w:trHeight w:hRule="exact" w:val="340"/>
        </w:trPr>
        <w:tc>
          <w:tcPr>
            <w:tcW w:w="407" w:type="pct"/>
            <w:tcBorders>
              <w:bottom w:val="nil"/>
            </w:tcBorders>
            <w:shd w:val="clear" w:color="auto" w:fill="auto"/>
            <w:vAlign w:val="center"/>
          </w:tcPr>
          <w:p w14:paraId="045D77D3" w14:textId="77777777" w:rsidR="00220CAE" w:rsidRPr="00834D8A" w:rsidRDefault="00220CAE"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 xml:space="preserve">TEMPEST MORE </w:t>
            </w:r>
            <w:r w:rsidRPr="00834D8A">
              <w:rPr>
                <w:rFonts w:asciiTheme="majorHAnsi" w:eastAsiaTheme="minorEastAsia" w:hAnsiTheme="majorHAnsi" w:cs="Calibri"/>
                <w:color w:val="000000"/>
                <w:sz w:val="20"/>
                <w:szCs w:val="20"/>
                <w:vertAlign w:val="superscript"/>
                <w:lang w:val="en-GB" w:eastAsia="ja-JP"/>
              </w:rPr>
              <w:t>b</w:t>
            </w:r>
          </w:p>
        </w:tc>
        <w:tc>
          <w:tcPr>
            <w:tcW w:w="725" w:type="pct"/>
            <w:tcBorders>
              <w:bottom w:val="nil"/>
            </w:tcBorders>
            <w:shd w:val="clear" w:color="auto" w:fill="auto"/>
            <w:vAlign w:val="center"/>
          </w:tcPr>
          <w:p w14:paraId="10CA9AD8" w14:textId="77777777" w:rsidR="00220CAE" w:rsidRPr="00D61ACF" w:rsidRDefault="00E54883" w:rsidP="00E54883">
            <w:pPr>
              <w:pStyle w:val="Body"/>
              <w:rPr>
                <w:lang w:eastAsia="en-AU"/>
              </w:rPr>
            </w:pPr>
            <w:r w:rsidRPr="00E54883">
              <w:rPr>
                <w:sz w:val="20"/>
                <w:lang w:eastAsia="en-AU"/>
              </w:rPr>
              <w:t>Emerson Electric Co</w:t>
            </w:r>
            <w:r>
              <w:rPr>
                <w:sz w:val="20"/>
                <w:lang w:eastAsia="en-AU"/>
              </w:rPr>
              <w:t>. (2015)</w:t>
            </w:r>
          </w:p>
        </w:tc>
        <w:tc>
          <w:tcPr>
            <w:tcW w:w="870" w:type="pct"/>
            <w:tcBorders>
              <w:bottom w:val="nil"/>
            </w:tcBorders>
            <w:shd w:val="clear" w:color="auto" w:fill="auto"/>
            <w:vAlign w:val="center"/>
          </w:tcPr>
          <w:p w14:paraId="47A304FE" w14:textId="77777777" w:rsidR="00220CAE" w:rsidRPr="00B45FE5" w:rsidRDefault="00220CAE" w:rsidP="00B45FE5">
            <w:pPr>
              <w:pStyle w:val="Body"/>
              <w:rPr>
                <w:sz w:val="20"/>
                <w:lang w:eastAsia="en-AU"/>
              </w:rPr>
            </w:pPr>
            <w:r w:rsidRPr="00B45FE5">
              <w:rPr>
                <w:sz w:val="20"/>
                <w:lang w:eastAsia="en-AU"/>
              </w:rPr>
              <w:t>Hussen et al. (2012)</w:t>
            </w:r>
          </w:p>
        </w:tc>
        <w:tc>
          <w:tcPr>
            <w:tcW w:w="376" w:type="pct"/>
            <w:tcBorders>
              <w:bottom w:val="nil"/>
            </w:tcBorders>
            <w:shd w:val="clear" w:color="auto" w:fill="auto"/>
            <w:vAlign w:val="center"/>
          </w:tcPr>
          <w:p w14:paraId="54036AC6" w14:textId="77777777" w:rsidR="00220CAE" w:rsidRPr="00834D8A" w:rsidRDefault="00220CAE" w:rsidP="00E54883">
            <w:pPr>
              <w:pStyle w:val="Body"/>
              <w:spacing w:before="20" w:after="20" w:line="240" w:lineRule="auto"/>
              <w:rPr>
                <w:rFonts w:eastAsia="Times New Roman" w:cs="Arial"/>
                <w:sz w:val="20"/>
                <w:szCs w:val="20"/>
                <w:lang w:eastAsia="en-AU"/>
              </w:rPr>
            </w:pPr>
            <w:r w:rsidRPr="00834D8A">
              <w:rPr>
                <w:rFonts w:eastAsia="Times New Roman" w:cs="Arial"/>
                <w:sz w:val="20"/>
                <w:szCs w:val="20"/>
                <w:lang w:eastAsia="en-AU"/>
              </w:rPr>
              <w:t>Commercial</w:t>
            </w:r>
          </w:p>
        </w:tc>
        <w:tc>
          <w:tcPr>
            <w:tcW w:w="524" w:type="pct"/>
            <w:tcBorders>
              <w:bottom w:val="nil"/>
            </w:tcBorders>
            <w:shd w:val="clear" w:color="auto" w:fill="auto"/>
            <w:vAlign w:val="center"/>
          </w:tcPr>
          <w:p w14:paraId="22241A5A" w14:textId="77777777" w:rsidR="00220CAE" w:rsidRPr="00834D8A" w:rsidRDefault="00220CAE"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tcBorders>
              <w:bottom w:val="nil"/>
            </w:tcBorders>
            <w:shd w:val="clear" w:color="auto" w:fill="auto"/>
            <w:vAlign w:val="center"/>
          </w:tcPr>
          <w:p w14:paraId="5E13C22A" w14:textId="77777777" w:rsidR="00220CAE" w:rsidRPr="00834D8A" w:rsidRDefault="00220CAE" w:rsidP="00054894">
            <w:pPr>
              <w:spacing w:before="20" w:after="20"/>
              <w:jc w:val="center"/>
              <w:rPr>
                <w:rFonts w:ascii="Calibri" w:eastAsia="Times New Roman" w:hAnsi="Calibri" w:cs="Arial"/>
                <w:b/>
                <w:sz w:val="20"/>
                <w:szCs w:val="20"/>
                <w:lang w:val="en-US" w:eastAsia="en-AU"/>
              </w:rPr>
            </w:pPr>
            <w:r w:rsidRPr="00834D8A">
              <w:rPr>
                <w:rFonts w:ascii="Calibri" w:eastAsia="Times New Roman" w:hAnsi="Calibri" w:cs="Arial"/>
                <w:b/>
                <w:sz w:val="20"/>
                <w:szCs w:val="20"/>
                <w:lang w:val="en-US" w:eastAsia="en-AU"/>
              </w:rPr>
              <w:sym w:font="Wingdings" w:char="F0FC"/>
            </w:r>
          </w:p>
        </w:tc>
        <w:tc>
          <w:tcPr>
            <w:tcW w:w="524" w:type="pct"/>
            <w:tcBorders>
              <w:bottom w:val="nil"/>
            </w:tcBorders>
            <w:shd w:val="clear" w:color="auto" w:fill="auto"/>
            <w:vAlign w:val="center"/>
          </w:tcPr>
          <w:p w14:paraId="370CAC6F"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p>
        </w:tc>
        <w:tc>
          <w:tcPr>
            <w:tcW w:w="524" w:type="pct"/>
            <w:tcBorders>
              <w:bottom w:val="nil"/>
            </w:tcBorders>
            <w:shd w:val="clear" w:color="auto" w:fill="auto"/>
          </w:tcPr>
          <w:p w14:paraId="7C3FFCBB" w14:textId="77777777" w:rsidR="00220CAE" w:rsidRPr="00834D8A" w:rsidRDefault="00220CAE" w:rsidP="00054894">
            <w:pPr>
              <w:spacing w:before="20" w:after="20"/>
              <w:jc w:val="center"/>
              <w:rPr>
                <w:rFonts w:ascii="Calibri" w:eastAsia="Times New Roman" w:hAnsi="Calibri" w:cs="Arial"/>
                <w:b/>
                <w:sz w:val="20"/>
                <w:szCs w:val="20"/>
                <w:lang w:val="en-US" w:eastAsia="en-AU"/>
              </w:rPr>
            </w:pPr>
          </w:p>
        </w:tc>
        <w:tc>
          <w:tcPr>
            <w:tcW w:w="524" w:type="pct"/>
            <w:tcBorders>
              <w:bottom w:val="nil"/>
            </w:tcBorders>
            <w:shd w:val="clear" w:color="auto" w:fill="auto"/>
            <w:vAlign w:val="center"/>
          </w:tcPr>
          <w:p w14:paraId="3DCF8D0B"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p>
        </w:tc>
      </w:tr>
      <w:tr w:rsidR="00220CAE" w:rsidRPr="00834D8A" w14:paraId="30465DC0" w14:textId="77777777" w:rsidTr="00E54883">
        <w:trPr>
          <w:trHeight w:hRule="exact" w:val="340"/>
        </w:trPr>
        <w:tc>
          <w:tcPr>
            <w:tcW w:w="407" w:type="pct"/>
            <w:tcBorders>
              <w:top w:val="nil"/>
              <w:bottom w:val="single" w:sz="4" w:space="0" w:color="auto"/>
            </w:tcBorders>
            <w:shd w:val="clear" w:color="auto" w:fill="auto"/>
            <w:vAlign w:val="center"/>
          </w:tcPr>
          <w:p w14:paraId="091DE0AA" w14:textId="77777777" w:rsidR="00220CAE" w:rsidRPr="00834D8A" w:rsidRDefault="00220CAE" w:rsidP="00054894">
            <w:pPr>
              <w:suppressAutoHyphens/>
              <w:autoSpaceDE w:val="0"/>
              <w:autoSpaceDN w:val="0"/>
              <w:adjustRightInd w:val="0"/>
              <w:spacing w:before="20" w:after="20"/>
              <w:textAlignment w:val="center"/>
              <w:rPr>
                <w:rFonts w:asciiTheme="majorHAnsi" w:eastAsiaTheme="minorEastAsia" w:hAnsiTheme="majorHAnsi" w:cs="Calibri"/>
                <w:color w:val="000000"/>
                <w:sz w:val="20"/>
                <w:szCs w:val="20"/>
                <w:lang w:val="en-GB" w:eastAsia="ja-JP"/>
              </w:rPr>
            </w:pPr>
            <w:r w:rsidRPr="00834D8A">
              <w:rPr>
                <w:rFonts w:asciiTheme="majorHAnsi" w:eastAsiaTheme="minorEastAsia" w:hAnsiTheme="majorHAnsi" w:cs="Calibri"/>
                <w:color w:val="000000"/>
                <w:sz w:val="20"/>
                <w:szCs w:val="20"/>
                <w:lang w:val="en-GB" w:eastAsia="ja-JP"/>
              </w:rPr>
              <w:t>TOUGH2</w:t>
            </w:r>
          </w:p>
        </w:tc>
        <w:tc>
          <w:tcPr>
            <w:tcW w:w="725" w:type="pct"/>
            <w:tcBorders>
              <w:top w:val="nil"/>
              <w:bottom w:val="single" w:sz="4" w:space="0" w:color="auto"/>
            </w:tcBorders>
            <w:shd w:val="clear" w:color="auto" w:fill="auto"/>
            <w:vAlign w:val="center"/>
          </w:tcPr>
          <w:p w14:paraId="5A408A63" w14:textId="77777777" w:rsidR="00220CAE" w:rsidRPr="00B45FE5" w:rsidRDefault="00B45FE5" w:rsidP="00B45FE5">
            <w:pPr>
              <w:pStyle w:val="Body"/>
              <w:rPr>
                <w:sz w:val="20"/>
                <w:lang w:eastAsia="en-AU"/>
              </w:rPr>
            </w:pPr>
            <w:r>
              <w:rPr>
                <w:sz w:val="20"/>
                <w:lang w:eastAsia="en-AU"/>
              </w:rPr>
              <w:t>Pruess et al.</w:t>
            </w:r>
            <w:r w:rsidR="00220CAE" w:rsidRPr="00B45FE5">
              <w:rPr>
                <w:sz w:val="20"/>
                <w:lang w:eastAsia="en-AU"/>
              </w:rPr>
              <w:t xml:space="preserve"> (1999)</w:t>
            </w:r>
          </w:p>
        </w:tc>
        <w:tc>
          <w:tcPr>
            <w:tcW w:w="870" w:type="pct"/>
            <w:tcBorders>
              <w:top w:val="nil"/>
              <w:bottom w:val="single" w:sz="4" w:space="0" w:color="auto"/>
            </w:tcBorders>
            <w:shd w:val="clear" w:color="auto" w:fill="auto"/>
            <w:vAlign w:val="center"/>
          </w:tcPr>
          <w:p w14:paraId="7909CD61" w14:textId="54E316C7" w:rsidR="00220CAE" w:rsidRPr="00B45FE5" w:rsidRDefault="00220CAE">
            <w:pPr>
              <w:pStyle w:val="Body"/>
              <w:rPr>
                <w:sz w:val="20"/>
                <w:lang w:eastAsia="en-AU"/>
              </w:rPr>
            </w:pPr>
            <w:r w:rsidRPr="00B45FE5">
              <w:rPr>
                <w:sz w:val="20"/>
                <w:lang w:eastAsia="en-AU"/>
              </w:rPr>
              <w:t>Zarrouk and Moore (2009)</w:t>
            </w:r>
          </w:p>
        </w:tc>
        <w:tc>
          <w:tcPr>
            <w:tcW w:w="376" w:type="pct"/>
            <w:tcBorders>
              <w:top w:val="nil"/>
              <w:bottom w:val="single" w:sz="4" w:space="0" w:color="auto"/>
            </w:tcBorders>
            <w:shd w:val="clear" w:color="auto" w:fill="auto"/>
            <w:vAlign w:val="center"/>
          </w:tcPr>
          <w:p w14:paraId="08190524" w14:textId="77777777" w:rsidR="00220CAE" w:rsidRPr="00834D8A" w:rsidRDefault="00220CAE" w:rsidP="00E54883">
            <w:pPr>
              <w:pStyle w:val="Body"/>
              <w:spacing w:before="20" w:after="20" w:line="240" w:lineRule="auto"/>
              <w:rPr>
                <w:sz w:val="20"/>
                <w:szCs w:val="20"/>
                <w:lang w:eastAsia="en-AU"/>
              </w:rPr>
            </w:pPr>
            <w:r w:rsidRPr="00834D8A">
              <w:rPr>
                <w:sz w:val="20"/>
                <w:szCs w:val="20"/>
                <w:lang w:eastAsia="en-AU"/>
              </w:rPr>
              <w:t>Academic</w:t>
            </w:r>
          </w:p>
        </w:tc>
        <w:tc>
          <w:tcPr>
            <w:tcW w:w="524" w:type="pct"/>
            <w:tcBorders>
              <w:top w:val="nil"/>
              <w:bottom w:val="single" w:sz="4" w:space="0" w:color="auto"/>
            </w:tcBorders>
            <w:shd w:val="clear" w:color="auto" w:fill="auto"/>
            <w:vAlign w:val="center"/>
          </w:tcPr>
          <w:p w14:paraId="42E6F624"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tcBorders>
              <w:top w:val="nil"/>
              <w:bottom w:val="single" w:sz="4" w:space="0" w:color="auto"/>
            </w:tcBorders>
            <w:shd w:val="clear" w:color="auto" w:fill="auto"/>
            <w:vAlign w:val="center"/>
          </w:tcPr>
          <w:p w14:paraId="317DA888"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r w:rsidRPr="00834D8A">
              <w:rPr>
                <w:rFonts w:ascii="Calibri" w:eastAsia="Times New Roman" w:hAnsi="Calibri" w:cs="Arial"/>
                <w:b/>
                <w:color w:val="000000"/>
                <w:sz w:val="20"/>
                <w:szCs w:val="20"/>
                <w:lang w:val="en-GB" w:eastAsia="en-AU"/>
              </w:rPr>
              <w:sym w:font="Wingdings" w:char="F0FC"/>
            </w:r>
          </w:p>
        </w:tc>
        <w:tc>
          <w:tcPr>
            <w:tcW w:w="524" w:type="pct"/>
            <w:tcBorders>
              <w:top w:val="nil"/>
              <w:bottom w:val="single" w:sz="4" w:space="0" w:color="auto"/>
            </w:tcBorders>
            <w:shd w:val="clear" w:color="auto" w:fill="auto"/>
            <w:vAlign w:val="center"/>
          </w:tcPr>
          <w:p w14:paraId="3CB740FF"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r w:rsidRPr="00834D8A">
              <w:rPr>
                <w:rFonts w:ascii="Calibri" w:eastAsiaTheme="minorEastAsia" w:hAnsi="Calibri" w:cs="Calibri"/>
                <w:color w:val="000000"/>
                <w:sz w:val="20"/>
                <w:szCs w:val="20"/>
                <w:lang w:val="en-GB" w:eastAsia="ja-JP"/>
              </w:rPr>
              <w:t>TOUGH</w:t>
            </w:r>
            <w:r w:rsidRPr="00834D8A">
              <w:rPr>
                <w:rFonts w:ascii="Calibri" w:eastAsiaTheme="minorEastAsia" w:hAnsi="Calibri" w:cs="Calibri"/>
                <w:color w:val="000000"/>
                <w:sz w:val="20"/>
                <w:szCs w:val="20"/>
                <w:lang w:val="en-GB" w:eastAsia="ja-JP"/>
              </w:rPr>
              <w:softHyphen/>
              <w:t>–FLAC3D</w:t>
            </w:r>
          </w:p>
        </w:tc>
        <w:tc>
          <w:tcPr>
            <w:tcW w:w="524" w:type="pct"/>
            <w:tcBorders>
              <w:top w:val="nil"/>
              <w:bottom w:val="single" w:sz="4" w:space="0" w:color="auto"/>
            </w:tcBorders>
            <w:shd w:val="clear" w:color="auto" w:fill="auto"/>
          </w:tcPr>
          <w:p w14:paraId="5D455D70"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imes New Roman" w:hAnsi="Calibri" w:cs="Arial"/>
                <w:color w:val="000000"/>
                <w:sz w:val="20"/>
                <w:szCs w:val="20"/>
                <w:lang w:val="en-GB" w:eastAsia="en-AU"/>
              </w:rPr>
            </w:pPr>
          </w:p>
        </w:tc>
        <w:tc>
          <w:tcPr>
            <w:tcW w:w="524" w:type="pct"/>
            <w:tcBorders>
              <w:top w:val="nil"/>
              <w:bottom w:val="single" w:sz="4" w:space="0" w:color="auto"/>
            </w:tcBorders>
            <w:shd w:val="clear" w:color="auto" w:fill="auto"/>
            <w:vAlign w:val="center"/>
          </w:tcPr>
          <w:p w14:paraId="491E739E" w14:textId="77777777" w:rsidR="00220CAE" w:rsidRPr="00834D8A" w:rsidRDefault="00220CAE" w:rsidP="00054894">
            <w:pPr>
              <w:suppressAutoHyphens/>
              <w:autoSpaceDE w:val="0"/>
              <w:autoSpaceDN w:val="0"/>
              <w:adjustRightInd w:val="0"/>
              <w:spacing w:before="20" w:after="20"/>
              <w:jc w:val="center"/>
              <w:textAlignment w:val="center"/>
              <w:rPr>
                <w:rFonts w:ascii="Calibri" w:eastAsiaTheme="minorEastAsia" w:hAnsi="Calibri" w:cs="Calibri"/>
                <w:color w:val="000000"/>
                <w:sz w:val="20"/>
                <w:szCs w:val="20"/>
                <w:lang w:val="en-GB" w:eastAsia="ja-JP"/>
              </w:rPr>
            </w:pPr>
            <w:r w:rsidRPr="00834D8A">
              <w:rPr>
                <w:rFonts w:ascii="Calibri" w:eastAsiaTheme="minorEastAsia" w:hAnsi="Calibri" w:cs="Calibri"/>
                <w:color w:val="000000"/>
                <w:sz w:val="20"/>
                <w:szCs w:val="20"/>
                <w:lang w:val="en-GB" w:eastAsia="ja-JP"/>
              </w:rPr>
              <w:t>TOUGH–REACT</w:t>
            </w:r>
          </w:p>
        </w:tc>
      </w:tr>
    </w:tbl>
    <w:p w14:paraId="16875110" w14:textId="77777777" w:rsidR="00144B4F" w:rsidRDefault="00054894" w:rsidP="00054894">
      <w:pPr>
        <w:pStyle w:val="Body"/>
      </w:pPr>
      <w:r>
        <w:t xml:space="preserve">* Superscript symbols indicate models that have been applied to the Australian context in </w:t>
      </w:r>
      <w:r w:rsidR="00DC2262">
        <w:t xml:space="preserve">published studies of </w:t>
      </w:r>
      <w:r>
        <w:t xml:space="preserve">(a) coal seam gas </w:t>
      </w:r>
      <w:r w:rsidR="00DC2262">
        <w:t xml:space="preserve">development </w:t>
      </w:r>
      <w:r>
        <w:t xml:space="preserve">or (b) </w:t>
      </w:r>
      <w:r w:rsidR="003D76E6">
        <w:t xml:space="preserve">other </w:t>
      </w:r>
      <w:r w:rsidR="00DC2262">
        <w:t>activities</w:t>
      </w:r>
      <w:r>
        <w:t>.</w:t>
      </w:r>
    </w:p>
    <w:p w14:paraId="603DA322" w14:textId="77777777" w:rsidR="00DE7FD3" w:rsidRDefault="00DE7FD3" w:rsidP="00DE7FD3">
      <w:pPr>
        <w:pStyle w:val="Body"/>
      </w:pPr>
    </w:p>
    <w:p w14:paraId="37A844C4" w14:textId="77777777" w:rsidR="00DE7FD3" w:rsidRPr="00DE7FD3" w:rsidRDefault="00DE7FD3" w:rsidP="00DE7FD3">
      <w:pPr>
        <w:pStyle w:val="Body"/>
        <w:sectPr w:rsidR="00DE7FD3" w:rsidRPr="00DE7FD3" w:rsidSect="003004DC">
          <w:footerReference w:type="even" r:id="rId100"/>
          <w:footerReference w:type="default" r:id="rId101"/>
          <w:headerReference w:type="first" r:id="rId102"/>
          <w:footerReference w:type="first" r:id="rId103"/>
          <w:pgSz w:w="23814" w:h="16839" w:orient="landscape" w:code="8"/>
          <w:pgMar w:top="1440" w:right="1440" w:bottom="1440" w:left="1440" w:header="0" w:footer="0" w:gutter="0"/>
          <w:cols w:space="284"/>
          <w:titlePg/>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37"/>
        <w:gridCol w:w="457"/>
        <w:gridCol w:w="4961"/>
      </w:tblGrid>
      <w:tr w:rsidR="008A1135" w14:paraId="17063E7F" w14:textId="77777777" w:rsidTr="00834D8A">
        <w:trPr>
          <w:trHeight w:hRule="exact" w:val="992"/>
        </w:trPr>
        <w:tc>
          <w:tcPr>
            <w:tcW w:w="8755" w:type="dxa"/>
            <w:gridSpan w:val="3"/>
          </w:tcPr>
          <w:p w14:paraId="4D62DEE1" w14:textId="6EB6C7BA" w:rsidR="008A1135" w:rsidRDefault="00401F03" w:rsidP="00834D8A">
            <w:pPr>
              <w:pStyle w:val="BackCoverContactDetails"/>
            </w:pPr>
            <w:r>
              <w:rPr>
                <w:noProof/>
              </w:rPr>
              <mc:AlternateContent>
                <mc:Choice Requires="wps">
                  <w:drawing>
                    <wp:anchor distT="0" distB="0" distL="114300" distR="114300" simplePos="0" relativeHeight="251667456" behindDoc="1" locked="0" layoutInCell="1" allowOverlap="1" wp14:anchorId="29736753" wp14:editId="38BABB78">
                      <wp:simplePos x="0" y="0"/>
                      <wp:positionH relativeFrom="column">
                        <wp:posOffset>-759460</wp:posOffset>
                      </wp:positionH>
                      <wp:positionV relativeFrom="paragraph">
                        <wp:posOffset>-746125</wp:posOffset>
                      </wp:positionV>
                      <wp:extent cx="7598410" cy="7686675"/>
                      <wp:effectExtent l="0" t="0" r="0" b="9525"/>
                      <wp:wrapNone/>
                      <wp:docPr id="96" name="Rectangle 135" descr="background elemen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8410" cy="7686675"/>
                              </a:xfrm>
                              <a:prstGeom prst="rect">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59705E" id="Rectangle 135" o:spid="_x0000_s1026" alt="background elements" style="position:absolute;margin-left:-59.8pt;margin-top:-58.75pt;width:598.3pt;height:605.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" filled="f" fillcolor="#00a9ce [3204]" stroked="f"/>
                  </w:pict>
                </mc:Fallback>
              </mc:AlternateContent>
            </w:r>
          </w:p>
          <w:p w14:paraId="650D491C" w14:textId="77777777" w:rsidR="008A1135" w:rsidRDefault="008A1135" w:rsidP="00834D8A"/>
          <w:p w14:paraId="49BA9C2D" w14:textId="77777777" w:rsidR="008A1135" w:rsidRPr="006C33D9" w:rsidRDefault="008A1135" w:rsidP="00834D8A"/>
        </w:tc>
      </w:tr>
      <w:tr w:rsidR="008A1135" w14:paraId="0610B5AF" w14:textId="77777777" w:rsidTr="00834D8A">
        <w:tc>
          <w:tcPr>
            <w:tcW w:w="3337" w:type="dxa"/>
          </w:tcPr>
          <w:p w14:paraId="659840F0" w14:textId="77777777" w:rsidR="008A1135" w:rsidRPr="00840B15" w:rsidRDefault="008A1135" w:rsidP="00834D8A">
            <w:pPr>
              <w:pStyle w:val="BackCoverContactHeading"/>
            </w:pPr>
            <w:r w:rsidRPr="00840B15">
              <w:t>CONTACT US</w:t>
            </w:r>
          </w:p>
          <w:p w14:paraId="1D0016E0" w14:textId="77777777" w:rsidR="008A1135" w:rsidRDefault="008A1135" w:rsidP="00834D8A">
            <w:pPr>
              <w:pStyle w:val="BackCoverContactDetails"/>
            </w:pPr>
            <w:r w:rsidRPr="00840B15">
              <w:rPr>
                <w:rStyle w:val="BackCoverContactBold"/>
              </w:rPr>
              <w:t>t</w:t>
            </w:r>
            <w:r>
              <w:t xml:space="preserve"> </w:t>
            </w:r>
            <w:r>
              <w:tab/>
            </w:r>
            <w:r w:rsidRPr="00D1044D">
              <w:t>1300</w:t>
            </w:r>
            <w:r>
              <w:t xml:space="preserve"> 363 400</w:t>
            </w:r>
          </w:p>
          <w:p w14:paraId="277A4121" w14:textId="77777777" w:rsidR="008A1135" w:rsidRDefault="008A1135" w:rsidP="00834D8A">
            <w:pPr>
              <w:pStyle w:val="BackCoverContactDetails"/>
            </w:pPr>
            <w:r>
              <w:tab/>
              <w:t>+61 3 9545 2176</w:t>
            </w:r>
          </w:p>
          <w:p w14:paraId="182159D8" w14:textId="77777777" w:rsidR="008A1135" w:rsidRDefault="008A1135" w:rsidP="00834D8A">
            <w:pPr>
              <w:pStyle w:val="BackCoverContactDetails"/>
            </w:pPr>
            <w:r w:rsidRPr="00840B15">
              <w:rPr>
                <w:rStyle w:val="BackCoverContactBold"/>
              </w:rPr>
              <w:t>e</w:t>
            </w:r>
            <w:r>
              <w:t xml:space="preserve"> </w:t>
            </w:r>
            <w:r>
              <w:tab/>
              <w:t>enquiries@csiro.au</w:t>
            </w:r>
          </w:p>
          <w:p w14:paraId="5280788D" w14:textId="77777777" w:rsidR="008A1135" w:rsidRDefault="008A1135" w:rsidP="00834D8A">
            <w:pPr>
              <w:pStyle w:val="BackCoverContactDetails"/>
            </w:pPr>
            <w:r w:rsidRPr="00840B15">
              <w:rPr>
                <w:rStyle w:val="BackCoverContactBold"/>
              </w:rPr>
              <w:t>w</w:t>
            </w:r>
            <w:r>
              <w:t xml:space="preserve"> </w:t>
            </w:r>
            <w:r>
              <w:tab/>
              <w:t>www.csiro.au</w:t>
            </w:r>
          </w:p>
          <w:p w14:paraId="259DA532" w14:textId="77777777" w:rsidR="008A1135" w:rsidRDefault="008A1135" w:rsidP="00834D8A">
            <w:pPr>
              <w:pStyle w:val="BackCoverContactHeading"/>
            </w:pPr>
            <w:r>
              <w:t xml:space="preserve">At CSIRO we shape the future </w:t>
            </w:r>
          </w:p>
          <w:p w14:paraId="2BD73F30" w14:textId="77777777" w:rsidR="008A1135" w:rsidRDefault="008A1135" w:rsidP="00834D8A">
            <w:pPr>
              <w:pStyle w:val="BackCoverContactDetails"/>
              <w:spacing w:after="120"/>
            </w:pPr>
            <w:r>
              <w:t>We do this by using science to solve real issues. Our research makes a difference to industry, people and the planet.</w:t>
            </w:r>
          </w:p>
          <w:p w14:paraId="7B9FEDF9" w14:textId="77777777" w:rsidR="008A1135" w:rsidRDefault="008A1135" w:rsidP="00834D8A">
            <w:pPr>
              <w:pStyle w:val="BackCoverContactDetails"/>
              <w:spacing w:after="120"/>
            </w:pPr>
            <w:r>
              <w:t>As Australia’s national science agency we’ve been pushing the edge of what’s possible for over 85 years. Today we have more than 5,000 talented people working out of 50-plus centres in Australia and internationally. Our people work closely with industry and communities to leave a lasting legacy. Collectively, our innovation and excellence places us in the top ten applied research agencies in the world.</w:t>
            </w:r>
          </w:p>
          <w:p w14:paraId="41796BFB" w14:textId="77777777" w:rsidR="008A1135" w:rsidRDefault="008A1135" w:rsidP="00834D8A">
            <w:pPr>
              <w:pStyle w:val="BackCoverContactDetails"/>
            </w:pPr>
            <w:r>
              <w:t>WE  ASK, WE SEEK AND WE SOLVE</w:t>
            </w:r>
          </w:p>
        </w:tc>
        <w:tc>
          <w:tcPr>
            <w:tcW w:w="457" w:type="dxa"/>
          </w:tcPr>
          <w:p w14:paraId="6A306634" w14:textId="77777777" w:rsidR="008A1135" w:rsidRDefault="008A1135" w:rsidP="00834D8A">
            <w:pPr>
              <w:pStyle w:val="BackCoverContactHeading"/>
            </w:pPr>
          </w:p>
        </w:tc>
        <w:tc>
          <w:tcPr>
            <w:tcW w:w="4961" w:type="dxa"/>
          </w:tcPr>
          <w:p w14:paraId="5DCDD9EA" w14:textId="77777777" w:rsidR="008A1135" w:rsidRDefault="008A1135" w:rsidP="00834D8A">
            <w:pPr>
              <w:pStyle w:val="BackCoverContactHeading"/>
            </w:pPr>
            <w:r>
              <w:t>For further information</w:t>
            </w:r>
          </w:p>
          <w:p w14:paraId="3D2DDDF8" w14:textId="77777777" w:rsidR="008A1135" w:rsidRPr="002B15B7" w:rsidRDefault="008A3F06" w:rsidP="00834D8A">
            <w:pPr>
              <w:pStyle w:val="BackCoverContactDetails"/>
              <w:rPr>
                <w:rStyle w:val="BackCoverContactBold"/>
              </w:rPr>
            </w:pPr>
            <w:r>
              <w:rPr>
                <w:rStyle w:val="BackCoverContactBold"/>
              </w:rPr>
              <w:t>Land &amp; Water</w:t>
            </w:r>
          </w:p>
          <w:p w14:paraId="23A94584" w14:textId="77777777" w:rsidR="008A1135" w:rsidRPr="00585C0D" w:rsidRDefault="008A3F06" w:rsidP="00834D8A">
            <w:pPr>
              <w:pStyle w:val="BackCoverContactDetails"/>
            </w:pPr>
            <w:r>
              <w:t>Chris Turnadge</w:t>
            </w:r>
            <w:r w:rsidR="008A1135">
              <w:br/>
            </w:r>
            <w:r w:rsidR="008A1135" w:rsidRPr="00585C0D">
              <w:rPr>
                <w:rStyle w:val="BackCoverContactBold"/>
              </w:rPr>
              <w:t>t</w:t>
            </w:r>
            <w:r w:rsidR="008A1135" w:rsidRPr="00585C0D">
              <w:t xml:space="preserve"> </w:t>
            </w:r>
            <w:r w:rsidR="008A1135" w:rsidRPr="00585C0D">
              <w:tab/>
            </w:r>
            <w:r>
              <w:rPr>
                <w:rStyle w:val="BackCoverContactBold"/>
              </w:rPr>
              <w:t>+61 08 303 8712</w:t>
            </w:r>
          </w:p>
          <w:p w14:paraId="2FDCAB4D" w14:textId="77777777" w:rsidR="008A1135" w:rsidRPr="00585C0D" w:rsidRDefault="008A1135" w:rsidP="00834D8A">
            <w:pPr>
              <w:pStyle w:val="BackCoverContactDetails"/>
            </w:pPr>
            <w:r w:rsidRPr="00585C0D">
              <w:rPr>
                <w:rStyle w:val="BackCoverContactBold"/>
              </w:rPr>
              <w:t>e</w:t>
            </w:r>
            <w:r w:rsidRPr="00585C0D">
              <w:t xml:space="preserve"> </w:t>
            </w:r>
            <w:r w:rsidRPr="00585C0D">
              <w:tab/>
            </w:r>
            <w:r w:rsidR="008A3F06">
              <w:rPr>
                <w:rStyle w:val="BackCoverContactBold"/>
              </w:rPr>
              <w:t>Chris.Turnadge</w:t>
            </w:r>
            <w:r w:rsidRPr="00CA09F4">
              <w:rPr>
                <w:rStyle w:val="BackCoverContactBold"/>
              </w:rPr>
              <w:t>@csiro.au</w:t>
            </w:r>
          </w:p>
          <w:p w14:paraId="3FA4745A" w14:textId="77777777" w:rsidR="008A1135" w:rsidRDefault="008A1135" w:rsidP="00834D8A">
            <w:pPr>
              <w:pStyle w:val="BackCoverContactDetails"/>
              <w:rPr>
                <w:rStyle w:val="BackCoverContactBold"/>
                <w:b w:val="0"/>
              </w:rPr>
            </w:pPr>
            <w:r w:rsidRPr="00585C0D">
              <w:rPr>
                <w:rStyle w:val="BackCoverContactBold"/>
              </w:rPr>
              <w:t>w</w:t>
            </w:r>
            <w:r w:rsidRPr="00585C0D">
              <w:t xml:space="preserve"> </w:t>
            </w:r>
            <w:r w:rsidRPr="00585C0D">
              <w:tab/>
            </w:r>
            <w:r w:rsidRPr="002B15B7">
              <w:rPr>
                <w:rStyle w:val="BackCoverContactBold"/>
              </w:rPr>
              <w:t>www.csiro.au/</w:t>
            </w:r>
            <w:r w:rsidR="00B249E7">
              <w:rPr>
                <w:rStyle w:val="BackCoverContactBold"/>
              </w:rPr>
              <w:t>en/Research/LWF</w:t>
            </w:r>
          </w:p>
          <w:p w14:paraId="23107032" w14:textId="77777777" w:rsidR="008A1135" w:rsidRDefault="008A1135" w:rsidP="00834D8A">
            <w:pPr>
              <w:pStyle w:val="BackCoverContactDetails"/>
              <w:rPr>
                <w:rStyle w:val="BackCoverContactBold"/>
              </w:rPr>
            </w:pPr>
          </w:p>
          <w:p w14:paraId="48ACFD4A" w14:textId="77777777" w:rsidR="008A3F06" w:rsidRPr="002B15B7" w:rsidRDefault="008A3F06" w:rsidP="008A3F06">
            <w:pPr>
              <w:pStyle w:val="BackCoverContactDetails"/>
              <w:rPr>
                <w:rStyle w:val="BackCoverContactBold"/>
              </w:rPr>
            </w:pPr>
            <w:r>
              <w:rPr>
                <w:rStyle w:val="BackCoverContactBold"/>
              </w:rPr>
              <w:t>Land &amp; Water</w:t>
            </w:r>
          </w:p>
          <w:p w14:paraId="2F7DD288" w14:textId="77777777" w:rsidR="008A1135" w:rsidRPr="00585C0D" w:rsidRDefault="008A3F06" w:rsidP="00834D8A">
            <w:pPr>
              <w:pStyle w:val="BackCoverContactDetails"/>
            </w:pPr>
            <w:r>
              <w:t>Dirk Mallants</w:t>
            </w:r>
            <w:r w:rsidR="008A1135">
              <w:br/>
            </w:r>
            <w:r w:rsidR="008A1135" w:rsidRPr="00585C0D">
              <w:rPr>
                <w:rStyle w:val="BackCoverContactBold"/>
              </w:rPr>
              <w:t>t</w:t>
            </w:r>
            <w:r w:rsidR="008A1135" w:rsidRPr="00585C0D">
              <w:t xml:space="preserve"> </w:t>
            </w:r>
            <w:r w:rsidR="008A1135" w:rsidRPr="00585C0D">
              <w:tab/>
            </w:r>
            <w:r>
              <w:rPr>
                <w:rStyle w:val="BackCoverContactBold"/>
              </w:rPr>
              <w:t>+61 8 8303 8595</w:t>
            </w:r>
          </w:p>
          <w:p w14:paraId="09026C4C" w14:textId="77777777" w:rsidR="008A1135" w:rsidRPr="00585C0D" w:rsidRDefault="008A1135" w:rsidP="00834D8A">
            <w:pPr>
              <w:pStyle w:val="BackCoverContactDetails"/>
            </w:pPr>
            <w:r w:rsidRPr="00585C0D">
              <w:rPr>
                <w:rStyle w:val="BackCoverContactBold"/>
              </w:rPr>
              <w:t>e</w:t>
            </w:r>
            <w:r w:rsidRPr="00585C0D">
              <w:t xml:space="preserve"> </w:t>
            </w:r>
            <w:r w:rsidRPr="00585C0D">
              <w:tab/>
            </w:r>
            <w:r w:rsidR="008A3F06">
              <w:rPr>
                <w:rStyle w:val="BackCoverContactBold"/>
              </w:rPr>
              <w:t>Dirk.Mallants</w:t>
            </w:r>
            <w:r w:rsidRPr="00CA09F4">
              <w:rPr>
                <w:rStyle w:val="BackCoverContactBold"/>
              </w:rPr>
              <w:t>@csiro.au</w:t>
            </w:r>
          </w:p>
          <w:p w14:paraId="3D015EA0" w14:textId="77777777" w:rsidR="008A1135" w:rsidRDefault="008A1135" w:rsidP="00834D8A">
            <w:pPr>
              <w:pStyle w:val="BackCoverContactDetails"/>
            </w:pPr>
            <w:r w:rsidRPr="00585C0D">
              <w:rPr>
                <w:rStyle w:val="BackCoverContactBold"/>
              </w:rPr>
              <w:t>w</w:t>
            </w:r>
            <w:r w:rsidRPr="00585C0D">
              <w:t xml:space="preserve"> </w:t>
            </w:r>
            <w:r w:rsidRPr="00585C0D">
              <w:tab/>
            </w:r>
            <w:r w:rsidRPr="002B15B7">
              <w:rPr>
                <w:rStyle w:val="BackCoverContactBold"/>
              </w:rPr>
              <w:t>www.csiro.au/</w:t>
            </w:r>
            <w:r w:rsidR="00936BAB">
              <w:rPr>
                <w:rStyle w:val="BackCoverContactBold"/>
              </w:rPr>
              <w:t>en/Research/LWF</w:t>
            </w:r>
          </w:p>
          <w:p w14:paraId="7897F0BF" w14:textId="77777777" w:rsidR="008A1135" w:rsidRDefault="008A1135" w:rsidP="00834D8A">
            <w:pPr>
              <w:pStyle w:val="BackCoverContactDetails"/>
              <w:rPr>
                <w:rStyle w:val="BackCoverContactBold"/>
              </w:rPr>
            </w:pPr>
          </w:p>
          <w:p w14:paraId="77FBBA4E" w14:textId="77777777" w:rsidR="008A3F06" w:rsidRPr="002B15B7" w:rsidRDefault="008A3F06" w:rsidP="008A3F06">
            <w:pPr>
              <w:pStyle w:val="BackCoverContactDetails"/>
              <w:rPr>
                <w:rStyle w:val="BackCoverContactBold"/>
              </w:rPr>
            </w:pPr>
            <w:r>
              <w:rPr>
                <w:rStyle w:val="BackCoverContactBold"/>
              </w:rPr>
              <w:t>Land &amp; Water</w:t>
            </w:r>
          </w:p>
          <w:p w14:paraId="0F274A56" w14:textId="77777777" w:rsidR="008A1135" w:rsidRPr="00585C0D" w:rsidRDefault="008A3F06" w:rsidP="00834D8A">
            <w:pPr>
              <w:pStyle w:val="BackCoverContactDetails"/>
            </w:pPr>
            <w:r>
              <w:t>Luk Peeters</w:t>
            </w:r>
            <w:r w:rsidR="008A1135">
              <w:br/>
            </w:r>
            <w:r w:rsidR="008A1135" w:rsidRPr="00585C0D">
              <w:rPr>
                <w:rStyle w:val="BackCoverContactBold"/>
              </w:rPr>
              <w:t>t</w:t>
            </w:r>
            <w:r w:rsidR="008A1135" w:rsidRPr="00585C0D">
              <w:t xml:space="preserve"> </w:t>
            </w:r>
            <w:r w:rsidR="008A1135" w:rsidRPr="00585C0D">
              <w:tab/>
            </w:r>
            <w:r w:rsidR="008A1135" w:rsidRPr="00CA09F4">
              <w:rPr>
                <w:rStyle w:val="BackCoverContactBold"/>
              </w:rPr>
              <w:t>+61</w:t>
            </w:r>
            <w:r>
              <w:rPr>
                <w:rStyle w:val="BackCoverContactBold"/>
              </w:rPr>
              <w:t xml:space="preserve"> 8 8303 8405</w:t>
            </w:r>
          </w:p>
          <w:p w14:paraId="715B6C6D" w14:textId="77777777" w:rsidR="008A1135" w:rsidRPr="00585C0D" w:rsidRDefault="008A1135" w:rsidP="00834D8A">
            <w:pPr>
              <w:pStyle w:val="BackCoverContactDetails"/>
            </w:pPr>
            <w:r w:rsidRPr="00585C0D">
              <w:rPr>
                <w:rStyle w:val="BackCoverContactBold"/>
              </w:rPr>
              <w:t>e</w:t>
            </w:r>
            <w:r w:rsidRPr="00585C0D">
              <w:t xml:space="preserve"> </w:t>
            </w:r>
            <w:r w:rsidRPr="00585C0D">
              <w:tab/>
            </w:r>
            <w:r w:rsidR="008A3F06">
              <w:rPr>
                <w:rStyle w:val="BackCoverContactBold"/>
              </w:rPr>
              <w:t xml:space="preserve"> Luk.Peters</w:t>
            </w:r>
            <w:r w:rsidRPr="00CA09F4">
              <w:rPr>
                <w:rStyle w:val="BackCoverContactBold"/>
              </w:rPr>
              <w:t>@csiro.au</w:t>
            </w:r>
          </w:p>
          <w:p w14:paraId="5B5B91B9" w14:textId="77777777" w:rsidR="00B249E7" w:rsidRDefault="00B249E7" w:rsidP="00B249E7">
            <w:pPr>
              <w:pStyle w:val="BackCoverContactDetails"/>
            </w:pPr>
            <w:r w:rsidRPr="00585C0D">
              <w:rPr>
                <w:rStyle w:val="BackCoverContactBold"/>
              </w:rPr>
              <w:t>w</w:t>
            </w:r>
            <w:r w:rsidRPr="00585C0D">
              <w:t xml:space="preserve"> </w:t>
            </w:r>
            <w:r w:rsidRPr="00585C0D">
              <w:tab/>
            </w:r>
            <w:r w:rsidRPr="002B15B7">
              <w:rPr>
                <w:rStyle w:val="BackCoverContactBold"/>
              </w:rPr>
              <w:t>www.csiro.au/</w:t>
            </w:r>
            <w:r>
              <w:rPr>
                <w:rStyle w:val="BackCoverContactBold"/>
              </w:rPr>
              <w:t>en/Research/LWF</w:t>
            </w:r>
          </w:p>
          <w:p w14:paraId="62F2576C" w14:textId="77777777" w:rsidR="008A1135" w:rsidRDefault="008A1135" w:rsidP="008A3F06">
            <w:pPr>
              <w:pStyle w:val="BackCoverContactDetails"/>
            </w:pPr>
          </w:p>
        </w:tc>
      </w:tr>
    </w:tbl>
    <w:p w14:paraId="4A16C02F" w14:textId="2E482286" w:rsidR="008A1135" w:rsidRDefault="00401F03" w:rsidP="00DE7FD3">
      <w:pPr>
        <w:pStyle w:val="BodyText"/>
      </w:pPr>
      <w:r>
        <w:rPr>
          <w:noProof/>
        </w:rPr>
        <mc:AlternateContent>
          <mc:Choice Requires="wpg">
            <w:drawing>
              <wp:anchor distT="0" distB="0" distL="114300" distR="114300" simplePos="0" relativeHeight="251666432" behindDoc="1" locked="1" layoutInCell="1" allowOverlap="1" wp14:anchorId="4B4FA7CE" wp14:editId="7F244A6D">
                <wp:simplePos x="0" y="0"/>
                <wp:positionH relativeFrom="column">
                  <wp:posOffset>-1692275</wp:posOffset>
                </wp:positionH>
                <wp:positionV relativeFrom="page">
                  <wp:posOffset>5715</wp:posOffset>
                </wp:positionV>
                <wp:extent cx="14792960" cy="10739755"/>
                <wp:effectExtent l="0" t="0" r="8890" b="4445"/>
                <wp:wrapNone/>
                <wp:docPr id="73" name="Group 54"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2960" cy="10739755"/>
                          <a:chOff x="-1254" y="-40"/>
                          <a:chExt cx="23296" cy="16913"/>
                        </a:xfrm>
                      </wpg:grpSpPr>
                      <wpg:grpSp>
                        <wpg:cNvPr id="74" name="Group 55" descr="background"/>
                        <wpg:cNvGrpSpPr>
                          <a:grpSpLocks/>
                        </wpg:cNvGrpSpPr>
                        <wpg:grpSpPr bwMode="auto">
                          <a:xfrm>
                            <a:off x="-38" y="-40"/>
                            <a:ext cx="12095" cy="16913"/>
                            <a:chOff x="-38" y="-41"/>
                            <a:chExt cx="12095" cy="16913"/>
                          </a:xfrm>
                        </wpg:grpSpPr>
                        <wps:wsp>
                          <wps:cNvPr id="75" name="Rectangle 56" descr="background"/>
                          <wps:cNvSpPr>
                            <a:spLocks noChangeArrowheads="1"/>
                          </wps:cNvSpPr>
                          <wps:spPr bwMode="auto">
                            <a:xfrm>
                              <a:off x="-38" y="-41"/>
                              <a:ext cx="11966" cy="1210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Rectangle 57" descr="background"/>
                          <wps:cNvSpPr>
                            <a:spLocks noChangeArrowheads="1"/>
                          </wps:cNvSpPr>
                          <wps:spPr bwMode="auto">
                            <a:xfrm>
                              <a:off x="-38" y="11692"/>
                              <a:ext cx="12095" cy="5180"/>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b" anchorCtr="0" upright="1">
                            <a:noAutofit/>
                          </wps:bodyPr>
                        </wps:wsp>
                      </wpg:grpSp>
                      <wpg:grpSp>
                        <wpg:cNvPr id="77" name="Canvas 1059" descr="background"/>
                        <wpg:cNvGrpSpPr>
                          <a:grpSpLocks/>
                        </wpg:cNvGrpSpPr>
                        <wpg:grpSpPr bwMode="auto">
                          <a:xfrm>
                            <a:off x="-62" y="913"/>
                            <a:ext cx="12119" cy="830"/>
                            <a:chOff x="0" y="0"/>
                            <a:chExt cx="89528" cy="6261"/>
                          </a:xfrm>
                        </wpg:grpSpPr>
                        <wps:wsp>
                          <wps:cNvPr id="81" name="AutoShape 26" descr="background"/>
                          <wps:cNvSpPr>
                            <a:spLocks noChangeAspect="1" noChangeArrowheads="1"/>
                          </wps:cNvSpPr>
                          <wps:spPr bwMode="auto">
                            <a:xfrm>
                              <a:off x="0" y="0"/>
                              <a:ext cx="89528" cy="6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34"/>
                          <wps:cNvSpPr>
                            <a:spLocks noChangeArrowheads="1"/>
                          </wps:cNvSpPr>
                          <wps:spPr bwMode="auto">
                            <a:xfrm>
                              <a:off x="146" y="190"/>
                              <a:ext cx="89223" cy="5950"/>
                            </a:xfrm>
                            <a:prstGeom prst="rect">
                              <a:avLst/>
                            </a:prstGeom>
                            <a:solidFill>
                              <a:srgbClr val="C8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84" name="Group 91"/>
                          <wpg:cNvGrpSpPr>
                            <a:grpSpLocks/>
                          </wpg:cNvGrpSpPr>
                          <wpg:grpSpPr bwMode="auto">
                            <a:xfrm>
                              <a:off x="114" y="190"/>
                              <a:ext cx="89255" cy="5950"/>
                              <a:chOff x="114" y="190"/>
                              <a:chExt cx="89255" cy="5950"/>
                            </a:xfrm>
                          </wpg:grpSpPr>
                          <wps:wsp>
                            <wps:cNvPr id="87" name="Rectangle 35" descr="background"/>
                            <wps:cNvSpPr>
                              <a:spLocks noChangeArrowheads="1"/>
                            </wps:cNvSpPr>
                            <wps:spPr bwMode="auto">
                              <a:xfrm>
                                <a:off x="146" y="190"/>
                                <a:ext cx="89223" cy="5950"/>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36" descr="background"/>
                            <wps:cNvSpPr>
                              <a:spLocks noChangeArrowheads="1"/>
                            </wps:cNvSpPr>
                            <wps:spPr bwMode="auto">
                              <a:xfrm>
                                <a:off x="114" y="984"/>
                                <a:ext cx="89255" cy="5156"/>
                              </a:xfrm>
                              <a:prstGeom prst="rect">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grpSp>
                        <wpg:cNvPr id="91" name="Group 90" descr="background"/>
                        <wpg:cNvGrpSpPr>
                          <a:grpSpLocks/>
                        </wpg:cNvGrpSpPr>
                        <wpg:grpSpPr bwMode="auto">
                          <a:xfrm>
                            <a:off x="-1254" y="10023"/>
                            <a:ext cx="23296" cy="6253"/>
                            <a:chOff x="31" y="0"/>
                            <a:chExt cx="147930" cy="39706"/>
                          </a:xfrm>
                        </wpg:grpSpPr>
                        <wps:wsp>
                          <wps:cNvPr id="92" name="Rectangle 48"/>
                          <wps:cNvSpPr>
                            <a:spLocks noChangeArrowheads="1"/>
                          </wps:cNvSpPr>
                          <wps:spPr bwMode="auto">
                            <a:xfrm>
                              <a:off x="6432" y="10363"/>
                              <a:ext cx="76968" cy="29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Freeform 49" descr="background"/>
                          <wps:cNvSpPr>
                            <a:spLocks/>
                          </wps:cNvSpPr>
                          <wps:spPr bwMode="auto">
                            <a:xfrm>
                              <a:off x="31" y="0"/>
                              <a:ext cx="123844" cy="12071"/>
                            </a:xfrm>
                            <a:custGeom>
                              <a:avLst/>
                              <a:gdLst>
                                <a:gd name="T0" fmla="*/ 2147483647 w 3831"/>
                                <a:gd name="T1" fmla="*/ 1079275695 h 374"/>
                                <a:gd name="T2" fmla="*/ 2147483647 w 3831"/>
                                <a:gd name="T3" fmla="*/ 0 h 374"/>
                                <a:gd name="T4" fmla="*/ 0 w 3831"/>
                                <a:gd name="T5" fmla="*/ 0 h 374"/>
                                <a:gd name="T6" fmla="*/ 0 w 3831"/>
                                <a:gd name="T7" fmla="*/ 1257474349 h 374"/>
                                <a:gd name="T8" fmla="*/ 2147483647 w 3831"/>
                                <a:gd name="T9" fmla="*/ 1257474349 h 374"/>
                                <a:gd name="T10" fmla="*/ 2147483647 w 3831"/>
                                <a:gd name="T11" fmla="*/ 1079275695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831" h="374">
                                  <a:moveTo>
                                    <a:pt x="3831" y="321"/>
                                  </a:moveTo>
                                  <a:cubicBezTo>
                                    <a:pt x="3531" y="150"/>
                                    <a:pt x="3119" y="0"/>
                                    <a:pt x="2922" y="0"/>
                                  </a:cubicBezTo>
                                  <a:cubicBezTo>
                                    <a:pt x="0" y="0"/>
                                    <a:pt x="0" y="0"/>
                                    <a:pt x="0" y="0"/>
                                  </a:cubicBezTo>
                                  <a:cubicBezTo>
                                    <a:pt x="0" y="374"/>
                                    <a:pt x="0" y="374"/>
                                    <a:pt x="0" y="374"/>
                                  </a:cubicBezTo>
                                  <a:cubicBezTo>
                                    <a:pt x="3389" y="374"/>
                                    <a:pt x="3389" y="374"/>
                                    <a:pt x="3389" y="374"/>
                                  </a:cubicBezTo>
                                  <a:cubicBezTo>
                                    <a:pt x="3559" y="374"/>
                                    <a:pt x="3724" y="362"/>
                                    <a:pt x="3831"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50" descr="background"/>
                          <wps:cNvSpPr>
                            <a:spLocks/>
                          </wps:cNvSpPr>
                          <wps:spPr bwMode="auto">
                            <a:xfrm>
                              <a:off x="31" y="14014"/>
                              <a:ext cx="98273" cy="6198"/>
                            </a:xfrm>
                            <a:custGeom>
                              <a:avLst/>
                              <a:gdLst>
                                <a:gd name="T0" fmla="*/ 2147483647 w 3040"/>
                                <a:gd name="T1" fmla="*/ 555017568 h 192"/>
                                <a:gd name="T2" fmla="*/ 2147483647 w 3040"/>
                                <a:gd name="T3" fmla="*/ 0 h 192"/>
                                <a:gd name="T4" fmla="*/ 0 w 3040"/>
                                <a:gd name="T5" fmla="*/ 0 h 192"/>
                                <a:gd name="T6" fmla="*/ 0 w 3040"/>
                                <a:gd name="T7" fmla="*/ 645838960 h 192"/>
                                <a:gd name="T8" fmla="*/ 2147483647 w 3040"/>
                                <a:gd name="T9" fmla="*/ 645838960 h 192"/>
                                <a:gd name="T10" fmla="*/ 2147483647 w 3040"/>
                                <a:gd name="T11" fmla="*/ 555017568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40" h="192">
                                  <a:moveTo>
                                    <a:pt x="3040" y="165"/>
                                  </a:moveTo>
                                  <a:cubicBezTo>
                                    <a:pt x="2886" y="77"/>
                                    <a:pt x="2675" y="0"/>
                                    <a:pt x="2402" y="0"/>
                                  </a:cubicBezTo>
                                  <a:cubicBezTo>
                                    <a:pt x="0" y="0"/>
                                    <a:pt x="0" y="0"/>
                                    <a:pt x="0" y="0"/>
                                  </a:cubicBezTo>
                                  <a:cubicBezTo>
                                    <a:pt x="0" y="192"/>
                                    <a:pt x="0" y="192"/>
                                    <a:pt x="0" y="192"/>
                                  </a:cubicBezTo>
                                  <a:cubicBezTo>
                                    <a:pt x="2641" y="192"/>
                                    <a:pt x="2641" y="192"/>
                                    <a:pt x="2641" y="192"/>
                                  </a:cubicBezTo>
                                  <a:cubicBezTo>
                                    <a:pt x="2901" y="192"/>
                                    <a:pt x="2985" y="186"/>
                                    <a:pt x="3040"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51" descr="background"/>
                          <wps:cNvSpPr>
                            <a:spLocks/>
                          </wps:cNvSpPr>
                          <wps:spPr bwMode="auto">
                            <a:xfrm>
                              <a:off x="31" y="22694"/>
                              <a:ext cx="147930" cy="1423"/>
                            </a:xfrm>
                            <a:custGeom>
                              <a:avLst/>
                              <a:gdLst>
                                <a:gd name="T0" fmla="*/ 2147483647 w 4576"/>
                                <a:gd name="T1" fmla="*/ 128486777 h 44"/>
                                <a:gd name="T2" fmla="*/ 2147483647 w 4576"/>
                                <a:gd name="T3" fmla="*/ 0 h 44"/>
                                <a:gd name="T4" fmla="*/ 0 w 4576"/>
                                <a:gd name="T5" fmla="*/ 0 h 44"/>
                                <a:gd name="T6" fmla="*/ 0 w 4576"/>
                                <a:gd name="T7" fmla="*/ 148773712 h 44"/>
                                <a:gd name="T8" fmla="*/ 2147483647 w 4576"/>
                                <a:gd name="T9" fmla="*/ 148773712 h 44"/>
                                <a:gd name="T10" fmla="*/ 2147483647 w 4576"/>
                                <a:gd name="T11" fmla="*/ 128486777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76" h="44">
                                  <a:moveTo>
                                    <a:pt x="4576" y="38"/>
                                  </a:moveTo>
                                  <a:cubicBezTo>
                                    <a:pt x="4542" y="21"/>
                                    <a:pt x="4493" y="0"/>
                                    <a:pt x="4431" y="0"/>
                                  </a:cubicBezTo>
                                  <a:cubicBezTo>
                                    <a:pt x="0" y="0"/>
                                    <a:pt x="0" y="0"/>
                                    <a:pt x="0" y="0"/>
                                  </a:cubicBezTo>
                                  <a:cubicBezTo>
                                    <a:pt x="0" y="44"/>
                                    <a:pt x="0" y="44"/>
                                    <a:pt x="0" y="44"/>
                                  </a:cubicBezTo>
                                  <a:cubicBezTo>
                                    <a:pt x="4485" y="44"/>
                                    <a:pt x="4485" y="44"/>
                                    <a:pt x="4485" y="44"/>
                                  </a:cubicBezTo>
                                  <a:cubicBezTo>
                                    <a:pt x="4485" y="44"/>
                                    <a:pt x="4566" y="40"/>
                                    <a:pt x="4576"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E26E527" id="Group 54" o:spid="_x0000_s1026" alt="background" style="position:absolute;margin-left:-133.25pt;margin-top:.45pt;width:1164.8pt;height:845.65pt;z-index:-251650048;mso-position-vertical-relative:page" coordorigin="-1254,-40" coordsize="23296,16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">
                <v:group id="Group 55" o:spid="_x0000_s1027" alt="background" style="position:absolute;left:-38;top:-40;width:12095;height:16913" coordorigin="-38,-41" coordsize="12095,16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56" o:spid="_x0000_s1028" alt="background" style="position:absolute;left:-38;top:-41;width:11966;height:12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r6sQA&#10;AADbAAAADwAAAGRycy9kb3ducmV2LnhtbESPQWvCQBSE74L/YXmF3nTTQqtEVwlCqdiDGAv1+Mw+&#10;syHZtyG7xvTfdwuCx2FmvmGW68E2oqfOV44VvEwTEMSF0xWXCr6PH5M5CB+QNTaOScEveVivxqMl&#10;ptrd+EB9HkoRIexTVGBCaFMpfWHIop+6ljh6F9dZDFF2pdQd3iLcNvI1Sd6lxYrjgsGWNoaKOr9a&#10;BdtTFj535+vO/WSHOv8y+76u90o9Pw3ZAkSgITzC9/ZWK5i9wf+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Ia+rEAAAA2wAAAA8AAAAAAAAAAAAAAAAAmAIAAGRycy9k&#10;b3ducmV2LnhtbFBLBQYAAAAABAAEAPUAAACJAwAAAAA=&#10;" fillcolor="#00a9ce [3204]" stroked="f"/>
                  <v:rect id="Rectangle 57" o:spid="_x0000_s1029" alt="background" style="position:absolute;left:-38;top:11692;width:12095;height:518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9hB8YA&#10;AADbAAAADwAAAGRycy9kb3ducmV2LnhtbESPT2vCQBTE70K/w/IKXqTZqKAldZUi+KegB21pye2R&#10;fU1Cs29DdhPTb+8KgsdhZn7DLFa9qURHjSstKxhHMQjizOqScwVfn5uXVxDOI2usLJOCf3KwWj4N&#10;Fphoe+ETdWefiwBhl6CCwvs6kdJlBRl0ka2Jg/drG4M+yCaXusFLgJtKTuJ4Jg2WHBYKrGldUPZ3&#10;bo2CQ3r6KY9UfYxH2U5PY/xOXbtVavjcv7+B8NT7R/je3msF8xncvoQf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9hB8YAAADbAAAADwAAAAAAAAAAAAAAAACYAgAAZHJz&#10;L2Rvd25yZXYueG1sUEsFBgAAAAAEAAQA9QAAAIsDAAAAAA==&#10;" fillcolor="white [3214]" stroked="f">
                    <v:textbox inset="0,0,0,0"/>
                  </v:rect>
                </v:group>
                <v:group id="Canvas 1059" o:spid="_x0000_s1030" alt="background" style="position:absolute;left:-62;top:913;width:12119;height:830" coordsize="89528,6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rect id="AutoShape 26" o:spid="_x0000_s1031" alt="background" style="position:absolute;width:89528;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rHA8MA&#10;AADbAAAADwAAAGRycy9kb3ducmV2LnhtbESPQYvCMBSE78L+h/AW9iKaugeRrlFEWLaIIFbX86N5&#10;tsXmpTaxrf/eCILHYWa+YebL3lSipcaVlhVMxhEI4szqknMFx8PvaAbCeWSNlWVScCcHy8XHYI6x&#10;th3vqU19LgKEXYwKCu/rWEqXFWTQjW1NHLyzbQz6IJtc6ga7ADeV/I6iqTRYclgosKZ1QdklvRkF&#10;XbZrT4ftn9wNT4nla3Jdp/8bpb4++9UPCE+9f4df7UQrmE3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rHA8MAAADbAAAADwAAAAAAAAAAAAAAAACYAgAAZHJzL2Rv&#10;d25yZXYueG1sUEsFBgAAAAAEAAQA9QAAAIgDAAAAAA==&#10;" filled="f" stroked="f">
                    <o:lock v:ext="edit" aspectratio="t"/>
                  </v:rect>
                  <v:rect id="Rectangle 34" o:spid="_x0000_s1032"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pccsQA&#10;AADbAAAADwAAAGRycy9kb3ducmV2LnhtbESPQWsCMRSE7wX/Q3iCl6Vmq1BkaxSxKEKhULU9PzbP&#10;TXDzsm7iuv77plDwOMzMN8x82btadNQG61nByzgHQVx6bblScDxsnmcgQkTWWHsmBXcKsFwMnuZY&#10;aH/jL+r2sRIJwqFABSbGppAylIYchrFviJN38q3DmGRbSd3iLcFdLSd5/iodWk4LBhtaGyrP+6tT&#10;MLlv3xv7uQvnH9tnH5fvzEy7TKnRsF+9gYjUx0f4v73TCmZT+PuSf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XHLEAAAA2wAAAA8AAAAAAAAAAAAAAAAAmAIAAGRycy9k&#10;b3ducmV2LnhtbFBLBQYAAAAABAAEAPUAAACJAwAAAAA=&#10;" fillcolor="#c8c7c7" stroked="f"/>
                  <v:group id="Group 91" o:spid="_x0000_s1033" style="position:absolute;left:114;top:190;width:89255;height:5950" coordorigin="114,190" coordsize="8925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rect id="Rectangle 35" o:spid="_x0000_s1034" alt="background"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HWMMA&#10;AADbAAAADwAAAGRycy9kb3ducmV2LnhtbESP0YrCMBRE34X9h3AF3zRVcK3VKIugFtYH1/UDLs21&#10;LSY3pYla/36zIPg4zMwZZrnurBF3an3tWMF4lIAgLpyuuVRw/t0OUxA+IGs0jknBkzysVx+9JWba&#10;PfiH7qdQighhn6GCKoQmk9IXFVn0I9cQR+/iWoshyraUusVHhFsjJ0nyKS3WHBcqbGhTUXE93ayC&#10;77097ueX5+Rm5rspT03enA+5UoN+97UAEagL7/CrnWsF6Qz+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fHWMMAAADbAAAADwAAAAAAAAAAAAAAAACYAgAAZHJzL2Rv&#10;d25yZXYueG1sUEsFBgAAAAAEAAQA9QAAAIgDAAAAAA==&#10;" fillcolor="#007e9a [2404]" stroked="f"/>
                    <v:rect id="Rectangle 36" o:spid="_x0000_s1035" alt="background" style="position:absolute;left:114;top:984;width:89255;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Rrb0A&#10;AADbAAAADwAAAGRycy9kb3ducmV2LnhtbERPuwrCMBTdBf8hXMHNpgqKVKOIqLg4+AS3S3Nti81N&#10;aWKtf28GwfFw3vNla0rRUO0KywqGUQyCOLW64EzB5bwdTEE4j6yxtEwKPuRgueh25pho++YjNSef&#10;iRDCLkEFufdVIqVLczLoIlsRB+5ha4M+wDqTusZ3CDelHMXxRBosODTkWNE6p/R5ehkF7W4U72/3&#10;lHar9XGI7tCMN9dGqX6vXc1AeGr9X/xz77WCaRgbvoQfIB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JERrb0AAADbAAAADwAAAAAAAAAAAAAAAACYAgAAZHJzL2Rvd25yZXYu&#10;eG1sUEsFBgAAAAAEAAQA9QAAAIIDAAAAAA==&#10;" fillcolor="#00313c [3205]" stroked="f"/>
                  </v:group>
                </v:group>
                <v:group id="Group 90" o:spid="_x0000_s1036" alt="background" style="position:absolute;left:-1254;top:10023;width:23296;height:6253" coordorigin="31" coordsize="147930,39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rect id="Rectangle 48" o:spid="_x0000_s1037" style="position:absolute;left:6432;top:10363;width:76968;height:29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jkMQA&#10;AADbAAAADwAAAGRycy9kb3ducmV2LnhtbESPQWvCQBSE70L/w/IKvelurYYa3YRSCBTUQ7XQ6yP7&#10;TILZt2l2jem/dwsFj8PMfMNs8tG2YqDeN441PM8UCOLSmYYrDV/HYvoKwgdkg61j0vBLHvLsYbLB&#10;1Lgrf9JwCJWIEPYpaqhD6FIpfVmTRT9zHXH0Tq63GKLsK2l6vEa4beVcqURabDgu1NjRe03l+XCx&#10;GjBZmJ/96WV33F4SXFW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o5DEAAAA2wAAAA8AAAAAAAAAAAAAAAAAmAIAAGRycy9k&#10;b3ducmV2LnhtbFBLBQYAAAAABAAEAPUAAACJAwAAAAA=&#10;" stroked="f"/>
                  <v:shape id="Freeform 49" o:spid="_x0000_s1038" alt="background" style="position:absolute;left:31;width:123844;height:12071;visibility:visible;mso-wrap-style:square;v-text-anchor:top" coordsize="383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8sUA&#10;AADbAAAADwAAAGRycy9kb3ducmV2LnhtbESPW2vCQBSE3wv+h+UIfasbW/GSuglSsIhKwQu0j6fZ&#10;YxLNng3ZrcZ/3xUEH4eZ+YaZpq2pxJkaV1pW0O9FIIgzq0vOFex385cxCOeRNVaWScGVHKRJ52mK&#10;sbYX3tB563MRIOxiVFB4X8dSuqwgg65na+LgHWxj0AfZ5FI3eAlwU8nXKBpKgyWHhQJr+igoO23/&#10;jAJ9rL/nyxkP9O+afszX52q9K0dKPXfb2TsIT61/hO/thVYweYPbl/ADZ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byxQAAANsAAAAPAAAAAAAAAAAAAAAAAJgCAABkcnMv&#10;ZG93bnJldi54bWxQSwUGAAAAAAQABAD1AAAAigMAAAAA&#10;" path="m3831,321c3531,150,3119,,2922,,,,,,,,,374,,374,,374v3389,,3389,,3389,c3559,374,3724,362,3831,321e" fillcolor="#00313c [3205]" stroked="f">
                    <v:path arrowok="t" o:connecttype="custom" o:connectlocs="2147483646,2147483646;2147483646,0;0,0;0,2147483646;2147483646,2147483646;2147483646,2147483646" o:connectangles="0,0,0,0,0,0"/>
                  </v:shape>
                  <v:shape id="Freeform 50" o:spid="_x0000_s1039" alt="background" style="position:absolute;left:31;top:14014;width:98273;height:6198;visibility:visible;mso-wrap-style:square;v-text-anchor:top" coordsize="304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az/sUA&#10;AADbAAAADwAAAGRycy9kb3ducmV2LnhtbESPT2sCMRTE70K/Q3iF3jSrFLFbs2KVolI8dFuqx8fm&#10;7R+6eQmbVNdvbwqCx2FmfsPMF71pxYk631hWMB4lIIgLqxuuFHx/vQ9nIHxA1thaJgUX8rDIHgZz&#10;TLU98yed8lCJCGGfooI6BJdK6YuaDPqRdcTRK21nMETZVVJ3eI5w08pJkkylwYbjQo2OVjUVv/mf&#10;UbDB3cQ7uZ/+vG32H0V7sKVbH5V6euyXryAC9eEevrW3WsHLM/x/iT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rP+xQAAANsAAAAPAAAAAAAAAAAAAAAAAJgCAABkcnMv&#10;ZG93bnJldi54bWxQSwUGAAAAAAQABAD1AAAAigMAAAAA&#10;" path="m3040,165c2886,77,2675,,2402,,,,,,,,,192,,192,,192v2641,,2641,,2641,c2901,192,2985,186,3040,165e" fillcolor="#00a9ce [3204]" stroked="f">
                    <v:path arrowok="t" o:connecttype="custom" o:connectlocs="2147483646,2147483646;2147483646,0;0,0;0,2147483646;2147483646,2147483646;2147483646,2147483646" o:connectangles="0,0,0,0,0,0"/>
                  </v:shape>
                  <v:shape id="Freeform 51" o:spid="_x0000_s1040" alt="background" style="position:absolute;left:31;top:22694;width:147930;height:1423;visibility:visible;mso-wrap-style:square;v-text-anchor:top" coordsize="45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dduMUA&#10;AADbAAAADwAAAGRycy9kb3ducmV2LnhtbESPQWvCQBSE7wX/w/KEXkqzUanW6CoqBEJPrYaen9nX&#10;JJh9G7LbmPz7bqHQ4zAz3zDb/WAa0VPnassKZlEMgriwuuZSQX5Jn19BOI+ssbFMCkZysN9NHraY&#10;aHvnD+rPvhQBwi5BBZX3bSKlKyoy6CLbEgfvy3YGfZBdKXWH9wA3jZzH8VIarDksVNjSqaLidv42&#10;Co79Sr5fi+vlbfxMF8NTnjlaZ0o9TofDBoSnwf+H/9qZVrB+gd8v4Qf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1124xQAAANsAAAAPAAAAAAAAAAAAAAAAAJgCAABkcnMv&#10;ZG93bnJldi54bWxQSwUGAAAAAAQABAD1AAAAigMAAAAA&#10;" path="m4576,38c4542,21,4493,,4431,,,,,,,,,44,,44,,44v4485,,4485,,4485,c4485,44,4566,40,4576,38e" fillcolor="#00313c [3205]" stroked="f">
                    <v:path arrowok="t" o:connecttype="custom" o:connectlocs="2147483646,2147483646;2147483646,0;0,0;0,2147483646;2147483646,2147483646;2147483646,2147483646" o:connectangles="0,0,0,0,0,0"/>
                  </v:shape>
                </v:group>
                <w10:wrap anchory="page"/>
                <w10:anchorlock/>
              </v:group>
            </w:pict>
          </mc:Fallback>
        </mc:AlternateContent>
      </w:r>
    </w:p>
    <w:sectPr w:rsidR="008A1135" w:rsidSect="00DE7FD3">
      <w:headerReference w:type="even" r:id="rId104"/>
      <w:headerReference w:type="default" r:id="rId105"/>
      <w:footerReference w:type="even" r:id="rId106"/>
      <w:footerReference w:type="default" r:id="rId107"/>
      <w:headerReference w:type="first" r:id="rId108"/>
      <w:pgSz w:w="11907" w:h="16839" w:code="9"/>
      <w:pgMar w:top="1440" w:right="1440" w:bottom="1440" w:left="1440" w:header="0" w:footer="0" w:gutter="0"/>
      <w:cols w:space="284"/>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A916A6" w14:textId="77777777" w:rsidR="00B25047" w:rsidRDefault="00B25047" w:rsidP="00BB2E86">
      <w:pPr>
        <w:spacing w:after="0"/>
      </w:pPr>
      <w:r>
        <w:separator/>
      </w:r>
    </w:p>
  </w:endnote>
  <w:endnote w:type="continuationSeparator" w:id="0">
    <w:p w14:paraId="0258E634" w14:textId="77777777" w:rsidR="00B25047" w:rsidRDefault="00B25047" w:rsidP="00BB2E8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Bold">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inionPro-Regular">
    <w:panose1 w:val="02040503050306020203"/>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NIIOG G+ Univers">
    <w:altName w:val="Arial"/>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AdvPS6F0B">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TT94c8263f.I">
    <w:panose1 w:val="00000000000000000000"/>
    <w:charset w:val="00"/>
    <w:family w:val="roman"/>
    <w:notTrueType/>
    <w:pitch w:val="default"/>
    <w:sig w:usb0="00000003" w:usb1="00000000" w:usb2="00000000" w:usb3="00000000" w:csb0="00000001" w:csb1="00000000"/>
  </w:font>
  <w:font w:name="AdvTT5235d5a9+22">
    <w:altName w:val="MS Mincho"/>
    <w:panose1 w:val="00000000000000000000"/>
    <w:charset w:val="80"/>
    <w:family w:val="auto"/>
    <w:notTrueType/>
    <w:pitch w:val="default"/>
    <w:sig w:usb0="00000000" w:usb1="08070000" w:usb2="00000010" w:usb3="00000000" w:csb0="00020000" w:csb1="00000000"/>
  </w:font>
  <w:font w:name="AdvTT5235d5a9+fb">
    <w:panose1 w:val="00000000000000000000"/>
    <w:charset w:val="00"/>
    <w:family w:val="auto"/>
    <w:notTrueType/>
    <w:pitch w:val="default"/>
    <w:sig w:usb0="00000003" w:usb1="00000000" w:usb2="00000000" w:usb3="00000000" w:csb0="00000001" w:csb1="00000000"/>
  </w:font>
  <w:font w:name="AdvTT3713a231+fb">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54750" w14:textId="77777777" w:rsidR="00D322E8" w:rsidRDefault="00D322E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0C4E5F" w14:textId="77777777" w:rsidR="00B25047" w:rsidRDefault="00B25047" w:rsidP="00834D8A">
    <w:pPr>
      <w:pStyle w:val="Footer"/>
      <w:jc w:val="right"/>
    </w:pPr>
    <w:r>
      <w:fldChar w:fldCharType="begin"/>
    </w:r>
    <w:r>
      <w:instrText xml:space="preserve"> STYLEREF  CoverTitle </w:instrTex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2196067"/>
      <w:docPartObj>
        <w:docPartGallery w:val="Page Numbers (Bottom of Page)"/>
        <w:docPartUnique/>
      </w:docPartObj>
    </w:sdtPr>
    <w:sdtEndPr>
      <w:rPr>
        <w:rStyle w:val="PageNumber"/>
        <w:rFonts w:ascii="Calibri" w:hAnsi="Calibri"/>
        <w:sz w:val="16"/>
        <w:szCs w:val="16"/>
      </w:rPr>
    </w:sdtEndPr>
    <w:sdtContent>
      <w:p w14:paraId="5E97A00C" w14:textId="13ADA3A3" w:rsidR="00B25047" w:rsidRPr="003004DC" w:rsidRDefault="00B25047">
        <w:pPr>
          <w:pStyle w:val="Footer"/>
          <w:rPr>
            <w:rStyle w:val="PageNumber"/>
            <w:rFonts w:ascii="Calibri" w:hAnsi="Calibri"/>
            <w:sz w:val="16"/>
            <w:szCs w:val="16"/>
          </w:rPr>
        </w:pPr>
        <w:r w:rsidRPr="003004DC">
          <w:rPr>
            <w:rStyle w:val="PageNumber"/>
            <w:rFonts w:ascii="Calibri" w:hAnsi="Calibri"/>
            <w:sz w:val="16"/>
            <w:szCs w:val="16"/>
          </w:rPr>
          <w:fldChar w:fldCharType="begin"/>
        </w:r>
        <w:r w:rsidRPr="003004DC">
          <w:rPr>
            <w:rStyle w:val="PageNumber"/>
            <w:rFonts w:ascii="Calibri" w:hAnsi="Calibri"/>
            <w:sz w:val="16"/>
            <w:szCs w:val="16"/>
          </w:rPr>
          <w:instrText xml:space="preserve"> PAGE   \* MERGEFORMAT </w:instrText>
        </w:r>
        <w:r w:rsidRPr="003004DC">
          <w:rPr>
            <w:rStyle w:val="PageNumber"/>
            <w:rFonts w:ascii="Calibri" w:hAnsi="Calibri"/>
            <w:sz w:val="16"/>
            <w:szCs w:val="16"/>
          </w:rPr>
          <w:fldChar w:fldCharType="separate"/>
        </w:r>
        <w:r w:rsidR="00D322E8">
          <w:rPr>
            <w:rStyle w:val="PageNumber"/>
            <w:rFonts w:ascii="Calibri" w:hAnsi="Calibri"/>
            <w:noProof/>
            <w:sz w:val="16"/>
            <w:szCs w:val="16"/>
          </w:rPr>
          <w:t>106</w:t>
        </w:r>
        <w:r w:rsidRPr="003004DC">
          <w:rPr>
            <w:rStyle w:val="PageNumber"/>
            <w:rFonts w:ascii="Calibri" w:hAnsi="Calibri"/>
            <w:sz w:val="16"/>
            <w:szCs w:val="16"/>
          </w:rPr>
          <w:fldChar w:fldCharType="end"/>
        </w:r>
      </w:p>
    </w:sdtContent>
  </w:sdt>
  <w:p w14:paraId="54841519" w14:textId="77777777" w:rsidR="00B25047" w:rsidRDefault="00B2504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09E6A4" w14:textId="0F305299" w:rsidR="00B25047" w:rsidRDefault="00B25047" w:rsidP="008031B5">
    <w:pPr>
      <w:pStyle w:val="Footer"/>
      <w:framePr w:wrap="around" w:vAnchor="text" w:hAnchor="margin" w:xAlign="outside" w:y="1"/>
    </w:pPr>
    <w:r>
      <w:rPr>
        <w:noProof/>
        <w:lang w:val="en-AU" w:eastAsia="en-AU"/>
      </w:rPr>
      <mc:AlternateContent>
        <mc:Choice Requires="wps">
          <w:drawing>
            <wp:anchor distT="0" distB="0" distL="114300" distR="114300" simplePos="0" relativeHeight="251660800" behindDoc="0" locked="0" layoutInCell="1" allowOverlap="1" wp14:anchorId="721125F5" wp14:editId="6BA0B443">
              <wp:simplePos x="0" y="0"/>
              <wp:positionH relativeFrom="column">
                <wp:posOffset>0</wp:posOffset>
              </wp:positionH>
              <wp:positionV relativeFrom="paragraph">
                <wp:posOffset>-401320</wp:posOffset>
              </wp:positionV>
              <wp:extent cx="3200400" cy="228600"/>
              <wp:effectExtent l="0" t="0" r="0" b="0"/>
              <wp:wrapNone/>
              <wp:docPr id="6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4031D21" w14:textId="77777777" w:rsidR="00B25047" w:rsidRPr="00831693" w:rsidRDefault="00B25047"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16814F96" w14:textId="77777777" w:rsidR="00B25047" w:rsidRDefault="00B250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21125F5" id="_x0000_t202" coordsize="21600,21600" o:spt="202" path="m,l,21600r21600,l21600,xe">
              <v:stroke joinstyle="miter"/>
              <v:path gradientshapeok="t" o:connecttype="rect"/>
            </v:shapetype>
            <v:shape id="_x0000_s1064" type="#_x0000_t202" style="position:absolute;margin-left:0;margin-top:-31.6pt;width:252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" filled="f" stroked="f">
              <v:path arrowok="t"/>
              <v:textbox>
                <w:txbxContent>
                  <w:p w14:paraId="54031D21" w14:textId="77777777" w:rsidR="00B25047" w:rsidRPr="00831693" w:rsidRDefault="00B25047"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16814F96" w14:textId="77777777" w:rsidR="00B25047" w:rsidRDefault="00B25047"/>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D99EB1" w14:textId="291619F1" w:rsidR="00B25047" w:rsidRDefault="00B25047" w:rsidP="008031B5">
    <w:pPr>
      <w:pStyle w:val="Footer"/>
      <w:ind w:right="360" w:firstLine="360"/>
    </w:pPr>
    <w:r>
      <w:rPr>
        <w:noProof/>
        <w:lang w:val="en-AU" w:eastAsia="en-AU"/>
      </w:rPr>
      <mc:AlternateContent>
        <mc:Choice Requires="wps">
          <w:drawing>
            <wp:anchor distT="0" distB="0" distL="114300" distR="114300" simplePos="0" relativeHeight="251658752" behindDoc="0" locked="0" layoutInCell="1" allowOverlap="1" wp14:anchorId="16EA23F0" wp14:editId="3CB28E9E">
              <wp:simplePos x="0" y="0"/>
              <wp:positionH relativeFrom="column">
                <wp:posOffset>2480310</wp:posOffset>
              </wp:positionH>
              <wp:positionV relativeFrom="paragraph">
                <wp:posOffset>-401320</wp:posOffset>
              </wp:positionV>
              <wp:extent cx="3200400" cy="228600"/>
              <wp:effectExtent l="0" t="0" r="0" b="0"/>
              <wp:wrapNone/>
              <wp:docPr id="6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3EBB6FB"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107</w:t>
                          </w:r>
                          <w:r w:rsidRPr="00831693">
                            <w:rPr>
                              <w:rStyle w:val="PageNumber"/>
                              <w:rFonts w:ascii="Calibri" w:hAnsi="Calibri"/>
                              <w:sz w:val="16"/>
                              <w:szCs w:val="16"/>
                            </w:rPr>
                            <w:fldChar w:fldCharType="end"/>
                          </w:r>
                        </w:p>
                        <w:p w14:paraId="44D7959F" w14:textId="77777777" w:rsidR="00B25047" w:rsidRDefault="00B250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6EA23F0" id="_x0000_t202" coordsize="21600,21600" o:spt="202" path="m,l,21600r21600,l21600,xe">
              <v:stroke joinstyle="miter"/>
              <v:path gradientshapeok="t" o:connecttype="rect"/>
            </v:shapetype>
            <v:shape id="_x0000_s1065" type="#_x0000_t202" style="position:absolute;left:0;text-align:left;margin-left:195.3pt;margin-top:-31.6pt;width:252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" filled="f" stroked="f">
              <v:path arrowok="t"/>
              <v:textbox>
                <w:txbxContent>
                  <w:p w14:paraId="43EBB6FB"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107</w:t>
                    </w:r>
                    <w:r w:rsidRPr="00831693">
                      <w:rPr>
                        <w:rStyle w:val="PageNumber"/>
                        <w:rFonts w:ascii="Calibri" w:hAnsi="Calibri"/>
                        <w:sz w:val="16"/>
                        <w:szCs w:val="16"/>
                      </w:rPr>
                      <w:fldChar w:fldCharType="end"/>
                    </w:r>
                  </w:p>
                  <w:p w14:paraId="44D7959F" w14:textId="77777777" w:rsidR="00B25047" w:rsidRDefault="00B25047"/>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AB83F" w14:textId="77777777" w:rsidR="00B25047" w:rsidRDefault="00B25047" w:rsidP="00BA6CFE">
    <w:pPr>
      <w:pStyle w:val="Body"/>
    </w:pPr>
    <w:r>
      <w:fldChar w:fldCharType="begin"/>
    </w:r>
    <w:r>
      <w:instrText xml:space="preserve"> STYLEREF  CoverTitle </w:instrTex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sidR="00D322E8">
      <w:rPr>
        <w:rStyle w:val="PageNumber"/>
        <w:noProof/>
      </w:rPr>
      <w:t>ii</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743D5" w14:textId="77777777" w:rsidR="00D322E8" w:rsidRDefault="00D322E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F7A9C5" w14:textId="2CF43598" w:rsidR="00B25047" w:rsidRDefault="00B25047" w:rsidP="008031B5">
    <w:pPr>
      <w:pStyle w:val="Footer"/>
      <w:framePr w:wrap="around" w:vAnchor="text" w:hAnchor="margin" w:xAlign="outside" w:y="1"/>
    </w:pPr>
    <w:r>
      <w:rPr>
        <w:noProof/>
        <w:lang w:val="en-AU" w:eastAsia="en-AU"/>
      </w:rPr>
      <mc:AlternateContent>
        <mc:Choice Requires="wps">
          <w:drawing>
            <wp:anchor distT="0" distB="0" distL="114300" distR="114300" simplePos="0" relativeHeight="251657728" behindDoc="0" locked="0" layoutInCell="1" allowOverlap="1" wp14:anchorId="4C5F2DDC" wp14:editId="5D62A8D7">
              <wp:simplePos x="0" y="0"/>
              <wp:positionH relativeFrom="column">
                <wp:posOffset>0</wp:posOffset>
              </wp:positionH>
              <wp:positionV relativeFrom="paragraph">
                <wp:posOffset>-401320</wp:posOffset>
              </wp:positionV>
              <wp:extent cx="3200400" cy="228600"/>
              <wp:effectExtent l="0" t="0" r="0" b="0"/>
              <wp:wrapNone/>
              <wp:docPr id="7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12CE324" w14:textId="77777777" w:rsidR="00B25047" w:rsidRPr="00831693" w:rsidRDefault="00B25047"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5</w:t>
                          </w:r>
                          <w:r w:rsidRPr="00831693">
                            <w:rPr>
                              <w:rFonts w:ascii="Calibri" w:hAnsi="Calibri"/>
                              <w:sz w:val="16"/>
                              <w:szCs w:val="16"/>
                            </w:rPr>
                            <w:fldChar w:fldCharType="end"/>
                          </w:r>
                        </w:p>
                        <w:p w14:paraId="7212C26D" w14:textId="77777777" w:rsidR="00B25047" w:rsidRDefault="00B250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C5F2DDC" id="_x0000_t202" coordsize="21600,21600" o:spt="202" path="m,l,21600r21600,l21600,xe">
              <v:stroke joinstyle="miter"/>
              <v:path gradientshapeok="t" o:connecttype="rect"/>
            </v:shapetype>
            <v:shape id="Text Box 6" o:spid="_x0000_s1057" type="#_x0000_t202" style="position:absolute;margin-left:0;margin-top:-31.6pt;width:252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" filled="f" stroked="f">
              <v:path arrowok="t"/>
              <v:textbox>
                <w:txbxContent>
                  <w:p w14:paraId="412CE324" w14:textId="77777777" w:rsidR="00B25047" w:rsidRPr="00831693" w:rsidRDefault="00B25047"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5</w:t>
                    </w:r>
                    <w:r w:rsidRPr="00831693">
                      <w:rPr>
                        <w:rFonts w:ascii="Calibri" w:hAnsi="Calibri"/>
                        <w:sz w:val="16"/>
                        <w:szCs w:val="16"/>
                      </w:rPr>
                      <w:fldChar w:fldCharType="end"/>
                    </w:r>
                  </w:p>
                  <w:p w14:paraId="7212C26D" w14:textId="77777777" w:rsidR="00B25047" w:rsidRDefault="00B25047"/>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17A2D" w14:textId="747559DF" w:rsidR="00B25047" w:rsidRDefault="00B25047" w:rsidP="008031B5">
    <w:pPr>
      <w:pStyle w:val="Footer"/>
      <w:ind w:right="360" w:firstLine="360"/>
    </w:pPr>
    <w:r>
      <w:rPr>
        <w:noProof/>
        <w:lang w:val="en-AU" w:eastAsia="en-AU"/>
      </w:rPr>
      <mc:AlternateContent>
        <mc:Choice Requires="wps">
          <w:drawing>
            <wp:anchor distT="0" distB="0" distL="114300" distR="114300" simplePos="0" relativeHeight="251656704" behindDoc="0" locked="0" layoutInCell="1" allowOverlap="1" wp14:anchorId="7A6F2CEE" wp14:editId="1FB16B7D">
              <wp:simplePos x="0" y="0"/>
              <wp:positionH relativeFrom="column">
                <wp:posOffset>2480310</wp:posOffset>
              </wp:positionH>
              <wp:positionV relativeFrom="paragraph">
                <wp:posOffset>-401320</wp:posOffset>
              </wp:positionV>
              <wp:extent cx="3200400" cy="228600"/>
              <wp:effectExtent l="0" t="0" r="0" b="0"/>
              <wp:wrapNone/>
              <wp:docPr id="7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817F533"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3</w:t>
                          </w:r>
                          <w:r w:rsidRPr="00831693">
                            <w:rPr>
                              <w:rStyle w:val="PageNumber"/>
                              <w:rFonts w:ascii="Calibri" w:hAnsi="Calibri"/>
                              <w:sz w:val="16"/>
                              <w:szCs w:val="16"/>
                            </w:rPr>
                            <w:fldChar w:fldCharType="end"/>
                          </w:r>
                        </w:p>
                        <w:p w14:paraId="4A2692EC" w14:textId="77777777" w:rsidR="00B25047" w:rsidRDefault="00B250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A6F2CEE" id="_x0000_t202" coordsize="21600,21600" o:spt="202" path="m,l,21600r21600,l21600,xe">
              <v:stroke joinstyle="miter"/>
              <v:path gradientshapeok="t" o:connecttype="rect"/>
            </v:shapetype>
            <v:shape id="Text Box 4" o:spid="_x0000_s1058" type="#_x0000_t202" style="position:absolute;left:0;text-align:left;margin-left:195.3pt;margin-top:-31.6pt;width:252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" filled="f" stroked="f">
              <v:path arrowok="t"/>
              <v:textbox>
                <w:txbxContent>
                  <w:p w14:paraId="7817F533"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3</w:t>
                    </w:r>
                    <w:r w:rsidRPr="00831693">
                      <w:rPr>
                        <w:rStyle w:val="PageNumber"/>
                        <w:rFonts w:ascii="Calibri" w:hAnsi="Calibri"/>
                        <w:sz w:val="16"/>
                        <w:szCs w:val="16"/>
                      </w:rPr>
                      <w:fldChar w:fldCharType="end"/>
                    </w:r>
                  </w:p>
                  <w:p w14:paraId="4A2692EC" w14:textId="77777777" w:rsidR="00B25047" w:rsidRDefault="00B25047"/>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C3479E" w14:textId="2F77D7AF" w:rsidR="00B25047" w:rsidRDefault="00B25047" w:rsidP="008031B5">
    <w:pPr>
      <w:pStyle w:val="Footer"/>
      <w:ind w:right="360" w:firstLine="360"/>
    </w:pPr>
    <w:r>
      <w:rPr>
        <w:noProof/>
        <w:lang w:val="en-AU" w:eastAsia="en-AU"/>
      </w:rPr>
      <mc:AlternateContent>
        <mc:Choice Requires="wps">
          <w:drawing>
            <wp:anchor distT="0" distB="0" distL="114300" distR="114300" simplePos="0" relativeHeight="251661824" behindDoc="0" locked="0" layoutInCell="1" allowOverlap="1" wp14:anchorId="56225F29" wp14:editId="79BF0035">
              <wp:simplePos x="0" y="0"/>
              <wp:positionH relativeFrom="column">
                <wp:posOffset>2480310</wp:posOffset>
              </wp:positionH>
              <wp:positionV relativeFrom="paragraph">
                <wp:posOffset>-401320</wp:posOffset>
              </wp:positionV>
              <wp:extent cx="3200400" cy="228600"/>
              <wp:effectExtent l="0" t="0" r="0" b="0"/>
              <wp:wrapNone/>
              <wp:docPr id="7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502E924"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85</w:t>
                          </w:r>
                          <w:r w:rsidRPr="00831693">
                            <w:rPr>
                              <w:rStyle w:val="PageNumber"/>
                              <w:rFonts w:ascii="Calibri" w:hAnsi="Calibri"/>
                              <w:sz w:val="16"/>
                              <w:szCs w:val="16"/>
                            </w:rPr>
                            <w:fldChar w:fldCharType="end"/>
                          </w:r>
                        </w:p>
                        <w:p w14:paraId="1BB6ED5C" w14:textId="77777777" w:rsidR="00B25047" w:rsidRDefault="00B250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6225F29" id="_x0000_t202" coordsize="21600,21600" o:spt="202" path="m,l,21600r21600,l21600,xe">
              <v:stroke joinstyle="miter"/>
              <v:path gradientshapeok="t" o:connecttype="rect"/>
            </v:shapetype>
            <v:shape id="_x0000_s1059" type="#_x0000_t202" style="position:absolute;left:0;text-align:left;margin-left:195.3pt;margin-top:-31.6pt;width:252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" filled="f" stroked="f">
              <v:path arrowok="t"/>
              <v:textbox>
                <w:txbxContent>
                  <w:p w14:paraId="4502E924"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85</w:t>
                    </w:r>
                    <w:r w:rsidRPr="00831693">
                      <w:rPr>
                        <w:rStyle w:val="PageNumber"/>
                        <w:rFonts w:ascii="Calibri" w:hAnsi="Calibri"/>
                        <w:sz w:val="16"/>
                        <w:szCs w:val="16"/>
                      </w:rPr>
                      <w:fldChar w:fldCharType="end"/>
                    </w:r>
                  </w:p>
                  <w:p w14:paraId="1BB6ED5C" w14:textId="77777777" w:rsidR="00B25047" w:rsidRDefault="00B25047"/>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3ED56" w14:textId="66468881" w:rsidR="00B25047" w:rsidRDefault="00B25047" w:rsidP="008031B5">
    <w:pPr>
      <w:pStyle w:val="Footer"/>
      <w:framePr w:wrap="around" w:vAnchor="text" w:hAnchor="margin" w:xAlign="outside" w:y="1"/>
    </w:pPr>
    <w:r>
      <w:rPr>
        <w:noProof/>
        <w:lang w:val="en-AU" w:eastAsia="en-AU"/>
      </w:rPr>
      <mc:AlternateContent>
        <mc:Choice Requires="wps">
          <w:drawing>
            <wp:anchor distT="0" distB="0" distL="114300" distR="114300" simplePos="0" relativeHeight="251655680" behindDoc="0" locked="0" layoutInCell="1" allowOverlap="1" wp14:anchorId="18EDB615" wp14:editId="389925A9">
              <wp:simplePos x="0" y="0"/>
              <wp:positionH relativeFrom="column">
                <wp:posOffset>0</wp:posOffset>
              </wp:positionH>
              <wp:positionV relativeFrom="paragraph">
                <wp:posOffset>-401320</wp:posOffset>
              </wp:positionV>
              <wp:extent cx="3200400" cy="228600"/>
              <wp:effectExtent l="0" t="0" r="0" b="0"/>
              <wp:wrapNone/>
              <wp:docPr id="6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461EF0D" w14:textId="77777777" w:rsidR="00B25047" w:rsidRPr="00831693" w:rsidRDefault="00B25047"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0C1C77C7" w14:textId="77777777" w:rsidR="00B25047" w:rsidRDefault="00B250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8EDB615" id="_x0000_t202" coordsize="21600,21600" o:spt="202" path="m,l,21600r21600,l21600,xe">
              <v:stroke joinstyle="miter"/>
              <v:path gradientshapeok="t" o:connecttype="rect"/>
            </v:shapetype>
            <v:shape id="_x0000_s1061" type="#_x0000_t202" style="position:absolute;margin-left:0;margin-top:-31.6pt;width:252pt;height: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" filled="f" stroked="f">
              <v:path arrowok="t"/>
              <v:textbox>
                <w:txbxContent>
                  <w:p w14:paraId="1461EF0D" w14:textId="77777777" w:rsidR="00B25047" w:rsidRPr="00831693" w:rsidRDefault="00B25047"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0C1C77C7" w14:textId="77777777" w:rsidR="00B25047" w:rsidRDefault="00B25047"/>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DE303" w14:textId="240C25A1" w:rsidR="00B25047" w:rsidRDefault="00B25047" w:rsidP="008031B5">
    <w:pPr>
      <w:pStyle w:val="Footer"/>
      <w:ind w:right="360" w:firstLine="360"/>
    </w:pPr>
    <w:r>
      <w:rPr>
        <w:noProof/>
        <w:lang w:val="en-AU" w:eastAsia="en-AU"/>
      </w:rPr>
      <mc:AlternateContent>
        <mc:Choice Requires="wps">
          <w:drawing>
            <wp:anchor distT="0" distB="0" distL="114300" distR="114300" simplePos="0" relativeHeight="251652608" behindDoc="0" locked="0" layoutInCell="1" allowOverlap="1" wp14:anchorId="726EF95A" wp14:editId="3D7747D9">
              <wp:simplePos x="0" y="0"/>
              <wp:positionH relativeFrom="column">
                <wp:posOffset>2480310</wp:posOffset>
              </wp:positionH>
              <wp:positionV relativeFrom="paragraph">
                <wp:posOffset>-401320</wp:posOffset>
              </wp:positionV>
              <wp:extent cx="3200400" cy="228600"/>
              <wp:effectExtent l="0" t="0" r="0" b="0"/>
              <wp:wrapNone/>
              <wp:docPr id="6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A7D80FF"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105</w:t>
                          </w:r>
                          <w:r w:rsidRPr="00831693">
                            <w:rPr>
                              <w:rStyle w:val="PageNumber"/>
                              <w:rFonts w:ascii="Calibri" w:hAnsi="Calibri"/>
                              <w:sz w:val="16"/>
                              <w:szCs w:val="16"/>
                            </w:rPr>
                            <w:fldChar w:fldCharType="end"/>
                          </w:r>
                        </w:p>
                        <w:p w14:paraId="5BCA7DBE" w14:textId="77777777" w:rsidR="00B25047" w:rsidRDefault="00B250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26EF95A" id="_x0000_t202" coordsize="21600,21600" o:spt="202" path="m,l,21600r21600,l21600,xe">
              <v:stroke joinstyle="miter"/>
              <v:path gradientshapeok="t" o:connecttype="rect"/>
            </v:shapetype>
            <v:shape id="_x0000_s1062" type="#_x0000_t202" style="position:absolute;left:0;text-align:left;margin-left:195.3pt;margin-top:-31.6pt;width:252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" filled="f" stroked="f">
              <v:path arrowok="t"/>
              <v:textbox>
                <w:txbxContent>
                  <w:p w14:paraId="1A7D80FF" w14:textId="77777777" w:rsidR="00B25047" w:rsidRPr="00831693" w:rsidRDefault="00B25047"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D322E8">
                      <w:rPr>
                        <w:rStyle w:val="PageNumber"/>
                        <w:rFonts w:ascii="Calibri" w:hAnsi="Calibri"/>
                        <w:noProof/>
                        <w:sz w:val="16"/>
                        <w:szCs w:val="16"/>
                      </w:rPr>
                      <w:t>105</w:t>
                    </w:r>
                    <w:r w:rsidRPr="00831693">
                      <w:rPr>
                        <w:rStyle w:val="PageNumber"/>
                        <w:rFonts w:ascii="Calibri" w:hAnsi="Calibri"/>
                        <w:sz w:val="16"/>
                        <w:szCs w:val="16"/>
                      </w:rPr>
                      <w:fldChar w:fldCharType="end"/>
                    </w:r>
                  </w:p>
                  <w:p w14:paraId="5BCA7DBE" w14:textId="77777777" w:rsidR="00B25047" w:rsidRDefault="00B25047"/>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BD94EA" w14:textId="77777777" w:rsidR="00B25047" w:rsidRDefault="00B25047" w:rsidP="00834D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892A8A" w14:textId="77777777" w:rsidR="00B25047" w:rsidRDefault="00B25047" w:rsidP="00BB2E86">
      <w:pPr>
        <w:spacing w:after="0"/>
      </w:pPr>
      <w:r>
        <w:separator/>
      </w:r>
    </w:p>
  </w:footnote>
  <w:footnote w:type="continuationSeparator" w:id="0">
    <w:p w14:paraId="6EDCE3A7" w14:textId="77777777" w:rsidR="00B25047" w:rsidRDefault="00B25047" w:rsidP="00BB2E8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6D74CF" w14:textId="77777777" w:rsidR="00D322E8" w:rsidRDefault="00D322E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C7DF2" w14:textId="77777777" w:rsidR="00B25047" w:rsidRDefault="00B25047" w:rsidP="008A2D80">
    <w:pPr>
      <w:pStyle w:val="Header"/>
      <w:ind w:left="-1985" w:right="-15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FFB8B1" w14:textId="77777777" w:rsidR="00B25047" w:rsidRDefault="00B25047">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382D15" w14:textId="77777777" w:rsidR="00B25047" w:rsidRDefault="00B2504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5DF49" w14:textId="7C1C9252" w:rsidR="00B25047" w:rsidRDefault="00B25047" w:rsidP="005B4F94">
    <w:pPr>
      <w:pStyle w:val="Header"/>
      <w:ind w:left="-851" w:right="-1985"/>
    </w:pPr>
    <w:r>
      <w:rPr>
        <w:noProof/>
        <w:lang w:val="en-AU" w:eastAsia="en-AU"/>
      </w:rPr>
      <mc:AlternateContent>
        <mc:Choice Requires="wps">
          <w:drawing>
            <wp:anchor distT="0" distB="0" distL="114300" distR="114300" simplePos="0" relativeHeight="251659776" behindDoc="0" locked="0" layoutInCell="1" allowOverlap="1" wp14:anchorId="2660D49A" wp14:editId="00774EF4">
              <wp:simplePos x="0" y="0"/>
              <wp:positionH relativeFrom="column">
                <wp:posOffset>0</wp:posOffset>
              </wp:positionH>
              <wp:positionV relativeFrom="paragraph">
                <wp:posOffset>1426210</wp:posOffset>
              </wp:positionV>
              <wp:extent cx="5715000" cy="438785"/>
              <wp:effectExtent l="0" t="0" r="0" b="0"/>
              <wp:wrapNone/>
              <wp:docPr id="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3878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0CCA5FF" w14:textId="77777777" w:rsidR="00B25047" w:rsidRDefault="00B25047">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660D49A" id="_x0000_t202" coordsize="21600,21600" o:spt="202" path="m,l,21600r21600,l21600,xe">
              <v:stroke joinstyle="miter"/>
              <v:path gradientshapeok="t" o:connecttype="rect"/>
            </v:shapetype>
            <v:shape id="_x0000_s1063" type="#_x0000_t202" style="position:absolute;left:0;text-align:left;margin-left:0;margin-top:112.3pt;width:450pt;height:34.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" filled="f" stroked="f">
              <v:path arrowok="t"/>
              <v:textbox inset="0,,0">
                <w:txbxContent>
                  <w:p w14:paraId="70CCA5FF" w14:textId="77777777" w:rsidR="00B25047" w:rsidRDefault="00B25047">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v:textbox>
            </v:shape>
          </w:pict>
        </mc:Fallback>
      </mc:AlternateContent>
    </w:r>
    <w:r>
      <w:rPr>
        <w:noProof/>
        <w:lang w:val="en-AU" w:eastAsia="en-AU"/>
      </w:rPr>
      <w:drawing>
        <wp:inline distT="0" distB="0" distL="0" distR="0" wp14:anchorId="6BC8E8CA" wp14:editId="15978D37">
          <wp:extent cx="7556500" cy="2285232"/>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2.jpg"/>
                  <pic:cNvPicPr/>
                </pic:nvPicPr>
                <pic:blipFill>
                  <a:blip r:embed="rId1">
                    <a:extLst>
                      <a:ext uri="{28A0092B-C50C-407E-A947-70E740481C1C}">
                        <a14:useLocalDpi xmlns:a14="http://schemas.microsoft.com/office/drawing/2010/main" val="0"/>
                      </a:ext>
                    </a:extLst>
                  </a:blip>
                  <a:stretch>
                    <a:fillRect/>
                  </a:stretch>
                </pic:blipFill>
                <pic:spPr>
                  <a:xfrm>
                    <a:off x="0" y="0"/>
                    <a:ext cx="7558032" cy="2285695"/>
                  </a:xfrm>
                  <a:prstGeom prst="rect">
                    <a:avLst/>
                  </a:prstGeom>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52A767" w14:textId="77777777" w:rsidR="00B25047" w:rsidRDefault="00B25047" w:rsidP="008A2D80">
    <w:pPr>
      <w:pStyle w:val="Header"/>
      <w:ind w:left="-1985" w:right="-15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1D94C" w14:textId="77777777" w:rsidR="00B25047" w:rsidRDefault="00D322E8">
    <w:pPr>
      <w:pStyle w:val="Header"/>
    </w:pPr>
    <w:r>
      <w:rPr>
        <w:noProof/>
        <w:lang w:eastAsia="en-US"/>
      </w:rPr>
      <w:pict w14:anchorId="2F7172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81" type="#_x0000_t75" style="position:absolute;margin-left:0;margin-top:0;width:595.2pt;height:841.9pt;z-index:-251653632;mso-wrap-edited:f;mso-position-horizontal:center;mso-position-horizontal-relative:margin;mso-position-vertical:center;mso-position-vertical-relative:margin" wrapcoords="-27 0 -27 21561 21600 21561 21600 0 -27 0">
          <v:imagedata r:id="rId1" o:title="page_spread_back"/>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0B129" w14:textId="77777777" w:rsidR="00D322E8" w:rsidRDefault="00D322E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B745DE" w14:textId="77777777" w:rsidR="00D322E8" w:rsidRDefault="00D322E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93DEF" w14:textId="77777777" w:rsidR="00B25047" w:rsidRDefault="00B25047" w:rsidP="005B4F94">
    <w:pPr>
      <w:pStyle w:val="Header"/>
      <w:ind w:left="-851" w:right="-198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2969D2" w14:textId="77777777" w:rsidR="00B25047" w:rsidRDefault="00B25047" w:rsidP="008A2D80">
    <w:pPr>
      <w:pStyle w:val="Header"/>
      <w:ind w:left="-1985" w:right="-15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DE5F49" w14:textId="77777777" w:rsidR="00B25047" w:rsidRDefault="00B25047">
    <w:pPr>
      <w:pStyle w:val="Header"/>
    </w:pPr>
    <w:r>
      <w:rPr>
        <w:noProof/>
        <w:lang w:val="en-AU" w:eastAsia="en-AU"/>
      </w:rPr>
      <w:drawing>
        <wp:anchor distT="0" distB="0" distL="114300" distR="114300" simplePos="0" relativeHeight="251654656" behindDoc="1" locked="0" layoutInCell="1" allowOverlap="1" wp14:anchorId="161BA8C4" wp14:editId="3E2615E2">
          <wp:simplePos x="0" y="0"/>
          <wp:positionH relativeFrom="margin">
            <wp:align>center</wp:align>
          </wp:positionH>
          <wp:positionV relativeFrom="margin">
            <wp:align>center</wp:align>
          </wp:positionV>
          <wp:extent cx="7559040" cy="10692130"/>
          <wp:effectExtent l="0" t="0" r="0" b="0"/>
          <wp:wrapNone/>
          <wp:docPr id="20" name="Picture 20"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_spread_bac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967D0" w14:textId="77777777" w:rsidR="00B25047" w:rsidRDefault="00B25047" w:rsidP="008A2D80">
    <w:pPr>
      <w:pStyle w:val="Header"/>
      <w:ind w:left="-1985" w:right="-15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0E9A03" w14:textId="77777777" w:rsidR="00B25047" w:rsidRDefault="00B25047" w:rsidP="008A2D80">
    <w:pPr>
      <w:pStyle w:val="Header"/>
      <w:ind w:left="-1985" w:right="-15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19FF7" w14:textId="2DE0B7B0" w:rsidR="00B25047" w:rsidRDefault="00B25047" w:rsidP="005B4F94">
    <w:pPr>
      <w:pStyle w:val="Header"/>
      <w:ind w:left="-851" w:right="-1985"/>
    </w:pPr>
    <w:r>
      <w:rPr>
        <w:noProof/>
        <w:lang w:val="en-AU" w:eastAsia="en-AU"/>
      </w:rPr>
      <mc:AlternateContent>
        <mc:Choice Requires="wps">
          <w:drawing>
            <wp:anchor distT="0" distB="0" distL="114300" distR="114300" simplePos="0" relativeHeight="251653632" behindDoc="0" locked="0" layoutInCell="1" allowOverlap="1" wp14:anchorId="7FA97C7C" wp14:editId="0CF1A8AD">
              <wp:simplePos x="0" y="0"/>
              <wp:positionH relativeFrom="column">
                <wp:posOffset>0</wp:posOffset>
              </wp:positionH>
              <wp:positionV relativeFrom="paragraph">
                <wp:posOffset>1426210</wp:posOffset>
              </wp:positionV>
              <wp:extent cx="5715000" cy="438785"/>
              <wp:effectExtent l="0" t="0" r="0" b="0"/>
              <wp:wrapNone/>
              <wp:docPr id="6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3878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8AF1D9D" w14:textId="77777777" w:rsidR="00B25047" w:rsidRDefault="00B25047">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FA97C7C" id="_x0000_t202" coordsize="21600,21600" o:spt="202" path="m,l,21600r21600,l21600,xe">
              <v:stroke joinstyle="miter"/>
              <v:path gradientshapeok="t" o:connecttype="rect"/>
            </v:shapetype>
            <v:shape id="Text Box 5" o:spid="_x0000_s1060" type="#_x0000_t202" style="position:absolute;left:0;text-align:left;margin-left:0;margin-top:112.3pt;width:450pt;height:34.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" filled="f" stroked="f">
              <v:path arrowok="t"/>
              <v:textbox inset="0,,0">
                <w:txbxContent>
                  <w:p w14:paraId="08AF1D9D" w14:textId="77777777" w:rsidR="00B25047" w:rsidRDefault="00B25047">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v:textbox>
            </v:shape>
          </w:pict>
        </mc:Fallback>
      </mc:AlternateContent>
    </w:r>
    <w:r>
      <w:rPr>
        <w:noProof/>
        <w:lang w:val="en-AU" w:eastAsia="en-AU"/>
      </w:rPr>
      <w:drawing>
        <wp:inline distT="0" distB="0" distL="0" distR="0" wp14:anchorId="2419A406" wp14:editId="06B64124">
          <wp:extent cx="7556500" cy="2285232"/>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2.jpg"/>
                  <pic:cNvPicPr/>
                </pic:nvPicPr>
                <pic:blipFill>
                  <a:blip r:embed="rId1">
                    <a:extLst>
                      <a:ext uri="{28A0092B-C50C-407E-A947-70E740481C1C}">
                        <a14:useLocalDpi xmlns:a14="http://schemas.microsoft.com/office/drawing/2010/main" val="0"/>
                      </a:ext>
                    </a:extLst>
                  </a:blip>
                  <a:stretch>
                    <a:fillRect/>
                  </a:stretch>
                </pic:blipFill>
                <pic:spPr>
                  <a:xfrm>
                    <a:off x="0" y="0"/>
                    <a:ext cx="7558032" cy="228569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85EAE4E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6C4885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6F2805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682D0C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51E487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660FC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7580BE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26E4F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220A44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BB03C8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4630EA"/>
    <w:multiLevelType w:val="hybridMultilevel"/>
    <w:tmpl w:val="4528758E"/>
    <w:lvl w:ilvl="0" w:tplc="4B7AF882">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BB722FE"/>
    <w:multiLevelType w:val="hybridMultilevel"/>
    <w:tmpl w:val="C4E41C86"/>
    <w:lvl w:ilvl="0" w:tplc="6492C14A">
      <w:start w:val="1"/>
      <w:numFmt w:val="decimal"/>
      <w:lvlText w:val="%1.1.1"/>
      <w:lvlJc w:val="left"/>
      <w:pPr>
        <w:ind w:left="720" w:hanging="360"/>
      </w:pPr>
      <w:rPr>
        <w:rFonts w:ascii="Arial" w:hAnsi="Arial" w:hint="default"/>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C246612"/>
    <w:multiLevelType w:val="multilevel"/>
    <w:tmpl w:val="0EE275B2"/>
    <w:lvl w:ilvl="0">
      <w:start w:val="1"/>
      <w:numFmt w:val="decimal"/>
      <w:pStyle w:val="OWSnumberedlistL1"/>
      <w:lvlText w:val="%1."/>
      <w:lvlJc w:val="left"/>
      <w:pPr>
        <w:ind w:left="360" w:hanging="360"/>
      </w:pPr>
      <w:rPr>
        <w:rFonts w:ascii="Arial" w:eastAsiaTheme="minorHAnsi" w:hAnsi="Arial" w:cs="Arial" w:hint="default"/>
        <w:color w:val="auto"/>
        <w:sz w:val="20"/>
        <w:szCs w:val="20"/>
      </w:rPr>
    </w:lvl>
    <w:lvl w:ilvl="1">
      <w:start w:val="1"/>
      <w:numFmt w:val="lowerLetter"/>
      <w:pStyle w:val="OWSnumberedlistL2"/>
      <w:lvlText w:val="%2."/>
      <w:lvlJc w:val="left"/>
      <w:pPr>
        <w:ind w:left="1440" w:hanging="476"/>
      </w:pPr>
      <w:rPr>
        <w:rFonts w:ascii="Arial" w:hAnsi="Arial" w:hint="default"/>
        <w:sz w:val="20"/>
        <w:szCs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15550A29"/>
    <w:multiLevelType w:val="hybridMultilevel"/>
    <w:tmpl w:val="E09E8E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5686E69"/>
    <w:multiLevelType w:val="hybridMultilevel"/>
    <w:tmpl w:val="11BCB95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7FA0869"/>
    <w:multiLevelType w:val="hybridMultilevel"/>
    <w:tmpl w:val="BA2A86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85533D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BBB0613"/>
    <w:multiLevelType w:val="hybridMultilevel"/>
    <w:tmpl w:val="8A40348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C7F655E"/>
    <w:multiLevelType w:val="hybridMultilevel"/>
    <w:tmpl w:val="3124C1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41E4F62"/>
    <w:multiLevelType w:val="hybridMultilevel"/>
    <w:tmpl w:val="324AA0AC"/>
    <w:lvl w:ilvl="0" w:tplc="8C76257A">
      <w:start w:val="1"/>
      <w:numFmt w:val="decimal"/>
      <w:lvlText w:val="%1."/>
      <w:lvlJc w:val="left"/>
      <w:pPr>
        <w:ind w:left="720" w:hanging="360"/>
      </w:pPr>
      <w:rPr>
        <w:rFonts w:hint="default"/>
        <w: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7DA18B0"/>
    <w:multiLevelType w:val="hybridMultilevel"/>
    <w:tmpl w:val="7E60C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C033BFE"/>
    <w:multiLevelType w:val="hybridMultilevel"/>
    <w:tmpl w:val="D90E68EA"/>
    <w:lvl w:ilvl="0" w:tplc="4F1E8BD6">
      <w:start w:val="1"/>
      <w:numFmt w:val="decimal"/>
      <w:lvlText w:val="%1."/>
      <w:lvlJc w:val="left"/>
      <w:pPr>
        <w:ind w:left="720" w:hanging="360"/>
      </w:pPr>
      <w:rPr>
        <w:rFonts w:hint="default"/>
        <w: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C1138E1"/>
    <w:multiLevelType w:val="hybridMultilevel"/>
    <w:tmpl w:val="93D836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F3378B3"/>
    <w:multiLevelType w:val="multilevel"/>
    <w:tmpl w:val="0C09001F"/>
    <w:lvl w:ilvl="0">
      <w:start w:val="1"/>
      <w:numFmt w:val="decimal"/>
      <w:lvlText w:val="%1."/>
      <w:lvlJc w:val="left"/>
      <w:pPr>
        <w:ind w:left="1080" w:hanging="360"/>
      </w:pPr>
      <w:rPr>
        <w:rFonts w:hint="default"/>
        <w:sz w:val="30"/>
        <w:szCs w:val="30"/>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4" w15:restartNumberingAfterBreak="0">
    <w:nsid w:val="2F8F3E1C"/>
    <w:multiLevelType w:val="multilevel"/>
    <w:tmpl w:val="CD469C7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0A27B78"/>
    <w:multiLevelType w:val="hybridMultilevel"/>
    <w:tmpl w:val="057CA96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2007A01"/>
    <w:multiLevelType w:val="hybridMultilevel"/>
    <w:tmpl w:val="AE22C5C6"/>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4C93ADB"/>
    <w:multiLevelType w:val="hybridMultilevel"/>
    <w:tmpl w:val="40C2B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6C559F7"/>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3AE9394E"/>
    <w:multiLevelType w:val="hybridMultilevel"/>
    <w:tmpl w:val="62A4A2C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D965E1B"/>
    <w:multiLevelType w:val="hybridMultilevel"/>
    <w:tmpl w:val="ED34624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46C25708"/>
    <w:multiLevelType w:val="hybridMultilevel"/>
    <w:tmpl w:val="11DC74E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A1F512B"/>
    <w:multiLevelType w:val="hybridMultilevel"/>
    <w:tmpl w:val="2C1A2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C354ABC"/>
    <w:multiLevelType w:val="hybridMultilevel"/>
    <w:tmpl w:val="3B4892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5519624A"/>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53773D4"/>
    <w:multiLevelType w:val="hybridMultilevel"/>
    <w:tmpl w:val="B3F696C6"/>
    <w:lvl w:ilvl="0" w:tplc="F8AEBEDC">
      <w:start w:val="1"/>
      <w:numFmt w:val="decimal"/>
      <w:lvlText w:val="%1.1"/>
      <w:lvlJc w:val="left"/>
      <w:pPr>
        <w:ind w:left="720" w:hanging="360"/>
      </w:pPr>
      <w:rPr>
        <w:rFonts w:ascii="Arial" w:hAnsi="Arial" w:hint="default"/>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D4E35C6"/>
    <w:multiLevelType w:val="hybridMultilevel"/>
    <w:tmpl w:val="82AA54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03474ED"/>
    <w:multiLevelType w:val="hybridMultilevel"/>
    <w:tmpl w:val="71343C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0833D40"/>
    <w:multiLevelType w:val="hybridMultilevel"/>
    <w:tmpl w:val="120A7EC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624B262B"/>
    <w:multiLevelType w:val="hybridMultilevel"/>
    <w:tmpl w:val="E6C6ED62"/>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40" w15:restartNumberingAfterBreak="0">
    <w:nsid w:val="6A2C6257"/>
    <w:multiLevelType w:val="hybridMultilevel"/>
    <w:tmpl w:val="686455E0"/>
    <w:lvl w:ilvl="0" w:tplc="6368EFDC">
      <w:start w:val="1"/>
      <w:numFmt w:val="decimal"/>
      <w:lvlText w:val="[%1]."/>
      <w:lvlJc w:val="left"/>
      <w:pPr>
        <w:tabs>
          <w:tab w:val="num" w:pos="510"/>
        </w:tabs>
        <w:ind w:left="851" w:hanging="851"/>
      </w:pPr>
      <w:rPr>
        <w:rFonts w:ascii="Arial" w:hAnsi="Arial" w:cs="Arial" w:hint="default"/>
        <w:b w:val="0"/>
        <w:sz w:val="20"/>
        <w:szCs w:val="20"/>
      </w:rPr>
    </w:lvl>
    <w:lvl w:ilvl="1" w:tplc="FFFFFFFF">
      <w:start w:val="1"/>
      <w:numFmt w:val="decimal"/>
      <w:lvlText w:val="%2."/>
      <w:lvlJc w:val="left"/>
      <w:pPr>
        <w:tabs>
          <w:tab w:val="num" w:pos="1440"/>
        </w:tabs>
        <w:ind w:left="1440" w:hanging="360"/>
      </w:pPr>
      <w:rPr>
        <w:rFonts w:hint="default"/>
        <w:b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6B5D0F97"/>
    <w:multiLevelType w:val="hybridMultilevel"/>
    <w:tmpl w:val="734EE7B4"/>
    <w:lvl w:ilvl="0" w:tplc="0C090005">
      <w:start w:val="1"/>
      <w:numFmt w:val="bullet"/>
      <w:lvlText w:val=""/>
      <w:lvlJc w:val="left"/>
      <w:pPr>
        <w:ind w:left="360" w:hanging="360"/>
      </w:pPr>
      <w:rPr>
        <w:rFonts w:ascii="Wingdings" w:hAnsi="Wingding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6BD776B7"/>
    <w:multiLevelType w:val="hybridMultilevel"/>
    <w:tmpl w:val="242ADB8A"/>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43" w15:restartNumberingAfterBreak="0">
    <w:nsid w:val="6C6B0F40"/>
    <w:multiLevelType w:val="multilevel"/>
    <w:tmpl w:val="286411BA"/>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7071EF4"/>
    <w:multiLevelType w:val="hybridMultilevel"/>
    <w:tmpl w:val="40E4B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96B4A90"/>
    <w:multiLevelType w:val="hybridMultilevel"/>
    <w:tmpl w:val="557CDDDC"/>
    <w:lvl w:ilvl="0" w:tplc="8FDC5222">
      <w:start w:val="1"/>
      <w:numFmt w:val="bullet"/>
      <w:lvlText w:val=""/>
      <w:lvlJc w:val="left"/>
      <w:pPr>
        <w:ind w:left="720" w:hanging="360"/>
      </w:pPr>
      <w:rPr>
        <w:rFonts w:ascii="Wingdings" w:hAnsi="Wingdings" w:hint="default"/>
      </w:rPr>
    </w:lvl>
    <w:lvl w:ilvl="1" w:tplc="45844804" w:tentative="1">
      <w:start w:val="1"/>
      <w:numFmt w:val="bullet"/>
      <w:lvlText w:val="o"/>
      <w:lvlJc w:val="left"/>
      <w:pPr>
        <w:ind w:left="1440" w:hanging="360"/>
      </w:pPr>
      <w:rPr>
        <w:rFonts w:ascii="Courier New" w:hAnsi="Courier New" w:cs="Courier New" w:hint="default"/>
      </w:rPr>
    </w:lvl>
    <w:lvl w:ilvl="2" w:tplc="50F66630" w:tentative="1">
      <w:start w:val="1"/>
      <w:numFmt w:val="bullet"/>
      <w:lvlText w:val=""/>
      <w:lvlJc w:val="left"/>
      <w:pPr>
        <w:ind w:left="2160" w:hanging="360"/>
      </w:pPr>
      <w:rPr>
        <w:rFonts w:ascii="Wingdings" w:hAnsi="Wingdings" w:hint="default"/>
      </w:rPr>
    </w:lvl>
    <w:lvl w:ilvl="3" w:tplc="BE264C38" w:tentative="1">
      <w:start w:val="1"/>
      <w:numFmt w:val="bullet"/>
      <w:lvlText w:val=""/>
      <w:lvlJc w:val="left"/>
      <w:pPr>
        <w:ind w:left="2880" w:hanging="360"/>
      </w:pPr>
      <w:rPr>
        <w:rFonts w:ascii="Symbol" w:hAnsi="Symbol" w:hint="default"/>
      </w:rPr>
    </w:lvl>
    <w:lvl w:ilvl="4" w:tplc="80884F92" w:tentative="1">
      <w:start w:val="1"/>
      <w:numFmt w:val="bullet"/>
      <w:lvlText w:val="o"/>
      <w:lvlJc w:val="left"/>
      <w:pPr>
        <w:ind w:left="3600" w:hanging="360"/>
      </w:pPr>
      <w:rPr>
        <w:rFonts w:ascii="Courier New" w:hAnsi="Courier New" w:cs="Courier New" w:hint="default"/>
      </w:rPr>
    </w:lvl>
    <w:lvl w:ilvl="5" w:tplc="E5FEC39E" w:tentative="1">
      <w:start w:val="1"/>
      <w:numFmt w:val="bullet"/>
      <w:lvlText w:val=""/>
      <w:lvlJc w:val="left"/>
      <w:pPr>
        <w:ind w:left="4320" w:hanging="360"/>
      </w:pPr>
      <w:rPr>
        <w:rFonts w:ascii="Wingdings" w:hAnsi="Wingdings" w:hint="default"/>
      </w:rPr>
    </w:lvl>
    <w:lvl w:ilvl="6" w:tplc="0ED8BC04" w:tentative="1">
      <w:start w:val="1"/>
      <w:numFmt w:val="bullet"/>
      <w:lvlText w:val=""/>
      <w:lvlJc w:val="left"/>
      <w:pPr>
        <w:ind w:left="5040" w:hanging="360"/>
      </w:pPr>
      <w:rPr>
        <w:rFonts w:ascii="Symbol" w:hAnsi="Symbol" w:hint="default"/>
      </w:rPr>
    </w:lvl>
    <w:lvl w:ilvl="7" w:tplc="8508F10C" w:tentative="1">
      <w:start w:val="1"/>
      <w:numFmt w:val="bullet"/>
      <w:lvlText w:val="o"/>
      <w:lvlJc w:val="left"/>
      <w:pPr>
        <w:ind w:left="5760" w:hanging="360"/>
      </w:pPr>
      <w:rPr>
        <w:rFonts w:ascii="Courier New" w:hAnsi="Courier New" w:cs="Courier New" w:hint="default"/>
      </w:rPr>
    </w:lvl>
    <w:lvl w:ilvl="8" w:tplc="FF9A794A" w:tentative="1">
      <w:start w:val="1"/>
      <w:numFmt w:val="bullet"/>
      <w:lvlText w:val=""/>
      <w:lvlJc w:val="left"/>
      <w:pPr>
        <w:ind w:left="6480" w:hanging="360"/>
      </w:pPr>
      <w:rPr>
        <w:rFonts w:ascii="Wingdings" w:hAnsi="Wingdings" w:hint="default"/>
      </w:rPr>
    </w:lvl>
  </w:abstractNum>
  <w:abstractNum w:abstractNumId="46" w15:restartNumberingAfterBreak="0">
    <w:nsid w:val="79CE1AB7"/>
    <w:multiLevelType w:val="hybridMultilevel"/>
    <w:tmpl w:val="0B9E30A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7C6F046B"/>
    <w:multiLevelType w:val="multilevel"/>
    <w:tmpl w:val="4462C7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7EC21EAB"/>
    <w:multiLevelType w:val="hybridMultilevel"/>
    <w:tmpl w:val="D1B468F0"/>
    <w:lvl w:ilvl="0" w:tplc="2520B076">
      <w:start w:val="1"/>
      <w:numFmt w:val="bullet"/>
      <w:lvlText w:val=""/>
      <w:lvlJc w:val="left"/>
      <w:pPr>
        <w:ind w:left="360" w:hanging="360"/>
      </w:pPr>
      <w:rPr>
        <w:rFonts w:ascii="Wingdings" w:hAnsi="Wingdings" w:hint="default"/>
      </w:rPr>
    </w:lvl>
    <w:lvl w:ilvl="1" w:tplc="10F04614" w:tentative="1">
      <w:start w:val="1"/>
      <w:numFmt w:val="bullet"/>
      <w:lvlText w:val="o"/>
      <w:lvlJc w:val="left"/>
      <w:pPr>
        <w:ind w:left="1080" w:hanging="360"/>
      </w:pPr>
      <w:rPr>
        <w:rFonts w:ascii="Courier New" w:hAnsi="Courier New" w:cs="Courier New" w:hint="default"/>
      </w:rPr>
    </w:lvl>
    <w:lvl w:ilvl="2" w:tplc="BF023D7C" w:tentative="1">
      <w:start w:val="1"/>
      <w:numFmt w:val="bullet"/>
      <w:lvlText w:val=""/>
      <w:lvlJc w:val="left"/>
      <w:pPr>
        <w:ind w:left="1800" w:hanging="360"/>
      </w:pPr>
      <w:rPr>
        <w:rFonts w:ascii="Wingdings" w:hAnsi="Wingdings" w:hint="default"/>
      </w:rPr>
    </w:lvl>
    <w:lvl w:ilvl="3" w:tplc="3C9C7AF6" w:tentative="1">
      <w:start w:val="1"/>
      <w:numFmt w:val="bullet"/>
      <w:lvlText w:val=""/>
      <w:lvlJc w:val="left"/>
      <w:pPr>
        <w:ind w:left="2520" w:hanging="360"/>
      </w:pPr>
      <w:rPr>
        <w:rFonts w:ascii="Symbol" w:hAnsi="Symbol" w:hint="default"/>
      </w:rPr>
    </w:lvl>
    <w:lvl w:ilvl="4" w:tplc="B8DE9086" w:tentative="1">
      <w:start w:val="1"/>
      <w:numFmt w:val="bullet"/>
      <w:lvlText w:val="o"/>
      <w:lvlJc w:val="left"/>
      <w:pPr>
        <w:ind w:left="3240" w:hanging="360"/>
      </w:pPr>
      <w:rPr>
        <w:rFonts w:ascii="Courier New" w:hAnsi="Courier New" w:cs="Courier New" w:hint="default"/>
      </w:rPr>
    </w:lvl>
    <w:lvl w:ilvl="5" w:tplc="C8AAD556" w:tentative="1">
      <w:start w:val="1"/>
      <w:numFmt w:val="bullet"/>
      <w:lvlText w:val=""/>
      <w:lvlJc w:val="left"/>
      <w:pPr>
        <w:ind w:left="3960" w:hanging="360"/>
      </w:pPr>
      <w:rPr>
        <w:rFonts w:ascii="Wingdings" w:hAnsi="Wingdings" w:hint="default"/>
      </w:rPr>
    </w:lvl>
    <w:lvl w:ilvl="6" w:tplc="D226B28A" w:tentative="1">
      <w:start w:val="1"/>
      <w:numFmt w:val="bullet"/>
      <w:lvlText w:val=""/>
      <w:lvlJc w:val="left"/>
      <w:pPr>
        <w:ind w:left="4680" w:hanging="360"/>
      </w:pPr>
      <w:rPr>
        <w:rFonts w:ascii="Symbol" w:hAnsi="Symbol" w:hint="default"/>
      </w:rPr>
    </w:lvl>
    <w:lvl w:ilvl="7" w:tplc="E522D74C" w:tentative="1">
      <w:start w:val="1"/>
      <w:numFmt w:val="bullet"/>
      <w:lvlText w:val="o"/>
      <w:lvlJc w:val="left"/>
      <w:pPr>
        <w:ind w:left="5400" w:hanging="360"/>
      </w:pPr>
      <w:rPr>
        <w:rFonts w:ascii="Courier New" w:hAnsi="Courier New" w:cs="Courier New" w:hint="default"/>
      </w:rPr>
    </w:lvl>
    <w:lvl w:ilvl="8" w:tplc="02A4AB78" w:tentative="1">
      <w:start w:val="1"/>
      <w:numFmt w:val="bullet"/>
      <w:lvlText w:val=""/>
      <w:lvlJc w:val="left"/>
      <w:pPr>
        <w:ind w:left="6120" w:hanging="360"/>
      </w:pPr>
      <w:rPr>
        <w:rFonts w:ascii="Wingdings" w:hAnsi="Wingdings" w:hint="default"/>
      </w:rPr>
    </w:lvl>
  </w:abstractNum>
  <w:num w:numId="1">
    <w:abstractNumId w:val="39"/>
  </w:num>
  <w:num w:numId="2">
    <w:abstractNumId w:val="42"/>
  </w:num>
  <w:num w:numId="3">
    <w:abstractNumId w:val="45"/>
  </w:num>
  <w:num w:numId="4">
    <w:abstractNumId w:val="10"/>
  </w:num>
  <w:num w:numId="5">
    <w:abstractNumId w:val="47"/>
  </w:num>
  <w:num w:numId="6">
    <w:abstractNumId w:val="24"/>
  </w:num>
  <w:num w:numId="7">
    <w:abstractNumId w:val="24"/>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num>
  <w:num w:numId="10">
    <w:abstractNumId w:val="16"/>
  </w:num>
  <w:num w:numId="11">
    <w:abstractNumId w:val="43"/>
  </w:num>
  <w:num w:numId="12">
    <w:abstractNumId w:val="34"/>
  </w:num>
  <w:num w:numId="13">
    <w:abstractNumId w:val="35"/>
  </w:num>
  <w:num w:numId="14">
    <w:abstractNumId w:val="28"/>
  </w:num>
  <w:num w:numId="15">
    <w:abstractNumId w:val="11"/>
  </w:num>
  <w:num w:numId="16">
    <w:abstractNumId w:val="19"/>
  </w:num>
  <w:num w:numId="17">
    <w:abstractNumId w:val="22"/>
  </w:num>
  <w:num w:numId="18">
    <w:abstractNumId w:val="46"/>
  </w:num>
  <w:num w:numId="19">
    <w:abstractNumId w:val="26"/>
  </w:num>
  <w:num w:numId="20">
    <w:abstractNumId w:val="14"/>
  </w:num>
  <w:num w:numId="21">
    <w:abstractNumId w:val="30"/>
  </w:num>
  <w:num w:numId="22">
    <w:abstractNumId w:val="29"/>
  </w:num>
  <w:num w:numId="23">
    <w:abstractNumId w:val="17"/>
  </w:num>
  <w:num w:numId="24">
    <w:abstractNumId w:val="48"/>
  </w:num>
  <w:num w:numId="25">
    <w:abstractNumId w:val="9"/>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12"/>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num>
  <w:num w:numId="38">
    <w:abstractNumId w:val="18"/>
  </w:num>
  <w:num w:numId="39">
    <w:abstractNumId w:val="15"/>
  </w:num>
  <w:num w:numId="40">
    <w:abstractNumId w:val="31"/>
  </w:num>
  <w:num w:numId="41">
    <w:abstractNumId w:val="25"/>
  </w:num>
  <w:num w:numId="42">
    <w:abstractNumId w:val="21"/>
  </w:num>
  <w:num w:numId="43">
    <w:abstractNumId w:val="40"/>
  </w:num>
  <w:num w:numId="44">
    <w:abstractNumId w:val="33"/>
  </w:num>
  <w:num w:numId="45">
    <w:abstractNumId w:val="20"/>
  </w:num>
  <w:num w:numId="46">
    <w:abstractNumId w:val="44"/>
  </w:num>
  <w:num w:numId="47">
    <w:abstractNumId w:val="36"/>
  </w:num>
  <w:num w:numId="48">
    <w:abstractNumId w:val="38"/>
  </w:num>
  <w:num w:numId="49">
    <w:abstractNumId w:val="13"/>
  </w:num>
  <w:num w:numId="50">
    <w:abstractNumId w:val="41"/>
  </w:num>
  <w:num w:numId="51">
    <w:abstractNumId w:val="27"/>
  </w:num>
  <w:num w:numId="52">
    <w:abstractNumId w:val="3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360"/>
  <w:displayHorizontalDrawingGridEvery w:val="0"/>
  <w:displayVerticalDrawingGridEvery w:val="0"/>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SIRO Sustainable Yields&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DA4153"/>
    <w:rsid w:val="00000673"/>
    <w:rsid w:val="000021B1"/>
    <w:rsid w:val="00003192"/>
    <w:rsid w:val="00003709"/>
    <w:rsid w:val="00003771"/>
    <w:rsid w:val="00003B7D"/>
    <w:rsid w:val="00004FBB"/>
    <w:rsid w:val="000055D3"/>
    <w:rsid w:val="000063D2"/>
    <w:rsid w:val="00006833"/>
    <w:rsid w:val="0000686F"/>
    <w:rsid w:val="00006AD3"/>
    <w:rsid w:val="00010D2A"/>
    <w:rsid w:val="00011341"/>
    <w:rsid w:val="0001168A"/>
    <w:rsid w:val="000123D2"/>
    <w:rsid w:val="000138CD"/>
    <w:rsid w:val="00016744"/>
    <w:rsid w:val="00016A72"/>
    <w:rsid w:val="00017C3F"/>
    <w:rsid w:val="00017CB1"/>
    <w:rsid w:val="00017E50"/>
    <w:rsid w:val="000205DD"/>
    <w:rsid w:val="00021403"/>
    <w:rsid w:val="00022036"/>
    <w:rsid w:val="000226A4"/>
    <w:rsid w:val="00022A94"/>
    <w:rsid w:val="00022AA2"/>
    <w:rsid w:val="0002303E"/>
    <w:rsid w:val="000234AA"/>
    <w:rsid w:val="00023A82"/>
    <w:rsid w:val="00023F42"/>
    <w:rsid w:val="0002530F"/>
    <w:rsid w:val="000257F3"/>
    <w:rsid w:val="00033F38"/>
    <w:rsid w:val="00034294"/>
    <w:rsid w:val="00035CE0"/>
    <w:rsid w:val="00041242"/>
    <w:rsid w:val="00042057"/>
    <w:rsid w:val="00042842"/>
    <w:rsid w:val="00042F5E"/>
    <w:rsid w:val="000452DE"/>
    <w:rsid w:val="0004558F"/>
    <w:rsid w:val="0004632E"/>
    <w:rsid w:val="000466A2"/>
    <w:rsid w:val="0005202C"/>
    <w:rsid w:val="00052830"/>
    <w:rsid w:val="0005288E"/>
    <w:rsid w:val="00054894"/>
    <w:rsid w:val="0005624D"/>
    <w:rsid w:val="00056615"/>
    <w:rsid w:val="0006032B"/>
    <w:rsid w:val="0006389E"/>
    <w:rsid w:val="00065A17"/>
    <w:rsid w:val="000665C5"/>
    <w:rsid w:val="00067AF6"/>
    <w:rsid w:val="00067F52"/>
    <w:rsid w:val="00070E36"/>
    <w:rsid w:val="00073708"/>
    <w:rsid w:val="00073C1E"/>
    <w:rsid w:val="000768A9"/>
    <w:rsid w:val="00077694"/>
    <w:rsid w:val="000779D3"/>
    <w:rsid w:val="00080F5C"/>
    <w:rsid w:val="00081550"/>
    <w:rsid w:val="0008364A"/>
    <w:rsid w:val="0008456C"/>
    <w:rsid w:val="00084CDD"/>
    <w:rsid w:val="0008540C"/>
    <w:rsid w:val="00085720"/>
    <w:rsid w:val="00085857"/>
    <w:rsid w:val="000866B9"/>
    <w:rsid w:val="0008705A"/>
    <w:rsid w:val="000917AC"/>
    <w:rsid w:val="00091FAE"/>
    <w:rsid w:val="00093C5B"/>
    <w:rsid w:val="00094276"/>
    <w:rsid w:val="00094691"/>
    <w:rsid w:val="00095814"/>
    <w:rsid w:val="00095835"/>
    <w:rsid w:val="000960A2"/>
    <w:rsid w:val="00096173"/>
    <w:rsid w:val="000A5870"/>
    <w:rsid w:val="000A7885"/>
    <w:rsid w:val="000B02EC"/>
    <w:rsid w:val="000B065E"/>
    <w:rsid w:val="000B0859"/>
    <w:rsid w:val="000B0A75"/>
    <w:rsid w:val="000B0C4F"/>
    <w:rsid w:val="000B21CF"/>
    <w:rsid w:val="000B357C"/>
    <w:rsid w:val="000B3703"/>
    <w:rsid w:val="000B40BD"/>
    <w:rsid w:val="000B4DDF"/>
    <w:rsid w:val="000B53A9"/>
    <w:rsid w:val="000B7074"/>
    <w:rsid w:val="000C1299"/>
    <w:rsid w:val="000C19AA"/>
    <w:rsid w:val="000C214C"/>
    <w:rsid w:val="000C223A"/>
    <w:rsid w:val="000C2CED"/>
    <w:rsid w:val="000C3399"/>
    <w:rsid w:val="000C439D"/>
    <w:rsid w:val="000C7B7F"/>
    <w:rsid w:val="000C7E8F"/>
    <w:rsid w:val="000D4344"/>
    <w:rsid w:val="000D51B9"/>
    <w:rsid w:val="000D664D"/>
    <w:rsid w:val="000E2889"/>
    <w:rsid w:val="000E36FC"/>
    <w:rsid w:val="000E3DB6"/>
    <w:rsid w:val="000E40DC"/>
    <w:rsid w:val="000E52C9"/>
    <w:rsid w:val="000E7E0A"/>
    <w:rsid w:val="000F17E9"/>
    <w:rsid w:val="000F2663"/>
    <w:rsid w:val="000F2862"/>
    <w:rsid w:val="000F2F3E"/>
    <w:rsid w:val="000F30AA"/>
    <w:rsid w:val="000F5B0D"/>
    <w:rsid w:val="00102009"/>
    <w:rsid w:val="001031E0"/>
    <w:rsid w:val="001040B2"/>
    <w:rsid w:val="00104F85"/>
    <w:rsid w:val="00105B4C"/>
    <w:rsid w:val="001070E1"/>
    <w:rsid w:val="00110980"/>
    <w:rsid w:val="00111004"/>
    <w:rsid w:val="00111877"/>
    <w:rsid w:val="00111CB2"/>
    <w:rsid w:val="00111E98"/>
    <w:rsid w:val="00113439"/>
    <w:rsid w:val="001139BD"/>
    <w:rsid w:val="001144B3"/>
    <w:rsid w:val="0011469B"/>
    <w:rsid w:val="00114C18"/>
    <w:rsid w:val="00114D05"/>
    <w:rsid w:val="0011542D"/>
    <w:rsid w:val="001165F7"/>
    <w:rsid w:val="00116F3D"/>
    <w:rsid w:val="00121FAD"/>
    <w:rsid w:val="001229B7"/>
    <w:rsid w:val="0012336C"/>
    <w:rsid w:val="00123556"/>
    <w:rsid w:val="0012438A"/>
    <w:rsid w:val="00124864"/>
    <w:rsid w:val="00126EDB"/>
    <w:rsid w:val="001273F2"/>
    <w:rsid w:val="0012755B"/>
    <w:rsid w:val="00130AC6"/>
    <w:rsid w:val="00132C55"/>
    <w:rsid w:val="00132CF4"/>
    <w:rsid w:val="001358C4"/>
    <w:rsid w:val="0013645A"/>
    <w:rsid w:val="001365D9"/>
    <w:rsid w:val="00136AB7"/>
    <w:rsid w:val="0013712E"/>
    <w:rsid w:val="001372A7"/>
    <w:rsid w:val="0014021C"/>
    <w:rsid w:val="001426A3"/>
    <w:rsid w:val="00142C5C"/>
    <w:rsid w:val="00144B4F"/>
    <w:rsid w:val="0014589E"/>
    <w:rsid w:val="001465BE"/>
    <w:rsid w:val="00146A15"/>
    <w:rsid w:val="00147349"/>
    <w:rsid w:val="00150BDB"/>
    <w:rsid w:val="001514C5"/>
    <w:rsid w:val="00151CDA"/>
    <w:rsid w:val="001547FD"/>
    <w:rsid w:val="00155083"/>
    <w:rsid w:val="00155A47"/>
    <w:rsid w:val="001574EB"/>
    <w:rsid w:val="00157A80"/>
    <w:rsid w:val="00157DCE"/>
    <w:rsid w:val="00160E71"/>
    <w:rsid w:val="001634F1"/>
    <w:rsid w:val="001645F9"/>
    <w:rsid w:val="00164AB1"/>
    <w:rsid w:val="00164DCA"/>
    <w:rsid w:val="00166890"/>
    <w:rsid w:val="0016728C"/>
    <w:rsid w:val="00167662"/>
    <w:rsid w:val="00167F38"/>
    <w:rsid w:val="00170093"/>
    <w:rsid w:val="00170F90"/>
    <w:rsid w:val="00171DBA"/>
    <w:rsid w:val="00173ADB"/>
    <w:rsid w:val="00176825"/>
    <w:rsid w:val="00176D31"/>
    <w:rsid w:val="00176E0E"/>
    <w:rsid w:val="00180C00"/>
    <w:rsid w:val="00180E50"/>
    <w:rsid w:val="001818B9"/>
    <w:rsid w:val="0018209A"/>
    <w:rsid w:val="001832AC"/>
    <w:rsid w:val="001836FC"/>
    <w:rsid w:val="0018377D"/>
    <w:rsid w:val="001842F5"/>
    <w:rsid w:val="00185F6F"/>
    <w:rsid w:val="00186C06"/>
    <w:rsid w:val="001877BE"/>
    <w:rsid w:val="001878FD"/>
    <w:rsid w:val="0019221A"/>
    <w:rsid w:val="00192BF4"/>
    <w:rsid w:val="00192D7C"/>
    <w:rsid w:val="0019373F"/>
    <w:rsid w:val="00193C8F"/>
    <w:rsid w:val="00195190"/>
    <w:rsid w:val="00195632"/>
    <w:rsid w:val="001968CC"/>
    <w:rsid w:val="00196B04"/>
    <w:rsid w:val="001A0FA4"/>
    <w:rsid w:val="001A105B"/>
    <w:rsid w:val="001A2563"/>
    <w:rsid w:val="001A2BE5"/>
    <w:rsid w:val="001A3AFD"/>
    <w:rsid w:val="001A5364"/>
    <w:rsid w:val="001A566D"/>
    <w:rsid w:val="001A59FE"/>
    <w:rsid w:val="001A6384"/>
    <w:rsid w:val="001A6A07"/>
    <w:rsid w:val="001A7158"/>
    <w:rsid w:val="001B05EA"/>
    <w:rsid w:val="001B35B2"/>
    <w:rsid w:val="001B3E77"/>
    <w:rsid w:val="001B41C3"/>
    <w:rsid w:val="001B4840"/>
    <w:rsid w:val="001B5B18"/>
    <w:rsid w:val="001B75C9"/>
    <w:rsid w:val="001C2736"/>
    <w:rsid w:val="001C2989"/>
    <w:rsid w:val="001C33C3"/>
    <w:rsid w:val="001C42D5"/>
    <w:rsid w:val="001C45E9"/>
    <w:rsid w:val="001C695A"/>
    <w:rsid w:val="001C6DA2"/>
    <w:rsid w:val="001C73C8"/>
    <w:rsid w:val="001C74E7"/>
    <w:rsid w:val="001C7C28"/>
    <w:rsid w:val="001C7F3A"/>
    <w:rsid w:val="001D39AC"/>
    <w:rsid w:val="001D3F65"/>
    <w:rsid w:val="001D72BB"/>
    <w:rsid w:val="001D7714"/>
    <w:rsid w:val="001D7819"/>
    <w:rsid w:val="001E1418"/>
    <w:rsid w:val="001E1667"/>
    <w:rsid w:val="001E1BE6"/>
    <w:rsid w:val="001E2368"/>
    <w:rsid w:val="001E32C3"/>
    <w:rsid w:val="001E4751"/>
    <w:rsid w:val="001F00FE"/>
    <w:rsid w:val="001F02F7"/>
    <w:rsid w:val="001F0B04"/>
    <w:rsid w:val="001F0D1A"/>
    <w:rsid w:val="001F1841"/>
    <w:rsid w:val="001F3649"/>
    <w:rsid w:val="001F3D53"/>
    <w:rsid w:val="001F4267"/>
    <w:rsid w:val="001F5E0A"/>
    <w:rsid w:val="00201CBD"/>
    <w:rsid w:val="00203191"/>
    <w:rsid w:val="0020323D"/>
    <w:rsid w:val="00206A66"/>
    <w:rsid w:val="00207DD8"/>
    <w:rsid w:val="00207EBF"/>
    <w:rsid w:val="0021052C"/>
    <w:rsid w:val="002115B1"/>
    <w:rsid w:val="002116E4"/>
    <w:rsid w:val="00213159"/>
    <w:rsid w:val="00213259"/>
    <w:rsid w:val="00213FA1"/>
    <w:rsid w:val="0021443B"/>
    <w:rsid w:val="00214AFB"/>
    <w:rsid w:val="00214E55"/>
    <w:rsid w:val="002177E9"/>
    <w:rsid w:val="00220CAE"/>
    <w:rsid w:val="00224501"/>
    <w:rsid w:val="002268C3"/>
    <w:rsid w:val="00227C4E"/>
    <w:rsid w:val="002301C7"/>
    <w:rsid w:val="00230A40"/>
    <w:rsid w:val="00230F7F"/>
    <w:rsid w:val="00232658"/>
    <w:rsid w:val="0023321A"/>
    <w:rsid w:val="0023381B"/>
    <w:rsid w:val="0023497B"/>
    <w:rsid w:val="00234F4C"/>
    <w:rsid w:val="00235AE6"/>
    <w:rsid w:val="00235CA8"/>
    <w:rsid w:val="00235FE2"/>
    <w:rsid w:val="002368E0"/>
    <w:rsid w:val="00237578"/>
    <w:rsid w:val="00240966"/>
    <w:rsid w:val="00241A44"/>
    <w:rsid w:val="00242124"/>
    <w:rsid w:val="0024248C"/>
    <w:rsid w:val="0024520D"/>
    <w:rsid w:val="00246878"/>
    <w:rsid w:val="002471F2"/>
    <w:rsid w:val="00247A24"/>
    <w:rsid w:val="00250377"/>
    <w:rsid w:val="0025149E"/>
    <w:rsid w:val="002543C3"/>
    <w:rsid w:val="00254DF5"/>
    <w:rsid w:val="00255451"/>
    <w:rsid w:val="00255E0B"/>
    <w:rsid w:val="002562CC"/>
    <w:rsid w:val="00256479"/>
    <w:rsid w:val="00257045"/>
    <w:rsid w:val="00257A7F"/>
    <w:rsid w:val="00260523"/>
    <w:rsid w:val="00260DAF"/>
    <w:rsid w:val="002611C1"/>
    <w:rsid w:val="00261BAC"/>
    <w:rsid w:val="00262AB4"/>
    <w:rsid w:val="00263A75"/>
    <w:rsid w:val="00264675"/>
    <w:rsid w:val="00264CA8"/>
    <w:rsid w:val="002702C8"/>
    <w:rsid w:val="00270625"/>
    <w:rsid w:val="002729A2"/>
    <w:rsid w:val="00272ECF"/>
    <w:rsid w:val="0027336F"/>
    <w:rsid w:val="0027386C"/>
    <w:rsid w:val="002741F8"/>
    <w:rsid w:val="002749AB"/>
    <w:rsid w:val="00274C92"/>
    <w:rsid w:val="00276034"/>
    <w:rsid w:val="00276A4B"/>
    <w:rsid w:val="00276B5A"/>
    <w:rsid w:val="002771A5"/>
    <w:rsid w:val="002820EC"/>
    <w:rsid w:val="0028308E"/>
    <w:rsid w:val="00284A37"/>
    <w:rsid w:val="00286877"/>
    <w:rsid w:val="00290494"/>
    <w:rsid w:val="00291533"/>
    <w:rsid w:val="00292B75"/>
    <w:rsid w:val="00293BE8"/>
    <w:rsid w:val="00293F6A"/>
    <w:rsid w:val="00294D9A"/>
    <w:rsid w:val="00295446"/>
    <w:rsid w:val="002955F1"/>
    <w:rsid w:val="00296319"/>
    <w:rsid w:val="00296C04"/>
    <w:rsid w:val="002A081E"/>
    <w:rsid w:val="002A337A"/>
    <w:rsid w:val="002A3994"/>
    <w:rsid w:val="002A3CAA"/>
    <w:rsid w:val="002A3E91"/>
    <w:rsid w:val="002A5D5B"/>
    <w:rsid w:val="002A679B"/>
    <w:rsid w:val="002A738B"/>
    <w:rsid w:val="002B1FB8"/>
    <w:rsid w:val="002B2BDD"/>
    <w:rsid w:val="002B63A8"/>
    <w:rsid w:val="002B671B"/>
    <w:rsid w:val="002B73CF"/>
    <w:rsid w:val="002B75F6"/>
    <w:rsid w:val="002C17A0"/>
    <w:rsid w:val="002C1C01"/>
    <w:rsid w:val="002C2A97"/>
    <w:rsid w:val="002C33F4"/>
    <w:rsid w:val="002C3690"/>
    <w:rsid w:val="002C4128"/>
    <w:rsid w:val="002C4135"/>
    <w:rsid w:val="002C5E32"/>
    <w:rsid w:val="002C6364"/>
    <w:rsid w:val="002C6458"/>
    <w:rsid w:val="002C661C"/>
    <w:rsid w:val="002D0DE2"/>
    <w:rsid w:val="002D259A"/>
    <w:rsid w:val="002D334D"/>
    <w:rsid w:val="002D337D"/>
    <w:rsid w:val="002D3C9E"/>
    <w:rsid w:val="002D58C1"/>
    <w:rsid w:val="002E0765"/>
    <w:rsid w:val="002E0A07"/>
    <w:rsid w:val="002E0CC1"/>
    <w:rsid w:val="002E2FD5"/>
    <w:rsid w:val="002E3D41"/>
    <w:rsid w:val="002E4FB7"/>
    <w:rsid w:val="002E74E0"/>
    <w:rsid w:val="002E7C98"/>
    <w:rsid w:val="002E7E2B"/>
    <w:rsid w:val="002E7F5E"/>
    <w:rsid w:val="002F216D"/>
    <w:rsid w:val="002F3D46"/>
    <w:rsid w:val="002F3E5A"/>
    <w:rsid w:val="002F41A2"/>
    <w:rsid w:val="002F4A42"/>
    <w:rsid w:val="002F703B"/>
    <w:rsid w:val="003004DC"/>
    <w:rsid w:val="00300915"/>
    <w:rsid w:val="0030293D"/>
    <w:rsid w:val="00304664"/>
    <w:rsid w:val="00304CC5"/>
    <w:rsid w:val="003052E8"/>
    <w:rsid w:val="00305A37"/>
    <w:rsid w:val="003069CD"/>
    <w:rsid w:val="003076F9"/>
    <w:rsid w:val="003106EF"/>
    <w:rsid w:val="00311356"/>
    <w:rsid w:val="00311D0E"/>
    <w:rsid w:val="00311ED1"/>
    <w:rsid w:val="003130BE"/>
    <w:rsid w:val="00316A12"/>
    <w:rsid w:val="003174B9"/>
    <w:rsid w:val="003200BC"/>
    <w:rsid w:val="00321049"/>
    <w:rsid w:val="0032201E"/>
    <w:rsid w:val="00322093"/>
    <w:rsid w:val="00323E2F"/>
    <w:rsid w:val="003277FD"/>
    <w:rsid w:val="00327D6E"/>
    <w:rsid w:val="003306CC"/>
    <w:rsid w:val="00330761"/>
    <w:rsid w:val="00330FB2"/>
    <w:rsid w:val="00333DD8"/>
    <w:rsid w:val="003341EA"/>
    <w:rsid w:val="003353E4"/>
    <w:rsid w:val="00336FC3"/>
    <w:rsid w:val="00337737"/>
    <w:rsid w:val="003404B9"/>
    <w:rsid w:val="00340D8E"/>
    <w:rsid w:val="0034131F"/>
    <w:rsid w:val="003438E1"/>
    <w:rsid w:val="00345ADA"/>
    <w:rsid w:val="0034714F"/>
    <w:rsid w:val="0034722E"/>
    <w:rsid w:val="003504F1"/>
    <w:rsid w:val="0035089F"/>
    <w:rsid w:val="003574F1"/>
    <w:rsid w:val="003614AC"/>
    <w:rsid w:val="00362308"/>
    <w:rsid w:val="003633E1"/>
    <w:rsid w:val="00364563"/>
    <w:rsid w:val="00365806"/>
    <w:rsid w:val="00365C92"/>
    <w:rsid w:val="00366909"/>
    <w:rsid w:val="00366E23"/>
    <w:rsid w:val="00367B59"/>
    <w:rsid w:val="00367DD7"/>
    <w:rsid w:val="00370950"/>
    <w:rsid w:val="00376925"/>
    <w:rsid w:val="00376D0C"/>
    <w:rsid w:val="00377010"/>
    <w:rsid w:val="003806AC"/>
    <w:rsid w:val="00380AB9"/>
    <w:rsid w:val="00382762"/>
    <w:rsid w:val="003842BB"/>
    <w:rsid w:val="00385513"/>
    <w:rsid w:val="0038569E"/>
    <w:rsid w:val="00385A25"/>
    <w:rsid w:val="00387395"/>
    <w:rsid w:val="003900B8"/>
    <w:rsid w:val="00390C49"/>
    <w:rsid w:val="00390CF6"/>
    <w:rsid w:val="00394A41"/>
    <w:rsid w:val="00396FBA"/>
    <w:rsid w:val="003A0306"/>
    <w:rsid w:val="003A0969"/>
    <w:rsid w:val="003A1F8E"/>
    <w:rsid w:val="003A34D6"/>
    <w:rsid w:val="003A385B"/>
    <w:rsid w:val="003A40D7"/>
    <w:rsid w:val="003A6133"/>
    <w:rsid w:val="003A6A70"/>
    <w:rsid w:val="003A6DC9"/>
    <w:rsid w:val="003A7D20"/>
    <w:rsid w:val="003B0208"/>
    <w:rsid w:val="003B3905"/>
    <w:rsid w:val="003B451F"/>
    <w:rsid w:val="003B4B86"/>
    <w:rsid w:val="003B64BF"/>
    <w:rsid w:val="003B785D"/>
    <w:rsid w:val="003C171B"/>
    <w:rsid w:val="003C21D9"/>
    <w:rsid w:val="003C2D58"/>
    <w:rsid w:val="003C5E39"/>
    <w:rsid w:val="003C6590"/>
    <w:rsid w:val="003C7993"/>
    <w:rsid w:val="003D0503"/>
    <w:rsid w:val="003D73AE"/>
    <w:rsid w:val="003D7564"/>
    <w:rsid w:val="003D76E6"/>
    <w:rsid w:val="003D7DB2"/>
    <w:rsid w:val="003E0B6B"/>
    <w:rsid w:val="003E3108"/>
    <w:rsid w:val="003E4802"/>
    <w:rsid w:val="003E4950"/>
    <w:rsid w:val="003E4A73"/>
    <w:rsid w:val="003E4BD6"/>
    <w:rsid w:val="003E62B3"/>
    <w:rsid w:val="003E65A5"/>
    <w:rsid w:val="003E68A8"/>
    <w:rsid w:val="003F0EC2"/>
    <w:rsid w:val="003F11FB"/>
    <w:rsid w:val="003F14A3"/>
    <w:rsid w:val="003F1882"/>
    <w:rsid w:val="003F2C6F"/>
    <w:rsid w:val="003F32F4"/>
    <w:rsid w:val="003F357B"/>
    <w:rsid w:val="003F4E33"/>
    <w:rsid w:val="003F68D2"/>
    <w:rsid w:val="004005B6"/>
    <w:rsid w:val="00400F16"/>
    <w:rsid w:val="00401F03"/>
    <w:rsid w:val="00402B69"/>
    <w:rsid w:val="00402F82"/>
    <w:rsid w:val="004037AF"/>
    <w:rsid w:val="004042E5"/>
    <w:rsid w:val="00404513"/>
    <w:rsid w:val="00404CCF"/>
    <w:rsid w:val="00404E23"/>
    <w:rsid w:val="00405DB4"/>
    <w:rsid w:val="00405DDE"/>
    <w:rsid w:val="00405FF8"/>
    <w:rsid w:val="00412631"/>
    <w:rsid w:val="004129D8"/>
    <w:rsid w:val="00415D7A"/>
    <w:rsid w:val="00415DA6"/>
    <w:rsid w:val="004162F2"/>
    <w:rsid w:val="004203CC"/>
    <w:rsid w:val="004209CE"/>
    <w:rsid w:val="00423A97"/>
    <w:rsid w:val="00423B31"/>
    <w:rsid w:val="00425347"/>
    <w:rsid w:val="004257E0"/>
    <w:rsid w:val="00427E24"/>
    <w:rsid w:val="00430485"/>
    <w:rsid w:val="00430AC5"/>
    <w:rsid w:val="00430AE4"/>
    <w:rsid w:val="00430C6B"/>
    <w:rsid w:val="0043101F"/>
    <w:rsid w:val="00431CE6"/>
    <w:rsid w:val="00431FD1"/>
    <w:rsid w:val="0043454B"/>
    <w:rsid w:val="00435494"/>
    <w:rsid w:val="004367DF"/>
    <w:rsid w:val="00436998"/>
    <w:rsid w:val="004376E3"/>
    <w:rsid w:val="00440EA6"/>
    <w:rsid w:val="004420E1"/>
    <w:rsid w:val="004434D8"/>
    <w:rsid w:val="004437D7"/>
    <w:rsid w:val="004448B1"/>
    <w:rsid w:val="0045082A"/>
    <w:rsid w:val="00450AEC"/>
    <w:rsid w:val="004535BE"/>
    <w:rsid w:val="00453A1E"/>
    <w:rsid w:val="00454C42"/>
    <w:rsid w:val="00456811"/>
    <w:rsid w:val="004569AA"/>
    <w:rsid w:val="00457711"/>
    <w:rsid w:val="004607D4"/>
    <w:rsid w:val="00460DBC"/>
    <w:rsid w:val="00462C84"/>
    <w:rsid w:val="00465547"/>
    <w:rsid w:val="00465F01"/>
    <w:rsid w:val="004662C5"/>
    <w:rsid w:val="00467436"/>
    <w:rsid w:val="004701DF"/>
    <w:rsid w:val="00471824"/>
    <w:rsid w:val="0047307F"/>
    <w:rsid w:val="00475872"/>
    <w:rsid w:val="0047618D"/>
    <w:rsid w:val="0047664A"/>
    <w:rsid w:val="004768C0"/>
    <w:rsid w:val="00476B69"/>
    <w:rsid w:val="00476C70"/>
    <w:rsid w:val="004770A0"/>
    <w:rsid w:val="00477413"/>
    <w:rsid w:val="00480282"/>
    <w:rsid w:val="004814C5"/>
    <w:rsid w:val="00481F85"/>
    <w:rsid w:val="0048392A"/>
    <w:rsid w:val="0048560A"/>
    <w:rsid w:val="004862E7"/>
    <w:rsid w:val="00487A7E"/>
    <w:rsid w:val="00492948"/>
    <w:rsid w:val="0049459B"/>
    <w:rsid w:val="0049536D"/>
    <w:rsid w:val="00496208"/>
    <w:rsid w:val="004974CA"/>
    <w:rsid w:val="004A5227"/>
    <w:rsid w:val="004A6977"/>
    <w:rsid w:val="004B0840"/>
    <w:rsid w:val="004B0B9C"/>
    <w:rsid w:val="004B1BB4"/>
    <w:rsid w:val="004B2241"/>
    <w:rsid w:val="004B327F"/>
    <w:rsid w:val="004B41E2"/>
    <w:rsid w:val="004B68B4"/>
    <w:rsid w:val="004C058F"/>
    <w:rsid w:val="004C06BC"/>
    <w:rsid w:val="004C1838"/>
    <w:rsid w:val="004C27D9"/>
    <w:rsid w:val="004C4429"/>
    <w:rsid w:val="004D19DD"/>
    <w:rsid w:val="004D2A6F"/>
    <w:rsid w:val="004D63E1"/>
    <w:rsid w:val="004D7418"/>
    <w:rsid w:val="004D755C"/>
    <w:rsid w:val="004D7747"/>
    <w:rsid w:val="004D78F7"/>
    <w:rsid w:val="004D79C6"/>
    <w:rsid w:val="004E13DF"/>
    <w:rsid w:val="004E3AD5"/>
    <w:rsid w:val="004E48A3"/>
    <w:rsid w:val="004E59EE"/>
    <w:rsid w:val="004E69DB"/>
    <w:rsid w:val="004F03D5"/>
    <w:rsid w:val="004F08C8"/>
    <w:rsid w:val="004F1C15"/>
    <w:rsid w:val="004F3F57"/>
    <w:rsid w:val="004F4364"/>
    <w:rsid w:val="004F4D26"/>
    <w:rsid w:val="004F57E9"/>
    <w:rsid w:val="004F6594"/>
    <w:rsid w:val="004F70BD"/>
    <w:rsid w:val="005023FE"/>
    <w:rsid w:val="00503760"/>
    <w:rsid w:val="00503F96"/>
    <w:rsid w:val="00504DA7"/>
    <w:rsid w:val="005054A0"/>
    <w:rsid w:val="00506C27"/>
    <w:rsid w:val="005072A0"/>
    <w:rsid w:val="005072A9"/>
    <w:rsid w:val="00510FAF"/>
    <w:rsid w:val="005116D4"/>
    <w:rsid w:val="00512C80"/>
    <w:rsid w:val="00512D41"/>
    <w:rsid w:val="00512FF0"/>
    <w:rsid w:val="0051308C"/>
    <w:rsid w:val="005134E3"/>
    <w:rsid w:val="0051357A"/>
    <w:rsid w:val="00513DE7"/>
    <w:rsid w:val="00515B2C"/>
    <w:rsid w:val="00515B53"/>
    <w:rsid w:val="005213A6"/>
    <w:rsid w:val="005232DB"/>
    <w:rsid w:val="00523374"/>
    <w:rsid w:val="0052370A"/>
    <w:rsid w:val="00525403"/>
    <w:rsid w:val="005257D8"/>
    <w:rsid w:val="00525B9D"/>
    <w:rsid w:val="00525B9F"/>
    <w:rsid w:val="005265D0"/>
    <w:rsid w:val="0052693B"/>
    <w:rsid w:val="00530287"/>
    <w:rsid w:val="00531380"/>
    <w:rsid w:val="0053434E"/>
    <w:rsid w:val="00534490"/>
    <w:rsid w:val="00536974"/>
    <w:rsid w:val="00543D4C"/>
    <w:rsid w:val="00545B1A"/>
    <w:rsid w:val="00545D3F"/>
    <w:rsid w:val="00545FB7"/>
    <w:rsid w:val="00546012"/>
    <w:rsid w:val="00547DBF"/>
    <w:rsid w:val="00547FF2"/>
    <w:rsid w:val="005502E5"/>
    <w:rsid w:val="00550D47"/>
    <w:rsid w:val="00552BA1"/>
    <w:rsid w:val="005531ED"/>
    <w:rsid w:val="0055611D"/>
    <w:rsid w:val="00557491"/>
    <w:rsid w:val="005574E1"/>
    <w:rsid w:val="00561854"/>
    <w:rsid w:val="005622C7"/>
    <w:rsid w:val="00563AAB"/>
    <w:rsid w:val="00563D0F"/>
    <w:rsid w:val="005641DC"/>
    <w:rsid w:val="005644B1"/>
    <w:rsid w:val="00570613"/>
    <w:rsid w:val="00570D7B"/>
    <w:rsid w:val="00572370"/>
    <w:rsid w:val="00573016"/>
    <w:rsid w:val="00573F03"/>
    <w:rsid w:val="0057477F"/>
    <w:rsid w:val="00574BE3"/>
    <w:rsid w:val="0057605A"/>
    <w:rsid w:val="005767B1"/>
    <w:rsid w:val="0057694C"/>
    <w:rsid w:val="005771AD"/>
    <w:rsid w:val="005776E6"/>
    <w:rsid w:val="00577D3A"/>
    <w:rsid w:val="00580D78"/>
    <w:rsid w:val="00582A17"/>
    <w:rsid w:val="005838D0"/>
    <w:rsid w:val="0058403D"/>
    <w:rsid w:val="005870DA"/>
    <w:rsid w:val="005900C4"/>
    <w:rsid w:val="005910A1"/>
    <w:rsid w:val="005931F1"/>
    <w:rsid w:val="0059437E"/>
    <w:rsid w:val="00595322"/>
    <w:rsid w:val="00595F89"/>
    <w:rsid w:val="00595FC4"/>
    <w:rsid w:val="005A01F3"/>
    <w:rsid w:val="005A053F"/>
    <w:rsid w:val="005A1AF2"/>
    <w:rsid w:val="005A2033"/>
    <w:rsid w:val="005A3578"/>
    <w:rsid w:val="005A3E7D"/>
    <w:rsid w:val="005A52EC"/>
    <w:rsid w:val="005A6237"/>
    <w:rsid w:val="005A6ACF"/>
    <w:rsid w:val="005A7C64"/>
    <w:rsid w:val="005B00D9"/>
    <w:rsid w:val="005B04B0"/>
    <w:rsid w:val="005B05B6"/>
    <w:rsid w:val="005B45F2"/>
    <w:rsid w:val="005B4CC7"/>
    <w:rsid w:val="005B4F94"/>
    <w:rsid w:val="005B6763"/>
    <w:rsid w:val="005B79B9"/>
    <w:rsid w:val="005B7FA6"/>
    <w:rsid w:val="005C466F"/>
    <w:rsid w:val="005C4B17"/>
    <w:rsid w:val="005C562D"/>
    <w:rsid w:val="005C7452"/>
    <w:rsid w:val="005C7505"/>
    <w:rsid w:val="005C7932"/>
    <w:rsid w:val="005D1E60"/>
    <w:rsid w:val="005D22F5"/>
    <w:rsid w:val="005D28B3"/>
    <w:rsid w:val="005D486E"/>
    <w:rsid w:val="005D58A6"/>
    <w:rsid w:val="005D5B55"/>
    <w:rsid w:val="005D60EA"/>
    <w:rsid w:val="005D77D8"/>
    <w:rsid w:val="005D78C6"/>
    <w:rsid w:val="005D7BF9"/>
    <w:rsid w:val="005E101C"/>
    <w:rsid w:val="005E15AD"/>
    <w:rsid w:val="005E189C"/>
    <w:rsid w:val="005E3E41"/>
    <w:rsid w:val="005E456F"/>
    <w:rsid w:val="005E7A7F"/>
    <w:rsid w:val="005F15E5"/>
    <w:rsid w:val="005F1698"/>
    <w:rsid w:val="005F17DD"/>
    <w:rsid w:val="005F204A"/>
    <w:rsid w:val="005F22A3"/>
    <w:rsid w:val="005F279C"/>
    <w:rsid w:val="005F34EF"/>
    <w:rsid w:val="005F3F76"/>
    <w:rsid w:val="005F59B8"/>
    <w:rsid w:val="005F6AAA"/>
    <w:rsid w:val="00601742"/>
    <w:rsid w:val="006036DD"/>
    <w:rsid w:val="00603703"/>
    <w:rsid w:val="0060560E"/>
    <w:rsid w:val="00605832"/>
    <w:rsid w:val="00606781"/>
    <w:rsid w:val="00606F03"/>
    <w:rsid w:val="00606F7A"/>
    <w:rsid w:val="006074F5"/>
    <w:rsid w:val="00610CAE"/>
    <w:rsid w:val="00610DE3"/>
    <w:rsid w:val="006128C8"/>
    <w:rsid w:val="00613F0F"/>
    <w:rsid w:val="00614A2F"/>
    <w:rsid w:val="00617BA4"/>
    <w:rsid w:val="00621734"/>
    <w:rsid w:val="00621991"/>
    <w:rsid w:val="00623751"/>
    <w:rsid w:val="006243FE"/>
    <w:rsid w:val="00626835"/>
    <w:rsid w:val="00626A0B"/>
    <w:rsid w:val="006279BB"/>
    <w:rsid w:val="0063112F"/>
    <w:rsid w:val="00632E26"/>
    <w:rsid w:val="00635337"/>
    <w:rsid w:val="00640B31"/>
    <w:rsid w:val="00642132"/>
    <w:rsid w:val="00642A75"/>
    <w:rsid w:val="00642AD9"/>
    <w:rsid w:val="00643942"/>
    <w:rsid w:val="00643C03"/>
    <w:rsid w:val="0064401E"/>
    <w:rsid w:val="0064771A"/>
    <w:rsid w:val="006477D8"/>
    <w:rsid w:val="0064795A"/>
    <w:rsid w:val="00650ACD"/>
    <w:rsid w:val="00650B02"/>
    <w:rsid w:val="00651A77"/>
    <w:rsid w:val="00654C57"/>
    <w:rsid w:val="00656E88"/>
    <w:rsid w:val="00660FF7"/>
    <w:rsid w:val="00664677"/>
    <w:rsid w:val="00665C35"/>
    <w:rsid w:val="006679F2"/>
    <w:rsid w:val="00670489"/>
    <w:rsid w:val="00671EA4"/>
    <w:rsid w:val="006724DD"/>
    <w:rsid w:val="006724E3"/>
    <w:rsid w:val="00672EE4"/>
    <w:rsid w:val="006744AD"/>
    <w:rsid w:val="0067501C"/>
    <w:rsid w:val="00675C96"/>
    <w:rsid w:val="00677113"/>
    <w:rsid w:val="0068031A"/>
    <w:rsid w:val="006805C4"/>
    <w:rsid w:val="00680A87"/>
    <w:rsid w:val="0068287F"/>
    <w:rsid w:val="00683A6C"/>
    <w:rsid w:val="00684B6A"/>
    <w:rsid w:val="00685426"/>
    <w:rsid w:val="006860AC"/>
    <w:rsid w:val="00686B97"/>
    <w:rsid w:val="0068747E"/>
    <w:rsid w:val="006906D5"/>
    <w:rsid w:val="00691D09"/>
    <w:rsid w:val="00691E7B"/>
    <w:rsid w:val="006928E7"/>
    <w:rsid w:val="006934CF"/>
    <w:rsid w:val="0069353C"/>
    <w:rsid w:val="00693E48"/>
    <w:rsid w:val="00695A09"/>
    <w:rsid w:val="0069766D"/>
    <w:rsid w:val="006A022F"/>
    <w:rsid w:val="006A0C54"/>
    <w:rsid w:val="006A169C"/>
    <w:rsid w:val="006A20FB"/>
    <w:rsid w:val="006A24B6"/>
    <w:rsid w:val="006A2D2B"/>
    <w:rsid w:val="006A2DDA"/>
    <w:rsid w:val="006A3BC8"/>
    <w:rsid w:val="006A6B9D"/>
    <w:rsid w:val="006B0822"/>
    <w:rsid w:val="006B3F75"/>
    <w:rsid w:val="006B5613"/>
    <w:rsid w:val="006B6DB8"/>
    <w:rsid w:val="006B76C7"/>
    <w:rsid w:val="006C4A2B"/>
    <w:rsid w:val="006C4F88"/>
    <w:rsid w:val="006C792A"/>
    <w:rsid w:val="006D1382"/>
    <w:rsid w:val="006D1E38"/>
    <w:rsid w:val="006D29EE"/>
    <w:rsid w:val="006D38E0"/>
    <w:rsid w:val="006D3F57"/>
    <w:rsid w:val="006D722D"/>
    <w:rsid w:val="006D763F"/>
    <w:rsid w:val="006D78C1"/>
    <w:rsid w:val="006E0913"/>
    <w:rsid w:val="006E1D05"/>
    <w:rsid w:val="006E21D4"/>
    <w:rsid w:val="006E263C"/>
    <w:rsid w:val="006E3F7B"/>
    <w:rsid w:val="006E46B9"/>
    <w:rsid w:val="006E5908"/>
    <w:rsid w:val="006F0661"/>
    <w:rsid w:val="006F0724"/>
    <w:rsid w:val="006F079B"/>
    <w:rsid w:val="006F07ED"/>
    <w:rsid w:val="006F188C"/>
    <w:rsid w:val="006F29FA"/>
    <w:rsid w:val="006F2B6A"/>
    <w:rsid w:val="006F42DD"/>
    <w:rsid w:val="006F48E3"/>
    <w:rsid w:val="006F5920"/>
    <w:rsid w:val="0070043F"/>
    <w:rsid w:val="00700FF1"/>
    <w:rsid w:val="007017BF"/>
    <w:rsid w:val="007022DC"/>
    <w:rsid w:val="00703F09"/>
    <w:rsid w:val="007041C2"/>
    <w:rsid w:val="007049E5"/>
    <w:rsid w:val="00706AC5"/>
    <w:rsid w:val="0070708B"/>
    <w:rsid w:val="00707787"/>
    <w:rsid w:val="0071016E"/>
    <w:rsid w:val="00712B95"/>
    <w:rsid w:val="00712D60"/>
    <w:rsid w:val="0071348B"/>
    <w:rsid w:val="007143CB"/>
    <w:rsid w:val="0071524F"/>
    <w:rsid w:val="007161DE"/>
    <w:rsid w:val="0071781B"/>
    <w:rsid w:val="007210F1"/>
    <w:rsid w:val="007211D3"/>
    <w:rsid w:val="007246B6"/>
    <w:rsid w:val="00724A5C"/>
    <w:rsid w:val="00725001"/>
    <w:rsid w:val="00725B07"/>
    <w:rsid w:val="00725F7F"/>
    <w:rsid w:val="00726719"/>
    <w:rsid w:val="0072762D"/>
    <w:rsid w:val="00727ACD"/>
    <w:rsid w:val="00731A0A"/>
    <w:rsid w:val="00733104"/>
    <w:rsid w:val="00734500"/>
    <w:rsid w:val="00734ADA"/>
    <w:rsid w:val="00734C88"/>
    <w:rsid w:val="00737846"/>
    <w:rsid w:val="007444F3"/>
    <w:rsid w:val="007455D5"/>
    <w:rsid w:val="007467AE"/>
    <w:rsid w:val="00746FCA"/>
    <w:rsid w:val="00750CE8"/>
    <w:rsid w:val="007512E8"/>
    <w:rsid w:val="007515BA"/>
    <w:rsid w:val="007537CE"/>
    <w:rsid w:val="007540ED"/>
    <w:rsid w:val="00754E5B"/>
    <w:rsid w:val="00754EC4"/>
    <w:rsid w:val="00756752"/>
    <w:rsid w:val="00756AEE"/>
    <w:rsid w:val="00756C1E"/>
    <w:rsid w:val="00757146"/>
    <w:rsid w:val="007603CF"/>
    <w:rsid w:val="007603D1"/>
    <w:rsid w:val="00761E02"/>
    <w:rsid w:val="00762A7D"/>
    <w:rsid w:val="00764924"/>
    <w:rsid w:val="00764BD6"/>
    <w:rsid w:val="00764FA1"/>
    <w:rsid w:val="007655CC"/>
    <w:rsid w:val="00766364"/>
    <w:rsid w:val="0076655D"/>
    <w:rsid w:val="0077161E"/>
    <w:rsid w:val="007725A2"/>
    <w:rsid w:val="00772D9C"/>
    <w:rsid w:val="007740AF"/>
    <w:rsid w:val="007744F0"/>
    <w:rsid w:val="00774A61"/>
    <w:rsid w:val="0077643A"/>
    <w:rsid w:val="007765FD"/>
    <w:rsid w:val="00780CA4"/>
    <w:rsid w:val="007818C7"/>
    <w:rsid w:val="00781D02"/>
    <w:rsid w:val="00782A05"/>
    <w:rsid w:val="0078307B"/>
    <w:rsid w:val="007840BF"/>
    <w:rsid w:val="007841A8"/>
    <w:rsid w:val="007872FF"/>
    <w:rsid w:val="0078767B"/>
    <w:rsid w:val="00787997"/>
    <w:rsid w:val="00790B9F"/>
    <w:rsid w:val="007923C2"/>
    <w:rsid w:val="00792899"/>
    <w:rsid w:val="00792986"/>
    <w:rsid w:val="007959CF"/>
    <w:rsid w:val="007979B9"/>
    <w:rsid w:val="00797EED"/>
    <w:rsid w:val="007A138A"/>
    <w:rsid w:val="007A43B7"/>
    <w:rsid w:val="007A455F"/>
    <w:rsid w:val="007A54FC"/>
    <w:rsid w:val="007A72F2"/>
    <w:rsid w:val="007A78D2"/>
    <w:rsid w:val="007A7D20"/>
    <w:rsid w:val="007B078F"/>
    <w:rsid w:val="007B180B"/>
    <w:rsid w:val="007B1837"/>
    <w:rsid w:val="007B19D6"/>
    <w:rsid w:val="007B20BC"/>
    <w:rsid w:val="007B2A6E"/>
    <w:rsid w:val="007B3F5A"/>
    <w:rsid w:val="007B5E4E"/>
    <w:rsid w:val="007C356B"/>
    <w:rsid w:val="007C3F12"/>
    <w:rsid w:val="007C69FB"/>
    <w:rsid w:val="007D01DE"/>
    <w:rsid w:val="007D2F87"/>
    <w:rsid w:val="007D328C"/>
    <w:rsid w:val="007D4BE0"/>
    <w:rsid w:val="007D5D7F"/>
    <w:rsid w:val="007D64CD"/>
    <w:rsid w:val="007D6A94"/>
    <w:rsid w:val="007D740A"/>
    <w:rsid w:val="007E16CB"/>
    <w:rsid w:val="007E254C"/>
    <w:rsid w:val="007E5895"/>
    <w:rsid w:val="007F1009"/>
    <w:rsid w:val="007F122F"/>
    <w:rsid w:val="007F3B52"/>
    <w:rsid w:val="007F78D7"/>
    <w:rsid w:val="00800592"/>
    <w:rsid w:val="008031B5"/>
    <w:rsid w:val="00803613"/>
    <w:rsid w:val="00803840"/>
    <w:rsid w:val="008039EF"/>
    <w:rsid w:val="00805714"/>
    <w:rsid w:val="00806A15"/>
    <w:rsid w:val="00806FFD"/>
    <w:rsid w:val="00810442"/>
    <w:rsid w:val="00810629"/>
    <w:rsid w:val="00810690"/>
    <w:rsid w:val="00812784"/>
    <w:rsid w:val="0081359A"/>
    <w:rsid w:val="00813CC7"/>
    <w:rsid w:val="00814090"/>
    <w:rsid w:val="00814673"/>
    <w:rsid w:val="0081493F"/>
    <w:rsid w:val="00815715"/>
    <w:rsid w:val="008173BD"/>
    <w:rsid w:val="008206C2"/>
    <w:rsid w:val="00820D40"/>
    <w:rsid w:val="00820FE4"/>
    <w:rsid w:val="008218BA"/>
    <w:rsid w:val="0082200D"/>
    <w:rsid w:val="00822A4E"/>
    <w:rsid w:val="0082320D"/>
    <w:rsid w:val="0082371D"/>
    <w:rsid w:val="00823D15"/>
    <w:rsid w:val="00825641"/>
    <w:rsid w:val="0082609C"/>
    <w:rsid w:val="0082708C"/>
    <w:rsid w:val="00827686"/>
    <w:rsid w:val="00830E82"/>
    <w:rsid w:val="00831693"/>
    <w:rsid w:val="00832378"/>
    <w:rsid w:val="00832B8F"/>
    <w:rsid w:val="00833E2F"/>
    <w:rsid w:val="0083421C"/>
    <w:rsid w:val="00834D8A"/>
    <w:rsid w:val="00835D60"/>
    <w:rsid w:val="008360B0"/>
    <w:rsid w:val="008364E6"/>
    <w:rsid w:val="00836771"/>
    <w:rsid w:val="00837290"/>
    <w:rsid w:val="0083782E"/>
    <w:rsid w:val="00837BC1"/>
    <w:rsid w:val="00841A63"/>
    <w:rsid w:val="00842C7D"/>
    <w:rsid w:val="00843C45"/>
    <w:rsid w:val="00845470"/>
    <w:rsid w:val="00847D14"/>
    <w:rsid w:val="008505B9"/>
    <w:rsid w:val="00851BB9"/>
    <w:rsid w:val="00851DB1"/>
    <w:rsid w:val="0085354F"/>
    <w:rsid w:val="0085390C"/>
    <w:rsid w:val="00854A1C"/>
    <w:rsid w:val="00854B54"/>
    <w:rsid w:val="0085543A"/>
    <w:rsid w:val="00857E46"/>
    <w:rsid w:val="00860386"/>
    <w:rsid w:val="008609C3"/>
    <w:rsid w:val="0086358F"/>
    <w:rsid w:val="008652F8"/>
    <w:rsid w:val="00867E14"/>
    <w:rsid w:val="00872410"/>
    <w:rsid w:val="00881584"/>
    <w:rsid w:val="00881A6F"/>
    <w:rsid w:val="008829B6"/>
    <w:rsid w:val="008831A0"/>
    <w:rsid w:val="0088620B"/>
    <w:rsid w:val="00886315"/>
    <w:rsid w:val="00890C30"/>
    <w:rsid w:val="00891B08"/>
    <w:rsid w:val="00891CB1"/>
    <w:rsid w:val="00892778"/>
    <w:rsid w:val="00892D29"/>
    <w:rsid w:val="0089309A"/>
    <w:rsid w:val="00893F11"/>
    <w:rsid w:val="00894B10"/>
    <w:rsid w:val="00895ADF"/>
    <w:rsid w:val="0089677D"/>
    <w:rsid w:val="0089689F"/>
    <w:rsid w:val="008A06D6"/>
    <w:rsid w:val="008A08C9"/>
    <w:rsid w:val="008A1135"/>
    <w:rsid w:val="008A1674"/>
    <w:rsid w:val="008A2D80"/>
    <w:rsid w:val="008A3AEE"/>
    <w:rsid w:val="008A3F06"/>
    <w:rsid w:val="008A55D0"/>
    <w:rsid w:val="008A690F"/>
    <w:rsid w:val="008A724E"/>
    <w:rsid w:val="008B08B8"/>
    <w:rsid w:val="008B19C2"/>
    <w:rsid w:val="008B1C88"/>
    <w:rsid w:val="008B3360"/>
    <w:rsid w:val="008B520A"/>
    <w:rsid w:val="008B5CB4"/>
    <w:rsid w:val="008B7F72"/>
    <w:rsid w:val="008C0080"/>
    <w:rsid w:val="008C0210"/>
    <w:rsid w:val="008C0765"/>
    <w:rsid w:val="008C338F"/>
    <w:rsid w:val="008C5BBE"/>
    <w:rsid w:val="008C6A92"/>
    <w:rsid w:val="008C753A"/>
    <w:rsid w:val="008D00B4"/>
    <w:rsid w:val="008D1F69"/>
    <w:rsid w:val="008D213F"/>
    <w:rsid w:val="008D2381"/>
    <w:rsid w:val="008D3874"/>
    <w:rsid w:val="008D3EF4"/>
    <w:rsid w:val="008D467D"/>
    <w:rsid w:val="008D54AF"/>
    <w:rsid w:val="008D5C4E"/>
    <w:rsid w:val="008D67D8"/>
    <w:rsid w:val="008D72F9"/>
    <w:rsid w:val="008D76F3"/>
    <w:rsid w:val="008D7BAA"/>
    <w:rsid w:val="008E091B"/>
    <w:rsid w:val="008E0DBF"/>
    <w:rsid w:val="008E0E42"/>
    <w:rsid w:val="008E2728"/>
    <w:rsid w:val="008E2746"/>
    <w:rsid w:val="008E28DE"/>
    <w:rsid w:val="008E2DCF"/>
    <w:rsid w:val="008E2FFD"/>
    <w:rsid w:val="008E5A7A"/>
    <w:rsid w:val="008E74AF"/>
    <w:rsid w:val="008E7895"/>
    <w:rsid w:val="008F0ACC"/>
    <w:rsid w:val="008F5596"/>
    <w:rsid w:val="008F6A35"/>
    <w:rsid w:val="00900148"/>
    <w:rsid w:val="009002F2"/>
    <w:rsid w:val="0090072F"/>
    <w:rsid w:val="00901C74"/>
    <w:rsid w:val="009025AA"/>
    <w:rsid w:val="0090265C"/>
    <w:rsid w:val="00902E6C"/>
    <w:rsid w:val="00906305"/>
    <w:rsid w:val="009068FD"/>
    <w:rsid w:val="00906D92"/>
    <w:rsid w:val="0091057B"/>
    <w:rsid w:val="00911FB3"/>
    <w:rsid w:val="009123F5"/>
    <w:rsid w:val="009163FD"/>
    <w:rsid w:val="009168D1"/>
    <w:rsid w:val="00916DEA"/>
    <w:rsid w:val="009173BF"/>
    <w:rsid w:val="00920EAB"/>
    <w:rsid w:val="009211F3"/>
    <w:rsid w:val="00921669"/>
    <w:rsid w:val="00921712"/>
    <w:rsid w:val="00923561"/>
    <w:rsid w:val="0092387D"/>
    <w:rsid w:val="0092743F"/>
    <w:rsid w:val="0093005B"/>
    <w:rsid w:val="00930C19"/>
    <w:rsid w:val="00932DB5"/>
    <w:rsid w:val="009336FB"/>
    <w:rsid w:val="00935D49"/>
    <w:rsid w:val="00936BAB"/>
    <w:rsid w:val="00937407"/>
    <w:rsid w:val="00937FEE"/>
    <w:rsid w:val="0094006B"/>
    <w:rsid w:val="009404CF"/>
    <w:rsid w:val="0094146F"/>
    <w:rsid w:val="00941F8C"/>
    <w:rsid w:val="00944C76"/>
    <w:rsid w:val="00944DE3"/>
    <w:rsid w:val="0095211D"/>
    <w:rsid w:val="00952D6A"/>
    <w:rsid w:val="00952D96"/>
    <w:rsid w:val="0095633B"/>
    <w:rsid w:val="009574DC"/>
    <w:rsid w:val="00957DD1"/>
    <w:rsid w:val="009607E4"/>
    <w:rsid w:val="0096235B"/>
    <w:rsid w:val="00963D0D"/>
    <w:rsid w:val="009647EC"/>
    <w:rsid w:val="00966C55"/>
    <w:rsid w:val="009678A2"/>
    <w:rsid w:val="00967C4A"/>
    <w:rsid w:val="00967E86"/>
    <w:rsid w:val="00967FA4"/>
    <w:rsid w:val="0097185E"/>
    <w:rsid w:val="00972670"/>
    <w:rsid w:val="00972AA6"/>
    <w:rsid w:val="00972F04"/>
    <w:rsid w:val="009732C3"/>
    <w:rsid w:val="00973F97"/>
    <w:rsid w:val="009747A5"/>
    <w:rsid w:val="009754DE"/>
    <w:rsid w:val="00976192"/>
    <w:rsid w:val="009765EF"/>
    <w:rsid w:val="00976BB1"/>
    <w:rsid w:val="0098221A"/>
    <w:rsid w:val="00982307"/>
    <w:rsid w:val="0098325C"/>
    <w:rsid w:val="0098400D"/>
    <w:rsid w:val="00985BC9"/>
    <w:rsid w:val="00986E29"/>
    <w:rsid w:val="009874FA"/>
    <w:rsid w:val="0099051B"/>
    <w:rsid w:val="009906AE"/>
    <w:rsid w:val="00993884"/>
    <w:rsid w:val="009940CF"/>
    <w:rsid w:val="00995AC6"/>
    <w:rsid w:val="0099775F"/>
    <w:rsid w:val="009A0E1B"/>
    <w:rsid w:val="009A0E98"/>
    <w:rsid w:val="009A2E95"/>
    <w:rsid w:val="009A53F0"/>
    <w:rsid w:val="009A5536"/>
    <w:rsid w:val="009A607D"/>
    <w:rsid w:val="009A78B7"/>
    <w:rsid w:val="009B0364"/>
    <w:rsid w:val="009B2BA1"/>
    <w:rsid w:val="009B7451"/>
    <w:rsid w:val="009B781C"/>
    <w:rsid w:val="009B7911"/>
    <w:rsid w:val="009B7B6C"/>
    <w:rsid w:val="009C03BB"/>
    <w:rsid w:val="009C1391"/>
    <w:rsid w:val="009C18BF"/>
    <w:rsid w:val="009C4107"/>
    <w:rsid w:val="009C434A"/>
    <w:rsid w:val="009C767F"/>
    <w:rsid w:val="009D099E"/>
    <w:rsid w:val="009D1BD9"/>
    <w:rsid w:val="009D2AD3"/>
    <w:rsid w:val="009D3E9F"/>
    <w:rsid w:val="009D40F1"/>
    <w:rsid w:val="009D57C9"/>
    <w:rsid w:val="009D78DC"/>
    <w:rsid w:val="009D79A6"/>
    <w:rsid w:val="009E45EB"/>
    <w:rsid w:val="009E5742"/>
    <w:rsid w:val="009E6571"/>
    <w:rsid w:val="009E76A6"/>
    <w:rsid w:val="009E7F6B"/>
    <w:rsid w:val="009F02E4"/>
    <w:rsid w:val="009F0544"/>
    <w:rsid w:val="009F3B19"/>
    <w:rsid w:val="009F4A34"/>
    <w:rsid w:val="009F6C95"/>
    <w:rsid w:val="009F7281"/>
    <w:rsid w:val="00A023CC"/>
    <w:rsid w:val="00A025AC"/>
    <w:rsid w:val="00A03001"/>
    <w:rsid w:val="00A03108"/>
    <w:rsid w:val="00A03846"/>
    <w:rsid w:val="00A04DBD"/>
    <w:rsid w:val="00A06671"/>
    <w:rsid w:val="00A06DF9"/>
    <w:rsid w:val="00A06E87"/>
    <w:rsid w:val="00A075C9"/>
    <w:rsid w:val="00A07A7C"/>
    <w:rsid w:val="00A1046D"/>
    <w:rsid w:val="00A105A4"/>
    <w:rsid w:val="00A10AFA"/>
    <w:rsid w:val="00A1141A"/>
    <w:rsid w:val="00A12380"/>
    <w:rsid w:val="00A12398"/>
    <w:rsid w:val="00A136D5"/>
    <w:rsid w:val="00A14205"/>
    <w:rsid w:val="00A14282"/>
    <w:rsid w:val="00A14835"/>
    <w:rsid w:val="00A23284"/>
    <w:rsid w:val="00A2350A"/>
    <w:rsid w:val="00A24944"/>
    <w:rsid w:val="00A25148"/>
    <w:rsid w:val="00A25F4E"/>
    <w:rsid w:val="00A26709"/>
    <w:rsid w:val="00A26E6E"/>
    <w:rsid w:val="00A27BA2"/>
    <w:rsid w:val="00A3205C"/>
    <w:rsid w:val="00A3206D"/>
    <w:rsid w:val="00A32D9C"/>
    <w:rsid w:val="00A36146"/>
    <w:rsid w:val="00A36B78"/>
    <w:rsid w:val="00A36CF4"/>
    <w:rsid w:val="00A41EF3"/>
    <w:rsid w:val="00A423DF"/>
    <w:rsid w:val="00A43B46"/>
    <w:rsid w:val="00A44582"/>
    <w:rsid w:val="00A45100"/>
    <w:rsid w:val="00A4554F"/>
    <w:rsid w:val="00A45F8F"/>
    <w:rsid w:val="00A47640"/>
    <w:rsid w:val="00A47E89"/>
    <w:rsid w:val="00A52A8A"/>
    <w:rsid w:val="00A54400"/>
    <w:rsid w:val="00A54887"/>
    <w:rsid w:val="00A55B6E"/>
    <w:rsid w:val="00A56297"/>
    <w:rsid w:val="00A56FD1"/>
    <w:rsid w:val="00A6180F"/>
    <w:rsid w:val="00A64A27"/>
    <w:rsid w:val="00A65ADB"/>
    <w:rsid w:val="00A66CCE"/>
    <w:rsid w:val="00A6783D"/>
    <w:rsid w:val="00A70BE5"/>
    <w:rsid w:val="00A72ED0"/>
    <w:rsid w:val="00A73C6F"/>
    <w:rsid w:val="00A80237"/>
    <w:rsid w:val="00A80715"/>
    <w:rsid w:val="00A8139B"/>
    <w:rsid w:val="00A822EE"/>
    <w:rsid w:val="00A826E7"/>
    <w:rsid w:val="00A84BE3"/>
    <w:rsid w:val="00A85704"/>
    <w:rsid w:val="00A91691"/>
    <w:rsid w:val="00A91FDC"/>
    <w:rsid w:val="00A94A2C"/>
    <w:rsid w:val="00A95876"/>
    <w:rsid w:val="00A95CE2"/>
    <w:rsid w:val="00AA0670"/>
    <w:rsid w:val="00AA06BD"/>
    <w:rsid w:val="00AA07CD"/>
    <w:rsid w:val="00AA1EE7"/>
    <w:rsid w:val="00AA2F7F"/>
    <w:rsid w:val="00AA3D7E"/>
    <w:rsid w:val="00AA46AA"/>
    <w:rsid w:val="00AA47A7"/>
    <w:rsid w:val="00AA4EF9"/>
    <w:rsid w:val="00AA5ABA"/>
    <w:rsid w:val="00AA613E"/>
    <w:rsid w:val="00AA68A9"/>
    <w:rsid w:val="00AA6A3A"/>
    <w:rsid w:val="00AA6A8F"/>
    <w:rsid w:val="00AB0BB9"/>
    <w:rsid w:val="00AB2484"/>
    <w:rsid w:val="00AB445B"/>
    <w:rsid w:val="00AB53B9"/>
    <w:rsid w:val="00AB64BD"/>
    <w:rsid w:val="00AB6857"/>
    <w:rsid w:val="00AB7579"/>
    <w:rsid w:val="00AC0D2C"/>
    <w:rsid w:val="00AC5852"/>
    <w:rsid w:val="00AC7248"/>
    <w:rsid w:val="00AD00C1"/>
    <w:rsid w:val="00AD0970"/>
    <w:rsid w:val="00AD145C"/>
    <w:rsid w:val="00AD3B65"/>
    <w:rsid w:val="00AD4A64"/>
    <w:rsid w:val="00AD4D45"/>
    <w:rsid w:val="00AD5580"/>
    <w:rsid w:val="00AD5C55"/>
    <w:rsid w:val="00AD606D"/>
    <w:rsid w:val="00AD6847"/>
    <w:rsid w:val="00AD6BA1"/>
    <w:rsid w:val="00AD77C0"/>
    <w:rsid w:val="00AE1041"/>
    <w:rsid w:val="00AE1554"/>
    <w:rsid w:val="00AE19FC"/>
    <w:rsid w:val="00AE36B0"/>
    <w:rsid w:val="00AE5A01"/>
    <w:rsid w:val="00AE7DD1"/>
    <w:rsid w:val="00AF1B14"/>
    <w:rsid w:val="00AF2120"/>
    <w:rsid w:val="00AF25B8"/>
    <w:rsid w:val="00AF2C0D"/>
    <w:rsid w:val="00AF3D59"/>
    <w:rsid w:val="00B01896"/>
    <w:rsid w:val="00B029E5"/>
    <w:rsid w:val="00B05230"/>
    <w:rsid w:val="00B05B5B"/>
    <w:rsid w:val="00B06E7C"/>
    <w:rsid w:val="00B0726C"/>
    <w:rsid w:val="00B07BF6"/>
    <w:rsid w:val="00B1063B"/>
    <w:rsid w:val="00B1297B"/>
    <w:rsid w:val="00B13331"/>
    <w:rsid w:val="00B13FEF"/>
    <w:rsid w:val="00B14277"/>
    <w:rsid w:val="00B14599"/>
    <w:rsid w:val="00B1478A"/>
    <w:rsid w:val="00B14EEC"/>
    <w:rsid w:val="00B15022"/>
    <w:rsid w:val="00B156EE"/>
    <w:rsid w:val="00B16AA9"/>
    <w:rsid w:val="00B16B72"/>
    <w:rsid w:val="00B204C3"/>
    <w:rsid w:val="00B23854"/>
    <w:rsid w:val="00B249E7"/>
    <w:rsid w:val="00B24AB8"/>
    <w:rsid w:val="00B24AE9"/>
    <w:rsid w:val="00B25047"/>
    <w:rsid w:val="00B2581E"/>
    <w:rsid w:val="00B25CBB"/>
    <w:rsid w:val="00B26410"/>
    <w:rsid w:val="00B27177"/>
    <w:rsid w:val="00B27428"/>
    <w:rsid w:val="00B33C20"/>
    <w:rsid w:val="00B34FAE"/>
    <w:rsid w:val="00B36929"/>
    <w:rsid w:val="00B374D1"/>
    <w:rsid w:val="00B376D4"/>
    <w:rsid w:val="00B42072"/>
    <w:rsid w:val="00B42474"/>
    <w:rsid w:val="00B44210"/>
    <w:rsid w:val="00B45818"/>
    <w:rsid w:val="00B45FE5"/>
    <w:rsid w:val="00B46654"/>
    <w:rsid w:val="00B46ADA"/>
    <w:rsid w:val="00B47445"/>
    <w:rsid w:val="00B5011D"/>
    <w:rsid w:val="00B50A7C"/>
    <w:rsid w:val="00B51446"/>
    <w:rsid w:val="00B528E6"/>
    <w:rsid w:val="00B53AAC"/>
    <w:rsid w:val="00B5586C"/>
    <w:rsid w:val="00B55F43"/>
    <w:rsid w:val="00B62054"/>
    <w:rsid w:val="00B62D02"/>
    <w:rsid w:val="00B632ED"/>
    <w:rsid w:val="00B6519F"/>
    <w:rsid w:val="00B70F2E"/>
    <w:rsid w:val="00B70FAC"/>
    <w:rsid w:val="00B73BBB"/>
    <w:rsid w:val="00B73D23"/>
    <w:rsid w:val="00B761BA"/>
    <w:rsid w:val="00B765B3"/>
    <w:rsid w:val="00B80EAF"/>
    <w:rsid w:val="00B8437D"/>
    <w:rsid w:val="00B85A43"/>
    <w:rsid w:val="00B85F3A"/>
    <w:rsid w:val="00B86833"/>
    <w:rsid w:val="00B868E6"/>
    <w:rsid w:val="00B90A98"/>
    <w:rsid w:val="00B9378B"/>
    <w:rsid w:val="00B93835"/>
    <w:rsid w:val="00B940C2"/>
    <w:rsid w:val="00B940F4"/>
    <w:rsid w:val="00B9544F"/>
    <w:rsid w:val="00BA08D5"/>
    <w:rsid w:val="00BA2DFD"/>
    <w:rsid w:val="00BA2F72"/>
    <w:rsid w:val="00BA3562"/>
    <w:rsid w:val="00BA37EA"/>
    <w:rsid w:val="00BA3CD6"/>
    <w:rsid w:val="00BA406A"/>
    <w:rsid w:val="00BA4165"/>
    <w:rsid w:val="00BA59A6"/>
    <w:rsid w:val="00BA6C22"/>
    <w:rsid w:val="00BA6CFE"/>
    <w:rsid w:val="00BB207D"/>
    <w:rsid w:val="00BB2A68"/>
    <w:rsid w:val="00BB2E86"/>
    <w:rsid w:val="00BB3766"/>
    <w:rsid w:val="00BB3B37"/>
    <w:rsid w:val="00BB3C43"/>
    <w:rsid w:val="00BB3EBE"/>
    <w:rsid w:val="00BB714D"/>
    <w:rsid w:val="00BB7EB2"/>
    <w:rsid w:val="00BC05E9"/>
    <w:rsid w:val="00BC10F2"/>
    <w:rsid w:val="00BC1463"/>
    <w:rsid w:val="00BC20C6"/>
    <w:rsid w:val="00BC3F30"/>
    <w:rsid w:val="00BC5355"/>
    <w:rsid w:val="00BC5A2F"/>
    <w:rsid w:val="00BC6F19"/>
    <w:rsid w:val="00BD00E0"/>
    <w:rsid w:val="00BD0636"/>
    <w:rsid w:val="00BD0748"/>
    <w:rsid w:val="00BD096F"/>
    <w:rsid w:val="00BD1395"/>
    <w:rsid w:val="00BD1D75"/>
    <w:rsid w:val="00BD1F98"/>
    <w:rsid w:val="00BD3347"/>
    <w:rsid w:val="00BD33F1"/>
    <w:rsid w:val="00BD6108"/>
    <w:rsid w:val="00BD7DB8"/>
    <w:rsid w:val="00BE2967"/>
    <w:rsid w:val="00BE3A0B"/>
    <w:rsid w:val="00BF0E4D"/>
    <w:rsid w:val="00BF3323"/>
    <w:rsid w:val="00BF50F2"/>
    <w:rsid w:val="00BF51C0"/>
    <w:rsid w:val="00BF5972"/>
    <w:rsid w:val="00BF5EBD"/>
    <w:rsid w:val="00BF6131"/>
    <w:rsid w:val="00BF6923"/>
    <w:rsid w:val="00BF771E"/>
    <w:rsid w:val="00BF79AA"/>
    <w:rsid w:val="00C00DCC"/>
    <w:rsid w:val="00C0198D"/>
    <w:rsid w:val="00C01CB3"/>
    <w:rsid w:val="00C01E02"/>
    <w:rsid w:val="00C02F8B"/>
    <w:rsid w:val="00C0372E"/>
    <w:rsid w:val="00C04F95"/>
    <w:rsid w:val="00C04F9B"/>
    <w:rsid w:val="00C05096"/>
    <w:rsid w:val="00C06F3B"/>
    <w:rsid w:val="00C0707B"/>
    <w:rsid w:val="00C07654"/>
    <w:rsid w:val="00C10067"/>
    <w:rsid w:val="00C11518"/>
    <w:rsid w:val="00C118A6"/>
    <w:rsid w:val="00C131F4"/>
    <w:rsid w:val="00C16923"/>
    <w:rsid w:val="00C172DA"/>
    <w:rsid w:val="00C1776D"/>
    <w:rsid w:val="00C20A8B"/>
    <w:rsid w:val="00C217A6"/>
    <w:rsid w:val="00C23131"/>
    <w:rsid w:val="00C237B8"/>
    <w:rsid w:val="00C23CFC"/>
    <w:rsid w:val="00C24991"/>
    <w:rsid w:val="00C24DD1"/>
    <w:rsid w:val="00C257C9"/>
    <w:rsid w:val="00C2679D"/>
    <w:rsid w:val="00C270C5"/>
    <w:rsid w:val="00C27176"/>
    <w:rsid w:val="00C276C4"/>
    <w:rsid w:val="00C31990"/>
    <w:rsid w:val="00C32977"/>
    <w:rsid w:val="00C40025"/>
    <w:rsid w:val="00C410F6"/>
    <w:rsid w:val="00C41B94"/>
    <w:rsid w:val="00C41DD7"/>
    <w:rsid w:val="00C421BC"/>
    <w:rsid w:val="00C44692"/>
    <w:rsid w:val="00C452FF"/>
    <w:rsid w:val="00C45BB6"/>
    <w:rsid w:val="00C461E4"/>
    <w:rsid w:val="00C462F8"/>
    <w:rsid w:val="00C468CB"/>
    <w:rsid w:val="00C46C70"/>
    <w:rsid w:val="00C507D3"/>
    <w:rsid w:val="00C50A59"/>
    <w:rsid w:val="00C5216E"/>
    <w:rsid w:val="00C5220D"/>
    <w:rsid w:val="00C524BC"/>
    <w:rsid w:val="00C52E30"/>
    <w:rsid w:val="00C5351C"/>
    <w:rsid w:val="00C53A10"/>
    <w:rsid w:val="00C53B1F"/>
    <w:rsid w:val="00C5462E"/>
    <w:rsid w:val="00C54922"/>
    <w:rsid w:val="00C56256"/>
    <w:rsid w:val="00C57676"/>
    <w:rsid w:val="00C578F5"/>
    <w:rsid w:val="00C6139E"/>
    <w:rsid w:val="00C63A4F"/>
    <w:rsid w:val="00C65083"/>
    <w:rsid w:val="00C66B49"/>
    <w:rsid w:val="00C67A22"/>
    <w:rsid w:val="00C70A58"/>
    <w:rsid w:val="00C71014"/>
    <w:rsid w:val="00C713B4"/>
    <w:rsid w:val="00C72B3A"/>
    <w:rsid w:val="00C73ECB"/>
    <w:rsid w:val="00C7440F"/>
    <w:rsid w:val="00C7590C"/>
    <w:rsid w:val="00C76BFF"/>
    <w:rsid w:val="00C81441"/>
    <w:rsid w:val="00C81A01"/>
    <w:rsid w:val="00C82BF1"/>
    <w:rsid w:val="00C8363B"/>
    <w:rsid w:val="00C83645"/>
    <w:rsid w:val="00C850F9"/>
    <w:rsid w:val="00C85DC3"/>
    <w:rsid w:val="00C9045A"/>
    <w:rsid w:val="00C910D6"/>
    <w:rsid w:val="00C9274B"/>
    <w:rsid w:val="00C951DB"/>
    <w:rsid w:val="00C9614E"/>
    <w:rsid w:val="00C964C5"/>
    <w:rsid w:val="00C97559"/>
    <w:rsid w:val="00C97A18"/>
    <w:rsid w:val="00C97DDA"/>
    <w:rsid w:val="00CA063C"/>
    <w:rsid w:val="00CA0884"/>
    <w:rsid w:val="00CA0BC7"/>
    <w:rsid w:val="00CA1433"/>
    <w:rsid w:val="00CA2D0C"/>
    <w:rsid w:val="00CA46B1"/>
    <w:rsid w:val="00CA4B59"/>
    <w:rsid w:val="00CA4CD3"/>
    <w:rsid w:val="00CA4D6A"/>
    <w:rsid w:val="00CA5E78"/>
    <w:rsid w:val="00CB1BA4"/>
    <w:rsid w:val="00CB24BB"/>
    <w:rsid w:val="00CB27FD"/>
    <w:rsid w:val="00CB2D75"/>
    <w:rsid w:val="00CB2D7C"/>
    <w:rsid w:val="00CB58BF"/>
    <w:rsid w:val="00CB72E7"/>
    <w:rsid w:val="00CB7B2D"/>
    <w:rsid w:val="00CB7C6D"/>
    <w:rsid w:val="00CC7188"/>
    <w:rsid w:val="00CD1326"/>
    <w:rsid w:val="00CD3824"/>
    <w:rsid w:val="00CD396E"/>
    <w:rsid w:val="00CD6609"/>
    <w:rsid w:val="00CD6649"/>
    <w:rsid w:val="00CD71B9"/>
    <w:rsid w:val="00CD7579"/>
    <w:rsid w:val="00CE0487"/>
    <w:rsid w:val="00CE0562"/>
    <w:rsid w:val="00CE07A6"/>
    <w:rsid w:val="00CE19FA"/>
    <w:rsid w:val="00CE34AC"/>
    <w:rsid w:val="00CE48CE"/>
    <w:rsid w:val="00CE4D8E"/>
    <w:rsid w:val="00CE619F"/>
    <w:rsid w:val="00CE6A03"/>
    <w:rsid w:val="00CF2F5E"/>
    <w:rsid w:val="00CF7797"/>
    <w:rsid w:val="00CF7D57"/>
    <w:rsid w:val="00D02017"/>
    <w:rsid w:val="00D0202B"/>
    <w:rsid w:val="00D02C4F"/>
    <w:rsid w:val="00D02E55"/>
    <w:rsid w:val="00D03107"/>
    <w:rsid w:val="00D0504A"/>
    <w:rsid w:val="00D070F8"/>
    <w:rsid w:val="00D07360"/>
    <w:rsid w:val="00D10C26"/>
    <w:rsid w:val="00D10CD3"/>
    <w:rsid w:val="00D125A4"/>
    <w:rsid w:val="00D1426C"/>
    <w:rsid w:val="00D142D1"/>
    <w:rsid w:val="00D147F6"/>
    <w:rsid w:val="00D14CA1"/>
    <w:rsid w:val="00D15D71"/>
    <w:rsid w:val="00D16693"/>
    <w:rsid w:val="00D1714C"/>
    <w:rsid w:val="00D173A7"/>
    <w:rsid w:val="00D17E49"/>
    <w:rsid w:val="00D2003B"/>
    <w:rsid w:val="00D20F98"/>
    <w:rsid w:val="00D21174"/>
    <w:rsid w:val="00D242C1"/>
    <w:rsid w:val="00D24DC8"/>
    <w:rsid w:val="00D262DE"/>
    <w:rsid w:val="00D26E7A"/>
    <w:rsid w:val="00D322E8"/>
    <w:rsid w:val="00D3258E"/>
    <w:rsid w:val="00D332B5"/>
    <w:rsid w:val="00D3677D"/>
    <w:rsid w:val="00D3736D"/>
    <w:rsid w:val="00D42623"/>
    <w:rsid w:val="00D44F77"/>
    <w:rsid w:val="00D45740"/>
    <w:rsid w:val="00D46211"/>
    <w:rsid w:val="00D477C7"/>
    <w:rsid w:val="00D50E21"/>
    <w:rsid w:val="00D52075"/>
    <w:rsid w:val="00D52321"/>
    <w:rsid w:val="00D5550C"/>
    <w:rsid w:val="00D567F2"/>
    <w:rsid w:val="00D56E82"/>
    <w:rsid w:val="00D61A3C"/>
    <w:rsid w:val="00D61ACF"/>
    <w:rsid w:val="00D63C88"/>
    <w:rsid w:val="00D64F70"/>
    <w:rsid w:val="00D65142"/>
    <w:rsid w:val="00D65469"/>
    <w:rsid w:val="00D6619A"/>
    <w:rsid w:val="00D666D0"/>
    <w:rsid w:val="00D67114"/>
    <w:rsid w:val="00D67905"/>
    <w:rsid w:val="00D72922"/>
    <w:rsid w:val="00D72C22"/>
    <w:rsid w:val="00D73105"/>
    <w:rsid w:val="00D7369E"/>
    <w:rsid w:val="00D75D03"/>
    <w:rsid w:val="00D81329"/>
    <w:rsid w:val="00D8151E"/>
    <w:rsid w:val="00D81DBC"/>
    <w:rsid w:val="00D82224"/>
    <w:rsid w:val="00D8339E"/>
    <w:rsid w:val="00D8441C"/>
    <w:rsid w:val="00D85E89"/>
    <w:rsid w:val="00D90EFF"/>
    <w:rsid w:val="00D912BD"/>
    <w:rsid w:val="00D91676"/>
    <w:rsid w:val="00D925A6"/>
    <w:rsid w:val="00D9284F"/>
    <w:rsid w:val="00D92C24"/>
    <w:rsid w:val="00D93478"/>
    <w:rsid w:val="00D9368C"/>
    <w:rsid w:val="00D93725"/>
    <w:rsid w:val="00D9381B"/>
    <w:rsid w:val="00D95BE8"/>
    <w:rsid w:val="00D95ED1"/>
    <w:rsid w:val="00D96A0C"/>
    <w:rsid w:val="00D97456"/>
    <w:rsid w:val="00DA1389"/>
    <w:rsid w:val="00DA2488"/>
    <w:rsid w:val="00DA4153"/>
    <w:rsid w:val="00DA4522"/>
    <w:rsid w:val="00DA4C32"/>
    <w:rsid w:val="00DA4F9E"/>
    <w:rsid w:val="00DA5F6F"/>
    <w:rsid w:val="00DB0836"/>
    <w:rsid w:val="00DB1D1A"/>
    <w:rsid w:val="00DB2873"/>
    <w:rsid w:val="00DB39FE"/>
    <w:rsid w:val="00DB3CB5"/>
    <w:rsid w:val="00DB3D98"/>
    <w:rsid w:val="00DB3EE1"/>
    <w:rsid w:val="00DB5A5F"/>
    <w:rsid w:val="00DB66B5"/>
    <w:rsid w:val="00DB68CB"/>
    <w:rsid w:val="00DB776B"/>
    <w:rsid w:val="00DC1DD0"/>
    <w:rsid w:val="00DC1F86"/>
    <w:rsid w:val="00DC2262"/>
    <w:rsid w:val="00DC3D8B"/>
    <w:rsid w:val="00DC4121"/>
    <w:rsid w:val="00DC4D39"/>
    <w:rsid w:val="00DC767E"/>
    <w:rsid w:val="00DC7C26"/>
    <w:rsid w:val="00DD06D9"/>
    <w:rsid w:val="00DD0EB1"/>
    <w:rsid w:val="00DD167E"/>
    <w:rsid w:val="00DD281F"/>
    <w:rsid w:val="00DD444E"/>
    <w:rsid w:val="00DD54F3"/>
    <w:rsid w:val="00DD6672"/>
    <w:rsid w:val="00DD6BC8"/>
    <w:rsid w:val="00DD7015"/>
    <w:rsid w:val="00DD78FF"/>
    <w:rsid w:val="00DD7DFA"/>
    <w:rsid w:val="00DD7FCD"/>
    <w:rsid w:val="00DE0652"/>
    <w:rsid w:val="00DE0E96"/>
    <w:rsid w:val="00DE115D"/>
    <w:rsid w:val="00DE1C4B"/>
    <w:rsid w:val="00DE3702"/>
    <w:rsid w:val="00DE5C1E"/>
    <w:rsid w:val="00DE6CF9"/>
    <w:rsid w:val="00DE75CA"/>
    <w:rsid w:val="00DE7782"/>
    <w:rsid w:val="00DE7FD3"/>
    <w:rsid w:val="00DF0760"/>
    <w:rsid w:val="00DF39C4"/>
    <w:rsid w:val="00DF5659"/>
    <w:rsid w:val="00DF59AA"/>
    <w:rsid w:val="00E00C19"/>
    <w:rsid w:val="00E05B82"/>
    <w:rsid w:val="00E0632E"/>
    <w:rsid w:val="00E105E8"/>
    <w:rsid w:val="00E117C1"/>
    <w:rsid w:val="00E12159"/>
    <w:rsid w:val="00E1495D"/>
    <w:rsid w:val="00E14D34"/>
    <w:rsid w:val="00E15465"/>
    <w:rsid w:val="00E154E7"/>
    <w:rsid w:val="00E154EE"/>
    <w:rsid w:val="00E16378"/>
    <w:rsid w:val="00E17DEE"/>
    <w:rsid w:val="00E2055B"/>
    <w:rsid w:val="00E22294"/>
    <w:rsid w:val="00E236DD"/>
    <w:rsid w:val="00E24D8D"/>
    <w:rsid w:val="00E26801"/>
    <w:rsid w:val="00E2704E"/>
    <w:rsid w:val="00E2721B"/>
    <w:rsid w:val="00E2753A"/>
    <w:rsid w:val="00E2795C"/>
    <w:rsid w:val="00E30C7A"/>
    <w:rsid w:val="00E31912"/>
    <w:rsid w:val="00E31A9C"/>
    <w:rsid w:val="00E32222"/>
    <w:rsid w:val="00E322C2"/>
    <w:rsid w:val="00E33C8E"/>
    <w:rsid w:val="00E34F67"/>
    <w:rsid w:val="00E35244"/>
    <w:rsid w:val="00E35F29"/>
    <w:rsid w:val="00E4024B"/>
    <w:rsid w:val="00E4074E"/>
    <w:rsid w:val="00E4090E"/>
    <w:rsid w:val="00E40E8A"/>
    <w:rsid w:val="00E42DB0"/>
    <w:rsid w:val="00E4629E"/>
    <w:rsid w:val="00E4662A"/>
    <w:rsid w:val="00E46A29"/>
    <w:rsid w:val="00E47452"/>
    <w:rsid w:val="00E47F75"/>
    <w:rsid w:val="00E502C6"/>
    <w:rsid w:val="00E513F3"/>
    <w:rsid w:val="00E52566"/>
    <w:rsid w:val="00E52750"/>
    <w:rsid w:val="00E52C28"/>
    <w:rsid w:val="00E53848"/>
    <w:rsid w:val="00E54593"/>
    <w:rsid w:val="00E5477F"/>
    <w:rsid w:val="00E54883"/>
    <w:rsid w:val="00E561EE"/>
    <w:rsid w:val="00E5688E"/>
    <w:rsid w:val="00E57F50"/>
    <w:rsid w:val="00E603F8"/>
    <w:rsid w:val="00E611E7"/>
    <w:rsid w:val="00E61B1C"/>
    <w:rsid w:val="00E627CC"/>
    <w:rsid w:val="00E64B31"/>
    <w:rsid w:val="00E65AA8"/>
    <w:rsid w:val="00E713C3"/>
    <w:rsid w:val="00E71CFE"/>
    <w:rsid w:val="00E729D1"/>
    <w:rsid w:val="00E72A6C"/>
    <w:rsid w:val="00E72EA2"/>
    <w:rsid w:val="00E732E8"/>
    <w:rsid w:val="00E746A4"/>
    <w:rsid w:val="00E750D0"/>
    <w:rsid w:val="00E766A4"/>
    <w:rsid w:val="00E76A27"/>
    <w:rsid w:val="00E7792E"/>
    <w:rsid w:val="00E80F4A"/>
    <w:rsid w:val="00E8296A"/>
    <w:rsid w:val="00E845CF"/>
    <w:rsid w:val="00E902DC"/>
    <w:rsid w:val="00E9094E"/>
    <w:rsid w:val="00E912C7"/>
    <w:rsid w:val="00E9138B"/>
    <w:rsid w:val="00E91814"/>
    <w:rsid w:val="00E92709"/>
    <w:rsid w:val="00E94AF1"/>
    <w:rsid w:val="00E94D19"/>
    <w:rsid w:val="00E95429"/>
    <w:rsid w:val="00E975A6"/>
    <w:rsid w:val="00EA28BF"/>
    <w:rsid w:val="00EA28D5"/>
    <w:rsid w:val="00EA2F62"/>
    <w:rsid w:val="00EA4627"/>
    <w:rsid w:val="00EA4811"/>
    <w:rsid w:val="00EA55B3"/>
    <w:rsid w:val="00EA6641"/>
    <w:rsid w:val="00EB1EB4"/>
    <w:rsid w:val="00EB1EFB"/>
    <w:rsid w:val="00EB2BF5"/>
    <w:rsid w:val="00EB2DA4"/>
    <w:rsid w:val="00EB3023"/>
    <w:rsid w:val="00EB3E7E"/>
    <w:rsid w:val="00EB5639"/>
    <w:rsid w:val="00EC06E1"/>
    <w:rsid w:val="00EC0CA7"/>
    <w:rsid w:val="00EC0E09"/>
    <w:rsid w:val="00EC190E"/>
    <w:rsid w:val="00EC2788"/>
    <w:rsid w:val="00EC2A45"/>
    <w:rsid w:val="00EC33A1"/>
    <w:rsid w:val="00EC411A"/>
    <w:rsid w:val="00ED122A"/>
    <w:rsid w:val="00ED1767"/>
    <w:rsid w:val="00ED3168"/>
    <w:rsid w:val="00ED5937"/>
    <w:rsid w:val="00ED656B"/>
    <w:rsid w:val="00ED693F"/>
    <w:rsid w:val="00EE09E2"/>
    <w:rsid w:val="00EE4574"/>
    <w:rsid w:val="00EE4AF9"/>
    <w:rsid w:val="00EE54FB"/>
    <w:rsid w:val="00EE589A"/>
    <w:rsid w:val="00EE60FE"/>
    <w:rsid w:val="00EE6264"/>
    <w:rsid w:val="00EE7B2F"/>
    <w:rsid w:val="00EE7CB3"/>
    <w:rsid w:val="00EF0020"/>
    <w:rsid w:val="00EF0EF4"/>
    <w:rsid w:val="00EF201E"/>
    <w:rsid w:val="00EF2637"/>
    <w:rsid w:val="00EF29C5"/>
    <w:rsid w:val="00EF573B"/>
    <w:rsid w:val="00EF5DD2"/>
    <w:rsid w:val="00EF6183"/>
    <w:rsid w:val="00EF7BB3"/>
    <w:rsid w:val="00F05A84"/>
    <w:rsid w:val="00F05D98"/>
    <w:rsid w:val="00F05DAB"/>
    <w:rsid w:val="00F060B7"/>
    <w:rsid w:val="00F07615"/>
    <w:rsid w:val="00F077B8"/>
    <w:rsid w:val="00F10C7A"/>
    <w:rsid w:val="00F12EDC"/>
    <w:rsid w:val="00F14A0D"/>
    <w:rsid w:val="00F14A4D"/>
    <w:rsid w:val="00F2007D"/>
    <w:rsid w:val="00F20E24"/>
    <w:rsid w:val="00F23829"/>
    <w:rsid w:val="00F26307"/>
    <w:rsid w:val="00F2705D"/>
    <w:rsid w:val="00F27721"/>
    <w:rsid w:val="00F27728"/>
    <w:rsid w:val="00F27F1C"/>
    <w:rsid w:val="00F30E04"/>
    <w:rsid w:val="00F32160"/>
    <w:rsid w:val="00F32DDF"/>
    <w:rsid w:val="00F32FC6"/>
    <w:rsid w:val="00F33463"/>
    <w:rsid w:val="00F33709"/>
    <w:rsid w:val="00F33B13"/>
    <w:rsid w:val="00F3473A"/>
    <w:rsid w:val="00F3633B"/>
    <w:rsid w:val="00F3636E"/>
    <w:rsid w:val="00F371C0"/>
    <w:rsid w:val="00F400AD"/>
    <w:rsid w:val="00F40D4B"/>
    <w:rsid w:val="00F42803"/>
    <w:rsid w:val="00F431F9"/>
    <w:rsid w:val="00F44204"/>
    <w:rsid w:val="00F442C8"/>
    <w:rsid w:val="00F4594A"/>
    <w:rsid w:val="00F4627B"/>
    <w:rsid w:val="00F4630A"/>
    <w:rsid w:val="00F4648A"/>
    <w:rsid w:val="00F4742C"/>
    <w:rsid w:val="00F47576"/>
    <w:rsid w:val="00F5074C"/>
    <w:rsid w:val="00F5084C"/>
    <w:rsid w:val="00F50BF2"/>
    <w:rsid w:val="00F512A8"/>
    <w:rsid w:val="00F540F7"/>
    <w:rsid w:val="00F553CE"/>
    <w:rsid w:val="00F60EB7"/>
    <w:rsid w:val="00F621D4"/>
    <w:rsid w:val="00F6372D"/>
    <w:rsid w:val="00F646E3"/>
    <w:rsid w:val="00F653C8"/>
    <w:rsid w:val="00F6642C"/>
    <w:rsid w:val="00F673BA"/>
    <w:rsid w:val="00F67856"/>
    <w:rsid w:val="00F7044C"/>
    <w:rsid w:val="00F72E08"/>
    <w:rsid w:val="00F74E01"/>
    <w:rsid w:val="00F75A3E"/>
    <w:rsid w:val="00F76BB7"/>
    <w:rsid w:val="00F76FA2"/>
    <w:rsid w:val="00F81AD7"/>
    <w:rsid w:val="00F8510A"/>
    <w:rsid w:val="00F86022"/>
    <w:rsid w:val="00F86BC3"/>
    <w:rsid w:val="00F86BF2"/>
    <w:rsid w:val="00F87380"/>
    <w:rsid w:val="00F90532"/>
    <w:rsid w:val="00F91048"/>
    <w:rsid w:val="00F91D77"/>
    <w:rsid w:val="00F92DA3"/>
    <w:rsid w:val="00F93BE1"/>
    <w:rsid w:val="00F9406D"/>
    <w:rsid w:val="00F94BF9"/>
    <w:rsid w:val="00F97308"/>
    <w:rsid w:val="00FA1ADB"/>
    <w:rsid w:val="00FA1D30"/>
    <w:rsid w:val="00FA2767"/>
    <w:rsid w:val="00FA301D"/>
    <w:rsid w:val="00FA4403"/>
    <w:rsid w:val="00FA60BB"/>
    <w:rsid w:val="00FA6266"/>
    <w:rsid w:val="00FA6D73"/>
    <w:rsid w:val="00FB0E47"/>
    <w:rsid w:val="00FB1121"/>
    <w:rsid w:val="00FB18DA"/>
    <w:rsid w:val="00FB35AB"/>
    <w:rsid w:val="00FB5358"/>
    <w:rsid w:val="00FB60DD"/>
    <w:rsid w:val="00FC04C1"/>
    <w:rsid w:val="00FC2215"/>
    <w:rsid w:val="00FC262C"/>
    <w:rsid w:val="00FC4967"/>
    <w:rsid w:val="00FC738E"/>
    <w:rsid w:val="00FC7EA9"/>
    <w:rsid w:val="00FD1E8E"/>
    <w:rsid w:val="00FD4A68"/>
    <w:rsid w:val="00FD5D77"/>
    <w:rsid w:val="00FD5FF6"/>
    <w:rsid w:val="00FD6536"/>
    <w:rsid w:val="00FD7105"/>
    <w:rsid w:val="00FD7DE3"/>
    <w:rsid w:val="00FE008A"/>
    <w:rsid w:val="00FE2642"/>
    <w:rsid w:val="00FE3208"/>
    <w:rsid w:val="00FE4417"/>
    <w:rsid w:val="00FE5455"/>
    <w:rsid w:val="00FE7073"/>
    <w:rsid w:val="00FE7263"/>
    <w:rsid w:val="00FE7585"/>
    <w:rsid w:val="00FE7CE4"/>
    <w:rsid w:val="00FF31AC"/>
    <w:rsid w:val="00FF322B"/>
    <w:rsid w:val="00FF3401"/>
    <w:rsid w:val="00FF4A67"/>
    <w:rsid w:val="00FF5422"/>
    <w:rsid w:val="00FF5673"/>
    <w:rsid w:val="00FF5736"/>
    <w:rsid w:val="00FF58FD"/>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2"/>
    <o:shapelayout v:ext="edit">
      <o:idmap v:ext="edit" data="1"/>
    </o:shapelayout>
  </w:shapeDefaults>
  <w:decimalSymbol w:val="."/>
  <w:listSeparator w:val=","/>
  <w14:docId w14:val="7A111D8C"/>
  <w15:docId w15:val="{5C758134-877F-4310-B8C4-5EE90C307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403D"/>
  </w:style>
  <w:style w:type="paragraph" w:styleId="Heading1">
    <w:name w:val="heading 1"/>
    <w:basedOn w:val="H1"/>
    <w:next w:val="Normal"/>
    <w:link w:val="Heading1Char"/>
    <w:uiPriority w:val="9"/>
    <w:qFormat/>
    <w:rsid w:val="00563D0F"/>
    <w:pPr>
      <w:numPr>
        <w:numId w:val="11"/>
      </w:numPr>
      <w:ind w:left="1134" w:hanging="1134"/>
      <w:outlineLvl w:val="0"/>
    </w:pPr>
  </w:style>
  <w:style w:type="paragraph" w:styleId="Heading2">
    <w:name w:val="heading 2"/>
    <w:basedOn w:val="H2"/>
    <w:next w:val="Normal"/>
    <w:link w:val="Heading2Char"/>
    <w:uiPriority w:val="9"/>
    <w:unhideWhenUsed/>
    <w:qFormat/>
    <w:rsid w:val="003353E4"/>
    <w:pPr>
      <w:keepNext/>
      <w:numPr>
        <w:ilvl w:val="1"/>
        <w:numId w:val="11"/>
      </w:numPr>
      <w:ind w:left="1134" w:hanging="1134"/>
      <w:outlineLvl w:val="1"/>
    </w:pPr>
  </w:style>
  <w:style w:type="paragraph" w:styleId="Heading3">
    <w:name w:val="heading 3"/>
    <w:basedOn w:val="Heading2"/>
    <w:next w:val="Normal"/>
    <w:link w:val="Heading3Char"/>
    <w:uiPriority w:val="9"/>
    <w:unhideWhenUsed/>
    <w:qFormat/>
    <w:rsid w:val="003353E4"/>
    <w:pPr>
      <w:numPr>
        <w:ilvl w:val="2"/>
      </w:numPr>
      <w:ind w:left="1134" w:hanging="1134"/>
      <w:outlineLvl w:val="2"/>
    </w:pPr>
    <w:rPr>
      <w:color w:val="486886"/>
      <w:sz w:val="22"/>
      <w:szCs w:val="22"/>
    </w:rPr>
  </w:style>
  <w:style w:type="paragraph" w:styleId="Heading4">
    <w:name w:val="heading 4"/>
    <w:basedOn w:val="Normal"/>
    <w:next w:val="Normal"/>
    <w:link w:val="Heading4Char"/>
    <w:uiPriority w:val="9"/>
    <w:unhideWhenUsed/>
    <w:qFormat/>
    <w:rsid w:val="005072A9"/>
    <w:pPr>
      <w:keepNext/>
      <w:keepLines/>
      <w:spacing w:before="200" w:after="0"/>
      <w:outlineLvl w:val="3"/>
    </w:pPr>
    <w:rPr>
      <w:rFonts w:asciiTheme="majorHAnsi" w:eastAsiaTheme="majorEastAsia" w:hAnsiTheme="majorHAnsi" w:cstheme="majorBidi"/>
      <w:b/>
      <w:bCs/>
      <w:i/>
      <w:iCs/>
      <w:color w:val="00A9CE"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3D0F"/>
    <w:rPr>
      <w:rFonts w:ascii="Calibri-Bold" w:hAnsi="Calibri-Bold" w:cs="Calibri-Bold"/>
      <w:b/>
      <w:bCs/>
      <w:color w:val="00AEEF"/>
      <w:sz w:val="48"/>
      <w:szCs w:val="48"/>
      <w:lang w:val="en-GB"/>
    </w:rPr>
  </w:style>
  <w:style w:type="paragraph" w:customStyle="1" w:styleId="Head1Headingstyles">
    <w:name w:val="Head_1 (Heading styles)"/>
    <w:basedOn w:val="Normal"/>
    <w:uiPriority w:val="99"/>
    <w:rsid w:val="00DA4153"/>
    <w:pPr>
      <w:widowControl w:val="0"/>
      <w:suppressAutoHyphens/>
      <w:autoSpaceDE w:val="0"/>
      <w:autoSpaceDN w:val="0"/>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utoSpaceDE w:val="0"/>
      <w:autoSpaceDN w:val="0"/>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link w:val="BodyTextstylesChar"/>
    <w:uiPriority w:val="99"/>
    <w:rsid w:val="00DA4153"/>
    <w:pPr>
      <w:widowControl w:val="0"/>
      <w:suppressAutoHyphens/>
      <w:autoSpaceDE w:val="0"/>
      <w:autoSpaceDN w:val="0"/>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utoSpaceDE w:val="0"/>
      <w:autoSpaceDN w:val="0"/>
      <w:adjustRightInd w:val="0"/>
      <w:spacing w:before="170" w:after="57" w:line="288" w:lineRule="auto"/>
      <w:textAlignment w:val="center"/>
    </w:pPr>
    <w:rPr>
      <w:rFonts w:ascii="Calibri-Bold" w:hAnsi="Calibri-Bold" w:cs="Calibri-Bold"/>
      <w:b/>
      <w:bCs/>
      <w:color w:val="32D1FF"/>
      <w:sz w:val="22"/>
      <w:szCs w:val="22"/>
      <w:lang w:val="en-GB"/>
    </w:rPr>
  </w:style>
  <w:style w:type="paragraph" w:customStyle="1" w:styleId="BulletTextstyles">
    <w:name w:val="Bullet (Text styles)"/>
    <w:basedOn w:val="Normal"/>
    <w:uiPriority w:val="99"/>
    <w:rsid w:val="00DA4153"/>
    <w:pPr>
      <w:widowControl w:val="0"/>
      <w:suppressAutoHyphens/>
      <w:autoSpaceDE w:val="0"/>
      <w:autoSpaceDN w:val="0"/>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uiPriority w:val="99"/>
    <w:rsid w:val="00DA4153"/>
    <w:pPr>
      <w:widowControl w:val="0"/>
      <w:autoSpaceDE w:val="0"/>
      <w:autoSpaceDN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unhideWhenUsed/>
    <w:rsid w:val="00BB2E86"/>
    <w:pPr>
      <w:tabs>
        <w:tab w:val="center" w:pos="4320"/>
        <w:tab w:val="right" w:pos="8640"/>
      </w:tabs>
      <w:spacing w:after="0"/>
    </w:pPr>
  </w:style>
  <w:style w:type="paragraph" w:customStyle="1" w:styleId="H1">
    <w:name w:val="H1"/>
    <w:basedOn w:val="Head1Headingstyles"/>
    <w:qFormat/>
    <w:rsid w:val="007603CF"/>
    <w:rPr>
      <w:color w:val="00AEEF"/>
    </w:rPr>
  </w:style>
  <w:style w:type="paragraph" w:customStyle="1" w:styleId="H2">
    <w:name w:val="H2"/>
    <w:basedOn w:val="H1"/>
    <w:qFormat/>
    <w:rsid w:val="00B45818"/>
    <w:pPr>
      <w:spacing w:before="228" w:after="114"/>
    </w:pPr>
    <w:rPr>
      <w:sz w:val="30"/>
      <w:szCs w:val="30"/>
    </w:rPr>
  </w:style>
  <w:style w:type="paragraph" w:customStyle="1" w:styleId="H3">
    <w:name w:val="H3"/>
    <w:basedOn w:val="H2"/>
    <w:qFormat/>
    <w:rsid w:val="00B45818"/>
    <w:pPr>
      <w:spacing w:before="170" w:after="58"/>
    </w:pPr>
    <w:rPr>
      <w:color w:val="486886"/>
      <w:sz w:val="22"/>
    </w:rPr>
  </w:style>
  <w:style w:type="paragraph" w:customStyle="1" w:styleId="Body">
    <w:name w:val="Body"/>
    <w:basedOn w:val="BodyTextstyles"/>
    <w:link w:val="BodyChar"/>
    <w:qFormat/>
    <w:rsid w:val="008A55D0"/>
    <w:pPr>
      <w:widowControl/>
    </w:pPr>
  </w:style>
  <w:style w:type="paragraph" w:customStyle="1" w:styleId="Bullet">
    <w:name w:val="Bullet"/>
    <w:basedOn w:val="BulletTextstyles"/>
    <w:uiPriority w:val="99"/>
    <w:qFormat/>
    <w:rsid w:val="00DA4153"/>
  </w:style>
  <w:style w:type="character" w:customStyle="1" w:styleId="HeaderChar">
    <w:name w:val="Header Char"/>
    <w:basedOn w:val="DefaultParagraphFont"/>
    <w:link w:val="Header"/>
    <w:uiPriority w:val="99"/>
    <w:rsid w:val="00BB2E86"/>
  </w:style>
  <w:style w:type="paragraph" w:styleId="Footer">
    <w:name w:val="footer"/>
    <w:basedOn w:val="Normal"/>
    <w:link w:val="FooterChar"/>
    <w:uiPriority w:val="99"/>
    <w:unhideWhenUsed/>
    <w:qFormat/>
    <w:rsid w:val="00BB2E86"/>
    <w:pPr>
      <w:tabs>
        <w:tab w:val="center" w:pos="4320"/>
        <w:tab w:val="right" w:pos="8640"/>
      </w:tabs>
      <w:spacing w:after="0"/>
    </w:pPr>
  </w:style>
  <w:style w:type="character" w:customStyle="1" w:styleId="FooterChar">
    <w:name w:val="Footer Char"/>
    <w:basedOn w:val="DefaultParagraphFont"/>
    <w:link w:val="Footer"/>
    <w:uiPriority w:val="99"/>
    <w:rsid w:val="00BB2E86"/>
  </w:style>
  <w:style w:type="paragraph" w:styleId="BalloonText">
    <w:name w:val="Balloon Text"/>
    <w:basedOn w:val="Normal"/>
    <w:link w:val="BalloonTextChar"/>
    <w:uiPriority w:val="99"/>
    <w:semiHidden/>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2D80"/>
    <w:rPr>
      <w:rFonts w:ascii="Lucida Grande" w:hAnsi="Lucida Grande" w:cs="Lucida Grande"/>
      <w:sz w:val="18"/>
      <w:szCs w:val="18"/>
    </w:rPr>
  </w:style>
  <w:style w:type="character" w:styleId="PageNumber">
    <w:name w:val="page number"/>
    <w:basedOn w:val="DefaultParagraphFont"/>
    <w:uiPriority w:val="99"/>
    <w:semiHidden/>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utoSpaceDE w:val="0"/>
      <w:autoSpaceDN w:val="0"/>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Body"/>
    <w:qFormat/>
    <w:rsid w:val="00ED693F"/>
    <w:pPr>
      <w:pBdr>
        <w:top w:val="single" w:sz="4" w:space="1" w:color="auto"/>
      </w:pBdr>
      <w:spacing w:line="240" w:lineRule="auto"/>
    </w:pPr>
    <w:rPr>
      <w:i/>
      <w:sz w:val="14"/>
      <w:szCs w:val="14"/>
    </w:rPr>
  </w:style>
  <w:style w:type="paragraph" w:styleId="TOCHeading">
    <w:name w:val="TOC Heading"/>
    <w:basedOn w:val="Heading1"/>
    <w:next w:val="Normal"/>
    <w:uiPriority w:val="39"/>
    <w:unhideWhenUsed/>
    <w:qFormat/>
    <w:rsid w:val="00E8296A"/>
    <w:pPr>
      <w:spacing w:line="276" w:lineRule="auto"/>
      <w:outlineLvl w:val="9"/>
    </w:pPr>
    <w:rPr>
      <w:color w:val="007E9A" w:themeColor="accent1" w:themeShade="BF"/>
      <w:sz w:val="28"/>
      <w:szCs w:val="28"/>
      <w:lang w:eastAsia="en-US"/>
    </w:rPr>
  </w:style>
  <w:style w:type="character" w:customStyle="1" w:styleId="Heading2Char">
    <w:name w:val="Heading 2 Char"/>
    <w:basedOn w:val="DefaultParagraphFont"/>
    <w:link w:val="Heading2"/>
    <w:uiPriority w:val="9"/>
    <w:rsid w:val="003353E4"/>
    <w:rPr>
      <w:rFonts w:ascii="Calibri-Bold" w:hAnsi="Calibri-Bold" w:cs="Calibri-Bold"/>
      <w:b/>
      <w:bCs/>
      <w:color w:val="00AEEF"/>
      <w:sz w:val="30"/>
      <w:szCs w:val="30"/>
      <w:lang w:val="en-GB"/>
    </w:rPr>
  </w:style>
  <w:style w:type="character" w:customStyle="1" w:styleId="Heading3Char">
    <w:name w:val="Heading 3 Char"/>
    <w:basedOn w:val="DefaultParagraphFont"/>
    <w:link w:val="Heading3"/>
    <w:uiPriority w:val="9"/>
    <w:rsid w:val="003353E4"/>
    <w:rPr>
      <w:rFonts w:ascii="Calibri-Bold" w:hAnsi="Calibri-Bold" w:cs="Calibri-Bold"/>
      <w:b/>
      <w:bCs/>
      <w:color w:val="486886"/>
      <w:sz w:val="22"/>
      <w:szCs w:val="22"/>
      <w:lang w:val="en-GB"/>
    </w:rPr>
  </w:style>
  <w:style w:type="paragraph" w:styleId="TOC1">
    <w:name w:val="toc 1"/>
    <w:basedOn w:val="Normal"/>
    <w:next w:val="Normal"/>
    <w:autoRedefine/>
    <w:uiPriority w:val="39"/>
    <w:unhideWhenUsed/>
    <w:qFormat/>
    <w:rsid w:val="00550D47"/>
    <w:pPr>
      <w:tabs>
        <w:tab w:val="right" w:leader="dot" w:pos="9054"/>
      </w:tabs>
      <w:spacing w:before="240" w:after="60"/>
      <w:ind w:left="1134" w:hanging="1134"/>
    </w:pPr>
    <w:rPr>
      <w:rFonts w:ascii="Calibri" w:hAnsi="Calibri"/>
      <w:b/>
      <w:sz w:val="18"/>
    </w:rPr>
  </w:style>
  <w:style w:type="paragraph" w:styleId="TOC2">
    <w:name w:val="toc 2"/>
    <w:basedOn w:val="Normal"/>
    <w:next w:val="Normal"/>
    <w:autoRedefine/>
    <w:uiPriority w:val="39"/>
    <w:unhideWhenUsed/>
    <w:qFormat/>
    <w:rsid w:val="007603CF"/>
    <w:pPr>
      <w:tabs>
        <w:tab w:val="right" w:leader="dot" w:pos="9054"/>
      </w:tabs>
      <w:spacing w:after="60"/>
      <w:ind w:left="1701" w:hanging="1701"/>
    </w:pPr>
    <w:rPr>
      <w:rFonts w:ascii="Calibri" w:hAnsi="Calibri"/>
      <w:sz w:val="18"/>
    </w:rPr>
  </w:style>
  <w:style w:type="paragraph" w:styleId="TOC3">
    <w:name w:val="toc 3"/>
    <w:basedOn w:val="Normal"/>
    <w:next w:val="Normal"/>
    <w:autoRedefine/>
    <w:uiPriority w:val="39"/>
    <w:unhideWhenUsed/>
    <w:qFormat/>
    <w:rsid w:val="007603CF"/>
    <w:pPr>
      <w:spacing w:after="60"/>
      <w:ind w:left="2268" w:hanging="2268"/>
    </w:pPr>
    <w:rPr>
      <w:rFonts w:ascii="Calibri" w:hAnsi="Calibri"/>
      <w:sz w:val="18"/>
    </w:rPr>
  </w:style>
  <w:style w:type="character" w:styleId="Hyperlink">
    <w:name w:val="Hyperlink"/>
    <w:basedOn w:val="DefaultParagraphFont"/>
    <w:uiPriority w:val="99"/>
    <w:unhideWhenUsed/>
    <w:rsid w:val="00160E71"/>
    <w:rPr>
      <w:color w:val="41B6E6" w:themeColor="hyperlink"/>
      <w:u w:val="single"/>
    </w:rPr>
  </w:style>
  <w:style w:type="paragraph" w:styleId="Title">
    <w:name w:val="Title"/>
    <w:basedOn w:val="Normal"/>
    <w:next w:val="Normal"/>
    <w:link w:val="TitleChar"/>
    <w:uiPriority w:val="10"/>
    <w:qFormat/>
    <w:rsid w:val="003E3108"/>
    <w:pPr>
      <w:pBdr>
        <w:bottom w:val="single" w:sz="8" w:space="4" w:color="00A9CE"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3E3108"/>
    <w:rPr>
      <w:rFonts w:asciiTheme="majorHAnsi" w:eastAsiaTheme="majorEastAsia" w:hAnsiTheme="majorHAnsi" w:cstheme="majorBidi"/>
      <w:color w:val="000000" w:themeColor="text2" w:themeShade="BF"/>
      <w:spacing w:val="5"/>
      <w:kern w:val="28"/>
      <w:sz w:val="52"/>
      <w:szCs w:val="52"/>
    </w:rPr>
  </w:style>
  <w:style w:type="table" w:styleId="TableGrid">
    <w:name w:val="Table Grid"/>
    <w:basedOn w:val="TableNormal"/>
    <w:uiPriority w:val="59"/>
    <w:rsid w:val="00764BD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B18DA"/>
    <w:rPr>
      <w:color w:val="808080"/>
    </w:rPr>
  </w:style>
  <w:style w:type="paragraph" w:customStyle="1" w:styleId="EndNoteBibliographyTitle">
    <w:name w:val="EndNote Bibliography Title"/>
    <w:basedOn w:val="Normal"/>
    <w:link w:val="EndNoteBibliographyTitleChar"/>
    <w:rsid w:val="00AA06BD"/>
    <w:pPr>
      <w:spacing w:after="0"/>
      <w:jc w:val="center"/>
    </w:pPr>
    <w:rPr>
      <w:rFonts w:ascii="Calibri" w:hAnsi="Calibri"/>
      <w:noProof/>
      <w:sz w:val="18"/>
    </w:rPr>
  </w:style>
  <w:style w:type="character" w:customStyle="1" w:styleId="BodyTextstylesChar">
    <w:name w:val="Body (Text styles) Char"/>
    <w:basedOn w:val="DefaultParagraphFont"/>
    <w:link w:val="BodyTextstyles"/>
    <w:uiPriority w:val="99"/>
    <w:rsid w:val="00AA06BD"/>
    <w:rPr>
      <w:rFonts w:ascii="Calibri" w:hAnsi="Calibri" w:cs="Calibri"/>
      <w:color w:val="000000"/>
      <w:sz w:val="18"/>
      <w:szCs w:val="18"/>
      <w:lang w:val="en-GB"/>
    </w:rPr>
  </w:style>
  <w:style w:type="character" w:customStyle="1" w:styleId="BodyChar">
    <w:name w:val="Body Char"/>
    <w:basedOn w:val="BodyTextstylesChar"/>
    <w:link w:val="Body"/>
    <w:rsid w:val="008A55D0"/>
    <w:rPr>
      <w:rFonts w:ascii="Calibri" w:hAnsi="Calibri" w:cs="Calibri"/>
      <w:color w:val="000000"/>
      <w:sz w:val="18"/>
      <w:szCs w:val="18"/>
      <w:lang w:val="en-GB"/>
    </w:rPr>
  </w:style>
  <w:style w:type="character" w:customStyle="1" w:styleId="EndNoteBibliographyTitleChar">
    <w:name w:val="EndNote Bibliography Title Char"/>
    <w:basedOn w:val="BodyChar"/>
    <w:link w:val="EndNoteBibliographyTitle"/>
    <w:rsid w:val="00AA06BD"/>
    <w:rPr>
      <w:rFonts w:ascii="Calibri" w:hAnsi="Calibri" w:cs="Calibri"/>
      <w:noProof/>
      <w:color w:val="000000"/>
      <w:sz w:val="18"/>
      <w:szCs w:val="18"/>
      <w:lang w:val="en-GB"/>
    </w:rPr>
  </w:style>
  <w:style w:type="paragraph" w:customStyle="1" w:styleId="EndNoteBibliography">
    <w:name w:val="EndNote Bibliography"/>
    <w:basedOn w:val="Normal"/>
    <w:link w:val="EndNoteBibliographyChar"/>
    <w:rsid w:val="00AA06BD"/>
    <w:rPr>
      <w:rFonts w:ascii="Calibri" w:hAnsi="Calibri"/>
      <w:noProof/>
      <w:sz w:val="18"/>
    </w:rPr>
  </w:style>
  <w:style w:type="character" w:customStyle="1" w:styleId="EndNoteBibliographyChar">
    <w:name w:val="EndNote Bibliography Char"/>
    <w:basedOn w:val="BodyChar"/>
    <w:link w:val="EndNoteBibliography"/>
    <w:rsid w:val="00AA06BD"/>
    <w:rPr>
      <w:rFonts w:ascii="Calibri" w:hAnsi="Calibri" w:cs="Calibri"/>
      <w:noProof/>
      <w:color w:val="000000"/>
      <w:sz w:val="18"/>
      <w:szCs w:val="18"/>
      <w:lang w:val="en-GB"/>
    </w:rPr>
  </w:style>
  <w:style w:type="table" w:customStyle="1" w:styleId="LightList1">
    <w:name w:val="Light List1"/>
    <w:basedOn w:val="TableNormal"/>
    <w:uiPriority w:val="61"/>
    <w:rsid w:val="00A12380"/>
    <w:pPr>
      <w:spacing w:after="0"/>
    </w:pPr>
    <w:rPr>
      <w:rFonts w:eastAsia="Calibri"/>
      <w:sz w:val="22"/>
      <w:szCs w:val="22"/>
      <w:lang w:val="en-AU"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CommentReference">
    <w:name w:val="annotation reference"/>
    <w:basedOn w:val="DefaultParagraphFont"/>
    <w:uiPriority w:val="99"/>
    <w:unhideWhenUsed/>
    <w:rsid w:val="00EC0E09"/>
    <w:rPr>
      <w:sz w:val="16"/>
      <w:szCs w:val="16"/>
    </w:rPr>
  </w:style>
  <w:style w:type="paragraph" w:styleId="CommentText">
    <w:name w:val="annotation text"/>
    <w:aliases w:val="CT-DO NOT USE"/>
    <w:basedOn w:val="Normal"/>
    <w:link w:val="CommentTextChar"/>
    <w:uiPriority w:val="99"/>
    <w:unhideWhenUsed/>
    <w:rsid w:val="00EC0E09"/>
    <w:rPr>
      <w:sz w:val="20"/>
      <w:szCs w:val="20"/>
    </w:rPr>
  </w:style>
  <w:style w:type="character" w:customStyle="1" w:styleId="CommentTextChar">
    <w:name w:val="Comment Text Char"/>
    <w:aliases w:val="CT-DO NOT USE Char"/>
    <w:basedOn w:val="DefaultParagraphFont"/>
    <w:link w:val="CommentText"/>
    <w:uiPriority w:val="99"/>
    <w:rsid w:val="00EC0E09"/>
    <w:rPr>
      <w:sz w:val="20"/>
      <w:szCs w:val="20"/>
    </w:rPr>
  </w:style>
  <w:style w:type="paragraph" w:styleId="CommentSubject">
    <w:name w:val="annotation subject"/>
    <w:basedOn w:val="CommentText"/>
    <w:next w:val="CommentText"/>
    <w:link w:val="CommentSubjectChar"/>
    <w:uiPriority w:val="99"/>
    <w:semiHidden/>
    <w:unhideWhenUsed/>
    <w:rsid w:val="00EC0E09"/>
    <w:rPr>
      <w:b/>
      <w:bCs/>
    </w:rPr>
  </w:style>
  <w:style w:type="character" w:customStyle="1" w:styleId="CommentSubjectChar">
    <w:name w:val="Comment Subject Char"/>
    <w:basedOn w:val="CommentTextChar"/>
    <w:link w:val="CommentSubject"/>
    <w:uiPriority w:val="99"/>
    <w:semiHidden/>
    <w:rsid w:val="00EC0E09"/>
    <w:rPr>
      <w:b/>
      <w:bCs/>
      <w:sz w:val="20"/>
      <w:szCs w:val="20"/>
    </w:rPr>
  </w:style>
  <w:style w:type="paragraph" w:customStyle="1" w:styleId="OWSNormal11pt">
    <w:name w:val="OWS Normal 11pt"/>
    <w:basedOn w:val="Normal"/>
    <w:link w:val="OWSNormal11ptChar"/>
    <w:qFormat/>
    <w:rsid w:val="00D65469"/>
    <w:pPr>
      <w:autoSpaceDE w:val="0"/>
      <w:autoSpaceDN w:val="0"/>
      <w:spacing w:before="200"/>
    </w:pPr>
    <w:rPr>
      <w:rFonts w:ascii="Arial" w:hAnsi="Arial" w:cs="Arial"/>
      <w:color w:val="000000"/>
      <w:sz w:val="22"/>
      <w:szCs w:val="22"/>
      <w:lang w:val="en-AU"/>
    </w:rPr>
  </w:style>
  <w:style w:type="character" w:customStyle="1" w:styleId="OWSNormal11ptChar">
    <w:name w:val="OWS Normal 11pt Char"/>
    <w:basedOn w:val="DefaultParagraphFont"/>
    <w:link w:val="OWSNormal11pt"/>
    <w:rsid w:val="00D65469"/>
    <w:rPr>
      <w:rFonts w:ascii="Arial" w:hAnsi="Arial" w:cs="Arial"/>
      <w:color w:val="000000"/>
      <w:sz w:val="22"/>
      <w:szCs w:val="22"/>
      <w:lang w:val="en-AU"/>
    </w:rPr>
  </w:style>
  <w:style w:type="paragraph" w:customStyle="1" w:styleId="OWStablecaption">
    <w:name w:val="OWS table caption"/>
    <w:basedOn w:val="Normal"/>
    <w:link w:val="OWStablecaptionChar"/>
    <w:qFormat/>
    <w:rsid w:val="00D65469"/>
    <w:pPr>
      <w:keepNext/>
      <w:keepLines/>
      <w:autoSpaceDE w:val="0"/>
      <w:autoSpaceDN w:val="0"/>
      <w:spacing w:before="360" w:after="120"/>
    </w:pPr>
    <w:rPr>
      <w:rFonts w:ascii="Arial" w:eastAsia="Times New Roman" w:hAnsi="Arial" w:cs="Times New Roman"/>
      <w:sz w:val="20"/>
      <w:szCs w:val="20"/>
      <w:lang w:val="en-GB" w:eastAsia="en-US"/>
    </w:rPr>
  </w:style>
  <w:style w:type="character" w:customStyle="1" w:styleId="OWStablecaptionChar">
    <w:name w:val="OWS table caption Char"/>
    <w:basedOn w:val="DefaultParagraphFont"/>
    <w:link w:val="OWStablecaption"/>
    <w:rsid w:val="00D65469"/>
    <w:rPr>
      <w:rFonts w:ascii="Arial" w:eastAsia="Times New Roman" w:hAnsi="Arial" w:cs="Times New Roman"/>
      <w:sz w:val="20"/>
      <w:szCs w:val="20"/>
      <w:lang w:val="en-GB" w:eastAsia="en-US"/>
    </w:rPr>
  </w:style>
  <w:style w:type="paragraph" w:customStyle="1" w:styleId="OWSnumberedlistL1">
    <w:name w:val="OWS numbered list L1"/>
    <w:basedOn w:val="Normal"/>
    <w:link w:val="OWSnumberedlistL1Char"/>
    <w:qFormat/>
    <w:rsid w:val="00D65469"/>
    <w:pPr>
      <w:numPr>
        <w:numId w:val="35"/>
      </w:numPr>
      <w:autoSpaceDE w:val="0"/>
      <w:autoSpaceDN w:val="0"/>
      <w:spacing w:after="113" w:line="280" w:lineRule="atLeast"/>
    </w:pPr>
    <w:rPr>
      <w:rFonts w:ascii="Arial" w:hAnsi="Arial" w:cs="Arial"/>
      <w:sz w:val="22"/>
      <w:szCs w:val="22"/>
      <w:lang w:val="en-AU"/>
    </w:rPr>
  </w:style>
  <w:style w:type="character" w:customStyle="1" w:styleId="OWSnumberedlistL1Char">
    <w:name w:val="OWS numbered list L1 Char"/>
    <w:basedOn w:val="DefaultParagraphFont"/>
    <w:link w:val="OWSnumberedlistL1"/>
    <w:rsid w:val="00D65469"/>
    <w:rPr>
      <w:rFonts w:ascii="Arial" w:hAnsi="Arial" w:cs="Arial"/>
      <w:sz w:val="22"/>
      <w:szCs w:val="22"/>
      <w:lang w:val="en-AU"/>
    </w:rPr>
  </w:style>
  <w:style w:type="paragraph" w:customStyle="1" w:styleId="OWSpre-listtext">
    <w:name w:val="OWS pre-list text"/>
    <w:basedOn w:val="Body"/>
    <w:link w:val="OWSpre-listtextChar"/>
    <w:qFormat/>
    <w:rsid w:val="00D65469"/>
    <w:pPr>
      <w:suppressAutoHyphens w:val="0"/>
      <w:adjustRightInd/>
      <w:spacing w:after="120" w:line="240" w:lineRule="auto"/>
      <w:textAlignment w:val="auto"/>
    </w:pPr>
    <w:rPr>
      <w:rFonts w:ascii="Arial" w:hAnsi="Arial" w:cs="Arial"/>
      <w:color w:val="auto"/>
      <w:sz w:val="22"/>
      <w:szCs w:val="22"/>
      <w:lang w:val="en-AU"/>
    </w:rPr>
  </w:style>
  <w:style w:type="character" w:customStyle="1" w:styleId="OWSpre-listtextChar">
    <w:name w:val="OWS pre-list text Char"/>
    <w:basedOn w:val="BodyChar"/>
    <w:link w:val="OWSpre-listtext"/>
    <w:rsid w:val="00D65469"/>
    <w:rPr>
      <w:rFonts w:ascii="Arial" w:hAnsi="Arial" w:cs="Arial"/>
      <w:color w:val="000000"/>
      <w:sz w:val="22"/>
      <w:szCs w:val="22"/>
      <w:lang w:val="en-AU"/>
    </w:rPr>
  </w:style>
  <w:style w:type="paragraph" w:customStyle="1" w:styleId="OWSfigurecaption">
    <w:name w:val="OWS figure caption"/>
    <w:basedOn w:val="OWStablecaption"/>
    <w:link w:val="OWSfigurecaptionChar"/>
    <w:qFormat/>
    <w:rsid w:val="00D65469"/>
    <w:pPr>
      <w:spacing w:before="120" w:after="360"/>
      <w:textboxTightWrap w:val="allLines"/>
    </w:pPr>
  </w:style>
  <w:style w:type="character" w:customStyle="1" w:styleId="OWSfigurecaptionChar">
    <w:name w:val="OWS figure caption Char"/>
    <w:basedOn w:val="OWStablecaptionChar"/>
    <w:link w:val="OWSfigurecaption"/>
    <w:rsid w:val="00D65469"/>
    <w:rPr>
      <w:rFonts w:ascii="Arial" w:eastAsia="Times New Roman" w:hAnsi="Arial" w:cs="Times New Roman"/>
      <w:sz w:val="20"/>
      <w:szCs w:val="20"/>
      <w:lang w:val="en-GB" w:eastAsia="en-US"/>
    </w:rPr>
  </w:style>
  <w:style w:type="paragraph" w:customStyle="1" w:styleId="OWSnumberedlistL2">
    <w:name w:val="OWS numbered list L2"/>
    <w:basedOn w:val="OWSnumberedlistL1"/>
    <w:rsid w:val="00D65469"/>
    <w:pPr>
      <w:numPr>
        <w:ilvl w:val="1"/>
      </w:numPr>
      <w:tabs>
        <w:tab w:val="num" w:pos="360"/>
      </w:tabs>
      <w:ind w:left="993" w:hanging="426"/>
    </w:pPr>
  </w:style>
  <w:style w:type="paragraph" w:customStyle="1" w:styleId="OWSBelowFigureText9pt">
    <w:name w:val="OWS Below Figure Text 9pt"/>
    <w:basedOn w:val="Normal"/>
    <w:link w:val="OWSBelowFigureText9ptChar"/>
    <w:uiPriority w:val="99"/>
    <w:qFormat/>
    <w:rsid w:val="00D65469"/>
    <w:pPr>
      <w:keepNext/>
      <w:autoSpaceDE w:val="0"/>
      <w:autoSpaceDN w:val="0"/>
      <w:spacing w:before="120" w:after="240"/>
    </w:pPr>
    <w:rPr>
      <w:rFonts w:ascii="Arial" w:hAnsi="Arial" w:cs="Arial"/>
      <w:i/>
      <w:sz w:val="18"/>
      <w:szCs w:val="18"/>
    </w:rPr>
  </w:style>
  <w:style w:type="character" w:customStyle="1" w:styleId="OWSBelowFigureText9ptChar">
    <w:name w:val="OWS Below Figure Text 9pt Char"/>
    <w:basedOn w:val="DefaultParagraphFont"/>
    <w:link w:val="OWSBelowFigureText9pt"/>
    <w:uiPriority w:val="99"/>
    <w:rsid w:val="00D65469"/>
    <w:rPr>
      <w:rFonts w:ascii="Arial" w:hAnsi="Arial" w:cs="Arial"/>
      <w:i/>
      <w:sz w:val="18"/>
      <w:szCs w:val="18"/>
    </w:rPr>
  </w:style>
  <w:style w:type="paragraph" w:customStyle="1" w:styleId="OWSReferencelist">
    <w:name w:val="OWS Reference list"/>
    <w:basedOn w:val="Normal"/>
    <w:qFormat/>
    <w:rsid w:val="00C462F8"/>
    <w:pPr>
      <w:autoSpaceDE w:val="0"/>
      <w:autoSpaceDN w:val="0"/>
      <w:spacing w:after="120"/>
      <w:ind w:left="720" w:hanging="720"/>
    </w:pPr>
    <w:rPr>
      <w:rFonts w:ascii="Arial" w:hAnsi="Arial" w:cs="Arial"/>
      <w:sz w:val="20"/>
      <w:szCs w:val="20"/>
      <w:lang w:val="en-AU"/>
    </w:rPr>
  </w:style>
  <w:style w:type="paragraph" w:customStyle="1" w:styleId="OWSbulletL1">
    <w:name w:val="OWS bullet L1"/>
    <w:basedOn w:val="Bullet"/>
    <w:link w:val="OWSbulletL1Char"/>
    <w:qFormat/>
    <w:rsid w:val="00780CA4"/>
    <w:pPr>
      <w:widowControl/>
      <w:tabs>
        <w:tab w:val="num" w:pos="426"/>
      </w:tabs>
      <w:suppressAutoHyphens w:val="0"/>
      <w:adjustRightInd/>
      <w:ind w:left="426" w:hanging="426"/>
      <w:textAlignment w:val="auto"/>
    </w:pPr>
    <w:rPr>
      <w:rFonts w:ascii="Arial" w:hAnsi="Arial" w:cs="Arial"/>
      <w:color w:val="auto"/>
      <w:sz w:val="22"/>
      <w:szCs w:val="22"/>
      <w:lang w:val="en-AU"/>
    </w:rPr>
  </w:style>
  <w:style w:type="character" w:customStyle="1" w:styleId="OWSbulletL1Char">
    <w:name w:val="OWS bullet L1 Char"/>
    <w:basedOn w:val="DefaultParagraphFont"/>
    <w:link w:val="OWSbulletL1"/>
    <w:rsid w:val="00780CA4"/>
    <w:rPr>
      <w:rFonts w:ascii="Arial" w:hAnsi="Arial" w:cs="Arial"/>
      <w:sz w:val="22"/>
      <w:szCs w:val="22"/>
      <w:lang w:val="en-AU"/>
    </w:rPr>
  </w:style>
  <w:style w:type="paragraph" w:customStyle="1" w:styleId="OWSbulletL1final">
    <w:name w:val="OWS bullet L1 final"/>
    <w:basedOn w:val="OWSbulletL1"/>
    <w:link w:val="OWSbulletL1finalChar"/>
    <w:qFormat/>
    <w:rsid w:val="00780CA4"/>
    <w:pPr>
      <w:spacing w:after="200"/>
    </w:pPr>
  </w:style>
  <w:style w:type="character" w:customStyle="1" w:styleId="OWSbulletL1finalChar">
    <w:name w:val="OWS bullet L1 final Char"/>
    <w:basedOn w:val="OWSbulletL1Char"/>
    <w:link w:val="OWSbulletL1final"/>
    <w:rsid w:val="00780CA4"/>
    <w:rPr>
      <w:rFonts w:ascii="Arial" w:hAnsi="Arial" w:cs="Arial"/>
      <w:sz w:val="22"/>
      <w:szCs w:val="22"/>
      <w:lang w:val="en-AU"/>
    </w:rPr>
  </w:style>
  <w:style w:type="paragraph" w:styleId="NormalWeb">
    <w:name w:val="Normal (Web)"/>
    <w:basedOn w:val="Normal"/>
    <w:uiPriority w:val="99"/>
    <w:semiHidden/>
    <w:unhideWhenUsed/>
    <w:rsid w:val="00EB2BF5"/>
    <w:pPr>
      <w:spacing w:before="100" w:beforeAutospacing="1" w:after="100" w:afterAutospacing="1"/>
    </w:pPr>
    <w:rPr>
      <w:rFonts w:ascii="Times New Roman" w:eastAsia="Times New Roman" w:hAnsi="Times New Roman" w:cs="Times New Roman"/>
      <w:lang w:val="en-AU" w:eastAsia="zh-CN"/>
    </w:rPr>
  </w:style>
  <w:style w:type="paragraph" w:customStyle="1" w:styleId="SP2254068">
    <w:name w:val="SP.2.254068"/>
    <w:basedOn w:val="Normal"/>
    <w:next w:val="Normal"/>
    <w:uiPriority w:val="99"/>
    <w:rsid w:val="00C32977"/>
    <w:pPr>
      <w:autoSpaceDE w:val="0"/>
      <w:autoSpaceDN w:val="0"/>
      <w:adjustRightInd w:val="0"/>
      <w:spacing w:after="0"/>
    </w:pPr>
    <w:rPr>
      <w:rFonts w:ascii="NIIOG G+ Univers" w:hAnsi="NIIOG G+ Univers"/>
      <w:lang w:val="en-AU"/>
    </w:rPr>
  </w:style>
  <w:style w:type="paragraph" w:customStyle="1" w:styleId="SP2254065">
    <w:name w:val="SP.2.254065"/>
    <w:basedOn w:val="Normal"/>
    <w:next w:val="Normal"/>
    <w:uiPriority w:val="99"/>
    <w:rsid w:val="00C32977"/>
    <w:pPr>
      <w:autoSpaceDE w:val="0"/>
      <w:autoSpaceDN w:val="0"/>
      <w:adjustRightInd w:val="0"/>
      <w:spacing w:after="0"/>
    </w:pPr>
    <w:rPr>
      <w:rFonts w:ascii="NIIOG G+ Univers" w:hAnsi="NIIOG G+ Univers"/>
      <w:lang w:val="en-AU"/>
    </w:rPr>
  </w:style>
  <w:style w:type="character" w:customStyle="1" w:styleId="SC2148">
    <w:name w:val="SC.2.148"/>
    <w:uiPriority w:val="99"/>
    <w:rsid w:val="00C32977"/>
    <w:rPr>
      <w:rFonts w:cs="NIIOG G+ Univers"/>
      <w:color w:val="000000"/>
      <w:sz w:val="18"/>
      <w:szCs w:val="18"/>
    </w:rPr>
  </w:style>
  <w:style w:type="paragraph" w:styleId="Revision">
    <w:name w:val="Revision"/>
    <w:hidden/>
    <w:uiPriority w:val="99"/>
    <w:semiHidden/>
    <w:rsid w:val="0038569E"/>
    <w:pPr>
      <w:spacing w:after="0"/>
    </w:pPr>
  </w:style>
  <w:style w:type="paragraph" w:styleId="Caption">
    <w:name w:val="caption"/>
    <w:basedOn w:val="Normal"/>
    <w:next w:val="Normal"/>
    <w:unhideWhenUsed/>
    <w:qFormat/>
    <w:rsid w:val="00CB1BA4"/>
    <w:rPr>
      <w:b/>
      <w:bCs/>
      <w:color w:val="00A9CE" w:themeColor="accent1"/>
      <w:sz w:val="18"/>
      <w:szCs w:val="18"/>
    </w:rPr>
  </w:style>
  <w:style w:type="paragraph" w:customStyle="1" w:styleId="Default">
    <w:name w:val="Default"/>
    <w:rsid w:val="0051308C"/>
    <w:pPr>
      <w:autoSpaceDE w:val="0"/>
      <w:autoSpaceDN w:val="0"/>
      <w:adjustRightInd w:val="0"/>
      <w:spacing w:after="0"/>
    </w:pPr>
    <w:rPr>
      <w:rFonts w:ascii="Arial" w:hAnsi="Arial" w:cs="Arial"/>
      <w:color w:val="000000"/>
      <w:lang w:val="en-AU"/>
    </w:rPr>
  </w:style>
  <w:style w:type="paragraph" w:styleId="FootnoteText">
    <w:name w:val="footnote text"/>
    <w:basedOn w:val="Normal"/>
    <w:link w:val="FootnoteTextChar"/>
    <w:uiPriority w:val="99"/>
    <w:semiHidden/>
    <w:unhideWhenUsed/>
    <w:rsid w:val="00822A4E"/>
    <w:pPr>
      <w:spacing w:after="0"/>
    </w:pPr>
    <w:rPr>
      <w:sz w:val="20"/>
      <w:szCs w:val="20"/>
    </w:rPr>
  </w:style>
  <w:style w:type="character" w:customStyle="1" w:styleId="FootnoteTextChar">
    <w:name w:val="Footnote Text Char"/>
    <w:basedOn w:val="DefaultParagraphFont"/>
    <w:link w:val="FootnoteText"/>
    <w:uiPriority w:val="99"/>
    <w:semiHidden/>
    <w:rsid w:val="00822A4E"/>
    <w:rPr>
      <w:sz w:val="20"/>
      <w:szCs w:val="20"/>
    </w:rPr>
  </w:style>
  <w:style w:type="character" w:styleId="FootnoteReference">
    <w:name w:val="footnote reference"/>
    <w:basedOn w:val="DefaultParagraphFont"/>
    <w:uiPriority w:val="99"/>
    <w:semiHidden/>
    <w:unhideWhenUsed/>
    <w:rsid w:val="00822A4E"/>
    <w:rPr>
      <w:vertAlign w:val="superscript"/>
    </w:rPr>
  </w:style>
  <w:style w:type="paragraph" w:styleId="TableofFigures">
    <w:name w:val="table of figures"/>
    <w:basedOn w:val="Normal"/>
    <w:next w:val="Normal"/>
    <w:uiPriority w:val="99"/>
    <w:unhideWhenUsed/>
    <w:rsid w:val="00812784"/>
    <w:pPr>
      <w:spacing w:after="120"/>
    </w:pPr>
    <w:rPr>
      <w:rFonts w:ascii="Calibri" w:hAnsi="Calibri"/>
      <w:sz w:val="18"/>
    </w:rPr>
  </w:style>
  <w:style w:type="table" w:customStyle="1" w:styleId="LightList11">
    <w:name w:val="Light List11"/>
    <w:basedOn w:val="TableNormal"/>
    <w:uiPriority w:val="61"/>
    <w:rsid w:val="0032201E"/>
    <w:pPr>
      <w:spacing w:after="0"/>
    </w:pPr>
    <w:rPr>
      <w:rFonts w:eastAsia="Calibri"/>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Emphasis">
    <w:name w:val="Emphasis"/>
    <w:basedOn w:val="DefaultParagraphFont"/>
    <w:uiPriority w:val="20"/>
    <w:qFormat/>
    <w:rsid w:val="0032201E"/>
    <w:rPr>
      <w:b/>
      <w:bCs/>
      <w:i w:val="0"/>
      <w:iCs w:val="0"/>
    </w:rPr>
  </w:style>
  <w:style w:type="character" w:customStyle="1" w:styleId="st">
    <w:name w:val="st"/>
    <w:basedOn w:val="DefaultParagraphFont"/>
    <w:rsid w:val="0032201E"/>
  </w:style>
  <w:style w:type="character" w:customStyle="1" w:styleId="Heading4Char">
    <w:name w:val="Heading 4 Char"/>
    <w:basedOn w:val="DefaultParagraphFont"/>
    <w:link w:val="Heading4"/>
    <w:uiPriority w:val="9"/>
    <w:rsid w:val="005072A9"/>
    <w:rPr>
      <w:rFonts w:asciiTheme="majorHAnsi" w:eastAsiaTheme="majorEastAsia" w:hAnsiTheme="majorHAnsi" w:cstheme="majorBidi"/>
      <w:b/>
      <w:bCs/>
      <w:i/>
      <w:iCs/>
      <w:color w:val="00A9CE" w:themeColor="accent1"/>
    </w:rPr>
  </w:style>
  <w:style w:type="paragraph" w:customStyle="1" w:styleId="BRnormal10pt-CopyrightPage">
    <w:name w:val="BR normal 10pt - Copyright Page"/>
    <w:basedOn w:val="Normal"/>
    <w:link w:val="BRnormal10pt-CopyrightPageChar"/>
    <w:qFormat/>
    <w:rsid w:val="00365806"/>
    <w:pPr>
      <w:autoSpaceDE w:val="0"/>
      <w:autoSpaceDN w:val="0"/>
    </w:pPr>
    <w:rPr>
      <w:rFonts w:ascii="Arial" w:eastAsiaTheme="minorHAnsi" w:hAnsi="Arial" w:cs="Arial"/>
      <w:sz w:val="20"/>
      <w:szCs w:val="20"/>
      <w:lang w:val="en-AU" w:eastAsia="en-AU"/>
    </w:rPr>
  </w:style>
  <w:style w:type="character" w:customStyle="1" w:styleId="BRnormal10pt-CopyrightPageChar">
    <w:name w:val="BR normal 10pt - Copyright Page Char"/>
    <w:basedOn w:val="DefaultParagraphFont"/>
    <w:link w:val="BRnormal10pt-CopyrightPage"/>
    <w:rsid w:val="00365806"/>
    <w:rPr>
      <w:rFonts w:ascii="Arial" w:eastAsiaTheme="minorHAnsi" w:hAnsi="Arial" w:cs="Arial"/>
      <w:sz w:val="20"/>
      <w:szCs w:val="20"/>
      <w:lang w:val="en-AU" w:eastAsia="en-AU"/>
    </w:rPr>
  </w:style>
  <w:style w:type="paragraph" w:customStyle="1" w:styleId="SummaryH2">
    <w:name w:val="Summary H2"/>
    <w:basedOn w:val="Normal"/>
    <w:link w:val="SummaryH2Char"/>
    <w:qFormat/>
    <w:rsid w:val="00365806"/>
    <w:pPr>
      <w:autoSpaceDE w:val="0"/>
      <w:autoSpaceDN w:val="0"/>
      <w:spacing w:after="60"/>
    </w:pPr>
    <w:rPr>
      <w:rFonts w:ascii="Arial" w:eastAsiaTheme="minorHAnsi" w:hAnsi="Arial" w:cs="Arial"/>
      <w:b/>
      <w:color w:val="000000" w:themeColor="text2"/>
      <w:sz w:val="30"/>
      <w:szCs w:val="30"/>
      <w:lang w:val="en-AU" w:eastAsia="en-AU"/>
    </w:rPr>
  </w:style>
  <w:style w:type="character" w:customStyle="1" w:styleId="SummaryH2Char">
    <w:name w:val="Summary H2 Char"/>
    <w:basedOn w:val="DefaultParagraphFont"/>
    <w:link w:val="SummaryH2"/>
    <w:rsid w:val="00365806"/>
    <w:rPr>
      <w:rFonts w:ascii="Arial" w:eastAsiaTheme="minorHAnsi" w:hAnsi="Arial" w:cs="Arial"/>
      <w:b/>
      <w:color w:val="000000" w:themeColor="text2"/>
      <w:sz w:val="30"/>
      <w:szCs w:val="30"/>
      <w:lang w:val="en-AU" w:eastAsia="en-AU"/>
    </w:rPr>
  </w:style>
  <w:style w:type="paragraph" w:customStyle="1" w:styleId="BR-normal-CopyrightPage">
    <w:name w:val="BR - normal - Copyright Page"/>
    <w:basedOn w:val="Normal"/>
    <w:link w:val="BR-normal-CopyrightPageChar"/>
    <w:rsid w:val="00365806"/>
    <w:pPr>
      <w:autoSpaceDE w:val="0"/>
      <w:autoSpaceDN w:val="0"/>
    </w:pPr>
    <w:rPr>
      <w:rFonts w:ascii="Arial" w:eastAsiaTheme="minorHAnsi" w:hAnsi="Arial" w:cs="Arial"/>
      <w:color w:val="000000"/>
      <w:sz w:val="20"/>
      <w:szCs w:val="20"/>
      <w:lang w:val="en-AU" w:eastAsia="en-AU"/>
    </w:rPr>
  </w:style>
  <w:style w:type="character" w:customStyle="1" w:styleId="BR-normal-CopyrightPageChar">
    <w:name w:val="BR - normal - Copyright Page Char"/>
    <w:basedOn w:val="DefaultParagraphFont"/>
    <w:link w:val="BR-normal-CopyrightPage"/>
    <w:rsid w:val="00365806"/>
    <w:rPr>
      <w:rFonts w:ascii="Arial" w:eastAsiaTheme="minorHAnsi" w:hAnsi="Arial" w:cs="Arial"/>
      <w:color w:val="000000"/>
      <w:sz w:val="20"/>
      <w:szCs w:val="20"/>
      <w:lang w:val="en-AU" w:eastAsia="en-AU"/>
    </w:rPr>
  </w:style>
  <w:style w:type="character" w:styleId="FollowedHyperlink">
    <w:name w:val="FollowedHyperlink"/>
    <w:basedOn w:val="DefaultParagraphFont"/>
    <w:uiPriority w:val="99"/>
    <w:semiHidden/>
    <w:unhideWhenUsed/>
    <w:rsid w:val="004B2241"/>
    <w:rPr>
      <w:color w:val="004B87" w:themeColor="followedHyperlink"/>
      <w:u w:val="single"/>
    </w:rPr>
  </w:style>
  <w:style w:type="table" w:customStyle="1" w:styleId="LightList12">
    <w:name w:val="Light List12"/>
    <w:basedOn w:val="TableNormal"/>
    <w:uiPriority w:val="61"/>
    <w:rsid w:val="00054894"/>
    <w:pPr>
      <w:spacing w:after="0"/>
    </w:pPr>
    <w:rPr>
      <w:rFonts w:eastAsia="Calibri"/>
      <w:sz w:val="22"/>
      <w:szCs w:val="22"/>
      <w:lang w:val="en-AU"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verTitle">
    <w:name w:val="CoverTitle"/>
    <w:next w:val="CoverSubtitle"/>
    <w:uiPriority w:val="12"/>
    <w:qFormat/>
    <w:rsid w:val="00144B4F"/>
    <w:pPr>
      <w:spacing w:after="170" w:line="216" w:lineRule="auto"/>
    </w:pPr>
    <w:rPr>
      <w:rFonts w:ascii="Calibri" w:eastAsiaTheme="majorEastAsia" w:hAnsi="Calibri" w:cstheme="majorBidi"/>
      <w:b/>
      <w:color w:val="00313C" w:themeColor="accent2"/>
      <w:spacing w:val="5"/>
      <w:kern w:val="28"/>
      <w:sz w:val="80"/>
      <w:szCs w:val="52"/>
      <w:lang w:val="en-AU" w:eastAsia="en-AU"/>
    </w:rPr>
  </w:style>
  <w:style w:type="paragraph" w:customStyle="1" w:styleId="CoverSubtitle">
    <w:name w:val="CoverSubtitle"/>
    <w:next w:val="BodyText"/>
    <w:uiPriority w:val="12"/>
    <w:qFormat/>
    <w:rsid w:val="00144B4F"/>
    <w:pPr>
      <w:numPr>
        <w:ilvl w:val="1"/>
      </w:numPr>
      <w:spacing w:after="170"/>
    </w:pPr>
    <w:rPr>
      <w:rFonts w:ascii="Calibri" w:eastAsiaTheme="majorEastAsia" w:hAnsi="Calibri" w:cstheme="majorBidi"/>
      <w:iCs/>
      <w:color w:val="000000" w:themeColor="text2"/>
      <w:spacing w:val="15"/>
      <w:sz w:val="34"/>
      <w:lang w:val="en-AU" w:eastAsia="en-AU"/>
    </w:rPr>
  </w:style>
  <w:style w:type="paragraph" w:styleId="BodyText">
    <w:name w:val="Body Text"/>
    <w:link w:val="BodyTextChar"/>
    <w:qFormat/>
    <w:rsid w:val="00144B4F"/>
    <w:pPr>
      <w:spacing w:before="120" w:after="120" w:line="264" w:lineRule="auto"/>
    </w:pPr>
    <w:rPr>
      <w:rFonts w:ascii="Calibri" w:eastAsia="Calibri" w:hAnsi="Calibri" w:cs="Times New Roman"/>
      <w:color w:val="000000"/>
      <w:szCs w:val="22"/>
      <w:lang w:val="en-AU" w:eastAsia="en-AU"/>
    </w:rPr>
  </w:style>
  <w:style w:type="character" w:customStyle="1" w:styleId="BodyTextChar">
    <w:name w:val="Body Text Char"/>
    <w:basedOn w:val="DefaultParagraphFont"/>
    <w:link w:val="BodyText"/>
    <w:rsid w:val="00144B4F"/>
    <w:rPr>
      <w:rFonts w:ascii="Calibri" w:eastAsia="Calibri" w:hAnsi="Calibri" w:cs="Times New Roman"/>
      <w:color w:val="000000"/>
      <w:szCs w:val="22"/>
      <w:lang w:val="en-AU" w:eastAsia="en-AU"/>
    </w:rPr>
  </w:style>
  <w:style w:type="paragraph" w:customStyle="1" w:styleId="BackCoverContactHeading">
    <w:name w:val="BackCover ContactHeading"/>
    <w:next w:val="BackCoverContactDetails"/>
    <w:uiPriority w:val="18"/>
    <w:qFormat/>
    <w:rsid w:val="008A1135"/>
    <w:pPr>
      <w:spacing w:before="360" w:after="60"/>
    </w:pPr>
    <w:rPr>
      <w:rFonts w:ascii="Calibri" w:eastAsia="Calibri" w:hAnsi="Calibri" w:cs="Times New Roman"/>
      <w:caps/>
      <w:sz w:val="18"/>
      <w:szCs w:val="20"/>
      <w:lang w:val="en-AU" w:eastAsia="en-AU"/>
    </w:rPr>
  </w:style>
  <w:style w:type="paragraph" w:customStyle="1" w:styleId="BackCoverContactDetails">
    <w:name w:val="BackCover ContactDetails"/>
    <w:uiPriority w:val="18"/>
    <w:qFormat/>
    <w:rsid w:val="008A1135"/>
    <w:pPr>
      <w:tabs>
        <w:tab w:val="left" w:pos="199"/>
      </w:tabs>
      <w:spacing w:after="0"/>
    </w:pPr>
    <w:rPr>
      <w:rFonts w:ascii="Calibri" w:eastAsia="Calibri" w:hAnsi="Calibri" w:cs="Times New Roman"/>
      <w:sz w:val="18"/>
      <w:szCs w:val="22"/>
      <w:lang w:val="en-AU" w:eastAsia="en-AU"/>
    </w:rPr>
  </w:style>
  <w:style w:type="character" w:customStyle="1" w:styleId="BackCoverContactBold">
    <w:name w:val="BackCover ContactBold"/>
    <w:basedOn w:val="DefaultParagraphFont"/>
    <w:uiPriority w:val="18"/>
    <w:qFormat/>
    <w:rsid w:val="008A1135"/>
    <w:rPr>
      <w:b/>
    </w:rPr>
  </w:style>
  <w:style w:type="paragraph" w:customStyle="1" w:styleId="VersoPageHeading">
    <w:name w:val="Verso Page Heading"/>
    <w:uiPriority w:val="12"/>
    <w:qFormat/>
    <w:rsid w:val="007D01DE"/>
    <w:pPr>
      <w:spacing w:before="180" w:after="60"/>
    </w:pPr>
    <w:rPr>
      <w:rFonts w:ascii="Calibri" w:eastAsia="Times New Roman" w:hAnsi="Calibri" w:cs="Times New Roman"/>
      <w:bCs/>
      <w:color w:val="00313C" w:themeColor="accent2"/>
      <w:szCs w:val="26"/>
      <w:lang w:val="en-AU" w:eastAsia="en-US"/>
    </w:rPr>
  </w:style>
  <w:style w:type="paragraph" w:customStyle="1" w:styleId="Reference">
    <w:name w:val="Reference"/>
    <w:basedOn w:val="Normal"/>
    <w:uiPriority w:val="9"/>
    <w:qFormat/>
    <w:rsid w:val="00857E46"/>
    <w:pPr>
      <w:spacing w:after="120"/>
      <w:ind w:left="567" w:hanging="567"/>
    </w:pPr>
    <w:rPr>
      <w:rFonts w:ascii="Calibri" w:eastAsia="Calibri" w:hAnsi="Calibri" w:cs="Times New Roman"/>
      <w:color w:val="000000"/>
      <w:sz w:val="22"/>
      <w:szCs w:val="22"/>
      <w:lang w:val="en-AU" w:eastAsia="en-AU"/>
    </w:rPr>
  </w:style>
  <w:style w:type="character" w:customStyle="1" w:styleId="CommentTextChar1">
    <w:name w:val="Comment Text Char1"/>
    <w:basedOn w:val="DefaultParagraphFont"/>
    <w:uiPriority w:val="99"/>
    <w:semiHidden/>
    <w:locked/>
    <w:rsid w:val="001A6384"/>
    <w:rPr>
      <w:rFonts w:cs="Times New Roman"/>
      <w:sz w:val="20"/>
      <w:szCs w:val="20"/>
    </w:rPr>
  </w:style>
  <w:style w:type="paragraph" w:customStyle="1" w:styleId="OWSSummaryH1">
    <w:name w:val="OWS Summary H1"/>
    <w:link w:val="OWSSummaryH1Char"/>
    <w:qFormat/>
    <w:rsid w:val="00726719"/>
    <w:pPr>
      <w:pageBreakBefore/>
      <w:spacing w:after="600"/>
      <w:outlineLvl w:val="0"/>
    </w:pPr>
    <w:rPr>
      <w:rFonts w:ascii="Arial" w:hAnsi="Arial" w:cs="Arial"/>
      <w:b/>
      <w:bCs/>
      <w:color w:val="000000" w:themeColor="text2"/>
      <w:sz w:val="48"/>
      <w:szCs w:val="48"/>
      <w:lang w:val="en-GB"/>
    </w:rPr>
  </w:style>
  <w:style w:type="character" w:customStyle="1" w:styleId="OWSSummaryH1Char">
    <w:name w:val="OWS Summary H1 Char"/>
    <w:basedOn w:val="DefaultParagraphFont"/>
    <w:link w:val="OWSSummaryH1"/>
    <w:rsid w:val="00726719"/>
    <w:rPr>
      <w:rFonts w:ascii="Arial" w:hAnsi="Arial" w:cs="Arial"/>
      <w:b/>
      <w:bCs/>
      <w:color w:val="000000" w:themeColor="text2"/>
      <w:sz w:val="48"/>
      <w:szCs w:val="48"/>
      <w:lang w:val="en-GB"/>
    </w:rPr>
  </w:style>
  <w:style w:type="paragraph" w:customStyle="1" w:styleId="OWSTableheading">
    <w:name w:val="OWS Table heading"/>
    <w:basedOn w:val="Body"/>
    <w:link w:val="OWSTableheadingChar"/>
    <w:qFormat/>
    <w:rsid w:val="00726719"/>
    <w:pPr>
      <w:widowControl w:val="0"/>
      <w:spacing w:before="80" w:after="80" w:line="240" w:lineRule="auto"/>
    </w:pPr>
    <w:rPr>
      <w:rFonts w:ascii="Arial" w:hAnsi="Arial" w:cs="Arial"/>
      <w:b/>
      <w:color w:val="auto"/>
      <w:sz w:val="20"/>
      <w:szCs w:val="20"/>
      <w:lang w:val="en-AU" w:eastAsia="en-US"/>
    </w:rPr>
  </w:style>
  <w:style w:type="paragraph" w:customStyle="1" w:styleId="OWSTabletext">
    <w:name w:val="OWS Table text"/>
    <w:basedOn w:val="Body"/>
    <w:link w:val="OWSTabletextChar"/>
    <w:qFormat/>
    <w:rsid w:val="00726719"/>
    <w:pPr>
      <w:widowControl w:val="0"/>
      <w:spacing w:before="80" w:after="80" w:line="240" w:lineRule="auto"/>
    </w:pPr>
    <w:rPr>
      <w:rFonts w:ascii="Arial" w:hAnsi="Arial" w:cs="Arial"/>
      <w:sz w:val="20"/>
      <w:szCs w:val="20"/>
      <w:lang w:val="en-AU"/>
    </w:rPr>
  </w:style>
  <w:style w:type="character" w:customStyle="1" w:styleId="OWSTableheadingChar">
    <w:name w:val="OWS Table heading Char"/>
    <w:basedOn w:val="BodyChar"/>
    <w:link w:val="OWSTableheading"/>
    <w:rsid w:val="00726719"/>
    <w:rPr>
      <w:rFonts w:ascii="Arial" w:hAnsi="Arial" w:cs="Arial"/>
      <w:b/>
      <w:color w:val="000000"/>
      <w:sz w:val="20"/>
      <w:szCs w:val="20"/>
      <w:lang w:val="en-AU" w:eastAsia="en-US"/>
    </w:rPr>
  </w:style>
  <w:style w:type="character" w:customStyle="1" w:styleId="OWSTabletextChar">
    <w:name w:val="OWS Table text Char"/>
    <w:basedOn w:val="BodyChar"/>
    <w:link w:val="OWSTabletext"/>
    <w:rsid w:val="00726719"/>
    <w:rPr>
      <w:rFonts w:ascii="Arial" w:hAnsi="Arial" w:cs="Arial"/>
      <w:color w:val="000000"/>
      <w:sz w:val="20"/>
      <w:szCs w:val="20"/>
      <w:lang w:val="en-AU"/>
    </w:rPr>
  </w:style>
  <w:style w:type="character" w:customStyle="1" w:styleId="st1">
    <w:name w:val="st1"/>
    <w:basedOn w:val="DefaultParagraphFont"/>
    <w:rsid w:val="00B029E5"/>
  </w:style>
  <w:style w:type="character" w:customStyle="1" w:styleId="tgc">
    <w:name w:val="_tgc"/>
    <w:basedOn w:val="DefaultParagraphFont"/>
    <w:rsid w:val="00180C00"/>
  </w:style>
  <w:style w:type="paragraph" w:customStyle="1" w:styleId="Tabletext">
    <w:name w:val="Table text"/>
    <w:basedOn w:val="Normal"/>
    <w:link w:val="TabletextChar"/>
    <w:qFormat/>
    <w:rsid w:val="00A03846"/>
    <w:pPr>
      <w:widowControl w:val="0"/>
      <w:suppressAutoHyphens/>
      <w:autoSpaceDE w:val="0"/>
      <w:autoSpaceDN w:val="0"/>
      <w:adjustRightInd w:val="0"/>
      <w:spacing w:before="60" w:after="60"/>
      <w:textAlignment w:val="center"/>
    </w:pPr>
    <w:rPr>
      <w:rFonts w:ascii="Arial" w:eastAsiaTheme="minorHAnsi" w:hAnsi="Arial" w:cs="Arial"/>
      <w:color w:val="000000"/>
      <w:sz w:val="20"/>
      <w:szCs w:val="20"/>
      <w:lang w:val="en-AU" w:eastAsia="en-AU"/>
    </w:rPr>
  </w:style>
  <w:style w:type="character" w:customStyle="1" w:styleId="TabletextChar">
    <w:name w:val="Table text Char"/>
    <w:basedOn w:val="DefaultParagraphFont"/>
    <w:link w:val="Tabletext"/>
    <w:rsid w:val="00A03846"/>
    <w:rPr>
      <w:rFonts w:ascii="Arial" w:eastAsiaTheme="minorHAnsi" w:hAnsi="Arial" w:cs="Arial"/>
      <w:color w:val="000000"/>
      <w:sz w:val="20"/>
      <w:szCs w:val="20"/>
      <w:lang w:val="en-AU" w:eastAsia="en-AU"/>
    </w:rPr>
  </w:style>
  <w:style w:type="paragraph" w:customStyle="1" w:styleId="Pa5">
    <w:name w:val="Pa5"/>
    <w:basedOn w:val="Default"/>
    <w:next w:val="Default"/>
    <w:uiPriority w:val="99"/>
    <w:rsid w:val="0018377D"/>
    <w:pPr>
      <w:spacing w:line="161" w:lineRule="atLeast"/>
    </w:pPr>
    <w:rPr>
      <w:rFonts w:ascii="Times" w:hAnsi="Times" w:cs="Times"/>
      <w:color w:val="auto"/>
    </w:rPr>
  </w:style>
  <w:style w:type="paragraph" w:customStyle="1" w:styleId="OWSversopagenormaltext">
    <w:name w:val="OWS verso page normal text"/>
    <w:basedOn w:val="Body"/>
    <w:link w:val="OWSversopagenormaltextChar"/>
    <w:qFormat/>
    <w:rsid w:val="00D242C1"/>
    <w:pPr>
      <w:suppressAutoHyphens w:val="0"/>
      <w:adjustRightInd/>
      <w:spacing w:after="200" w:line="240" w:lineRule="auto"/>
      <w:textAlignment w:val="auto"/>
    </w:pPr>
    <w:rPr>
      <w:rFonts w:ascii="Arial" w:hAnsi="Arial" w:cs="Arial"/>
      <w:sz w:val="20"/>
      <w:szCs w:val="20"/>
      <w:lang w:val="en-AU"/>
    </w:rPr>
  </w:style>
  <w:style w:type="character" w:customStyle="1" w:styleId="OWSversopagenormaltextChar">
    <w:name w:val="OWS verso page normal text Char"/>
    <w:basedOn w:val="BodyChar"/>
    <w:link w:val="OWSversopagenormaltext"/>
    <w:rsid w:val="00D242C1"/>
    <w:rPr>
      <w:rFonts w:ascii="Arial" w:hAnsi="Arial" w:cs="Arial"/>
      <w:color w:val="000000"/>
      <w:sz w:val="20"/>
      <w:szCs w:val="20"/>
      <w:lang w:val="en-AU"/>
    </w:rPr>
  </w:style>
  <w:style w:type="character" w:customStyle="1" w:styleId="mw-headline">
    <w:name w:val="mw-headline"/>
    <w:basedOn w:val="DefaultParagraphFont"/>
    <w:rsid w:val="00454C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45435">
      <w:bodyDiv w:val="1"/>
      <w:marLeft w:val="0"/>
      <w:marRight w:val="0"/>
      <w:marTop w:val="0"/>
      <w:marBottom w:val="0"/>
      <w:divBdr>
        <w:top w:val="none" w:sz="0" w:space="0" w:color="auto"/>
        <w:left w:val="none" w:sz="0" w:space="0" w:color="auto"/>
        <w:bottom w:val="none" w:sz="0" w:space="0" w:color="auto"/>
        <w:right w:val="none" w:sz="0" w:space="0" w:color="auto"/>
      </w:divBdr>
    </w:div>
    <w:div w:id="24521255">
      <w:bodyDiv w:val="1"/>
      <w:marLeft w:val="0"/>
      <w:marRight w:val="0"/>
      <w:marTop w:val="0"/>
      <w:marBottom w:val="0"/>
      <w:divBdr>
        <w:top w:val="none" w:sz="0" w:space="0" w:color="auto"/>
        <w:left w:val="none" w:sz="0" w:space="0" w:color="auto"/>
        <w:bottom w:val="none" w:sz="0" w:space="0" w:color="auto"/>
        <w:right w:val="none" w:sz="0" w:space="0" w:color="auto"/>
      </w:divBdr>
    </w:div>
    <w:div w:id="29572223">
      <w:bodyDiv w:val="1"/>
      <w:marLeft w:val="0"/>
      <w:marRight w:val="0"/>
      <w:marTop w:val="0"/>
      <w:marBottom w:val="0"/>
      <w:divBdr>
        <w:top w:val="none" w:sz="0" w:space="0" w:color="auto"/>
        <w:left w:val="none" w:sz="0" w:space="0" w:color="auto"/>
        <w:bottom w:val="none" w:sz="0" w:space="0" w:color="auto"/>
        <w:right w:val="none" w:sz="0" w:space="0" w:color="auto"/>
      </w:divBdr>
    </w:div>
    <w:div w:id="48648399">
      <w:bodyDiv w:val="1"/>
      <w:marLeft w:val="0"/>
      <w:marRight w:val="0"/>
      <w:marTop w:val="0"/>
      <w:marBottom w:val="0"/>
      <w:divBdr>
        <w:top w:val="none" w:sz="0" w:space="0" w:color="auto"/>
        <w:left w:val="none" w:sz="0" w:space="0" w:color="auto"/>
        <w:bottom w:val="none" w:sz="0" w:space="0" w:color="auto"/>
        <w:right w:val="none" w:sz="0" w:space="0" w:color="auto"/>
      </w:divBdr>
      <w:divsChild>
        <w:div w:id="859659297">
          <w:marLeft w:val="0"/>
          <w:marRight w:val="0"/>
          <w:marTop w:val="0"/>
          <w:marBottom w:val="0"/>
          <w:divBdr>
            <w:top w:val="none" w:sz="0" w:space="0" w:color="auto"/>
            <w:left w:val="none" w:sz="0" w:space="0" w:color="auto"/>
            <w:bottom w:val="none" w:sz="0" w:space="0" w:color="auto"/>
            <w:right w:val="none" w:sz="0" w:space="0" w:color="auto"/>
          </w:divBdr>
        </w:div>
      </w:divsChild>
    </w:div>
    <w:div w:id="89401829">
      <w:bodyDiv w:val="1"/>
      <w:marLeft w:val="0"/>
      <w:marRight w:val="0"/>
      <w:marTop w:val="0"/>
      <w:marBottom w:val="0"/>
      <w:divBdr>
        <w:top w:val="none" w:sz="0" w:space="0" w:color="auto"/>
        <w:left w:val="none" w:sz="0" w:space="0" w:color="auto"/>
        <w:bottom w:val="none" w:sz="0" w:space="0" w:color="auto"/>
        <w:right w:val="none" w:sz="0" w:space="0" w:color="auto"/>
      </w:divBdr>
    </w:div>
    <w:div w:id="90393204">
      <w:bodyDiv w:val="1"/>
      <w:marLeft w:val="0"/>
      <w:marRight w:val="0"/>
      <w:marTop w:val="0"/>
      <w:marBottom w:val="0"/>
      <w:divBdr>
        <w:top w:val="none" w:sz="0" w:space="0" w:color="auto"/>
        <w:left w:val="none" w:sz="0" w:space="0" w:color="auto"/>
        <w:bottom w:val="none" w:sz="0" w:space="0" w:color="auto"/>
        <w:right w:val="none" w:sz="0" w:space="0" w:color="auto"/>
      </w:divBdr>
    </w:div>
    <w:div w:id="96215235">
      <w:bodyDiv w:val="1"/>
      <w:marLeft w:val="0"/>
      <w:marRight w:val="0"/>
      <w:marTop w:val="0"/>
      <w:marBottom w:val="0"/>
      <w:divBdr>
        <w:top w:val="none" w:sz="0" w:space="0" w:color="auto"/>
        <w:left w:val="none" w:sz="0" w:space="0" w:color="auto"/>
        <w:bottom w:val="none" w:sz="0" w:space="0" w:color="auto"/>
        <w:right w:val="none" w:sz="0" w:space="0" w:color="auto"/>
      </w:divBdr>
    </w:div>
    <w:div w:id="98838559">
      <w:bodyDiv w:val="1"/>
      <w:marLeft w:val="0"/>
      <w:marRight w:val="0"/>
      <w:marTop w:val="0"/>
      <w:marBottom w:val="0"/>
      <w:divBdr>
        <w:top w:val="none" w:sz="0" w:space="0" w:color="auto"/>
        <w:left w:val="none" w:sz="0" w:space="0" w:color="auto"/>
        <w:bottom w:val="none" w:sz="0" w:space="0" w:color="auto"/>
        <w:right w:val="none" w:sz="0" w:space="0" w:color="auto"/>
      </w:divBdr>
      <w:divsChild>
        <w:div w:id="244848355">
          <w:marLeft w:val="0"/>
          <w:marRight w:val="0"/>
          <w:marTop w:val="0"/>
          <w:marBottom w:val="0"/>
          <w:divBdr>
            <w:top w:val="none" w:sz="0" w:space="0" w:color="auto"/>
            <w:left w:val="none" w:sz="0" w:space="0" w:color="auto"/>
            <w:bottom w:val="none" w:sz="0" w:space="0" w:color="auto"/>
            <w:right w:val="none" w:sz="0" w:space="0" w:color="auto"/>
          </w:divBdr>
        </w:div>
      </w:divsChild>
    </w:div>
    <w:div w:id="141627992">
      <w:bodyDiv w:val="1"/>
      <w:marLeft w:val="0"/>
      <w:marRight w:val="0"/>
      <w:marTop w:val="0"/>
      <w:marBottom w:val="0"/>
      <w:divBdr>
        <w:top w:val="none" w:sz="0" w:space="0" w:color="auto"/>
        <w:left w:val="none" w:sz="0" w:space="0" w:color="auto"/>
        <w:bottom w:val="none" w:sz="0" w:space="0" w:color="auto"/>
        <w:right w:val="none" w:sz="0" w:space="0" w:color="auto"/>
      </w:divBdr>
    </w:div>
    <w:div w:id="154031373">
      <w:bodyDiv w:val="1"/>
      <w:marLeft w:val="0"/>
      <w:marRight w:val="0"/>
      <w:marTop w:val="0"/>
      <w:marBottom w:val="0"/>
      <w:divBdr>
        <w:top w:val="none" w:sz="0" w:space="0" w:color="auto"/>
        <w:left w:val="none" w:sz="0" w:space="0" w:color="auto"/>
        <w:bottom w:val="none" w:sz="0" w:space="0" w:color="auto"/>
        <w:right w:val="none" w:sz="0" w:space="0" w:color="auto"/>
      </w:divBdr>
      <w:divsChild>
        <w:div w:id="1892155819">
          <w:marLeft w:val="0"/>
          <w:marRight w:val="0"/>
          <w:marTop w:val="0"/>
          <w:marBottom w:val="0"/>
          <w:divBdr>
            <w:top w:val="none" w:sz="0" w:space="0" w:color="auto"/>
            <w:left w:val="none" w:sz="0" w:space="0" w:color="auto"/>
            <w:bottom w:val="none" w:sz="0" w:space="0" w:color="auto"/>
            <w:right w:val="none" w:sz="0" w:space="0" w:color="auto"/>
          </w:divBdr>
        </w:div>
      </w:divsChild>
    </w:div>
    <w:div w:id="166990186">
      <w:bodyDiv w:val="1"/>
      <w:marLeft w:val="0"/>
      <w:marRight w:val="0"/>
      <w:marTop w:val="0"/>
      <w:marBottom w:val="0"/>
      <w:divBdr>
        <w:top w:val="none" w:sz="0" w:space="0" w:color="auto"/>
        <w:left w:val="none" w:sz="0" w:space="0" w:color="auto"/>
        <w:bottom w:val="none" w:sz="0" w:space="0" w:color="auto"/>
        <w:right w:val="none" w:sz="0" w:space="0" w:color="auto"/>
      </w:divBdr>
    </w:div>
    <w:div w:id="166991905">
      <w:bodyDiv w:val="1"/>
      <w:marLeft w:val="0"/>
      <w:marRight w:val="0"/>
      <w:marTop w:val="0"/>
      <w:marBottom w:val="0"/>
      <w:divBdr>
        <w:top w:val="none" w:sz="0" w:space="0" w:color="auto"/>
        <w:left w:val="none" w:sz="0" w:space="0" w:color="auto"/>
        <w:bottom w:val="none" w:sz="0" w:space="0" w:color="auto"/>
        <w:right w:val="none" w:sz="0" w:space="0" w:color="auto"/>
      </w:divBdr>
      <w:divsChild>
        <w:div w:id="1335035274">
          <w:marLeft w:val="0"/>
          <w:marRight w:val="0"/>
          <w:marTop w:val="0"/>
          <w:marBottom w:val="0"/>
          <w:divBdr>
            <w:top w:val="none" w:sz="0" w:space="0" w:color="auto"/>
            <w:left w:val="none" w:sz="0" w:space="0" w:color="auto"/>
            <w:bottom w:val="none" w:sz="0" w:space="0" w:color="auto"/>
            <w:right w:val="none" w:sz="0" w:space="0" w:color="auto"/>
          </w:divBdr>
        </w:div>
      </w:divsChild>
    </w:div>
    <w:div w:id="169300470">
      <w:bodyDiv w:val="1"/>
      <w:marLeft w:val="0"/>
      <w:marRight w:val="0"/>
      <w:marTop w:val="0"/>
      <w:marBottom w:val="0"/>
      <w:divBdr>
        <w:top w:val="none" w:sz="0" w:space="0" w:color="auto"/>
        <w:left w:val="none" w:sz="0" w:space="0" w:color="auto"/>
        <w:bottom w:val="none" w:sz="0" w:space="0" w:color="auto"/>
        <w:right w:val="none" w:sz="0" w:space="0" w:color="auto"/>
      </w:divBdr>
      <w:divsChild>
        <w:div w:id="1447889511">
          <w:marLeft w:val="0"/>
          <w:marRight w:val="0"/>
          <w:marTop w:val="0"/>
          <w:marBottom w:val="0"/>
          <w:divBdr>
            <w:top w:val="none" w:sz="0" w:space="0" w:color="auto"/>
            <w:left w:val="none" w:sz="0" w:space="0" w:color="auto"/>
            <w:bottom w:val="none" w:sz="0" w:space="0" w:color="auto"/>
            <w:right w:val="none" w:sz="0" w:space="0" w:color="auto"/>
          </w:divBdr>
        </w:div>
      </w:divsChild>
    </w:div>
    <w:div w:id="187529502">
      <w:bodyDiv w:val="1"/>
      <w:marLeft w:val="0"/>
      <w:marRight w:val="0"/>
      <w:marTop w:val="0"/>
      <w:marBottom w:val="0"/>
      <w:divBdr>
        <w:top w:val="none" w:sz="0" w:space="0" w:color="auto"/>
        <w:left w:val="none" w:sz="0" w:space="0" w:color="auto"/>
        <w:bottom w:val="none" w:sz="0" w:space="0" w:color="auto"/>
        <w:right w:val="none" w:sz="0" w:space="0" w:color="auto"/>
      </w:divBdr>
    </w:div>
    <w:div w:id="188644990">
      <w:bodyDiv w:val="1"/>
      <w:marLeft w:val="0"/>
      <w:marRight w:val="0"/>
      <w:marTop w:val="0"/>
      <w:marBottom w:val="0"/>
      <w:divBdr>
        <w:top w:val="none" w:sz="0" w:space="0" w:color="auto"/>
        <w:left w:val="none" w:sz="0" w:space="0" w:color="auto"/>
        <w:bottom w:val="none" w:sz="0" w:space="0" w:color="auto"/>
        <w:right w:val="none" w:sz="0" w:space="0" w:color="auto"/>
      </w:divBdr>
    </w:div>
    <w:div w:id="225189612">
      <w:bodyDiv w:val="1"/>
      <w:marLeft w:val="0"/>
      <w:marRight w:val="0"/>
      <w:marTop w:val="0"/>
      <w:marBottom w:val="0"/>
      <w:divBdr>
        <w:top w:val="none" w:sz="0" w:space="0" w:color="auto"/>
        <w:left w:val="none" w:sz="0" w:space="0" w:color="auto"/>
        <w:bottom w:val="none" w:sz="0" w:space="0" w:color="auto"/>
        <w:right w:val="none" w:sz="0" w:space="0" w:color="auto"/>
      </w:divBdr>
    </w:div>
    <w:div w:id="230310960">
      <w:bodyDiv w:val="1"/>
      <w:marLeft w:val="0"/>
      <w:marRight w:val="0"/>
      <w:marTop w:val="0"/>
      <w:marBottom w:val="0"/>
      <w:divBdr>
        <w:top w:val="none" w:sz="0" w:space="0" w:color="auto"/>
        <w:left w:val="none" w:sz="0" w:space="0" w:color="auto"/>
        <w:bottom w:val="none" w:sz="0" w:space="0" w:color="auto"/>
        <w:right w:val="none" w:sz="0" w:space="0" w:color="auto"/>
      </w:divBdr>
    </w:div>
    <w:div w:id="237402566">
      <w:bodyDiv w:val="1"/>
      <w:marLeft w:val="0"/>
      <w:marRight w:val="0"/>
      <w:marTop w:val="0"/>
      <w:marBottom w:val="0"/>
      <w:divBdr>
        <w:top w:val="none" w:sz="0" w:space="0" w:color="auto"/>
        <w:left w:val="none" w:sz="0" w:space="0" w:color="auto"/>
        <w:bottom w:val="none" w:sz="0" w:space="0" w:color="auto"/>
        <w:right w:val="none" w:sz="0" w:space="0" w:color="auto"/>
      </w:divBdr>
      <w:divsChild>
        <w:div w:id="2084256876">
          <w:marLeft w:val="0"/>
          <w:marRight w:val="0"/>
          <w:marTop w:val="0"/>
          <w:marBottom w:val="0"/>
          <w:divBdr>
            <w:top w:val="none" w:sz="0" w:space="0" w:color="auto"/>
            <w:left w:val="none" w:sz="0" w:space="0" w:color="auto"/>
            <w:bottom w:val="none" w:sz="0" w:space="0" w:color="auto"/>
            <w:right w:val="none" w:sz="0" w:space="0" w:color="auto"/>
          </w:divBdr>
        </w:div>
      </w:divsChild>
    </w:div>
    <w:div w:id="263849692">
      <w:bodyDiv w:val="1"/>
      <w:marLeft w:val="0"/>
      <w:marRight w:val="0"/>
      <w:marTop w:val="0"/>
      <w:marBottom w:val="0"/>
      <w:divBdr>
        <w:top w:val="none" w:sz="0" w:space="0" w:color="auto"/>
        <w:left w:val="none" w:sz="0" w:space="0" w:color="auto"/>
        <w:bottom w:val="none" w:sz="0" w:space="0" w:color="auto"/>
        <w:right w:val="none" w:sz="0" w:space="0" w:color="auto"/>
      </w:divBdr>
    </w:div>
    <w:div w:id="270161956">
      <w:bodyDiv w:val="1"/>
      <w:marLeft w:val="0"/>
      <w:marRight w:val="0"/>
      <w:marTop w:val="0"/>
      <w:marBottom w:val="0"/>
      <w:divBdr>
        <w:top w:val="none" w:sz="0" w:space="0" w:color="auto"/>
        <w:left w:val="none" w:sz="0" w:space="0" w:color="auto"/>
        <w:bottom w:val="none" w:sz="0" w:space="0" w:color="auto"/>
        <w:right w:val="none" w:sz="0" w:space="0" w:color="auto"/>
      </w:divBdr>
      <w:divsChild>
        <w:div w:id="1597900874">
          <w:marLeft w:val="0"/>
          <w:marRight w:val="0"/>
          <w:marTop w:val="0"/>
          <w:marBottom w:val="0"/>
          <w:divBdr>
            <w:top w:val="none" w:sz="0" w:space="0" w:color="auto"/>
            <w:left w:val="none" w:sz="0" w:space="0" w:color="auto"/>
            <w:bottom w:val="none" w:sz="0" w:space="0" w:color="auto"/>
            <w:right w:val="none" w:sz="0" w:space="0" w:color="auto"/>
          </w:divBdr>
        </w:div>
      </w:divsChild>
    </w:div>
    <w:div w:id="280695584">
      <w:bodyDiv w:val="1"/>
      <w:marLeft w:val="0"/>
      <w:marRight w:val="0"/>
      <w:marTop w:val="0"/>
      <w:marBottom w:val="0"/>
      <w:divBdr>
        <w:top w:val="none" w:sz="0" w:space="0" w:color="auto"/>
        <w:left w:val="none" w:sz="0" w:space="0" w:color="auto"/>
        <w:bottom w:val="none" w:sz="0" w:space="0" w:color="auto"/>
        <w:right w:val="none" w:sz="0" w:space="0" w:color="auto"/>
      </w:divBdr>
    </w:div>
    <w:div w:id="283661409">
      <w:bodyDiv w:val="1"/>
      <w:marLeft w:val="0"/>
      <w:marRight w:val="0"/>
      <w:marTop w:val="0"/>
      <w:marBottom w:val="0"/>
      <w:divBdr>
        <w:top w:val="none" w:sz="0" w:space="0" w:color="auto"/>
        <w:left w:val="none" w:sz="0" w:space="0" w:color="auto"/>
        <w:bottom w:val="none" w:sz="0" w:space="0" w:color="auto"/>
        <w:right w:val="none" w:sz="0" w:space="0" w:color="auto"/>
      </w:divBdr>
    </w:div>
    <w:div w:id="294411448">
      <w:bodyDiv w:val="1"/>
      <w:marLeft w:val="0"/>
      <w:marRight w:val="0"/>
      <w:marTop w:val="0"/>
      <w:marBottom w:val="0"/>
      <w:divBdr>
        <w:top w:val="none" w:sz="0" w:space="0" w:color="auto"/>
        <w:left w:val="none" w:sz="0" w:space="0" w:color="auto"/>
        <w:bottom w:val="none" w:sz="0" w:space="0" w:color="auto"/>
        <w:right w:val="none" w:sz="0" w:space="0" w:color="auto"/>
      </w:divBdr>
    </w:div>
    <w:div w:id="313947154">
      <w:bodyDiv w:val="1"/>
      <w:marLeft w:val="0"/>
      <w:marRight w:val="0"/>
      <w:marTop w:val="0"/>
      <w:marBottom w:val="0"/>
      <w:divBdr>
        <w:top w:val="none" w:sz="0" w:space="0" w:color="auto"/>
        <w:left w:val="none" w:sz="0" w:space="0" w:color="auto"/>
        <w:bottom w:val="none" w:sz="0" w:space="0" w:color="auto"/>
        <w:right w:val="none" w:sz="0" w:space="0" w:color="auto"/>
      </w:divBdr>
    </w:div>
    <w:div w:id="345138822">
      <w:bodyDiv w:val="1"/>
      <w:marLeft w:val="0"/>
      <w:marRight w:val="0"/>
      <w:marTop w:val="0"/>
      <w:marBottom w:val="0"/>
      <w:divBdr>
        <w:top w:val="none" w:sz="0" w:space="0" w:color="auto"/>
        <w:left w:val="none" w:sz="0" w:space="0" w:color="auto"/>
        <w:bottom w:val="none" w:sz="0" w:space="0" w:color="auto"/>
        <w:right w:val="none" w:sz="0" w:space="0" w:color="auto"/>
      </w:divBdr>
    </w:div>
    <w:div w:id="354767822">
      <w:bodyDiv w:val="1"/>
      <w:marLeft w:val="0"/>
      <w:marRight w:val="0"/>
      <w:marTop w:val="0"/>
      <w:marBottom w:val="0"/>
      <w:divBdr>
        <w:top w:val="none" w:sz="0" w:space="0" w:color="auto"/>
        <w:left w:val="none" w:sz="0" w:space="0" w:color="auto"/>
        <w:bottom w:val="none" w:sz="0" w:space="0" w:color="auto"/>
        <w:right w:val="none" w:sz="0" w:space="0" w:color="auto"/>
      </w:divBdr>
    </w:div>
    <w:div w:id="368072018">
      <w:bodyDiv w:val="1"/>
      <w:marLeft w:val="0"/>
      <w:marRight w:val="0"/>
      <w:marTop w:val="0"/>
      <w:marBottom w:val="0"/>
      <w:divBdr>
        <w:top w:val="none" w:sz="0" w:space="0" w:color="auto"/>
        <w:left w:val="none" w:sz="0" w:space="0" w:color="auto"/>
        <w:bottom w:val="none" w:sz="0" w:space="0" w:color="auto"/>
        <w:right w:val="none" w:sz="0" w:space="0" w:color="auto"/>
      </w:divBdr>
    </w:div>
    <w:div w:id="371272815">
      <w:bodyDiv w:val="1"/>
      <w:marLeft w:val="0"/>
      <w:marRight w:val="0"/>
      <w:marTop w:val="0"/>
      <w:marBottom w:val="0"/>
      <w:divBdr>
        <w:top w:val="none" w:sz="0" w:space="0" w:color="auto"/>
        <w:left w:val="none" w:sz="0" w:space="0" w:color="auto"/>
        <w:bottom w:val="none" w:sz="0" w:space="0" w:color="auto"/>
        <w:right w:val="none" w:sz="0" w:space="0" w:color="auto"/>
      </w:divBdr>
    </w:div>
    <w:div w:id="378673090">
      <w:bodyDiv w:val="1"/>
      <w:marLeft w:val="0"/>
      <w:marRight w:val="0"/>
      <w:marTop w:val="0"/>
      <w:marBottom w:val="0"/>
      <w:divBdr>
        <w:top w:val="none" w:sz="0" w:space="0" w:color="auto"/>
        <w:left w:val="none" w:sz="0" w:space="0" w:color="auto"/>
        <w:bottom w:val="none" w:sz="0" w:space="0" w:color="auto"/>
        <w:right w:val="none" w:sz="0" w:space="0" w:color="auto"/>
      </w:divBdr>
    </w:div>
    <w:div w:id="481628510">
      <w:bodyDiv w:val="1"/>
      <w:marLeft w:val="0"/>
      <w:marRight w:val="0"/>
      <w:marTop w:val="0"/>
      <w:marBottom w:val="0"/>
      <w:divBdr>
        <w:top w:val="none" w:sz="0" w:space="0" w:color="auto"/>
        <w:left w:val="none" w:sz="0" w:space="0" w:color="auto"/>
        <w:bottom w:val="none" w:sz="0" w:space="0" w:color="auto"/>
        <w:right w:val="none" w:sz="0" w:space="0" w:color="auto"/>
      </w:divBdr>
    </w:div>
    <w:div w:id="489441691">
      <w:bodyDiv w:val="1"/>
      <w:marLeft w:val="0"/>
      <w:marRight w:val="0"/>
      <w:marTop w:val="0"/>
      <w:marBottom w:val="0"/>
      <w:divBdr>
        <w:top w:val="none" w:sz="0" w:space="0" w:color="auto"/>
        <w:left w:val="none" w:sz="0" w:space="0" w:color="auto"/>
        <w:bottom w:val="none" w:sz="0" w:space="0" w:color="auto"/>
        <w:right w:val="none" w:sz="0" w:space="0" w:color="auto"/>
      </w:divBdr>
      <w:divsChild>
        <w:div w:id="1780684926">
          <w:marLeft w:val="0"/>
          <w:marRight w:val="0"/>
          <w:marTop w:val="0"/>
          <w:marBottom w:val="0"/>
          <w:divBdr>
            <w:top w:val="none" w:sz="0" w:space="0" w:color="auto"/>
            <w:left w:val="none" w:sz="0" w:space="0" w:color="auto"/>
            <w:bottom w:val="none" w:sz="0" w:space="0" w:color="auto"/>
            <w:right w:val="none" w:sz="0" w:space="0" w:color="auto"/>
          </w:divBdr>
        </w:div>
      </w:divsChild>
    </w:div>
    <w:div w:id="501120668">
      <w:bodyDiv w:val="1"/>
      <w:marLeft w:val="0"/>
      <w:marRight w:val="0"/>
      <w:marTop w:val="0"/>
      <w:marBottom w:val="0"/>
      <w:divBdr>
        <w:top w:val="none" w:sz="0" w:space="0" w:color="auto"/>
        <w:left w:val="none" w:sz="0" w:space="0" w:color="auto"/>
        <w:bottom w:val="none" w:sz="0" w:space="0" w:color="auto"/>
        <w:right w:val="none" w:sz="0" w:space="0" w:color="auto"/>
      </w:divBdr>
      <w:divsChild>
        <w:div w:id="2061175196">
          <w:marLeft w:val="0"/>
          <w:marRight w:val="0"/>
          <w:marTop w:val="0"/>
          <w:marBottom w:val="0"/>
          <w:divBdr>
            <w:top w:val="none" w:sz="0" w:space="0" w:color="auto"/>
            <w:left w:val="none" w:sz="0" w:space="0" w:color="auto"/>
            <w:bottom w:val="none" w:sz="0" w:space="0" w:color="auto"/>
            <w:right w:val="none" w:sz="0" w:space="0" w:color="auto"/>
          </w:divBdr>
        </w:div>
      </w:divsChild>
    </w:div>
    <w:div w:id="502859949">
      <w:bodyDiv w:val="1"/>
      <w:marLeft w:val="0"/>
      <w:marRight w:val="0"/>
      <w:marTop w:val="0"/>
      <w:marBottom w:val="0"/>
      <w:divBdr>
        <w:top w:val="none" w:sz="0" w:space="0" w:color="auto"/>
        <w:left w:val="none" w:sz="0" w:space="0" w:color="auto"/>
        <w:bottom w:val="none" w:sz="0" w:space="0" w:color="auto"/>
        <w:right w:val="none" w:sz="0" w:space="0" w:color="auto"/>
      </w:divBdr>
    </w:div>
    <w:div w:id="520776512">
      <w:bodyDiv w:val="1"/>
      <w:marLeft w:val="0"/>
      <w:marRight w:val="0"/>
      <w:marTop w:val="0"/>
      <w:marBottom w:val="0"/>
      <w:divBdr>
        <w:top w:val="none" w:sz="0" w:space="0" w:color="auto"/>
        <w:left w:val="none" w:sz="0" w:space="0" w:color="auto"/>
        <w:bottom w:val="none" w:sz="0" w:space="0" w:color="auto"/>
        <w:right w:val="none" w:sz="0" w:space="0" w:color="auto"/>
      </w:divBdr>
    </w:div>
    <w:div w:id="535312476">
      <w:bodyDiv w:val="1"/>
      <w:marLeft w:val="0"/>
      <w:marRight w:val="0"/>
      <w:marTop w:val="0"/>
      <w:marBottom w:val="0"/>
      <w:divBdr>
        <w:top w:val="none" w:sz="0" w:space="0" w:color="auto"/>
        <w:left w:val="none" w:sz="0" w:space="0" w:color="auto"/>
        <w:bottom w:val="none" w:sz="0" w:space="0" w:color="auto"/>
        <w:right w:val="none" w:sz="0" w:space="0" w:color="auto"/>
      </w:divBdr>
      <w:divsChild>
        <w:div w:id="553351774">
          <w:marLeft w:val="0"/>
          <w:marRight w:val="0"/>
          <w:marTop w:val="0"/>
          <w:marBottom w:val="0"/>
          <w:divBdr>
            <w:top w:val="none" w:sz="0" w:space="0" w:color="auto"/>
            <w:left w:val="none" w:sz="0" w:space="0" w:color="auto"/>
            <w:bottom w:val="none" w:sz="0" w:space="0" w:color="auto"/>
            <w:right w:val="none" w:sz="0" w:space="0" w:color="auto"/>
          </w:divBdr>
        </w:div>
      </w:divsChild>
    </w:div>
    <w:div w:id="561795493">
      <w:bodyDiv w:val="1"/>
      <w:marLeft w:val="0"/>
      <w:marRight w:val="0"/>
      <w:marTop w:val="0"/>
      <w:marBottom w:val="0"/>
      <w:divBdr>
        <w:top w:val="none" w:sz="0" w:space="0" w:color="auto"/>
        <w:left w:val="none" w:sz="0" w:space="0" w:color="auto"/>
        <w:bottom w:val="none" w:sz="0" w:space="0" w:color="auto"/>
        <w:right w:val="none" w:sz="0" w:space="0" w:color="auto"/>
      </w:divBdr>
      <w:divsChild>
        <w:div w:id="2015372812">
          <w:marLeft w:val="0"/>
          <w:marRight w:val="0"/>
          <w:marTop w:val="0"/>
          <w:marBottom w:val="0"/>
          <w:divBdr>
            <w:top w:val="none" w:sz="0" w:space="0" w:color="auto"/>
            <w:left w:val="none" w:sz="0" w:space="0" w:color="auto"/>
            <w:bottom w:val="none" w:sz="0" w:space="0" w:color="auto"/>
            <w:right w:val="none" w:sz="0" w:space="0" w:color="auto"/>
          </w:divBdr>
        </w:div>
      </w:divsChild>
    </w:div>
    <w:div w:id="575171136">
      <w:bodyDiv w:val="1"/>
      <w:marLeft w:val="0"/>
      <w:marRight w:val="0"/>
      <w:marTop w:val="0"/>
      <w:marBottom w:val="0"/>
      <w:divBdr>
        <w:top w:val="none" w:sz="0" w:space="0" w:color="auto"/>
        <w:left w:val="none" w:sz="0" w:space="0" w:color="auto"/>
        <w:bottom w:val="none" w:sz="0" w:space="0" w:color="auto"/>
        <w:right w:val="none" w:sz="0" w:space="0" w:color="auto"/>
      </w:divBdr>
    </w:div>
    <w:div w:id="596602297">
      <w:bodyDiv w:val="1"/>
      <w:marLeft w:val="0"/>
      <w:marRight w:val="0"/>
      <w:marTop w:val="0"/>
      <w:marBottom w:val="0"/>
      <w:divBdr>
        <w:top w:val="none" w:sz="0" w:space="0" w:color="auto"/>
        <w:left w:val="none" w:sz="0" w:space="0" w:color="auto"/>
        <w:bottom w:val="none" w:sz="0" w:space="0" w:color="auto"/>
        <w:right w:val="none" w:sz="0" w:space="0" w:color="auto"/>
      </w:divBdr>
      <w:divsChild>
        <w:div w:id="1780293772">
          <w:marLeft w:val="0"/>
          <w:marRight w:val="0"/>
          <w:marTop w:val="0"/>
          <w:marBottom w:val="0"/>
          <w:divBdr>
            <w:top w:val="none" w:sz="0" w:space="0" w:color="auto"/>
            <w:left w:val="none" w:sz="0" w:space="0" w:color="auto"/>
            <w:bottom w:val="none" w:sz="0" w:space="0" w:color="auto"/>
            <w:right w:val="none" w:sz="0" w:space="0" w:color="auto"/>
          </w:divBdr>
        </w:div>
      </w:divsChild>
    </w:div>
    <w:div w:id="597373743">
      <w:bodyDiv w:val="1"/>
      <w:marLeft w:val="0"/>
      <w:marRight w:val="0"/>
      <w:marTop w:val="0"/>
      <w:marBottom w:val="0"/>
      <w:divBdr>
        <w:top w:val="none" w:sz="0" w:space="0" w:color="auto"/>
        <w:left w:val="none" w:sz="0" w:space="0" w:color="auto"/>
        <w:bottom w:val="none" w:sz="0" w:space="0" w:color="auto"/>
        <w:right w:val="none" w:sz="0" w:space="0" w:color="auto"/>
      </w:divBdr>
    </w:div>
    <w:div w:id="622927707">
      <w:bodyDiv w:val="1"/>
      <w:marLeft w:val="0"/>
      <w:marRight w:val="0"/>
      <w:marTop w:val="0"/>
      <w:marBottom w:val="0"/>
      <w:divBdr>
        <w:top w:val="none" w:sz="0" w:space="0" w:color="auto"/>
        <w:left w:val="none" w:sz="0" w:space="0" w:color="auto"/>
        <w:bottom w:val="none" w:sz="0" w:space="0" w:color="auto"/>
        <w:right w:val="none" w:sz="0" w:space="0" w:color="auto"/>
      </w:divBdr>
      <w:divsChild>
        <w:div w:id="235668007">
          <w:marLeft w:val="0"/>
          <w:marRight w:val="0"/>
          <w:marTop w:val="0"/>
          <w:marBottom w:val="0"/>
          <w:divBdr>
            <w:top w:val="none" w:sz="0" w:space="0" w:color="auto"/>
            <w:left w:val="none" w:sz="0" w:space="0" w:color="auto"/>
            <w:bottom w:val="none" w:sz="0" w:space="0" w:color="auto"/>
            <w:right w:val="none" w:sz="0" w:space="0" w:color="auto"/>
          </w:divBdr>
        </w:div>
        <w:div w:id="1790783648">
          <w:marLeft w:val="0"/>
          <w:marRight w:val="0"/>
          <w:marTop w:val="0"/>
          <w:marBottom w:val="0"/>
          <w:divBdr>
            <w:top w:val="none" w:sz="0" w:space="0" w:color="auto"/>
            <w:left w:val="none" w:sz="0" w:space="0" w:color="auto"/>
            <w:bottom w:val="none" w:sz="0" w:space="0" w:color="auto"/>
            <w:right w:val="none" w:sz="0" w:space="0" w:color="auto"/>
          </w:divBdr>
        </w:div>
      </w:divsChild>
    </w:div>
    <w:div w:id="639922583">
      <w:bodyDiv w:val="1"/>
      <w:marLeft w:val="0"/>
      <w:marRight w:val="0"/>
      <w:marTop w:val="0"/>
      <w:marBottom w:val="0"/>
      <w:divBdr>
        <w:top w:val="none" w:sz="0" w:space="0" w:color="auto"/>
        <w:left w:val="none" w:sz="0" w:space="0" w:color="auto"/>
        <w:bottom w:val="none" w:sz="0" w:space="0" w:color="auto"/>
        <w:right w:val="none" w:sz="0" w:space="0" w:color="auto"/>
      </w:divBdr>
      <w:divsChild>
        <w:div w:id="224025864">
          <w:marLeft w:val="0"/>
          <w:marRight w:val="0"/>
          <w:marTop w:val="0"/>
          <w:marBottom w:val="0"/>
          <w:divBdr>
            <w:top w:val="none" w:sz="0" w:space="0" w:color="auto"/>
            <w:left w:val="none" w:sz="0" w:space="0" w:color="auto"/>
            <w:bottom w:val="none" w:sz="0" w:space="0" w:color="auto"/>
            <w:right w:val="none" w:sz="0" w:space="0" w:color="auto"/>
          </w:divBdr>
        </w:div>
      </w:divsChild>
    </w:div>
    <w:div w:id="672608564">
      <w:bodyDiv w:val="1"/>
      <w:marLeft w:val="0"/>
      <w:marRight w:val="0"/>
      <w:marTop w:val="0"/>
      <w:marBottom w:val="0"/>
      <w:divBdr>
        <w:top w:val="none" w:sz="0" w:space="0" w:color="auto"/>
        <w:left w:val="none" w:sz="0" w:space="0" w:color="auto"/>
        <w:bottom w:val="none" w:sz="0" w:space="0" w:color="auto"/>
        <w:right w:val="none" w:sz="0" w:space="0" w:color="auto"/>
      </w:divBdr>
      <w:divsChild>
        <w:div w:id="337194018">
          <w:marLeft w:val="0"/>
          <w:marRight w:val="0"/>
          <w:marTop w:val="0"/>
          <w:marBottom w:val="0"/>
          <w:divBdr>
            <w:top w:val="none" w:sz="0" w:space="0" w:color="auto"/>
            <w:left w:val="none" w:sz="0" w:space="0" w:color="auto"/>
            <w:bottom w:val="none" w:sz="0" w:space="0" w:color="auto"/>
            <w:right w:val="none" w:sz="0" w:space="0" w:color="auto"/>
          </w:divBdr>
        </w:div>
      </w:divsChild>
    </w:div>
    <w:div w:id="690452303">
      <w:bodyDiv w:val="1"/>
      <w:marLeft w:val="0"/>
      <w:marRight w:val="0"/>
      <w:marTop w:val="0"/>
      <w:marBottom w:val="0"/>
      <w:divBdr>
        <w:top w:val="none" w:sz="0" w:space="0" w:color="auto"/>
        <w:left w:val="none" w:sz="0" w:space="0" w:color="auto"/>
        <w:bottom w:val="none" w:sz="0" w:space="0" w:color="auto"/>
        <w:right w:val="none" w:sz="0" w:space="0" w:color="auto"/>
      </w:divBdr>
    </w:div>
    <w:div w:id="691808349">
      <w:bodyDiv w:val="1"/>
      <w:marLeft w:val="0"/>
      <w:marRight w:val="0"/>
      <w:marTop w:val="0"/>
      <w:marBottom w:val="0"/>
      <w:divBdr>
        <w:top w:val="none" w:sz="0" w:space="0" w:color="auto"/>
        <w:left w:val="none" w:sz="0" w:space="0" w:color="auto"/>
        <w:bottom w:val="none" w:sz="0" w:space="0" w:color="auto"/>
        <w:right w:val="none" w:sz="0" w:space="0" w:color="auto"/>
      </w:divBdr>
    </w:div>
    <w:div w:id="692419605">
      <w:bodyDiv w:val="1"/>
      <w:marLeft w:val="0"/>
      <w:marRight w:val="0"/>
      <w:marTop w:val="0"/>
      <w:marBottom w:val="0"/>
      <w:divBdr>
        <w:top w:val="none" w:sz="0" w:space="0" w:color="auto"/>
        <w:left w:val="none" w:sz="0" w:space="0" w:color="auto"/>
        <w:bottom w:val="none" w:sz="0" w:space="0" w:color="auto"/>
        <w:right w:val="none" w:sz="0" w:space="0" w:color="auto"/>
      </w:divBdr>
      <w:divsChild>
        <w:div w:id="2106802855">
          <w:marLeft w:val="0"/>
          <w:marRight w:val="0"/>
          <w:marTop w:val="0"/>
          <w:marBottom w:val="0"/>
          <w:divBdr>
            <w:top w:val="none" w:sz="0" w:space="0" w:color="auto"/>
            <w:left w:val="none" w:sz="0" w:space="0" w:color="auto"/>
            <w:bottom w:val="none" w:sz="0" w:space="0" w:color="auto"/>
            <w:right w:val="none" w:sz="0" w:space="0" w:color="auto"/>
          </w:divBdr>
        </w:div>
      </w:divsChild>
    </w:div>
    <w:div w:id="694965729">
      <w:bodyDiv w:val="1"/>
      <w:marLeft w:val="0"/>
      <w:marRight w:val="0"/>
      <w:marTop w:val="0"/>
      <w:marBottom w:val="0"/>
      <w:divBdr>
        <w:top w:val="none" w:sz="0" w:space="0" w:color="auto"/>
        <w:left w:val="none" w:sz="0" w:space="0" w:color="auto"/>
        <w:bottom w:val="none" w:sz="0" w:space="0" w:color="auto"/>
        <w:right w:val="none" w:sz="0" w:space="0" w:color="auto"/>
      </w:divBdr>
    </w:div>
    <w:div w:id="704410209">
      <w:bodyDiv w:val="1"/>
      <w:marLeft w:val="0"/>
      <w:marRight w:val="0"/>
      <w:marTop w:val="0"/>
      <w:marBottom w:val="0"/>
      <w:divBdr>
        <w:top w:val="none" w:sz="0" w:space="0" w:color="auto"/>
        <w:left w:val="none" w:sz="0" w:space="0" w:color="auto"/>
        <w:bottom w:val="none" w:sz="0" w:space="0" w:color="auto"/>
        <w:right w:val="none" w:sz="0" w:space="0" w:color="auto"/>
      </w:divBdr>
    </w:div>
    <w:div w:id="714433387">
      <w:bodyDiv w:val="1"/>
      <w:marLeft w:val="0"/>
      <w:marRight w:val="0"/>
      <w:marTop w:val="0"/>
      <w:marBottom w:val="0"/>
      <w:divBdr>
        <w:top w:val="none" w:sz="0" w:space="0" w:color="auto"/>
        <w:left w:val="none" w:sz="0" w:space="0" w:color="auto"/>
        <w:bottom w:val="none" w:sz="0" w:space="0" w:color="auto"/>
        <w:right w:val="none" w:sz="0" w:space="0" w:color="auto"/>
      </w:divBdr>
    </w:div>
    <w:div w:id="723718842">
      <w:bodyDiv w:val="1"/>
      <w:marLeft w:val="0"/>
      <w:marRight w:val="0"/>
      <w:marTop w:val="0"/>
      <w:marBottom w:val="0"/>
      <w:divBdr>
        <w:top w:val="none" w:sz="0" w:space="0" w:color="auto"/>
        <w:left w:val="none" w:sz="0" w:space="0" w:color="auto"/>
        <w:bottom w:val="none" w:sz="0" w:space="0" w:color="auto"/>
        <w:right w:val="none" w:sz="0" w:space="0" w:color="auto"/>
      </w:divBdr>
      <w:divsChild>
        <w:div w:id="135686262">
          <w:marLeft w:val="0"/>
          <w:marRight w:val="0"/>
          <w:marTop w:val="0"/>
          <w:marBottom w:val="0"/>
          <w:divBdr>
            <w:top w:val="none" w:sz="0" w:space="0" w:color="auto"/>
            <w:left w:val="none" w:sz="0" w:space="0" w:color="auto"/>
            <w:bottom w:val="none" w:sz="0" w:space="0" w:color="auto"/>
            <w:right w:val="none" w:sz="0" w:space="0" w:color="auto"/>
          </w:divBdr>
        </w:div>
      </w:divsChild>
    </w:div>
    <w:div w:id="724833234">
      <w:bodyDiv w:val="1"/>
      <w:marLeft w:val="0"/>
      <w:marRight w:val="0"/>
      <w:marTop w:val="0"/>
      <w:marBottom w:val="0"/>
      <w:divBdr>
        <w:top w:val="none" w:sz="0" w:space="0" w:color="auto"/>
        <w:left w:val="none" w:sz="0" w:space="0" w:color="auto"/>
        <w:bottom w:val="none" w:sz="0" w:space="0" w:color="auto"/>
        <w:right w:val="none" w:sz="0" w:space="0" w:color="auto"/>
      </w:divBdr>
    </w:div>
    <w:div w:id="782578904">
      <w:bodyDiv w:val="1"/>
      <w:marLeft w:val="0"/>
      <w:marRight w:val="0"/>
      <w:marTop w:val="0"/>
      <w:marBottom w:val="0"/>
      <w:divBdr>
        <w:top w:val="none" w:sz="0" w:space="0" w:color="auto"/>
        <w:left w:val="none" w:sz="0" w:space="0" w:color="auto"/>
        <w:bottom w:val="none" w:sz="0" w:space="0" w:color="auto"/>
        <w:right w:val="none" w:sz="0" w:space="0" w:color="auto"/>
      </w:divBdr>
    </w:div>
    <w:div w:id="786120337">
      <w:bodyDiv w:val="1"/>
      <w:marLeft w:val="0"/>
      <w:marRight w:val="0"/>
      <w:marTop w:val="0"/>
      <w:marBottom w:val="0"/>
      <w:divBdr>
        <w:top w:val="none" w:sz="0" w:space="0" w:color="auto"/>
        <w:left w:val="none" w:sz="0" w:space="0" w:color="auto"/>
        <w:bottom w:val="none" w:sz="0" w:space="0" w:color="auto"/>
        <w:right w:val="none" w:sz="0" w:space="0" w:color="auto"/>
      </w:divBdr>
    </w:div>
    <w:div w:id="815491794">
      <w:bodyDiv w:val="1"/>
      <w:marLeft w:val="0"/>
      <w:marRight w:val="0"/>
      <w:marTop w:val="0"/>
      <w:marBottom w:val="0"/>
      <w:divBdr>
        <w:top w:val="none" w:sz="0" w:space="0" w:color="auto"/>
        <w:left w:val="none" w:sz="0" w:space="0" w:color="auto"/>
        <w:bottom w:val="none" w:sz="0" w:space="0" w:color="auto"/>
        <w:right w:val="none" w:sz="0" w:space="0" w:color="auto"/>
      </w:divBdr>
    </w:div>
    <w:div w:id="823203774">
      <w:bodyDiv w:val="1"/>
      <w:marLeft w:val="0"/>
      <w:marRight w:val="0"/>
      <w:marTop w:val="0"/>
      <w:marBottom w:val="0"/>
      <w:divBdr>
        <w:top w:val="none" w:sz="0" w:space="0" w:color="auto"/>
        <w:left w:val="none" w:sz="0" w:space="0" w:color="auto"/>
        <w:bottom w:val="none" w:sz="0" w:space="0" w:color="auto"/>
        <w:right w:val="none" w:sz="0" w:space="0" w:color="auto"/>
      </w:divBdr>
      <w:divsChild>
        <w:div w:id="706295977">
          <w:marLeft w:val="0"/>
          <w:marRight w:val="0"/>
          <w:marTop w:val="0"/>
          <w:marBottom w:val="0"/>
          <w:divBdr>
            <w:top w:val="none" w:sz="0" w:space="0" w:color="auto"/>
            <w:left w:val="none" w:sz="0" w:space="0" w:color="auto"/>
            <w:bottom w:val="none" w:sz="0" w:space="0" w:color="auto"/>
            <w:right w:val="none" w:sz="0" w:space="0" w:color="auto"/>
          </w:divBdr>
        </w:div>
      </w:divsChild>
    </w:div>
    <w:div w:id="837580933">
      <w:bodyDiv w:val="1"/>
      <w:marLeft w:val="0"/>
      <w:marRight w:val="0"/>
      <w:marTop w:val="0"/>
      <w:marBottom w:val="0"/>
      <w:divBdr>
        <w:top w:val="none" w:sz="0" w:space="0" w:color="auto"/>
        <w:left w:val="none" w:sz="0" w:space="0" w:color="auto"/>
        <w:bottom w:val="none" w:sz="0" w:space="0" w:color="auto"/>
        <w:right w:val="none" w:sz="0" w:space="0" w:color="auto"/>
      </w:divBdr>
    </w:div>
    <w:div w:id="841315444">
      <w:bodyDiv w:val="1"/>
      <w:marLeft w:val="0"/>
      <w:marRight w:val="0"/>
      <w:marTop w:val="0"/>
      <w:marBottom w:val="0"/>
      <w:divBdr>
        <w:top w:val="none" w:sz="0" w:space="0" w:color="auto"/>
        <w:left w:val="none" w:sz="0" w:space="0" w:color="auto"/>
        <w:bottom w:val="none" w:sz="0" w:space="0" w:color="auto"/>
        <w:right w:val="none" w:sz="0" w:space="0" w:color="auto"/>
      </w:divBdr>
      <w:divsChild>
        <w:div w:id="716927175">
          <w:marLeft w:val="0"/>
          <w:marRight w:val="0"/>
          <w:marTop w:val="0"/>
          <w:marBottom w:val="0"/>
          <w:divBdr>
            <w:top w:val="none" w:sz="0" w:space="0" w:color="auto"/>
            <w:left w:val="none" w:sz="0" w:space="0" w:color="auto"/>
            <w:bottom w:val="none" w:sz="0" w:space="0" w:color="auto"/>
            <w:right w:val="none" w:sz="0" w:space="0" w:color="auto"/>
          </w:divBdr>
        </w:div>
      </w:divsChild>
    </w:div>
    <w:div w:id="847139586">
      <w:bodyDiv w:val="1"/>
      <w:marLeft w:val="0"/>
      <w:marRight w:val="0"/>
      <w:marTop w:val="0"/>
      <w:marBottom w:val="0"/>
      <w:divBdr>
        <w:top w:val="none" w:sz="0" w:space="0" w:color="auto"/>
        <w:left w:val="none" w:sz="0" w:space="0" w:color="auto"/>
        <w:bottom w:val="none" w:sz="0" w:space="0" w:color="auto"/>
        <w:right w:val="none" w:sz="0" w:space="0" w:color="auto"/>
      </w:divBdr>
    </w:div>
    <w:div w:id="857280986">
      <w:bodyDiv w:val="1"/>
      <w:marLeft w:val="0"/>
      <w:marRight w:val="0"/>
      <w:marTop w:val="0"/>
      <w:marBottom w:val="0"/>
      <w:divBdr>
        <w:top w:val="none" w:sz="0" w:space="0" w:color="auto"/>
        <w:left w:val="none" w:sz="0" w:space="0" w:color="auto"/>
        <w:bottom w:val="none" w:sz="0" w:space="0" w:color="auto"/>
        <w:right w:val="none" w:sz="0" w:space="0" w:color="auto"/>
      </w:divBdr>
    </w:div>
    <w:div w:id="873464727">
      <w:bodyDiv w:val="1"/>
      <w:marLeft w:val="0"/>
      <w:marRight w:val="0"/>
      <w:marTop w:val="0"/>
      <w:marBottom w:val="0"/>
      <w:divBdr>
        <w:top w:val="none" w:sz="0" w:space="0" w:color="auto"/>
        <w:left w:val="none" w:sz="0" w:space="0" w:color="auto"/>
        <w:bottom w:val="none" w:sz="0" w:space="0" w:color="auto"/>
        <w:right w:val="none" w:sz="0" w:space="0" w:color="auto"/>
      </w:divBdr>
    </w:div>
    <w:div w:id="893543291">
      <w:bodyDiv w:val="1"/>
      <w:marLeft w:val="0"/>
      <w:marRight w:val="0"/>
      <w:marTop w:val="0"/>
      <w:marBottom w:val="0"/>
      <w:divBdr>
        <w:top w:val="none" w:sz="0" w:space="0" w:color="auto"/>
        <w:left w:val="none" w:sz="0" w:space="0" w:color="auto"/>
        <w:bottom w:val="none" w:sz="0" w:space="0" w:color="auto"/>
        <w:right w:val="none" w:sz="0" w:space="0" w:color="auto"/>
      </w:divBdr>
    </w:div>
    <w:div w:id="925269595">
      <w:bodyDiv w:val="1"/>
      <w:marLeft w:val="0"/>
      <w:marRight w:val="0"/>
      <w:marTop w:val="0"/>
      <w:marBottom w:val="0"/>
      <w:divBdr>
        <w:top w:val="none" w:sz="0" w:space="0" w:color="auto"/>
        <w:left w:val="none" w:sz="0" w:space="0" w:color="auto"/>
        <w:bottom w:val="none" w:sz="0" w:space="0" w:color="auto"/>
        <w:right w:val="none" w:sz="0" w:space="0" w:color="auto"/>
      </w:divBdr>
    </w:div>
    <w:div w:id="929436159">
      <w:bodyDiv w:val="1"/>
      <w:marLeft w:val="0"/>
      <w:marRight w:val="0"/>
      <w:marTop w:val="0"/>
      <w:marBottom w:val="0"/>
      <w:divBdr>
        <w:top w:val="none" w:sz="0" w:space="0" w:color="auto"/>
        <w:left w:val="none" w:sz="0" w:space="0" w:color="auto"/>
        <w:bottom w:val="none" w:sz="0" w:space="0" w:color="auto"/>
        <w:right w:val="none" w:sz="0" w:space="0" w:color="auto"/>
      </w:divBdr>
      <w:divsChild>
        <w:div w:id="1969819757">
          <w:marLeft w:val="0"/>
          <w:marRight w:val="0"/>
          <w:marTop w:val="0"/>
          <w:marBottom w:val="0"/>
          <w:divBdr>
            <w:top w:val="none" w:sz="0" w:space="0" w:color="auto"/>
            <w:left w:val="none" w:sz="0" w:space="0" w:color="auto"/>
            <w:bottom w:val="none" w:sz="0" w:space="0" w:color="auto"/>
            <w:right w:val="none" w:sz="0" w:space="0" w:color="auto"/>
          </w:divBdr>
        </w:div>
      </w:divsChild>
    </w:div>
    <w:div w:id="934443131">
      <w:bodyDiv w:val="1"/>
      <w:marLeft w:val="0"/>
      <w:marRight w:val="0"/>
      <w:marTop w:val="0"/>
      <w:marBottom w:val="0"/>
      <w:divBdr>
        <w:top w:val="none" w:sz="0" w:space="0" w:color="auto"/>
        <w:left w:val="none" w:sz="0" w:space="0" w:color="auto"/>
        <w:bottom w:val="none" w:sz="0" w:space="0" w:color="auto"/>
        <w:right w:val="none" w:sz="0" w:space="0" w:color="auto"/>
      </w:divBdr>
    </w:div>
    <w:div w:id="963274341">
      <w:bodyDiv w:val="1"/>
      <w:marLeft w:val="0"/>
      <w:marRight w:val="0"/>
      <w:marTop w:val="0"/>
      <w:marBottom w:val="0"/>
      <w:divBdr>
        <w:top w:val="none" w:sz="0" w:space="0" w:color="auto"/>
        <w:left w:val="none" w:sz="0" w:space="0" w:color="auto"/>
        <w:bottom w:val="none" w:sz="0" w:space="0" w:color="auto"/>
        <w:right w:val="none" w:sz="0" w:space="0" w:color="auto"/>
      </w:divBdr>
    </w:div>
    <w:div w:id="967785741">
      <w:bodyDiv w:val="1"/>
      <w:marLeft w:val="0"/>
      <w:marRight w:val="0"/>
      <w:marTop w:val="0"/>
      <w:marBottom w:val="0"/>
      <w:divBdr>
        <w:top w:val="none" w:sz="0" w:space="0" w:color="auto"/>
        <w:left w:val="none" w:sz="0" w:space="0" w:color="auto"/>
        <w:bottom w:val="none" w:sz="0" w:space="0" w:color="auto"/>
        <w:right w:val="none" w:sz="0" w:space="0" w:color="auto"/>
      </w:divBdr>
    </w:div>
    <w:div w:id="969867450">
      <w:bodyDiv w:val="1"/>
      <w:marLeft w:val="0"/>
      <w:marRight w:val="0"/>
      <w:marTop w:val="0"/>
      <w:marBottom w:val="0"/>
      <w:divBdr>
        <w:top w:val="none" w:sz="0" w:space="0" w:color="auto"/>
        <w:left w:val="none" w:sz="0" w:space="0" w:color="auto"/>
        <w:bottom w:val="none" w:sz="0" w:space="0" w:color="auto"/>
        <w:right w:val="none" w:sz="0" w:space="0" w:color="auto"/>
      </w:divBdr>
    </w:div>
    <w:div w:id="1008868323">
      <w:bodyDiv w:val="1"/>
      <w:marLeft w:val="0"/>
      <w:marRight w:val="0"/>
      <w:marTop w:val="0"/>
      <w:marBottom w:val="0"/>
      <w:divBdr>
        <w:top w:val="none" w:sz="0" w:space="0" w:color="auto"/>
        <w:left w:val="none" w:sz="0" w:space="0" w:color="auto"/>
        <w:bottom w:val="none" w:sz="0" w:space="0" w:color="auto"/>
        <w:right w:val="none" w:sz="0" w:space="0" w:color="auto"/>
      </w:divBdr>
      <w:divsChild>
        <w:div w:id="2025857198">
          <w:marLeft w:val="0"/>
          <w:marRight w:val="0"/>
          <w:marTop w:val="0"/>
          <w:marBottom w:val="0"/>
          <w:divBdr>
            <w:top w:val="none" w:sz="0" w:space="0" w:color="auto"/>
            <w:left w:val="none" w:sz="0" w:space="0" w:color="auto"/>
            <w:bottom w:val="none" w:sz="0" w:space="0" w:color="auto"/>
            <w:right w:val="none" w:sz="0" w:space="0" w:color="auto"/>
          </w:divBdr>
        </w:div>
      </w:divsChild>
    </w:div>
    <w:div w:id="1072580809">
      <w:bodyDiv w:val="1"/>
      <w:marLeft w:val="0"/>
      <w:marRight w:val="0"/>
      <w:marTop w:val="0"/>
      <w:marBottom w:val="0"/>
      <w:divBdr>
        <w:top w:val="none" w:sz="0" w:space="0" w:color="auto"/>
        <w:left w:val="none" w:sz="0" w:space="0" w:color="auto"/>
        <w:bottom w:val="none" w:sz="0" w:space="0" w:color="auto"/>
        <w:right w:val="none" w:sz="0" w:space="0" w:color="auto"/>
      </w:divBdr>
      <w:divsChild>
        <w:div w:id="618146347">
          <w:marLeft w:val="0"/>
          <w:marRight w:val="0"/>
          <w:marTop w:val="0"/>
          <w:marBottom w:val="0"/>
          <w:divBdr>
            <w:top w:val="none" w:sz="0" w:space="0" w:color="auto"/>
            <w:left w:val="none" w:sz="0" w:space="0" w:color="auto"/>
            <w:bottom w:val="none" w:sz="0" w:space="0" w:color="auto"/>
            <w:right w:val="none" w:sz="0" w:space="0" w:color="auto"/>
          </w:divBdr>
        </w:div>
        <w:div w:id="1296444758">
          <w:marLeft w:val="0"/>
          <w:marRight w:val="0"/>
          <w:marTop w:val="0"/>
          <w:marBottom w:val="0"/>
          <w:divBdr>
            <w:top w:val="none" w:sz="0" w:space="0" w:color="auto"/>
            <w:left w:val="none" w:sz="0" w:space="0" w:color="auto"/>
            <w:bottom w:val="none" w:sz="0" w:space="0" w:color="auto"/>
            <w:right w:val="none" w:sz="0" w:space="0" w:color="auto"/>
          </w:divBdr>
        </w:div>
      </w:divsChild>
    </w:div>
    <w:div w:id="1083185920">
      <w:bodyDiv w:val="1"/>
      <w:marLeft w:val="0"/>
      <w:marRight w:val="0"/>
      <w:marTop w:val="0"/>
      <w:marBottom w:val="0"/>
      <w:divBdr>
        <w:top w:val="none" w:sz="0" w:space="0" w:color="auto"/>
        <w:left w:val="none" w:sz="0" w:space="0" w:color="auto"/>
        <w:bottom w:val="none" w:sz="0" w:space="0" w:color="auto"/>
        <w:right w:val="none" w:sz="0" w:space="0" w:color="auto"/>
      </w:divBdr>
    </w:div>
    <w:div w:id="1084761449">
      <w:bodyDiv w:val="1"/>
      <w:marLeft w:val="0"/>
      <w:marRight w:val="0"/>
      <w:marTop w:val="0"/>
      <w:marBottom w:val="0"/>
      <w:divBdr>
        <w:top w:val="none" w:sz="0" w:space="0" w:color="auto"/>
        <w:left w:val="none" w:sz="0" w:space="0" w:color="auto"/>
        <w:bottom w:val="none" w:sz="0" w:space="0" w:color="auto"/>
        <w:right w:val="none" w:sz="0" w:space="0" w:color="auto"/>
      </w:divBdr>
    </w:div>
    <w:div w:id="1090082861">
      <w:bodyDiv w:val="1"/>
      <w:marLeft w:val="0"/>
      <w:marRight w:val="0"/>
      <w:marTop w:val="0"/>
      <w:marBottom w:val="0"/>
      <w:divBdr>
        <w:top w:val="none" w:sz="0" w:space="0" w:color="auto"/>
        <w:left w:val="none" w:sz="0" w:space="0" w:color="auto"/>
        <w:bottom w:val="none" w:sz="0" w:space="0" w:color="auto"/>
        <w:right w:val="none" w:sz="0" w:space="0" w:color="auto"/>
      </w:divBdr>
      <w:divsChild>
        <w:div w:id="1670407560">
          <w:marLeft w:val="0"/>
          <w:marRight w:val="0"/>
          <w:marTop w:val="0"/>
          <w:marBottom w:val="0"/>
          <w:divBdr>
            <w:top w:val="none" w:sz="0" w:space="0" w:color="auto"/>
            <w:left w:val="none" w:sz="0" w:space="0" w:color="auto"/>
            <w:bottom w:val="none" w:sz="0" w:space="0" w:color="auto"/>
            <w:right w:val="none" w:sz="0" w:space="0" w:color="auto"/>
          </w:divBdr>
        </w:div>
      </w:divsChild>
    </w:div>
    <w:div w:id="1113481048">
      <w:bodyDiv w:val="1"/>
      <w:marLeft w:val="0"/>
      <w:marRight w:val="0"/>
      <w:marTop w:val="0"/>
      <w:marBottom w:val="0"/>
      <w:divBdr>
        <w:top w:val="none" w:sz="0" w:space="0" w:color="auto"/>
        <w:left w:val="none" w:sz="0" w:space="0" w:color="auto"/>
        <w:bottom w:val="none" w:sz="0" w:space="0" w:color="auto"/>
        <w:right w:val="none" w:sz="0" w:space="0" w:color="auto"/>
      </w:divBdr>
      <w:divsChild>
        <w:div w:id="738133891">
          <w:marLeft w:val="0"/>
          <w:marRight w:val="0"/>
          <w:marTop w:val="0"/>
          <w:marBottom w:val="0"/>
          <w:divBdr>
            <w:top w:val="none" w:sz="0" w:space="0" w:color="auto"/>
            <w:left w:val="none" w:sz="0" w:space="0" w:color="auto"/>
            <w:bottom w:val="none" w:sz="0" w:space="0" w:color="auto"/>
            <w:right w:val="none" w:sz="0" w:space="0" w:color="auto"/>
          </w:divBdr>
        </w:div>
      </w:divsChild>
    </w:div>
    <w:div w:id="1118330048">
      <w:bodyDiv w:val="1"/>
      <w:marLeft w:val="0"/>
      <w:marRight w:val="0"/>
      <w:marTop w:val="0"/>
      <w:marBottom w:val="0"/>
      <w:divBdr>
        <w:top w:val="none" w:sz="0" w:space="0" w:color="auto"/>
        <w:left w:val="none" w:sz="0" w:space="0" w:color="auto"/>
        <w:bottom w:val="none" w:sz="0" w:space="0" w:color="auto"/>
        <w:right w:val="none" w:sz="0" w:space="0" w:color="auto"/>
      </w:divBdr>
      <w:divsChild>
        <w:div w:id="671567636">
          <w:marLeft w:val="0"/>
          <w:marRight w:val="0"/>
          <w:marTop w:val="0"/>
          <w:marBottom w:val="0"/>
          <w:divBdr>
            <w:top w:val="none" w:sz="0" w:space="0" w:color="auto"/>
            <w:left w:val="none" w:sz="0" w:space="0" w:color="auto"/>
            <w:bottom w:val="none" w:sz="0" w:space="0" w:color="auto"/>
            <w:right w:val="none" w:sz="0" w:space="0" w:color="auto"/>
          </w:divBdr>
        </w:div>
      </w:divsChild>
    </w:div>
    <w:div w:id="1132405905">
      <w:bodyDiv w:val="1"/>
      <w:marLeft w:val="0"/>
      <w:marRight w:val="0"/>
      <w:marTop w:val="0"/>
      <w:marBottom w:val="0"/>
      <w:divBdr>
        <w:top w:val="none" w:sz="0" w:space="0" w:color="auto"/>
        <w:left w:val="none" w:sz="0" w:space="0" w:color="auto"/>
        <w:bottom w:val="none" w:sz="0" w:space="0" w:color="auto"/>
        <w:right w:val="none" w:sz="0" w:space="0" w:color="auto"/>
      </w:divBdr>
      <w:divsChild>
        <w:div w:id="1397707553">
          <w:marLeft w:val="0"/>
          <w:marRight w:val="0"/>
          <w:marTop w:val="0"/>
          <w:marBottom w:val="0"/>
          <w:divBdr>
            <w:top w:val="none" w:sz="0" w:space="0" w:color="auto"/>
            <w:left w:val="none" w:sz="0" w:space="0" w:color="auto"/>
            <w:bottom w:val="none" w:sz="0" w:space="0" w:color="auto"/>
            <w:right w:val="none" w:sz="0" w:space="0" w:color="auto"/>
          </w:divBdr>
        </w:div>
      </w:divsChild>
    </w:div>
    <w:div w:id="1145127128">
      <w:bodyDiv w:val="1"/>
      <w:marLeft w:val="0"/>
      <w:marRight w:val="0"/>
      <w:marTop w:val="0"/>
      <w:marBottom w:val="0"/>
      <w:divBdr>
        <w:top w:val="none" w:sz="0" w:space="0" w:color="auto"/>
        <w:left w:val="none" w:sz="0" w:space="0" w:color="auto"/>
        <w:bottom w:val="none" w:sz="0" w:space="0" w:color="auto"/>
        <w:right w:val="none" w:sz="0" w:space="0" w:color="auto"/>
      </w:divBdr>
    </w:div>
    <w:div w:id="1184903850">
      <w:bodyDiv w:val="1"/>
      <w:marLeft w:val="0"/>
      <w:marRight w:val="0"/>
      <w:marTop w:val="0"/>
      <w:marBottom w:val="0"/>
      <w:divBdr>
        <w:top w:val="none" w:sz="0" w:space="0" w:color="auto"/>
        <w:left w:val="none" w:sz="0" w:space="0" w:color="auto"/>
        <w:bottom w:val="none" w:sz="0" w:space="0" w:color="auto"/>
        <w:right w:val="none" w:sz="0" w:space="0" w:color="auto"/>
      </w:divBdr>
      <w:divsChild>
        <w:div w:id="945381458">
          <w:marLeft w:val="0"/>
          <w:marRight w:val="0"/>
          <w:marTop w:val="0"/>
          <w:marBottom w:val="0"/>
          <w:divBdr>
            <w:top w:val="none" w:sz="0" w:space="0" w:color="auto"/>
            <w:left w:val="none" w:sz="0" w:space="0" w:color="auto"/>
            <w:bottom w:val="none" w:sz="0" w:space="0" w:color="auto"/>
            <w:right w:val="none" w:sz="0" w:space="0" w:color="auto"/>
          </w:divBdr>
        </w:div>
      </w:divsChild>
    </w:div>
    <w:div w:id="1215316274">
      <w:bodyDiv w:val="1"/>
      <w:marLeft w:val="0"/>
      <w:marRight w:val="0"/>
      <w:marTop w:val="0"/>
      <w:marBottom w:val="0"/>
      <w:divBdr>
        <w:top w:val="none" w:sz="0" w:space="0" w:color="auto"/>
        <w:left w:val="none" w:sz="0" w:space="0" w:color="auto"/>
        <w:bottom w:val="none" w:sz="0" w:space="0" w:color="auto"/>
        <w:right w:val="none" w:sz="0" w:space="0" w:color="auto"/>
      </w:divBdr>
      <w:divsChild>
        <w:div w:id="812605475">
          <w:marLeft w:val="0"/>
          <w:marRight w:val="0"/>
          <w:marTop w:val="0"/>
          <w:marBottom w:val="0"/>
          <w:divBdr>
            <w:top w:val="none" w:sz="0" w:space="0" w:color="auto"/>
            <w:left w:val="none" w:sz="0" w:space="0" w:color="auto"/>
            <w:bottom w:val="none" w:sz="0" w:space="0" w:color="auto"/>
            <w:right w:val="none" w:sz="0" w:space="0" w:color="auto"/>
          </w:divBdr>
        </w:div>
      </w:divsChild>
    </w:div>
    <w:div w:id="1229614197">
      <w:bodyDiv w:val="1"/>
      <w:marLeft w:val="0"/>
      <w:marRight w:val="0"/>
      <w:marTop w:val="0"/>
      <w:marBottom w:val="0"/>
      <w:divBdr>
        <w:top w:val="none" w:sz="0" w:space="0" w:color="auto"/>
        <w:left w:val="none" w:sz="0" w:space="0" w:color="auto"/>
        <w:bottom w:val="none" w:sz="0" w:space="0" w:color="auto"/>
        <w:right w:val="none" w:sz="0" w:space="0" w:color="auto"/>
      </w:divBdr>
    </w:div>
    <w:div w:id="1251545815">
      <w:bodyDiv w:val="1"/>
      <w:marLeft w:val="0"/>
      <w:marRight w:val="0"/>
      <w:marTop w:val="0"/>
      <w:marBottom w:val="0"/>
      <w:divBdr>
        <w:top w:val="none" w:sz="0" w:space="0" w:color="auto"/>
        <w:left w:val="none" w:sz="0" w:space="0" w:color="auto"/>
        <w:bottom w:val="none" w:sz="0" w:space="0" w:color="auto"/>
        <w:right w:val="none" w:sz="0" w:space="0" w:color="auto"/>
      </w:divBdr>
      <w:divsChild>
        <w:div w:id="9337366">
          <w:marLeft w:val="0"/>
          <w:marRight w:val="0"/>
          <w:marTop w:val="0"/>
          <w:marBottom w:val="0"/>
          <w:divBdr>
            <w:top w:val="none" w:sz="0" w:space="0" w:color="auto"/>
            <w:left w:val="none" w:sz="0" w:space="0" w:color="auto"/>
            <w:bottom w:val="none" w:sz="0" w:space="0" w:color="auto"/>
            <w:right w:val="none" w:sz="0" w:space="0" w:color="auto"/>
          </w:divBdr>
        </w:div>
      </w:divsChild>
    </w:div>
    <w:div w:id="1264191760">
      <w:bodyDiv w:val="1"/>
      <w:marLeft w:val="0"/>
      <w:marRight w:val="0"/>
      <w:marTop w:val="0"/>
      <w:marBottom w:val="0"/>
      <w:divBdr>
        <w:top w:val="none" w:sz="0" w:space="0" w:color="auto"/>
        <w:left w:val="none" w:sz="0" w:space="0" w:color="auto"/>
        <w:bottom w:val="none" w:sz="0" w:space="0" w:color="auto"/>
        <w:right w:val="none" w:sz="0" w:space="0" w:color="auto"/>
      </w:divBdr>
      <w:divsChild>
        <w:div w:id="253244909">
          <w:marLeft w:val="0"/>
          <w:marRight w:val="0"/>
          <w:marTop w:val="0"/>
          <w:marBottom w:val="0"/>
          <w:divBdr>
            <w:top w:val="none" w:sz="0" w:space="0" w:color="auto"/>
            <w:left w:val="none" w:sz="0" w:space="0" w:color="auto"/>
            <w:bottom w:val="none" w:sz="0" w:space="0" w:color="auto"/>
            <w:right w:val="none" w:sz="0" w:space="0" w:color="auto"/>
          </w:divBdr>
        </w:div>
      </w:divsChild>
    </w:div>
    <w:div w:id="1282344981">
      <w:bodyDiv w:val="1"/>
      <w:marLeft w:val="0"/>
      <w:marRight w:val="0"/>
      <w:marTop w:val="0"/>
      <w:marBottom w:val="0"/>
      <w:divBdr>
        <w:top w:val="none" w:sz="0" w:space="0" w:color="auto"/>
        <w:left w:val="none" w:sz="0" w:space="0" w:color="auto"/>
        <w:bottom w:val="none" w:sz="0" w:space="0" w:color="auto"/>
        <w:right w:val="none" w:sz="0" w:space="0" w:color="auto"/>
      </w:divBdr>
      <w:divsChild>
        <w:div w:id="2119131498">
          <w:marLeft w:val="0"/>
          <w:marRight w:val="0"/>
          <w:marTop w:val="0"/>
          <w:marBottom w:val="0"/>
          <w:divBdr>
            <w:top w:val="none" w:sz="0" w:space="0" w:color="auto"/>
            <w:left w:val="none" w:sz="0" w:space="0" w:color="auto"/>
            <w:bottom w:val="none" w:sz="0" w:space="0" w:color="auto"/>
            <w:right w:val="none" w:sz="0" w:space="0" w:color="auto"/>
          </w:divBdr>
        </w:div>
      </w:divsChild>
    </w:div>
    <w:div w:id="1300458422">
      <w:bodyDiv w:val="1"/>
      <w:marLeft w:val="0"/>
      <w:marRight w:val="0"/>
      <w:marTop w:val="0"/>
      <w:marBottom w:val="0"/>
      <w:divBdr>
        <w:top w:val="none" w:sz="0" w:space="0" w:color="auto"/>
        <w:left w:val="none" w:sz="0" w:space="0" w:color="auto"/>
        <w:bottom w:val="none" w:sz="0" w:space="0" w:color="auto"/>
        <w:right w:val="none" w:sz="0" w:space="0" w:color="auto"/>
      </w:divBdr>
    </w:div>
    <w:div w:id="1302344852">
      <w:bodyDiv w:val="1"/>
      <w:marLeft w:val="0"/>
      <w:marRight w:val="0"/>
      <w:marTop w:val="0"/>
      <w:marBottom w:val="0"/>
      <w:divBdr>
        <w:top w:val="none" w:sz="0" w:space="0" w:color="auto"/>
        <w:left w:val="none" w:sz="0" w:space="0" w:color="auto"/>
        <w:bottom w:val="none" w:sz="0" w:space="0" w:color="auto"/>
        <w:right w:val="none" w:sz="0" w:space="0" w:color="auto"/>
      </w:divBdr>
    </w:div>
    <w:div w:id="1304382919">
      <w:bodyDiv w:val="1"/>
      <w:marLeft w:val="0"/>
      <w:marRight w:val="0"/>
      <w:marTop w:val="0"/>
      <w:marBottom w:val="0"/>
      <w:divBdr>
        <w:top w:val="none" w:sz="0" w:space="0" w:color="auto"/>
        <w:left w:val="none" w:sz="0" w:space="0" w:color="auto"/>
        <w:bottom w:val="none" w:sz="0" w:space="0" w:color="auto"/>
        <w:right w:val="none" w:sz="0" w:space="0" w:color="auto"/>
      </w:divBdr>
      <w:divsChild>
        <w:div w:id="1367099993">
          <w:marLeft w:val="0"/>
          <w:marRight w:val="0"/>
          <w:marTop w:val="0"/>
          <w:marBottom w:val="0"/>
          <w:divBdr>
            <w:top w:val="none" w:sz="0" w:space="0" w:color="auto"/>
            <w:left w:val="none" w:sz="0" w:space="0" w:color="auto"/>
            <w:bottom w:val="none" w:sz="0" w:space="0" w:color="auto"/>
            <w:right w:val="none" w:sz="0" w:space="0" w:color="auto"/>
          </w:divBdr>
        </w:div>
      </w:divsChild>
    </w:div>
    <w:div w:id="1305546412">
      <w:bodyDiv w:val="1"/>
      <w:marLeft w:val="0"/>
      <w:marRight w:val="0"/>
      <w:marTop w:val="0"/>
      <w:marBottom w:val="0"/>
      <w:divBdr>
        <w:top w:val="none" w:sz="0" w:space="0" w:color="auto"/>
        <w:left w:val="none" w:sz="0" w:space="0" w:color="auto"/>
        <w:bottom w:val="none" w:sz="0" w:space="0" w:color="auto"/>
        <w:right w:val="none" w:sz="0" w:space="0" w:color="auto"/>
      </w:divBdr>
    </w:div>
    <w:div w:id="1314526444">
      <w:bodyDiv w:val="1"/>
      <w:marLeft w:val="0"/>
      <w:marRight w:val="0"/>
      <w:marTop w:val="0"/>
      <w:marBottom w:val="0"/>
      <w:divBdr>
        <w:top w:val="none" w:sz="0" w:space="0" w:color="auto"/>
        <w:left w:val="none" w:sz="0" w:space="0" w:color="auto"/>
        <w:bottom w:val="none" w:sz="0" w:space="0" w:color="auto"/>
        <w:right w:val="none" w:sz="0" w:space="0" w:color="auto"/>
      </w:divBdr>
    </w:div>
    <w:div w:id="1316254001">
      <w:bodyDiv w:val="1"/>
      <w:marLeft w:val="0"/>
      <w:marRight w:val="0"/>
      <w:marTop w:val="0"/>
      <w:marBottom w:val="0"/>
      <w:divBdr>
        <w:top w:val="none" w:sz="0" w:space="0" w:color="auto"/>
        <w:left w:val="none" w:sz="0" w:space="0" w:color="auto"/>
        <w:bottom w:val="none" w:sz="0" w:space="0" w:color="auto"/>
        <w:right w:val="none" w:sz="0" w:space="0" w:color="auto"/>
      </w:divBdr>
      <w:divsChild>
        <w:div w:id="1190339922">
          <w:marLeft w:val="0"/>
          <w:marRight w:val="0"/>
          <w:marTop w:val="0"/>
          <w:marBottom w:val="0"/>
          <w:divBdr>
            <w:top w:val="none" w:sz="0" w:space="0" w:color="auto"/>
            <w:left w:val="none" w:sz="0" w:space="0" w:color="auto"/>
            <w:bottom w:val="none" w:sz="0" w:space="0" w:color="auto"/>
            <w:right w:val="none" w:sz="0" w:space="0" w:color="auto"/>
          </w:divBdr>
        </w:div>
      </w:divsChild>
    </w:div>
    <w:div w:id="1329408580">
      <w:bodyDiv w:val="1"/>
      <w:marLeft w:val="0"/>
      <w:marRight w:val="0"/>
      <w:marTop w:val="0"/>
      <w:marBottom w:val="0"/>
      <w:divBdr>
        <w:top w:val="none" w:sz="0" w:space="0" w:color="auto"/>
        <w:left w:val="none" w:sz="0" w:space="0" w:color="auto"/>
        <w:bottom w:val="none" w:sz="0" w:space="0" w:color="auto"/>
        <w:right w:val="none" w:sz="0" w:space="0" w:color="auto"/>
      </w:divBdr>
    </w:div>
    <w:div w:id="1345861203">
      <w:bodyDiv w:val="1"/>
      <w:marLeft w:val="0"/>
      <w:marRight w:val="0"/>
      <w:marTop w:val="0"/>
      <w:marBottom w:val="0"/>
      <w:divBdr>
        <w:top w:val="none" w:sz="0" w:space="0" w:color="auto"/>
        <w:left w:val="none" w:sz="0" w:space="0" w:color="auto"/>
        <w:bottom w:val="none" w:sz="0" w:space="0" w:color="auto"/>
        <w:right w:val="none" w:sz="0" w:space="0" w:color="auto"/>
      </w:divBdr>
    </w:div>
    <w:div w:id="1385179596">
      <w:bodyDiv w:val="1"/>
      <w:marLeft w:val="0"/>
      <w:marRight w:val="0"/>
      <w:marTop w:val="0"/>
      <w:marBottom w:val="0"/>
      <w:divBdr>
        <w:top w:val="none" w:sz="0" w:space="0" w:color="auto"/>
        <w:left w:val="none" w:sz="0" w:space="0" w:color="auto"/>
        <w:bottom w:val="none" w:sz="0" w:space="0" w:color="auto"/>
        <w:right w:val="none" w:sz="0" w:space="0" w:color="auto"/>
      </w:divBdr>
    </w:div>
    <w:div w:id="1429740145">
      <w:bodyDiv w:val="1"/>
      <w:marLeft w:val="0"/>
      <w:marRight w:val="0"/>
      <w:marTop w:val="0"/>
      <w:marBottom w:val="0"/>
      <w:divBdr>
        <w:top w:val="none" w:sz="0" w:space="0" w:color="auto"/>
        <w:left w:val="none" w:sz="0" w:space="0" w:color="auto"/>
        <w:bottom w:val="none" w:sz="0" w:space="0" w:color="auto"/>
        <w:right w:val="none" w:sz="0" w:space="0" w:color="auto"/>
      </w:divBdr>
    </w:div>
    <w:div w:id="1436706720">
      <w:bodyDiv w:val="1"/>
      <w:marLeft w:val="0"/>
      <w:marRight w:val="0"/>
      <w:marTop w:val="0"/>
      <w:marBottom w:val="0"/>
      <w:divBdr>
        <w:top w:val="none" w:sz="0" w:space="0" w:color="auto"/>
        <w:left w:val="none" w:sz="0" w:space="0" w:color="auto"/>
        <w:bottom w:val="none" w:sz="0" w:space="0" w:color="auto"/>
        <w:right w:val="none" w:sz="0" w:space="0" w:color="auto"/>
      </w:divBdr>
    </w:div>
    <w:div w:id="1445618174">
      <w:bodyDiv w:val="1"/>
      <w:marLeft w:val="0"/>
      <w:marRight w:val="0"/>
      <w:marTop w:val="0"/>
      <w:marBottom w:val="0"/>
      <w:divBdr>
        <w:top w:val="none" w:sz="0" w:space="0" w:color="auto"/>
        <w:left w:val="none" w:sz="0" w:space="0" w:color="auto"/>
        <w:bottom w:val="none" w:sz="0" w:space="0" w:color="auto"/>
        <w:right w:val="none" w:sz="0" w:space="0" w:color="auto"/>
      </w:divBdr>
      <w:divsChild>
        <w:div w:id="1443920833">
          <w:marLeft w:val="0"/>
          <w:marRight w:val="0"/>
          <w:marTop w:val="0"/>
          <w:marBottom w:val="0"/>
          <w:divBdr>
            <w:top w:val="none" w:sz="0" w:space="0" w:color="auto"/>
            <w:left w:val="none" w:sz="0" w:space="0" w:color="auto"/>
            <w:bottom w:val="none" w:sz="0" w:space="0" w:color="auto"/>
            <w:right w:val="none" w:sz="0" w:space="0" w:color="auto"/>
          </w:divBdr>
        </w:div>
      </w:divsChild>
    </w:div>
    <w:div w:id="1455900419">
      <w:bodyDiv w:val="1"/>
      <w:marLeft w:val="0"/>
      <w:marRight w:val="0"/>
      <w:marTop w:val="0"/>
      <w:marBottom w:val="0"/>
      <w:divBdr>
        <w:top w:val="none" w:sz="0" w:space="0" w:color="auto"/>
        <w:left w:val="none" w:sz="0" w:space="0" w:color="auto"/>
        <w:bottom w:val="none" w:sz="0" w:space="0" w:color="auto"/>
        <w:right w:val="none" w:sz="0" w:space="0" w:color="auto"/>
      </w:divBdr>
      <w:divsChild>
        <w:div w:id="1329407948">
          <w:marLeft w:val="0"/>
          <w:marRight w:val="0"/>
          <w:marTop w:val="0"/>
          <w:marBottom w:val="0"/>
          <w:divBdr>
            <w:top w:val="none" w:sz="0" w:space="0" w:color="auto"/>
            <w:left w:val="none" w:sz="0" w:space="0" w:color="auto"/>
            <w:bottom w:val="none" w:sz="0" w:space="0" w:color="auto"/>
            <w:right w:val="none" w:sz="0" w:space="0" w:color="auto"/>
          </w:divBdr>
        </w:div>
      </w:divsChild>
    </w:div>
    <w:div w:id="1460807288">
      <w:bodyDiv w:val="1"/>
      <w:marLeft w:val="0"/>
      <w:marRight w:val="0"/>
      <w:marTop w:val="0"/>
      <w:marBottom w:val="0"/>
      <w:divBdr>
        <w:top w:val="none" w:sz="0" w:space="0" w:color="auto"/>
        <w:left w:val="none" w:sz="0" w:space="0" w:color="auto"/>
        <w:bottom w:val="none" w:sz="0" w:space="0" w:color="auto"/>
        <w:right w:val="none" w:sz="0" w:space="0" w:color="auto"/>
      </w:divBdr>
      <w:divsChild>
        <w:div w:id="1579318773">
          <w:marLeft w:val="0"/>
          <w:marRight w:val="0"/>
          <w:marTop w:val="0"/>
          <w:marBottom w:val="0"/>
          <w:divBdr>
            <w:top w:val="none" w:sz="0" w:space="0" w:color="auto"/>
            <w:left w:val="none" w:sz="0" w:space="0" w:color="auto"/>
            <w:bottom w:val="none" w:sz="0" w:space="0" w:color="auto"/>
            <w:right w:val="none" w:sz="0" w:space="0" w:color="auto"/>
          </w:divBdr>
        </w:div>
      </w:divsChild>
    </w:div>
    <w:div w:id="1468165137">
      <w:bodyDiv w:val="1"/>
      <w:marLeft w:val="0"/>
      <w:marRight w:val="0"/>
      <w:marTop w:val="0"/>
      <w:marBottom w:val="0"/>
      <w:divBdr>
        <w:top w:val="none" w:sz="0" w:space="0" w:color="auto"/>
        <w:left w:val="none" w:sz="0" w:space="0" w:color="auto"/>
        <w:bottom w:val="none" w:sz="0" w:space="0" w:color="auto"/>
        <w:right w:val="none" w:sz="0" w:space="0" w:color="auto"/>
      </w:divBdr>
    </w:div>
    <w:div w:id="1478374736">
      <w:bodyDiv w:val="1"/>
      <w:marLeft w:val="0"/>
      <w:marRight w:val="0"/>
      <w:marTop w:val="0"/>
      <w:marBottom w:val="0"/>
      <w:divBdr>
        <w:top w:val="none" w:sz="0" w:space="0" w:color="auto"/>
        <w:left w:val="none" w:sz="0" w:space="0" w:color="auto"/>
        <w:bottom w:val="none" w:sz="0" w:space="0" w:color="auto"/>
        <w:right w:val="none" w:sz="0" w:space="0" w:color="auto"/>
      </w:divBdr>
    </w:div>
    <w:div w:id="1520119339">
      <w:bodyDiv w:val="1"/>
      <w:marLeft w:val="0"/>
      <w:marRight w:val="0"/>
      <w:marTop w:val="0"/>
      <w:marBottom w:val="0"/>
      <w:divBdr>
        <w:top w:val="none" w:sz="0" w:space="0" w:color="auto"/>
        <w:left w:val="none" w:sz="0" w:space="0" w:color="auto"/>
        <w:bottom w:val="none" w:sz="0" w:space="0" w:color="auto"/>
        <w:right w:val="none" w:sz="0" w:space="0" w:color="auto"/>
      </w:divBdr>
      <w:divsChild>
        <w:div w:id="865018568">
          <w:marLeft w:val="0"/>
          <w:marRight w:val="0"/>
          <w:marTop w:val="0"/>
          <w:marBottom w:val="0"/>
          <w:divBdr>
            <w:top w:val="none" w:sz="0" w:space="0" w:color="auto"/>
            <w:left w:val="none" w:sz="0" w:space="0" w:color="auto"/>
            <w:bottom w:val="none" w:sz="0" w:space="0" w:color="auto"/>
            <w:right w:val="none" w:sz="0" w:space="0" w:color="auto"/>
          </w:divBdr>
        </w:div>
      </w:divsChild>
    </w:div>
    <w:div w:id="1521237908">
      <w:bodyDiv w:val="1"/>
      <w:marLeft w:val="0"/>
      <w:marRight w:val="0"/>
      <w:marTop w:val="0"/>
      <w:marBottom w:val="0"/>
      <w:divBdr>
        <w:top w:val="none" w:sz="0" w:space="0" w:color="auto"/>
        <w:left w:val="none" w:sz="0" w:space="0" w:color="auto"/>
        <w:bottom w:val="none" w:sz="0" w:space="0" w:color="auto"/>
        <w:right w:val="none" w:sz="0" w:space="0" w:color="auto"/>
      </w:divBdr>
    </w:div>
    <w:div w:id="1534268116">
      <w:bodyDiv w:val="1"/>
      <w:marLeft w:val="0"/>
      <w:marRight w:val="0"/>
      <w:marTop w:val="0"/>
      <w:marBottom w:val="0"/>
      <w:divBdr>
        <w:top w:val="none" w:sz="0" w:space="0" w:color="auto"/>
        <w:left w:val="none" w:sz="0" w:space="0" w:color="auto"/>
        <w:bottom w:val="none" w:sz="0" w:space="0" w:color="auto"/>
        <w:right w:val="none" w:sz="0" w:space="0" w:color="auto"/>
      </w:divBdr>
    </w:div>
    <w:div w:id="1539390120">
      <w:bodyDiv w:val="1"/>
      <w:marLeft w:val="0"/>
      <w:marRight w:val="0"/>
      <w:marTop w:val="0"/>
      <w:marBottom w:val="0"/>
      <w:divBdr>
        <w:top w:val="none" w:sz="0" w:space="0" w:color="auto"/>
        <w:left w:val="none" w:sz="0" w:space="0" w:color="auto"/>
        <w:bottom w:val="none" w:sz="0" w:space="0" w:color="auto"/>
        <w:right w:val="none" w:sz="0" w:space="0" w:color="auto"/>
      </w:divBdr>
    </w:div>
    <w:div w:id="1542942544">
      <w:bodyDiv w:val="1"/>
      <w:marLeft w:val="0"/>
      <w:marRight w:val="0"/>
      <w:marTop w:val="0"/>
      <w:marBottom w:val="0"/>
      <w:divBdr>
        <w:top w:val="none" w:sz="0" w:space="0" w:color="auto"/>
        <w:left w:val="none" w:sz="0" w:space="0" w:color="auto"/>
        <w:bottom w:val="none" w:sz="0" w:space="0" w:color="auto"/>
        <w:right w:val="none" w:sz="0" w:space="0" w:color="auto"/>
      </w:divBdr>
      <w:divsChild>
        <w:div w:id="1090736493">
          <w:marLeft w:val="0"/>
          <w:marRight w:val="0"/>
          <w:marTop w:val="0"/>
          <w:marBottom w:val="0"/>
          <w:divBdr>
            <w:top w:val="none" w:sz="0" w:space="0" w:color="auto"/>
            <w:left w:val="none" w:sz="0" w:space="0" w:color="auto"/>
            <w:bottom w:val="none" w:sz="0" w:space="0" w:color="auto"/>
            <w:right w:val="none" w:sz="0" w:space="0" w:color="auto"/>
          </w:divBdr>
        </w:div>
      </w:divsChild>
    </w:div>
    <w:div w:id="1561476156">
      <w:bodyDiv w:val="1"/>
      <w:marLeft w:val="0"/>
      <w:marRight w:val="0"/>
      <w:marTop w:val="0"/>
      <w:marBottom w:val="0"/>
      <w:divBdr>
        <w:top w:val="none" w:sz="0" w:space="0" w:color="auto"/>
        <w:left w:val="none" w:sz="0" w:space="0" w:color="auto"/>
        <w:bottom w:val="none" w:sz="0" w:space="0" w:color="auto"/>
        <w:right w:val="none" w:sz="0" w:space="0" w:color="auto"/>
      </w:divBdr>
    </w:div>
    <w:div w:id="1562255147">
      <w:bodyDiv w:val="1"/>
      <w:marLeft w:val="0"/>
      <w:marRight w:val="0"/>
      <w:marTop w:val="0"/>
      <w:marBottom w:val="0"/>
      <w:divBdr>
        <w:top w:val="none" w:sz="0" w:space="0" w:color="auto"/>
        <w:left w:val="none" w:sz="0" w:space="0" w:color="auto"/>
        <w:bottom w:val="none" w:sz="0" w:space="0" w:color="auto"/>
        <w:right w:val="none" w:sz="0" w:space="0" w:color="auto"/>
      </w:divBdr>
    </w:div>
    <w:div w:id="1565141373">
      <w:bodyDiv w:val="1"/>
      <w:marLeft w:val="0"/>
      <w:marRight w:val="0"/>
      <w:marTop w:val="0"/>
      <w:marBottom w:val="0"/>
      <w:divBdr>
        <w:top w:val="none" w:sz="0" w:space="0" w:color="auto"/>
        <w:left w:val="none" w:sz="0" w:space="0" w:color="auto"/>
        <w:bottom w:val="none" w:sz="0" w:space="0" w:color="auto"/>
        <w:right w:val="none" w:sz="0" w:space="0" w:color="auto"/>
      </w:divBdr>
    </w:div>
    <w:div w:id="1567185266">
      <w:bodyDiv w:val="1"/>
      <w:marLeft w:val="0"/>
      <w:marRight w:val="0"/>
      <w:marTop w:val="0"/>
      <w:marBottom w:val="0"/>
      <w:divBdr>
        <w:top w:val="none" w:sz="0" w:space="0" w:color="auto"/>
        <w:left w:val="none" w:sz="0" w:space="0" w:color="auto"/>
        <w:bottom w:val="none" w:sz="0" w:space="0" w:color="auto"/>
        <w:right w:val="none" w:sz="0" w:space="0" w:color="auto"/>
      </w:divBdr>
    </w:div>
    <w:div w:id="1641575157">
      <w:bodyDiv w:val="1"/>
      <w:marLeft w:val="0"/>
      <w:marRight w:val="0"/>
      <w:marTop w:val="0"/>
      <w:marBottom w:val="0"/>
      <w:divBdr>
        <w:top w:val="none" w:sz="0" w:space="0" w:color="auto"/>
        <w:left w:val="none" w:sz="0" w:space="0" w:color="auto"/>
        <w:bottom w:val="none" w:sz="0" w:space="0" w:color="auto"/>
        <w:right w:val="none" w:sz="0" w:space="0" w:color="auto"/>
      </w:divBdr>
    </w:div>
    <w:div w:id="1650598989">
      <w:bodyDiv w:val="1"/>
      <w:marLeft w:val="0"/>
      <w:marRight w:val="0"/>
      <w:marTop w:val="0"/>
      <w:marBottom w:val="0"/>
      <w:divBdr>
        <w:top w:val="none" w:sz="0" w:space="0" w:color="auto"/>
        <w:left w:val="none" w:sz="0" w:space="0" w:color="auto"/>
        <w:bottom w:val="none" w:sz="0" w:space="0" w:color="auto"/>
        <w:right w:val="none" w:sz="0" w:space="0" w:color="auto"/>
      </w:divBdr>
      <w:divsChild>
        <w:div w:id="50201069">
          <w:marLeft w:val="0"/>
          <w:marRight w:val="0"/>
          <w:marTop w:val="0"/>
          <w:marBottom w:val="0"/>
          <w:divBdr>
            <w:top w:val="none" w:sz="0" w:space="0" w:color="auto"/>
            <w:left w:val="none" w:sz="0" w:space="0" w:color="auto"/>
            <w:bottom w:val="none" w:sz="0" w:space="0" w:color="auto"/>
            <w:right w:val="none" w:sz="0" w:space="0" w:color="auto"/>
          </w:divBdr>
        </w:div>
      </w:divsChild>
    </w:div>
    <w:div w:id="1658998125">
      <w:bodyDiv w:val="1"/>
      <w:marLeft w:val="0"/>
      <w:marRight w:val="0"/>
      <w:marTop w:val="0"/>
      <w:marBottom w:val="0"/>
      <w:divBdr>
        <w:top w:val="none" w:sz="0" w:space="0" w:color="auto"/>
        <w:left w:val="none" w:sz="0" w:space="0" w:color="auto"/>
        <w:bottom w:val="none" w:sz="0" w:space="0" w:color="auto"/>
        <w:right w:val="none" w:sz="0" w:space="0" w:color="auto"/>
      </w:divBdr>
      <w:divsChild>
        <w:div w:id="571088090">
          <w:marLeft w:val="0"/>
          <w:marRight w:val="0"/>
          <w:marTop w:val="0"/>
          <w:marBottom w:val="0"/>
          <w:divBdr>
            <w:top w:val="none" w:sz="0" w:space="0" w:color="auto"/>
            <w:left w:val="none" w:sz="0" w:space="0" w:color="auto"/>
            <w:bottom w:val="none" w:sz="0" w:space="0" w:color="auto"/>
            <w:right w:val="none" w:sz="0" w:space="0" w:color="auto"/>
          </w:divBdr>
        </w:div>
      </w:divsChild>
    </w:div>
    <w:div w:id="1668248181">
      <w:bodyDiv w:val="1"/>
      <w:marLeft w:val="0"/>
      <w:marRight w:val="0"/>
      <w:marTop w:val="0"/>
      <w:marBottom w:val="0"/>
      <w:divBdr>
        <w:top w:val="none" w:sz="0" w:space="0" w:color="auto"/>
        <w:left w:val="none" w:sz="0" w:space="0" w:color="auto"/>
        <w:bottom w:val="none" w:sz="0" w:space="0" w:color="auto"/>
        <w:right w:val="none" w:sz="0" w:space="0" w:color="auto"/>
      </w:divBdr>
      <w:divsChild>
        <w:div w:id="2144886022">
          <w:marLeft w:val="0"/>
          <w:marRight w:val="0"/>
          <w:marTop w:val="0"/>
          <w:marBottom w:val="0"/>
          <w:divBdr>
            <w:top w:val="none" w:sz="0" w:space="0" w:color="auto"/>
            <w:left w:val="none" w:sz="0" w:space="0" w:color="auto"/>
            <w:bottom w:val="none" w:sz="0" w:space="0" w:color="auto"/>
            <w:right w:val="none" w:sz="0" w:space="0" w:color="auto"/>
          </w:divBdr>
        </w:div>
      </w:divsChild>
    </w:div>
    <w:div w:id="1670013663">
      <w:bodyDiv w:val="1"/>
      <w:marLeft w:val="0"/>
      <w:marRight w:val="0"/>
      <w:marTop w:val="0"/>
      <w:marBottom w:val="0"/>
      <w:divBdr>
        <w:top w:val="none" w:sz="0" w:space="0" w:color="auto"/>
        <w:left w:val="none" w:sz="0" w:space="0" w:color="auto"/>
        <w:bottom w:val="none" w:sz="0" w:space="0" w:color="auto"/>
        <w:right w:val="none" w:sz="0" w:space="0" w:color="auto"/>
      </w:divBdr>
      <w:divsChild>
        <w:div w:id="1329408749">
          <w:marLeft w:val="0"/>
          <w:marRight w:val="0"/>
          <w:marTop w:val="0"/>
          <w:marBottom w:val="0"/>
          <w:divBdr>
            <w:top w:val="none" w:sz="0" w:space="0" w:color="auto"/>
            <w:left w:val="none" w:sz="0" w:space="0" w:color="auto"/>
            <w:bottom w:val="none" w:sz="0" w:space="0" w:color="auto"/>
            <w:right w:val="none" w:sz="0" w:space="0" w:color="auto"/>
          </w:divBdr>
        </w:div>
      </w:divsChild>
    </w:div>
    <w:div w:id="1679697565">
      <w:bodyDiv w:val="1"/>
      <w:marLeft w:val="0"/>
      <w:marRight w:val="0"/>
      <w:marTop w:val="0"/>
      <w:marBottom w:val="0"/>
      <w:divBdr>
        <w:top w:val="none" w:sz="0" w:space="0" w:color="auto"/>
        <w:left w:val="none" w:sz="0" w:space="0" w:color="auto"/>
        <w:bottom w:val="none" w:sz="0" w:space="0" w:color="auto"/>
        <w:right w:val="none" w:sz="0" w:space="0" w:color="auto"/>
      </w:divBdr>
      <w:divsChild>
        <w:div w:id="1387294370">
          <w:marLeft w:val="0"/>
          <w:marRight w:val="0"/>
          <w:marTop w:val="0"/>
          <w:marBottom w:val="0"/>
          <w:divBdr>
            <w:top w:val="none" w:sz="0" w:space="0" w:color="auto"/>
            <w:left w:val="none" w:sz="0" w:space="0" w:color="auto"/>
            <w:bottom w:val="none" w:sz="0" w:space="0" w:color="auto"/>
            <w:right w:val="none" w:sz="0" w:space="0" w:color="auto"/>
          </w:divBdr>
        </w:div>
      </w:divsChild>
    </w:div>
    <w:div w:id="1692216795">
      <w:bodyDiv w:val="1"/>
      <w:marLeft w:val="0"/>
      <w:marRight w:val="0"/>
      <w:marTop w:val="0"/>
      <w:marBottom w:val="0"/>
      <w:divBdr>
        <w:top w:val="none" w:sz="0" w:space="0" w:color="auto"/>
        <w:left w:val="none" w:sz="0" w:space="0" w:color="auto"/>
        <w:bottom w:val="none" w:sz="0" w:space="0" w:color="auto"/>
        <w:right w:val="none" w:sz="0" w:space="0" w:color="auto"/>
      </w:divBdr>
    </w:div>
    <w:div w:id="1700473801">
      <w:bodyDiv w:val="1"/>
      <w:marLeft w:val="0"/>
      <w:marRight w:val="0"/>
      <w:marTop w:val="0"/>
      <w:marBottom w:val="0"/>
      <w:divBdr>
        <w:top w:val="none" w:sz="0" w:space="0" w:color="auto"/>
        <w:left w:val="none" w:sz="0" w:space="0" w:color="auto"/>
        <w:bottom w:val="none" w:sz="0" w:space="0" w:color="auto"/>
        <w:right w:val="none" w:sz="0" w:space="0" w:color="auto"/>
      </w:divBdr>
      <w:divsChild>
        <w:div w:id="511994056">
          <w:marLeft w:val="0"/>
          <w:marRight w:val="0"/>
          <w:marTop w:val="0"/>
          <w:marBottom w:val="0"/>
          <w:divBdr>
            <w:top w:val="none" w:sz="0" w:space="0" w:color="auto"/>
            <w:left w:val="none" w:sz="0" w:space="0" w:color="auto"/>
            <w:bottom w:val="none" w:sz="0" w:space="0" w:color="auto"/>
            <w:right w:val="none" w:sz="0" w:space="0" w:color="auto"/>
          </w:divBdr>
        </w:div>
      </w:divsChild>
    </w:div>
    <w:div w:id="1722363982">
      <w:bodyDiv w:val="1"/>
      <w:marLeft w:val="0"/>
      <w:marRight w:val="0"/>
      <w:marTop w:val="0"/>
      <w:marBottom w:val="0"/>
      <w:divBdr>
        <w:top w:val="none" w:sz="0" w:space="0" w:color="auto"/>
        <w:left w:val="none" w:sz="0" w:space="0" w:color="auto"/>
        <w:bottom w:val="none" w:sz="0" w:space="0" w:color="auto"/>
        <w:right w:val="none" w:sz="0" w:space="0" w:color="auto"/>
      </w:divBdr>
      <w:divsChild>
        <w:div w:id="1783259362">
          <w:marLeft w:val="0"/>
          <w:marRight w:val="0"/>
          <w:marTop w:val="0"/>
          <w:marBottom w:val="0"/>
          <w:divBdr>
            <w:top w:val="none" w:sz="0" w:space="0" w:color="auto"/>
            <w:left w:val="none" w:sz="0" w:space="0" w:color="auto"/>
            <w:bottom w:val="none" w:sz="0" w:space="0" w:color="auto"/>
            <w:right w:val="none" w:sz="0" w:space="0" w:color="auto"/>
          </w:divBdr>
        </w:div>
      </w:divsChild>
    </w:div>
    <w:div w:id="1771773564">
      <w:bodyDiv w:val="1"/>
      <w:marLeft w:val="0"/>
      <w:marRight w:val="0"/>
      <w:marTop w:val="0"/>
      <w:marBottom w:val="0"/>
      <w:divBdr>
        <w:top w:val="none" w:sz="0" w:space="0" w:color="auto"/>
        <w:left w:val="none" w:sz="0" w:space="0" w:color="auto"/>
        <w:bottom w:val="none" w:sz="0" w:space="0" w:color="auto"/>
        <w:right w:val="none" w:sz="0" w:space="0" w:color="auto"/>
      </w:divBdr>
    </w:div>
    <w:div w:id="1800026587">
      <w:bodyDiv w:val="1"/>
      <w:marLeft w:val="0"/>
      <w:marRight w:val="0"/>
      <w:marTop w:val="0"/>
      <w:marBottom w:val="0"/>
      <w:divBdr>
        <w:top w:val="none" w:sz="0" w:space="0" w:color="auto"/>
        <w:left w:val="none" w:sz="0" w:space="0" w:color="auto"/>
        <w:bottom w:val="none" w:sz="0" w:space="0" w:color="auto"/>
        <w:right w:val="none" w:sz="0" w:space="0" w:color="auto"/>
      </w:divBdr>
    </w:div>
    <w:div w:id="1803033397">
      <w:bodyDiv w:val="1"/>
      <w:marLeft w:val="0"/>
      <w:marRight w:val="0"/>
      <w:marTop w:val="0"/>
      <w:marBottom w:val="0"/>
      <w:divBdr>
        <w:top w:val="none" w:sz="0" w:space="0" w:color="auto"/>
        <w:left w:val="none" w:sz="0" w:space="0" w:color="auto"/>
        <w:bottom w:val="none" w:sz="0" w:space="0" w:color="auto"/>
        <w:right w:val="none" w:sz="0" w:space="0" w:color="auto"/>
      </w:divBdr>
      <w:divsChild>
        <w:div w:id="1681391619">
          <w:marLeft w:val="0"/>
          <w:marRight w:val="0"/>
          <w:marTop w:val="0"/>
          <w:marBottom w:val="0"/>
          <w:divBdr>
            <w:top w:val="none" w:sz="0" w:space="0" w:color="auto"/>
            <w:left w:val="none" w:sz="0" w:space="0" w:color="auto"/>
            <w:bottom w:val="none" w:sz="0" w:space="0" w:color="auto"/>
            <w:right w:val="none" w:sz="0" w:space="0" w:color="auto"/>
          </w:divBdr>
        </w:div>
      </w:divsChild>
    </w:div>
    <w:div w:id="1803308451">
      <w:bodyDiv w:val="1"/>
      <w:marLeft w:val="0"/>
      <w:marRight w:val="0"/>
      <w:marTop w:val="0"/>
      <w:marBottom w:val="0"/>
      <w:divBdr>
        <w:top w:val="none" w:sz="0" w:space="0" w:color="auto"/>
        <w:left w:val="none" w:sz="0" w:space="0" w:color="auto"/>
        <w:bottom w:val="none" w:sz="0" w:space="0" w:color="auto"/>
        <w:right w:val="none" w:sz="0" w:space="0" w:color="auto"/>
      </w:divBdr>
      <w:divsChild>
        <w:div w:id="1231188462">
          <w:marLeft w:val="0"/>
          <w:marRight w:val="0"/>
          <w:marTop w:val="0"/>
          <w:marBottom w:val="0"/>
          <w:divBdr>
            <w:top w:val="none" w:sz="0" w:space="0" w:color="auto"/>
            <w:left w:val="none" w:sz="0" w:space="0" w:color="auto"/>
            <w:bottom w:val="none" w:sz="0" w:space="0" w:color="auto"/>
            <w:right w:val="none" w:sz="0" w:space="0" w:color="auto"/>
          </w:divBdr>
        </w:div>
      </w:divsChild>
    </w:div>
    <w:div w:id="1808475358">
      <w:bodyDiv w:val="1"/>
      <w:marLeft w:val="0"/>
      <w:marRight w:val="0"/>
      <w:marTop w:val="0"/>
      <w:marBottom w:val="0"/>
      <w:divBdr>
        <w:top w:val="none" w:sz="0" w:space="0" w:color="auto"/>
        <w:left w:val="none" w:sz="0" w:space="0" w:color="auto"/>
        <w:bottom w:val="none" w:sz="0" w:space="0" w:color="auto"/>
        <w:right w:val="none" w:sz="0" w:space="0" w:color="auto"/>
      </w:divBdr>
      <w:divsChild>
        <w:div w:id="2047020032">
          <w:marLeft w:val="0"/>
          <w:marRight w:val="0"/>
          <w:marTop w:val="0"/>
          <w:marBottom w:val="0"/>
          <w:divBdr>
            <w:top w:val="none" w:sz="0" w:space="0" w:color="auto"/>
            <w:left w:val="none" w:sz="0" w:space="0" w:color="auto"/>
            <w:bottom w:val="none" w:sz="0" w:space="0" w:color="auto"/>
            <w:right w:val="none" w:sz="0" w:space="0" w:color="auto"/>
          </w:divBdr>
        </w:div>
      </w:divsChild>
    </w:div>
    <w:div w:id="1813403488">
      <w:bodyDiv w:val="1"/>
      <w:marLeft w:val="0"/>
      <w:marRight w:val="0"/>
      <w:marTop w:val="0"/>
      <w:marBottom w:val="0"/>
      <w:divBdr>
        <w:top w:val="none" w:sz="0" w:space="0" w:color="auto"/>
        <w:left w:val="none" w:sz="0" w:space="0" w:color="auto"/>
        <w:bottom w:val="none" w:sz="0" w:space="0" w:color="auto"/>
        <w:right w:val="none" w:sz="0" w:space="0" w:color="auto"/>
      </w:divBdr>
    </w:div>
    <w:div w:id="1818452523">
      <w:bodyDiv w:val="1"/>
      <w:marLeft w:val="0"/>
      <w:marRight w:val="0"/>
      <w:marTop w:val="0"/>
      <w:marBottom w:val="0"/>
      <w:divBdr>
        <w:top w:val="none" w:sz="0" w:space="0" w:color="auto"/>
        <w:left w:val="none" w:sz="0" w:space="0" w:color="auto"/>
        <w:bottom w:val="none" w:sz="0" w:space="0" w:color="auto"/>
        <w:right w:val="none" w:sz="0" w:space="0" w:color="auto"/>
      </w:divBdr>
    </w:div>
    <w:div w:id="1824004732">
      <w:bodyDiv w:val="1"/>
      <w:marLeft w:val="0"/>
      <w:marRight w:val="0"/>
      <w:marTop w:val="0"/>
      <w:marBottom w:val="0"/>
      <w:divBdr>
        <w:top w:val="none" w:sz="0" w:space="0" w:color="auto"/>
        <w:left w:val="none" w:sz="0" w:space="0" w:color="auto"/>
        <w:bottom w:val="none" w:sz="0" w:space="0" w:color="auto"/>
        <w:right w:val="none" w:sz="0" w:space="0" w:color="auto"/>
      </w:divBdr>
    </w:div>
    <w:div w:id="1831478691">
      <w:bodyDiv w:val="1"/>
      <w:marLeft w:val="0"/>
      <w:marRight w:val="0"/>
      <w:marTop w:val="0"/>
      <w:marBottom w:val="0"/>
      <w:divBdr>
        <w:top w:val="none" w:sz="0" w:space="0" w:color="auto"/>
        <w:left w:val="none" w:sz="0" w:space="0" w:color="auto"/>
        <w:bottom w:val="none" w:sz="0" w:space="0" w:color="auto"/>
        <w:right w:val="none" w:sz="0" w:space="0" w:color="auto"/>
      </w:divBdr>
      <w:divsChild>
        <w:div w:id="484394358">
          <w:marLeft w:val="0"/>
          <w:marRight w:val="0"/>
          <w:marTop w:val="0"/>
          <w:marBottom w:val="0"/>
          <w:divBdr>
            <w:top w:val="none" w:sz="0" w:space="0" w:color="auto"/>
            <w:left w:val="none" w:sz="0" w:space="0" w:color="auto"/>
            <w:bottom w:val="none" w:sz="0" w:space="0" w:color="auto"/>
            <w:right w:val="none" w:sz="0" w:space="0" w:color="auto"/>
          </w:divBdr>
        </w:div>
      </w:divsChild>
    </w:div>
    <w:div w:id="1843348890">
      <w:bodyDiv w:val="1"/>
      <w:marLeft w:val="0"/>
      <w:marRight w:val="0"/>
      <w:marTop w:val="0"/>
      <w:marBottom w:val="0"/>
      <w:divBdr>
        <w:top w:val="none" w:sz="0" w:space="0" w:color="auto"/>
        <w:left w:val="none" w:sz="0" w:space="0" w:color="auto"/>
        <w:bottom w:val="none" w:sz="0" w:space="0" w:color="auto"/>
        <w:right w:val="none" w:sz="0" w:space="0" w:color="auto"/>
      </w:divBdr>
      <w:divsChild>
        <w:div w:id="2045247814">
          <w:marLeft w:val="0"/>
          <w:marRight w:val="0"/>
          <w:marTop w:val="0"/>
          <w:marBottom w:val="0"/>
          <w:divBdr>
            <w:top w:val="none" w:sz="0" w:space="0" w:color="auto"/>
            <w:left w:val="none" w:sz="0" w:space="0" w:color="auto"/>
            <w:bottom w:val="none" w:sz="0" w:space="0" w:color="auto"/>
            <w:right w:val="none" w:sz="0" w:space="0" w:color="auto"/>
          </w:divBdr>
        </w:div>
      </w:divsChild>
    </w:div>
    <w:div w:id="1847404969">
      <w:bodyDiv w:val="1"/>
      <w:marLeft w:val="0"/>
      <w:marRight w:val="0"/>
      <w:marTop w:val="0"/>
      <w:marBottom w:val="0"/>
      <w:divBdr>
        <w:top w:val="none" w:sz="0" w:space="0" w:color="auto"/>
        <w:left w:val="none" w:sz="0" w:space="0" w:color="auto"/>
        <w:bottom w:val="none" w:sz="0" w:space="0" w:color="auto"/>
        <w:right w:val="none" w:sz="0" w:space="0" w:color="auto"/>
      </w:divBdr>
    </w:div>
    <w:div w:id="1864631545">
      <w:bodyDiv w:val="1"/>
      <w:marLeft w:val="0"/>
      <w:marRight w:val="0"/>
      <w:marTop w:val="0"/>
      <w:marBottom w:val="0"/>
      <w:divBdr>
        <w:top w:val="none" w:sz="0" w:space="0" w:color="auto"/>
        <w:left w:val="none" w:sz="0" w:space="0" w:color="auto"/>
        <w:bottom w:val="none" w:sz="0" w:space="0" w:color="auto"/>
        <w:right w:val="none" w:sz="0" w:space="0" w:color="auto"/>
      </w:divBdr>
      <w:divsChild>
        <w:div w:id="1083332160">
          <w:marLeft w:val="0"/>
          <w:marRight w:val="0"/>
          <w:marTop w:val="0"/>
          <w:marBottom w:val="0"/>
          <w:divBdr>
            <w:top w:val="none" w:sz="0" w:space="0" w:color="auto"/>
            <w:left w:val="none" w:sz="0" w:space="0" w:color="auto"/>
            <w:bottom w:val="none" w:sz="0" w:space="0" w:color="auto"/>
            <w:right w:val="none" w:sz="0" w:space="0" w:color="auto"/>
          </w:divBdr>
        </w:div>
      </w:divsChild>
    </w:div>
    <w:div w:id="1903129926">
      <w:bodyDiv w:val="1"/>
      <w:marLeft w:val="0"/>
      <w:marRight w:val="0"/>
      <w:marTop w:val="0"/>
      <w:marBottom w:val="0"/>
      <w:divBdr>
        <w:top w:val="none" w:sz="0" w:space="0" w:color="auto"/>
        <w:left w:val="none" w:sz="0" w:space="0" w:color="auto"/>
        <w:bottom w:val="none" w:sz="0" w:space="0" w:color="auto"/>
        <w:right w:val="none" w:sz="0" w:space="0" w:color="auto"/>
      </w:divBdr>
      <w:divsChild>
        <w:div w:id="803275012">
          <w:marLeft w:val="0"/>
          <w:marRight w:val="0"/>
          <w:marTop w:val="0"/>
          <w:marBottom w:val="0"/>
          <w:divBdr>
            <w:top w:val="none" w:sz="0" w:space="0" w:color="auto"/>
            <w:left w:val="none" w:sz="0" w:space="0" w:color="auto"/>
            <w:bottom w:val="none" w:sz="0" w:space="0" w:color="auto"/>
            <w:right w:val="none" w:sz="0" w:space="0" w:color="auto"/>
          </w:divBdr>
        </w:div>
      </w:divsChild>
    </w:div>
    <w:div w:id="1907373817">
      <w:bodyDiv w:val="1"/>
      <w:marLeft w:val="0"/>
      <w:marRight w:val="0"/>
      <w:marTop w:val="0"/>
      <w:marBottom w:val="0"/>
      <w:divBdr>
        <w:top w:val="none" w:sz="0" w:space="0" w:color="auto"/>
        <w:left w:val="none" w:sz="0" w:space="0" w:color="auto"/>
        <w:bottom w:val="none" w:sz="0" w:space="0" w:color="auto"/>
        <w:right w:val="none" w:sz="0" w:space="0" w:color="auto"/>
      </w:divBdr>
    </w:div>
    <w:div w:id="1945378088">
      <w:bodyDiv w:val="1"/>
      <w:marLeft w:val="0"/>
      <w:marRight w:val="0"/>
      <w:marTop w:val="0"/>
      <w:marBottom w:val="0"/>
      <w:divBdr>
        <w:top w:val="none" w:sz="0" w:space="0" w:color="auto"/>
        <w:left w:val="none" w:sz="0" w:space="0" w:color="auto"/>
        <w:bottom w:val="none" w:sz="0" w:space="0" w:color="auto"/>
        <w:right w:val="none" w:sz="0" w:space="0" w:color="auto"/>
      </w:divBdr>
    </w:div>
    <w:div w:id="1966040489">
      <w:bodyDiv w:val="1"/>
      <w:marLeft w:val="0"/>
      <w:marRight w:val="0"/>
      <w:marTop w:val="0"/>
      <w:marBottom w:val="0"/>
      <w:divBdr>
        <w:top w:val="none" w:sz="0" w:space="0" w:color="auto"/>
        <w:left w:val="none" w:sz="0" w:space="0" w:color="auto"/>
        <w:bottom w:val="none" w:sz="0" w:space="0" w:color="auto"/>
        <w:right w:val="none" w:sz="0" w:space="0" w:color="auto"/>
      </w:divBdr>
    </w:div>
    <w:div w:id="1966348653">
      <w:bodyDiv w:val="1"/>
      <w:marLeft w:val="0"/>
      <w:marRight w:val="0"/>
      <w:marTop w:val="0"/>
      <w:marBottom w:val="0"/>
      <w:divBdr>
        <w:top w:val="none" w:sz="0" w:space="0" w:color="auto"/>
        <w:left w:val="none" w:sz="0" w:space="0" w:color="auto"/>
        <w:bottom w:val="none" w:sz="0" w:space="0" w:color="auto"/>
        <w:right w:val="none" w:sz="0" w:space="0" w:color="auto"/>
      </w:divBdr>
    </w:div>
    <w:div w:id="1977031592">
      <w:bodyDiv w:val="1"/>
      <w:marLeft w:val="0"/>
      <w:marRight w:val="0"/>
      <w:marTop w:val="0"/>
      <w:marBottom w:val="0"/>
      <w:divBdr>
        <w:top w:val="none" w:sz="0" w:space="0" w:color="auto"/>
        <w:left w:val="none" w:sz="0" w:space="0" w:color="auto"/>
        <w:bottom w:val="none" w:sz="0" w:space="0" w:color="auto"/>
        <w:right w:val="none" w:sz="0" w:space="0" w:color="auto"/>
      </w:divBdr>
      <w:divsChild>
        <w:div w:id="656766177">
          <w:marLeft w:val="0"/>
          <w:marRight w:val="0"/>
          <w:marTop w:val="0"/>
          <w:marBottom w:val="0"/>
          <w:divBdr>
            <w:top w:val="none" w:sz="0" w:space="0" w:color="auto"/>
            <w:left w:val="none" w:sz="0" w:space="0" w:color="auto"/>
            <w:bottom w:val="none" w:sz="0" w:space="0" w:color="auto"/>
            <w:right w:val="none" w:sz="0" w:space="0" w:color="auto"/>
          </w:divBdr>
        </w:div>
      </w:divsChild>
    </w:div>
    <w:div w:id="1994868891">
      <w:bodyDiv w:val="1"/>
      <w:marLeft w:val="0"/>
      <w:marRight w:val="0"/>
      <w:marTop w:val="0"/>
      <w:marBottom w:val="0"/>
      <w:divBdr>
        <w:top w:val="none" w:sz="0" w:space="0" w:color="auto"/>
        <w:left w:val="none" w:sz="0" w:space="0" w:color="auto"/>
        <w:bottom w:val="none" w:sz="0" w:space="0" w:color="auto"/>
        <w:right w:val="none" w:sz="0" w:space="0" w:color="auto"/>
      </w:divBdr>
      <w:divsChild>
        <w:div w:id="832455668">
          <w:marLeft w:val="0"/>
          <w:marRight w:val="0"/>
          <w:marTop w:val="0"/>
          <w:marBottom w:val="0"/>
          <w:divBdr>
            <w:top w:val="none" w:sz="0" w:space="0" w:color="auto"/>
            <w:left w:val="none" w:sz="0" w:space="0" w:color="auto"/>
            <w:bottom w:val="none" w:sz="0" w:space="0" w:color="auto"/>
            <w:right w:val="none" w:sz="0" w:space="0" w:color="auto"/>
          </w:divBdr>
        </w:div>
      </w:divsChild>
    </w:div>
    <w:div w:id="1998219604">
      <w:bodyDiv w:val="1"/>
      <w:marLeft w:val="0"/>
      <w:marRight w:val="0"/>
      <w:marTop w:val="0"/>
      <w:marBottom w:val="0"/>
      <w:divBdr>
        <w:top w:val="none" w:sz="0" w:space="0" w:color="auto"/>
        <w:left w:val="none" w:sz="0" w:space="0" w:color="auto"/>
        <w:bottom w:val="none" w:sz="0" w:space="0" w:color="auto"/>
        <w:right w:val="none" w:sz="0" w:space="0" w:color="auto"/>
      </w:divBdr>
    </w:div>
    <w:div w:id="2000884744">
      <w:bodyDiv w:val="1"/>
      <w:marLeft w:val="0"/>
      <w:marRight w:val="0"/>
      <w:marTop w:val="0"/>
      <w:marBottom w:val="0"/>
      <w:divBdr>
        <w:top w:val="none" w:sz="0" w:space="0" w:color="auto"/>
        <w:left w:val="none" w:sz="0" w:space="0" w:color="auto"/>
        <w:bottom w:val="none" w:sz="0" w:space="0" w:color="auto"/>
        <w:right w:val="none" w:sz="0" w:space="0" w:color="auto"/>
      </w:divBdr>
    </w:div>
    <w:div w:id="2008357299">
      <w:bodyDiv w:val="1"/>
      <w:marLeft w:val="0"/>
      <w:marRight w:val="0"/>
      <w:marTop w:val="0"/>
      <w:marBottom w:val="0"/>
      <w:divBdr>
        <w:top w:val="none" w:sz="0" w:space="0" w:color="auto"/>
        <w:left w:val="none" w:sz="0" w:space="0" w:color="auto"/>
        <w:bottom w:val="none" w:sz="0" w:space="0" w:color="auto"/>
        <w:right w:val="none" w:sz="0" w:space="0" w:color="auto"/>
      </w:divBdr>
    </w:div>
    <w:div w:id="2020041691">
      <w:bodyDiv w:val="1"/>
      <w:marLeft w:val="0"/>
      <w:marRight w:val="0"/>
      <w:marTop w:val="0"/>
      <w:marBottom w:val="0"/>
      <w:divBdr>
        <w:top w:val="none" w:sz="0" w:space="0" w:color="auto"/>
        <w:left w:val="none" w:sz="0" w:space="0" w:color="auto"/>
        <w:bottom w:val="none" w:sz="0" w:space="0" w:color="auto"/>
        <w:right w:val="none" w:sz="0" w:space="0" w:color="auto"/>
      </w:divBdr>
    </w:div>
    <w:div w:id="2032949008">
      <w:bodyDiv w:val="1"/>
      <w:marLeft w:val="0"/>
      <w:marRight w:val="0"/>
      <w:marTop w:val="0"/>
      <w:marBottom w:val="0"/>
      <w:divBdr>
        <w:top w:val="none" w:sz="0" w:space="0" w:color="auto"/>
        <w:left w:val="none" w:sz="0" w:space="0" w:color="auto"/>
        <w:bottom w:val="none" w:sz="0" w:space="0" w:color="auto"/>
        <w:right w:val="none" w:sz="0" w:space="0" w:color="auto"/>
      </w:divBdr>
      <w:divsChild>
        <w:div w:id="1469516210">
          <w:marLeft w:val="0"/>
          <w:marRight w:val="0"/>
          <w:marTop w:val="0"/>
          <w:marBottom w:val="0"/>
          <w:divBdr>
            <w:top w:val="none" w:sz="0" w:space="0" w:color="auto"/>
            <w:left w:val="none" w:sz="0" w:space="0" w:color="auto"/>
            <w:bottom w:val="none" w:sz="0" w:space="0" w:color="auto"/>
            <w:right w:val="none" w:sz="0" w:space="0" w:color="auto"/>
          </w:divBdr>
        </w:div>
      </w:divsChild>
    </w:div>
    <w:div w:id="2050688279">
      <w:bodyDiv w:val="1"/>
      <w:marLeft w:val="0"/>
      <w:marRight w:val="0"/>
      <w:marTop w:val="0"/>
      <w:marBottom w:val="0"/>
      <w:divBdr>
        <w:top w:val="none" w:sz="0" w:space="0" w:color="auto"/>
        <w:left w:val="none" w:sz="0" w:space="0" w:color="auto"/>
        <w:bottom w:val="none" w:sz="0" w:space="0" w:color="auto"/>
        <w:right w:val="none" w:sz="0" w:space="0" w:color="auto"/>
      </w:divBdr>
    </w:div>
    <w:div w:id="2056393732">
      <w:bodyDiv w:val="1"/>
      <w:marLeft w:val="0"/>
      <w:marRight w:val="0"/>
      <w:marTop w:val="0"/>
      <w:marBottom w:val="0"/>
      <w:divBdr>
        <w:top w:val="none" w:sz="0" w:space="0" w:color="auto"/>
        <w:left w:val="none" w:sz="0" w:space="0" w:color="auto"/>
        <w:bottom w:val="none" w:sz="0" w:space="0" w:color="auto"/>
        <w:right w:val="none" w:sz="0" w:space="0" w:color="auto"/>
      </w:divBdr>
      <w:divsChild>
        <w:div w:id="1841963220">
          <w:marLeft w:val="0"/>
          <w:marRight w:val="0"/>
          <w:marTop w:val="0"/>
          <w:marBottom w:val="0"/>
          <w:divBdr>
            <w:top w:val="none" w:sz="0" w:space="0" w:color="auto"/>
            <w:left w:val="none" w:sz="0" w:space="0" w:color="auto"/>
            <w:bottom w:val="none" w:sz="0" w:space="0" w:color="auto"/>
            <w:right w:val="none" w:sz="0" w:space="0" w:color="auto"/>
          </w:divBdr>
        </w:div>
      </w:divsChild>
    </w:div>
    <w:div w:id="2063555845">
      <w:bodyDiv w:val="1"/>
      <w:marLeft w:val="0"/>
      <w:marRight w:val="0"/>
      <w:marTop w:val="0"/>
      <w:marBottom w:val="0"/>
      <w:divBdr>
        <w:top w:val="none" w:sz="0" w:space="0" w:color="auto"/>
        <w:left w:val="none" w:sz="0" w:space="0" w:color="auto"/>
        <w:bottom w:val="none" w:sz="0" w:space="0" w:color="auto"/>
        <w:right w:val="none" w:sz="0" w:space="0" w:color="auto"/>
      </w:divBdr>
    </w:div>
    <w:div w:id="2068020506">
      <w:bodyDiv w:val="1"/>
      <w:marLeft w:val="0"/>
      <w:marRight w:val="0"/>
      <w:marTop w:val="0"/>
      <w:marBottom w:val="0"/>
      <w:divBdr>
        <w:top w:val="none" w:sz="0" w:space="0" w:color="auto"/>
        <w:left w:val="none" w:sz="0" w:space="0" w:color="auto"/>
        <w:bottom w:val="none" w:sz="0" w:space="0" w:color="auto"/>
        <w:right w:val="none" w:sz="0" w:space="0" w:color="auto"/>
      </w:divBdr>
      <w:divsChild>
        <w:div w:id="2100328603">
          <w:marLeft w:val="0"/>
          <w:marRight w:val="0"/>
          <w:marTop w:val="0"/>
          <w:marBottom w:val="0"/>
          <w:divBdr>
            <w:top w:val="none" w:sz="0" w:space="0" w:color="auto"/>
            <w:left w:val="none" w:sz="0" w:space="0" w:color="auto"/>
            <w:bottom w:val="none" w:sz="0" w:space="0" w:color="auto"/>
            <w:right w:val="none" w:sz="0" w:space="0" w:color="auto"/>
          </w:divBdr>
        </w:div>
      </w:divsChild>
    </w:div>
    <w:div w:id="2076120945">
      <w:bodyDiv w:val="1"/>
      <w:marLeft w:val="0"/>
      <w:marRight w:val="0"/>
      <w:marTop w:val="0"/>
      <w:marBottom w:val="0"/>
      <w:divBdr>
        <w:top w:val="none" w:sz="0" w:space="0" w:color="auto"/>
        <w:left w:val="none" w:sz="0" w:space="0" w:color="auto"/>
        <w:bottom w:val="none" w:sz="0" w:space="0" w:color="auto"/>
        <w:right w:val="none" w:sz="0" w:space="0" w:color="auto"/>
      </w:divBdr>
      <w:divsChild>
        <w:div w:id="753476760">
          <w:marLeft w:val="0"/>
          <w:marRight w:val="0"/>
          <w:marTop w:val="0"/>
          <w:marBottom w:val="0"/>
          <w:divBdr>
            <w:top w:val="none" w:sz="0" w:space="0" w:color="auto"/>
            <w:left w:val="none" w:sz="0" w:space="0" w:color="auto"/>
            <w:bottom w:val="none" w:sz="0" w:space="0" w:color="auto"/>
            <w:right w:val="none" w:sz="0" w:space="0" w:color="auto"/>
          </w:divBdr>
        </w:div>
      </w:divsChild>
    </w:div>
    <w:div w:id="2096784967">
      <w:bodyDiv w:val="1"/>
      <w:marLeft w:val="0"/>
      <w:marRight w:val="0"/>
      <w:marTop w:val="0"/>
      <w:marBottom w:val="0"/>
      <w:divBdr>
        <w:top w:val="none" w:sz="0" w:space="0" w:color="auto"/>
        <w:left w:val="none" w:sz="0" w:space="0" w:color="auto"/>
        <w:bottom w:val="none" w:sz="0" w:space="0" w:color="auto"/>
        <w:right w:val="none" w:sz="0" w:space="0" w:color="auto"/>
      </w:divBdr>
    </w:div>
    <w:div w:id="2103910391">
      <w:bodyDiv w:val="1"/>
      <w:marLeft w:val="0"/>
      <w:marRight w:val="0"/>
      <w:marTop w:val="0"/>
      <w:marBottom w:val="0"/>
      <w:divBdr>
        <w:top w:val="none" w:sz="0" w:space="0" w:color="auto"/>
        <w:left w:val="none" w:sz="0" w:space="0" w:color="auto"/>
        <w:bottom w:val="none" w:sz="0" w:space="0" w:color="auto"/>
        <w:right w:val="none" w:sz="0" w:space="0" w:color="auto"/>
      </w:divBdr>
    </w:div>
    <w:div w:id="21236467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lossary.oilfield.slb.com/en/Terms/m/model.aspx" TargetMode="External"/><Relationship Id="rId21" Type="http://schemas.openxmlformats.org/officeDocument/2006/relationships/hyperlink" Target="http://www.glossary.oilfield.slb.com/Terms/r/rock.aspx" TargetMode="External"/><Relationship Id="rId42" Type="http://schemas.openxmlformats.org/officeDocument/2006/relationships/image" Target="media/image9.png"/><Relationship Id="rId47" Type="http://schemas.openxmlformats.org/officeDocument/2006/relationships/image" Target="media/image14.emf"/><Relationship Id="rId63" Type="http://schemas.openxmlformats.org/officeDocument/2006/relationships/image" Target="media/image29.emf"/><Relationship Id="rId68" Type="http://schemas.openxmlformats.org/officeDocument/2006/relationships/image" Target="media/image34.png"/><Relationship Id="rId84" Type="http://schemas.openxmlformats.org/officeDocument/2006/relationships/image" Target="media/image50.emf"/><Relationship Id="rId89" Type="http://schemas.openxmlformats.org/officeDocument/2006/relationships/image" Target="media/image55.emf"/><Relationship Id="rId2" Type="http://schemas.openxmlformats.org/officeDocument/2006/relationships/styles" Target="styles.xml"/><Relationship Id="rId16" Type="http://schemas.openxmlformats.org/officeDocument/2006/relationships/hyperlink" Target="https://en.wikipedia.org/wiki/Covariance" TargetMode="External"/><Relationship Id="rId29" Type="http://schemas.openxmlformats.org/officeDocument/2006/relationships/hyperlink" Target="http://www.glossary.oilfield.slb.com/en/Terms/p/porosity.aspx" TargetMode="External"/><Relationship Id="rId107" Type="http://schemas.openxmlformats.org/officeDocument/2006/relationships/footer" Target="footer13.xml"/><Relationship Id="rId11" Type="http://schemas.openxmlformats.org/officeDocument/2006/relationships/header" Target="header2.xml"/><Relationship Id="rId24" Type="http://schemas.openxmlformats.org/officeDocument/2006/relationships/hyperlink" Target="http://www.glossary.oilfield.slb.com/en/Terms/f/facies.aspx" TargetMode="External"/><Relationship Id="rId32" Type="http://schemas.openxmlformats.org/officeDocument/2006/relationships/header" Target="header4.xml"/><Relationship Id="rId37" Type="http://schemas.openxmlformats.org/officeDocument/2006/relationships/image" Target="media/image4.png"/><Relationship Id="rId40" Type="http://schemas.openxmlformats.org/officeDocument/2006/relationships/image" Target="media/image7.emf"/><Relationship Id="rId45" Type="http://schemas.openxmlformats.org/officeDocument/2006/relationships/image" Target="media/image12.png"/><Relationship Id="rId53" Type="http://schemas.openxmlformats.org/officeDocument/2006/relationships/image" Target="media/image19.png"/><Relationship Id="rId58" Type="http://schemas.openxmlformats.org/officeDocument/2006/relationships/image" Target="media/image24.wmf"/><Relationship Id="rId66"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5.png"/><Relationship Id="rId87" Type="http://schemas.openxmlformats.org/officeDocument/2006/relationships/image" Target="media/image53.png"/><Relationship Id="rId102" Type="http://schemas.openxmlformats.org/officeDocument/2006/relationships/header" Target="header12.xml"/><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7.png"/><Relationship Id="rId82" Type="http://schemas.openxmlformats.org/officeDocument/2006/relationships/image" Target="media/image48.png"/><Relationship Id="rId90" Type="http://schemas.openxmlformats.org/officeDocument/2006/relationships/header" Target="header7.xml"/><Relationship Id="rId95" Type="http://schemas.openxmlformats.org/officeDocument/2006/relationships/header" Target="header9.xml"/><Relationship Id="rId19" Type="http://schemas.openxmlformats.org/officeDocument/2006/relationships/hyperlink" Target="https://en.wikipedia.org/wiki/Covariance" TargetMode="External"/><Relationship Id="rId14" Type="http://schemas.openxmlformats.org/officeDocument/2006/relationships/header" Target="header3.xml"/><Relationship Id="rId22" Type="http://schemas.openxmlformats.org/officeDocument/2006/relationships/hyperlink" Target="http://www.glossary.oilfield.slb.com/Terms/a/absorption.aspx" TargetMode="External"/><Relationship Id="rId27" Type="http://schemas.openxmlformats.org/officeDocument/2006/relationships/hyperlink" Target="https://en.wikipedia.org/wiki/Univariate" TargetMode="External"/><Relationship Id="rId30" Type="http://schemas.openxmlformats.org/officeDocument/2006/relationships/hyperlink" Target="http://www.glossary.oilfield.slb.com/en/Terms/p/pressure.aspx" TargetMode="External"/><Relationship Id="rId35" Type="http://schemas.openxmlformats.org/officeDocument/2006/relationships/footer" Target="footer5.xml"/><Relationship Id="rId43" Type="http://schemas.openxmlformats.org/officeDocument/2006/relationships/image" Target="media/image10.png"/><Relationship Id="rId48" Type="http://schemas.openxmlformats.org/officeDocument/2006/relationships/image" Target="media/image15.wmf"/><Relationship Id="rId56" Type="http://schemas.openxmlformats.org/officeDocument/2006/relationships/image" Target="media/image22.png"/><Relationship Id="rId64" Type="http://schemas.openxmlformats.org/officeDocument/2006/relationships/image" Target="media/image30.emf"/><Relationship Id="rId69" Type="http://schemas.openxmlformats.org/officeDocument/2006/relationships/image" Target="media/image35.jpeg"/><Relationship Id="rId77" Type="http://schemas.openxmlformats.org/officeDocument/2006/relationships/image" Target="media/image43.emf"/><Relationship Id="rId100" Type="http://schemas.openxmlformats.org/officeDocument/2006/relationships/footer" Target="footer9.xml"/><Relationship Id="rId105" Type="http://schemas.openxmlformats.org/officeDocument/2006/relationships/header" Target="header14.xml"/><Relationship Id="rId8" Type="http://schemas.openxmlformats.org/officeDocument/2006/relationships/image" Target="media/image2.emf"/><Relationship Id="rId51" Type="http://schemas.openxmlformats.org/officeDocument/2006/relationships/image" Target="media/image17.png"/><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header" Target="header8.xml"/><Relationship Id="rId98"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www.encyclopedia.com/doc/1O13-hydrostaticstress.html" TargetMode="External"/><Relationship Id="rId25" Type="http://schemas.openxmlformats.org/officeDocument/2006/relationships/hyperlink" Target="http://www.glossary.oilfield.slb.com/en/Terms/l/lithology.aspx" TargetMode="External"/><Relationship Id="rId33" Type="http://schemas.openxmlformats.org/officeDocument/2006/relationships/header" Target="header5.xm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5.png"/><Relationship Id="rId67" Type="http://schemas.openxmlformats.org/officeDocument/2006/relationships/image" Target="media/image33.png"/><Relationship Id="rId103" Type="http://schemas.openxmlformats.org/officeDocument/2006/relationships/footer" Target="footer11.xml"/><Relationship Id="rId108" Type="http://schemas.openxmlformats.org/officeDocument/2006/relationships/header" Target="header15.xml"/><Relationship Id="rId20" Type="http://schemas.openxmlformats.org/officeDocument/2006/relationships/hyperlink" Target="http://www.glossary.oilfield.slb.com/Terms/p/porous.aspx" TargetMode="External"/><Relationship Id="rId41" Type="http://schemas.openxmlformats.org/officeDocument/2006/relationships/image" Target="media/image8.png"/><Relationship Id="rId54" Type="http://schemas.openxmlformats.org/officeDocument/2006/relationships/image" Target="media/image20.emf"/><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image" Target="media/image56.emf"/><Relationship Id="rId96"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yperlink" Target="http://www.glossary.oilfield.slb.com/Terms/p/pressure.aspx" TargetMode="External"/><Relationship Id="rId28" Type="http://schemas.openxmlformats.org/officeDocument/2006/relationships/hyperlink" Target="https://en.wikipedia.org/wiki/Normal_distribution" TargetMode="External"/><Relationship Id="rId36" Type="http://schemas.openxmlformats.org/officeDocument/2006/relationships/header" Target="header6.xml"/><Relationship Id="rId49" Type="http://schemas.openxmlformats.org/officeDocument/2006/relationships/oleObject" Target="embeddings/oleObject1.bin"/><Relationship Id="rId57" Type="http://schemas.openxmlformats.org/officeDocument/2006/relationships/image" Target="media/image23.emf"/><Relationship Id="rId106" Type="http://schemas.openxmlformats.org/officeDocument/2006/relationships/footer" Target="footer12.xml"/><Relationship Id="rId10" Type="http://schemas.openxmlformats.org/officeDocument/2006/relationships/header" Target="header1.xml"/><Relationship Id="rId31" Type="http://schemas.openxmlformats.org/officeDocument/2006/relationships/hyperlink" Target="https://en.wikipedia.org/wiki/Function_(mathematics)" TargetMode="External"/><Relationship Id="rId44" Type="http://schemas.openxmlformats.org/officeDocument/2006/relationships/image" Target="media/image11.png"/><Relationship Id="rId52" Type="http://schemas.openxmlformats.org/officeDocument/2006/relationships/image" Target="media/image18.png"/><Relationship Id="rId60" Type="http://schemas.openxmlformats.org/officeDocument/2006/relationships/image" Target="media/image26.emf"/><Relationship Id="rId65" Type="http://schemas.openxmlformats.org/officeDocument/2006/relationships/image" Target="media/image31.emf"/><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jpeg"/><Relationship Id="rId94" Type="http://schemas.openxmlformats.org/officeDocument/2006/relationships/footer" Target="footer6.xml"/><Relationship Id="rId99" Type="http://schemas.openxmlformats.org/officeDocument/2006/relationships/header" Target="header11.xml"/><Relationship Id="rId101" Type="http://schemas.openxmlformats.org/officeDocument/2006/relationships/footer" Target="footer10.xml"/><Relationship Id="rId4" Type="http://schemas.openxmlformats.org/officeDocument/2006/relationships/webSettings" Target="webSettings.xml"/><Relationship Id="rId9" Type="http://schemas.openxmlformats.org/officeDocument/2006/relationships/hyperlink" Target="mailto:enquiries@csiro.au" TargetMode="External"/><Relationship Id="rId13" Type="http://schemas.openxmlformats.org/officeDocument/2006/relationships/footer" Target="footer2.xml"/><Relationship Id="rId18" Type="http://schemas.openxmlformats.org/officeDocument/2006/relationships/hyperlink" Target="http://www.encyclopedia.com/doc/1O13-lithostaticstress.html" TargetMode="External"/><Relationship Id="rId39" Type="http://schemas.openxmlformats.org/officeDocument/2006/relationships/image" Target="media/image6.png"/><Relationship Id="rId109" Type="http://schemas.openxmlformats.org/officeDocument/2006/relationships/fontTable" Target="fontTable.xml"/><Relationship Id="rId34" Type="http://schemas.openxmlformats.org/officeDocument/2006/relationships/footer" Target="footer4.xm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image" Target="media/image42.emf"/><Relationship Id="rId97" Type="http://schemas.openxmlformats.org/officeDocument/2006/relationships/footer" Target="footer7.xml"/><Relationship Id="rId104" Type="http://schemas.openxmlformats.org/officeDocument/2006/relationships/header" Target="header13.xml"/><Relationship Id="rId7" Type="http://schemas.openxmlformats.org/officeDocument/2006/relationships/image" Target="media/image1.emf"/><Relationship Id="rId71" Type="http://schemas.openxmlformats.org/officeDocument/2006/relationships/image" Target="media/image37.png"/><Relationship Id="rId92" Type="http://schemas.openxmlformats.org/officeDocument/2006/relationships/package" Target="embeddings/Microsoft_Word_Document1.docx"/></Relationships>
</file>

<file path=word/_rels/header13.xml.rels><?xml version="1.0" encoding="UTF-8" standalone="yes"?>
<Relationships xmlns="http://schemas.openxmlformats.org/package/2006/relationships"><Relationship Id="rId1" Type="http://schemas.openxmlformats.org/officeDocument/2006/relationships/image" Target="media/image57.jpeg"/></Relationships>
</file>

<file path=word/_rels/header15.xml.rels><?xml version="1.0" encoding="UTF-8" standalone="yes"?>
<Relationships xmlns="http://schemas.openxmlformats.org/package/2006/relationships"><Relationship Id="rId1" Type="http://schemas.openxmlformats.org/officeDocument/2006/relationships/image" Target="media/image58.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57.jpeg"/></Relationships>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270FD1E0.dotm</Template>
  <TotalTime>1</TotalTime>
  <Pages>125</Pages>
  <Words>110848</Words>
  <Characters>631837</Characters>
  <Application>Microsoft Office Word</Application>
  <DocSecurity>4</DocSecurity>
  <Lines>5265</Lines>
  <Paragraphs>1482</Paragraphs>
  <ScaleCrop>false</ScaleCrop>
  <HeadingPairs>
    <vt:vector size="2" baseType="variant">
      <vt:variant>
        <vt:lpstr>Title</vt:lpstr>
      </vt:variant>
      <vt:variant>
        <vt:i4>1</vt:i4>
      </vt:variant>
    </vt:vector>
  </HeadingPairs>
  <TitlesOfParts>
    <vt:vector size="1" baseType="lpstr">
      <vt:lpstr/>
    </vt:vector>
  </TitlesOfParts>
  <Company>The Department of the Environment</Company>
  <LinksUpToDate>false</LinksUpToDate>
  <CharactersWithSpaces>741203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Overview of aquitard and geological fault simulation approaches in regional scale assessments of coal seam gas extraction impacts</dc:title>
  <dc:subject/>
  <dc:creator>Chris Turnadge, Dirk Mallants and Luk Peeters</dc:creator>
  <cp:keywords/>
  <dc:description/>
  <cp:lastModifiedBy>Durack, Bec</cp:lastModifiedBy>
  <cp:revision>2</cp:revision>
  <dcterms:created xsi:type="dcterms:W3CDTF">2018-03-08T04:25:00Z</dcterms:created>
  <dcterms:modified xsi:type="dcterms:W3CDTF">2018-03-08T04:25:00Z</dcterms:modified>
</cp:coreProperties>
</file>