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80063" w14:textId="032BFECE" w:rsidR="00764D6A" w:rsidRPr="005D3790" w:rsidRDefault="00282E88" w:rsidP="003E5735">
      <w:pPr>
        <w:pStyle w:val="Heading1"/>
        <w:spacing w:before="2040"/>
        <w:contextualSpacing w:val="0"/>
      </w:pPr>
      <w:r w:rsidRPr="002F56DF">
        <w:t>Pacific Biosecurity Strateg</w:t>
      </w:r>
      <w:r>
        <w:t xml:space="preserve">y </w:t>
      </w:r>
      <w:r w:rsidRPr="002F56DF">
        <w:t>202</w:t>
      </w:r>
      <w:r>
        <w:t>2</w:t>
      </w:r>
      <w:r w:rsidR="00895BDC">
        <w:t xml:space="preserve"> to </w:t>
      </w:r>
      <w:r w:rsidRPr="002F56DF">
        <w:t>202</w:t>
      </w:r>
      <w:r>
        <w:t>7</w:t>
      </w:r>
    </w:p>
    <w:p w14:paraId="0AC3BF05" w14:textId="77777777" w:rsidR="00764D6A" w:rsidRDefault="00E91D72">
      <w:pPr>
        <w:pStyle w:val="Normalsmall"/>
      </w:pPr>
      <w:r>
        <w:br w:type="page"/>
      </w:r>
      <w:r>
        <w:lastRenderedPageBreak/>
        <w:t xml:space="preserve">© Commonwealth of Australia </w:t>
      </w:r>
      <w:r w:rsidR="00B97E61">
        <w:t>202</w:t>
      </w:r>
      <w:r w:rsidR="005C36F6">
        <w:t>3</w:t>
      </w:r>
    </w:p>
    <w:p w14:paraId="1283C942" w14:textId="77777777" w:rsidR="00764D6A" w:rsidRDefault="00E91D72">
      <w:pPr>
        <w:pStyle w:val="Normalsmall"/>
        <w:rPr>
          <w:rStyle w:val="Strong"/>
        </w:rPr>
      </w:pPr>
      <w:r>
        <w:rPr>
          <w:rStyle w:val="Strong"/>
        </w:rPr>
        <w:t>Ownership of intellectual property rights</w:t>
      </w:r>
    </w:p>
    <w:p w14:paraId="64CCA36B" w14:textId="77777777" w:rsidR="00764D6A" w:rsidRDefault="00E91D72">
      <w:pPr>
        <w:pStyle w:val="Normalsmall"/>
      </w:pPr>
      <w:r>
        <w:t>Unless otherwise noted, copyright (and any other intellectual property rights) in this publication is owned by the Commonwealth of Australia (referred to as the Commonwealth).</w:t>
      </w:r>
    </w:p>
    <w:p w14:paraId="19A633CA" w14:textId="77777777" w:rsidR="00764D6A" w:rsidRDefault="00E91D72">
      <w:pPr>
        <w:pStyle w:val="Normalsmall"/>
        <w:rPr>
          <w:rStyle w:val="Strong"/>
        </w:rPr>
      </w:pPr>
      <w:r>
        <w:rPr>
          <w:rStyle w:val="Strong"/>
        </w:rPr>
        <w:t>Creative Commons licence</w:t>
      </w:r>
    </w:p>
    <w:p w14:paraId="181D7FC9" w14:textId="77777777" w:rsidR="00764D6A" w:rsidRDefault="00E91D72">
      <w:pPr>
        <w:pStyle w:val="Normalsmall"/>
      </w:pPr>
      <w:r>
        <w:t xml:space="preserve">All material in this publication is licensed under a </w:t>
      </w:r>
      <w:hyperlink r:id="rId11" w:history="1">
        <w:r>
          <w:rPr>
            <w:rStyle w:val="Hyperlink"/>
          </w:rPr>
          <w:t>Creative Commons Attribution 4.0 International Licence</w:t>
        </w:r>
      </w:hyperlink>
      <w:r>
        <w:t xml:space="preserve"> except content supplied by third parties, logos and the Commonwealth Coat of Arms.</w:t>
      </w:r>
    </w:p>
    <w:p w14:paraId="3EBC0CB9" w14:textId="77777777" w:rsidR="00764D6A" w:rsidRPr="00364A4A" w:rsidRDefault="00E91D72">
      <w:pPr>
        <w:pStyle w:val="Normalsmall"/>
      </w:pPr>
      <w:r w:rsidRPr="00364A4A">
        <w:rPr>
          <w:noProof/>
          <w:lang w:eastAsia="en-AU"/>
        </w:rPr>
        <w:drawing>
          <wp:inline distT="0" distB="0" distL="0" distR="0" wp14:anchorId="7FF4D19C" wp14:editId="6E1A3C90">
            <wp:extent cx="724535" cy="255270"/>
            <wp:effectExtent l="0" t="0" r="0" b="0"/>
            <wp:docPr id="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40F2B8" w14:textId="77777777" w:rsidR="00764D6A" w:rsidRPr="00364A4A" w:rsidRDefault="00E91D72">
      <w:pPr>
        <w:pStyle w:val="Normalsmall"/>
        <w:rPr>
          <w:rStyle w:val="Strong"/>
        </w:rPr>
      </w:pPr>
      <w:r w:rsidRPr="00364A4A">
        <w:rPr>
          <w:rStyle w:val="Strong"/>
        </w:rPr>
        <w:t>Cataloguing data</w:t>
      </w:r>
    </w:p>
    <w:p w14:paraId="09AC4AB3" w14:textId="2A1EEEC4" w:rsidR="00764D6A" w:rsidRDefault="00E91D72">
      <w:pPr>
        <w:pStyle w:val="Normalsmall"/>
      </w:pPr>
      <w:r w:rsidRPr="00364A4A">
        <w:t xml:space="preserve">This publication (and any material sourced from it) should be attributed as: </w:t>
      </w:r>
      <w:r w:rsidR="009D5007" w:rsidRPr="0032665B">
        <w:t>DA</w:t>
      </w:r>
      <w:r w:rsidR="00DE0AAE" w:rsidRPr="0032665B">
        <w:t>FF</w:t>
      </w:r>
      <w:r w:rsidR="00B97E61" w:rsidRPr="00895BDC">
        <w:t xml:space="preserve"> </w:t>
      </w:r>
      <w:r w:rsidR="00B97E61" w:rsidRPr="0032665B">
        <w:t>202</w:t>
      </w:r>
      <w:r w:rsidR="005C36F6" w:rsidRPr="0032665B">
        <w:t>3</w:t>
      </w:r>
      <w:r w:rsidRPr="0032665B">
        <w:t xml:space="preserve">, </w:t>
      </w:r>
      <w:r w:rsidR="00895BDC" w:rsidRPr="00895BDC">
        <w:rPr>
          <w:i/>
        </w:rPr>
        <w:t>Pacific Biosecurity Strategy 2022 to 2027</w:t>
      </w:r>
      <w:r>
        <w:t xml:space="preserve">, </w:t>
      </w:r>
      <w:r w:rsidR="00DE0AAE" w:rsidRPr="00DE0AAE">
        <w:t>Department of Agriculture, Fisheries and Forestry</w:t>
      </w:r>
      <w:r>
        <w:t xml:space="preserve">, Canberra, </w:t>
      </w:r>
      <w:r w:rsidR="00E95919">
        <w:t>March</w:t>
      </w:r>
      <w:r>
        <w:t>. CC BY 4.0.</w:t>
      </w:r>
    </w:p>
    <w:p w14:paraId="31BA5DF0" w14:textId="75B0AB6F" w:rsidR="00764D6A" w:rsidRDefault="00E91D72">
      <w:pPr>
        <w:pStyle w:val="Normalsmall"/>
      </w:pPr>
      <w:r>
        <w:t xml:space="preserve">This </w:t>
      </w:r>
      <w:r w:rsidRPr="00364A4A">
        <w:t xml:space="preserve">publication is available at </w:t>
      </w:r>
      <w:hyperlink r:id="rId13" w:history="1">
        <w:r w:rsidR="00690DF0" w:rsidRPr="00690DF0">
          <w:rPr>
            <w:rStyle w:val="Hyperlink"/>
          </w:rPr>
          <w:t>agriculture.gov.au/biosecurity-trade/policy/australia/public-awareness/pacific-engagement</w:t>
        </w:r>
      </w:hyperlink>
      <w:r w:rsidR="00690DF0">
        <w:t>.</w:t>
      </w:r>
    </w:p>
    <w:p w14:paraId="55B2A0C5" w14:textId="77777777" w:rsidR="00DE0AAE" w:rsidRDefault="00DE0AAE">
      <w:pPr>
        <w:pStyle w:val="Normalsmall"/>
        <w:spacing w:after="0"/>
      </w:pPr>
      <w:r w:rsidRPr="00DE0AAE">
        <w:t>Department of Agriculture, Fisheries and Forestry</w:t>
      </w:r>
    </w:p>
    <w:p w14:paraId="40CE8493" w14:textId="77777777" w:rsidR="00764D6A" w:rsidRPr="00364A4A" w:rsidRDefault="00E91D72">
      <w:pPr>
        <w:pStyle w:val="Normalsmall"/>
        <w:spacing w:after="0"/>
      </w:pPr>
      <w:r w:rsidRPr="00364A4A">
        <w:t>GPO Box 858 Canberra ACT 2601</w:t>
      </w:r>
    </w:p>
    <w:p w14:paraId="4DC0E187" w14:textId="77777777" w:rsidR="00764D6A" w:rsidRPr="00364A4A" w:rsidRDefault="00E91D72">
      <w:pPr>
        <w:pStyle w:val="Normalsmall"/>
        <w:spacing w:after="0"/>
      </w:pPr>
      <w:r w:rsidRPr="00364A4A">
        <w:t>Telephone 1800 900 090</w:t>
      </w:r>
    </w:p>
    <w:p w14:paraId="7B98E7FC" w14:textId="77777777" w:rsidR="00764D6A" w:rsidRPr="00364A4A" w:rsidRDefault="00E91D72">
      <w:pPr>
        <w:pStyle w:val="Normalsmall"/>
      </w:pPr>
      <w:r w:rsidRPr="00364A4A">
        <w:t xml:space="preserve">Web </w:t>
      </w:r>
      <w:hyperlink r:id="rId14" w:history="1">
        <w:r w:rsidR="00DE0AAE" w:rsidRPr="00364A4A">
          <w:rPr>
            <w:rStyle w:val="Hyperlink"/>
          </w:rPr>
          <w:t>agriculture.gov.au</w:t>
        </w:r>
      </w:hyperlink>
    </w:p>
    <w:p w14:paraId="340896A0" w14:textId="77777777" w:rsidR="007C358A" w:rsidRDefault="007C358A">
      <w:pPr>
        <w:pStyle w:val="Normalsmall"/>
      </w:pPr>
      <w:r w:rsidRPr="00364A4A">
        <w:rPr>
          <w:rStyle w:val="Strong"/>
        </w:rPr>
        <w:t>Disclaimer</w:t>
      </w:r>
    </w:p>
    <w:p w14:paraId="48873724" w14:textId="77777777" w:rsidR="00764D6A" w:rsidRDefault="00E91D72">
      <w:pPr>
        <w:pStyle w:val="Normalsmall"/>
      </w:pPr>
      <w:r>
        <w:t xml:space="preserve">The Australian Government acting through the </w:t>
      </w:r>
      <w:r w:rsidR="00DE0AAE" w:rsidRPr="00DE0AAE">
        <w:t>Department of Agriculture, Fisheries and Forestry</w:t>
      </w:r>
      <w:r>
        <w:t xml:space="preserve"> has exercised due care and skill in preparing and compiling the information and data in this publication. Notwithstanding, the </w:t>
      </w:r>
      <w:r w:rsidR="00DE0AAE" w:rsidRPr="00DE0AAE">
        <w:t>Department of Agriculture, Fisheries and Forestry</w:t>
      </w:r>
      <w:r>
        <w:t xml:space="preserve">, its employees and advisers disclaim all liability, including liability for negligence and for any loss, damage, injury, </w:t>
      </w:r>
      <w:proofErr w:type="gramStart"/>
      <w:r>
        <w:t>expense</w:t>
      </w:r>
      <w:proofErr w:type="gramEnd"/>
      <w:r>
        <w:t xml:space="preserve"> or cost incurred by any person as a result of accessing, using or relying on any of the information or data in this publication to the maximum extent permitted by law.</w:t>
      </w:r>
    </w:p>
    <w:p w14:paraId="7EB7A4D5" w14:textId="77777777" w:rsidR="00B02B9B" w:rsidRDefault="00B02B9B" w:rsidP="00B02B9B">
      <w:pPr>
        <w:pStyle w:val="Normalsmall"/>
      </w:pPr>
      <w:r>
        <w:rPr>
          <w:rStyle w:val="Strong"/>
        </w:rPr>
        <w:t>Acknowledgement of Country</w:t>
      </w:r>
    </w:p>
    <w:p w14:paraId="663B6C66" w14:textId="77777777" w:rsidR="00517A68" w:rsidRDefault="00D07F7D" w:rsidP="00432172">
      <w:pPr>
        <w:pStyle w:val="Normalsmall"/>
      </w:pPr>
      <w:r w:rsidRPr="00D07F7D">
        <w:t xml:space="preserve">We acknowledge the Traditional Custodians of Australia and their continuing connection to land and sea, waters, </w:t>
      </w:r>
      <w:proofErr w:type="gramStart"/>
      <w:r w:rsidRPr="00D07F7D">
        <w:t>environment</w:t>
      </w:r>
      <w:proofErr w:type="gramEnd"/>
      <w:r w:rsidRPr="00D07F7D">
        <w:t xml:space="preserve"> and community. We pay our respects to the Traditional Custodians of the lands we live and work on, their culture, and their Elders past and present.</w:t>
      </w:r>
    </w:p>
    <w:p w14:paraId="55CF0AAC" w14:textId="3E66CD46" w:rsidR="00764D6A" w:rsidRDefault="00E91D72">
      <w:pPr>
        <w:spacing w:after="0" w:line="240" w:lineRule="auto"/>
      </w:pPr>
      <w:r>
        <w:br w:type="page"/>
      </w:r>
    </w:p>
    <w:sdt>
      <w:sdtPr>
        <w:rPr>
          <w:rFonts w:ascii="Cambria" w:eastAsiaTheme="minorHAnsi" w:hAnsi="Cambria"/>
          <w:bCs w:val="0"/>
          <w:noProof/>
          <w:sz w:val="22"/>
          <w:szCs w:val="22"/>
          <w:lang w:eastAsia="en-US"/>
        </w:rPr>
        <w:id w:val="-760297017"/>
        <w:docPartObj>
          <w:docPartGallery w:val="Table of Contents"/>
          <w:docPartUnique/>
        </w:docPartObj>
      </w:sdtPr>
      <w:sdtEndPr>
        <w:rPr>
          <w:rFonts w:asciiTheme="minorHAnsi" w:hAnsiTheme="minorHAnsi"/>
          <w:b/>
          <w:noProof w:val="0"/>
        </w:rPr>
      </w:sdtEndPr>
      <w:sdtContent>
        <w:p w14:paraId="02D94806" w14:textId="3864BA67" w:rsidR="00764D6A" w:rsidRDefault="00E91D72">
          <w:pPr>
            <w:pStyle w:val="TOCHeading"/>
          </w:pPr>
          <w:r>
            <w:t>Contents</w:t>
          </w:r>
        </w:p>
        <w:p w14:paraId="7BC48E68" w14:textId="09C7C87E" w:rsidR="00DD7075" w:rsidRDefault="00E91D72">
          <w:pPr>
            <w:pStyle w:val="TOC1"/>
            <w:rPr>
              <w:rFonts w:eastAsiaTheme="minorEastAsia"/>
              <w:b w:val="0"/>
              <w:lang w:eastAsia="en-AU"/>
            </w:rPr>
          </w:pP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 TOC \h \z \u \t "Heading 2,1,Heading 3,2,Style1,2,TOA Heading,1" </w:instrText>
          </w:r>
          <w:r>
            <w:rPr>
              <w:b w:val="0"/>
            </w:rPr>
            <w:fldChar w:fldCharType="separate"/>
          </w:r>
          <w:hyperlink w:anchor="_Toc129005467" w:history="1">
            <w:r w:rsidR="00DD7075" w:rsidRPr="00C75192">
              <w:rPr>
                <w:rStyle w:val="Hyperlink"/>
              </w:rPr>
              <w:t>Introduction</w:t>
            </w:r>
            <w:r w:rsidR="00DD7075">
              <w:rPr>
                <w:webHidden/>
              </w:rPr>
              <w:tab/>
            </w:r>
            <w:r w:rsidR="00DD7075">
              <w:rPr>
                <w:webHidden/>
              </w:rPr>
              <w:fldChar w:fldCharType="begin"/>
            </w:r>
            <w:r w:rsidR="00DD7075">
              <w:rPr>
                <w:webHidden/>
              </w:rPr>
              <w:instrText xml:space="preserve"> PAGEREF _Toc129005467 \h </w:instrText>
            </w:r>
            <w:r w:rsidR="00DD7075">
              <w:rPr>
                <w:webHidden/>
              </w:rPr>
            </w:r>
            <w:r w:rsidR="00DD7075">
              <w:rPr>
                <w:webHidden/>
              </w:rPr>
              <w:fldChar w:fldCharType="separate"/>
            </w:r>
            <w:r w:rsidR="00DD7075">
              <w:rPr>
                <w:webHidden/>
              </w:rPr>
              <w:t>1</w:t>
            </w:r>
            <w:r w:rsidR="00DD7075">
              <w:rPr>
                <w:webHidden/>
              </w:rPr>
              <w:fldChar w:fldCharType="end"/>
            </w:r>
          </w:hyperlink>
        </w:p>
        <w:p w14:paraId="3E981B20" w14:textId="1CEB3340" w:rsidR="00DD7075" w:rsidRDefault="00D70A27">
          <w:pPr>
            <w:pStyle w:val="TOC1"/>
            <w:rPr>
              <w:rFonts w:eastAsiaTheme="minorEastAsia"/>
              <w:b w:val="0"/>
              <w:lang w:eastAsia="en-AU"/>
            </w:rPr>
          </w:pPr>
          <w:hyperlink w:anchor="_Toc129005468" w:history="1">
            <w:r w:rsidR="00DD7075" w:rsidRPr="00C75192">
              <w:rPr>
                <w:rStyle w:val="Hyperlink"/>
              </w:rPr>
              <w:t>1</w:t>
            </w:r>
            <w:r w:rsidR="00DD7075">
              <w:rPr>
                <w:rFonts w:eastAsiaTheme="minorEastAsia"/>
                <w:b w:val="0"/>
                <w:lang w:eastAsia="en-AU"/>
              </w:rPr>
              <w:tab/>
            </w:r>
            <w:r w:rsidR="00DD7075" w:rsidRPr="00C75192">
              <w:rPr>
                <w:rStyle w:val="Hyperlink"/>
              </w:rPr>
              <w:t>Context and purpose</w:t>
            </w:r>
            <w:r w:rsidR="00DD7075">
              <w:rPr>
                <w:webHidden/>
              </w:rPr>
              <w:tab/>
            </w:r>
            <w:r w:rsidR="00DD7075">
              <w:rPr>
                <w:webHidden/>
              </w:rPr>
              <w:fldChar w:fldCharType="begin"/>
            </w:r>
            <w:r w:rsidR="00DD7075">
              <w:rPr>
                <w:webHidden/>
              </w:rPr>
              <w:instrText xml:space="preserve"> PAGEREF _Toc129005468 \h </w:instrText>
            </w:r>
            <w:r w:rsidR="00DD7075">
              <w:rPr>
                <w:webHidden/>
              </w:rPr>
            </w:r>
            <w:r w:rsidR="00DD7075">
              <w:rPr>
                <w:webHidden/>
              </w:rPr>
              <w:fldChar w:fldCharType="separate"/>
            </w:r>
            <w:r w:rsidR="00DD7075">
              <w:rPr>
                <w:webHidden/>
              </w:rPr>
              <w:t>1</w:t>
            </w:r>
            <w:r w:rsidR="00DD7075">
              <w:rPr>
                <w:webHidden/>
              </w:rPr>
              <w:fldChar w:fldCharType="end"/>
            </w:r>
          </w:hyperlink>
        </w:p>
        <w:p w14:paraId="6C557177" w14:textId="4EE8C081" w:rsidR="00DD7075" w:rsidRDefault="00D70A27">
          <w:pPr>
            <w:pStyle w:val="TOC1"/>
            <w:rPr>
              <w:rFonts w:eastAsiaTheme="minorEastAsia"/>
              <w:b w:val="0"/>
              <w:lang w:eastAsia="en-AU"/>
            </w:rPr>
          </w:pPr>
          <w:hyperlink w:anchor="_Toc129005469" w:history="1">
            <w:r w:rsidR="00DD7075" w:rsidRPr="00C75192">
              <w:rPr>
                <w:rStyle w:val="Hyperlink"/>
              </w:rPr>
              <w:t>2</w:t>
            </w:r>
            <w:r w:rsidR="00DD7075">
              <w:rPr>
                <w:rFonts w:eastAsiaTheme="minorEastAsia"/>
                <w:b w:val="0"/>
                <w:lang w:eastAsia="en-AU"/>
              </w:rPr>
              <w:tab/>
            </w:r>
            <w:r w:rsidR="00DD7075" w:rsidRPr="00C75192">
              <w:rPr>
                <w:rStyle w:val="Hyperlink"/>
              </w:rPr>
              <w:t>Vision</w:t>
            </w:r>
            <w:r w:rsidR="00DD7075">
              <w:rPr>
                <w:webHidden/>
              </w:rPr>
              <w:tab/>
            </w:r>
            <w:r w:rsidR="00DD7075">
              <w:rPr>
                <w:webHidden/>
              </w:rPr>
              <w:fldChar w:fldCharType="begin"/>
            </w:r>
            <w:r w:rsidR="00DD7075">
              <w:rPr>
                <w:webHidden/>
              </w:rPr>
              <w:instrText xml:space="preserve"> PAGEREF _Toc129005469 \h </w:instrText>
            </w:r>
            <w:r w:rsidR="00DD7075">
              <w:rPr>
                <w:webHidden/>
              </w:rPr>
            </w:r>
            <w:r w:rsidR="00DD7075">
              <w:rPr>
                <w:webHidden/>
              </w:rPr>
              <w:fldChar w:fldCharType="separate"/>
            </w:r>
            <w:r w:rsidR="00DD7075">
              <w:rPr>
                <w:webHidden/>
              </w:rPr>
              <w:t>2</w:t>
            </w:r>
            <w:r w:rsidR="00DD7075">
              <w:rPr>
                <w:webHidden/>
              </w:rPr>
              <w:fldChar w:fldCharType="end"/>
            </w:r>
          </w:hyperlink>
        </w:p>
        <w:p w14:paraId="24EED014" w14:textId="06497810" w:rsidR="00DD7075" w:rsidRDefault="00D70A27">
          <w:pPr>
            <w:pStyle w:val="TOC1"/>
            <w:rPr>
              <w:rFonts w:eastAsiaTheme="minorEastAsia"/>
              <w:b w:val="0"/>
              <w:lang w:eastAsia="en-AU"/>
            </w:rPr>
          </w:pPr>
          <w:hyperlink w:anchor="_Toc129005470" w:history="1">
            <w:r w:rsidR="00DD7075" w:rsidRPr="00C75192">
              <w:rPr>
                <w:rStyle w:val="Hyperlink"/>
              </w:rPr>
              <w:t>3</w:t>
            </w:r>
            <w:r w:rsidR="00DD7075">
              <w:rPr>
                <w:rFonts w:eastAsiaTheme="minorEastAsia"/>
                <w:b w:val="0"/>
                <w:lang w:eastAsia="en-AU"/>
              </w:rPr>
              <w:tab/>
            </w:r>
            <w:r w:rsidR="00DD7075" w:rsidRPr="00C75192">
              <w:rPr>
                <w:rStyle w:val="Hyperlink"/>
              </w:rPr>
              <w:t>Scope</w:t>
            </w:r>
            <w:r w:rsidR="00DD7075">
              <w:rPr>
                <w:webHidden/>
              </w:rPr>
              <w:tab/>
            </w:r>
            <w:r w:rsidR="00DD7075">
              <w:rPr>
                <w:webHidden/>
              </w:rPr>
              <w:fldChar w:fldCharType="begin"/>
            </w:r>
            <w:r w:rsidR="00DD7075">
              <w:rPr>
                <w:webHidden/>
              </w:rPr>
              <w:instrText xml:space="preserve"> PAGEREF _Toc129005470 \h </w:instrText>
            </w:r>
            <w:r w:rsidR="00DD7075">
              <w:rPr>
                <w:webHidden/>
              </w:rPr>
            </w:r>
            <w:r w:rsidR="00DD7075">
              <w:rPr>
                <w:webHidden/>
              </w:rPr>
              <w:fldChar w:fldCharType="separate"/>
            </w:r>
            <w:r w:rsidR="00DD7075">
              <w:rPr>
                <w:webHidden/>
              </w:rPr>
              <w:t>2</w:t>
            </w:r>
            <w:r w:rsidR="00DD7075">
              <w:rPr>
                <w:webHidden/>
              </w:rPr>
              <w:fldChar w:fldCharType="end"/>
            </w:r>
          </w:hyperlink>
        </w:p>
        <w:p w14:paraId="78B14DD4" w14:textId="44F6F824" w:rsidR="00DD7075" w:rsidRDefault="00D70A27">
          <w:pPr>
            <w:pStyle w:val="TOC1"/>
            <w:rPr>
              <w:rFonts w:eastAsiaTheme="minorEastAsia"/>
              <w:b w:val="0"/>
              <w:lang w:eastAsia="en-AU"/>
            </w:rPr>
          </w:pPr>
          <w:hyperlink w:anchor="_Toc129005471" w:history="1">
            <w:r w:rsidR="00DD7075" w:rsidRPr="00C75192">
              <w:rPr>
                <w:rStyle w:val="Hyperlink"/>
              </w:rPr>
              <w:t>4</w:t>
            </w:r>
            <w:r w:rsidR="00DD7075">
              <w:rPr>
                <w:rFonts w:eastAsiaTheme="minorEastAsia"/>
                <w:b w:val="0"/>
                <w:lang w:eastAsia="en-AU"/>
              </w:rPr>
              <w:tab/>
            </w:r>
            <w:r w:rsidR="00DD7075" w:rsidRPr="00C75192">
              <w:rPr>
                <w:rStyle w:val="Hyperlink"/>
              </w:rPr>
              <w:t>Strategic alignment</w:t>
            </w:r>
            <w:r w:rsidR="00DD7075">
              <w:rPr>
                <w:webHidden/>
              </w:rPr>
              <w:tab/>
            </w:r>
            <w:r w:rsidR="00DD7075">
              <w:rPr>
                <w:webHidden/>
              </w:rPr>
              <w:fldChar w:fldCharType="begin"/>
            </w:r>
            <w:r w:rsidR="00DD7075">
              <w:rPr>
                <w:webHidden/>
              </w:rPr>
              <w:instrText xml:space="preserve"> PAGEREF _Toc129005471 \h </w:instrText>
            </w:r>
            <w:r w:rsidR="00DD7075">
              <w:rPr>
                <w:webHidden/>
              </w:rPr>
            </w:r>
            <w:r w:rsidR="00DD7075">
              <w:rPr>
                <w:webHidden/>
              </w:rPr>
              <w:fldChar w:fldCharType="separate"/>
            </w:r>
            <w:r w:rsidR="00DD7075">
              <w:rPr>
                <w:webHidden/>
              </w:rPr>
              <w:t>2</w:t>
            </w:r>
            <w:r w:rsidR="00DD7075">
              <w:rPr>
                <w:webHidden/>
              </w:rPr>
              <w:fldChar w:fldCharType="end"/>
            </w:r>
          </w:hyperlink>
        </w:p>
        <w:p w14:paraId="4503B18E" w14:textId="2199AC31" w:rsidR="00DD7075" w:rsidRDefault="00D70A27">
          <w:pPr>
            <w:pStyle w:val="TOC2"/>
            <w:rPr>
              <w:rFonts w:eastAsiaTheme="minorEastAsia"/>
              <w:lang w:eastAsia="en-AU"/>
            </w:rPr>
          </w:pPr>
          <w:hyperlink w:anchor="_Toc129005472" w:history="1">
            <w:r w:rsidR="00DD7075" w:rsidRPr="00C75192">
              <w:rPr>
                <w:rStyle w:val="Hyperlink"/>
              </w:rPr>
              <w:t>Strategic themes</w:t>
            </w:r>
            <w:r w:rsidR="00DD7075">
              <w:rPr>
                <w:webHidden/>
              </w:rPr>
              <w:tab/>
            </w:r>
            <w:r w:rsidR="00DD7075">
              <w:rPr>
                <w:webHidden/>
              </w:rPr>
              <w:fldChar w:fldCharType="begin"/>
            </w:r>
            <w:r w:rsidR="00DD7075">
              <w:rPr>
                <w:webHidden/>
              </w:rPr>
              <w:instrText xml:space="preserve"> PAGEREF _Toc129005472 \h </w:instrText>
            </w:r>
            <w:r w:rsidR="00DD7075">
              <w:rPr>
                <w:webHidden/>
              </w:rPr>
            </w:r>
            <w:r w:rsidR="00DD7075">
              <w:rPr>
                <w:webHidden/>
              </w:rPr>
              <w:fldChar w:fldCharType="separate"/>
            </w:r>
            <w:r w:rsidR="00DD7075">
              <w:rPr>
                <w:webHidden/>
              </w:rPr>
              <w:t>3</w:t>
            </w:r>
            <w:r w:rsidR="00DD7075">
              <w:rPr>
                <w:webHidden/>
              </w:rPr>
              <w:fldChar w:fldCharType="end"/>
            </w:r>
          </w:hyperlink>
        </w:p>
        <w:p w14:paraId="39BF7206" w14:textId="418752A5" w:rsidR="00DD7075" w:rsidRDefault="00D70A27">
          <w:pPr>
            <w:pStyle w:val="TOC1"/>
            <w:rPr>
              <w:rFonts w:eastAsiaTheme="minorEastAsia"/>
              <w:b w:val="0"/>
              <w:lang w:eastAsia="en-AU"/>
            </w:rPr>
          </w:pPr>
          <w:hyperlink w:anchor="_Toc129005473" w:history="1">
            <w:r w:rsidR="00DD7075" w:rsidRPr="00C75192">
              <w:rPr>
                <w:rStyle w:val="Hyperlink"/>
              </w:rPr>
              <w:t>5</w:t>
            </w:r>
            <w:r w:rsidR="00DD7075">
              <w:rPr>
                <w:rFonts w:eastAsiaTheme="minorEastAsia"/>
                <w:b w:val="0"/>
                <w:lang w:eastAsia="en-AU"/>
              </w:rPr>
              <w:tab/>
            </w:r>
            <w:r w:rsidR="00DD7075" w:rsidRPr="00C75192">
              <w:rPr>
                <w:rStyle w:val="Hyperlink"/>
              </w:rPr>
              <w:t>Approach</w:t>
            </w:r>
            <w:r w:rsidR="00DD7075">
              <w:rPr>
                <w:webHidden/>
              </w:rPr>
              <w:tab/>
            </w:r>
            <w:r w:rsidR="00DD7075">
              <w:rPr>
                <w:webHidden/>
              </w:rPr>
              <w:fldChar w:fldCharType="begin"/>
            </w:r>
            <w:r w:rsidR="00DD7075">
              <w:rPr>
                <w:webHidden/>
              </w:rPr>
              <w:instrText xml:space="preserve"> PAGEREF _Toc129005473 \h </w:instrText>
            </w:r>
            <w:r w:rsidR="00DD7075">
              <w:rPr>
                <w:webHidden/>
              </w:rPr>
            </w:r>
            <w:r w:rsidR="00DD7075">
              <w:rPr>
                <w:webHidden/>
              </w:rPr>
              <w:fldChar w:fldCharType="separate"/>
            </w:r>
            <w:r w:rsidR="00DD7075">
              <w:rPr>
                <w:webHidden/>
              </w:rPr>
              <w:t>4</w:t>
            </w:r>
            <w:r w:rsidR="00DD7075">
              <w:rPr>
                <w:webHidden/>
              </w:rPr>
              <w:fldChar w:fldCharType="end"/>
            </w:r>
          </w:hyperlink>
        </w:p>
        <w:p w14:paraId="00861711" w14:textId="3080DDEE" w:rsidR="00DD7075" w:rsidRDefault="00D70A27">
          <w:pPr>
            <w:pStyle w:val="TOC1"/>
            <w:rPr>
              <w:rFonts w:eastAsiaTheme="minorEastAsia"/>
              <w:b w:val="0"/>
              <w:lang w:eastAsia="en-AU"/>
            </w:rPr>
          </w:pPr>
          <w:hyperlink w:anchor="_Toc129005474" w:history="1">
            <w:r w:rsidR="00DD7075" w:rsidRPr="00C75192">
              <w:rPr>
                <w:rStyle w:val="Hyperlink"/>
              </w:rPr>
              <w:t>6</w:t>
            </w:r>
            <w:r w:rsidR="00DD7075">
              <w:rPr>
                <w:rFonts w:eastAsiaTheme="minorEastAsia"/>
                <w:b w:val="0"/>
                <w:lang w:eastAsia="en-AU"/>
              </w:rPr>
              <w:tab/>
            </w:r>
            <w:r w:rsidR="00DD7075" w:rsidRPr="00C75192">
              <w:rPr>
                <w:rStyle w:val="Hyperlink"/>
              </w:rPr>
              <w:t>Enablers</w:t>
            </w:r>
            <w:r w:rsidR="00DD7075">
              <w:rPr>
                <w:webHidden/>
              </w:rPr>
              <w:tab/>
            </w:r>
            <w:r w:rsidR="00DD7075">
              <w:rPr>
                <w:webHidden/>
              </w:rPr>
              <w:fldChar w:fldCharType="begin"/>
            </w:r>
            <w:r w:rsidR="00DD7075">
              <w:rPr>
                <w:webHidden/>
              </w:rPr>
              <w:instrText xml:space="preserve"> PAGEREF _Toc129005474 \h </w:instrText>
            </w:r>
            <w:r w:rsidR="00DD7075">
              <w:rPr>
                <w:webHidden/>
              </w:rPr>
            </w:r>
            <w:r w:rsidR="00DD7075">
              <w:rPr>
                <w:webHidden/>
              </w:rPr>
              <w:fldChar w:fldCharType="separate"/>
            </w:r>
            <w:r w:rsidR="00DD7075">
              <w:rPr>
                <w:webHidden/>
              </w:rPr>
              <w:t>4</w:t>
            </w:r>
            <w:r w:rsidR="00DD7075">
              <w:rPr>
                <w:webHidden/>
              </w:rPr>
              <w:fldChar w:fldCharType="end"/>
            </w:r>
          </w:hyperlink>
        </w:p>
        <w:p w14:paraId="332F9435" w14:textId="0EF22D72" w:rsidR="00DD7075" w:rsidRDefault="00D70A27">
          <w:pPr>
            <w:pStyle w:val="TOC2"/>
            <w:rPr>
              <w:rFonts w:eastAsiaTheme="minorEastAsia"/>
              <w:lang w:eastAsia="en-AU"/>
            </w:rPr>
          </w:pPr>
          <w:hyperlink w:anchor="_Toc129005475" w:history="1">
            <w:r w:rsidR="00DD7075" w:rsidRPr="00C75192">
              <w:rPr>
                <w:rStyle w:val="Hyperlink"/>
              </w:rPr>
              <w:t>People and partnerships</w:t>
            </w:r>
            <w:r w:rsidR="00DD7075">
              <w:rPr>
                <w:webHidden/>
              </w:rPr>
              <w:tab/>
            </w:r>
            <w:r w:rsidR="00DD7075">
              <w:rPr>
                <w:webHidden/>
              </w:rPr>
              <w:fldChar w:fldCharType="begin"/>
            </w:r>
            <w:r w:rsidR="00DD7075">
              <w:rPr>
                <w:webHidden/>
              </w:rPr>
              <w:instrText xml:space="preserve"> PAGEREF _Toc129005475 \h </w:instrText>
            </w:r>
            <w:r w:rsidR="00DD7075">
              <w:rPr>
                <w:webHidden/>
              </w:rPr>
            </w:r>
            <w:r w:rsidR="00DD7075">
              <w:rPr>
                <w:webHidden/>
              </w:rPr>
              <w:fldChar w:fldCharType="separate"/>
            </w:r>
            <w:r w:rsidR="00DD7075">
              <w:rPr>
                <w:webHidden/>
              </w:rPr>
              <w:t>5</w:t>
            </w:r>
            <w:r w:rsidR="00DD7075">
              <w:rPr>
                <w:webHidden/>
              </w:rPr>
              <w:fldChar w:fldCharType="end"/>
            </w:r>
          </w:hyperlink>
        </w:p>
        <w:p w14:paraId="43559577" w14:textId="1C844E89" w:rsidR="00DD7075" w:rsidRDefault="00D70A27">
          <w:pPr>
            <w:pStyle w:val="TOC2"/>
            <w:rPr>
              <w:rFonts w:eastAsiaTheme="minorEastAsia"/>
              <w:lang w:eastAsia="en-AU"/>
            </w:rPr>
          </w:pPr>
          <w:hyperlink w:anchor="_Toc129005476" w:history="1">
            <w:r w:rsidR="00DD7075" w:rsidRPr="00C75192">
              <w:rPr>
                <w:rStyle w:val="Hyperlink"/>
              </w:rPr>
              <w:t>Governance</w:t>
            </w:r>
            <w:r w:rsidR="00DD7075">
              <w:rPr>
                <w:webHidden/>
              </w:rPr>
              <w:tab/>
            </w:r>
            <w:r w:rsidR="00DD7075">
              <w:rPr>
                <w:webHidden/>
              </w:rPr>
              <w:fldChar w:fldCharType="begin"/>
            </w:r>
            <w:r w:rsidR="00DD7075">
              <w:rPr>
                <w:webHidden/>
              </w:rPr>
              <w:instrText xml:space="preserve"> PAGEREF _Toc129005476 \h </w:instrText>
            </w:r>
            <w:r w:rsidR="00DD7075">
              <w:rPr>
                <w:webHidden/>
              </w:rPr>
            </w:r>
            <w:r w:rsidR="00DD7075">
              <w:rPr>
                <w:webHidden/>
              </w:rPr>
              <w:fldChar w:fldCharType="separate"/>
            </w:r>
            <w:r w:rsidR="00DD7075">
              <w:rPr>
                <w:webHidden/>
              </w:rPr>
              <w:t>5</w:t>
            </w:r>
            <w:r w:rsidR="00DD7075">
              <w:rPr>
                <w:webHidden/>
              </w:rPr>
              <w:fldChar w:fldCharType="end"/>
            </w:r>
          </w:hyperlink>
        </w:p>
        <w:p w14:paraId="4553BDE6" w14:textId="1699FE5A" w:rsidR="00DD7075" w:rsidRDefault="00D70A27">
          <w:pPr>
            <w:pStyle w:val="TOC2"/>
            <w:rPr>
              <w:rFonts w:eastAsiaTheme="minorEastAsia"/>
              <w:lang w:eastAsia="en-AU"/>
            </w:rPr>
          </w:pPr>
          <w:hyperlink w:anchor="_Toc129005477" w:history="1">
            <w:r w:rsidR="00DD7075" w:rsidRPr="00C75192">
              <w:rPr>
                <w:rStyle w:val="Hyperlink"/>
              </w:rPr>
              <w:t>Resourcing</w:t>
            </w:r>
            <w:r w:rsidR="00DD7075">
              <w:rPr>
                <w:webHidden/>
              </w:rPr>
              <w:tab/>
            </w:r>
            <w:r w:rsidR="00DD7075">
              <w:rPr>
                <w:webHidden/>
              </w:rPr>
              <w:fldChar w:fldCharType="begin"/>
            </w:r>
            <w:r w:rsidR="00DD7075">
              <w:rPr>
                <w:webHidden/>
              </w:rPr>
              <w:instrText xml:space="preserve"> PAGEREF _Toc129005477 \h </w:instrText>
            </w:r>
            <w:r w:rsidR="00DD7075">
              <w:rPr>
                <w:webHidden/>
              </w:rPr>
            </w:r>
            <w:r w:rsidR="00DD7075">
              <w:rPr>
                <w:webHidden/>
              </w:rPr>
              <w:fldChar w:fldCharType="separate"/>
            </w:r>
            <w:r w:rsidR="00DD7075">
              <w:rPr>
                <w:webHidden/>
              </w:rPr>
              <w:t>5</w:t>
            </w:r>
            <w:r w:rsidR="00DD7075">
              <w:rPr>
                <w:webHidden/>
              </w:rPr>
              <w:fldChar w:fldCharType="end"/>
            </w:r>
          </w:hyperlink>
        </w:p>
        <w:p w14:paraId="38A9039C" w14:textId="5B029860" w:rsidR="00DD7075" w:rsidRDefault="00D70A27">
          <w:pPr>
            <w:pStyle w:val="TOC1"/>
            <w:rPr>
              <w:rFonts w:eastAsiaTheme="minorEastAsia"/>
              <w:b w:val="0"/>
              <w:lang w:eastAsia="en-AU"/>
            </w:rPr>
          </w:pPr>
          <w:hyperlink w:anchor="_Toc129005478" w:history="1">
            <w:r w:rsidR="00DD7075" w:rsidRPr="00C75192">
              <w:rPr>
                <w:rStyle w:val="Hyperlink"/>
              </w:rPr>
              <w:t>Appendix A: Pacific Island Countries and Territories</w:t>
            </w:r>
            <w:r w:rsidR="00DD7075">
              <w:rPr>
                <w:webHidden/>
              </w:rPr>
              <w:tab/>
            </w:r>
            <w:r w:rsidR="00DD7075">
              <w:rPr>
                <w:webHidden/>
              </w:rPr>
              <w:fldChar w:fldCharType="begin"/>
            </w:r>
            <w:r w:rsidR="00DD7075">
              <w:rPr>
                <w:webHidden/>
              </w:rPr>
              <w:instrText xml:space="preserve"> PAGEREF _Toc129005478 \h </w:instrText>
            </w:r>
            <w:r w:rsidR="00DD7075">
              <w:rPr>
                <w:webHidden/>
              </w:rPr>
            </w:r>
            <w:r w:rsidR="00DD7075">
              <w:rPr>
                <w:webHidden/>
              </w:rPr>
              <w:fldChar w:fldCharType="separate"/>
            </w:r>
            <w:r w:rsidR="00DD7075">
              <w:rPr>
                <w:webHidden/>
              </w:rPr>
              <w:t>6</w:t>
            </w:r>
            <w:r w:rsidR="00DD7075">
              <w:rPr>
                <w:webHidden/>
              </w:rPr>
              <w:fldChar w:fldCharType="end"/>
            </w:r>
          </w:hyperlink>
        </w:p>
        <w:p w14:paraId="4D71962C" w14:textId="46FC5675" w:rsidR="009B6A71" w:rsidRDefault="00E91D72" w:rsidP="00E95919">
          <w:pPr>
            <w:pStyle w:val="TOC1"/>
            <w:rPr>
              <w:b w:val="0"/>
            </w:rPr>
          </w:pPr>
          <w:r>
            <w:rPr>
              <w:b w:val="0"/>
            </w:rPr>
            <w:fldChar w:fldCharType="end"/>
          </w:r>
        </w:p>
        <w:p w14:paraId="68AB8C90" w14:textId="3644267B" w:rsidR="00764D6A" w:rsidRDefault="00D70A27" w:rsidP="009B6A71">
          <w:pPr>
            <w:rPr>
              <w:b/>
            </w:rPr>
          </w:pPr>
        </w:p>
      </w:sdtContent>
    </w:sdt>
    <w:p w14:paraId="58EAF3F6" w14:textId="77777777" w:rsidR="009B6A71" w:rsidRDefault="009B6A71" w:rsidP="009B6A71">
      <w:pPr>
        <w:sectPr w:rsidR="009B6A71">
          <w:headerReference w:type="even" r:id="rId15"/>
          <w:headerReference w:type="default" r:id="rId16"/>
          <w:footerReference w:type="default" r:id="rId17"/>
          <w:headerReference w:type="first" r:id="rId18"/>
          <w:pgSz w:w="11906" w:h="16838"/>
          <w:pgMar w:top="1418" w:right="1418" w:bottom="1418" w:left="1418" w:header="567" w:footer="283" w:gutter="0"/>
          <w:pgNumType w:fmt="lowerRoman" w:start="1"/>
          <w:cols w:space="708"/>
          <w:titlePg/>
          <w:docGrid w:linePitch="360"/>
        </w:sectPr>
      </w:pPr>
    </w:p>
    <w:p w14:paraId="3C2D5E10" w14:textId="44E0AC13" w:rsidR="00282E88" w:rsidRDefault="00282E88" w:rsidP="00DD7075">
      <w:pPr>
        <w:pStyle w:val="Heading2"/>
        <w:keepNext w:val="0"/>
        <w:pageBreakBefore/>
        <w:numPr>
          <w:ilvl w:val="0"/>
          <w:numId w:val="0"/>
        </w:numPr>
        <w:ind w:left="720" w:hanging="720"/>
      </w:pPr>
      <w:bookmarkStart w:id="0" w:name="_Toc129005467"/>
      <w:r>
        <w:lastRenderedPageBreak/>
        <w:t>Introduction</w:t>
      </w:r>
      <w:bookmarkEnd w:id="0"/>
    </w:p>
    <w:p w14:paraId="337E65CD" w14:textId="0943673A" w:rsidR="00282E88" w:rsidRDefault="00282E88" w:rsidP="00282E88">
      <w:pPr>
        <w:rPr>
          <w:rFonts w:cstheme="minorHAnsi"/>
        </w:rPr>
      </w:pPr>
      <w:r w:rsidRPr="00F86559">
        <w:rPr>
          <w:rFonts w:cstheme="minorHAnsi"/>
        </w:rPr>
        <w:t>This</w:t>
      </w:r>
      <w:r>
        <w:rPr>
          <w:rFonts w:cstheme="minorHAnsi"/>
        </w:rPr>
        <w:t xml:space="preserve"> is the first Pacific Biosecurity Strategy developed by the</w:t>
      </w:r>
      <w:r w:rsidRPr="00F86559">
        <w:rPr>
          <w:rFonts w:cstheme="minorHAnsi"/>
        </w:rPr>
        <w:t xml:space="preserve"> Department of Agriculture, </w:t>
      </w:r>
      <w:r>
        <w:rPr>
          <w:rFonts w:cstheme="minorHAnsi"/>
        </w:rPr>
        <w:t xml:space="preserve">Fisheries and Forestry. The </w:t>
      </w:r>
      <w:r w:rsidR="0032665B">
        <w:rPr>
          <w:rFonts w:cstheme="minorHAnsi"/>
        </w:rPr>
        <w:t>s</w:t>
      </w:r>
      <w:r>
        <w:rPr>
          <w:rFonts w:cstheme="minorHAnsi"/>
        </w:rPr>
        <w:t xml:space="preserve">trategy aims </w:t>
      </w:r>
      <w:r w:rsidRPr="00F86559">
        <w:rPr>
          <w:rFonts w:cstheme="minorHAnsi"/>
        </w:rPr>
        <w:t>to improve plant, animal</w:t>
      </w:r>
      <w:r w:rsidR="00206B9E">
        <w:rPr>
          <w:rFonts w:cstheme="minorHAnsi"/>
        </w:rPr>
        <w:t xml:space="preserve"> </w:t>
      </w:r>
      <w:r w:rsidRPr="00206B9E">
        <w:rPr>
          <w:rFonts w:cstheme="minorHAnsi"/>
        </w:rPr>
        <w:t>(includ</w:t>
      </w:r>
      <w:r w:rsidR="00206B9E" w:rsidRPr="00206B9E">
        <w:rPr>
          <w:rFonts w:cstheme="minorHAnsi"/>
        </w:rPr>
        <w:t>ing aquatic animal)</w:t>
      </w:r>
      <w:r w:rsidRPr="00206B9E">
        <w:rPr>
          <w:rFonts w:cstheme="minorHAnsi"/>
        </w:rPr>
        <w:t xml:space="preserve"> and</w:t>
      </w:r>
      <w:r w:rsidRPr="00F86559">
        <w:rPr>
          <w:rFonts w:cstheme="minorHAnsi"/>
        </w:rPr>
        <w:t xml:space="preserve"> environmental health</w:t>
      </w:r>
      <w:r w:rsidR="008B75DC">
        <w:rPr>
          <w:rFonts w:cstheme="minorHAnsi"/>
        </w:rPr>
        <w:t>,</w:t>
      </w:r>
      <w:r w:rsidRPr="00F86559">
        <w:rPr>
          <w:rFonts w:cstheme="minorHAnsi"/>
        </w:rPr>
        <w:t xml:space="preserve"> and biosecurity outcomes in the region.</w:t>
      </w:r>
    </w:p>
    <w:p w14:paraId="13144916" w14:textId="1E17904C" w:rsidR="00282E88" w:rsidRDefault="00A85A48" w:rsidP="00282E88">
      <w:pPr>
        <w:rPr>
          <w:rFonts w:cstheme="minorHAnsi"/>
        </w:rPr>
      </w:pPr>
      <w:r>
        <w:rPr>
          <w:rFonts w:cstheme="minorHAnsi"/>
        </w:rPr>
        <w:t xml:space="preserve">Our </w:t>
      </w:r>
      <w:r w:rsidR="00282E88">
        <w:rPr>
          <w:rFonts w:cstheme="minorHAnsi"/>
        </w:rPr>
        <w:t xml:space="preserve">approach </w:t>
      </w:r>
      <w:r>
        <w:rPr>
          <w:rFonts w:cstheme="minorHAnsi"/>
        </w:rPr>
        <w:t xml:space="preserve">to improving outcomes includes </w:t>
      </w:r>
      <w:r w:rsidR="00282E88">
        <w:rPr>
          <w:rFonts w:cstheme="minorHAnsi"/>
        </w:rPr>
        <w:t>relationship</w:t>
      </w:r>
      <w:r>
        <w:rPr>
          <w:rFonts w:cstheme="minorHAnsi"/>
        </w:rPr>
        <w:t>-</w:t>
      </w:r>
      <w:r w:rsidR="00282E88">
        <w:rPr>
          <w:rFonts w:cstheme="minorHAnsi"/>
        </w:rPr>
        <w:t>building</w:t>
      </w:r>
      <w:r w:rsidR="00282E88" w:rsidRPr="00F86559">
        <w:rPr>
          <w:rFonts w:cstheme="minorHAnsi"/>
        </w:rPr>
        <w:t>, collaboration</w:t>
      </w:r>
      <w:r w:rsidR="00282E88">
        <w:rPr>
          <w:rFonts w:cstheme="minorHAnsi"/>
        </w:rPr>
        <w:t xml:space="preserve"> and </w:t>
      </w:r>
      <w:r w:rsidR="00282E88" w:rsidRPr="00F86559">
        <w:rPr>
          <w:rFonts w:cstheme="minorHAnsi"/>
        </w:rPr>
        <w:t>support</w:t>
      </w:r>
      <w:r>
        <w:rPr>
          <w:rFonts w:cstheme="minorHAnsi"/>
        </w:rPr>
        <w:t>, and</w:t>
      </w:r>
      <w:r w:rsidR="00282E88">
        <w:rPr>
          <w:rFonts w:cstheme="minorHAnsi"/>
        </w:rPr>
        <w:t xml:space="preserve"> </w:t>
      </w:r>
      <w:r w:rsidR="00282E88" w:rsidRPr="00F86559">
        <w:rPr>
          <w:rFonts w:cstheme="minorHAnsi"/>
        </w:rPr>
        <w:t>co-design and co-deliver</w:t>
      </w:r>
      <w:r w:rsidR="00282E88">
        <w:rPr>
          <w:rFonts w:cstheme="minorHAnsi"/>
        </w:rPr>
        <w:t>y</w:t>
      </w:r>
      <w:r w:rsidR="00282E88" w:rsidRPr="00F86559">
        <w:rPr>
          <w:rFonts w:cstheme="minorHAnsi"/>
        </w:rPr>
        <w:t xml:space="preserve"> with</w:t>
      </w:r>
      <w:r w:rsidR="00282E88">
        <w:rPr>
          <w:rFonts w:cstheme="minorHAnsi"/>
        </w:rPr>
        <w:t xml:space="preserve"> Pacific Island Countries and Territories (PICTs</w:t>
      </w:r>
      <w:r w:rsidR="00204B71">
        <w:rPr>
          <w:rFonts w:cstheme="minorHAnsi"/>
        </w:rPr>
        <w:t xml:space="preserve">) (see </w:t>
      </w:r>
      <w:hyperlink w:anchor="_Appendix_A:_Pacific" w:history="1">
        <w:r w:rsidR="00204B71" w:rsidRPr="00204B71">
          <w:rPr>
            <w:rStyle w:val="Hyperlink"/>
            <w:rFonts w:cstheme="minorHAnsi"/>
          </w:rPr>
          <w:t>Appendix A</w:t>
        </w:r>
      </w:hyperlink>
      <w:r w:rsidR="00204B71">
        <w:rPr>
          <w:rFonts w:cstheme="minorHAnsi"/>
        </w:rPr>
        <w:t>)</w:t>
      </w:r>
      <w:r w:rsidR="00282E88">
        <w:rPr>
          <w:rFonts w:cstheme="minorHAnsi"/>
        </w:rPr>
        <w:t>,</w:t>
      </w:r>
      <w:r w:rsidR="00282E88" w:rsidRPr="00F86559">
        <w:rPr>
          <w:rFonts w:cstheme="minorHAnsi"/>
        </w:rPr>
        <w:t xml:space="preserve"> near neighbours and relevant organisations</w:t>
      </w:r>
      <w:r w:rsidR="00282E88">
        <w:rPr>
          <w:rFonts w:cstheme="minorHAnsi"/>
        </w:rPr>
        <w:t xml:space="preserve"> in the region. </w:t>
      </w:r>
      <w:r>
        <w:rPr>
          <w:rFonts w:cstheme="minorHAnsi"/>
        </w:rPr>
        <w:t>Our</w:t>
      </w:r>
      <w:r w:rsidR="00282E88">
        <w:rPr>
          <w:rFonts w:cstheme="minorHAnsi"/>
        </w:rPr>
        <w:t xml:space="preserve"> involvement in addressing </w:t>
      </w:r>
      <w:r w:rsidR="00282E88" w:rsidRPr="00F86559">
        <w:rPr>
          <w:rFonts w:cstheme="minorHAnsi"/>
        </w:rPr>
        <w:t>themes and activities that coul</w:t>
      </w:r>
      <w:r w:rsidR="00282E88">
        <w:rPr>
          <w:rFonts w:cstheme="minorHAnsi"/>
        </w:rPr>
        <w:t>d</w:t>
      </w:r>
      <w:r w:rsidR="00282E88" w:rsidRPr="00F86559">
        <w:rPr>
          <w:rFonts w:cstheme="minorHAnsi"/>
        </w:rPr>
        <w:t xml:space="preserve"> be conducted under this strategy </w:t>
      </w:r>
      <w:r w:rsidR="00282E88">
        <w:rPr>
          <w:rFonts w:cstheme="minorHAnsi"/>
        </w:rPr>
        <w:t>ranges from leading to being a partner or a participant.</w:t>
      </w:r>
    </w:p>
    <w:p w14:paraId="0C447BC8" w14:textId="39A0F0B9" w:rsidR="00282E88" w:rsidRPr="00F86559" w:rsidRDefault="00282E88" w:rsidP="00282E88">
      <w:pPr>
        <w:rPr>
          <w:rFonts w:cstheme="minorHAnsi"/>
        </w:rPr>
      </w:pPr>
      <w:r>
        <w:rPr>
          <w:rFonts w:cstheme="minorHAnsi"/>
        </w:rPr>
        <w:t>T</w:t>
      </w:r>
      <w:r w:rsidRPr="00F86559">
        <w:rPr>
          <w:rFonts w:cstheme="minorHAnsi"/>
        </w:rPr>
        <w:t xml:space="preserve">he </w:t>
      </w:r>
      <w:r w:rsidR="00A85A48">
        <w:rPr>
          <w:rFonts w:cstheme="minorHAnsi"/>
        </w:rPr>
        <w:t>s</w:t>
      </w:r>
      <w:r>
        <w:rPr>
          <w:rFonts w:cstheme="minorHAnsi"/>
        </w:rPr>
        <w:t xml:space="preserve">trategy will also guide </w:t>
      </w:r>
      <w:r w:rsidR="00A85A48">
        <w:rPr>
          <w:rFonts w:cstheme="minorHAnsi"/>
        </w:rPr>
        <w:t xml:space="preserve">our </w:t>
      </w:r>
      <w:r w:rsidRPr="00F86559">
        <w:rPr>
          <w:rFonts w:cstheme="minorHAnsi"/>
        </w:rPr>
        <w:t>participat</w:t>
      </w:r>
      <w:r>
        <w:rPr>
          <w:rFonts w:cstheme="minorHAnsi"/>
        </w:rPr>
        <w:t>ion</w:t>
      </w:r>
      <w:r w:rsidRPr="00F86559">
        <w:rPr>
          <w:rFonts w:cstheme="minorHAnsi"/>
        </w:rPr>
        <w:t xml:space="preserve"> and contribut</w:t>
      </w:r>
      <w:r>
        <w:rPr>
          <w:rFonts w:cstheme="minorHAnsi"/>
        </w:rPr>
        <w:t>ion</w:t>
      </w:r>
      <w:r w:rsidRPr="00F86559">
        <w:rPr>
          <w:rFonts w:cstheme="minorHAnsi"/>
        </w:rPr>
        <w:t xml:space="preserve"> </w:t>
      </w:r>
      <w:r w:rsidR="00CA3332">
        <w:rPr>
          <w:rFonts w:cstheme="minorHAnsi"/>
        </w:rPr>
        <w:t>in</w:t>
      </w:r>
      <w:r w:rsidRPr="00F86559">
        <w:rPr>
          <w:rFonts w:cstheme="minorHAnsi"/>
        </w:rPr>
        <w:t xml:space="preserve"> the development and implementation of biosecurity strategies of other agencies and organisations</w:t>
      </w:r>
      <w:r>
        <w:rPr>
          <w:rFonts w:cstheme="minorHAnsi"/>
        </w:rPr>
        <w:t xml:space="preserve"> in the Pacific region</w:t>
      </w:r>
      <w:r w:rsidRPr="00F86559">
        <w:rPr>
          <w:rFonts w:cstheme="minorHAnsi"/>
        </w:rPr>
        <w:t>.</w:t>
      </w:r>
      <w:r w:rsidR="00A85A48">
        <w:rPr>
          <w:rFonts w:cstheme="minorHAnsi"/>
        </w:rPr>
        <w:t xml:space="preserve"> It will be </w:t>
      </w:r>
      <w:r w:rsidRPr="00F86559">
        <w:rPr>
          <w:rFonts w:cstheme="minorHAnsi"/>
        </w:rPr>
        <w:t>reviewed</w:t>
      </w:r>
      <w:r w:rsidRPr="0022042E">
        <w:rPr>
          <w:rFonts w:cstheme="minorHAnsi"/>
        </w:rPr>
        <w:t xml:space="preserve">, </w:t>
      </w:r>
      <w:proofErr w:type="gramStart"/>
      <w:r w:rsidRPr="0022042E">
        <w:rPr>
          <w:rFonts w:cstheme="minorHAnsi"/>
        </w:rPr>
        <w:t>refined</w:t>
      </w:r>
      <w:proofErr w:type="gramEnd"/>
      <w:r w:rsidRPr="0022042E">
        <w:rPr>
          <w:rFonts w:cstheme="minorHAnsi"/>
        </w:rPr>
        <w:t xml:space="preserve"> and expanded </w:t>
      </w:r>
      <w:r w:rsidR="00A85A48">
        <w:rPr>
          <w:rFonts w:cstheme="minorHAnsi"/>
        </w:rPr>
        <w:t>as required</w:t>
      </w:r>
      <w:r w:rsidRPr="00F86559">
        <w:rPr>
          <w:rFonts w:cstheme="minorHAnsi"/>
        </w:rPr>
        <w:t>.</w:t>
      </w:r>
    </w:p>
    <w:p w14:paraId="16B3D1DA" w14:textId="68491BF2" w:rsidR="00282E88" w:rsidRDefault="00282E88" w:rsidP="00FF09A7">
      <w:pPr>
        <w:pStyle w:val="Heading2"/>
      </w:pPr>
      <w:bookmarkStart w:id="1" w:name="_Toc89345525"/>
      <w:bookmarkStart w:id="2" w:name="_Toc129005468"/>
      <w:r w:rsidRPr="00C379CA">
        <w:t xml:space="preserve">Context and </w:t>
      </w:r>
      <w:r w:rsidR="00A85A48">
        <w:t>p</w:t>
      </w:r>
      <w:r w:rsidRPr="00C379CA">
        <w:t>urpose</w:t>
      </w:r>
      <w:bookmarkEnd w:id="1"/>
      <w:bookmarkEnd w:id="2"/>
    </w:p>
    <w:p w14:paraId="4E92CAF9" w14:textId="677C5B26" w:rsidR="008304B7" w:rsidRDefault="00BE6033" w:rsidP="00BE6033">
      <w:pPr>
        <w:rPr>
          <w:rFonts w:cstheme="minorHAnsi"/>
        </w:rPr>
      </w:pPr>
      <w:r w:rsidRPr="00306C4F">
        <w:rPr>
          <w:rFonts w:cstheme="minorHAnsi"/>
        </w:rPr>
        <w:t xml:space="preserve">The agricultural sector is crucial for supporting food security </w:t>
      </w:r>
      <w:r>
        <w:rPr>
          <w:rFonts w:cstheme="minorHAnsi"/>
        </w:rPr>
        <w:t>and nutrition, as well as</w:t>
      </w:r>
      <w:r w:rsidRPr="00306C4F">
        <w:rPr>
          <w:rFonts w:cstheme="minorHAnsi"/>
        </w:rPr>
        <w:t xml:space="preserve"> </w:t>
      </w:r>
      <w:r w:rsidRPr="00F86559">
        <w:rPr>
          <w:rFonts w:cstheme="minorHAnsi"/>
        </w:rPr>
        <w:t>sustainable and broad-based economic growth and development</w:t>
      </w:r>
      <w:r w:rsidR="00A85A48">
        <w:rPr>
          <w:rFonts w:cstheme="minorHAnsi"/>
        </w:rPr>
        <w:t>. It is</w:t>
      </w:r>
      <w:r w:rsidRPr="00F86559">
        <w:rPr>
          <w:rFonts w:cstheme="minorHAnsi"/>
        </w:rPr>
        <w:t xml:space="preserve"> vital for the livelihoods of most </w:t>
      </w:r>
      <w:r w:rsidRPr="00C379CA">
        <w:rPr>
          <w:rFonts w:cstheme="minorHAnsi"/>
        </w:rPr>
        <w:t>communities of the Pacific and our near</w:t>
      </w:r>
      <w:r w:rsidR="00574F1A">
        <w:rPr>
          <w:rFonts w:cstheme="minorHAnsi"/>
        </w:rPr>
        <w:t xml:space="preserve"> </w:t>
      </w:r>
      <w:r w:rsidRPr="00C379CA">
        <w:rPr>
          <w:rFonts w:cstheme="minorHAnsi"/>
        </w:rPr>
        <w:t>neighbour</w:t>
      </w:r>
      <w:r w:rsidR="00574F1A">
        <w:rPr>
          <w:rFonts w:cstheme="minorHAnsi"/>
        </w:rPr>
        <w:t>s</w:t>
      </w:r>
      <w:r w:rsidRPr="00C379CA">
        <w:rPr>
          <w:rFonts w:cstheme="minorHAnsi"/>
        </w:rPr>
        <w:t xml:space="preserve"> Indonesia and Timor-Leste.</w:t>
      </w:r>
    </w:p>
    <w:p w14:paraId="17FCCAD6" w14:textId="1C55F569" w:rsidR="008304B7" w:rsidRDefault="00BE6033" w:rsidP="00BE6033">
      <w:pPr>
        <w:rPr>
          <w:rFonts w:cstheme="minorHAnsi"/>
        </w:rPr>
      </w:pPr>
      <w:r w:rsidRPr="00C379CA">
        <w:rPr>
          <w:rFonts w:cstheme="minorHAnsi"/>
        </w:rPr>
        <w:t xml:space="preserve">Plant, animal and environmental health and biosecurity threats </w:t>
      </w:r>
      <w:r>
        <w:rPr>
          <w:rFonts w:cstheme="minorHAnsi"/>
        </w:rPr>
        <w:t xml:space="preserve">can create significant challenges </w:t>
      </w:r>
      <w:r w:rsidRPr="00C379CA">
        <w:rPr>
          <w:rFonts w:cstheme="minorHAnsi"/>
        </w:rPr>
        <w:t>for PICTs</w:t>
      </w:r>
      <w:r>
        <w:rPr>
          <w:rFonts w:cstheme="minorHAnsi"/>
        </w:rPr>
        <w:t xml:space="preserve"> </w:t>
      </w:r>
      <w:r w:rsidRPr="00C379CA">
        <w:rPr>
          <w:rFonts w:cstheme="minorHAnsi"/>
        </w:rPr>
        <w:t>and near neighbours</w:t>
      </w:r>
      <w:r>
        <w:rPr>
          <w:rFonts w:cstheme="minorHAnsi"/>
        </w:rPr>
        <w:t xml:space="preserve"> through</w:t>
      </w:r>
      <w:r w:rsidRPr="00C379CA">
        <w:rPr>
          <w:rFonts w:cstheme="minorHAnsi"/>
        </w:rPr>
        <w:t xml:space="preserve"> food insecurity</w:t>
      </w:r>
      <w:r w:rsidR="008304B7">
        <w:rPr>
          <w:rFonts w:cstheme="minorHAnsi"/>
        </w:rPr>
        <w:t xml:space="preserve"> and</w:t>
      </w:r>
      <w:r w:rsidRPr="00C379CA">
        <w:rPr>
          <w:rFonts w:cstheme="minorHAnsi"/>
        </w:rPr>
        <w:t xml:space="preserve"> loss of agricultural trade and tourism revenue streams</w:t>
      </w:r>
      <w:r w:rsidR="008304B7">
        <w:rPr>
          <w:rFonts w:cstheme="minorHAnsi"/>
        </w:rPr>
        <w:t>. This can</w:t>
      </w:r>
      <w:r w:rsidRPr="00C379CA">
        <w:rPr>
          <w:rFonts w:cstheme="minorHAnsi"/>
        </w:rPr>
        <w:t xml:space="preserve"> undermin</w:t>
      </w:r>
      <w:r w:rsidR="008304B7">
        <w:rPr>
          <w:rFonts w:cstheme="minorHAnsi"/>
        </w:rPr>
        <w:t>e</w:t>
      </w:r>
      <w:r w:rsidRPr="00C379CA">
        <w:rPr>
          <w:rFonts w:cstheme="minorHAnsi"/>
        </w:rPr>
        <w:t xml:space="preserve"> economic growth</w:t>
      </w:r>
      <w:r w:rsidR="008304B7">
        <w:rPr>
          <w:rFonts w:cstheme="minorHAnsi"/>
        </w:rPr>
        <w:t xml:space="preserve"> and </w:t>
      </w:r>
      <w:r w:rsidRPr="00C379CA">
        <w:rPr>
          <w:rFonts w:cstheme="minorHAnsi"/>
        </w:rPr>
        <w:t xml:space="preserve">stability and </w:t>
      </w:r>
      <w:r w:rsidR="008304B7">
        <w:rPr>
          <w:rFonts w:cstheme="minorHAnsi"/>
        </w:rPr>
        <w:t>affect</w:t>
      </w:r>
      <w:r w:rsidRPr="00C379CA">
        <w:rPr>
          <w:rFonts w:cstheme="minorHAnsi"/>
        </w:rPr>
        <w:t xml:space="preserve"> human health.</w:t>
      </w:r>
    </w:p>
    <w:p w14:paraId="4DF1D982" w14:textId="74464EB0" w:rsidR="00BE6033" w:rsidRDefault="00BE6033" w:rsidP="00BE6033">
      <w:pPr>
        <w:rPr>
          <w:rFonts w:cstheme="minorHAnsi"/>
        </w:rPr>
      </w:pPr>
      <w:r>
        <w:rPr>
          <w:rFonts w:cstheme="minorHAnsi"/>
        </w:rPr>
        <w:t>Climate change and i</w:t>
      </w:r>
      <w:r w:rsidRPr="00C379CA">
        <w:rPr>
          <w:rFonts w:cstheme="minorHAnsi"/>
        </w:rPr>
        <w:t xml:space="preserve">ncreasing movement of people and goods in our region and around the world has increased the risk of exotic pests and diseases entering and establishing in our region. </w:t>
      </w:r>
      <w:r w:rsidR="00D05F23">
        <w:rPr>
          <w:rFonts w:cstheme="minorHAnsi"/>
        </w:rPr>
        <w:t xml:space="preserve">While </w:t>
      </w:r>
      <w:r w:rsidR="008770E2">
        <w:rPr>
          <w:rFonts w:cstheme="minorHAnsi"/>
        </w:rPr>
        <w:t>ad</w:t>
      </w:r>
      <w:r w:rsidR="00204B71">
        <w:rPr>
          <w:rFonts w:cstheme="minorHAnsi"/>
        </w:rPr>
        <w:t>-</w:t>
      </w:r>
      <w:r w:rsidR="008770E2">
        <w:rPr>
          <w:rFonts w:cstheme="minorHAnsi"/>
        </w:rPr>
        <w:t xml:space="preserve">hoc technical and other exchange </w:t>
      </w:r>
      <w:r w:rsidR="00CA3332">
        <w:rPr>
          <w:rFonts w:cstheme="minorHAnsi"/>
        </w:rPr>
        <w:t xml:space="preserve">is </w:t>
      </w:r>
      <w:r w:rsidR="008770E2">
        <w:rPr>
          <w:rFonts w:cstheme="minorHAnsi"/>
        </w:rPr>
        <w:t>already occurring, a</w:t>
      </w:r>
      <w:r w:rsidRPr="00C379CA">
        <w:rPr>
          <w:rFonts w:cstheme="minorHAnsi"/>
        </w:rPr>
        <w:t xml:space="preserve"> </w:t>
      </w:r>
      <w:r>
        <w:rPr>
          <w:rFonts w:cstheme="minorHAnsi"/>
        </w:rPr>
        <w:t>well-</w:t>
      </w:r>
      <w:r w:rsidRPr="00C379CA">
        <w:rPr>
          <w:rFonts w:cstheme="minorHAnsi"/>
        </w:rPr>
        <w:t xml:space="preserve">coordinated, multi-disciplinary approach will </w:t>
      </w:r>
      <w:r>
        <w:rPr>
          <w:rFonts w:cstheme="minorHAnsi"/>
        </w:rPr>
        <w:t>support</w:t>
      </w:r>
      <w:r w:rsidRPr="00C379CA">
        <w:rPr>
          <w:rFonts w:cstheme="minorHAnsi"/>
        </w:rPr>
        <w:t xml:space="preserve"> Australia, </w:t>
      </w:r>
      <w:proofErr w:type="gramStart"/>
      <w:r w:rsidRPr="00C379CA">
        <w:rPr>
          <w:rFonts w:cstheme="minorHAnsi"/>
        </w:rPr>
        <w:t>PICTs</w:t>
      </w:r>
      <w:proofErr w:type="gramEnd"/>
      <w:r w:rsidRPr="00C379CA">
        <w:rPr>
          <w:rFonts w:cstheme="minorHAnsi"/>
        </w:rPr>
        <w:t xml:space="preserve"> and our near neighbours </w:t>
      </w:r>
      <w:r w:rsidR="008304B7">
        <w:rPr>
          <w:rFonts w:cstheme="minorHAnsi"/>
        </w:rPr>
        <w:t xml:space="preserve">to </w:t>
      </w:r>
      <w:r w:rsidRPr="00C379CA">
        <w:rPr>
          <w:rFonts w:cstheme="minorHAnsi"/>
        </w:rPr>
        <w:t>address increased pest and disease risks</w:t>
      </w:r>
      <w:r w:rsidR="002B0483">
        <w:rPr>
          <w:rFonts w:cstheme="minorHAnsi"/>
        </w:rPr>
        <w:t>. It will also support us to</w:t>
      </w:r>
      <w:r w:rsidRPr="00C379CA">
        <w:rPr>
          <w:rFonts w:cstheme="minorHAnsi"/>
        </w:rPr>
        <w:t xml:space="preserve"> better </w:t>
      </w:r>
      <w:r>
        <w:rPr>
          <w:rFonts w:cstheme="minorHAnsi"/>
        </w:rPr>
        <w:t>respond to these</w:t>
      </w:r>
      <w:r w:rsidRPr="00F86559">
        <w:rPr>
          <w:rFonts w:cstheme="minorHAnsi"/>
        </w:rPr>
        <w:t xml:space="preserve"> threats to </w:t>
      </w:r>
      <w:r>
        <w:rPr>
          <w:rFonts w:cstheme="minorHAnsi"/>
        </w:rPr>
        <w:t xml:space="preserve">sustainable </w:t>
      </w:r>
      <w:r w:rsidRPr="00F86559">
        <w:rPr>
          <w:rFonts w:cstheme="minorHAnsi"/>
        </w:rPr>
        <w:t>agriculture</w:t>
      </w:r>
      <w:r>
        <w:rPr>
          <w:rFonts w:cstheme="minorHAnsi"/>
        </w:rPr>
        <w:t>,</w:t>
      </w:r>
      <w:r w:rsidRPr="00F86559">
        <w:rPr>
          <w:rFonts w:cstheme="minorHAnsi"/>
        </w:rPr>
        <w:t xml:space="preserve"> food systems</w:t>
      </w:r>
      <w:r>
        <w:rPr>
          <w:rFonts w:cstheme="minorHAnsi"/>
        </w:rPr>
        <w:t>, environment,</w:t>
      </w:r>
      <w:r w:rsidRPr="00F86559">
        <w:rPr>
          <w:rFonts w:cstheme="minorHAnsi"/>
        </w:rPr>
        <w:t xml:space="preserve"> market</w:t>
      </w:r>
      <w:r w:rsidR="008304B7">
        <w:rPr>
          <w:rFonts w:cstheme="minorHAnsi"/>
        </w:rPr>
        <w:t>-</w:t>
      </w:r>
      <w:r w:rsidRPr="00F86559">
        <w:rPr>
          <w:rFonts w:cstheme="minorHAnsi"/>
        </w:rPr>
        <w:t xml:space="preserve">access </w:t>
      </w:r>
      <w:proofErr w:type="gramStart"/>
      <w:r w:rsidRPr="00F86559">
        <w:rPr>
          <w:rFonts w:cstheme="minorHAnsi"/>
        </w:rPr>
        <w:t>opportunities</w:t>
      </w:r>
      <w:proofErr w:type="gramEnd"/>
      <w:r>
        <w:rPr>
          <w:rFonts w:cstheme="minorHAnsi"/>
        </w:rPr>
        <w:t xml:space="preserve"> and economic prosperity</w:t>
      </w:r>
      <w:r w:rsidRPr="00F86559">
        <w:rPr>
          <w:rFonts w:cstheme="minorHAnsi"/>
        </w:rPr>
        <w:t>.</w:t>
      </w:r>
    </w:p>
    <w:p w14:paraId="690065CB" w14:textId="591EA4EE" w:rsidR="00BE6033" w:rsidRDefault="0014130C" w:rsidP="00BE6033">
      <w:pPr>
        <w:rPr>
          <w:rFonts w:cstheme="minorHAnsi"/>
        </w:rPr>
      </w:pPr>
      <w:r>
        <w:rPr>
          <w:rFonts w:cstheme="minorHAnsi"/>
        </w:rPr>
        <w:t>The implementation of</w:t>
      </w:r>
      <w:r w:rsidR="00BE6033">
        <w:rPr>
          <w:rFonts w:cstheme="minorHAnsi"/>
        </w:rPr>
        <w:t xml:space="preserve"> this strategy will contribute to several United Nations sustainable development goals (SDGs)</w:t>
      </w:r>
      <w:r w:rsidR="00CB73F1">
        <w:rPr>
          <w:rFonts w:cstheme="minorHAnsi"/>
        </w:rPr>
        <w:t>,</w:t>
      </w:r>
      <w:r w:rsidR="00BE6033">
        <w:rPr>
          <w:rFonts w:cstheme="minorHAnsi"/>
        </w:rPr>
        <w:t xml:space="preserve"> including:</w:t>
      </w:r>
    </w:p>
    <w:p w14:paraId="6219B280" w14:textId="1AA65D6B" w:rsidR="00CB73F1" w:rsidRDefault="00BE6033" w:rsidP="00CB73F1">
      <w:pPr>
        <w:pStyle w:val="ListBullet"/>
      </w:pPr>
      <w:r>
        <w:t>2</w:t>
      </w:r>
      <w:r w:rsidR="00CB73F1">
        <w:t xml:space="preserve"> – </w:t>
      </w:r>
      <w:r>
        <w:t>Zero hunger</w:t>
      </w:r>
    </w:p>
    <w:p w14:paraId="3E139D44" w14:textId="5CFF1EE1" w:rsidR="00CB73F1" w:rsidRDefault="00BE6033" w:rsidP="00CB73F1">
      <w:pPr>
        <w:pStyle w:val="ListBullet"/>
      </w:pPr>
      <w:r>
        <w:t>8</w:t>
      </w:r>
      <w:r w:rsidR="00CB73F1">
        <w:t xml:space="preserve"> – </w:t>
      </w:r>
      <w:r>
        <w:t>Decent work and economic growth</w:t>
      </w:r>
    </w:p>
    <w:p w14:paraId="453DFD09" w14:textId="25B1A74D" w:rsidR="00CB73F1" w:rsidRDefault="00BE6033" w:rsidP="00CB73F1">
      <w:pPr>
        <w:pStyle w:val="ListBullet"/>
      </w:pPr>
      <w:r>
        <w:t>14</w:t>
      </w:r>
      <w:r w:rsidR="00CB73F1">
        <w:t xml:space="preserve"> – </w:t>
      </w:r>
      <w:r>
        <w:t>Life below water</w:t>
      </w:r>
    </w:p>
    <w:p w14:paraId="33683EE7" w14:textId="66458F80" w:rsidR="00CB73F1" w:rsidRDefault="00BE6033" w:rsidP="00CB73F1">
      <w:pPr>
        <w:pStyle w:val="ListBullet"/>
      </w:pPr>
      <w:r>
        <w:t>15</w:t>
      </w:r>
      <w:r w:rsidR="00CB73F1">
        <w:t xml:space="preserve"> – </w:t>
      </w:r>
      <w:r>
        <w:t>Life on land</w:t>
      </w:r>
    </w:p>
    <w:p w14:paraId="4F4E1A40" w14:textId="159EFD24" w:rsidR="00BE6033" w:rsidRDefault="00BE6033" w:rsidP="0014130C">
      <w:pPr>
        <w:pStyle w:val="ListBullet"/>
      </w:pPr>
      <w:r>
        <w:t>17</w:t>
      </w:r>
      <w:r w:rsidR="00CB73F1">
        <w:t xml:space="preserve"> – </w:t>
      </w:r>
      <w:r>
        <w:t>Partnerships for the goals</w:t>
      </w:r>
      <w:r w:rsidR="00CB73F1">
        <w:t>.</w:t>
      </w:r>
    </w:p>
    <w:p w14:paraId="34029F6D" w14:textId="5C710562" w:rsidR="00FF09A7" w:rsidRDefault="00BA14F3" w:rsidP="00FF09A7">
      <w:pPr>
        <w:rPr>
          <w:rFonts w:cstheme="minorHAnsi"/>
        </w:rPr>
      </w:pPr>
      <w:bookmarkStart w:id="3" w:name="_Hlk74219867"/>
      <w:r>
        <w:rPr>
          <w:rFonts w:cstheme="minorHAnsi"/>
        </w:rPr>
        <w:t xml:space="preserve">By </w:t>
      </w:r>
      <w:r w:rsidR="00BE6033" w:rsidRPr="00BA14F3">
        <w:rPr>
          <w:rFonts w:cstheme="minorHAnsi"/>
        </w:rPr>
        <w:t>identifying and mitigating biosecurity threats in the Pacific</w:t>
      </w:r>
      <w:r>
        <w:rPr>
          <w:rFonts w:cstheme="minorHAnsi"/>
        </w:rPr>
        <w:t>, Australia is</w:t>
      </w:r>
      <w:r w:rsidR="00BE6033" w:rsidRPr="00BA14F3">
        <w:rPr>
          <w:rFonts w:cstheme="minorHAnsi"/>
        </w:rPr>
        <w:t xml:space="preserve"> support</w:t>
      </w:r>
      <w:r>
        <w:rPr>
          <w:rFonts w:cstheme="minorHAnsi"/>
        </w:rPr>
        <w:t>ing</w:t>
      </w:r>
      <w:r w:rsidR="00BE6033" w:rsidRPr="00C379CA">
        <w:rPr>
          <w:rFonts w:cstheme="minorHAnsi"/>
        </w:rPr>
        <w:t xml:space="preserve"> </w:t>
      </w:r>
      <w:r w:rsidR="00BE6033">
        <w:rPr>
          <w:rFonts w:cstheme="minorHAnsi"/>
        </w:rPr>
        <w:t>and protect</w:t>
      </w:r>
      <w:r>
        <w:rPr>
          <w:rFonts w:cstheme="minorHAnsi"/>
        </w:rPr>
        <w:t>ing</w:t>
      </w:r>
      <w:r w:rsidR="00BE6033">
        <w:rPr>
          <w:rFonts w:cstheme="minorHAnsi"/>
        </w:rPr>
        <w:t xml:space="preserve"> </w:t>
      </w:r>
      <w:r w:rsidR="00BE6033" w:rsidRPr="00C379CA">
        <w:rPr>
          <w:rFonts w:cstheme="minorHAnsi"/>
        </w:rPr>
        <w:t xml:space="preserve">regional plant, animal and environmental health and biosecurity </w:t>
      </w:r>
      <w:r w:rsidR="00BE6033">
        <w:rPr>
          <w:rFonts w:cstheme="minorHAnsi"/>
        </w:rPr>
        <w:t>for all stakeholders</w:t>
      </w:r>
      <w:r w:rsidR="00BE6033" w:rsidRPr="00C379CA">
        <w:rPr>
          <w:rFonts w:cstheme="minorHAnsi"/>
        </w:rPr>
        <w:t xml:space="preserve">. </w:t>
      </w:r>
      <w:bookmarkEnd w:id="3"/>
      <w:r w:rsidR="007E6D51" w:rsidRPr="00C379CA">
        <w:rPr>
          <w:rFonts w:cstheme="minorHAnsi"/>
        </w:rPr>
        <w:t xml:space="preserve">Australia </w:t>
      </w:r>
      <w:r w:rsidR="007E6D51">
        <w:rPr>
          <w:rFonts w:cstheme="minorHAnsi"/>
        </w:rPr>
        <w:t xml:space="preserve">is committed </w:t>
      </w:r>
      <w:r w:rsidR="007E6D51" w:rsidRPr="00C379CA">
        <w:rPr>
          <w:rFonts w:cstheme="minorHAnsi"/>
        </w:rPr>
        <w:t xml:space="preserve">to </w:t>
      </w:r>
      <w:r w:rsidR="007E6D51">
        <w:rPr>
          <w:rFonts w:cstheme="minorHAnsi"/>
        </w:rPr>
        <w:t xml:space="preserve">building a </w:t>
      </w:r>
      <w:r w:rsidR="007E6D51" w:rsidRPr="00C379CA">
        <w:rPr>
          <w:rFonts w:cstheme="minorHAnsi"/>
        </w:rPr>
        <w:t>stronger</w:t>
      </w:r>
      <w:r w:rsidR="007E6D51">
        <w:rPr>
          <w:rFonts w:cstheme="minorHAnsi"/>
        </w:rPr>
        <w:t xml:space="preserve"> and more united Pacific family, </w:t>
      </w:r>
      <w:r w:rsidR="007E6D51" w:rsidRPr="00C379CA">
        <w:rPr>
          <w:rFonts w:cstheme="minorHAnsi"/>
        </w:rPr>
        <w:t>support</w:t>
      </w:r>
      <w:r w:rsidR="007E6D51">
        <w:rPr>
          <w:rFonts w:cstheme="minorHAnsi"/>
        </w:rPr>
        <w:t>ing</w:t>
      </w:r>
      <w:r w:rsidR="007E6D51" w:rsidRPr="00C379CA">
        <w:rPr>
          <w:rFonts w:cstheme="minorHAnsi"/>
        </w:rPr>
        <w:t xml:space="preserve"> </w:t>
      </w:r>
      <w:r w:rsidR="007E6D51">
        <w:rPr>
          <w:rFonts w:cstheme="minorHAnsi"/>
        </w:rPr>
        <w:t>increased</w:t>
      </w:r>
      <w:r w:rsidR="007E6D51" w:rsidRPr="00C379CA">
        <w:rPr>
          <w:rFonts w:cstheme="minorHAnsi"/>
        </w:rPr>
        <w:t xml:space="preserve"> engagement </w:t>
      </w:r>
      <w:r w:rsidR="007E6D51">
        <w:rPr>
          <w:rFonts w:cstheme="minorHAnsi"/>
        </w:rPr>
        <w:t xml:space="preserve">across </w:t>
      </w:r>
      <w:r w:rsidR="00BE6033" w:rsidRPr="00C379CA">
        <w:rPr>
          <w:rFonts w:cstheme="minorHAnsi"/>
        </w:rPr>
        <w:t>our region</w:t>
      </w:r>
      <w:r w:rsidR="00BB57FB">
        <w:rPr>
          <w:rFonts w:cstheme="minorHAnsi"/>
        </w:rPr>
        <w:t>.</w:t>
      </w:r>
      <w:r w:rsidR="00BE6033" w:rsidRPr="00C379CA">
        <w:rPr>
          <w:rFonts w:cstheme="minorHAnsi"/>
        </w:rPr>
        <w:t xml:space="preserve"> </w:t>
      </w:r>
      <w:r w:rsidR="00BB57FB">
        <w:rPr>
          <w:rFonts w:cstheme="minorHAnsi"/>
        </w:rPr>
        <w:t xml:space="preserve">We will </w:t>
      </w:r>
      <w:r w:rsidR="00BE6033">
        <w:rPr>
          <w:rFonts w:cstheme="minorHAnsi"/>
        </w:rPr>
        <w:t>b</w:t>
      </w:r>
      <w:r w:rsidR="00BE6033" w:rsidRPr="00C379CA">
        <w:rPr>
          <w:rFonts w:cstheme="minorHAnsi"/>
        </w:rPr>
        <w:t xml:space="preserve">uild on </w:t>
      </w:r>
      <w:r w:rsidR="00BB57FB" w:rsidRPr="00C379CA">
        <w:rPr>
          <w:rFonts w:cstheme="minorHAnsi"/>
        </w:rPr>
        <w:t>e</w:t>
      </w:r>
      <w:r w:rsidR="00BB57FB">
        <w:rPr>
          <w:rFonts w:cstheme="minorHAnsi"/>
        </w:rPr>
        <w:t>xisting</w:t>
      </w:r>
      <w:r w:rsidR="00BB57FB" w:rsidRPr="00C379CA">
        <w:rPr>
          <w:rFonts w:cstheme="minorHAnsi"/>
        </w:rPr>
        <w:t xml:space="preserve"> </w:t>
      </w:r>
      <w:r w:rsidR="00BE6033" w:rsidRPr="00C379CA">
        <w:rPr>
          <w:rFonts w:cstheme="minorHAnsi"/>
        </w:rPr>
        <w:t>relationships and establish new ones</w:t>
      </w:r>
      <w:r w:rsidR="00BB57FB">
        <w:rPr>
          <w:rFonts w:cstheme="minorHAnsi"/>
        </w:rPr>
        <w:t xml:space="preserve"> </w:t>
      </w:r>
      <w:r w:rsidR="00BE6033" w:rsidRPr="00C379CA">
        <w:rPr>
          <w:rFonts w:cstheme="minorHAnsi"/>
        </w:rPr>
        <w:t>with PICTs, near neighbours and like</w:t>
      </w:r>
      <w:r w:rsidR="00036F8C">
        <w:rPr>
          <w:rFonts w:cstheme="minorHAnsi"/>
        </w:rPr>
        <w:t>-</w:t>
      </w:r>
      <w:r w:rsidR="00BE6033" w:rsidRPr="00C379CA">
        <w:rPr>
          <w:rFonts w:cstheme="minorHAnsi"/>
        </w:rPr>
        <w:t xml:space="preserve">minded partners to anticipate, prepare for and respond to identified plant, animal and environmental health and biosecurity needs over the life of this </w:t>
      </w:r>
      <w:r w:rsidR="00036F8C">
        <w:rPr>
          <w:rFonts w:cstheme="minorHAnsi"/>
        </w:rPr>
        <w:t>s</w:t>
      </w:r>
      <w:r w:rsidR="00BE6033" w:rsidRPr="00C379CA">
        <w:rPr>
          <w:rFonts w:cstheme="minorHAnsi"/>
        </w:rPr>
        <w:t>trategy.</w:t>
      </w:r>
      <w:bookmarkStart w:id="4" w:name="_Toc89345523"/>
    </w:p>
    <w:p w14:paraId="20387538" w14:textId="2B395684" w:rsidR="00BE6033" w:rsidRPr="00C379CA" w:rsidRDefault="00BE6033" w:rsidP="00FF09A7">
      <w:pPr>
        <w:pStyle w:val="Heading2"/>
      </w:pPr>
      <w:bookmarkStart w:id="5" w:name="_Toc129005469"/>
      <w:r w:rsidRPr="00C379CA">
        <w:t>Vision</w:t>
      </w:r>
      <w:bookmarkEnd w:id="4"/>
      <w:bookmarkEnd w:id="5"/>
    </w:p>
    <w:p w14:paraId="648DD707" w14:textId="16FAC0DF" w:rsidR="00FF09A7" w:rsidRDefault="00D609CC" w:rsidP="00FF09A7">
      <w:pPr>
        <w:rPr>
          <w:rFonts w:cstheme="minorHAnsi"/>
        </w:rPr>
      </w:pPr>
      <w:r>
        <w:rPr>
          <w:rFonts w:cstheme="minorHAnsi"/>
        </w:rPr>
        <w:t>Our vision is s</w:t>
      </w:r>
      <w:r w:rsidR="00BE6033">
        <w:rPr>
          <w:rFonts w:cstheme="minorHAnsi"/>
        </w:rPr>
        <w:t>tronger</w:t>
      </w:r>
      <w:r w:rsidR="00BE6033" w:rsidRPr="00C379CA">
        <w:rPr>
          <w:rFonts w:cstheme="minorHAnsi"/>
        </w:rPr>
        <w:t xml:space="preserve"> biosecurity systems and partnerships across the Pacific and near</w:t>
      </w:r>
      <w:r w:rsidR="00574F1A">
        <w:rPr>
          <w:rFonts w:cstheme="minorHAnsi"/>
        </w:rPr>
        <w:t xml:space="preserve"> </w:t>
      </w:r>
      <w:r w:rsidR="00BE6033" w:rsidRPr="00C379CA">
        <w:rPr>
          <w:rFonts w:cstheme="minorHAnsi"/>
        </w:rPr>
        <w:t>neighbour</w:t>
      </w:r>
      <w:r w:rsidR="00574F1A">
        <w:rPr>
          <w:rFonts w:cstheme="minorHAnsi"/>
        </w:rPr>
        <w:t>s</w:t>
      </w:r>
      <w:r w:rsidR="00657D04">
        <w:rPr>
          <w:rFonts w:cstheme="minorHAnsi"/>
        </w:rPr>
        <w:t>, which</w:t>
      </w:r>
      <w:bookmarkStart w:id="6" w:name="_Hlk77774560"/>
      <w:r w:rsidR="00BE6033">
        <w:rPr>
          <w:rFonts w:cstheme="minorHAnsi"/>
        </w:rPr>
        <w:t xml:space="preserve"> contribute</w:t>
      </w:r>
      <w:r w:rsidR="00BE6033" w:rsidRPr="00C379CA">
        <w:rPr>
          <w:rFonts w:cstheme="minorHAnsi"/>
        </w:rPr>
        <w:t xml:space="preserve"> to sustainable regional economic growth, food systems, food security, </w:t>
      </w:r>
      <w:r w:rsidR="00BE6033">
        <w:rPr>
          <w:rFonts w:cstheme="minorHAnsi"/>
        </w:rPr>
        <w:t xml:space="preserve">biodiversity, </w:t>
      </w:r>
      <w:r w:rsidR="00BE6033" w:rsidRPr="00C379CA">
        <w:rPr>
          <w:rFonts w:cstheme="minorHAnsi"/>
        </w:rPr>
        <w:t>environmental protection, market access and social prosperity</w:t>
      </w:r>
      <w:bookmarkEnd w:id="6"/>
      <w:r w:rsidR="00BE6033" w:rsidRPr="00C379CA">
        <w:rPr>
          <w:rFonts w:cstheme="minorHAnsi"/>
        </w:rPr>
        <w:t>.</w:t>
      </w:r>
      <w:bookmarkStart w:id="7" w:name="_Toc89345524"/>
    </w:p>
    <w:p w14:paraId="61DBF8E9" w14:textId="711A5B5B" w:rsidR="00BE6033" w:rsidRPr="00C379CA" w:rsidRDefault="00BE6033" w:rsidP="00FF09A7">
      <w:pPr>
        <w:pStyle w:val="Heading2"/>
      </w:pPr>
      <w:bookmarkStart w:id="8" w:name="_Toc129005470"/>
      <w:r w:rsidRPr="00C379CA">
        <w:t>Scope</w:t>
      </w:r>
      <w:bookmarkEnd w:id="7"/>
      <w:bookmarkEnd w:id="8"/>
    </w:p>
    <w:p w14:paraId="4EE8DC09" w14:textId="707818C4" w:rsidR="00BE6033" w:rsidRPr="00C379CA" w:rsidRDefault="00BE6033" w:rsidP="00BE6033">
      <w:pPr>
        <w:rPr>
          <w:rFonts w:cstheme="minorHAnsi"/>
        </w:rPr>
      </w:pPr>
      <w:r>
        <w:rPr>
          <w:rFonts w:cstheme="minorHAnsi"/>
        </w:rPr>
        <w:t>Th</w:t>
      </w:r>
      <w:r w:rsidR="003C1C47">
        <w:rPr>
          <w:rFonts w:cstheme="minorHAnsi"/>
        </w:rPr>
        <w:t>is strategy covers our</w:t>
      </w:r>
      <w:r w:rsidRPr="00C379CA">
        <w:rPr>
          <w:rFonts w:cstheme="minorHAnsi"/>
        </w:rPr>
        <w:t xml:space="preserve"> plant, animal and environmental health and biosecurity activities and projects with PICTs</w:t>
      </w:r>
      <w:r w:rsidR="003C1C47">
        <w:rPr>
          <w:rFonts w:cstheme="minorHAnsi"/>
        </w:rPr>
        <w:t>,</w:t>
      </w:r>
      <w:r w:rsidRPr="00C379CA">
        <w:rPr>
          <w:rFonts w:cstheme="minorHAnsi"/>
        </w:rPr>
        <w:t xml:space="preserve"> </w:t>
      </w:r>
      <w:bookmarkStart w:id="9" w:name="_Hlk74692208"/>
      <w:proofErr w:type="gramStart"/>
      <w:r w:rsidRPr="00C379CA">
        <w:rPr>
          <w:rFonts w:cstheme="minorHAnsi"/>
        </w:rPr>
        <w:t>Indonesia</w:t>
      </w:r>
      <w:proofErr w:type="gramEnd"/>
      <w:r w:rsidRPr="00C379CA">
        <w:rPr>
          <w:rFonts w:cstheme="minorHAnsi"/>
        </w:rPr>
        <w:t xml:space="preserve"> and Timor-Leste</w:t>
      </w:r>
      <w:bookmarkEnd w:id="9"/>
      <w:r w:rsidRPr="00C379CA">
        <w:rPr>
          <w:rFonts w:cstheme="minorHAnsi"/>
        </w:rPr>
        <w:t xml:space="preserve">. </w:t>
      </w:r>
      <w:r w:rsidR="003C1C47">
        <w:rPr>
          <w:rFonts w:cstheme="minorHAnsi"/>
        </w:rPr>
        <w:t>It</w:t>
      </w:r>
      <w:r w:rsidRPr="00C379CA">
        <w:rPr>
          <w:rFonts w:cstheme="minorHAnsi"/>
        </w:rPr>
        <w:t xml:space="preserve"> does not address Australia’s external territories, </w:t>
      </w:r>
      <w:r w:rsidR="003C1C47">
        <w:rPr>
          <w:rFonts w:cstheme="minorHAnsi"/>
        </w:rPr>
        <w:t>which</w:t>
      </w:r>
      <w:r w:rsidRPr="00C379CA">
        <w:rPr>
          <w:rFonts w:cstheme="minorHAnsi"/>
        </w:rPr>
        <w:t xml:space="preserve"> are managed under domestic biosecurity processes.</w:t>
      </w:r>
    </w:p>
    <w:p w14:paraId="0C4EBAE5" w14:textId="2E0B36C0" w:rsidR="00BE6033" w:rsidRPr="00C379CA" w:rsidRDefault="00BE6033" w:rsidP="00BE6033">
      <w:pPr>
        <w:pStyle w:val="Heading2"/>
      </w:pPr>
      <w:bookmarkStart w:id="10" w:name="_Toc89345526"/>
      <w:bookmarkStart w:id="11" w:name="_Toc129005471"/>
      <w:r w:rsidRPr="00C379CA">
        <w:t xml:space="preserve">Strategic </w:t>
      </w:r>
      <w:r w:rsidR="00C26E26">
        <w:t>a</w:t>
      </w:r>
      <w:r w:rsidRPr="00C379CA">
        <w:t>lignment</w:t>
      </w:r>
      <w:bookmarkEnd w:id="10"/>
      <w:bookmarkEnd w:id="11"/>
    </w:p>
    <w:p w14:paraId="2C4B679B" w14:textId="7DFCFFFA" w:rsidR="00C11FE8" w:rsidRDefault="00BE6033" w:rsidP="00BE6033">
      <w:pPr>
        <w:rPr>
          <w:rFonts w:cstheme="minorHAnsi"/>
        </w:rPr>
      </w:pPr>
      <w:r>
        <w:rPr>
          <w:rFonts w:cstheme="minorHAnsi"/>
        </w:rPr>
        <w:t xml:space="preserve">This </w:t>
      </w:r>
      <w:r w:rsidRPr="00306C4F">
        <w:rPr>
          <w:rFonts w:cstheme="minorHAnsi"/>
        </w:rPr>
        <w:t>strategy address</w:t>
      </w:r>
      <w:r w:rsidR="00C11FE8">
        <w:rPr>
          <w:rFonts w:cstheme="minorHAnsi"/>
        </w:rPr>
        <w:t>es</w:t>
      </w:r>
      <w:r w:rsidRPr="00C379CA">
        <w:rPr>
          <w:rFonts w:cstheme="minorHAnsi"/>
        </w:rPr>
        <w:t xml:space="preserve"> </w:t>
      </w:r>
      <w:hyperlink r:id="rId19" w:history="1">
        <w:r w:rsidRPr="00C11FE8">
          <w:rPr>
            <w:rStyle w:val="Hyperlink"/>
            <w:rFonts w:cstheme="minorHAnsi"/>
          </w:rPr>
          <w:t>Commonwealth Biosecurity 2030</w:t>
        </w:r>
      </w:hyperlink>
      <w:r w:rsidRPr="00C379CA">
        <w:rPr>
          <w:rFonts w:cstheme="minorHAnsi"/>
        </w:rPr>
        <w:t xml:space="preserve"> strategic roadmap</w:t>
      </w:r>
      <w:r w:rsidRPr="00306C4F">
        <w:rPr>
          <w:rFonts w:cstheme="minorHAnsi"/>
        </w:rPr>
        <w:t xml:space="preserve"> </w:t>
      </w:r>
      <w:r w:rsidRPr="00C379CA">
        <w:rPr>
          <w:rFonts w:cstheme="minorHAnsi"/>
        </w:rPr>
        <w:t>outcome</w:t>
      </w:r>
      <w:r w:rsidR="00C11FE8">
        <w:rPr>
          <w:rFonts w:cstheme="minorHAnsi"/>
        </w:rPr>
        <w:t>s and strategic actions</w:t>
      </w:r>
      <w:r w:rsidR="00657D04">
        <w:rPr>
          <w:rFonts w:cstheme="minorHAnsi"/>
        </w:rPr>
        <w:t>,</w:t>
      </w:r>
      <w:r w:rsidR="00330A36">
        <w:rPr>
          <w:rFonts w:cstheme="minorHAnsi"/>
        </w:rPr>
        <w:t xml:space="preserve"> including</w:t>
      </w:r>
      <w:r w:rsidR="00C11FE8">
        <w:rPr>
          <w:rFonts w:cstheme="minorHAnsi"/>
        </w:rPr>
        <w:t>:</w:t>
      </w:r>
    </w:p>
    <w:p w14:paraId="6598A6EC" w14:textId="2307C2A6" w:rsidR="00C11FE8" w:rsidRDefault="00C11FE8" w:rsidP="0014130C">
      <w:pPr>
        <w:pStyle w:val="ListNumber"/>
      </w:pPr>
      <w:r>
        <w:t>D</w:t>
      </w:r>
      <w:r w:rsidR="00BE6033" w:rsidRPr="0014130C">
        <w:t xml:space="preserve">evelop a strategy to support our Pacific Island biosecurity partnerships and engage </w:t>
      </w:r>
      <w:r w:rsidR="00657D04">
        <w:t>2</w:t>
      </w:r>
      <w:r w:rsidR="00BE6033" w:rsidRPr="0014130C">
        <w:t xml:space="preserve"> dedicated engagement </w:t>
      </w:r>
      <w:proofErr w:type="gramStart"/>
      <w:r w:rsidR="00BE6033" w:rsidRPr="0014130C">
        <w:t>officers</w:t>
      </w:r>
      <w:proofErr w:type="gramEnd"/>
    </w:p>
    <w:p w14:paraId="12BD925E" w14:textId="66461BAC" w:rsidR="00BE6033" w:rsidRPr="00C379CA" w:rsidRDefault="00BE6033" w:rsidP="0014130C">
      <w:pPr>
        <w:pStyle w:val="ListNumber"/>
      </w:pPr>
      <w:r w:rsidRPr="00C379CA">
        <w:t>Increase partnership activities with our near</w:t>
      </w:r>
      <w:r w:rsidR="00C11FE8">
        <w:t xml:space="preserve"> </w:t>
      </w:r>
      <w:r w:rsidRPr="00C379CA">
        <w:t>neighbours to build their risk</w:t>
      </w:r>
      <w:r w:rsidR="00C11FE8">
        <w:t>-</w:t>
      </w:r>
      <w:r w:rsidRPr="00C379CA">
        <w:t xml:space="preserve">management capability and continue our engagement with international </w:t>
      </w:r>
      <w:proofErr w:type="gramStart"/>
      <w:r w:rsidRPr="00C379CA">
        <w:t>bodies</w:t>
      </w:r>
      <w:proofErr w:type="gramEnd"/>
    </w:p>
    <w:p w14:paraId="24E723EC" w14:textId="146F81C0" w:rsidR="00BE6033" w:rsidRPr="00C379CA" w:rsidRDefault="00BE6033" w:rsidP="0014130C">
      <w:pPr>
        <w:pStyle w:val="ListNumber"/>
      </w:pPr>
      <w:r w:rsidRPr="00C379CA">
        <w:t>Expand offshore assurance arrangements and overseas supply</w:t>
      </w:r>
      <w:r w:rsidR="00C11FE8">
        <w:t>-</w:t>
      </w:r>
      <w:r w:rsidRPr="00C379CA">
        <w:t xml:space="preserve">chain </w:t>
      </w:r>
      <w:proofErr w:type="gramStart"/>
      <w:r w:rsidRPr="00C379CA">
        <w:t>integration</w:t>
      </w:r>
      <w:proofErr w:type="gramEnd"/>
    </w:p>
    <w:p w14:paraId="5259CECE" w14:textId="218C174D" w:rsidR="00BE6033" w:rsidRPr="00C379CA" w:rsidRDefault="00BE6033" w:rsidP="0014130C">
      <w:pPr>
        <w:pStyle w:val="ListNumber"/>
      </w:pPr>
      <w:bookmarkStart w:id="12" w:name="_Toc74059567"/>
      <w:r w:rsidRPr="00C379CA">
        <w:t xml:space="preserve">Increase offshore intelligence, </w:t>
      </w:r>
      <w:proofErr w:type="gramStart"/>
      <w:r w:rsidRPr="00C379CA">
        <w:t>research</w:t>
      </w:r>
      <w:proofErr w:type="gramEnd"/>
      <w:r w:rsidRPr="00C379CA">
        <w:t xml:space="preserve"> and data sourcing to support risk-based interventions, preparedness and response</w:t>
      </w:r>
      <w:bookmarkEnd w:id="12"/>
      <w:r w:rsidR="00C11FE8">
        <w:t>.</w:t>
      </w:r>
    </w:p>
    <w:p w14:paraId="15E3CBD8" w14:textId="7BA34ACD" w:rsidR="00EA38AD" w:rsidRDefault="00BE6033" w:rsidP="00BE6033">
      <w:pPr>
        <w:rPr>
          <w:rFonts w:cstheme="minorHAnsi"/>
        </w:rPr>
      </w:pPr>
      <w:r w:rsidRPr="00C379CA">
        <w:rPr>
          <w:rFonts w:cstheme="minorHAnsi"/>
        </w:rPr>
        <w:t xml:space="preserve">Our focus on partnership activities with PICTs and near neighbours is consistent with Australia’s </w:t>
      </w:r>
      <w:r w:rsidR="007E6D51">
        <w:rPr>
          <w:rFonts w:cstheme="minorHAnsi"/>
        </w:rPr>
        <w:t xml:space="preserve">commitment to collaborate in building a stronger and more united Pacific family, supporting </w:t>
      </w:r>
      <w:r w:rsidRPr="00C379CA">
        <w:rPr>
          <w:rFonts w:cstheme="minorHAnsi"/>
        </w:rPr>
        <w:t>the economic prosperity and food security of PICTs and near neighbours</w:t>
      </w:r>
      <w:r w:rsidR="007303A7">
        <w:rPr>
          <w:rFonts w:cstheme="minorHAnsi"/>
        </w:rPr>
        <w:t>.</w:t>
      </w:r>
    </w:p>
    <w:p w14:paraId="1DA103A7" w14:textId="28B47963" w:rsidR="00BE6033" w:rsidRPr="00C379CA" w:rsidRDefault="000B1453" w:rsidP="00BE6033">
      <w:pPr>
        <w:rPr>
          <w:rFonts w:cstheme="minorHAnsi"/>
        </w:rPr>
      </w:pPr>
      <w:r>
        <w:rPr>
          <w:rFonts w:cstheme="minorHAnsi"/>
        </w:rPr>
        <w:t xml:space="preserve">Primarily intended </w:t>
      </w:r>
      <w:r w:rsidR="00330A36">
        <w:rPr>
          <w:rFonts w:cstheme="minorHAnsi"/>
        </w:rPr>
        <w:t xml:space="preserve">for </w:t>
      </w:r>
      <w:r>
        <w:rPr>
          <w:rFonts w:cstheme="minorHAnsi"/>
        </w:rPr>
        <w:t>the department, w</w:t>
      </w:r>
      <w:r w:rsidR="00EA38AD">
        <w:rPr>
          <w:rFonts w:cstheme="minorHAnsi"/>
        </w:rPr>
        <w:t>e have developed this strategy in consultation with other agencies to guide our Pacific biosecurity activities. We will collaborate with those agencies in implementing the strategy.</w:t>
      </w:r>
      <w:r w:rsidR="007303A7">
        <w:rPr>
          <w:rFonts w:cstheme="minorHAnsi"/>
        </w:rPr>
        <w:t xml:space="preserve"> </w:t>
      </w:r>
      <w:r w:rsidR="007C1350">
        <w:rPr>
          <w:rFonts w:cstheme="minorHAnsi"/>
        </w:rPr>
        <w:t>T</w:t>
      </w:r>
      <w:r w:rsidR="007303A7">
        <w:rPr>
          <w:rFonts w:cstheme="minorHAnsi"/>
        </w:rPr>
        <w:t xml:space="preserve">his </w:t>
      </w:r>
      <w:r w:rsidR="007C1350">
        <w:rPr>
          <w:rFonts w:cstheme="minorHAnsi"/>
        </w:rPr>
        <w:t>s</w:t>
      </w:r>
      <w:r w:rsidR="007303A7">
        <w:rPr>
          <w:rFonts w:cstheme="minorHAnsi"/>
        </w:rPr>
        <w:t xml:space="preserve">trategy </w:t>
      </w:r>
      <w:r w:rsidR="00FD0029">
        <w:rPr>
          <w:rFonts w:cstheme="minorHAnsi"/>
        </w:rPr>
        <w:t>will also</w:t>
      </w:r>
      <w:r w:rsidR="007303A7">
        <w:rPr>
          <w:rFonts w:cstheme="minorHAnsi"/>
        </w:rPr>
        <w:t xml:space="preserve"> fit alongside other biosecurity strategies being developed through other governments of the region (</w:t>
      </w:r>
      <w:proofErr w:type="gramStart"/>
      <w:r w:rsidR="007303A7">
        <w:rPr>
          <w:rFonts w:cstheme="minorHAnsi"/>
        </w:rPr>
        <w:t>e.g</w:t>
      </w:r>
      <w:r w:rsidR="007C1350">
        <w:rPr>
          <w:rFonts w:cstheme="minorHAnsi"/>
        </w:rPr>
        <w:t>.</w:t>
      </w:r>
      <w:proofErr w:type="gramEnd"/>
      <w:r w:rsidR="007303A7">
        <w:rPr>
          <w:rFonts w:cstheme="minorHAnsi"/>
        </w:rPr>
        <w:t xml:space="preserve"> New Zealand) as well as under a planned regional biosecurity strategy developed through </w:t>
      </w:r>
      <w:r w:rsidR="00CA3332">
        <w:t>the Pacific Community (</w:t>
      </w:r>
      <w:r w:rsidR="00CA3332" w:rsidRPr="00C379CA">
        <w:t>SPC</w:t>
      </w:r>
      <w:r w:rsidR="00CA3332">
        <w:t>)</w:t>
      </w:r>
      <w:r w:rsidR="007303A7">
        <w:rPr>
          <w:rFonts w:cstheme="minorHAnsi"/>
        </w:rPr>
        <w:t>.</w:t>
      </w:r>
    </w:p>
    <w:p w14:paraId="4515E680" w14:textId="699A82E8" w:rsidR="00BE6033" w:rsidRPr="00C379CA" w:rsidRDefault="00BE6033" w:rsidP="00BE6033">
      <w:pPr>
        <w:rPr>
          <w:rFonts w:cstheme="minorHAnsi"/>
        </w:rPr>
      </w:pPr>
      <w:r w:rsidRPr="00C379CA">
        <w:rPr>
          <w:rFonts w:cstheme="minorHAnsi"/>
        </w:rPr>
        <w:t xml:space="preserve">An overarching component of each of the </w:t>
      </w:r>
      <w:r w:rsidR="009D2889">
        <w:rPr>
          <w:rFonts w:cstheme="minorHAnsi"/>
        </w:rPr>
        <w:t>s</w:t>
      </w:r>
      <w:r w:rsidRPr="00C379CA">
        <w:rPr>
          <w:rFonts w:cstheme="minorHAnsi"/>
        </w:rPr>
        <w:t xml:space="preserve">trategic </w:t>
      </w:r>
      <w:r w:rsidR="009D2889">
        <w:rPr>
          <w:rFonts w:cstheme="minorHAnsi"/>
        </w:rPr>
        <w:t>t</w:t>
      </w:r>
      <w:r w:rsidRPr="00C379CA">
        <w:rPr>
          <w:rFonts w:cstheme="minorHAnsi"/>
        </w:rPr>
        <w:t>hemes</w:t>
      </w:r>
      <w:r w:rsidR="008C2ACE">
        <w:rPr>
          <w:rFonts w:cstheme="minorHAnsi"/>
        </w:rPr>
        <w:t xml:space="preserve"> in this strategy</w:t>
      </w:r>
      <w:r w:rsidRPr="00C379CA">
        <w:rPr>
          <w:rFonts w:cstheme="minorHAnsi"/>
        </w:rPr>
        <w:t xml:space="preserve"> is </w:t>
      </w:r>
      <w:r w:rsidR="009D2889">
        <w:rPr>
          <w:rFonts w:cstheme="minorHAnsi"/>
        </w:rPr>
        <w:t xml:space="preserve">our </w:t>
      </w:r>
      <w:r w:rsidRPr="00C379CA">
        <w:rPr>
          <w:rFonts w:cstheme="minorHAnsi"/>
        </w:rPr>
        <w:t>enhanced commitment to continued provision of support and leadership on plant, animal and environmental health and biosecurity issues in the region.</w:t>
      </w:r>
    </w:p>
    <w:p w14:paraId="375CF6C4" w14:textId="3C258939" w:rsidR="00BE6033" w:rsidRPr="00BE6033" w:rsidRDefault="00BE6033" w:rsidP="00FF09A7">
      <w:pPr>
        <w:pStyle w:val="Heading3"/>
        <w:numPr>
          <w:ilvl w:val="0"/>
          <w:numId w:val="0"/>
        </w:numPr>
        <w:ind w:left="964" w:hanging="964"/>
      </w:pPr>
      <w:bookmarkStart w:id="13" w:name="_Toc89345527"/>
      <w:bookmarkStart w:id="14" w:name="_Toc129005472"/>
      <w:r w:rsidRPr="00BE6033">
        <w:t xml:space="preserve">Strategic </w:t>
      </w:r>
      <w:r w:rsidR="00C26E26">
        <w:t>t</w:t>
      </w:r>
      <w:r w:rsidRPr="00BE6033">
        <w:t>hemes</w:t>
      </w:r>
      <w:bookmarkEnd w:id="13"/>
      <w:bookmarkEnd w:id="14"/>
    </w:p>
    <w:p w14:paraId="5E7F74CF" w14:textId="44DEB850" w:rsidR="00BE6033" w:rsidRPr="00C379CA" w:rsidRDefault="00BE6033" w:rsidP="00BE6033">
      <w:pPr>
        <w:rPr>
          <w:rFonts w:cstheme="minorHAnsi"/>
        </w:rPr>
      </w:pPr>
      <w:r w:rsidRPr="00306C4F">
        <w:rPr>
          <w:rFonts w:cstheme="minorHAnsi"/>
        </w:rPr>
        <w:t>The</w:t>
      </w:r>
      <w:r w:rsidR="009D2889">
        <w:rPr>
          <w:rFonts w:cstheme="minorHAnsi"/>
        </w:rPr>
        <w:t>se s</w:t>
      </w:r>
      <w:r w:rsidRPr="00306C4F">
        <w:rPr>
          <w:rFonts w:cstheme="minorHAnsi"/>
        </w:rPr>
        <w:t xml:space="preserve">trategic </w:t>
      </w:r>
      <w:r w:rsidR="009D2889">
        <w:rPr>
          <w:rFonts w:cstheme="minorHAnsi"/>
        </w:rPr>
        <w:t>t</w:t>
      </w:r>
      <w:r w:rsidRPr="00306C4F">
        <w:rPr>
          <w:rFonts w:cstheme="minorHAnsi"/>
        </w:rPr>
        <w:t xml:space="preserve">hemes will guide </w:t>
      </w:r>
      <w:r w:rsidR="009D2889">
        <w:rPr>
          <w:rFonts w:cstheme="minorHAnsi"/>
        </w:rPr>
        <w:t xml:space="preserve">our </w:t>
      </w:r>
      <w:r w:rsidRPr="00306C4F">
        <w:rPr>
          <w:rFonts w:cstheme="minorHAnsi"/>
        </w:rPr>
        <w:t xml:space="preserve">decisions about </w:t>
      </w:r>
      <w:r w:rsidR="00D83567">
        <w:rPr>
          <w:rFonts w:cstheme="minorHAnsi"/>
        </w:rPr>
        <w:t>activities we initiate, advocate or support</w:t>
      </w:r>
      <w:r w:rsidRPr="00C379CA">
        <w:rPr>
          <w:rFonts w:cstheme="minorHAnsi"/>
        </w:rPr>
        <w:t xml:space="preserve">. These </w:t>
      </w:r>
      <w:r w:rsidR="009D2889">
        <w:rPr>
          <w:rFonts w:cstheme="minorHAnsi"/>
        </w:rPr>
        <w:t xml:space="preserve">activities could include department-led </w:t>
      </w:r>
      <w:r w:rsidRPr="00C379CA">
        <w:rPr>
          <w:rFonts w:cstheme="minorHAnsi"/>
        </w:rPr>
        <w:t xml:space="preserve">projects </w:t>
      </w:r>
      <w:r w:rsidR="009D2889">
        <w:rPr>
          <w:rFonts w:cstheme="minorHAnsi"/>
        </w:rPr>
        <w:t xml:space="preserve">or activities </w:t>
      </w:r>
      <w:r w:rsidRPr="00C379CA">
        <w:rPr>
          <w:rFonts w:cstheme="minorHAnsi"/>
        </w:rPr>
        <w:t>conducted in collaboration with stakeholders</w:t>
      </w:r>
      <w:r w:rsidR="009D2889">
        <w:rPr>
          <w:rFonts w:cstheme="minorHAnsi"/>
        </w:rPr>
        <w:t>,</w:t>
      </w:r>
      <w:r w:rsidRPr="00C379CA">
        <w:rPr>
          <w:rFonts w:cstheme="minorHAnsi"/>
        </w:rPr>
        <w:t xml:space="preserve"> including Australian </w:t>
      </w:r>
      <w:r w:rsidR="009D2889">
        <w:rPr>
          <w:rFonts w:cstheme="minorHAnsi"/>
        </w:rPr>
        <w:t>G</w:t>
      </w:r>
      <w:r w:rsidRPr="00C379CA">
        <w:rPr>
          <w:rFonts w:cstheme="minorHAnsi"/>
        </w:rPr>
        <w:t>overnment</w:t>
      </w:r>
      <w:r w:rsidR="009D2889">
        <w:rPr>
          <w:rFonts w:cstheme="minorHAnsi"/>
        </w:rPr>
        <w:t xml:space="preserve"> and state and territory </w:t>
      </w:r>
      <w:r w:rsidRPr="00C379CA">
        <w:rPr>
          <w:rFonts w:cstheme="minorHAnsi"/>
        </w:rPr>
        <w:t xml:space="preserve">agencies, non-government organisations, </w:t>
      </w:r>
      <w:r w:rsidR="009D2889">
        <w:rPr>
          <w:rFonts w:cstheme="minorHAnsi"/>
        </w:rPr>
        <w:t xml:space="preserve">and </w:t>
      </w:r>
      <w:r w:rsidRPr="00C379CA">
        <w:rPr>
          <w:rFonts w:cstheme="minorHAnsi"/>
        </w:rPr>
        <w:t>government agencies and other organisations within the Pacific.</w:t>
      </w:r>
    </w:p>
    <w:p w14:paraId="55CE1149" w14:textId="641FA533" w:rsidR="00BE6033" w:rsidRPr="00306C4F" w:rsidRDefault="00BE6033" w:rsidP="002B0483">
      <w:pPr>
        <w:pStyle w:val="Heading4"/>
        <w:numPr>
          <w:ilvl w:val="0"/>
          <w:numId w:val="0"/>
        </w:numPr>
      </w:pPr>
      <w:r w:rsidRPr="00C379CA">
        <w:t xml:space="preserve">Enhance </w:t>
      </w:r>
      <w:r>
        <w:t xml:space="preserve">biosecurity </w:t>
      </w:r>
      <w:r w:rsidRPr="00C379CA">
        <w:t xml:space="preserve">partnerships between Australia, PICTs and near neighbours in a </w:t>
      </w:r>
      <w:r w:rsidR="008770E2">
        <w:t>multifaceted and holistic</w:t>
      </w:r>
      <w:r w:rsidRPr="00C379CA">
        <w:t xml:space="preserve"> way to maintain existing and forge new mutually beneficial regional </w:t>
      </w:r>
      <w:proofErr w:type="gramStart"/>
      <w:r w:rsidRPr="00C379CA">
        <w:t>relationships</w:t>
      </w:r>
      <w:proofErr w:type="gramEnd"/>
    </w:p>
    <w:p w14:paraId="5D79F243" w14:textId="5445F122" w:rsidR="00BE6033" w:rsidRPr="00F86559" w:rsidRDefault="00480731" w:rsidP="00887E76">
      <w:pPr>
        <w:spacing w:before="120"/>
      </w:pPr>
      <w:r>
        <w:t>We</w:t>
      </w:r>
      <w:r w:rsidR="00BE6033" w:rsidRPr="00F86559">
        <w:t xml:space="preserve"> will:</w:t>
      </w:r>
    </w:p>
    <w:p w14:paraId="55268F8B" w14:textId="2EA1A64E" w:rsidR="00BE6033" w:rsidRPr="00C379CA" w:rsidRDefault="00BE6033" w:rsidP="007C1B1D">
      <w:pPr>
        <w:pStyle w:val="ListBullet"/>
      </w:pPr>
      <w:r w:rsidRPr="00887E76">
        <w:t>Actively</w:t>
      </w:r>
      <w:r w:rsidRPr="00C379CA">
        <w:t xml:space="preserve"> engage with </w:t>
      </w:r>
      <w:r w:rsidR="00480731">
        <w:t xml:space="preserve">our </w:t>
      </w:r>
      <w:r w:rsidRPr="00C379CA">
        <w:t>counterpart</w:t>
      </w:r>
      <w:r w:rsidR="00480731">
        <w:t>s</w:t>
      </w:r>
      <w:r w:rsidRPr="00C379CA">
        <w:t xml:space="preserve"> within PICTs and near neighbours to develop or improve government-to-government relationships</w:t>
      </w:r>
      <w:r w:rsidR="008770E2">
        <w:t>.</w:t>
      </w:r>
    </w:p>
    <w:p w14:paraId="435DA29C" w14:textId="3CD8C39B" w:rsidR="00BE6033" w:rsidRPr="00C379CA" w:rsidRDefault="00BE6033" w:rsidP="0014130C">
      <w:pPr>
        <w:pStyle w:val="ListBullet"/>
      </w:pPr>
      <w:r w:rsidRPr="00C379CA">
        <w:t>Support PICT and near</w:t>
      </w:r>
      <w:r w:rsidR="00574F1A">
        <w:t xml:space="preserve"> </w:t>
      </w:r>
      <w:r w:rsidRPr="00C379CA">
        <w:t xml:space="preserve">neighbour government agencies </w:t>
      </w:r>
      <w:r w:rsidR="008770E2" w:rsidRPr="00605059">
        <w:t>engage</w:t>
      </w:r>
      <w:r w:rsidR="008770E2">
        <w:t xml:space="preserve"> and bridge capacity across</w:t>
      </w:r>
      <w:r w:rsidRPr="00C379CA">
        <w:t xml:space="preserve"> agencies within their own countries to improve plant, animal and environmental health and biosecurity outcomes.</w:t>
      </w:r>
    </w:p>
    <w:p w14:paraId="7A340FB6" w14:textId="3E722A70" w:rsidR="00BE6033" w:rsidRPr="00C379CA" w:rsidRDefault="00BE6033" w:rsidP="0014130C">
      <w:pPr>
        <w:pStyle w:val="ListBullet"/>
      </w:pPr>
      <w:r w:rsidRPr="00C379CA">
        <w:t>Facilitate</w:t>
      </w:r>
      <w:r>
        <w:t xml:space="preserve">, promote and invest in </w:t>
      </w:r>
      <w:r w:rsidRPr="00C379CA">
        <w:t>relationships between Australian agencies and organisations</w:t>
      </w:r>
      <w:r>
        <w:t xml:space="preserve">, </w:t>
      </w:r>
      <w:r w:rsidRPr="00C379CA">
        <w:t>government agencies and non-government organisations within the region</w:t>
      </w:r>
      <w:r w:rsidR="00605059">
        <w:t xml:space="preserve"> –</w:t>
      </w:r>
      <w:r w:rsidRPr="00C379CA">
        <w:t xml:space="preserve"> </w:t>
      </w:r>
      <w:r w:rsidR="00183D00">
        <w:t>f</w:t>
      </w:r>
      <w:r w:rsidRPr="00C379CA">
        <w:t>or example</w:t>
      </w:r>
      <w:r w:rsidR="00183D00">
        <w:t>,</w:t>
      </w:r>
      <w:r w:rsidRPr="00C379CA">
        <w:t xml:space="preserve"> </w:t>
      </w:r>
      <w:r w:rsidR="0096448F">
        <w:t xml:space="preserve">the </w:t>
      </w:r>
      <w:r w:rsidRPr="00C379CA">
        <w:t xml:space="preserve">SPC, CSIRO, </w:t>
      </w:r>
      <w:r w:rsidR="0096448F">
        <w:t>Australia</w:t>
      </w:r>
      <w:r w:rsidR="00605059">
        <w:t>n</w:t>
      </w:r>
      <w:r w:rsidR="0096448F">
        <w:t xml:space="preserve"> Centre for International Agricultural Research (</w:t>
      </w:r>
      <w:r w:rsidRPr="00C379CA">
        <w:t>ACIAR</w:t>
      </w:r>
      <w:r w:rsidR="0096448F">
        <w:t>)</w:t>
      </w:r>
      <w:r w:rsidRPr="00C379CA">
        <w:t>,</w:t>
      </w:r>
      <w:r>
        <w:t xml:space="preserve"> </w:t>
      </w:r>
      <w:r w:rsidRPr="00E85346">
        <w:t>Pacific Horticulture and Agricultur</w:t>
      </w:r>
      <w:r w:rsidR="00605059">
        <w:t>al</w:t>
      </w:r>
      <w:r w:rsidRPr="00E85346">
        <w:t xml:space="preserve"> Market Access</w:t>
      </w:r>
      <w:r w:rsidR="00605059">
        <w:t xml:space="preserve"> </w:t>
      </w:r>
      <w:r w:rsidR="00A268F5">
        <w:t xml:space="preserve">Plus </w:t>
      </w:r>
      <w:r w:rsidR="00605059">
        <w:t>program</w:t>
      </w:r>
      <w:r w:rsidRPr="00E85346">
        <w:t xml:space="preserve"> </w:t>
      </w:r>
      <w:r>
        <w:t>(</w:t>
      </w:r>
      <w:hyperlink r:id="rId20" w:history="1">
        <w:r w:rsidRPr="00E85346">
          <w:rPr>
            <w:rStyle w:val="Hyperlink"/>
            <w:rFonts w:cstheme="minorHAnsi"/>
          </w:rPr>
          <w:t>PHAMA</w:t>
        </w:r>
        <w:r w:rsidR="00C00412">
          <w:rPr>
            <w:rStyle w:val="Hyperlink"/>
            <w:rFonts w:cstheme="minorHAnsi"/>
          </w:rPr>
          <w:t xml:space="preserve"> </w:t>
        </w:r>
        <w:r w:rsidRPr="00E85346">
          <w:rPr>
            <w:rStyle w:val="Hyperlink"/>
            <w:rFonts w:cstheme="minorHAnsi"/>
          </w:rPr>
          <w:t>Plus</w:t>
        </w:r>
      </w:hyperlink>
      <w:r>
        <w:rPr>
          <w:rStyle w:val="Hyperlink"/>
          <w:rFonts w:cstheme="minorHAnsi"/>
        </w:rPr>
        <w:t>)</w:t>
      </w:r>
      <w:r w:rsidRPr="00E85346">
        <w:t xml:space="preserve"> </w:t>
      </w:r>
      <w:r>
        <w:t>and</w:t>
      </w:r>
      <w:r w:rsidRPr="00E85346">
        <w:t xml:space="preserve"> Pacific Agreement on Closer Economic Relations</w:t>
      </w:r>
      <w:r w:rsidR="00605059">
        <w:t xml:space="preserve"> Plus</w:t>
      </w:r>
      <w:r w:rsidRPr="00E85346">
        <w:t xml:space="preserve"> (</w:t>
      </w:r>
      <w:hyperlink r:id="rId21" w:history="1">
        <w:r w:rsidRPr="00E85346">
          <w:rPr>
            <w:rStyle w:val="Hyperlink"/>
            <w:rFonts w:cstheme="minorHAnsi"/>
          </w:rPr>
          <w:t>PACER</w:t>
        </w:r>
        <w:r w:rsidR="00605059">
          <w:rPr>
            <w:rStyle w:val="Hyperlink"/>
            <w:rFonts w:cstheme="minorHAnsi"/>
          </w:rPr>
          <w:t xml:space="preserve"> </w:t>
        </w:r>
        <w:r w:rsidRPr="00E85346">
          <w:rPr>
            <w:rStyle w:val="Hyperlink"/>
            <w:rFonts w:cstheme="minorHAnsi"/>
          </w:rPr>
          <w:t>Plus</w:t>
        </w:r>
      </w:hyperlink>
      <w:r w:rsidRPr="00E85346">
        <w:t>)</w:t>
      </w:r>
      <w:r w:rsidR="00183D00">
        <w:t>,</w:t>
      </w:r>
      <w:r w:rsidRPr="00E85346">
        <w:t xml:space="preserve"> </w:t>
      </w:r>
      <w:r w:rsidRPr="00C379CA">
        <w:t>other research and development corporations, state and territory governments</w:t>
      </w:r>
      <w:r w:rsidR="00183D00">
        <w:t xml:space="preserve"> and</w:t>
      </w:r>
      <w:r w:rsidRPr="00C379CA">
        <w:t xml:space="preserve"> universities.</w:t>
      </w:r>
    </w:p>
    <w:p w14:paraId="5FB50CAC" w14:textId="2F894243" w:rsidR="00BE6033" w:rsidRPr="00C379CA" w:rsidRDefault="00BE6033" w:rsidP="008C2ACE">
      <w:pPr>
        <w:pStyle w:val="Heading4"/>
        <w:numPr>
          <w:ilvl w:val="0"/>
          <w:numId w:val="0"/>
        </w:numPr>
      </w:pPr>
      <w:r w:rsidRPr="00C379CA">
        <w:t xml:space="preserve">Enhance PICTs’ and near neighbours’ participation </w:t>
      </w:r>
      <w:r w:rsidR="000203E9">
        <w:t xml:space="preserve">to bring a regional voice to international multilateral biosecurity </w:t>
      </w:r>
      <w:proofErr w:type="gramStart"/>
      <w:r w:rsidR="000203E9">
        <w:t>for</w:t>
      </w:r>
      <w:r w:rsidR="00664B6F">
        <w:t>ums</w:t>
      </w:r>
      <w:proofErr w:type="gramEnd"/>
    </w:p>
    <w:p w14:paraId="7BEB93E2" w14:textId="624F0EFF" w:rsidR="00BE6033" w:rsidRPr="00F86559" w:rsidRDefault="00D67704" w:rsidP="00887E76">
      <w:pPr>
        <w:spacing w:before="120"/>
      </w:pPr>
      <w:r w:rsidRPr="00D67704">
        <w:t>We</w:t>
      </w:r>
      <w:r w:rsidR="00BE6033" w:rsidRPr="008C2ACE">
        <w:t xml:space="preserve"> will</w:t>
      </w:r>
      <w:r w:rsidRPr="00D67704">
        <w:t>:</w:t>
      </w:r>
    </w:p>
    <w:p w14:paraId="17954010" w14:textId="08EAEF99" w:rsidR="00BE6033" w:rsidRDefault="00BE6033" w:rsidP="008C2ACE">
      <w:pPr>
        <w:pStyle w:val="ListBullet"/>
      </w:pPr>
      <w:r w:rsidRPr="00C379CA">
        <w:t xml:space="preserve">Facilitate </w:t>
      </w:r>
      <w:r>
        <w:t>and actively support PICTs and near neighbours</w:t>
      </w:r>
      <w:r w:rsidR="00CF180B">
        <w:t xml:space="preserve"> to</w:t>
      </w:r>
    </w:p>
    <w:p w14:paraId="53C75C22" w14:textId="430B48AC" w:rsidR="00BE6033" w:rsidRPr="00C379CA" w:rsidRDefault="00CF180B" w:rsidP="008C2ACE">
      <w:pPr>
        <w:pStyle w:val="ListBullet2"/>
      </w:pPr>
      <w:r>
        <w:t>e</w:t>
      </w:r>
      <w:r w:rsidR="00BE6033" w:rsidRPr="00C379CA">
        <w:t>ngage</w:t>
      </w:r>
      <w:r>
        <w:t xml:space="preserve"> </w:t>
      </w:r>
      <w:r w:rsidR="00BE6033" w:rsidRPr="00C379CA">
        <w:t>with international plant and animal health organisations</w:t>
      </w:r>
      <w:r w:rsidR="00D67704">
        <w:t>,</w:t>
      </w:r>
      <w:r w:rsidR="00BE6033" w:rsidRPr="00C379CA">
        <w:t xml:space="preserve"> including the World Organisation for Animal Health, International Plant Protection Convention and the United Nations Food and Agriculture Organi</w:t>
      </w:r>
      <w:r w:rsidR="00D67704">
        <w:t>z</w:t>
      </w:r>
      <w:r w:rsidR="00BE6033" w:rsidRPr="00C379CA">
        <w:t>ation (FAO)</w:t>
      </w:r>
    </w:p>
    <w:p w14:paraId="222678A4" w14:textId="62BAB9E2" w:rsidR="00BE6033" w:rsidRPr="00C379CA" w:rsidRDefault="00BE6033" w:rsidP="008C2ACE">
      <w:pPr>
        <w:pStyle w:val="ListBullet2"/>
      </w:pPr>
      <w:r w:rsidRPr="00C379CA">
        <w:t>participat</w:t>
      </w:r>
      <w:r w:rsidR="00CF180B">
        <w:t>e</w:t>
      </w:r>
      <w:r w:rsidRPr="00C379CA">
        <w:t xml:space="preserve"> in various regional </w:t>
      </w:r>
      <w:r>
        <w:t xml:space="preserve">multilateral </w:t>
      </w:r>
      <w:r w:rsidRPr="00C379CA">
        <w:t>for</w:t>
      </w:r>
      <w:r w:rsidR="0096448F">
        <w:t>ums</w:t>
      </w:r>
      <w:r w:rsidRPr="00C379CA">
        <w:t xml:space="preserve"> of international plant and animal health organisations</w:t>
      </w:r>
      <w:r w:rsidR="00D67704">
        <w:t>,</w:t>
      </w:r>
      <w:r w:rsidRPr="00C379CA">
        <w:t xml:space="preserve"> including the Pacific Plant Protection Organisation, Pacific Heads of Veterinary and Animal Production Services Committee</w:t>
      </w:r>
      <w:r>
        <w:t xml:space="preserve">, </w:t>
      </w:r>
      <w:r w:rsidRPr="00C379CA">
        <w:t xml:space="preserve">the Asia </w:t>
      </w:r>
      <w:r w:rsidR="00AF29F8">
        <w:t xml:space="preserve">and </w:t>
      </w:r>
      <w:r w:rsidRPr="00C379CA">
        <w:t>Pacific Plant Protection Commission</w:t>
      </w:r>
      <w:r>
        <w:t xml:space="preserve"> and the Secretariat of the Pacific Regional Environment Programme</w:t>
      </w:r>
    </w:p>
    <w:p w14:paraId="38EF01D2" w14:textId="7951E087" w:rsidR="00BE6033" w:rsidRPr="00C379CA" w:rsidRDefault="00BE6033" w:rsidP="008C2ACE">
      <w:pPr>
        <w:pStyle w:val="ListBullet2"/>
      </w:pPr>
      <w:r>
        <w:t>associat</w:t>
      </w:r>
      <w:r w:rsidR="00CF180B">
        <w:t>e</w:t>
      </w:r>
      <w:r>
        <w:t xml:space="preserve"> with</w:t>
      </w:r>
      <w:r w:rsidRPr="00C379CA">
        <w:t xml:space="preserve"> international environmental organisations</w:t>
      </w:r>
      <w:r>
        <w:t xml:space="preserve"> and treaties</w:t>
      </w:r>
      <w:r w:rsidR="00D67704">
        <w:t>,</w:t>
      </w:r>
      <w:r w:rsidRPr="00C379CA">
        <w:t xml:space="preserve"> including the Convention on Biological Diversity</w:t>
      </w:r>
    </w:p>
    <w:p w14:paraId="4425B1C0" w14:textId="629D4E6D" w:rsidR="00BE6033" w:rsidRPr="00C379CA" w:rsidRDefault="00BE6033" w:rsidP="008C2ACE">
      <w:pPr>
        <w:pStyle w:val="ListBullet"/>
      </w:pPr>
      <w:r w:rsidRPr="00C379CA">
        <w:t>Actively support regional activities to develop and implement standards and other specific materials to address regional plant, animal and environmental health and biosecurity issues</w:t>
      </w:r>
    </w:p>
    <w:p w14:paraId="7520F221" w14:textId="5CB4C52C" w:rsidR="00BE6033" w:rsidRPr="0070736E" w:rsidRDefault="00887E76" w:rsidP="008C2ACE">
      <w:pPr>
        <w:pStyle w:val="ListBullet2"/>
      </w:pPr>
      <w:r>
        <w:t>t</w:t>
      </w:r>
      <w:r w:rsidR="00BE6033" w:rsidRPr="0070736E">
        <w:t xml:space="preserve">his may include </w:t>
      </w:r>
      <w:r w:rsidR="00D30B4D" w:rsidRPr="0070736E">
        <w:t>provi</w:t>
      </w:r>
      <w:r w:rsidR="00D30B4D">
        <w:t>ding targeted</w:t>
      </w:r>
      <w:r w:rsidR="00BE6033" w:rsidRPr="0070736E">
        <w:t xml:space="preserve"> human and other resources or u</w:t>
      </w:r>
      <w:r w:rsidR="009B4352">
        <w:t>sing</w:t>
      </w:r>
      <w:r w:rsidR="00BE6033" w:rsidRPr="0070736E">
        <w:t xml:space="preserve"> </w:t>
      </w:r>
      <w:r w:rsidR="00D67704">
        <w:t>our</w:t>
      </w:r>
      <w:r w:rsidR="00BE6033" w:rsidRPr="0070736E">
        <w:t xml:space="preserve"> international networks, </w:t>
      </w:r>
      <w:proofErr w:type="gramStart"/>
      <w:r w:rsidR="00BE6033" w:rsidRPr="0070736E">
        <w:t>for</w:t>
      </w:r>
      <w:r w:rsidR="009B4352">
        <w:t>ums</w:t>
      </w:r>
      <w:proofErr w:type="gramEnd"/>
      <w:r w:rsidR="00BE6033" w:rsidRPr="0070736E">
        <w:t xml:space="preserve"> and relationships </w:t>
      </w:r>
      <w:r w:rsidR="009B4352">
        <w:t>to</w:t>
      </w:r>
      <w:r w:rsidR="00BE6033" w:rsidRPr="0070736E">
        <w:t xml:space="preserve"> support regional </w:t>
      </w:r>
      <w:r w:rsidR="00D05F23">
        <w:t>priorities</w:t>
      </w:r>
      <w:r w:rsidR="00BE6033" w:rsidRPr="0070736E">
        <w:t>.</w:t>
      </w:r>
    </w:p>
    <w:p w14:paraId="735D6657" w14:textId="49E65FEC" w:rsidR="00BE6033" w:rsidRPr="00C379CA" w:rsidRDefault="00BE6033" w:rsidP="008C2ACE">
      <w:pPr>
        <w:pStyle w:val="Heading4"/>
        <w:numPr>
          <w:ilvl w:val="0"/>
          <w:numId w:val="0"/>
        </w:numPr>
      </w:pPr>
      <w:bookmarkStart w:id="15" w:name="_Hlk74749918"/>
      <w:r w:rsidRPr="00C379CA">
        <w:t xml:space="preserve">Collaboratively develop and enhance biosecurity capacity and capability of PICTs and near </w:t>
      </w:r>
      <w:proofErr w:type="gramStart"/>
      <w:r w:rsidRPr="00C379CA">
        <w:t>neighbours</w:t>
      </w:r>
      <w:proofErr w:type="gramEnd"/>
    </w:p>
    <w:p w14:paraId="7044786E" w14:textId="790F5A3D" w:rsidR="00BE6033" w:rsidRPr="00F86559" w:rsidRDefault="00D67704" w:rsidP="00887E76">
      <w:pPr>
        <w:spacing w:before="120"/>
      </w:pPr>
      <w:r>
        <w:t xml:space="preserve">We </w:t>
      </w:r>
      <w:r w:rsidR="00BE6033" w:rsidRPr="00F86559">
        <w:t>will</w:t>
      </w:r>
      <w:r>
        <w:t>:</w:t>
      </w:r>
    </w:p>
    <w:p w14:paraId="0DCCF79E" w14:textId="47D6A7AE" w:rsidR="00BE6033" w:rsidRPr="00C379CA" w:rsidRDefault="00BE6033" w:rsidP="008C2ACE">
      <w:pPr>
        <w:pStyle w:val="ListBullet"/>
      </w:pPr>
      <w:r w:rsidRPr="00C379CA">
        <w:t xml:space="preserve">Engage with PICTs and near neighbours, other agencies and organisations to identify, prioritise and address needs appropriately and </w:t>
      </w:r>
      <w:proofErr w:type="gramStart"/>
      <w:r w:rsidRPr="0058035C">
        <w:t>efficiently</w:t>
      </w:r>
      <w:proofErr w:type="gramEnd"/>
    </w:p>
    <w:p w14:paraId="0B44325B" w14:textId="10EB9043" w:rsidR="00BE6033" w:rsidRPr="00C379CA" w:rsidRDefault="00D05F23" w:rsidP="008C2ACE">
      <w:pPr>
        <w:pStyle w:val="ListBullet2"/>
      </w:pPr>
      <w:r>
        <w:t>including matters</w:t>
      </w:r>
      <w:r w:rsidR="00BE6033" w:rsidRPr="00C379CA">
        <w:t xml:space="preserve"> of risk assessment, inspection, application of measures, surveillance, diagnostics,</w:t>
      </w:r>
      <w:r w:rsidR="00BE6033">
        <w:t xml:space="preserve"> preparedness,</w:t>
      </w:r>
      <w:r w:rsidR="00BE6033" w:rsidRPr="00C379CA">
        <w:t xml:space="preserve"> response and other capabilities that support sustainable production, food security, biosecurity operations and market </w:t>
      </w:r>
      <w:proofErr w:type="gramStart"/>
      <w:r w:rsidR="00BE6033" w:rsidRPr="00C379CA">
        <w:t>access</w:t>
      </w:r>
      <w:proofErr w:type="gramEnd"/>
    </w:p>
    <w:p w14:paraId="524C8B40" w14:textId="296219D5" w:rsidR="00BE6033" w:rsidRPr="00C379CA" w:rsidRDefault="00BE6033" w:rsidP="008C2ACE">
      <w:pPr>
        <w:pStyle w:val="ListBullet2"/>
      </w:pPr>
      <w:r w:rsidRPr="00C379CA">
        <w:t>bilaterally</w:t>
      </w:r>
      <w:r w:rsidR="00D05F23">
        <w:t>,</w:t>
      </w:r>
      <w:r w:rsidRPr="00C379CA">
        <w:t xml:space="preserve"> multilaterally and in partnership with other support and delivery organisations</w:t>
      </w:r>
      <w:r w:rsidR="009B4352">
        <w:t>,</w:t>
      </w:r>
      <w:r w:rsidRPr="00C379CA">
        <w:t xml:space="preserve"> including the Pacific Biosecurity Partnership</w:t>
      </w:r>
      <w:r w:rsidR="00AF29F8">
        <w:t>s</w:t>
      </w:r>
      <w:r w:rsidRPr="00C379CA">
        <w:t xml:space="preserve"> Program</w:t>
      </w:r>
      <w:r>
        <w:t>, SPC, Pacific Islands Forum Secretariat, Market Development Facility, Pacific Trade Invest and the FAO</w:t>
      </w:r>
      <w:r w:rsidRPr="00C379CA">
        <w:t>.</w:t>
      </w:r>
    </w:p>
    <w:p w14:paraId="1B56C3CF" w14:textId="75E1127D" w:rsidR="00BE6033" w:rsidRPr="00C379CA" w:rsidRDefault="00BE6033" w:rsidP="008C2ACE">
      <w:pPr>
        <w:pStyle w:val="Heading4"/>
        <w:numPr>
          <w:ilvl w:val="0"/>
          <w:numId w:val="0"/>
        </w:numPr>
      </w:pPr>
      <w:r w:rsidRPr="00C379CA">
        <w:t xml:space="preserve">Enhance safe trade </w:t>
      </w:r>
      <w:r w:rsidR="000203E9">
        <w:t>a</w:t>
      </w:r>
      <w:r w:rsidRPr="00C379CA">
        <w:t xml:space="preserve">nd market access opportunities </w:t>
      </w:r>
      <w:r w:rsidR="000203E9">
        <w:t>of</w:t>
      </w:r>
      <w:r w:rsidR="000203E9" w:rsidRPr="00C379CA">
        <w:t xml:space="preserve"> </w:t>
      </w:r>
      <w:r w:rsidRPr="00C379CA">
        <w:t xml:space="preserve">PICTs and near </w:t>
      </w:r>
      <w:proofErr w:type="gramStart"/>
      <w:r w:rsidRPr="00C379CA">
        <w:t>neighbours</w:t>
      </w:r>
      <w:proofErr w:type="gramEnd"/>
    </w:p>
    <w:p w14:paraId="79F8AB4F" w14:textId="288138ED" w:rsidR="00BE6033" w:rsidRPr="00F86559" w:rsidRDefault="009B4352" w:rsidP="00887E76">
      <w:pPr>
        <w:spacing w:before="120"/>
      </w:pPr>
      <w:r>
        <w:t>We</w:t>
      </w:r>
      <w:r w:rsidR="00BE6033" w:rsidRPr="00F86559">
        <w:t xml:space="preserve"> will</w:t>
      </w:r>
      <w:r>
        <w:t>:</w:t>
      </w:r>
    </w:p>
    <w:p w14:paraId="117F3BCA" w14:textId="380A09D8" w:rsidR="00BE6033" w:rsidRDefault="00BE6033" w:rsidP="008C2ACE">
      <w:pPr>
        <w:pStyle w:val="ListBullet"/>
      </w:pPr>
      <w:r w:rsidRPr="00C379CA">
        <w:t>Work collaboratively with PICTs, near neighbours and other organisations to identify and enhance opportunities for sustainable market access</w:t>
      </w:r>
      <w:r>
        <w:t xml:space="preserve"> (within the region and beyond)</w:t>
      </w:r>
      <w:r w:rsidRPr="00C379CA">
        <w:t>.</w:t>
      </w:r>
      <w:r w:rsidR="009B4352">
        <w:t xml:space="preserve"> </w:t>
      </w:r>
      <w:r w:rsidRPr="00C379CA">
        <w:t>This includes the</w:t>
      </w:r>
    </w:p>
    <w:p w14:paraId="31015A88" w14:textId="74288373" w:rsidR="004D197B" w:rsidRDefault="00BE6033" w:rsidP="008C2ACE">
      <w:pPr>
        <w:pStyle w:val="ListBullet2"/>
      </w:pPr>
      <w:r w:rsidRPr="00C379CA">
        <w:t xml:space="preserve">utilisation of existing market access achieved through past programs of work including through </w:t>
      </w:r>
      <w:hyperlink r:id="rId22" w:history="1">
        <w:r w:rsidR="00FF4B19" w:rsidRPr="00FF4B19">
          <w:rPr>
            <w:rStyle w:val="Hyperlink"/>
          </w:rPr>
          <w:t>PHAMA</w:t>
        </w:r>
      </w:hyperlink>
      <w:r w:rsidRPr="00C379CA">
        <w:t xml:space="preserve"> and </w:t>
      </w:r>
      <w:hyperlink r:id="rId23" w:history="1">
        <w:r w:rsidRPr="00FF4B19">
          <w:rPr>
            <w:rStyle w:val="Hyperlink"/>
          </w:rPr>
          <w:t>PHAMAPlus</w:t>
        </w:r>
      </w:hyperlink>
    </w:p>
    <w:p w14:paraId="59257784" w14:textId="0725BAEB" w:rsidR="00BE6033" w:rsidRPr="00577AA9" w:rsidRDefault="00BE6033" w:rsidP="008C2ACE">
      <w:pPr>
        <w:pStyle w:val="ListBullet2"/>
      </w:pPr>
      <w:r w:rsidRPr="00C379CA">
        <w:t>implementation of PHAMA</w:t>
      </w:r>
      <w:r w:rsidR="004D197B">
        <w:t xml:space="preserve"> </w:t>
      </w:r>
      <w:r w:rsidRPr="00C379CA">
        <w:t xml:space="preserve">Plus </w:t>
      </w:r>
      <w:r>
        <w:t xml:space="preserve">and </w:t>
      </w:r>
      <w:r w:rsidR="004D197B" w:rsidRPr="00BE78AB">
        <w:t>PACER Plus</w:t>
      </w:r>
      <w:r w:rsidRPr="00C379CA">
        <w:t xml:space="preserve"> programs</w:t>
      </w:r>
    </w:p>
    <w:p w14:paraId="0D66F991" w14:textId="1ABA0A2F" w:rsidR="00BE6033" w:rsidRPr="00FD6256" w:rsidRDefault="00BE6033" w:rsidP="008C2ACE">
      <w:pPr>
        <w:pStyle w:val="ListBullet2"/>
      </w:pPr>
      <w:r w:rsidRPr="00577AA9">
        <w:t xml:space="preserve">application of </w:t>
      </w:r>
      <w:r w:rsidR="00CA3332">
        <w:t>sanitary and phytosanitary</w:t>
      </w:r>
      <w:r w:rsidRPr="00577AA9">
        <w:t xml:space="preserve"> rules and relevant underpinning standards.</w:t>
      </w:r>
    </w:p>
    <w:p w14:paraId="68AD9D46" w14:textId="7AE52EF7" w:rsidR="00BE6033" w:rsidRPr="00C379CA" w:rsidRDefault="00025F33" w:rsidP="00BE6033">
      <w:pPr>
        <w:pStyle w:val="Heading2"/>
      </w:pPr>
      <w:bookmarkStart w:id="16" w:name="_Toc127377632"/>
      <w:bookmarkStart w:id="17" w:name="_Toc129005473"/>
      <w:bookmarkEnd w:id="15"/>
      <w:bookmarkEnd w:id="16"/>
      <w:r>
        <w:t>A</w:t>
      </w:r>
      <w:r w:rsidR="0073329A">
        <w:t>pproach</w:t>
      </w:r>
      <w:bookmarkEnd w:id="17"/>
    </w:p>
    <w:p w14:paraId="6777716D" w14:textId="551D042F" w:rsidR="00BE6033" w:rsidRPr="00C379CA" w:rsidRDefault="009B4352" w:rsidP="00BE6033">
      <w:pPr>
        <w:spacing w:after="120"/>
        <w:rPr>
          <w:rFonts w:cstheme="minorHAnsi"/>
        </w:rPr>
      </w:pPr>
      <w:r>
        <w:rPr>
          <w:rFonts w:cstheme="minorHAnsi"/>
        </w:rPr>
        <w:t>N</w:t>
      </w:r>
      <w:r w:rsidR="00BE6033" w:rsidRPr="00306C4F">
        <w:rPr>
          <w:rFonts w:cstheme="minorHAnsi"/>
        </w:rPr>
        <w:t xml:space="preserve">umerous organisations </w:t>
      </w:r>
      <w:r>
        <w:rPr>
          <w:rFonts w:cstheme="minorHAnsi"/>
        </w:rPr>
        <w:t xml:space="preserve">are </w:t>
      </w:r>
      <w:r w:rsidR="00BE6033" w:rsidRPr="00306C4F">
        <w:rPr>
          <w:rFonts w:cstheme="minorHAnsi"/>
        </w:rPr>
        <w:t xml:space="preserve">already working with PICTs and </w:t>
      </w:r>
      <w:r w:rsidR="00BE6033" w:rsidRPr="00C379CA">
        <w:rPr>
          <w:rFonts w:cstheme="minorHAnsi"/>
        </w:rPr>
        <w:t>near neighbours to expand plant, animal and environmental health and biosecurity capacity. These include government and non</w:t>
      </w:r>
      <w:r w:rsidR="004572E8">
        <w:rPr>
          <w:rFonts w:cstheme="minorHAnsi"/>
        </w:rPr>
        <w:t>-</w:t>
      </w:r>
      <w:r w:rsidR="00BE6033" w:rsidRPr="00C379CA">
        <w:rPr>
          <w:rFonts w:cstheme="minorHAnsi"/>
        </w:rPr>
        <w:t xml:space="preserve">government bodies from Australia, New Zealand, </w:t>
      </w:r>
      <w:r>
        <w:rPr>
          <w:rFonts w:cstheme="minorHAnsi"/>
        </w:rPr>
        <w:t xml:space="preserve">the </w:t>
      </w:r>
      <w:r w:rsidR="00BE6033" w:rsidRPr="00C379CA">
        <w:rPr>
          <w:rFonts w:cstheme="minorHAnsi"/>
        </w:rPr>
        <w:t xml:space="preserve">United States of America, </w:t>
      </w:r>
      <w:r>
        <w:rPr>
          <w:rFonts w:cstheme="minorHAnsi"/>
        </w:rPr>
        <w:t xml:space="preserve">the </w:t>
      </w:r>
      <w:r w:rsidR="00BE6033" w:rsidRPr="00C379CA">
        <w:rPr>
          <w:rFonts w:cstheme="minorHAnsi"/>
        </w:rPr>
        <w:t xml:space="preserve">European Union, </w:t>
      </w:r>
      <w:r>
        <w:rPr>
          <w:rFonts w:cstheme="minorHAnsi"/>
        </w:rPr>
        <w:t xml:space="preserve">the </w:t>
      </w:r>
      <w:r w:rsidR="00BE6033" w:rsidRPr="00C379CA">
        <w:rPr>
          <w:rFonts w:cstheme="minorHAnsi"/>
        </w:rPr>
        <w:t xml:space="preserve">United </w:t>
      </w:r>
      <w:proofErr w:type="gramStart"/>
      <w:r w:rsidR="00BE6033" w:rsidRPr="00C379CA">
        <w:rPr>
          <w:rFonts w:cstheme="minorHAnsi"/>
        </w:rPr>
        <w:t>Kingdom</w:t>
      </w:r>
      <w:proofErr w:type="gramEnd"/>
      <w:r w:rsidR="00BE6033" w:rsidRPr="00C379CA">
        <w:rPr>
          <w:rFonts w:cstheme="minorHAnsi"/>
        </w:rPr>
        <w:t xml:space="preserve"> and Asia.</w:t>
      </w:r>
      <w:r w:rsidR="00D05F23" w:rsidRPr="00D05F23">
        <w:rPr>
          <w:rFonts w:cstheme="minorHAnsi"/>
        </w:rPr>
        <w:t xml:space="preserve"> </w:t>
      </w:r>
      <w:r w:rsidR="00D05F23" w:rsidRPr="00C379CA">
        <w:rPr>
          <w:rFonts w:cstheme="minorHAnsi"/>
        </w:rPr>
        <w:t>The involvement of large numbers of different groups can make coordination complex.</w:t>
      </w:r>
    </w:p>
    <w:p w14:paraId="6C474B1F" w14:textId="1474D688" w:rsidR="00BE6033" w:rsidRPr="00C379CA" w:rsidRDefault="00330255" w:rsidP="00BE6033">
      <w:pPr>
        <w:spacing w:after="120"/>
        <w:rPr>
          <w:rFonts w:cstheme="minorHAnsi"/>
        </w:rPr>
      </w:pPr>
      <w:r>
        <w:rPr>
          <w:rFonts w:cstheme="minorHAnsi"/>
        </w:rPr>
        <w:t>This strategy will guide how we align,</w:t>
      </w:r>
      <w:r w:rsidR="00BE6033" w:rsidRPr="00C379CA">
        <w:rPr>
          <w:rFonts w:cstheme="minorHAnsi"/>
        </w:rPr>
        <w:t xml:space="preserve"> </w:t>
      </w:r>
      <w:proofErr w:type="gramStart"/>
      <w:r w:rsidR="00BE6033" w:rsidRPr="00C379CA">
        <w:rPr>
          <w:rFonts w:cstheme="minorHAnsi"/>
        </w:rPr>
        <w:t>coordinate</w:t>
      </w:r>
      <w:proofErr w:type="gramEnd"/>
      <w:r w:rsidR="00BE6033" w:rsidRPr="00C379CA">
        <w:rPr>
          <w:rFonts w:cstheme="minorHAnsi"/>
        </w:rPr>
        <w:t xml:space="preserve"> and add value to plant, animal and environmental health and biosecurity activities</w:t>
      </w:r>
      <w:r>
        <w:rPr>
          <w:rFonts w:cstheme="minorHAnsi"/>
        </w:rPr>
        <w:t xml:space="preserve"> as </w:t>
      </w:r>
      <w:r w:rsidR="004D197B">
        <w:rPr>
          <w:rFonts w:cstheme="minorHAnsi"/>
        </w:rPr>
        <w:t xml:space="preserve">a </w:t>
      </w:r>
      <w:r>
        <w:rPr>
          <w:rFonts w:cstheme="minorHAnsi"/>
        </w:rPr>
        <w:t>department</w:t>
      </w:r>
      <w:r>
        <w:rPr>
          <w:rStyle w:val="CommentReference"/>
        </w:rPr>
        <w:t xml:space="preserve">, </w:t>
      </w:r>
      <w:r>
        <w:rPr>
          <w:rFonts w:cstheme="minorHAnsi"/>
        </w:rPr>
        <w:t>ac</w:t>
      </w:r>
      <w:r w:rsidR="00BE6033" w:rsidRPr="0070736E">
        <w:rPr>
          <w:rFonts w:cstheme="minorHAnsi"/>
        </w:rPr>
        <w:t xml:space="preserve">ross Australian </w:t>
      </w:r>
      <w:r w:rsidR="00A063B4">
        <w:rPr>
          <w:rFonts w:cstheme="minorHAnsi"/>
        </w:rPr>
        <w:t>G</w:t>
      </w:r>
      <w:r w:rsidR="00BE6033" w:rsidRPr="0070736E">
        <w:rPr>
          <w:rFonts w:cstheme="minorHAnsi"/>
        </w:rPr>
        <w:t xml:space="preserve">overnment agencies and </w:t>
      </w:r>
      <w:r>
        <w:rPr>
          <w:rFonts w:cstheme="minorHAnsi"/>
        </w:rPr>
        <w:t xml:space="preserve">with </w:t>
      </w:r>
      <w:r w:rsidR="00BE6033" w:rsidRPr="0070736E">
        <w:rPr>
          <w:rFonts w:cstheme="minorHAnsi"/>
        </w:rPr>
        <w:t>other</w:t>
      </w:r>
      <w:r w:rsidR="00BE6033" w:rsidRPr="00C379CA">
        <w:rPr>
          <w:rFonts w:cstheme="minorHAnsi"/>
        </w:rPr>
        <w:t xml:space="preserve"> organisations working in the Pacific</w:t>
      </w:r>
      <w:r>
        <w:rPr>
          <w:rFonts w:cstheme="minorHAnsi"/>
        </w:rPr>
        <w:t>.</w:t>
      </w:r>
    </w:p>
    <w:p w14:paraId="26DAC388" w14:textId="31D203ED" w:rsidR="00BE6033" w:rsidRPr="00C379CA" w:rsidRDefault="00BE6033" w:rsidP="00EF18F6">
      <w:pPr>
        <w:pStyle w:val="Heading2"/>
      </w:pPr>
      <w:bookmarkStart w:id="18" w:name="_Toc127377634"/>
      <w:bookmarkStart w:id="19" w:name="_Toc89345529"/>
      <w:bookmarkStart w:id="20" w:name="_Toc129005474"/>
      <w:bookmarkStart w:id="21" w:name="_Hlk128745407"/>
      <w:bookmarkEnd w:id="18"/>
      <w:r w:rsidRPr="00C379CA">
        <w:t>Enablers</w:t>
      </w:r>
      <w:bookmarkEnd w:id="19"/>
      <w:bookmarkEnd w:id="20"/>
    </w:p>
    <w:bookmarkEnd w:id="21"/>
    <w:p w14:paraId="318C1146" w14:textId="3DA11C3D" w:rsidR="00BE6033" w:rsidRPr="00C379CA" w:rsidRDefault="00BE6033" w:rsidP="00887E76">
      <w:r>
        <w:t xml:space="preserve">The </w:t>
      </w:r>
      <w:r w:rsidR="00E36B04">
        <w:t xml:space="preserve">department and </w:t>
      </w:r>
      <w:r>
        <w:t xml:space="preserve">Australian </w:t>
      </w:r>
      <w:r w:rsidR="005B2D7A">
        <w:t>G</w:t>
      </w:r>
      <w:r>
        <w:t xml:space="preserve">overnment </w:t>
      </w:r>
      <w:r w:rsidR="00E36B04">
        <w:t xml:space="preserve">more broadly </w:t>
      </w:r>
      <w:r w:rsidR="00630C97">
        <w:t>are</w:t>
      </w:r>
      <w:r>
        <w:t xml:space="preserve"> committed to engagement, </w:t>
      </w:r>
      <w:proofErr w:type="gramStart"/>
      <w:r>
        <w:t>collaboration</w:t>
      </w:r>
      <w:proofErr w:type="gramEnd"/>
      <w:r>
        <w:t xml:space="preserve"> and cooperation in our region. </w:t>
      </w:r>
      <w:r w:rsidRPr="00C379CA">
        <w:t xml:space="preserve">To date, PICTs and near neighbours have </w:t>
      </w:r>
      <w:r>
        <w:t>expressed frustration at the</w:t>
      </w:r>
      <w:r w:rsidRPr="00C379CA">
        <w:t xml:space="preserve"> difficult</w:t>
      </w:r>
      <w:r>
        <w:t xml:space="preserve">y in </w:t>
      </w:r>
      <w:r w:rsidRPr="00C379CA">
        <w:t xml:space="preserve">navigating </w:t>
      </w:r>
      <w:r w:rsidR="0084330E">
        <w:t>our</w:t>
      </w:r>
      <w:r w:rsidRPr="00C379CA">
        <w:t xml:space="preserve"> internal structures and processes to obtain information or find the best </w:t>
      </w:r>
      <w:r>
        <w:t>contact</w:t>
      </w:r>
      <w:r w:rsidRPr="00C379CA">
        <w:t xml:space="preserve"> to progress their issues. </w:t>
      </w:r>
      <w:r w:rsidR="002609D8">
        <w:t>People and partnerships, governance and resourcing will be crucial to the</w:t>
      </w:r>
      <w:r w:rsidRPr="00C379CA">
        <w:t xml:space="preserve"> implementation of this </w:t>
      </w:r>
      <w:r w:rsidR="0084330E">
        <w:t>s</w:t>
      </w:r>
      <w:r w:rsidRPr="00C379CA">
        <w:t>trategy</w:t>
      </w:r>
      <w:r w:rsidR="002609D8">
        <w:t xml:space="preserve">. These enablers will </w:t>
      </w:r>
      <w:r w:rsidRPr="00C379CA">
        <w:t xml:space="preserve">facilitate more effective communication between PICTs, near neighbours and the department and </w:t>
      </w:r>
      <w:r w:rsidR="002609D8">
        <w:t xml:space="preserve">help </w:t>
      </w:r>
      <w:r w:rsidRPr="00C379CA">
        <w:t>to solve problems</w:t>
      </w:r>
      <w:r w:rsidR="0084330E">
        <w:t xml:space="preserve">, </w:t>
      </w:r>
      <w:r w:rsidRPr="00C379CA">
        <w:t>address issues, improve partnerships</w:t>
      </w:r>
      <w:r w:rsidR="0084330E">
        <w:t xml:space="preserve"> and</w:t>
      </w:r>
      <w:r w:rsidRPr="00C379CA">
        <w:t xml:space="preserve"> collaborations and </w:t>
      </w:r>
      <w:r w:rsidR="0084330E">
        <w:t xml:space="preserve">increase </w:t>
      </w:r>
      <w:r w:rsidRPr="00C379CA">
        <w:t xml:space="preserve">our ability to improve </w:t>
      </w:r>
      <w:r w:rsidR="0084330E">
        <w:t xml:space="preserve">biosecurity </w:t>
      </w:r>
      <w:r w:rsidRPr="00C379CA">
        <w:t>outcomes for the Pacific.</w:t>
      </w:r>
    </w:p>
    <w:p w14:paraId="64B502C2" w14:textId="0062AF69" w:rsidR="00BE6033" w:rsidRPr="00EF18F6" w:rsidRDefault="00BE6033" w:rsidP="00EF18F6">
      <w:pPr>
        <w:pStyle w:val="Heading3"/>
        <w:numPr>
          <w:ilvl w:val="0"/>
          <w:numId w:val="0"/>
        </w:numPr>
        <w:ind w:left="964" w:hanging="964"/>
      </w:pPr>
      <w:bookmarkStart w:id="22" w:name="_Toc89345530"/>
      <w:bookmarkStart w:id="23" w:name="_Toc129005475"/>
      <w:r w:rsidRPr="00EF18F6">
        <w:t xml:space="preserve">People and </w:t>
      </w:r>
      <w:r w:rsidR="005B2D7A">
        <w:t>p</w:t>
      </w:r>
      <w:r w:rsidRPr="00EF18F6">
        <w:t>artnerships</w:t>
      </w:r>
      <w:bookmarkEnd w:id="22"/>
      <w:bookmarkEnd w:id="23"/>
    </w:p>
    <w:p w14:paraId="0F37BC33" w14:textId="7B1CBE50" w:rsidR="00BE6033" w:rsidRDefault="00BE6033" w:rsidP="00BE6033">
      <w:pPr>
        <w:rPr>
          <w:rFonts w:cstheme="minorHAnsi"/>
        </w:rPr>
      </w:pPr>
      <w:r w:rsidRPr="00306C4F">
        <w:rPr>
          <w:rFonts w:eastAsiaTheme="majorEastAsia" w:cstheme="minorHAnsi"/>
        </w:rPr>
        <w:t>People</w:t>
      </w:r>
      <w:r>
        <w:rPr>
          <w:rFonts w:eastAsiaTheme="majorEastAsia" w:cstheme="minorHAnsi"/>
        </w:rPr>
        <w:t>-</w:t>
      </w:r>
      <w:r w:rsidRPr="00306C4F">
        <w:rPr>
          <w:rFonts w:eastAsiaTheme="majorEastAsia" w:cstheme="minorHAnsi"/>
        </w:rPr>
        <w:t>to</w:t>
      </w:r>
      <w:r>
        <w:rPr>
          <w:rFonts w:eastAsiaTheme="majorEastAsia" w:cstheme="minorHAnsi"/>
        </w:rPr>
        <w:t>-</w:t>
      </w:r>
      <w:r w:rsidRPr="00306C4F">
        <w:rPr>
          <w:rFonts w:eastAsiaTheme="majorEastAsia" w:cstheme="minorHAnsi"/>
        </w:rPr>
        <w:t xml:space="preserve">people links are the foundation of this </w:t>
      </w:r>
      <w:r w:rsidR="0084330E">
        <w:rPr>
          <w:rFonts w:eastAsiaTheme="majorEastAsia" w:cstheme="minorHAnsi"/>
        </w:rPr>
        <w:t>s</w:t>
      </w:r>
      <w:r w:rsidRPr="00306C4F">
        <w:rPr>
          <w:rFonts w:eastAsiaTheme="majorEastAsia" w:cstheme="minorHAnsi"/>
        </w:rPr>
        <w:t xml:space="preserve">trategy. Over many years, </w:t>
      </w:r>
      <w:r w:rsidR="0096448F">
        <w:rPr>
          <w:rFonts w:eastAsiaTheme="majorEastAsia" w:cstheme="minorHAnsi"/>
        </w:rPr>
        <w:t xml:space="preserve">we have built </w:t>
      </w:r>
      <w:r w:rsidR="0084330E">
        <w:rPr>
          <w:rFonts w:eastAsiaTheme="majorEastAsia" w:cstheme="minorHAnsi"/>
        </w:rPr>
        <w:t xml:space="preserve">broad and deep </w:t>
      </w:r>
      <w:r w:rsidRPr="00306C4F">
        <w:rPr>
          <w:rFonts w:eastAsiaTheme="majorEastAsia" w:cstheme="minorHAnsi"/>
        </w:rPr>
        <w:t xml:space="preserve">relationships within our region. </w:t>
      </w:r>
      <w:r w:rsidR="00025F33">
        <w:rPr>
          <w:rFonts w:eastAsiaTheme="majorEastAsia" w:cstheme="minorHAnsi"/>
        </w:rPr>
        <w:t>Implementation of this</w:t>
      </w:r>
      <w:r w:rsidR="00025F33" w:rsidRPr="00306C4F">
        <w:rPr>
          <w:rFonts w:eastAsiaTheme="majorEastAsia" w:cstheme="minorHAnsi"/>
        </w:rPr>
        <w:t xml:space="preserve"> </w:t>
      </w:r>
      <w:r w:rsidRPr="00306C4F">
        <w:rPr>
          <w:rFonts w:eastAsiaTheme="majorEastAsia" w:cstheme="minorHAnsi"/>
        </w:rPr>
        <w:t xml:space="preserve">strategy will </w:t>
      </w:r>
      <w:r w:rsidR="00025F33">
        <w:rPr>
          <w:rFonts w:eastAsiaTheme="majorEastAsia" w:cstheme="minorHAnsi"/>
        </w:rPr>
        <w:t xml:space="preserve">support and </w:t>
      </w:r>
      <w:r w:rsidRPr="00306C4F">
        <w:rPr>
          <w:rFonts w:eastAsiaTheme="majorEastAsia" w:cstheme="minorHAnsi"/>
        </w:rPr>
        <w:t xml:space="preserve">reinforce these links directly with PICTs and near neighbours, within the department and other agencies, </w:t>
      </w:r>
      <w:r w:rsidR="0084330E">
        <w:rPr>
          <w:rFonts w:eastAsiaTheme="majorEastAsia" w:cstheme="minorHAnsi"/>
        </w:rPr>
        <w:t>and</w:t>
      </w:r>
      <w:r w:rsidRPr="00306C4F">
        <w:rPr>
          <w:rFonts w:eastAsiaTheme="majorEastAsia" w:cstheme="minorHAnsi"/>
        </w:rPr>
        <w:t xml:space="preserve"> with like-minded strategic partners, government and non-government organisations, </w:t>
      </w:r>
      <w:proofErr w:type="gramStart"/>
      <w:r w:rsidRPr="00306C4F">
        <w:rPr>
          <w:rFonts w:eastAsiaTheme="majorEastAsia" w:cstheme="minorHAnsi"/>
        </w:rPr>
        <w:t>academia</w:t>
      </w:r>
      <w:proofErr w:type="gramEnd"/>
      <w:r w:rsidRPr="00306C4F">
        <w:rPr>
          <w:rFonts w:eastAsiaTheme="majorEastAsia" w:cstheme="minorHAnsi"/>
        </w:rPr>
        <w:t xml:space="preserve"> and the private sector. This </w:t>
      </w:r>
      <w:r>
        <w:rPr>
          <w:rFonts w:eastAsiaTheme="majorEastAsia" w:cstheme="minorHAnsi"/>
        </w:rPr>
        <w:t>s</w:t>
      </w:r>
      <w:r w:rsidRPr="00306C4F">
        <w:rPr>
          <w:rFonts w:eastAsiaTheme="majorEastAsia" w:cstheme="minorHAnsi"/>
        </w:rPr>
        <w:t>trategy supports establishment and continuation of</w:t>
      </w:r>
      <w:r w:rsidRPr="00F86559">
        <w:rPr>
          <w:rFonts w:cstheme="minorHAnsi"/>
        </w:rPr>
        <w:t xml:space="preserve"> opportunities to work with additional partners and stakeholders </w:t>
      </w:r>
      <w:r w:rsidRPr="00595C90">
        <w:rPr>
          <w:rFonts w:cstheme="minorHAnsi"/>
        </w:rPr>
        <w:t xml:space="preserve">to improve </w:t>
      </w:r>
      <w:r w:rsidRPr="00C379CA">
        <w:rPr>
          <w:rFonts w:cstheme="minorHAnsi"/>
        </w:rPr>
        <w:t>plant, animal and environmental health and biosecurity outcomes across the region.</w:t>
      </w:r>
    </w:p>
    <w:p w14:paraId="683B9D55" w14:textId="23E357FD" w:rsidR="00BE6033" w:rsidRDefault="00BE6033" w:rsidP="00BE6033">
      <w:pPr>
        <w:rPr>
          <w:rFonts w:cstheme="minorHAnsi"/>
        </w:rPr>
      </w:pPr>
      <w:r>
        <w:rPr>
          <w:rFonts w:cstheme="minorHAnsi"/>
        </w:rPr>
        <w:t>Enhanced collaboration with New Zealand government and non-government agencies will be critical to coordinat</w:t>
      </w:r>
      <w:r w:rsidR="0084330E">
        <w:rPr>
          <w:rFonts w:cstheme="minorHAnsi"/>
        </w:rPr>
        <w:t>e</w:t>
      </w:r>
      <w:r>
        <w:rPr>
          <w:rFonts w:cstheme="minorHAnsi"/>
        </w:rPr>
        <w:t xml:space="preserve"> and deliver support and improve outcomes for the region.</w:t>
      </w:r>
    </w:p>
    <w:p w14:paraId="520FB78B" w14:textId="63B34892" w:rsidR="00BE6033" w:rsidRPr="00C379CA" w:rsidRDefault="00BE6033" w:rsidP="00BE6033">
      <w:pPr>
        <w:rPr>
          <w:rFonts w:cstheme="minorHAnsi"/>
        </w:rPr>
      </w:pPr>
      <w:r>
        <w:rPr>
          <w:rFonts w:cstheme="minorHAnsi"/>
        </w:rPr>
        <w:t>Continued coordination with and through SPC will also be critical in ensuring efficient biosecurity and health</w:t>
      </w:r>
      <w:r w:rsidR="005F4028">
        <w:rPr>
          <w:rFonts w:cstheme="minorHAnsi"/>
        </w:rPr>
        <w:t>-</w:t>
      </w:r>
      <w:r>
        <w:rPr>
          <w:rFonts w:cstheme="minorHAnsi"/>
        </w:rPr>
        <w:t>related project development and delivery, given their extensive projects and networks in the region.</w:t>
      </w:r>
    </w:p>
    <w:p w14:paraId="0AC35594" w14:textId="3A1D4CD6" w:rsidR="00BE6033" w:rsidRPr="00EF18F6" w:rsidRDefault="00BE6033" w:rsidP="00EF18F6">
      <w:pPr>
        <w:pStyle w:val="Heading3"/>
        <w:numPr>
          <w:ilvl w:val="0"/>
          <w:numId w:val="0"/>
        </w:numPr>
        <w:ind w:left="964" w:hanging="964"/>
      </w:pPr>
      <w:bookmarkStart w:id="24" w:name="_Toc89345531"/>
      <w:bookmarkStart w:id="25" w:name="_Toc129005476"/>
      <w:r w:rsidRPr="00EF18F6">
        <w:t>Governance</w:t>
      </w:r>
      <w:bookmarkEnd w:id="24"/>
      <w:bookmarkEnd w:id="25"/>
    </w:p>
    <w:p w14:paraId="02B6BAAD" w14:textId="6156EB3B" w:rsidR="00BE6033" w:rsidRPr="00C379CA" w:rsidRDefault="00BE6033" w:rsidP="00BE6033">
      <w:pPr>
        <w:rPr>
          <w:rFonts w:cstheme="minorHAnsi"/>
        </w:rPr>
      </w:pPr>
      <w:r w:rsidRPr="00C379CA">
        <w:rPr>
          <w:rFonts w:cstheme="minorHAnsi"/>
        </w:rPr>
        <w:t xml:space="preserve">This strategy will </w:t>
      </w:r>
      <w:r w:rsidR="005F4028">
        <w:rPr>
          <w:rFonts w:cstheme="minorHAnsi"/>
        </w:rPr>
        <w:t xml:space="preserve">be governed by the </w:t>
      </w:r>
      <w:r w:rsidRPr="00C379CA">
        <w:rPr>
          <w:rFonts w:cstheme="minorHAnsi"/>
        </w:rPr>
        <w:t xml:space="preserve">Biosecurity and Compliance Group, overseen by the Deputy Secretary. The focal points for engagement and implementation of this </w:t>
      </w:r>
      <w:r w:rsidR="005F4028">
        <w:rPr>
          <w:rFonts w:cstheme="minorHAnsi"/>
        </w:rPr>
        <w:t>s</w:t>
      </w:r>
      <w:r w:rsidRPr="00C379CA">
        <w:rPr>
          <w:rFonts w:cstheme="minorHAnsi"/>
        </w:rPr>
        <w:t xml:space="preserve">trategy will be the Office of the Australian Chief Plant Protection Officer, the Office of the Australian Chief Veterinary </w:t>
      </w:r>
      <w:proofErr w:type="gramStart"/>
      <w:r w:rsidRPr="00C379CA">
        <w:rPr>
          <w:rFonts w:cstheme="minorHAnsi"/>
        </w:rPr>
        <w:t>Office</w:t>
      </w:r>
      <w:proofErr w:type="gramEnd"/>
      <w:r w:rsidRPr="00C379CA">
        <w:rPr>
          <w:rFonts w:cstheme="minorHAnsi"/>
        </w:rPr>
        <w:t xml:space="preserve"> and the Office of the Australian Chief Environmental Biosecurity Officer. Specific activities will be implemented </w:t>
      </w:r>
      <w:r w:rsidR="007053E8">
        <w:rPr>
          <w:rFonts w:cstheme="minorHAnsi"/>
        </w:rPr>
        <w:t>through</w:t>
      </w:r>
      <w:r w:rsidR="007053E8" w:rsidRPr="00C379CA">
        <w:rPr>
          <w:rFonts w:cstheme="minorHAnsi"/>
        </w:rPr>
        <w:t xml:space="preserve"> </w:t>
      </w:r>
      <w:r w:rsidRPr="00C379CA">
        <w:rPr>
          <w:rFonts w:cstheme="minorHAnsi"/>
        </w:rPr>
        <w:t xml:space="preserve">relevant areas of the department, consistent with this strategy. </w:t>
      </w:r>
      <w:r w:rsidR="00D30B4D">
        <w:rPr>
          <w:rFonts w:cstheme="minorHAnsi"/>
        </w:rPr>
        <w:t xml:space="preserve">We will report </w:t>
      </w:r>
      <w:r w:rsidRPr="00C379CA">
        <w:rPr>
          <w:rFonts w:cstheme="minorHAnsi"/>
        </w:rPr>
        <w:t xml:space="preserve">on progress internally through the Biosecurity and Compliance Board and </w:t>
      </w:r>
      <w:r w:rsidR="00D30B4D">
        <w:rPr>
          <w:rFonts w:cstheme="minorHAnsi"/>
        </w:rPr>
        <w:t xml:space="preserve">periodically provide </w:t>
      </w:r>
      <w:r w:rsidRPr="00C379CA">
        <w:rPr>
          <w:rFonts w:cstheme="minorHAnsi"/>
        </w:rPr>
        <w:t xml:space="preserve">external communications to ensure stakeholders are aware, informed and acknowledged for their support in the implementation of this </w:t>
      </w:r>
      <w:r>
        <w:rPr>
          <w:rFonts w:cstheme="minorHAnsi"/>
        </w:rPr>
        <w:t>s</w:t>
      </w:r>
      <w:r w:rsidRPr="00C379CA">
        <w:rPr>
          <w:rFonts w:cstheme="minorHAnsi"/>
        </w:rPr>
        <w:t>trategy.</w:t>
      </w:r>
      <w:r w:rsidR="007053E8">
        <w:rPr>
          <w:rFonts w:cstheme="minorHAnsi"/>
        </w:rPr>
        <w:t xml:space="preserve"> </w:t>
      </w:r>
      <w:r w:rsidR="00D30B4D">
        <w:rPr>
          <w:rFonts w:cstheme="minorHAnsi"/>
        </w:rPr>
        <w:t>We</w:t>
      </w:r>
      <w:r w:rsidR="007053E8">
        <w:rPr>
          <w:rFonts w:cstheme="minorHAnsi"/>
        </w:rPr>
        <w:t xml:space="preserve"> anticipate that individual initiatives will include project governance practices representative of initiative </w:t>
      </w:r>
      <w:r w:rsidR="003F4050">
        <w:rPr>
          <w:rFonts w:cstheme="minorHAnsi"/>
        </w:rPr>
        <w:t>collaborators</w:t>
      </w:r>
      <w:r w:rsidR="007053E8">
        <w:rPr>
          <w:rFonts w:cstheme="minorHAnsi"/>
        </w:rPr>
        <w:t xml:space="preserve">, including project </w:t>
      </w:r>
      <w:r w:rsidR="00C4227F">
        <w:rPr>
          <w:rFonts w:cstheme="minorHAnsi"/>
        </w:rPr>
        <w:t>steering groups or other oversight for</w:t>
      </w:r>
      <w:r w:rsidR="00664B6F">
        <w:rPr>
          <w:rFonts w:cstheme="minorHAnsi"/>
        </w:rPr>
        <w:t>ums</w:t>
      </w:r>
      <w:r w:rsidR="00C4227F">
        <w:rPr>
          <w:rFonts w:cstheme="minorHAnsi"/>
        </w:rPr>
        <w:t>.</w:t>
      </w:r>
    </w:p>
    <w:p w14:paraId="05350E9A" w14:textId="77777777" w:rsidR="00BE6033" w:rsidRPr="00EF18F6" w:rsidRDefault="00BE6033" w:rsidP="00EF18F6">
      <w:pPr>
        <w:pStyle w:val="Heading3"/>
        <w:numPr>
          <w:ilvl w:val="0"/>
          <w:numId w:val="0"/>
        </w:numPr>
        <w:ind w:left="964" w:hanging="964"/>
      </w:pPr>
      <w:bookmarkStart w:id="26" w:name="_Toc129005477"/>
      <w:r w:rsidRPr="00EF18F6">
        <w:t>Resourcing</w:t>
      </w:r>
      <w:bookmarkEnd w:id="26"/>
    </w:p>
    <w:p w14:paraId="5128E972" w14:textId="1EDBFAB3" w:rsidR="00EE12F4" w:rsidRDefault="002D71BE" w:rsidP="00DD7075">
      <w:r w:rsidRPr="00EE12F4">
        <w:t>We will explore o</w:t>
      </w:r>
      <w:r w:rsidR="00BE6033" w:rsidRPr="00EE12F4">
        <w:t xml:space="preserve">pportunities to support the implementation of this </w:t>
      </w:r>
      <w:r w:rsidRPr="00EE12F4">
        <w:t>s</w:t>
      </w:r>
      <w:r w:rsidR="00BE6033" w:rsidRPr="00EE12F4">
        <w:t>trategy by leveraging</w:t>
      </w:r>
      <w:r w:rsidR="008F723B" w:rsidRPr="00EE12F4">
        <w:t xml:space="preserve">, </w:t>
      </w:r>
      <w:proofErr w:type="gramStart"/>
      <w:r w:rsidR="008F723B" w:rsidRPr="00EE12F4">
        <w:t>supplementing</w:t>
      </w:r>
      <w:proofErr w:type="gramEnd"/>
      <w:r w:rsidR="008F723B" w:rsidRPr="00EE12F4">
        <w:t xml:space="preserve"> and sustaining</w:t>
      </w:r>
      <w:r w:rsidR="00BE6033" w:rsidRPr="00EE12F4">
        <w:t xml:space="preserve"> existing investments. </w:t>
      </w:r>
      <w:r w:rsidR="008F723B" w:rsidRPr="00EE12F4">
        <w:t>Future a</w:t>
      </w:r>
      <w:r w:rsidR="00BE6033" w:rsidRPr="00EE12F4">
        <w:t>ctivities may be conducted as normal business, through departmental funding or as projects. Activities may be able to make use of short</w:t>
      </w:r>
      <w:r w:rsidR="008F723B" w:rsidRPr="00EE12F4">
        <w:t>-</w:t>
      </w:r>
      <w:r w:rsidR="00BE6033" w:rsidRPr="00EE12F4">
        <w:t>term or ongoing funding streams if relevant to the scope of those programs</w:t>
      </w:r>
      <w:r w:rsidR="008F723B" w:rsidRPr="00EE12F4">
        <w:t>. Alternatively,</w:t>
      </w:r>
      <w:r w:rsidR="00BE6033" w:rsidRPr="00EE12F4">
        <w:t xml:space="preserve"> specific proposals for additional Australian Government funding may be made. </w:t>
      </w:r>
      <w:r w:rsidR="008F723B" w:rsidRPr="00EE12F4">
        <w:t xml:space="preserve">We will </w:t>
      </w:r>
      <w:r w:rsidR="00BE6033" w:rsidRPr="00EE12F4">
        <w:t>collaborat</w:t>
      </w:r>
      <w:r w:rsidR="008F723B" w:rsidRPr="00EE12F4">
        <w:t>e w</w:t>
      </w:r>
      <w:r w:rsidR="00BE6033" w:rsidRPr="00EE12F4">
        <w:t xml:space="preserve">ith other agencies </w:t>
      </w:r>
      <w:r w:rsidR="004572E8">
        <w:t>as</w:t>
      </w:r>
      <w:r w:rsidR="00BE6033" w:rsidRPr="00EE12F4">
        <w:t xml:space="preserve"> part of this process.</w:t>
      </w:r>
      <w:r w:rsidR="00C4227F" w:rsidRPr="00EE12F4">
        <w:t xml:space="preserve"> Given the </w:t>
      </w:r>
      <w:r w:rsidR="002607D0" w:rsidRPr="00EE12F4">
        <w:t>unpredictable</w:t>
      </w:r>
      <w:r w:rsidR="00C4227F" w:rsidRPr="00EE12F4">
        <w:t xml:space="preserve"> nature (timing, </w:t>
      </w:r>
      <w:proofErr w:type="gramStart"/>
      <w:r w:rsidR="00C4227F" w:rsidRPr="00EE12F4">
        <w:t>location</w:t>
      </w:r>
      <w:proofErr w:type="gramEnd"/>
      <w:r w:rsidR="00C4227F" w:rsidRPr="00EE12F4">
        <w:t xml:space="preserve"> and size) of biosecurity crises, resourcing and prioritisation of activities will also need to be adaptive and responsive.</w:t>
      </w:r>
    </w:p>
    <w:p w14:paraId="7290E278" w14:textId="77777777" w:rsidR="00EE12F4" w:rsidRPr="00EE12F4" w:rsidRDefault="00EE12F4" w:rsidP="00EE12F4">
      <w:pPr>
        <w:rPr>
          <w:lang w:eastAsia="ja-JP"/>
        </w:rPr>
      </w:pPr>
    </w:p>
    <w:p w14:paraId="45BA84E4" w14:textId="47490D85" w:rsidR="00EE12F4" w:rsidRPr="00C379CA" w:rsidRDefault="00EE12F4" w:rsidP="00DD7075">
      <w:pPr>
        <w:pStyle w:val="Heading2"/>
        <w:numPr>
          <w:ilvl w:val="0"/>
          <w:numId w:val="0"/>
        </w:numPr>
      </w:pPr>
      <w:bookmarkStart w:id="27" w:name="_Toc129005478"/>
      <w:r>
        <w:t xml:space="preserve">Appendix A: </w:t>
      </w:r>
      <w:r w:rsidRPr="00EE12F4">
        <w:t>Pacific Island Countries and Territories</w:t>
      </w:r>
      <w:bookmarkEnd w:id="27"/>
    </w:p>
    <w:p w14:paraId="2B1EEAEB" w14:textId="77777777" w:rsidR="00FD0029" w:rsidRPr="00FD0029" w:rsidRDefault="00FD0029" w:rsidP="00BE78AB">
      <w:pPr>
        <w:pStyle w:val="ListBullet"/>
        <w:rPr>
          <w:lang w:eastAsia="en-AU"/>
        </w:rPr>
      </w:pPr>
      <w:r w:rsidRPr="00FD0029">
        <w:rPr>
          <w:lang w:eastAsia="en-AU"/>
        </w:rPr>
        <w:t>American Samoa</w:t>
      </w:r>
    </w:p>
    <w:p w14:paraId="5C2704E6" w14:textId="77777777" w:rsidR="00FD0029" w:rsidRPr="00FD0029" w:rsidRDefault="00FD0029" w:rsidP="00BE78AB">
      <w:pPr>
        <w:pStyle w:val="ListBullet"/>
        <w:rPr>
          <w:lang w:eastAsia="en-AU"/>
        </w:rPr>
      </w:pPr>
      <w:r w:rsidRPr="00FD0029">
        <w:rPr>
          <w:lang w:eastAsia="en-AU"/>
        </w:rPr>
        <w:t>Commonwealth of the Northern Mariana Islands</w:t>
      </w:r>
    </w:p>
    <w:p w14:paraId="5FF3C8FD" w14:textId="77777777" w:rsidR="00FD0029" w:rsidRPr="00FD0029" w:rsidRDefault="00FD0029" w:rsidP="00BE78AB">
      <w:pPr>
        <w:pStyle w:val="ListBullet"/>
        <w:rPr>
          <w:lang w:eastAsia="en-AU"/>
        </w:rPr>
      </w:pPr>
      <w:r w:rsidRPr="00FD0029">
        <w:rPr>
          <w:lang w:eastAsia="en-AU"/>
        </w:rPr>
        <w:t>Cook Islands</w:t>
      </w:r>
    </w:p>
    <w:p w14:paraId="26727F28" w14:textId="77777777" w:rsidR="00FD0029" w:rsidRPr="00FD0029" w:rsidRDefault="00FD0029" w:rsidP="00BE78AB">
      <w:pPr>
        <w:pStyle w:val="ListBullet"/>
        <w:rPr>
          <w:lang w:eastAsia="en-AU"/>
        </w:rPr>
      </w:pPr>
      <w:r w:rsidRPr="00FD0029">
        <w:rPr>
          <w:lang w:eastAsia="en-AU"/>
        </w:rPr>
        <w:t>Federated States of Micronesia</w:t>
      </w:r>
    </w:p>
    <w:p w14:paraId="1184F4EE" w14:textId="77777777" w:rsidR="00FD0029" w:rsidRPr="00FD0029" w:rsidRDefault="00FD0029" w:rsidP="00BE78AB">
      <w:pPr>
        <w:pStyle w:val="ListBullet"/>
        <w:rPr>
          <w:lang w:eastAsia="en-AU"/>
        </w:rPr>
      </w:pPr>
      <w:r w:rsidRPr="00FD0029">
        <w:rPr>
          <w:lang w:eastAsia="en-AU"/>
        </w:rPr>
        <w:t>Fiji</w:t>
      </w:r>
    </w:p>
    <w:p w14:paraId="34B5084E" w14:textId="77777777" w:rsidR="00FD0029" w:rsidRPr="00FD0029" w:rsidRDefault="00FD0029" w:rsidP="00BE78AB">
      <w:pPr>
        <w:pStyle w:val="ListBullet"/>
        <w:rPr>
          <w:lang w:eastAsia="en-AU"/>
        </w:rPr>
      </w:pPr>
      <w:r w:rsidRPr="00FD0029">
        <w:rPr>
          <w:lang w:eastAsia="en-AU"/>
        </w:rPr>
        <w:t>French Polynesia</w:t>
      </w:r>
    </w:p>
    <w:p w14:paraId="200C7ADE" w14:textId="77777777" w:rsidR="00FD0029" w:rsidRPr="00FD0029" w:rsidRDefault="00FD0029" w:rsidP="00BE78AB">
      <w:pPr>
        <w:pStyle w:val="ListBullet"/>
        <w:rPr>
          <w:lang w:eastAsia="en-AU"/>
        </w:rPr>
      </w:pPr>
      <w:r w:rsidRPr="00FD0029">
        <w:rPr>
          <w:lang w:eastAsia="en-AU"/>
        </w:rPr>
        <w:t>Guam</w:t>
      </w:r>
    </w:p>
    <w:p w14:paraId="19D26B05" w14:textId="77777777" w:rsidR="00FD0029" w:rsidRPr="00FD0029" w:rsidRDefault="00FD0029" w:rsidP="00BE78AB">
      <w:pPr>
        <w:pStyle w:val="ListBullet"/>
        <w:rPr>
          <w:lang w:eastAsia="en-AU"/>
        </w:rPr>
      </w:pPr>
      <w:r w:rsidRPr="00FD0029">
        <w:rPr>
          <w:lang w:eastAsia="en-AU"/>
        </w:rPr>
        <w:t>Kiribati</w:t>
      </w:r>
    </w:p>
    <w:p w14:paraId="38606686" w14:textId="77777777" w:rsidR="00FD0029" w:rsidRPr="00FD0029" w:rsidRDefault="00FD0029" w:rsidP="00BE78AB">
      <w:pPr>
        <w:pStyle w:val="ListBullet"/>
        <w:rPr>
          <w:lang w:eastAsia="en-AU"/>
        </w:rPr>
      </w:pPr>
      <w:r w:rsidRPr="00FD0029">
        <w:rPr>
          <w:lang w:eastAsia="en-AU"/>
        </w:rPr>
        <w:t>Nauru</w:t>
      </w:r>
    </w:p>
    <w:p w14:paraId="6549F5FF" w14:textId="77777777" w:rsidR="00FD0029" w:rsidRPr="00FD0029" w:rsidRDefault="00FD0029" w:rsidP="00BE78AB">
      <w:pPr>
        <w:pStyle w:val="ListBullet"/>
        <w:rPr>
          <w:lang w:eastAsia="en-AU"/>
        </w:rPr>
      </w:pPr>
      <w:r w:rsidRPr="00FD0029">
        <w:rPr>
          <w:lang w:eastAsia="en-AU"/>
        </w:rPr>
        <w:t>New Caledonia</w:t>
      </w:r>
    </w:p>
    <w:p w14:paraId="616F373D" w14:textId="77777777" w:rsidR="00FD0029" w:rsidRPr="00FD0029" w:rsidRDefault="00FD0029" w:rsidP="00BE78AB">
      <w:pPr>
        <w:pStyle w:val="ListBullet"/>
        <w:rPr>
          <w:lang w:eastAsia="en-AU"/>
        </w:rPr>
      </w:pPr>
      <w:r w:rsidRPr="00FD0029">
        <w:rPr>
          <w:lang w:eastAsia="en-AU"/>
        </w:rPr>
        <w:t>Niue</w:t>
      </w:r>
    </w:p>
    <w:p w14:paraId="02A705D1" w14:textId="77777777" w:rsidR="00FD0029" w:rsidRPr="00FD0029" w:rsidRDefault="00FD0029" w:rsidP="00BE78AB">
      <w:pPr>
        <w:pStyle w:val="ListBullet"/>
        <w:rPr>
          <w:lang w:eastAsia="en-AU"/>
        </w:rPr>
      </w:pPr>
      <w:r w:rsidRPr="00FD0029">
        <w:rPr>
          <w:lang w:eastAsia="en-AU"/>
        </w:rPr>
        <w:t>Palau</w:t>
      </w:r>
    </w:p>
    <w:p w14:paraId="5C96D08E" w14:textId="77777777" w:rsidR="00FD0029" w:rsidRPr="00FD0029" w:rsidRDefault="00FD0029" w:rsidP="00BE78AB">
      <w:pPr>
        <w:pStyle w:val="ListBullet"/>
        <w:rPr>
          <w:lang w:eastAsia="en-AU"/>
        </w:rPr>
      </w:pPr>
      <w:r w:rsidRPr="00FD0029">
        <w:rPr>
          <w:lang w:eastAsia="en-AU"/>
        </w:rPr>
        <w:t>Papua New Guinea</w:t>
      </w:r>
    </w:p>
    <w:p w14:paraId="20CBC92F" w14:textId="77777777" w:rsidR="00FD0029" w:rsidRPr="00FD0029" w:rsidRDefault="00FD0029" w:rsidP="00BE78AB">
      <w:pPr>
        <w:pStyle w:val="ListBullet"/>
        <w:rPr>
          <w:lang w:eastAsia="en-AU"/>
        </w:rPr>
      </w:pPr>
      <w:r w:rsidRPr="00FD0029">
        <w:rPr>
          <w:lang w:eastAsia="en-AU"/>
        </w:rPr>
        <w:t>Pitcairn Island</w:t>
      </w:r>
    </w:p>
    <w:p w14:paraId="44F1C247" w14:textId="77777777" w:rsidR="00FD0029" w:rsidRPr="00FD0029" w:rsidRDefault="00FD0029" w:rsidP="00BE78AB">
      <w:pPr>
        <w:pStyle w:val="ListBullet"/>
        <w:rPr>
          <w:lang w:eastAsia="en-AU"/>
        </w:rPr>
      </w:pPr>
      <w:r w:rsidRPr="00FD0029">
        <w:rPr>
          <w:lang w:eastAsia="en-AU"/>
        </w:rPr>
        <w:t>Republic of the Marshall Islands</w:t>
      </w:r>
    </w:p>
    <w:p w14:paraId="09B6EC19" w14:textId="77777777" w:rsidR="00FD0029" w:rsidRPr="00FD0029" w:rsidRDefault="00FD0029" w:rsidP="00BE78AB">
      <w:pPr>
        <w:pStyle w:val="ListBullet"/>
        <w:rPr>
          <w:lang w:eastAsia="en-AU"/>
        </w:rPr>
      </w:pPr>
      <w:r w:rsidRPr="00FD0029">
        <w:rPr>
          <w:lang w:eastAsia="en-AU"/>
        </w:rPr>
        <w:t>Samoa</w:t>
      </w:r>
    </w:p>
    <w:p w14:paraId="498C2770" w14:textId="77777777" w:rsidR="00FD0029" w:rsidRPr="00FD0029" w:rsidRDefault="00FD0029" w:rsidP="00BE78AB">
      <w:pPr>
        <w:pStyle w:val="ListBullet"/>
        <w:rPr>
          <w:lang w:eastAsia="en-AU"/>
        </w:rPr>
      </w:pPr>
      <w:r w:rsidRPr="00FD0029">
        <w:rPr>
          <w:lang w:eastAsia="en-AU"/>
        </w:rPr>
        <w:t>Solomon Islands</w:t>
      </w:r>
    </w:p>
    <w:p w14:paraId="20D1E1E9" w14:textId="77777777" w:rsidR="00FD0029" w:rsidRPr="00FD0029" w:rsidRDefault="00FD0029" w:rsidP="00BE78AB">
      <w:pPr>
        <w:pStyle w:val="ListBullet"/>
        <w:rPr>
          <w:lang w:eastAsia="en-AU"/>
        </w:rPr>
      </w:pPr>
      <w:r w:rsidRPr="00FD0029">
        <w:rPr>
          <w:lang w:eastAsia="en-AU"/>
        </w:rPr>
        <w:t>Tokelau</w:t>
      </w:r>
    </w:p>
    <w:p w14:paraId="2ED4628A" w14:textId="77777777" w:rsidR="00FD0029" w:rsidRPr="00FD0029" w:rsidRDefault="00FD0029" w:rsidP="00BE78AB">
      <w:pPr>
        <w:pStyle w:val="ListBullet"/>
        <w:rPr>
          <w:lang w:eastAsia="en-AU"/>
        </w:rPr>
      </w:pPr>
      <w:r w:rsidRPr="00FD0029">
        <w:rPr>
          <w:lang w:eastAsia="en-AU"/>
        </w:rPr>
        <w:t>Tonga</w:t>
      </w:r>
    </w:p>
    <w:p w14:paraId="24D51922" w14:textId="77777777" w:rsidR="00FD0029" w:rsidRPr="00FD0029" w:rsidRDefault="00FD0029" w:rsidP="00BE78AB">
      <w:pPr>
        <w:pStyle w:val="ListBullet"/>
        <w:rPr>
          <w:lang w:eastAsia="en-AU"/>
        </w:rPr>
      </w:pPr>
      <w:r w:rsidRPr="00FD0029">
        <w:rPr>
          <w:lang w:eastAsia="en-AU"/>
        </w:rPr>
        <w:t>Tuvalu</w:t>
      </w:r>
    </w:p>
    <w:p w14:paraId="1E31EE64" w14:textId="77777777" w:rsidR="00FD0029" w:rsidRPr="00FD0029" w:rsidRDefault="00FD0029" w:rsidP="00BE78AB">
      <w:pPr>
        <w:pStyle w:val="ListBullet"/>
        <w:rPr>
          <w:lang w:eastAsia="en-AU"/>
        </w:rPr>
      </w:pPr>
      <w:r w:rsidRPr="00FD0029">
        <w:rPr>
          <w:lang w:eastAsia="en-AU"/>
        </w:rPr>
        <w:t>Vanuatu</w:t>
      </w:r>
    </w:p>
    <w:p w14:paraId="1C9750D2" w14:textId="5CA43DD0" w:rsidR="00FD0029" w:rsidRPr="00306C4F" w:rsidRDefault="00FD0029" w:rsidP="00574F1A">
      <w:pPr>
        <w:pStyle w:val="ListBullet"/>
      </w:pPr>
      <w:r w:rsidRPr="00FD0029">
        <w:rPr>
          <w:lang w:eastAsia="en-AU"/>
        </w:rPr>
        <w:t>Wallis and Futuna</w:t>
      </w:r>
    </w:p>
    <w:sectPr w:rsidR="00FD0029" w:rsidRPr="00306C4F" w:rsidSect="00EF18F6">
      <w:headerReference w:type="even" r:id="rId24"/>
      <w:headerReference w:type="default" r:id="rId25"/>
      <w:footerReference w:type="default" r:id="rId26"/>
      <w:headerReference w:type="first" r:id="rId27"/>
      <w:pgSz w:w="11906" w:h="16838"/>
      <w:pgMar w:top="1418" w:right="1418" w:bottom="1418" w:left="1418" w:header="567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24697" w14:textId="77777777" w:rsidR="0068578C" w:rsidRDefault="0068578C">
      <w:r>
        <w:separator/>
      </w:r>
    </w:p>
    <w:p w14:paraId="67CAC361" w14:textId="77777777" w:rsidR="0068578C" w:rsidRDefault="0068578C"/>
    <w:p w14:paraId="68B646BD" w14:textId="77777777" w:rsidR="0068578C" w:rsidRDefault="0068578C"/>
    <w:p w14:paraId="33C4AD15" w14:textId="77777777" w:rsidR="0068578C" w:rsidRDefault="0068578C"/>
  </w:endnote>
  <w:endnote w:type="continuationSeparator" w:id="0">
    <w:p w14:paraId="3AF8F042" w14:textId="77777777" w:rsidR="0068578C" w:rsidRDefault="0068578C">
      <w:r>
        <w:continuationSeparator/>
      </w:r>
    </w:p>
    <w:p w14:paraId="7B25F262" w14:textId="77777777" w:rsidR="0068578C" w:rsidRDefault="0068578C"/>
    <w:p w14:paraId="79D094B5" w14:textId="77777777" w:rsidR="0068578C" w:rsidRDefault="0068578C"/>
    <w:p w14:paraId="51E5CE60" w14:textId="77777777" w:rsidR="0068578C" w:rsidRDefault="0068578C"/>
  </w:endnote>
  <w:endnote w:type="continuationNotice" w:id="1">
    <w:p w14:paraId="2A372899" w14:textId="77777777" w:rsidR="0068578C" w:rsidRDefault="0068578C">
      <w:pPr>
        <w:pStyle w:val="Footer"/>
      </w:pPr>
    </w:p>
    <w:p w14:paraId="211D4708" w14:textId="77777777" w:rsidR="0068578C" w:rsidRDefault="0068578C"/>
    <w:p w14:paraId="7B3AC263" w14:textId="77777777" w:rsidR="0068578C" w:rsidRDefault="0068578C"/>
    <w:p w14:paraId="184050EB" w14:textId="77777777" w:rsidR="0068578C" w:rsidRDefault="006857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E78EC" w14:textId="77777777" w:rsidR="009B6A71" w:rsidRDefault="009B6A71">
    <w:pPr>
      <w:pStyle w:val="Footer"/>
    </w:pPr>
    <w:r w:rsidRPr="00DE0AAE">
      <w:t>Department of Agriculture, Fisheries and Forestry</w:t>
    </w:r>
  </w:p>
  <w:p w14:paraId="47B2EF0C" w14:textId="44ADF215" w:rsidR="009B6A71" w:rsidRDefault="009B6A71" w:rsidP="002B048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F6B25" w14:textId="77777777" w:rsidR="00B861B4" w:rsidRDefault="00DE0AAE">
    <w:pPr>
      <w:pStyle w:val="Footer"/>
    </w:pPr>
    <w:r w:rsidRPr="00DE0AAE">
      <w:t>Department of Agriculture, Fisheries and Forestry</w:t>
    </w:r>
  </w:p>
  <w:p w14:paraId="4119788E" w14:textId="560828E0" w:rsidR="00EF59C6" w:rsidRDefault="00B861B4" w:rsidP="00BE78AB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5E25BD">
      <w:rPr>
        <w:noProof/>
      </w:rPr>
      <w:t>12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4014F" w14:textId="77777777" w:rsidR="0068578C" w:rsidRDefault="0068578C">
      <w:r>
        <w:separator/>
      </w:r>
    </w:p>
    <w:p w14:paraId="54133327" w14:textId="77777777" w:rsidR="0068578C" w:rsidRDefault="0068578C"/>
    <w:p w14:paraId="7F9E37E1" w14:textId="77777777" w:rsidR="0068578C" w:rsidRDefault="0068578C"/>
    <w:p w14:paraId="73D2B556" w14:textId="77777777" w:rsidR="0068578C" w:rsidRDefault="0068578C"/>
  </w:footnote>
  <w:footnote w:type="continuationSeparator" w:id="0">
    <w:p w14:paraId="53FE158B" w14:textId="77777777" w:rsidR="0068578C" w:rsidRDefault="0068578C">
      <w:r>
        <w:continuationSeparator/>
      </w:r>
    </w:p>
    <w:p w14:paraId="558D52A2" w14:textId="77777777" w:rsidR="0068578C" w:rsidRDefault="0068578C"/>
    <w:p w14:paraId="29A7E23A" w14:textId="77777777" w:rsidR="0068578C" w:rsidRDefault="0068578C"/>
    <w:p w14:paraId="289E8897" w14:textId="77777777" w:rsidR="0068578C" w:rsidRDefault="0068578C"/>
  </w:footnote>
  <w:footnote w:type="continuationNotice" w:id="1">
    <w:p w14:paraId="1D02B226" w14:textId="77777777" w:rsidR="0068578C" w:rsidRDefault="0068578C">
      <w:pPr>
        <w:pStyle w:val="Footer"/>
      </w:pPr>
    </w:p>
    <w:p w14:paraId="0B790F82" w14:textId="77777777" w:rsidR="0068578C" w:rsidRDefault="0068578C"/>
    <w:p w14:paraId="3E54AE71" w14:textId="77777777" w:rsidR="0068578C" w:rsidRDefault="0068578C"/>
    <w:p w14:paraId="51B4F214" w14:textId="77777777" w:rsidR="0068578C" w:rsidRDefault="006857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E070C" w14:textId="77777777" w:rsidR="009B6A71" w:rsidRDefault="009B6A71">
    <w:pPr>
      <w:pStyle w:val="Header"/>
    </w:pPr>
  </w:p>
  <w:p w14:paraId="718139AA" w14:textId="77777777" w:rsidR="009B6A71" w:rsidRDefault="009B6A7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892A3" w14:textId="0DFF1A22" w:rsidR="009B6A71" w:rsidRDefault="009B6A71" w:rsidP="008C2ACE">
    <w:pPr>
      <w:pStyle w:val="Header"/>
    </w:pPr>
    <w:r w:rsidRPr="00895BDC">
      <w:t>Pacific Biosecurity Strategy 2022 to 2027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EECCE" w14:textId="77777777" w:rsidR="009B6A71" w:rsidRDefault="009B6A71">
    <w:pPr>
      <w:pStyle w:val="Header"/>
      <w:jc w:val="left"/>
    </w:pPr>
    <w:r>
      <w:rPr>
        <w:noProof/>
      </w:rPr>
      <w:drawing>
        <wp:anchor distT="0" distB="0" distL="114300" distR="114300" simplePos="0" relativeHeight="251662848" behindDoc="1" locked="0" layoutInCell="1" allowOverlap="1" wp14:anchorId="1DA31140" wp14:editId="2E0D00A7">
          <wp:simplePos x="0" y="0"/>
          <wp:positionH relativeFrom="page">
            <wp:align>left</wp:align>
          </wp:positionH>
          <wp:positionV relativeFrom="paragraph">
            <wp:posOffset>-360975</wp:posOffset>
          </wp:positionV>
          <wp:extent cx="7566403" cy="10702799"/>
          <wp:effectExtent l="0" t="0" r="0" b="3810"/>
          <wp:wrapNone/>
          <wp:docPr id="3" name="Picture 3" descr="Australian Government Department of Agriculture, Fisheries and Forestr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ustralian Government Department of Agriculture, Fisheries and Forestry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403" cy="10702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1F4E4" w14:textId="7E69DD04" w:rsidR="00B861B4" w:rsidRDefault="00B861B4">
    <w:pPr>
      <w:pStyle w:val="Header"/>
    </w:pPr>
  </w:p>
  <w:p w14:paraId="18B6DA43" w14:textId="77777777" w:rsidR="00E02CAB" w:rsidRDefault="00E02CAB"/>
  <w:p w14:paraId="3C45E68A" w14:textId="77777777" w:rsidR="00EF59C6" w:rsidRDefault="00EF59C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3CD04" w14:textId="7053B308" w:rsidR="00EF59C6" w:rsidRDefault="00895BDC" w:rsidP="00BE78AB">
    <w:pPr>
      <w:pStyle w:val="Header"/>
    </w:pPr>
    <w:r w:rsidRPr="00895BDC">
      <w:t>Pacific Biosecurity Strategy 2022 to 2027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D129D" w14:textId="11DDA0AE" w:rsidR="00B861B4" w:rsidRDefault="00DC41DE">
    <w:pPr>
      <w:pStyle w:val="Header"/>
      <w:jc w:val="left"/>
    </w:pPr>
    <w:r>
      <w:rPr>
        <w:noProof/>
      </w:rPr>
      <w:drawing>
        <wp:anchor distT="0" distB="0" distL="114300" distR="114300" simplePos="0" relativeHeight="251660800" behindDoc="1" locked="0" layoutInCell="1" allowOverlap="1" wp14:anchorId="5C7B5460" wp14:editId="0260D39A">
          <wp:simplePos x="0" y="0"/>
          <wp:positionH relativeFrom="page">
            <wp:align>left</wp:align>
          </wp:positionH>
          <wp:positionV relativeFrom="paragraph">
            <wp:posOffset>-360975</wp:posOffset>
          </wp:positionV>
          <wp:extent cx="7566403" cy="10702800"/>
          <wp:effectExtent l="0" t="0" r="0" b="381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403" cy="107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B588B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8C2ED7"/>
    <w:multiLevelType w:val="hybridMultilevel"/>
    <w:tmpl w:val="5ACCCD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56DAA"/>
    <w:multiLevelType w:val="hybridMultilevel"/>
    <w:tmpl w:val="1F60E8A6"/>
    <w:lvl w:ilvl="0" w:tplc="E528DA04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93D656A"/>
    <w:multiLevelType w:val="hybridMultilevel"/>
    <w:tmpl w:val="D95A10B6"/>
    <w:lvl w:ilvl="0" w:tplc="F49459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87691"/>
    <w:multiLevelType w:val="hybridMultilevel"/>
    <w:tmpl w:val="1A1637DC"/>
    <w:lvl w:ilvl="0" w:tplc="0C090015">
      <w:start w:val="1"/>
      <w:numFmt w:val="upp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E20078"/>
    <w:multiLevelType w:val="multilevel"/>
    <w:tmpl w:val="32E6FFFA"/>
    <w:styleLink w:val="Headinglist"/>
    <w:lvl w:ilvl="0">
      <w:start w:val="1"/>
      <w:numFmt w:val="decimal"/>
      <w:pStyle w:val="Heading2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3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pStyle w:val="Heading4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DDC0FC9"/>
    <w:multiLevelType w:val="hybridMultilevel"/>
    <w:tmpl w:val="914EC75C"/>
    <w:lvl w:ilvl="0" w:tplc="F49459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E2E4A"/>
    <w:multiLevelType w:val="hybridMultilevel"/>
    <w:tmpl w:val="6626592E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0342E"/>
    <w:multiLevelType w:val="multilevel"/>
    <w:tmpl w:val="ED2C4812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0" w15:restartNumberingAfterBreak="0">
    <w:nsid w:val="595C6A60"/>
    <w:multiLevelType w:val="hybridMultilevel"/>
    <w:tmpl w:val="441C7532"/>
    <w:lvl w:ilvl="0" w:tplc="F49459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8B541B"/>
    <w:multiLevelType w:val="multilevel"/>
    <w:tmpl w:val="6614A676"/>
    <w:lvl w:ilvl="0">
      <w:start w:val="1"/>
      <w:numFmt w:val="bullet"/>
      <w:pStyle w:val="Table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A0241B28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8F3B04"/>
    <w:multiLevelType w:val="multilevel"/>
    <w:tmpl w:val="BE78A4F8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4" w15:restartNumberingAfterBreak="0">
    <w:nsid w:val="62FF2A6A"/>
    <w:multiLevelType w:val="multilevel"/>
    <w:tmpl w:val="D31E9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CE6EDF"/>
    <w:multiLevelType w:val="hybridMultilevel"/>
    <w:tmpl w:val="133093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1759C2"/>
    <w:multiLevelType w:val="hybridMultilevel"/>
    <w:tmpl w:val="6ED41A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CB18B9"/>
    <w:multiLevelType w:val="hybridMultilevel"/>
    <w:tmpl w:val="70A867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057155">
    <w:abstractNumId w:val="12"/>
  </w:num>
  <w:num w:numId="2" w16cid:durableId="1639215797">
    <w:abstractNumId w:val="13"/>
  </w:num>
  <w:num w:numId="3" w16cid:durableId="1643265712">
    <w:abstractNumId w:val="5"/>
  </w:num>
  <w:num w:numId="4" w16cid:durableId="626202022">
    <w:abstractNumId w:val="8"/>
  </w:num>
  <w:num w:numId="5" w16cid:durableId="281765065">
    <w:abstractNumId w:val="11"/>
  </w:num>
  <w:num w:numId="6" w16cid:durableId="2092000146">
    <w:abstractNumId w:val="7"/>
  </w:num>
  <w:num w:numId="7" w16cid:durableId="864908900">
    <w:abstractNumId w:val="5"/>
    <w:lvlOverride w:ilvl="0">
      <w:lvl w:ilvl="0">
        <w:start w:val="1"/>
        <w:numFmt w:val="decimal"/>
        <w:pStyle w:val="Heading2"/>
        <w:lvlText w:val="%1"/>
        <w:lvlJc w:val="left"/>
        <w:pPr>
          <w:ind w:left="720" w:hanging="720"/>
        </w:pPr>
        <w:rPr>
          <w:color w:val="auto"/>
        </w:rPr>
      </w:lvl>
    </w:lvlOverride>
  </w:num>
  <w:num w:numId="8" w16cid:durableId="1469322956">
    <w:abstractNumId w:val="12"/>
  </w:num>
  <w:num w:numId="9" w16cid:durableId="1341661948">
    <w:abstractNumId w:val="13"/>
  </w:num>
  <w:num w:numId="10" w16cid:durableId="1983389004">
    <w:abstractNumId w:val="2"/>
  </w:num>
  <w:num w:numId="11" w16cid:durableId="1510218002">
    <w:abstractNumId w:val="9"/>
  </w:num>
  <w:num w:numId="12" w16cid:durableId="1031104142">
    <w:abstractNumId w:val="15"/>
  </w:num>
  <w:num w:numId="13" w16cid:durableId="447504843">
    <w:abstractNumId w:val="16"/>
  </w:num>
  <w:num w:numId="14" w16cid:durableId="2125690232">
    <w:abstractNumId w:val="1"/>
  </w:num>
  <w:num w:numId="15" w16cid:durableId="1128665240">
    <w:abstractNumId w:val="4"/>
  </w:num>
  <w:num w:numId="16" w16cid:durableId="1404137118">
    <w:abstractNumId w:val="6"/>
  </w:num>
  <w:num w:numId="17" w16cid:durableId="473332984">
    <w:abstractNumId w:val="3"/>
  </w:num>
  <w:num w:numId="18" w16cid:durableId="455637814">
    <w:abstractNumId w:val="10"/>
  </w:num>
  <w:num w:numId="19" w16cid:durableId="769619494">
    <w:abstractNumId w:val="0"/>
  </w:num>
  <w:num w:numId="20" w16cid:durableId="126626811">
    <w:abstractNumId w:val="14"/>
  </w:num>
  <w:num w:numId="21" w16cid:durableId="355817764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88"/>
    <w:rsid w:val="000005CE"/>
    <w:rsid w:val="000032AD"/>
    <w:rsid w:val="00006D71"/>
    <w:rsid w:val="000203E9"/>
    <w:rsid w:val="00025F33"/>
    <w:rsid w:val="00036F8C"/>
    <w:rsid w:val="00043D85"/>
    <w:rsid w:val="00084CA1"/>
    <w:rsid w:val="000869AB"/>
    <w:rsid w:val="000942EE"/>
    <w:rsid w:val="00097FA8"/>
    <w:rsid w:val="000A1447"/>
    <w:rsid w:val="000A7AAF"/>
    <w:rsid w:val="000B1453"/>
    <w:rsid w:val="000E0CE3"/>
    <w:rsid w:val="001013AD"/>
    <w:rsid w:val="00102846"/>
    <w:rsid w:val="001116C3"/>
    <w:rsid w:val="0014130C"/>
    <w:rsid w:val="0016201B"/>
    <w:rsid w:val="001641A3"/>
    <w:rsid w:val="001728AE"/>
    <w:rsid w:val="00176594"/>
    <w:rsid w:val="0017699C"/>
    <w:rsid w:val="00183D00"/>
    <w:rsid w:val="001B62D1"/>
    <w:rsid w:val="001C1865"/>
    <w:rsid w:val="001C782B"/>
    <w:rsid w:val="00204B71"/>
    <w:rsid w:val="00206B9E"/>
    <w:rsid w:val="0021649B"/>
    <w:rsid w:val="00216FB5"/>
    <w:rsid w:val="00222137"/>
    <w:rsid w:val="00232F52"/>
    <w:rsid w:val="002607D0"/>
    <w:rsid w:val="002609D8"/>
    <w:rsid w:val="00263CB6"/>
    <w:rsid w:val="00266B5E"/>
    <w:rsid w:val="00266C5A"/>
    <w:rsid w:val="00274FFC"/>
    <w:rsid w:val="00281BB6"/>
    <w:rsid w:val="00282E88"/>
    <w:rsid w:val="00284C5A"/>
    <w:rsid w:val="00284D14"/>
    <w:rsid w:val="00286307"/>
    <w:rsid w:val="00290C49"/>
    <w:rsid w:val="002A11F2"/>
    <w:rsid w:val="002A65EF"/>
    <w:rsid w:val="002B0483"/>
    <w:rsid w:val="002D5B0A"/>
    <w:rsid w:val="002D67C2"/>
    <w:rsid w:val="002D71BE"/>
    <w:rsid w:val="002F1457"/>
    <w:rsid w:val="003024BD"/>
    <w:rsid w:val="00304AB4"/>
    <w:rsid w:val="003214B3"/>
    <w:rsid w:val="00324BD0"/>
    <w:rsid w:val="0032665B"/>
    <w:rsid w:val="00330255"/>
    <w:rsid w:val="00330A36"/>
    <w:rsid w:val="00341111"/>
    <w:rsid w:val="00350D80"/>
    <w:rsid w:val="003537AD"/>
    <w:rsid w:val="00354C6A"/>
    <w:rsid w:val="00355B3A"/>
    <w:rsid w:val="00360039"/>
    <w:rsid w:val="00364A4A"/>
    <w:rsid w:val="003654AC"/>
    <w:rsid w:val="0037073B"/>
    <w:rsid w:val="00395407"/>
    <w:rsid w:val="00397E1A"/>
    <w:rsid w:val="003A6F9D"/>
    <w:rsid w:val="003A789A"/>
    <w:rsid w:val="003B1E29"/>
    <w:rsid w:val="003C1C47"/>
    <w:rsid w:val="003C1FCE"/>
    <w:rsid w:val="003D11D6"/>
    <w:rsid w:val="003D7216"/>
    <w:rsid w:val="003E5735"/>
    <w:rsid w:val="003F4050"/>
    <w:rsid w:val="003F58F8"/>
    <w:rsid w:val="00410B27"/>
    <w:rsid w:val="004119A5"/>
    <w:rsid w:val="00432172"/>
    <w:rsid w:val="00441BFD"/>
    <w:rsid w:val="00446881"/>
    <w:rsid w:val="00451B82"/>
    <w:rsid w:val="004572E8"/>
    <w:rsid w:val="00461957"/>
    <w:rsid w:val="0046625C"/>
    <w:rsid w:val="00470C21"/>
    <w:rsid w:val="00476C9E"/>
    <w:rsid w:val="00480731"/>
    <w:rsid w:val="00491E5F"/>
    <w:rsid w:val="00496D0B"/>
    <w:rsid w:val="004A775D"/>
    <w:rsid w:val="004B1D54"/>
    <w:rsid w:val="004B51E6"/>
    <w:rsid w:val="004D197B"/>
    <w:rsid w:val="004D50C3"/>
    <w:rsid w:val="004E0F77"/>
    <w:rsid w:val="004E3EF8"/>
    <w:rsid w:val="004F3F2A"/>
    <w:rsid w:val="005043EB"/>
    <w:rsid w:val="00517A68"/>
    <w:rsid w:val="0057351A"/>
    <w:rsid w:val="00574F1A"/>
    <w:rsid w:val="00577E27"/>
    <w:rsid w:val="0058035C"/>
    <w:rsid w:val="005A7193"/>
    <w:rsid w:val="005B2D7A"/>
    <w:rsid w:val="005C36F6"/>
    <w:rsid w:val="005D3790"/>
    <w:rsid w:val="005E25BD"/>
    <w:rsid w:val="005F4028"/>
    <w:rsid w:val="00605059"/>
    <w:rsid w:val="006138D1"/>
    <w:rsid w:val="00630C97"/>
    <w:rsid w:val="0063470C"/>
    <w:rsid w:val="00635C53"/>
    <w:rsid w:val="00643C78"/>
    <w:rsid w:val="006440A9"/>
    <w:rsid w:val="00657D04"/>
    <w:rsid w:val="00664B6F"/>
    <w:rsid w:val="00670E90"/>
    <w:rsid w:val="006713A7"/>
    <w:rsid w:val="00680970"/>
    <w:rsid w:val="0068578C"/>
    <w:rsid w:val="00690D4B"/>
    <w:rsid w:val="00690DF0"/>
    <w:rsid w:val="006B222A"/>
    <w:rsid w:val="006C16FF"/>
    <w:rsid w:val="006C261F"/>
    <w:rsid w:val="006C5145"/>
    <w:rsid w:val="006E6712"/>
    <w:rsid w:val="006F6656"/>
    <w:rsid w:val="007053E8"/>
    <w:rsid w:val="007169D6"/>
    <w:rsid w:val="007303A7"/>
    <w:rsid w:val="0073329A"/>
    <w:rsid w:val="007550DE"/>
    <w:rsid w:val="00761FCF"/>
    <w:rsid w:val="00764D6A"/>
    <w:rsid w:val="00773056"/>
    <w:rsid w:val="007A5D10"/>
    <w:rsid w:val="007B022A"/>
    <w:rsid w:val="007B66C4"/>
    <w:rsid w:val="007B7E13"/>
    <w:rsid w:val="007C1350"/>
    <w:rsid w:val="007C1B1D"/>
    <w:rsid w:val="007C358A"/>
    <w:rsid w:val="007D7D06"/>
    <w:rsid w:val="007E2BC6"/>
    <w:rsid w:val="007E39EF"/>
    <w:rsid w:val="007E6D51"/>
    <w:rsid w:val="007F410F"/>
    <w:rsid w:val="00800FE1"/>
    <w:rsid w:val="00820F04"/>
    <w:rsid w:val="008304B7"/>
    <w:rsid w:val="00831DED"/>
    <w:rsid w:val="00833353"/>
    <w:rsid w:val="0084011B"/>
    <w:rsid w:val="0084330E"/>
    <w:rsid w:val="0086241E"/>
    <w:rsid w:val="00863135"/>
    <w:rsid w:val="008770E2"/>
    <w:rsid w:val="00887E76"/>
    <w:rsid w:val="00892CC1"/>
    <w:rsid w:val="00895BDC"/>
    <w:rsid w:val="00897B06"/>
    <w:rsid w:val="008A0EE3"/>
    <w:rsid w:val="008B14E1"/>
    <w:rsid w:val="008B75DC"/>
    <w:rsid w:val="008C2ACE"/>
    <w:rsid w:val="008C584E"/>
    <w:rsid w:val="008D619B"/>
    <w:rsid w:val="008F723B"/>
    <w:rsid w:val="009020C3"/>
    <w:rsid w:val="00920CE5"/>
    <w:rsid w:val="00923CC9"/>
    <w:rsid w:val="009407D8"/>
    <w:rsid w:val="0096448F"/>
    <w:rsid w:val="009B4352"/>
    <w:rsid w:val="009B6A71"/>
    <w:rsid w:val="009B774A"/>
    <w:rsid w:val="009B790D"/>
    <w:rsid w:val="009D2889"/>
    <w:rsid w:val="009D5007"/>
    <w:rsid w:val="009E2823"/>
    <w:rsid w:val="009E4776"/>
    <w:rsid w:val="009F2B71"/>
    <w:rsid w:val="00A063B4"/>
    <w:rsid w:val="00A25A9E"/>
    <w:rsid w:val="00A26517"/>
    <w:rsid w:val="00A268F5"/>
    <w:rsid w:val="00A306C3"/>
    <w:rsid w:val="00A32E25"/>
    <w:rsid w:val="00A411A8"/>
    <w:rsid w:val="00A50EBC"/>
    <w:rsid w:val="00A532E4"/>
    <w:rsid w:val="00A836AD"/>
    <w:rsid w:val="00A85A48"/>
    <w:rsid w:val="00A91307"/>
    <w:rsid w:val="00AA1D58"/>
    <w:rsid w:val="00AA5310"/>
    <w:rsid w:val="00AA6670"/>
    <w:rsid w:val="00AB7911"/>
    <w:rsid w:val="00AC35F5"/>
    <w:rsid w:val="00AE4237"/>
    <w:rsid w:val="00AF1997"/>
    <w:rsid w:val="00AF29F8"/>
    <w:rsid w:val="00AF4729"/>
    <w:rsid w:val="00B02B9B"/>
    <w:rsid w:val="00B2557D"/>
    <w:rsid w:val="00B36994"/>
    <w:rsid w:val="00B5740E"/>
    <w:rsid w:val="00B63B5D"/>
    <w:rsid w:val="00B84485"/>
    <w:rsid w:val="00B861B4"/>
    <w:rsid w:val="00B97E61"/>
    <w:rsid w:val="00BA14F3"/>
    <w:rsid w:val="00BB57FB"/>
    <w:rsid w:val="00BC102C"/>
    <w:rsid w:val="00BC1616"/>
    <w:rsid w:val="00BD671A"/>
    <w:rsid w:val="00BE561A"/>
    <w:rsid w:val="00BE6033"/>
    <w:rsid w:val="00BE78AB"/>
    <w:rsid w:val="00BF2E2C"/>
    <w:rsid w:val="00BF4E55"/>
    <w:rsid w:val="00C003C5"/>
    <w:rsid w:val="00C00412"/>
    <w:rsid w:val="00C02519"/>
    <w:rsid w:val="00C11FE8"/>
    <w:rsid w:val="00C12ACE"/>
    <w:rsid w:val="00C26E26"/>
    <w:rsid w:val="00C33358"/>
    <w:rsid w:val="00C416EC"/>
    <w:rsid w:val="00C4227F"/>
    <w:rsid w:val="00C80D58"/>
    <w:rsid w:val="00C83972"/>
    <w:rsid w:val="00C84903"/>
    <w:rsid w:val="00C85C62"/>
    <w:rsid w:val="00CA3332"/>
    <w:rsid w:val="00CB73F1"/>
    <w:rsid w:val="00CD7864"/>
    <w:rsid w:val="00CF180B"/>
    <w:rsid w:val="00CF4F5E"/>
    <w:rsid w:val="00D05F23"/>
    <w:rsid w:val="00D07F7D"/>
    <w:rsid w:val="00D1032B"/>
    <w:rsid w:val="00D20DAF"/>
    <w:rsid w:val="00D30B4D"/>
    <w:rsid w:val="00D47121"/>
    <w:rsid w:val="00D609CC"/>
    <w:rsid w:val="00D6561B"/>
    <w:rsid w:val="00D65CD1"/>
    <w:rsid w:val="00D6626A"/>
    <w:rsid w:val="00D67704"/>
    <w:rsid w:val="00D70A27"/>
    <w:rsid w:val="00D83567"/>
    <w:rsid w:val="00DA1F76"/>
    <w:rsid w:val="00DA71B8"/>
    <w:rsid w:val="00DB31EB"/>
    <w:rsid w:val="00DB71A3"/>
    <w:rsid w:val="00DC41DE"/>
    <w:rsid w:val="00DC55BE"/>
    <w:rsid w:val="00DC7AA9"/>
    <w:rsid w:val="00DD38D4"/>
    <w:rsid w:val="00DD7075"/>
    <w:rsid w:val="00DE0AAE"/>
    <w:rsid w:val="00DE19FA"/>
    <w:rsid w:val="00E02CAB"/>
    <w:rsid w:val="00E11AC7"/>
    <w:rsid w:val="00E20810"/>
    <w:rsid w:val="00E36B04"/>
    <w:rsid w:val="00E87CEC"/>
    <w:rsid w:val="00E91D72"/>
    <w:rsid w:val="00E95919"/>
    <w:rsid w:val="00E97CE1"/>
    <w:rsid w:val="00E97F13"/>
    <w:rsid w:val="00EA0A49"/>
    <w:rsid w:val="00EA38AD"/>
    <w:rsid w:val="00EA3E22"/>
    <w:rsid w:val="00EC40D3"/>
    <w:rsid w:val="00EE12F4"/>
    <w:rsid w:val="00EE4833"/>
    <w:rsid w:val="00EF18F6"/>
    <w:rsid w:val="00EF55CC"/>
    <w:rsid w:val="00EF59C6"/>
    <w:rsid w:val="00F02EAA"/>
    <w:rsid w:val="00F04729"/>
    <w:rsid w:val="00F5304F"/>
    <w:rsid w:val="00F672D4"/>
    <w:rsid w:val="00F82F27"/>
    <w:rsid w:val="00F84BC4"/>
    <w:rsid w:val="00F85579"/>
    <w:rsid w:val="00FA0B2E"/>
    <w:rsid w:val="00FA2743"/>
    <w:rsid w:val="00FC1759"/>
    <w:rsid w:val="00FD0029"/>
    <w:rsid w:val="00FE274C"/>
    <w:rsid w:val="00FE64BC"/>
    <w:rsid w:val="00FF09A7"/>
    <w:rsid w:val="00FF4B19"/>
    <w:rsid w:val="00FF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940147"/>
  <w15:docId w15:val="{A9C00781-AAEF-48FA-8B78-D0F6C3D6F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26" w:unhideWhenUsed="1"/>
    <w:lsdException w:name="footer" w:semiHidden="1" w:uiPriority="27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locked="1" w:uiPriority="21" w:qFormat="1"/>
    <w:lsdException w:name="Subtle Reference" w:semiHidden="1" w:uiPriority="31" w:qFormat="1"/>
    <w:lsdException w:name="Intense Reference" w:locked="1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1E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7E39EF"/>
    <w:pPr>
      <w:widowControl w:val="0"/>
      <w:spacing w:before="360"/>
      <w:contextualSpacing/>
      <w:outlineLvl w:val="0"/>
    </w:pPr>
    <w:rPr>
      <w:rFonts w:ascii="Calibri" w:eastAsiaTheme="minorHAnsi" w:hAnsi="Calibri" w:cstheme="minorBidi"/>
      <w:b/>
      <w:bCs/>
      <w:spacing w:val="5"/>
      <w:kern w:val="28"/>
      <w:sz w:val="72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rsid w:val="00036F8C"/>
    <w:pPr>
      <w:keepNext/>
      <w:numPr>
        <w:numId w:val="7"/>
      </w:numPr>
      <w:spacing w:after="240" w:line="240" w:lineRule="auto"/>
      <w:contextualSpacing/>
      <w:outlineLvl w:val="1"/>
    </w:pPr>
    <w:rPr>
      <w:rFonts w:ascii="Calibri" w:eastAsiaTheme="minorEastAsia" w:hAnsi="Calibri"/>
      <w:bCs/>
      <w:color w:val="000000" w:themeColor="text1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441BFD"/>
    <w:pPr>
      <w:keepNext/>
      <w:keepLines/>
      <w:numPr>
        <w:ilvl w:val="1"/>
        <w:numId w:val="7"/>
      </w:numPr>
      <w:outlineLvl w:val="2"/>
    </w:pPr>
    <w:rPr>
      <w:rFonts w:ascii="Calibri" w:eastAsia="Times New Roman" w:hAnsi="Calibri"/>
      <w:b/>
      <w:bCs/>
      <w:sz w:val="36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rsid w:val="00441BFD"/>
    <w:pPr>
      <w:keepNext/>
      <w:numPr>
        <w:ilvl w:val="2"/>
        <w:numId w:val="7"/>
      </w:numPr>
      <w:outlineLvl w:val="3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rsid w:val="00441BFD"/>
    <w:pPr>
      <w:keepNext/>
      <w:keepLines/>
      <w:spacing w:after="0" w:line="240" w:lineRule="auto"/>
      <w:outlineLvl w:val="4"/>
    </w:pPr>
    <w:rPr>
      <w:rFonts w:ascii="Calibri" w:hAnsi="Calibr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DB31E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color w:val="59621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rsid w:val="00441B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41BFD"/>
    <w:rPr>
      <w:rFonts w:asciiTheme="minorHAnsi" w:eastAsiaTheme="minorHAnsi" w:hAnsiTheme="minorHAnsi" w:cstheme="minorBidi"/>
      <w:lang w:eastAsia="en-US"/>
    </w:rPr>
  </w:style>
  <w:style w:type="paragraph" w:styleId="Header">
    <w:name w:val="header"/>
    <w:basedOn w:val="Normal"/>
    <w:link w:val="HeaderChar"/>
    <w:uiPriority w:val="26"/>
    <w:rsid w:val="00441BFD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26"/>
    <w:rsid w:val="00441BFD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27"/>
    <w:rsid w:val="00441BFD"/>
    <w:pPr>
      <w:tabs>
        <w:tab w:val="center" w:pos="4536"/>
      </w:tabs>
      <w:spacing w:after="120"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27"/>
    <w:rsid w:val="00441BFD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41BF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1B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1BFD"/>
    <w:rPr>
      <w:rFonts w:asciiTheme="minorHAnsi" w:eastAsiaTheme="minorHAnsi" w:hAnsi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BFD"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BFD"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441BFD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sid w:val="00441BFD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sid w:val="007E39EF"/>
    <w:rPr>
      <w:rFonts w:ascii="Calibri" w:eastAsiaTheme="minorHAnsi" w:hAnsi="Calibri" w:cstheme="minorBidi"/>
      <w:b/>
      <w:bCs/>
      <w:spacing w:val="5"/>
      <w:kern w:val="28"/>
      <w:sz w:val="7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036F8C"/>
    <w:rPr>
      <w:rFonts w:ascii="Calibri" w:eastAsiaTheme="minorEastAsia" w:hAnsi="Calibri" w:cstheme="minorBidi"/>
      <w:bCs/>
      <w:color w:val="000000" w:themeColor="text1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441BFD"/>
    <w:rPr>
      <w:rFonts w:ascii="Calibri" w:eastAsia="Times New Roman" w:hAnsi="Calibri"/>
      <w:b/>
      <w:bCs/>
      <w:sz w:val="36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441BFD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sid w:val="00441BFD"/>
    <w:rPr>
      <w:rFonts w:ascii="Calibri" w:eastAsiaTheme="minorHAnsi" w:hAnsi="Calibri" w:cstheme="minorBidi"/>
      <w:b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rsid w:val="00441BFD"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sid w:val="00441BFD"/>
    <w:rPr>
      <w:rFonts w:asciiTheme="minorHAnsi" w:eastAsiaTheme="minorHAnsi" w:hAnsi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rsid w:val="00441BFD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 w:after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rsid w:val="00441BFD"/>
    <w:pPr>
      <w:keepNext/>
      <w:spacing w:after="120" w:line="240" w:lineRule="auto"/>
    </w:pPr>
    <w:rPr>
      <w:rFonts w:ascii="Calibri" w:hAnsi="Calibri"/>
      <w:b/>
      <w:bCs/>
      <w:sz w:val="24"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rsid w:val="00441BFD"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rsid w:val="006F6656"/>
    <w:pPr>
      <w:spacing w:before="120"/>
    </w:pPr>
    <w:rPr>
      <w:b w:val="0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23"/>
    <w:rsid w:val="006F6656"/>
    <w:rPr>
      <w:rFonts w:ascii="Calibri" w:eastAsiaTheme="minorHAnsi" w:hAnsi="Calibri" w:cstheme="minorBidi"/>
      <w:bCs/>
      <w:spacing w:val="5"/>
      <w:kern w:val="28"/>
      <w:sz w:val="56"/>
      <w:szCs w:val="56"/>
      <w:lang w:eastAsia="en-US"/>
    </w:rPr>
  </w:style>
  <w:style w:type="paragraph" w:styleId="TOCHeading">
    <w:name w:val="TOC Heading"/>
    <w:next w:val="Normal"/>
    <w:uiPriority w:val="39"/>
    <w:qFormat/>
    <w:rsid w:val="006F6656"/>
    <w:pPr>
      <w:spacing w:before="480" w:line="276" w:lineRule="auto"/>
    </w:pPr>
    <w:rPr>
      <w:rFonts w:ascii="Calibri" w:eastAsiaTheme="minorEastAsia" w:hAnsi="Calibri" w:cstheme="minorBidi"/>
      <w:bCs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rsid w:val="00441BFD"/>
    <w:pPr>
      <w:tabs>
        <w:tab w:val="left" w:pos="426"/>
        <w:tab w:val="right" w:leader="dot" w:pos="9072"/>
      </w:tabs>
      <w:spacing w:before="120" w:after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rsid w:val="00441BFD"/>
    <w:pPr>
      <w:tabs>
        <w:tab w:val="right" w:leader="dot" w:pos="9060"/>
      </w:tabs>
      <w:spacing w:before="120" w:after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rsid w:val="00441BFD"/>
    <w:pPr>
      <w:tabs>
        <w:tab w:val="right" w:leader="dot" w:pos="9072"/>
      </w:tabs>
      <w:spacing w:before="120" w:after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sid w:val="00441BFD"/>
    <w:rPr>
      <w:color w:val="165788"/>
      <w:u w:val="single"/>
    </w:rPr>
  </w:style>
  <w:style w:type="paragraph" w:styleId="ListBullet">
    <w:name w:val="List Bullet"/>
    <w:basedOn w:val="Normal"/>
    <w:uiPriority w:val="99"/>
    <w:qFormat/>
    <w:rsid w:val="00441BFD"/>
    <w:pPr>
      <w:numPr>
        <w:numId w:val="8"/>
      </w:numPr>
      <w:spacing w:before="120" w:after="120"/>
    </w:pPr>
  </w:style>
  <w:style w:type="paragraph" w:styleId="TableofFigures">
    <w:name w:val="table of figures"/>
    <w:basedOn w:val="Normal"/>
    <w:next w:val="Normal"/>
    <w:uiPriority w:val="99"/>
    <w:rsid w:val="00441BFD"/>
    <w:pPr>
      <w:spacing w:before="120" w:after="120" w:line="240" w:lineRule="auto"/>
    </w:pPr>
  </w:style>
  <w:style w:type="paragraph" w:styleId="ListBullet2">
    <w:name w:val="List Bullet 2"/>
    <w:basedOn w:val="Normal"/>
    <w:uiPriority w:val="8"/>
    <w:qFormat/>
    <w:rsid w:val="00441BFD"/>
    <w:pPr>
      <w:numPr>
        <w:ilvl w:val="1"/>
        <w:numId w:val="8"/>
      </w:numPr>
      <w:spacing w:before="120" w:after="120"/>
      <w:contextualSpacing/>
    </w:pPr>
  </w:style>
  <w:style w:type="paragraph" w:styleId="ListNumber">
    <w:name w:val="List Number"/>
    <w:basedOn w:val="Normal"/>
    <w:uiPriority w:val="9"/>
    <w:qFormat/>
    <w:rsid w:val="00441BFD"/>
    <w:pPr>
      <w:numPr>
        <w:numId w:val="9"/>
      </w:numPr>
      <w:tabs>
        <w:tab w:val="left" w:pos="142"/>
      </w:tabs>
      <w:spacing w:before="120" w:after="120"/>
    </w:pPr>
  </w:style>
  <w:style w:type="paragraph" w:styleId="ListNumber2">
    <w:name w:val="List Number 2"/>
    <w:uiPriority w:val="10"/>
    <w:qFormat/>
    <w:rsid w:val="00441BFD"/>
    <w:pPr>
      <w:numPr>
        <w:ilvl w:val="1"/>
        <w:numId w:val="9"/>
      </w:numPr>
      <w:tabs>
        <w:tab w:val="left" w:pos="567"/>
      </w:tabs>
      <w:spacing w:before="120" w:after="120" w:line="264" w:lineRule="auto"/>
    </w:pPr>
    <w:rPr>
      <w:rFonts w:asciiTheme="minorHAnsi" w:eastAsia="Times New Roman" w:hAnsiTheme="minorHAnsi"/>
      <w:sz w:val="22"/>
      <w:szCs w:val="24"/>
      <w:lang w:eastAsia="en-US"/>
    </w:rPr>
  </w:style>
  <w:style w:type="paragraph" w:styleId="ListNumber3">
    <w:name w:val="List Number 3"/>
    <w:uiPriority w:val="11"/>
    <w:qFormat/>
    <w:rsid w:val="00441BFD"/>
    <w:pPr>
      <w:numPr>
        <w:ilvl w:val="2"/>
        <w:numId w:val="9"/>
      </w:numPr>
      <w:spacing w:before="120" w:after="120" w:line="264" w:lineRule="auto"/>
    </w:pPr>
    <w:rPr>
      <w:rFonts w:asciiTheme="minorHAnsi" w:eastAsia="Times New Roman" w:hAnsiTheme="minorHAnsi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sid w:val="00441B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sid w:val="00441BFD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customStyle="1" w:styleId="TableText">
    <w:name w:val="Table Text"/>
    <w:basedOn w:val="Normal"/>
    <w:uiPriority w:val="13"/>
    <w:qFormat/>
    <w:rsid w:val="00441BFD"/>
    <w:pPr>
      <w:spacing w:before="60" w:after="60" w:line="240" w:lineRule="auto"/>
    </w:pPr>
    <w:rPr>
      <w:sz w:val="18"/>
    </w:rPr>
  </w:style>
  <w:style w:type="table" w:styleId="TableGrid1">
    <w:name w:val="Table Grid 1"/>
    <w:basedOn w:val="TableNormal"/>
    <w:uiPriority w:val="99"/>
    <w:semiHidden/>
    <w:unhideWhenUsed/>
    <w:rsid w:val="00441BFD"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TableText"/>
    <w:uiPriority w:val="14"/>
    <w:qFormat/>
    <w:rsid w:val="00441BFD"/>
    <w:pPr>
      <w:keepNext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41BFD"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rsid w:val="00441BFD"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rsid w:val="00441BFD"/>
    <w:pPr>
      <w:spacing w:after="720"/>
    </w:pPr>
  </w:style>
  <w:style w:type="character" w:styleId="Strong">
    <w:name w:val="Strong"/>
    <w:basedOn w:val="DefaultParagraphFont"/>
    <w:uiPriority w:val="22"/>
    <w:qFormat/>
    <w:rsid w:val="00441BFD"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rsid w:val="00441BFD"/>
    <w:pPr>
      <w:spacing w:before="120" w:after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sid w:val="00441BFD"/>
    <w:rPr>
      <w:rFonts w:asciiTheme="minorHAnsi" w:eastAsia="Calibri" w:hAnsiTheme="minorHAns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sid w:val="00441BFD"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rsid w:val="00441BFD"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rsid w:val="00441BFD"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rsid w:val="00D6561B"/>
    <w:pPr>
      <w:numPr>
        <w:numId w:val="6"/>
      </w:numPr>
      <w:ind w:left="357" w:hanging="357"/>
    </w:pPr>
  </w:style>
  <w:style w:type="paragraph" w:customStyle="1" w:styleId="TableBullet1">
    <w:name w:val="Table Bullet 1"/>
    <w:basedOn w:val="TableText"/>
    <w:uiPriority w:val="15"/>
    <w:qFormat/>
    <w:rsid w:val="00476C9E"/>
    <w:pPr>
      <w:numPr>
        <w:numId w:val="5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441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1BFD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rsid w:val="00441BFD"/>
    <w:pPr>
      <w:spacing w:line="240" w:lineRule="auto"/>
    </w:pPr>
    <w:rPr>
      <w:b/>
    </w:rPr>
  </w:style>
  <w:style w:type="paragraph" w:customStyle="1" w:styleId="Securityclassification">
    <w:name w:val="Security classification"/>
    <w:basedOn w:val="Header"/>
    <w:next w:val="Header"/>
    <w:uiPriority w:val="26"/>
    <w:qFormat/>
    <w:rsid w:val="00441BFD"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rsid w:val="00441BFD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rsid w:val="00441BFD"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41BFD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41BF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441BFD"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41BFD"/>
    <w:rPr>
      <w:rFonts w:asciiTheme="minorHAnsi" w:eastAsiaTheme="minorHAnsi" w:hAnsi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441BF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441BFD"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rsid w:val="00441BFD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  <w:rPr>
      <w:rFonts w:asciiTheme="minorHAnsi" w:hAnsiTheme="minorHAnsi"/>
    </w:rPr>
  </w:style>
  <w:style w:type="numbering" w:customStyle="1" w:styleId="List1">
    <w:name w:val="List1"/>
    <w:basedOn w:val="NoList"/>
    <w:uiPriority w:val="99"/>
    <w:rsid w:val="00441BFD"/>
    <w:pPr>
      <w:numPr>
        <w:numId w:val="1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441BFD"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41BFD"/>
    <w:rPr>
      <w:rFonts w:asciiTheme="minorHAnsi" w:eastAsiaTheme="majorEastAsia" w:hAnsiTheme="minorHAnsi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sid w:val="00441BFD"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rsid w:val="00441BFD"/>
    <w:pPr>
      <w:numPr>
        <w:numId w:val="2"/>
      </w:numPr>
    </w:pPr>
  </w:style>
  <w:style w:type="numbering" w:customStyle="1" w:styleId="Headinglist">
    <w:name w:val="Heading list"/>
    <w:uiPriority w:val="99"/>
    <w:rsid w:val="00441BFD"/>
    <w:pPr>
      <w:numPr>
        <w:numId w:val="3"/>
      </w:numPr>
    </w:pPr>
  </w:style>
  <w:style w:type="paragraph" w:customStyle="1" w:styleId="Normalsmall">
    <w:name w:val="Normal small"/>
    <w:qFormat/>
    <w:rsid w:val="00441BFD"/>
    <w:pPr>
      <w:spacing w:after="120" w:line="276" w:lineRule="auto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semiHidden/>
    <w:rsid w:val="00441BFD"/>
    <w:pPr>
      <w:numPr>
        <w:ilvl w:val="2"/>
        <w:numId w:val="8"/>
      </w:numPr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 w:val="0"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 w:val="0"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rsid w:val="00304AB4"/>
    <w:pPr>
      <w:numPr>
        <w:numId w:val="11"/>
      </w:numPr>
      <w:spacing w:before="60" w:after="60"/>
      <w:ind w:left="357" w:hanging="357"/>
      <w:contextualSpacing/>
    </w:pPr>
    <w:rPr>
      <w:rFonts w:asciiTheme="minorHAnsi" w:eastAsia="Calibri" w:hAnsiTheme="minorHAnsi"/>
      <w:color w:val="000000" w:themeColor="text1"/>
      <w:sz w:val="18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sid w:val="00441BFD"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rsid w:val="00476C9E"/>
    <w:pPr>
      <w:numPr>
        <w:numId w:val="10"/>
      </w:numPr>
      <w:tabs>
        <w:tab w:val="num" w:pos="361"/>
      </w:tabs>
      <w:ind w:left="644" w:hanging="488"/>
    </w:pPr>
  </w:style>
  <w:style w:type="numbering" w:customStyle="1" w:styleId="TableBulletlist">
    <w:name w:val="Table Bullet list"/>
    <w:uiPriority w:val="99"/>
    <w:rsid w:val="00441BFD"/>
    <w:pPr>
      <w:numPr>
        <w:numId w:val="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441BF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41BFD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31EB"/>
    <w:rPr>
      <w:rFonts w:asciiTheme="majorHAnsi" w:eastAsiaTheme="majorEastAsia" w:hAnsiTheme="majorHAnsi" w:cstheme="majorBidi"/>
      <w:i/>
      <w:color w:val="59621D"/>
      <w:szCs w:val="22"/>
      <w:lang w:eastAsia="en-US"/>
    </w:rPr>
  </w:style>
  <w:style w:type="paragraph" w:styleId="Revision">
    <w:name w:val="Revision"/>
    <w:hidden/>
    <w:uiPriority w:val="99"/>
    <w:semiHidden/>
    <w:rsid w:val="00895BD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4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3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4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3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3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7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us01.safelinks.protection.outlook.com/?url=https%3A%2F%2Fwww.agriculture.gov.au%2Fbiosecurity-trade%2Fpolicy%2Faustralia%2Fpublic-awareness%2Fpacific-engagement&amp;data=05%7C01%7CMona.Akbari%40aff.gov.au%7C044c8eb7dbac43fb610b08db1b9cb008%7C2be67eb7400c4b3fa5a11258c0da0696%7C0%7C0%7C638134131995888976%7CUnknown%7CTWFpbGZsb3d8eyJWIjoiMC4wLjAwMDAiLCJQIjoiV2luMzIiLCJBTiI6Ik1haWwiLCJXVCI6Mn0%3D%7C3000%7C%7C%7C&amp;sdata=1F4DMv7svePouvNbhe3%2BamyeN0egQHU0Y7KVM9EeRBU%3D&amp;reserved=0" TargetMode="External"/><Relationship Id="rId18" Type="http://schemas.openxmlformats.org/officeDocument/2006/relationships/header" Target="header3.xm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pacerplus.org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5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yperlink" Target="https://phamaplus.com.a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reativecommons.org/licenses/by/4.0/legalcode" TargetMode="External"/><Relationship Id="rId24" Type="http://schemas.openxmlformats.org/officeDocument/2006/relationships/header" Target="header4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yperlink" Target="https://phamaplus.com.au/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agriculture.gov.au/biosecurity-trade/policy/commonwealth-biosecurity-203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griculture.gov.au/" TargetMode="External"/><Relationship Id="rId22" Type="http://schemas.openxmlformats.org/officeDocument/2006/relationships/hyperlink" Target="https://phamaplus.com.au/wp-content/uploads/2018/02/AboutUs_ecopy.pdf" TargetMode="External"/><Relationship Id="rId27" Type="http://schemas.openxmlformats.org/officeDocument/2006/relationships/header" Target="header6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Templates\Print%20and%20web%20content\Report_template_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Props1.xml><?xml version="1.0" encoding="utf-8"?>
<ds:datastoreItem xmlns:ds="http://schemas.openxmlformats.org/officeDocument/2006/customXml" ds:itemID="{9D1CAD33-3B39-4665-A5E6-666D035120E9}">
  <ds:schemaRefs>
    <ds:schemaRef ds:uri="http://schemas.microsoft.com/office/infopath/2007/PartnerControls"/>
    <ds:schemaRef ds:uri="2b53c995-2120-4bc0-8922-c25044d37f65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c95b51c2-b2ac-4224-a5b5-069909057829"/>
    <ds:schemaRef ds:uri="81c01dc6-2c49-4730-b140-874c95cac37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61CB0BC-AE87-45E3-A926-91FEA967D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DEDD9B-2A9B-49C9-B274-737FCC391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Report_template_1</Template>
  <TotalTime>31</TotalTime>
  <Pages>4</Pages>
  <Words>2566</Words>
  <Characters>14628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Pacific Biosecurity Strategy 2022 to 2027</vt:lpstr>
    </vt:vector>
  </TitlesOfParts>
  <Company/>
  <LinksUpToDate>false</LinksUpToDate>
  <CharactersWithSpaces>17160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Biosecurity Strategy 2022 to 2027</dc:title>
  <dc:creator>Department of Agriculture, Fisheries and Forestry</dc:creator>
  <cp:revision>4</cp:revision>
  <cp:lastPrinted>2022-11-17T23:20:00Z</cp:lastPrinted>
  <dcterms:created xsi:type="dcterms:W3CDTF">2023-03-06T03:26:00Z</dcterms:created>
  <dcterms:modified xsi:type="dcterms:W3CDTF">2023-04-03T01:09:00Z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0x0101002C982D4D3ABBAF49949BEA620E23A834</vt:lpwstr>
  </property>
  <property fmtid="{D5CDD505-2E9C-101B-9397-08002B2CF9AE}" pid="3" name="MediaServiceImageTags">
    <vt:lpwstr/>
  </property>
</Properties>
</file>