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400"/>
        <w:rPr>
          <w:rFonts w:ascii="Times New Roman"/>
          <w:sz w:val="20"/>
        </w:rPr>
      </w:pPr>
      <w:r>
        <w:rPr>
          <w:rFonts w:ascii="Times New Roman"/>
          <w:sz w:val="20"/>
        </w:rPr>
        <w:drawing>
          <wp:inline distT="0" distB="0" distL="0" distR="0">
            <wp:extent cx="2942583" cy="110328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942583" cy="110328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23820" w:h="16840" w:orient="landscape"/>
          <w:pgMar w:top="1440" w:bottom="280" w:left="220" w:right="140"/>
        </w:sectPr>
      </w:pPr>
    </w:p>
    <w:p>
      <w:pPr>
        <w:spacing w:line="235" w:lineRule="auto" w:before="76"/>
        <w:ind w:left="2638" w:right="-14" w:firstLine="0"/>
        <w:jc w:val="left"/>
        <w:rPr>
          <w:b/>
          <w:sz w:val="84"/>
        </w:rPr>
      </w:pPr>
      <w:r>
        <w:rPr/>
        <w:pict>
          <v:rect style="position:absolute;margin-left:0pt;margin-top:-.000078pt;width:1190.52pt;height:841.92pt;mso-position-horizontal-relative:page;mso-position-vertical-relative:page;z-index:-252500992" filled="true" fillcolor="#c9c5c0" stroked="false">
            <v:fill type="solid"/>
            <w10:wrap type="none"/>
          </v:rect>
        </w:pict>
      </w:r>
      <w:r>
        <w:rPr>
          <w:b/>
          <w:spacing w:val="-8"/>
          <w:sz w:val="84"/>
        </w:rPr>
        <w:t>Pathways </w:t>
      </w:r>
      <w:r>
        <w:rPr>
          <w:b/>
          <w:spacing w:val="-5"/>
          <w:sz w:val="84"/>
        </w:rPr>
        <w:t>to </w:t>
      </w:r>
      <w:r>
        <w:rPr>
          <w:b/>
          <w:sz w:val="84"/>
        </w:rPr>
        <w:t>sustainable and </w:t>
      </w:r>
      <w:r>
        <w:rPr>
          <w:b/>
          <w:spacing w:val="-3"/>
          <w:sz w:val="84"/>
        </w:rPr>
        <w:t>productive </w:t>
      </w:r>
      <w:r>
        <w:rPr>
          <w:b/>
          <w:sz w:val="84"/>
        </w:rPr>
        <w:t>agriculture: an </w:t>
      </w:r>
      <w:r>
        <w:rPr>
          <w:b/>
          <w:spacing w:val="-3"/>
          <w:sz w:val="84"/>
        </w:rPr>
        <w:t>Australian </w:t>
      </w:r>
      <w:r>
        <w:rPr>
          <w:b/>
          <w:sz w:val="84"/>
        </w:rPr>
        <w:t>perspective</w:t>
      </w:r>
    </w:p>
    <w:p>
      <w:pPr>
        <w:pStyle w:val="BodyText"/>
        <w:spacing w:before="10"/>
        <w:rPr>
          <w:b/>
          <w:sz w:val="62"/>
        </w:rPr>
      </w:pPr>
    </w:p>
    <w:p>
      <w:pPr>
        <w:pStyle w:val="Heading2"/>
      </w:pPr>
      <w:r>
        <w:rPr/>
        <w:t>Dr Steve Hatfield-Dodds</w:t>
      </w:r>
    </w:p>
    <w:p>
      <w:pPr>
        <w:pStyle w:val="Heading4"/>
        <w:spacing w:before="23"/>
        <w:ind w:left="2641"/>
      </w:pPr>
      <w:r>
        <w:rPr/>
        <w:t>Executive Director</w:t>
      </w:r>
    </w:p>
    <w:p>
      <w:pPr>
        <w:spacing w:line="432" w:lineRule="exact" w:before="0"/>
        <w:ind w:left="2641" w:right="0" w:firstLine="0"/>
        <w:jc w:val="left"/>
        <w:rPr>
          <w:b/>
          <w:sz w:val="36"/>
        </w:rPr>
      </w:pPr>
      <w:r>
        <w:rPr>
          <w:b/>
          <w:sz w:val="36"/>
        </w:rPr>
        <w:t>Australian Bureau of Agricultural</w:t>
      </w:r>
    </w:p>
    <w:p>
      <w:pPr>
        <w:spacing w:line="436" w:lineRule="exact" w:before="0"/>
        <w:ind w:left="2641" w:right="0" w:firstLine="0"/>
        <w:jc w:val="left"/>
        <w:rPr>
          <w:b/>
          <w:sz w:val="36"/>
        </w:rPr>
      </w:pPr>
      <w:r>
        <w:rPr>
          <w:b/>
          <w:sz w:val="36"/>
        </w:rPr>
        <w:t>and Resource Economics and Sciences</w:t>
      </w:r>
    </w:p>
    <w:p>
      <w:pPr>
        <w:pStyle w:val="BodyText"/>
        <w:spacing w:before="9"/>
        <w:rPr>
          <w:b/>
          <w:sz w:val="34"/>
        </w:rPr>
      </w:pPr>
    </w:p>
    <w:p>
      <w:pPr>
        <w:spacing w:before="0"/>
        <w:ind w:left="2641" w:right="0" w:firstLine="0"/>
        <w:jc w:val="left"/>
        <w:rPr>
          <w:sz w:val="36"/>
        </w:rPr>
      </w:pPr>
      <w:r>
        <w:rPr>
          <w:sz w:val="36"/>
        </w:rPr>
        <w:t>28 October 2020</w:t>
      </w:r>
    </w:p>
    <w:p>
      <w:pPr>
        <w:pStyle w:val="BodyText"/>
        <w:rPr>
          <w:sz w:val="36"/>
        </w:rPr>
      </w:pPr>
    </w:p>
    <w:p>
      <w:pPr>
        <w:pStyle w:val="BodyText"/>
        <w:spacing w:before="1"/>
        <w:rPr>
          <w:sz w:val="40"/>
        </w:rPr>
      </w:pPr>
    </w:p>
    <w:p>
      <w:pPr>
        <w:spacing w:line="235" w:lineRule="auto" w:before="1"/>
        <w:ind w:left="2638" w:right="233" w:firstLine="0"/>
        <w:jc w:val="left"/>
        <w:rPr>
          <w:sz w:val="35"/>
        </w:rPr>
      </w:pPr>
      <w:r>
        <w:rPr>
          <w:sz w:val="35"/>
        </w:rPr>
        <w:t>S Hatfield-Dodds, J Greenville, K Burns and R Downham, 2020, </w:t>
      </w:r>
      <w:r>
        <w:rPr>
          <w:i/>
          <w:sz w:val="35"/>
        </w:rPr>
        <w:t>Pathways to sustainable and productive agriculture – An </w:t>
      </w:r>
      <w:r>
        <w:rPr>
          <w:i/>
          <w:sz w:val="35"/>
        </w:rPr>
        <w:t>Australian perspective</w:t>
      </w:r>
      <w:r>
        <w:rPr>
          <w:sz w:val="35"/>
        </w:rPr>
        <w:t>, Notes prepared </w:t>
      </w:r>
      <w:r>
        <w:rPr>
          <w:spacing w:val="-4"/>
          <w:sz w:val="35"/>
        </w:rPr>
        <w:t>for </w:t>
      </w:r>
      <w:r>
        <w:rPr>
          <w:sz w:val="35"/>
        </w:rPr>
        <w:t>webinar on EU– Australia</w:t>
      </w:r>
      <w:r>
        <w:rPr>
          <w:spacing w:val="-10"/>
          <w:sz w:val="35"/>
        </w:rPr>
        <w:t> </w:t>
      </w:r>
      <w:r>
        <w:rPr>
          <w:sz w:val="35"/>
        </w:rPr>
        <w:t>Farming:</w:t>
      </w:r>
      <w:r>
        <w:rPr>
          <w:spacing w:val="-13"/>
          <w:sz w:val="35"/>
        </w:rPr>
        <w:t> </w:t>
      </w:r>
      <w:r>
        <w:rPr>
          <w:sz w:val="35"/>
        </w:rPr>
        <w:t>One</w:t>
      </w:r>
      <w:r>
        <w:rPr>
          <w:spacing w:val="-14"/>
          <w:sz w:val="35"/>
        </w:rPr>
        <w:t> </w:t>
      </w:r>
      <w:r>
        <w:rPr>
          <w:sz w:val="35"/>
        </w:rPr>
        <w:t>goal</w:t>
      </w:r>
      <w:r>
        <w:rPr>
          <w:spacing w:val="-11"/>
          <w:sz w:val="35"/>
        </w:rPr>
        <w:t> </w:t>
      </w:r>
      <w:r>
        <w:rPr>
          <w:sz w:val="35"/>
        </w:rPr>
        <w:t>but</w:t>
      </w:r>
      <w:r>
        <w:rPr>
          <w:spacing w:val="-15"/>
          <w:sz w:val="35"/>
        </w:rPr>
        <w:t> </w:t>
      </w:r>
      <w:r>
        <w:rPr>
          <w:spacing w:val="-3"/>
          <w:sz w:val="35"/>
        </w:rPr>
        <w:t>many</w:t>
      </w:r>
      <w:r>
        <w:rPr>
          <w:spacing w:val="-12"/>
          <w:sz w:val="35"/>
        </w:rPr>
        <w:t> </w:t>
      </w:r>
      <w:r>
        <w:rPr>
          <w:sz w:val="35"/>
        </w:rPr>
        <w:t>paths</w:t>
      </w:r>
      <w:r>
        <w:rPr>
          <w:spacing w:val="-13"/>
          <w:sz w:val="35"/>
        </w:rPr>
        <w:t> </w:t>
      </w:r>
      <w:r>
        <w:rPr>
          <w:sz w:val="35"/>
        </w:rPr>
        <w:t>to</w:t>
      </w:r>
      <w:r>
        <w:rPr>
          <w:spacing w:val="-16"/>
          <w:sz w:val="35"/>
        </w:rPr>
        <w:t> </w:t>
      </w:r>
      <w:r>
        <w:rPr>
          <w:sz w:val="35"/>
        </w:rPr>
        <w:t>sustainability</w:t>
      </w:r>
      <w:r>
        <w:rPr>
          <w:spacing w:val="-9"/>
          <w:sz w:val="35"/>
        </w:rPr>
        <w:t> </w:t>
      </w:r>
      <w:r>
        <w:rPr>
          <w:sz w:val="35"/>
        </w:rPr>
        <w:t>on 28 October 2020, ABARES,</w:t>
      </w:r>
      <w:r>
        <w:rPr>
          <w:spacing w:val="-3"/>
          <w:sz w:val="35"/>
        </w:rPr>
        <w:t> </w:t>
      </w:r>
      <w:r>
        <w:rPr>
          <w:sz w:val="35"/>
        </w:rPr>
        <w:t>Canberra.</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line="246" w:lineRule="exact" w:before="188"/>
        <w:ind w:left="1762" w:right="2015" w:firstLine="0"/>
        <w:jc w:val="center"/>
        <w:rPr>
          <w:rFonts w:ascii="Arial"/>
          <w:sz w:val="22"/>
        </w:rPr>
      </w:pPr>
      <w:r>
        <w:rPr/>
        <w:drawing>
          <wp:anchor distT="0" distB="0" distL="0" distR="0" allowOverlap="1" layoutInCell="1" locked="0" behindDoc="0" simplePos="0" relativeHeight="251659264">
            <wp:simplePos x="0" y="0"/>
            <wp:positionH relativeFrom="page">
              <wp:posOffset>8433816</wp:posOffset>
            </wp:positionH>
            <wp:positionV relativeFrom="paragraph">
              <wp:posOffset>-6052847</wp:posOffset>
            </wp:positionV>
            <wp:extent cx="5852160" cy="585216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852160" cy="5852160"/>
                    </a:xfrm>
                    <a:prstGeom prst="rect">
                      <a:avLst/>
                    </a:prstGeom>
                  </pic:spPr>
                </pic:pic>
              </a:graphicData>
            </a:graphic>
          </wp:anchor>
        </w:drawing>
      </w:r>
      <w:r>
        <w:rPr>
          <w:rFonts w:ascii="Arial"/>
          <w:sz w:val="22"/>
        </w:rPr>
        <w:t>Research by the</w:t>
      </w:r>
    </w:p>
    <w:p>
      <w:pPr>
        <w:spacing w:line="246" w:lineRule="exact" w:before="0"/>
        <w:ind w:left="2158" w:right="2015" w:firstLine="0"/>
        <w:jc w:val="center"/>
        <w:rPr>
          <w:rFonts w:ascii="Arial"/>
          <w:sz w:val="22"/>
        </w:rPr>
      </w:pPr>
      <w:r>
        <w:rPr>
          <w:rFonts w:ascii="Arial"/>
          <w:sz w:val="22"/>
        </w:rPr>
        <w:t>Australian Bureau of Agricultural and Resource Economics and Sciences</w:t>
      </w:r>
    </w:p>
    <w:p>
      <w:pPr>
        <w:spacing w:after="0" w:line="246" w:lineRule="exact"/>
        <w:jc w:val="center"/>
        <w:rPr>
          <w:rFonts w:ascii="Arial"/>
          <w:sz w:val="22"/>
        </w:rPr>
        <w:sectPr>
          <w:type w:val="continuous"/>
          <w:pgSz w:w="23820" w:h="16840" w:orient="landscape"/>
          <w:pgMar w:top="1440" w:bottom="280" w:left="220" w:right="140"/>
          <w:cols w:num="2" w:equalWidth="0">
            <w:col w:w="12101" w:space="40"/>
            <w:col w:w="11319"/>
          </w:cols>
        </w:sectPr>
      </w:pPr>
    </w:p>
    <w:p>
      <w:pPr>
        <w:pStyle w:val="BodyText"/>
        <w:spacing w:line="235" w:lineRule="auto" w:before="19"/>
        <w:ind w:left="1424" w:right="15941"/>
      </w:pPr>
      <w:r>
        <w:rPr/>
        <w:pict>
          <v:rect style="position:absolute;margin-left:0pt;margin-top:-.000078pt;width:1190.52pt;height:841.92pt;mso-position-horizontal-relative:page;mso-position-vertical-relative:page;z-index:-252497920" filled="true" fillcolor="#c9c5c0" stroked="false">
            <v:fill type="solid"/>
            <w10:wrap type="none"/>
          </v:rect>
        </w:pict>
      </w:r>
      <w:r>
        <w:rPr/>
        <w:t>© Commonwealth of Australia 2020 Ownership of intellectual property rights</w:t>
      </w:r>
    </w:p>
    <w:p>
      <w:pPr>
        <w:pStyle w:val="BodyText"/>
        <w:spacing w:line="384" w:lineRule="exact"/>
        <w:ind w:left="1424"/>
      </w:pPr>
      <w:r>
        <w:rPr/>
        <w:t>Unless otherwise noted, copyright (and any other intellectual property rights, if any) in this publication is owned by the Commonwealth of Australia (referred to</w:t>
      </w:r>
    </w:p>
    <w:p>
      <w:pPr>
        <w:pStyle w:val="BodyText"/>
        <w:spacing w:line="235" w:lineRule="auto" w:before="3"/>
        <w:ind w:left="1424" w:right="18224"/>
      </w:pPr>
      <w:r>
        <w:rPr/>
        <w:t>as the Commonwealth). Creative Commons licence</w:t>
      </w:r>
    </w:p>
    <w:p>
      <w:pPr>
        <w:pStyle w:val="BodyText"/>
        <w:spacing w:line="235" w:lineRule="auto" w:before="3"/>
        <w:ind w:left="1424"/>
      </w:pPr>
      <w:r>
        <w:rPr/>
        <w:t>All</w:t>
      </w:r>
      <w:r>
        <w:rPr>
          <w:spacing w:val="-9"/>
        </w:rPr>
        <w:t> </w:t>
      </w:r>
      <w:r>
        <w:rPr/>
        <w:t>material</w:t>
      </w:r>
      <w:r>
        <w:rPr>
          <w:spacing w:val="-10"/>
        </w:rPr>
        <w:t> </w:t>
      </w:r>
      <w:r>
        <w:rPr/>
        <w:t>in</w:t>
      </w:r>
      <w:r>
        <w:rPr>
          <w:spacing w:val="-7"/>
        </w:rPr>
        <w:t> </w:t>
      </w:r>
      <w:r>
        <w:rPr/>
        <w:t>this</w:t>
      </w:r>
      <w:r>
        <w:rPr>
          <w:spacing w:val="-9"/>
        </w:rPr>
        <w:t> </w:t>
      </w:r>
      <w:r>
        <w:rPr/>
        <w:t>publication</w:t>
      </w:r>
      <w:r>
        <w:rPr>
          <w:spacing w:val="-12"/>
        </w:rPr>
        <w:t> </w:t>
      </w:r>
      <w:r>
        <w:rPr/>
        <w:t>is</w:t>
      </w:r>
      <w:r>
        <w:rPr>
          <w:spacing w:val="-9"/>
        </w:rPr>
        <w:t> </w:t>
      </w:r>
      <w:r>
        <w:rPr/>
        <w:t>licensed</w:t>
      </w:r>
      <w:r>
        <w:rPr>
          <w:spacing w:val="-8"/>
        </w:rPr>
        <w:t> </w:t>
      </w:r>
      <w:r>
        <w:rPr/>
        <w:t>under</w:t>
      </w:r>
      <w:r>
        <w:rPr>
          <w:spacing w:val="-6"/>
        </w:rPr>
        <w:t> </w:t>
      </w:r>
      <w:r>
        <w:rPr/>
        <w:t>a</w:t>
      </w:r>
      <w:r>
        <w:rPr>
          <w:spacing w:val="-8"/>
        </w:rPr>
        <w:t> </w:t>
      </w:r>
      <w:r>
        <w:rPr/>
        <w:t>Creative</w:t>
      </w:r>
      <w:r>
        <w:rPr>
          <w:spacing w:val="-5"/>
        </w:rPr>
        <w:t> </w:t>
      </w:r>
      <w:r>
        <w:rPr/>
        <w:t>Commons</w:t>
      </w:r>
      <w:r>
        <w:rPr>
          <w:spacing w:val="-3"/>
        </w:rPr>
        <w:t> </w:t>
      </w:r>
      <w:r>
        <w:rPr/>
        <w:t>Attribution</w:t>
      </w:r>
      <w:r>
        <w:rPr>
          <w:spacing w:val="-9"/>
        </w:rPr>
        <w:t> </w:t>
      </w:r>
      <w:r>
        <w:rPr/>
        <w:t>4.0</w:t>
      </w:r>
      <w:r>
        <w:rPr>
          <w:spacing w:val="-6"/>
        </w:rPr>
        <w:t> </w:t>
      </w:r>
      <w:r>
        <w:rPr/>
        <w:t>International</w:t>
      </w:r>
      <w:r>
        <w:rPr>
          <w:spacing w:val="-13"/>
        </w:rPr>
        <w:t> </w:t>
      </w:r>
      <w:r>
        <w:rPr/>
        <w:t>Licence</w:t>
      </w:r>
      <w:r>
        <w:rPr>
          <w:spacing w:val="-4"/>
        </w:rPr>
        <w:t> </w:t>
      </w:r>
      <w:r>
        <w:rPr>
          <w:spacing w:val="-3"/>
        </w:rPr>
        <w:t>except</w:t>
      </w:r>
      <w:r>
        <w:rPr>
          <w:spacing w:val="-5"/>
        </w:rPr>
        <w:t> </w:t>
      </w:r>
      <w:r>
        <w:rPr/>
        <w:t>content</w:t>
      </w:r>
      <w:r>
        <w:rPr>
          <w:spacing w:val="-6"/>
        </w:rPr>
        <w:t> </w:t>
      </w:r>
      <w:r>
        <w:rPr>
          <w:spacing w:val="2"/>
        </w:rPr>
        <w:t>supplied</w:t>
      </w:r>
      <w:r>
        <w:rPr>
          <w:spacing w:val="-12"/>
        </w:rPr>
        <w:t> </w:t>
      </w:r>
      <w:r>
        <w:rPr/>
        <w:t>by</w:t>
      </w:r>
      <w:r>
        <w:rPr>
          <w:spacing w:val="-6"/>
        </w:rPr>
        <w:t> </w:t>
      </w:r>
      <w:r>
        <w:rPr/>
        <w:t>third</w:t>
      </w:r>
      <w:r>
        <w:rPr>
          <w:spacing w:val="-7"/>
        </w:rPr>
        <w:t> </w:t>
      </w:r>
      <w:r>
        <w:rPr/>
        <w:t>parties,</w:t>
      </w:r>
      <w:r>
        <w:rPr>
          <w:spacing w:val="-8"/>
        </w:rPr>
        <w:t> </w:t>
      </w:r>
      <w:r>
        <w:rPr/>
        <w:t>logos</w:t>
      </w:r>
      <w:r>
        <w:rPr>
          <w:spacing w:val="-6"/>
        </w:rPr>
        <w:t> </w:t>
      </w:r>
      <w:r>
        <w:rPr/>
        <w:t>and</w:t>
      </w:r>
      <w:r>
        <w:rPr>
          <w:spacing w:val="-9"/>
        </w:rPr>
        <w:t> </w:t>
      </w:r>
      <w:r>
        <w:rPr/>
        <w:t>the Commonwealth Coat of</w:t>
      </w:r>
      <w:r>
        <w:rPr>
          <w:spacing w:val="2"/>
        </w:rPr>
        <w:t> </w:t>
      </w:r>
      <w:r>
        <w:rPr/>
        <w:t>Arms.</w:t>
      </w:r>
    </w:p>
    <w:p>
      <w:pPr>
        <w:pStyle w:val="BodyText"/>
        <w:spacing w:line="387" w:lineRule="exact"/>
        <w:ind w:left="1424"/>
      </w:pPr>
      <w:r>
        <w:rPr/>
        <w:t>Inquiries about the licence and any use of this document should be emailed to </w:t>
      </w:r>
      <w:hyperlink r:id="rId7">
        <w:r>
          <w:rPr>
            <w:u w:val="thick"/>
          </w:rPr>
          <w:t>copyright@awe.gov.au</w:t>
        </w:r>
      </w:hyperlink>
      <w:r>
        <w:rPr/>
        <w:t>.</w:t>
      </w:r>
    </w:p>
    <w:p>
      <w:pPr>
        <w:pStyle w:val="BodyText"/>
        <w:spacing w:before="8"/>
        <w:rPr>
          <w:sz w:val="24"/>
        </w:rPr>
      </w:pPr>
      <w:r>
        <w:rPr/>
        <w:drawing>
          <wp:anchor distT="0" distB="0" distL="0" distR="0" allowOverlap="1" layoutInCell="1" locked="0" behindDoc="0" simplePos="0" relativeHeight="2">
            <wp:simplePos x="0" y="0"/>
            <wp:positionH relativeFrom="page">
              <wp:posOffset>1118616</wp:posOffset>
            </wp:positionH>
            <wp:positionV relativeFrom="paragraph">
              <wp:posOffset>215979</wp:posOffset>
            </wp:positionV>
            <wp:extent cx="915924" cy="37185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915924" cy="371855"/>
                    </a:xfrm>
                    <a:prstGeom prst="rect">
                      <a:avLst/>
                    </a:prstGeom>
                  </pic:spPr>
                </pic:pic>
              </a:graphicData>
            </a:graphic>
          </wp:anchor>
        </w:drawing>
      </w:r>
    </w:p>
    <w:p>
      <w:pPr>
        <w:pStyle w:val="Heading5"/>
        <w:spacing w:before="190"/>
      </w:pPr>
      <w:r>
        <w:rPr/>
        <w:t>Cataloguing data</w:t>
      </w:r>
    </w:p>
    <w:p>
      <w:pPr>
        <w:pStyle w:val="BodyText"/>
        <w:spacing w:line="384" w:lineRule="exact"/>
        <w:ind w:left="1424"/>
      </w:pPr>
      <w:r>
        <w:rPr/>
        <w:t>This publication (and any material sourced from it) should be attributed as: Hatfield-Dodds, S Greenville, J, Burns, K &amp; Downham, R 2020, Pathways to sustainable</w:t>
      </w:r>
    </w:p>
    <w:p>
      <w:pPr>
        <w:pStyle w:val="BodyText"/>
        <w:spacing w:line="472" w:lineRule="auto"/>
        <w:ind w:left="1424" w:right="1475"/>
      </w:pPr>
      <w:r>
        <w:rPr/>
        <w:t>and productive agriculture: an Australian perspective, ABARES Conference </w:t>
      </w:r>
      <w:r>
        <w:rPr>
          <w:spacing w:val="-6"/>
        </w:rPr>
        <w:t>Paper, </w:t>
      </w:r>
      <w:r>
        <w:rPr/>
        <w:t>Canberra, </w:t>
      </w:r>
      <w:r>
        <w:rPr>
          <w:spacing w:val="-5"/>
        </w:rPr>
        <w:t>October, </w:t>
      </w:r>
      <w:r>
        <w:rPr/>
        <w:t>DOI: </w:t>
      </w:r>
      <w:hyperlink r:id="rId9">
        <w:r>
          <w:rPr>
            <w:u w:val="thick"/>
          </w:rPr>
          <w:t>https://doi.org/10.25814/2twd-0018. </w:t>
        </w:r>
      </w:hyperlink>
      <w:r>
        <w:rPr/>
        <w:t>CC </w:t>
      </w:r>
      <w:r>
        <w:rPr>
          <w:spacing w:val="-5"/>
        </w:rPr>
        <w:t>BY </w:t>
      </w:r>
      <w:r>
        <w:rPr/>
        <w:t>4.0. ISSN 1447-3666</w:t>
      </w:r>
    </w:p>
    <w:p>
      <w:pPr>
        <w:pStyle w:val="BodyText"/>
        <w:spacing w:line="235" w:lineRule="auto"/>
        <w:ind w:left="1424" w:right="11448"/>
      </w:pPr>
      <w:r>
        <w:rPr/>
        <w:t>Australian Bureau of Agricultural and Resource Economics and Sciences (ABARES) GPO Box 858 Canberra ACT 2601</w:t>
      </w:r>
    </w:p>
    <w:p>
      <w:pPr>
        <w:pStyle w:val="BodyText"/>
        <w:spacing w:line="235" w:lineRule="auto" w:before="3"/>
        <w:ind w:left="1424" w:right="18224"/>
      </w:pPr>
      <w:r>
        <w:rPr/>
        <w:t>Telephone 1800 900 090 Web awe.gov.au</w:t>
      </w:r>
    </w:p>
    <w:p>
      <w:pPr>
        <w:pStyle w:val="BodyText"/>
        <w:spacing w:before="1"/>
        <w:rPr>
          <w:sz w:val="31"/>
        </w:rPr>
      </w:pPr>
    </w:p>
    <w:p>
      <w:pPr>
        <w:pStyle w:val="Heading5"/>
        <w:spacing w:line="388" w:lineRule="exact"/>
      </w:pPr>
      <w:r>
        <w:rPr/>
        <w:t>Disclaimer</w:t>
      </w:r>
    </w:p>
    <w:p>
      <w:pPr>
        <w:pStyle w:val="BodyText"/>
        <w:spacing w:line="235" w:lineRule="auto" w:before="3"/>
        <w:ind w:left="1424" w:right="743"/>
      </w:pPr>
      <w:r>
        <w:rPr/>
        <w:t>The Australian Government acting through the Department of Agriculture, </w:t>
      </w:r>
      <w:r>
        <w:rPr>
          <w:spacing w:val="-4"/>
        </w:rPr>
        <w:t>Water </w:t>
      </w:r>
      <w:r>
        <w:rPr/>
        <w:t>and the Environment, represented by the Australian Bureau of Agricultural and Resource Economics and Sciences, has </w:t>
      </w:r>
      <w:r>
        <w:rPr>
          <w:spacing w:val="-3"/>
        </w:rPr>
        <w:t>exercised </w:t>
      </w:r>
      <w:r>
        <w:rPr/>
        <w:t>due </w:t>
      </w:r>
      <w:r>
        <w:rPr>
          <w:spacing w:val="-3"/>
        </w:rPr>
        <w:t>care </w:t>
      </w:r>
      <w:r>
        <w:rPr/>
        <w:t>and skill in preparing and compiling the information and data in this publication. Notwithstanding, the Department of Agriculture, </w:t>
      </w:r>
      <w:r>
        <w:rPr>
          <w:spacing w:val="-4"/>
        </w:rPr>
        <w:t>Water </w:t>
      </w:r>
      <w:r>
        <w:rPr/>
        <w:t>and the Environment, ABARES, its employees and advisers disclaim all </w:t>
      </w:r>
      <w:r>
        <w:rPr>
          <w:spacing w:val="-3"/>
        </w:rPr>
        <w:t>liability, </w:t>
      </w:r>
      <w:r>
        <w:rPr/>
        <w:t>including liability </w:t>
      </w:r>
      <w:r>
        <w:rPr>
          <w:spacing w:val="-3"/>
        </w:rPr>
        <w:t>for </w:t>
      </w:r>
      <w:r>
        <w:rPr/>
        <w:t>negligence and </w:t>
      </w:r>
      <w:r>
        <w:rPr>
          <w:spacing w:val="-3"/>
        </w:rPr>
        <w:t>for </w:t>
      </w:r>
      <w:r>
        <w:rPr/>
        <w:t>any loss, damage, </w:t>
      </w:r>
      <w:r>
        <w:rPr>
          <w:spacing w:val="-4"/>
        </w:rPr>
        <w:t>injury, </w:t>
      </w:r>
      <w:r>
        <w:rPr/>
        <w:t>expense or cost incurred by any person as a result of accessing, using or relying on any of the information </w:t>
      </w:r>
      <w:r>
        <w:rPr>
          <w:spacing w:val="5"/>
        </w:rPr>
        <w:t>or </w:t>
      </w:r>
      <w:r>
        <w:rPr/>
        <w:t>data in this publication to the maximum extent permitted by </w:t>
      </w:r>
      <w:r>
        <w:rPr>
          <w:spacing w:val="-6"/>
        </w:rPr>
        <w:t>law.</w:t>
      </w:r>
    </w:p>
    <w:p>
      <w:pPr>
        <w:pStyle w:val="BodyText"/>
        <w:spacing w:before="6"/>
        <w:rPr>
          <w:sz w:val="31"/>
        </w:rPr>
      </w:pPr>
    </w:p>
    <w:p>
      <w:pPr>
        <w:pStyle w:val="Heading5"/>
      </w:pPr>
      <w:r>
        <w:rPr/>
        <w:t>Professional independence</w:t>
      </w:r>
    </w:p>
    <w:p>
      <w:pPr>
        <w:pStyle w:val="BodyText"/>
        <w:spacing w:line="235" w:lineRule="auto" w:before="3"/>
        <w:ind w:left="1424" w:right="1472"/>
      </w:pPr>
      <w:r>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professional independence is provided on the ABARES website.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35"/>
        <w:ind w:right="99"/>
        <w:jc w:val="right"/>
      </w:pPr>
      <w:r>
        <w:rPr>
          <w:w w:val="99"/>
        </w:rPr>
        <w:t>2</w:t>
      </w:r>
    </w:p>
    <w:p>
      <w:pPr>
        <w:spacing w:after="0"/>
        <w:jc w:val="right"/>
        <w:sectPr>
          <w:pgSz w:w="23820" w:h="16840" w:orient="landscape"/>
          <w:pgMar w:top="1440" w:bottom="0" w:left="220" w:right="140"/>
        </w:sectPr>
      </w:pPr>
    </w:p>
    <w:p>
      <w:pPr>
        <w:pStyle w:val="BodyText"/>
        <w:rPr>
          <w:sz w:val="20"/>
        </w:rPr>
      </w:pPr>
    </w:p>
    <w:p>
      <w:pPr>
        <w:pStyle w:val="Heading1"/>
        <w:spacing w:line="213" w:lineRule="auto" w:before="170"/>
        <w:ind w:right="2646"/>
      </w:pPr>
      <w:r>
        <w:rPr/>
        <w:drawing>
          <wp:anchor distT="0" distB="0" distL="0" distR="0" allowOverlap="1" layoutInCell="1" locked="0" behindDoc="0" simplePos="0" relativeHeight="251666432">
            <wp:simplePos x="0" y="0"/>
            <wp:positionH relativeFrom="page">
              <wp:posOffset>208788</wp:posOffset>
            </wp:positionH>
            <wp:positionV relativeFrom="paragraph">
              <wp:posOffset>-155922</wp:posOffset>
            </wp:positionV>
            <wp:extent cx="2966699" cy="1030039"/>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2966699" cy="1030039"/>
                    </a:xfrm>
                    <a:prstGeom prst="rect">
                      <a:avLst/>
                    </a:prstGeom>
                  </pic:spPr>
                </pic:pic>
              </a:graphicData>
            </a:graphic>
          </wp:anchor>
        </w:drawing>
      </w:r>
      <w:r>
        <w:rPr>
          <w:color w:val="A7082D"/>
        </w:rPr>
        <w:t>Australian biodiversity and ecosystems are unique and globally significant</w:t>
      </w:r>
    </w:p>
    <w:p>
      <w:pPr>
        <w:pStyle w:val="BodyText"/>
        <w:rPr>
          <w:b/>
          <w:sz w:val="20"/>
        </w:rPr>
      </w:pPr>
    </w:p>
    <w:p>
      <w:pPr>
        <w:pStyle w:val="BodyText"/>
        <w:spacing w:before="3"/>
        <w:rPr>
          <w:b/>
          <w:sz w:val="23"/>
        </w:rPr>
      </w:pPr>
    </w:p>
    <w:p>
      <w:pPr>
        <w:tabs>
          <w:tab w:pos="16786" w:val="left" w:leader="none"/>
        </w:tabs>
        <w:spacing w:before="42"/>
        <w:ind w:left="9668" w:right="0" w:firstLine="0"/>
        <w:jc w:val="left"/>
        <w:rPr>
          <w:b/>
          <w:i/>
          <w:sz w:val="28"/>
        </w:rPr>
      </w:pPr>
      <w:r>
        <w:rPr/>
        <w:drawing>
          <wp:anchor distT="0" distB="0" distL="0" distR="0" allowOverlap="1" layoutInCell="1" locked="0" behindDoc="1" simplePos="0" relativeHeight="250824704">
            <wp:simplePos x="0" y="0"/>
            <wp:positionH relativeFrom="page">
              <wp:posOffset>5558028</wp:posOffset>
            </wp:positionH>
            <wp:positionV relativeFrom="paragraph">
              <wp:posOffset>185293</wp:posOffset>
            </wp:positionV>
            <wp:extent cx="5039868" cy="4732020"/>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5039868" cy="473202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8.92pt;margin-top:8.110061pt;width:404.65pt;height:344.9pt;mso-position-horizontal-relative:page;mso-position-vertical-relative:paragraph;z-index:251668480" type="#_x0000_t202" filled="false" stroked="true" strokeweight=".75pt" strokecolor="#000000">
            <v:textbox inset="0,0,0,0">
              <w:txbxContent>
                <w:p>
                  <w:pPr>
                    <w:pStyle w:val="BodyText"/>
                    <w:numPr>
                      <w:ilvl w:val="0"/>
                      <w:numId w:val="1"/>
                    </w:numPr>
                    <w:tabs>
                      <w:tab w:pos="587" w:val="left" w:leader="none"/>
                      <w:tab w:pos="588" w:val="left" w:leader="none"/>
                    </w:tabs>
                    <w:spacing w:line="235" w:lineRule="auto" w:before="67" w:after="0"/>
                    <w:ind w:left="587" w:right="1244" w:hanging="452"/>
                    <w:jc w:val="left"/>
                  </w:pPr>
                  <w:r>
                    <w:rPr/>
                    <w:t>Australia is renowned </w:t>
                  </w:r>
                  <w:r>
                    <w:rPr>
                      <w:spacing w:val="-3"/>
                    </w:rPr>
                    <w:t>for </w:t>
                  </w:r>
                  <w:r>
                    <w:rPr/>
                    <w:t>its globally distinct ecosystems,</w:t>
                  </w:r>
                  <w:r>
                    <w:rPr>
                      <w:spacing w:val="-7"/>
                    </w:rPr>
                    <w:t> </w:t>
                  </w:r>
                  <w:r>
                    <w:rPr/>
                    <w:t>made</w:t>
                  </w:r>
                  <w:r>
                    <w:rPr>
                      <w:spacing w:val="-10"/>
                    </w:rPr>
                    <w:t> </w:t>
                  </w:r>
                  <w:r>
                    <w:rPr/>
                    <w:t>up</w:t>
                  </w:r>
                  <w:r>
                    <w:rPr>
                      <w:spacing w:val="-10"/>
                    </w:rPr>
                    <w:t> </w:t>
                  </w:r>
                  <w:r>
                    <w:rPr/>
                    <w:t>of</w:t>
                  </w:r>
                  <w:r>
                    <w:rPr>
                      <w:spacing w:val="-8"/>
                    </w:rPr>
                    <w:t> </w:t>
                  </w:r>
                  <w:r>
                    <w:rPr/>
                    <w:t>diverse</w:t>
                  </w:r>
                  <w:r>
                    <w:rPr>
                      <w:spacing w:val="-8"/>
                    </w:rPr>
                    <w:t> </w:t>
                  </w:r>
                  <w:r>
                    <w:rPr/>
                    <w:t>flora</w:t>
                  </w:r>
                  <w:r>
                    <w:rPr>
                      <w:spacing w:val="-8"/>
                    </w:rPr>
                    <w:t> </w:t>
                  </w:r>
                  <w:r>
                    <w:rPr/>
                    <w:t>and</w:t>
                  </w:r>
                  <w:r>
                    <w:rPr>
                      <w:spacing w:val="-12"/>
                    </w:rPr>
                    <w:t> </w:t>
                  </w:r>
                  <w:r>
                    <w:rPr/>
                    <w:t>fauna.</w:t>
                  </w:r>
                </w:p>
                <w:p>
                  <w:pPr>
                    <w:pStyle w:val="BodyText"/>
                    <w:numPr>
                      <w:ilvl w:val="0"/>
                      <w:numId w:val="1"/>
                    </w:numPr>
                    <w:tabs>
                      <w:tab w:pos="587" w:val="left" w:leader="none"/>
                      <w:tab w:pos="588" w:val="left" w:leader="none"/>
                    </w:tabs>
                    <w:spacing w:line="235" w:lineRule="auto" w:before="122" w:after="0"/>
                    <w:ind w:left="587" w:right="1009" w:hanging="452"/>
                    <w:jc w:val="left"/>
                  </w:pPr>
                  <w:r>
                    <w:rPr/>
                    <w:t>Our biodiversity is highly </w:t>
                  </w:r>
                  <w:r>
                    <w:rPr>
                      <w:spacing w:val="-3"/>
                    </w:rPr>
                    <w:t>regarded for </w:t>
                  </w:r>
                  <w:r>
                    <w:rPr/>
                    <w:t>its </w:t>
                  </w:r>
                  <w:r>
                    <w:rPr>
                      <w:spacing w:val="-4"/>
                    </w:rPr>
                    <w:t>diversity, </w:t>
                  </w:r>
                  <w:r>
                    <w:rPr/>
                    <w:t>endemism, and evolutionary</w:t>
                  </w:r>
                  <w:r>
                    <w:rPr>
                      <w:spacing w:val="-6"/>
                    </w:rPr>
                    <w:t> </w:t>
                  </w:r>
                  <w:r>
                    <w:rPr/>
                    <w:t>adaptations.</w:t>
                  </w:r>
                </w:p>
                <w:p>
                  <w:pPr>
                    <w:pStyle w:val="BodyText"/>
                    <w:numPr>
                      <w:ilvl w:val="0"/>
                      <w:numId w:val="1"/>
                    </w:numPr>
                    <w:tabs>
                      <w:tab w:pos="587" w:val="left" w:leader="none"/>
                      <w:tab w:pos="588" w:val="left" w:leader="none"/>
                    </w:tabs>
                    <w:spacing w:line="235" w:lineRule="auto" w:before="122" w:after="0"/>
                    <w:ind w:left="587" w:right="163" w:hanging="452"/>
                    <w:jc w:val="left"/>
                  </w:pPr>
                  <w:r>
                    <w:rPr/>
                    <w:t>Australia is considered one of the </w:t>
                  </w:r>
                  <w:r>
                    <w:rPr>
                      <w:spacing w:val="-4"/>
                    </w:rPr>
                    <w:t>world’s </w:t>
                  </w:r>
                  <w:r>
                    <w:rPr/>
                    <w:t>17 megadiverse countries, which together account </w:t>
                  </w:r>
                  <w:r>
                    <w:rPr>
                      <w:spacing w:val="-3"/>
                    </w:rPr>
                    <w:t>for </w:t>
                  </w:r>
                  <w:r>
                    <w:rPr/>
                    <w:t>70% of the </w:t>
                  </w:r>
                  <w:r>
                    <w:rPr>
                      <w:spacing w:val="-4"/>
                    </w:rPr>
                    <w:t>world’s </w:t>
                  </w:r>
                  <w:r>
                    <w:rPr/>
                    <w:t>biological diversity across less than 10%</w:t>
                  </w:r>
                  <w:r>
                    <w:rPr>
                      <w:spacing w:val="-41"/>
                    </w:rPr>
                    <w:t> </w:t>
                  </w:r>
                  <w:r>
                    <w:rPr/>
                    <w:t>of the </w:t>
                  </w:r>
                  <w:r>
                    <w:rPr>
                      <w:spacing w:val="-4"/>
                    </w:rPr>
                    <w:t>world’s</w:t>
                  </w:r>
                  <w:r>
                    <w:rPr>
                      <w:spacing w:val="2"/>
                    </w:rPr>
                    <w:t> </w:t>
                  </w:r>
                  <w:r>
                    <w:rPr/>
                    <w:t>surface.</w:t>
                  </w:r>
                </w:p>
                <w:p>
                  <w:pPr>
                    <w:pStyle w:val="BodyText"/>
                    <w:numPr>
                      <w:ilvl w:val="0"/>
                      <w:numId w:val="1"/>
                    </w:numPr>
                    <w:tabs>
                      <w:tab w:pos="588" w:val="left" w:leader="none"/>
                    </w:tabs>
                    <w:spacing w:line="235" w:lineRule="auto" w:before="126" w:after="0"/>
                    <w:ind w:left="587" w:right="170" w:hanging="452"/>
                    <w:jc w:val="both"/>
                  </w:pPr>
                  <w:r>
                    <w:rPr/>
                    <w:t>Around 150,000 species have been formally described</w:t>
                  </w:r>
                  <w:r>
                    <w:rPr>
                      <w:spacing w:val="-50"/>
                    </w:rPr>
                    <w:t> </w:t>
                  </w:r>
                  <w:r>
                    <w:rPr/>
                    <w:t>in Australia, but this is only about 25% of the total number present.</w:t>
                  </w:r>
                </w:p>
                <w:p>
                  <w:pPr>
                    <w:pStyle w:val="BodyText"/>
                    <w:numPr>
                      <w:ilvl w:val="0"/>
                      <w:numId w:val="1"/>
                    </w:numPr>
                    <w:tabs>
                      <w:tab w:pos="587" w:val="left" w:leader="none"/>
                      <w:tab w:pos="588" w:val="left" w:leader="none"/>
                    </w:tabs>
                    <w:spacing w:line="235" w:lineRule="auto" w:before="123" w:after="0"/>
                    <w:ind w:left="587" w:right="404" w:hanging="452"/>
                    <w:jc w:val="left"/>
                  </w:pPr>
                  <w:r>
                    <w:rPr/>
                    <w:t>Australia has many </w:t>
                  </w:r>
                  <w:r>
                    <w:rPr>
                      <w:spacing w:val="-3"/>
                    </w:rPr>
                    <w:t>different </w:t>
                  </w:r>
                  <w:r>
                    <w:rPr/>
                    <w:t>climates zones primarily due to the vast size of the continent—equatorial, tropical,</w:t>
                  </w:r>
                  <w:r>
                    <w:rPr>
                      <w:spacing w:val="-14"/>
                    </w:rPr>
                    <w:t> </w:t>
                  </w:r>
                  <w:r>
                    <w:rPr/>
                    <w:t>subtropical,</w:t>
                  </w:r>
                  <w:r>
                    <w:rPr>
                      <w:spacing w:val="-14"/>
                    </w:rPr>
                    <w:t> </w:t>
                  </w:r>
                  <w:r>
                    <w:rPr/>
                    <w:t>desert,</w:t>
                  </w:r>
                  <w:r>
                    <w:rPr>
                      <w:spacing w:val="-11"/>
                    </w:rPr>
                    <w:t> </w:t>
                  </w:r>
                  <w:r>
                    <w:rPr/>
                    <w:t>grassland,</w:t>
                  </w:r>
                  <w:r>
                    <w:rPr>
                      <w:spacing w:val="-17"/>
                    </w:rPr>
                    <w:t> </w:t>
                  </w:r>
                  <w:r>
                    <w:rPr/>
                    <w:t>and</w:t>
                  </w:r>
                  <w:r>
                    <w:rPr>
                      <w:spacing w:val="-15"/>
                    </w:rPr>
                    <w:t> </w:t>
                  </w:r>
                  <w:r>
                    <w:rPr/>
                    <w:t>temperate.</w:t>
                  </w:r>
                </w:p>
                <w:p>
                  <w:pPr>
                    <w:pStyle w:val="BodyText"/>
                    <w:numPr>
                      <w:ilvl w:val="0"/>
                      <w:numId w:val="1"/>
                    </w:numPr>
                    <w:tabs>
                      <w:tab w:pos="587" w:val="left" w:leader="none"/>
                      <w:tab w:pos="588" w:val="left" w:leader="none"/>
                    </w:tabs>
                    <w:spacing w:line="235" w:lineRule="auto" w:before="124" w:after="0"/>
                    <w:ind w:left="587" w:right="164" w:hanging="452"/>
                    <w:jc w:val="left"/>
                  </w:pPr>
                  <w:r>
                    <w:rPr>
                      <w:spacing w:val="-3"/>
                    </w:rPr>
                    <w:t>Australia’s </w:t>
                  </w:r>
                  <w:r>
                    <w:rPr/>
                    <w:t>land mass is around three-quarters the size</w:t>
                  </w:r>
                  <w:r>
                    <w:rPr>
                      <w:spacing w:val="-49"/>
                    </w:rPr>
                    <w:t> </w:t>
                  </w:r>
                  <w:r>
                    <w:rPr/>
                    <w:t>of Europe (Aus: 7,692,024 km</w:t>
                  </w:r>
                  <w:r>
                    <w:rPr>
                      <w:position w:val="10"/>
                      <w:sz w:val="21"/>
                    </w:rPr>
                    <w:t>2 </w:t>
                  </w:r>
                  <w:r>
                    <w:rPr/>
                    <w:t>; Europe: 10,180,000</w:t>
                  </w:r>
                  <w:r>
                    <w:rPr>
                      <w:spacing w:val="-32"/>
                    </w:rPr>
                    <w:t> </w:t>
                  </w:r>
                  <w:r>
                    <w:rPr/>
                    <w:t>km</w:t>
                  </w:r>
                  <w:r>
                    <w:rPr>
                      <w:position w:val="10"/>
                      <w:sz w:val="21"/>
                    </w:rPr>
                    <w:t>2</w:t>
                  </w:r>
                  <w:r>
                    <w:rPr/>
                    <w:t>).</w:t>
                  </w:r>
                </w:p>
              </w:txbxContent>
            </v:textbox>
            <v:stroke dashstyle="solid"/>
            <w10:wrap type="none"/>
          </v:shape>
        </w:pict>
      </w:r>
      <w:r>
        <w:rPr>
          <w:b/>
          <w:i/>
          <w:color w:val="A7082D"/>
          <w:position w:val="1"/>
          <w:sz w:val="28"/>
        </w:rPr>
        <w:t>Australia has globally</w:t>
      </w:r>
      <w:r>
        <w:rPr>
          <w:b/>
          <w:i/>
          <w:color w:val="A7082D"/>
          <w:spacing w:val="-13"/>
          <w:position w:val="1"/>
          <w:sz w:val="28"/>
        </w:rPr>
        <w:t> </w:t>
      </w:r>
      <w:r>
        <w:rPr>
          <w:b/>
          <w:i/>
          <w:color w:val="A7082D"/>
          <w:position w:val="1"/>
          <w:sz w:val="28"/>
        </w:rPr>
        <w:t>distinctive</w:t>
      </w:r>
      <w:r>
        <w:rPr>
          <w:b/>
          <w:i/>
          <w:color w:val="A7082D"/>
          <w:spacing w:val="-7"/>
          <w:position w:val="1"/>
          <w:sz w:val="28"/>
        </w:rPr>
        <w:t> </w:t>
      </w:r>
      <w:r>
        <w:rPr>
          <w:b/>
          <w:i/>
          <w:color w:val="A7082D"/>
          <w:position w:val="1"/>
          <w:sz w:val="28"/>
        </w:rPr>
        <w:t>biodiversity</w:t>
        <w:tab/>
      </w:r>
      <w:r>
        <w:rPr>
          <w:b/>
          <w:i/>
          <w:color w:val="A7082D"/>
          <w:sz w:val="28"/>
        </w:rPr>
        <w:t>Australia is around three-quarters the size of</w:t>
      </w:r>
      <w:r>
        <w:rPr>
          <w:b/>
          <w:i/>
          <w:color w:val="A7082D"/>
          <w:spacing w:val="-38"/>
          <w:sz w:val="28"/>
        </w:rPr>
        <w:t> </w:t>
      </w:r>
      <w:r>
        <w:rPr>
          <w:b/>
          <w:i/>
          <w:color w:val="A7082D"/>
          <w:sz w:val="28"/>
        </w:rPr>
        <w:t>Europe</w:t>
      </w:r>
    </w:p>
    <w:p>
      <w:pPr>
        <w:pStyle w:val="BodyText"/>
        <w:spacing w:before="10"/>
        <w:rPr>
          <w:b/>
          <w:i/>
          <w:sz w:val="22"/>
        </w:rPr>
      </w:pPr>
      <w:r>
        <w:rPr/>
        <w:drawing>
          <wp:anchor distT="0" distB="0" distL="0" distR="0" allowOverlap="1" layoutInCell="1" locked="0" behindDoc="0" simplePos="0" relativeHeight="4">
            <wp:simplePos x="0" y="0"/>
            <wp:positionH relativeFrom="page">
              <wp:posOffset>10739628</wp:posOffset>
            </wp:positionH>
            <wp:positionV relativeFrom="paragraph">
              <wp:posOffset>202142</wp:posOffset>
            </wp:positionV>
            <wp:extent cx="4043938" cy="4042410"/>
            <wp:effectExtent l="0" t="0" r="0" b="0"/>
            <wp:wrapTopAndBottom/>
            <wp:docPr id="11" name="image6.jpeg" descr="Map  Description automatically generated"/>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4043938" cy="4042410"/>
                    </a:xfrm>
                    <a:prstGeom prst="rect">
                      <a:avLst/>
                    </a:prstGeom>
                  </pic:spPr>
                </pic:pic>
              </a:graphicData>
            </a:graphic>
          </wp:anchor>
        </w:drawing>
      </w:r>
    </w:p>
    <w:p>
      <w:pPr>
        <w:pStyle w:val="BodyText"/>
        <w:rPr>
          <w:b/>
          <w:i/>
          <w:sz w:val="20"/>
        </w:rPr>
      </w:pPr>
    </w:p>
    <w:p>
      <w:pPr>
        <w:pStyle w:val="BodyText"/>
        <w:rPr>
          <w:b/>
          <w:i/>
          <w:sz w:val="20"/>
        </w:rPr>
      </w:pPr>
    </w:p>
    <w:p>
      <w:pPr>
        <w:pStyle w:val="BodyText"/>
        <w:rPr>
          <w:b/>
          <w:i/>
          <w:sz w:val="20"/>
        </w:rPr>
      </w:pPr>
    </w:p>
    <w:p>
      <w:pPr>
        <w:pStyle w:val="BodyText"/>
        <w:spacing w:before="4"/>
        <w:rPr>
          <w:b/>
          <w:i/>
          <w:sz w:val="14"/>
        </w:rPr>
      </w:pPr>
      <w:r>
        <w:rPr/>
        <w:drawing>
          <wp:anchor distT="0" distB="0" distL="0" distR="0" allowOverlap="1" layoutInCell="1" locked="0" behindDoc="0" simplePos="0" relativeHeight="5">
            <wp:simplePos x="0" y="0"/>
            <wp:positionH relativeFrom="page">
              <wp:posOffset>367284</wp:posOffset>
            </wp:positionH>
            <wp:positionV relativeFrom="paragraph">
              <wp:posOffset>136003</wp:posOffset>
            </wp:positionV>
            <wp:extent cx="4422648" cy="294894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4422648" cy="2948940"/>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5338571</wp:posOffset>
            </wp:positionH>
            <wp:positionV relativeFrom="paragraph">
              <wp:posOffset>136003</wp:posOffset>
            </wp:positionV>
            <wp:extent cx="4424171" cy="294894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4424171" cy="2948940"/>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10309859</wp:posOffset>
            </wp:positionH>
            <wp:positionV relativeFrom="paragraph">
              <wp:posOffset>136003</wp:posOffset>
            </wp:positionV>
            <wp:extent cx="4424171" cy="2948940"/>
            <wp:effectExtent l="0" t="0" r="0" b="0"/>
            <wp:wrapTopAndBottom/>
            <wp:docPr id="17" name="image9.jpeg" descr="A picture containing outdoor, mammal, sitting, small  Description automatically generated"/>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4424171" cy="2948940"/>
                    </a:xfrm>
                    <a:prstGeom prst="rect">
                      <a:avLst/>
                    </a:prstGeom>
                  </pic:spPr>
                </pic:pic>
              </a:graphicData>
            </a:graphic>
          </wp:anchor>
        </w:drawing>
      </w:r>
    </w:p>
    <w:p>
      <w:pPr>
        <w:pStyle w:val="BodyText"/>
        <w:rPr>
          <w:b/>
          <w:i/>
          <w:sz w:val="20"/>
        </w:rPr>
      </w:pPr>
    </w:p>
    <w:p>
      <w:pPr>
        <w:pStyle w:val="BodyText"/>
        <w:spacing w:before="3"/>
        <w:rPr>
          <w:b/>
          <w:i/>
          <w:sz w:val="27"/>
        </w:rPr>
      </w:pPr>
    </w:p>
    <w:p>
      <w:pPr>
        <w:spacing w:line="235" w:lineRule="exact" w:before="59"/>
        <w:ind w:left="501" w:right="0" w:firstLine="0"/>
        <w:jc w:val="left"/>
        <w:rPr>
          <w:sz w:val="20"/>
        </w:rPr>
      </w:pPr>
      <w:r>
        <w:rPr>
          <w:sz w:val="20"/>
        </w:rPr>
        <w:t>Cresswell, ID &amp; Murphy, HT 2017, </w:t>
      </w:r>
      <w:hyperlink r:id="rId16">
        <w:r>
          <w:rPr>
            <w:color w:val="006FC0"/>
            <w:sz w:val="20"/>
            <w:u w:val="single" w:color="006FC0"/>
          </w:rPr>
          <w:t>Australia State of the Environment 2016: Biodiversity</w:t>
        </w:r>
      </w:hyperlink>
      <w:r>
        <w:rPr>
          <w:sz w:val="20"/>
        </w:rPr>
        <w:t>, Australian Government Department of the Environment and Energy, Canberra.</w:t>
      </w:r>
    </w:p>
    <w:p>
      <w:pPr>
        <w:tabs>
          <w:tab w:pos="23348" w:val="right" w:leader="none"/>
        </w:tabs>
        <w:spacing w:line="381" w:lineRule="exact" w:before="0"/>
        <w:ind w:left="501" w:right="0" w:firstLine="0"/>
        <w:jc w:val="left"/>
        <w:rPr>
          <w:sz w:val="32"/>
        </w:rPr>
      </w:pPr>
      <w:r>
        <w:rPr>
          <w:sz w:val="20"/>
        </w:rPr>
        <w:t>Hatfield-Dodds et al. 2015, </w:t>
      </w:r>
      <w:hyperlink r:id="rId17">
        <w:r>
          <w:rPr>
            <w:color w:val="006FC0"/>
            <w:sz w:val="20"/>
            <w:u w:val="single" w:color="006FC0"/>
          </w:rPr>
          <w:t>Australian National Outlook 2015: Economic activity, resource use, environmental performance and living standards, 1970-2050</w:t>
        </w:r>
      </w:hyperlink>
      <w:r>
        <w:rPr>
          <w:sz w:val="20"/>
        </w:rPr>
        <w:t>,</w:t>
      </w:r>
      <w:r>
        <w:rPr>
          <w:spacing w:val="2"/>
          <w:sz w:val="20"/>
        </w:rPr>
        <w:t> </w:t>
      </w:r>
      <w:r>
        <w:rPr>
          <w:sz w:val="20"/>
        </w:rPr>
        <w:t>CSIRO,</w:t>
      </w:r>
      <w:r>
        <w:rPr>
          <w:spacing w:val="2"/>
          <w:sz w:val="20"/>
        </w:rPr>
        <w:t> </w:t>
      </w:r>
      <w:r>
        <w:rPr>
          <w:sz w:val="20"/>
        </w:rPr>
        <w:t>Canberra.</w:t>
        <w:tab/>
      </w:r>
      <w:r>
        <w:rPr>
          <w:position w:val="-9"/>
          <w:sz w:val="32"/>
        </w:rPr>
        <w:t>3</w:t>
      </w:r>
    </w:p>
    <w:p>
      <w:pPr>
        <w:spacing w:after="0" w:line="381" w:lineRule="exact"/>
        <w:jc w:val="left"/>
        <w:rPr>
          <w:sz w:val="32"/>
        </w:rPr>
        <w:sectPr>
          <w:pgSz w:w="23820" w:h="16840" w:orient="landscape"/>
          <w:pgMar w:top="340" w:bottom="0" w:left="220" w:right="140"/>
        </w:sectPr>
      </w:pPr>
    </w:p>
    <w:p>
      <w:pPr>
        <w:pStyle w:val="BodyText"/>
        <w:rPr>
          <w:sz w:val="20"/>
        </w:rPr>
      </w:pPr>
    </w:p>
    <w:p>
      <w:pPr>
        <w:pStyle w:val="Heading1"/>
        <w:spacing w:line="213" w:lineRule="auto" w:before="170"/>
        <w:ind w:right="1399"/>
      </w:pPr>
      <w:r>
        <w:rPr/>
        <w:drawing>
          <wp:anchor distT="0" distB="0" distL="0" distR="0" allowOverlap="1" layoutInCell="1" locked="0" behindDoc="0" simplePos="0" relativeHeight="251670528">
            <wp:simplePos x="0" y="0"/>
            <wp:positionH relativeFrom="page">
              <wp:posOffset>208788</wp:posOffset>
            </wp:positionH>
            <wp:positionV relativeFrom="paragraph">
              <wp:posOffset>-155922</wp:posOffset>
            </wp:positionV>
            <wp:extent cx="2966699" cy="1030039"/>
            <wp:effectExtent l="0" t="0" r="0" b="0"/>
            <wp:wrapNone/>
            <wp:docPr id="19" name="image4.jpeg"/>
            <wp:cNvGraphicFramePr>
              <a:graphicFrameLocks noChangeAspect="1"/>
            </wp:cNvGraphicFramePr>
            <a:graphic>
              <a:graphicData uri="http://schemas.openxmlformats.org/drawingml/2006/picture">
                <pic:pic>
                  <pic:nvPicPr>
                    <pic:cNvPr id="20" name="image4.jpeg"/>
                    <pic:cNvPicPr/>
                  </pic:nvPicPr>
                  <pic:blipFill>
                    <a:blip r:embed="rId10" cstate="print"/>
                    <a:stretch>
                      <a:fillRect/>
                    </a:stretch>
                  </pic:blipFill>
                  <pic:spPr>
                    <a:xfrm>
                      <a:off x="0" y="0"/>
                      <a:ext cx="2966699" cy="1030039"/>
                    </a:xfrm>
                    <a:prstGeom prst="rect">
                      <a:avLst/>
                    </a:prstGeom>
                  </pic:spPr>
                </pic:pic>
              </a:graphicData>
            </a:graphic>
          </wp:anchor>
        </w:drawing>
      </w:r>
      <w:r>
        <w:rPr/>
        <w:pict>
          <v:shape style="position:absolute;margin-left:726.47998pt;margin-top:97.177162pt;width:434.05pt;height:691.7pt;mso-position-horizontal-relative:page;mso-position-vertical-relative:paragraph;z-index:-252487680" type="#_x0000_t202" filled="false" stroked="true" strokeweight=".75pt" strokecolor="#000000">
            <v:textbox inset="0,0,0,0">
              <w:txbxContent>
                <w:p>
                  <w:pPr>
                    <w:pStyle w:val="BodyText"/>
                    <w:numPr>
                      <w:ilvl w:val="0"/>
                      <w:numId w:val="2"/>
                    </w:numPr>
                    <w:tabs>
                      <w:tab w:pos="409" w:val="left" w:leader="none"/>
                    </w:tabs>
                    <w:spacing w:line="235" w:lineRule="auto" w:before="67" w:after="0"/>
                    <w:ind w:left="408" w:right="262" w:hanging="272"/>
                    <w:jc w:val="left"/>
                  </w:pPr>
                  <w:r>
                    <w:rPr/>
                    <w:t>Agriculture accounts </w:t>
                  </w:r>
                  <w:r>
                    <w:rPr>
                      <w:spacing w:val="-3"/>
                    </w:rPr>
                    <w:t>for </w:t>
                  </w:r>
                  <w:r>
                    <w:rPr/>
                    <w:t>11% of </w:t>
                  </w:r>
                  <w:r>
                    <w:rPr>
                      <w:spacing w:val="-3"/>
                    </w:rPr>
                    <w:t>Australia’s </w:t>
                  </w:r>
                  <w:r>
                    <w:rPr/>
                    <w:t>good and services exports, 2.2% of value added (GDP), and 2.6% of</w:t>
                  </w:r>
                  <w:r>
                    <w:rPr>
                      <w:spacing w:val="-42"/>
                    </w:rPr>
                    <w:t> </w:t>
                  </w:r>
                  <w:r>
                    <w:rPr/>
                    <w:t>employment in</w:t>
                  </w:r>
                  <w:r>
                    <w:rPr>
                      <w:spacing w:val="-4"/>
                    </w:rPr>
                    <w:t> </w:t>
                  </w:r>
                  <w:r>
                    <w:rPr/>
                    <w:t>2018–19.</w:t>
                  </w:r>
                </w:p>
                <w:p>
                  <w:pPr>
                    <w:pStyle w:val="BodyText"/>
                    <w:numPr>
                      <w:ilvl w:val="0"/>
                      <w:numId w:val="2"/>
                    </w:numPr>
                    <w:tabs>
                      <w:tab w:pos="409" w:val="left" w:leader="none"/>
                    </w:tabs>
                    <w:spacing w:line="235" w:lineRule="auto" w:before="124" w:after="0"/>
                    <w:ind w:left="408" w:right="259" w:hanging="272"/>
                    <w:jc w:val="left"/>
                  </w:pPr>
                  <w:r>
                    <w:rPr/>
                    <w:t>Australia</w:t>
                  </w:r>
                  <w:r>
                    <w:rPr>
                      <w:spacing w:val="-12"/>
                    </w:rPr>
                    <w:t> </w:t>
                  </w:r>
                  <w:r>
                    <w:rPr/>
                    <w:t>exports</w:t>
                  </w:r>
                  <w:r>
                    <w:rPr>
                      <w:spacing w:val="-4"/>
                    </w:rPr>
                    <w:t> </w:t>
                  </w:r>
                  <w:r>
                    <w:rPr/>
                    <w:t>around</w:t>
                  </w:r>
                  <w:r>
                    <w:rPr>
                      <w:spacing w:val="-8"/>
                    </w:rPr>
                    <w:t> </w:t>
                  </w:r>
                  <w:r>
                    <w:rPr/>
                    <w:t>70%</w:t>
                  </w:r>
                  <w:r>
                    <w:rPr>
                      <w:spacing w:val="-2"/>
                    </w:rPr>
                    <w:t> </w:t>
                  </w:r>
                  <w:r>
                    <w:rPr/>
                    <w:t>of</w:t>
                  </w:r>
                  <w:r>
                    <w:rPr>
                      <w:spacing w:val="-8"/>
                    </w:rPr>
                    <w:t> </w:t>
                  </w:r>
                  <w:r>
                    <w:rPr/>
                    <w:t>the</w:t>
                  </w:r>
                  <w:r>
                    <w:rPr>
                      <w:spacing w:val="-7"/>
                    </w:rPr>
                    <w:t> </w:t>
                  </w:r>
                  <w:r>
                    <w:rPr/>
                    <w:t>total</w:t>
                  </w:r>
                  <w:r>
                    <w:rPr>
                      <w:spacing w:val="-9"/>
                    </w:rPr>
                    <w:t> </w:t>
                  </w:r>
                  <w:r>
                    <w:rPr/>
                    <w:t>value</w:t>
                  </w:r>
                  <w:r>
                    <w:rPr>
                      <w:spacing w:val="-9"/>
                    </w:rPr>
                    <w:t> </w:t>
                  </w:r>
                  <w:r>
                    <w:rPr/>
                    <w:t>of</w:t>
                  </w:r>
                  <w:r>
                    <w:rPr>
                      <w:spacing w:val="-5"/>
                    </w:rPr>
                    <w:t> </w:t>
                  </w:r>
                  <w:r>
                    <w:rPr/>
                    <w:t>agriculture, fisheries</w:t>
                  </w:r>
                  <w:r>
                    <w:rPr>
                      <w:spacing w:val="-8"/>
                    </w:rPr>
                    <w:t> </w:t>
                  </w:r>
                  <w:r>
                    <w:rPr/>
                    <w:t>and</w:t>
                  </w:r>
                  <w:r>
                    <w:rPr>
                      <w:spacing w:val="-8"/>
                    </w:rPr>
                    <w:t> </w:t>
                  </w:r>
                  <w:r>
                    <w:rPr/>
                    <w:t>forestry</w:t>
                  </w:r>
                  <w:r>
                    <w:rPr>
                      <w:spacing w:val="-1"/>
                    </w:rPr>
                    <w:t> </w:t>
                  </w:r>
                  <w:r>
                    <w:rPr/>
                    <w:t>production</w:t>
                  </w:r>
                  <w:r>
                    <w:rPr>
                      <w:spacing w:val="-7"/>
                    </w:rPr>
                    <w:t> </w:t>
                  </w:r>
                  <w:r>
                    <w:rPr/>
                    <w:t>(around</w:t>
                  </w:r>
                  <w:r>
                    <w:rPr>
                      <w:spacing w:val="-5"/>
                    </w:rPr>
                    <w:t> </w:t>
                  </w:r>
                  <w:r>
                    <w:rPr/>
                    <w:t>$49</w:t>
                  </w:r>
                  <w:r>
                    <w:rPr>
                      <w:spacing w:val="-4"/>
                    </w:rPr>
                    <w:t> </w:t>
                  </w:r>
                  <w:r>
                    <w:rPr/>
                    <w:t>billion</w:t>
                  </w:r>
                  <w:r>
                    <w:rPr>
                      <w:spacing w:val="-13"/>
                    </w:rPr>
                    <w:t> </w:t>
                  </w:r>
                  <w:r>
                    <w:rPr/>
                    <w:t>in</w:t>
                  </w:r>
                  <w:r>
                    <w:rPr>
                      <w:spacing w:val="-10"/>
                    </w:rPr>
                    <w:t> </w:t>
                  </w:r>
                  <w:r>
                    <w:rPr/>
                    <w:t>2018–</w:t>
                  </w:r>
                </w:p>
                <w:p>
                  <w:pPr>
                    <w:pStyle w:val="BodyText"/>
                    <w:spacing w:line="387" w:lineRule="exact"/>
                    <w:ind w:left="408"/>
                  </w:pPr>
                  <w:r>
                    <w:rPr/>
                    <w:t>19) and is the 12th largest global agricultural exporter.</w:t>
                  </w:r>
                </w:p>
                <w:p>
                  <w:pPr>
                    <w:pStyle w:val="BodyText"/>
                    <w:numPr>
                      <w:ilvl w:val="0"/>
                      <w:numId w:val="2"/>
                    </w:numPr>
                    <w:tabs>
                      <w:tab w:pos="409" w:val="left" w:leader="none"/>
                    </w:tabs>
                    <w:spacing w:line="387" w:lineRule="exact" w:before="113" w:after="0"/>
                    <w:ind w:left="408" w:right="0" w:hanging="273"/>
                    <w:jc w:val="left"/>
                  </w:pPr>
                  <w:r>
                    <w:rPr/>
                    <w:t>The</w:t>
                  </w:r>
                  <w:r>
                    <w:rPr>
                      <w:spacing w:val="-7"/>
                    </w:rPr>
                    <w:t> </w:t>
                  </w:r>
                  <w:r>
                    <w:rPr/>
                    <w:t>mix</w:t>
                  </w:r>
                  <w:r>
                    <w:rPr>
                      <w:spacing w:val="-9"/>
                    </w:rPr>
                    <w:t> </w:t>
                  </w:r>
                  <w:r>
                    <w:rPr/>
                    <w:t>of</w:t>
                  </w:r>
                  <w:r>
                    <w:rPr>
                      <w:spacing w:val="-4"/>
                    </w:rPr>
                    <w:t> </w:t>
                  </w:r>
                  <w:r>
                    <w:rPr/>
                    <w:t>Australian</w:t>
                  </w:r>
                  <w:r>
                    <w:rPr>
                      <w:spacing w:val="-11"/>
                    </w:rPr>
                    <w:t> </w:t>
                  </w:r>
                  <w:r>
                    <w:rPr/>
                    <w:t>agricultural</w:t>
                  </w:r>
                  <w:r>
                    <w:rPr>
                      <w:spacing w:val="-10"/>
                    </w:rPr>
                    <w:t> </w:t>
                  </w:r>
                  <w:r>
                    <w:rPr/>
                    <w:t>activity</w:t>
                  </w:r>
                  <w:r>
                    <w:rPr>
                      <w:spacing w:val="-10"/>
                    </w:rPr>
                    <w:t> </w:t>
                  </w:r>
                  <w:r>
                    <w:rPr/>
                    <w:t>is</w:t>
                  </w:r>
                  <w:r>
                    <w:rPr>
                      <w:spacing w:val="-9"/>
                    </w:rPr>
                    <w:t> </w:t>
                  </w:r>
                  <w:r>
                    <w:rPr/>
                    <w:t>determined</w:t>
                  </w:r>
                  <w:r>
                    <w:rPr>
                      <w:spacing w:val="-2"/>
                    </w:rPr>
                    <w:t> </w:t>
                  </w:r>
                  <w:r>
                    <w:rPr/>
                    <w:t>by</w:t>
                  </w:r>
                </w:p>
                <w:p>
                  <w:pPr>
                    <w:pStyle w:val="BodyText"/>
                    <w:spacing w:line="387" w:lineRule="exact"/>
                    <w:ind w:left="408"/>
                  </w:pPr>
                  <w:r>
                    <w:rPr/>
                    <w:t>climate, water </w:t>
                  </w:r>
                  <w:r>
                    <w:rPr>
                      <w:spacing w:val="-3"/>
                    </w:rPr>
                    <w:t>availability, </w:t>
                  </w:r>
                  <w:r>
                    <w:rPr/>
                    <w:t>soil type and proximity to</w:t>
                  </w:r>
                  <w:r>
                    <w:rPr>
                      <w:spacing w:val="-46"/>
                    </w:rPr>
                    <w:t> </w:t>
                  </w:r>
                  <w:r>
                    <w:rPr>
                      <w:spacing w:val="-3"/>
                    </w:rPr>
                    <w:t>markets.</w:t>
                  </w:r>
                </w:p>
                <w:p>
                  <w:pPr>
                    <w:pStyle w:val="BodyText"/>
                    <w:numPr>
                      <w:ilvl w:val="1"/>
                      <w:numId w:val="2"/>
                    </w:numPr>
                    <w:tabs>
                      <w:tab w:pos="704" w:val="left" w:leader="none"/>
                    </w:tabs>
                    <w:spacing w:line="230" w:lineRule="auto" w:before="126" w:after="0"/>
                    <w:ind w:left="703" w:right="406" w:hanging="269"/>
                    <w:jc w:val="left"/>
                  </w:pPr>
                  <w:r>
                    <w:rPr/>
                    <w:t>Livestock</w:t>
                  </w:r>
                  <w:r>
                    <w:rPr>
                      <w:spacing w:val="-9"/>
                    </w:rPr>
                    <w:t> </w:t>
                  </w:r>
                  <w:r>
                    <w:rPr/>
                    <w:t>grazing</w:t>
                  </w:r>
                  <w:r>
                    <w:rPr>
                      <w:spacing w:val="-9"/>
                    </w:rPr>
                    <w:t> </w:t>
                  </w:r>
                  <w:r>
                    <w:rPr/>
                    <w:t>is</w:t>
                  </w:r>
                  <w:r>
                    <w:rPr>
                      <w:spacing w:val="-9"/>
                    </w:rPr>
                    <w:t> </w:t>
                  </w:r>
                  <w:r>
                    <w:rPr/>
                    <w:t>widespread,</w:t>
                  </w:r>
                  <w:r>
                    <w:rPr>
                      <w:spacing w:val="-4"/>
                    </w:rPr>
                    <w:t> </w:t>
                  </w:r>
                  <w:r>
                    <w:rPr/>
                    <w:t>occurring</w:t>
                  </w:r>
                  <w:r>
                    <w:rPr>
                      <w:spacing w:val="-5"/>
                    </w:rPr>
                    <w:t> </w:t>
                  </w:r>
                  <w:r>
                    <w:rPr/>
                    <w:t>in</w:t>
                  </w:r>
                  <w:r>
                    <w:rPr>
                      <w:spacing w:val="-11"/>
                    </w:rPr>
                    <w:t> </w:t>
                  </w:r>
                  <w:r>
                    <w:rPr/>
                    <w:t>most</w:t>
                  </w:r>
                  <w:r>
                    <w:rPr>
                      <w:spacing w:val="-5"/>
                    </w:rPr>
                    <w:t> </w:t>
                  </w:r>
                  <w:r>
                    <w:rPr/>
                    <w:t>areas</w:t>
                  </w:r>
                  <w:r>
                    <w:rPr>
                      <w:spacing w:val="-6"/>
                    </w:rPr>
                    <w:t> </w:t>
                  </w:r>
                  <w:r>
                    <w:rPr/>
                    <w:t>of Australia.</w:t>
                  </w:r>
                </w:p>
                <w:p>
                  <w:pPr>
                    <w:pStyle w:val="BodyText"/>
                    <w:numPr>
                      <w:ilvl w:val="1"/>
                      <w:numId w:val="2"/>
                    </w:numPr>
                    <w:tabs>
                      <w:tab w:pos="704" w:val="left" w:leader="none"/>
                    </w:tabs>
                    <w:spacing w:line="230" w:lineRule="auto" w:before="128" w:after="0"/>
                    <w:ind w:left="703" w:right="751" w:hanging="269"/>
                    <w:jc w:val="left"/>
                  </w:pPr>
                  <w:r>
                    <w:rPr/>
                    <w:t>Cropping and horticulture are generally </w:t>
                  </w:r>
                  <w:r>
                    <w:rPr>
                      <w:spacing w:val="-3"/>
                    </w:rPr>
                    <w:t>concentrated</w:t>
                  </w:r>
                  <w:r>
                    <w:rPr>
                      <w:spacing w:val="-35"/>
                    </w:rPr>
                    <w:t> </w:t>
                  </w:r>
                  <w:r>
                    <w:rPr/>
                    <w:t>in more southern areas relatively close to the</w:t>
                  </w:r>
                  <w:r>
                    <w:rPr>
                      <w:spacing w:val="-10"/>
                    </w:rPr>
                    <w:t> </w:t>
                  </w:r>
                  <w:r>
                    <w:rPr/>
                    <w:t>coast.</w:t>
                  </w:r>
                </w:p>
                <w:p>
                  <w:pPr>
                    <w:pStyle w:val="BodyText"/>
                    <w:numPr>
                      <w:ilvl w:val="0"/>
                      <w:numId w:val="2"/>
                    </w:numPr>
                    <w:tabs>
                      <w:tab w:pos="409" w:val="left" w:leader="none"/>
                    </w:tabs>
                    <w:spacing w:line="235" w:lineRule="auto" w:before="122" w:after="0"/>
                    <w:ind w:left="408" w:right="267" w:hanging="272"/>
                    <w:jc w:val="left"/>
                  </w:pPr>
                  <w:r>
                    <w:rPr/>
                    <w:t>Agricultural production is growing—the value of agriculture, fisheries and forestry production has increased by 19% in the past 20 </w:t>
                  </w:r>
                  <w:r>
                    <w:rPr>
                      <w:spacing w:val="-3"/>
                    </w:rPr>
                    <w:t>years </w:t>
                  </w:r>
                  <w:r>
                    <w:rPr/>
                    <w:t>in real terms (adjusted </w:t>
                  </w:r>
                  <w:r>
                    <w:rPr>
                      <w:spacing w:val="-3"/>
                    </w:rPr>
                    <w:t>for </w:t>
                  </w:r>
                  <w:r>
                    <w:rPr/>
                    <w:t>inflation), from approximately $58 billion in 1999–2000, to</w:t>
                  </w:r>
                  <w:r>
                    <w:rPr>
                      <w:spacing w:val="-53"/>
                    </w:rPr>
                    <w:t> </w:t>
                  </w:r>
                  <w:r>
                    <w:rPr/>
                    <w:t>around $69 billion in</w:t>
                  </w:r>
                  <w:r>
                    <w:rPr>
                      <w:spacing w:val="-3"/>
                    </w:rPr>
                    <w:t> </w:t>
                  </w:r>
                  <w:r>
                    <w:rPr/>
                    <w:t>2018–19.</w:t>
                  </w:r>
                </w:p>
                <w:p>
                  <w:pPr>
                    <w:pStyle w:val="BodyText"/>
                    <w:numPr>
                      <w:ilvl w:val="0"/>
                      <w:numId w:val="2"/>
                    </w:numPr>
                    <w:tabs>
                      <w:tab w:pos="409" w:val="left" w:leader="none"/>
                    </w:tabs>
                    <w:spacing w:line="235" w:lineRule="auto" w:before="126" w:after="0"/>
                    <w:ind w:left="408" w:right="967" w:hanging="272"/>
                    <w:jc w:val="left"/>
                  </w:pPr>
                  <w:r>
                    <w:rPr/>
                    <w:t>Economic</w:t>
                  </w:r>
                  <w:r>
                    <w:rPr>
                      <w:spacing w:val="-6"/>
                    </w:rPr>
                    <w:t> </w:t>
                  </w:r>
                  <w:r>
                    <w:rPr/>
                    <w:t>performance</w:t>
                  </w:r>
                  <w:r>
                    <w:rPr>
                      <w:spacing w:val="-1"/>
                    </w:rPr>
                    <w:t> </w:t>
                  </w:r>
                  <w:r>
                    <w:rPr/>
                    <w:t>is</w:t>
                  </w:r>
                  <w:r>
                    <w:rPr>
                      <w:spacing w:val="-10"/>
                    </w:rPr>
                    <w:t> </w:t>
                  </w:r>
                  <w:r>
                    <w:rPr/>
                    <w:t>driven</w:t>
                  </w:r>
                  <w:r>
                    <w:rPr>
                      <w:spacing w:val="-7"/>
                    </w:rPr>
                    <w:t> </w:t>
                  </w:r>
                  <w:r>
                    <w:rPr/>
                    <w:t>by</w:t>
                  </w:r>
                  <w:r>
                    <w:rPr>
                      <w:spacing w:val="-7"/>
                    </w:rPr>
                    <w:t> </w:t>
                  </w:r>
                  <w:r>
                    <w:rPr/>
                    <w:t>the</w:t>
                  </w:r>
                  <w:r>
                    <w:rPr>
                      <w:spacing w:val="-9"/>
                    </w:rPr>
                    <w:t> </w:t>
                  </w:r>
                  <w:r>
                    <w:rPr/>
                    <w:t>largest</w:t>
                  </w:r>
                  <w:r>
                    <w:rPr>
                      <w:spacing w:val="-8"/>
                    </w:rPr>
                    <w:t> </w:t>
                  </w:r>
                  <w:r>
                    <w:rPr/>
                    <w:t>and</w:t>
                  </w:r>
                  <w:r>
                    <w:rPr>
                      <w:spacing w:val="-11"/>
                    </w:rPr>
                    <w:t> </w:t>
                  </w:r>
                  <w:r>
                    <w:rPr/>
                    <w:t>most productive farms.</w:t>
                  </w:r>
                </w:p>
                <w:p>
                  <w:pPr>
                    <w:pStyle w:val="BodyText"/>
                    <w:numPr>
                      <w:ilvl w:val="1"/>
                      <w:numId w:val="2"/>
                    </w:numPr>
                    <w:tabs>
                      <w:tab w:pos="704" w:val="left" w:leader="none"/>
                    </w:tabs>
                    <w:spacing w:line="392" w:lineRule="exact" w:before="116" w:after="0"/>
                    <w:ind w:left="703" w:right="0" w:hanging="270"/>
                    <w:jc w:val="left"/>
                  </w:pPr>
                  <w:r>
                    <w:rPr/>
                    <w:t>A </w:t>
                  </w:r>
                  <w:r>
                    <w:rPr>
                      <w:spacing w:val="-3"/>
                    </w:rPr>
                    <w:t>range </w:t>
                  </w:r>
                  <w:r>
                    <w:rPr/>
                    <w:t>of </w:t>
                  </w:r>
                  <w:r>
                    <w:rPr>
                      <w:spacing w:val="-3"/>
                    </w:rPr>
                    <w:t>factors </w:t>
                  </w:r>
                  <w:r>
                    <w:rPr/>
                    <w:t>has seen large farms (with receipts</w:t>
                  </w:r>
                  <w:r>
                    <w:rPr>
                      <w:spacing w:val="-23"/>
                    </w:rPr>
                    <w:t> </w:t>
                  </w:r>
                  <w:r>
                    <w:rPr/>
                    <w:t>above</w:t>
                  </w:r>
                </w:p>
                <w:p>
                  <w:pPr>
                    <w:pStyle w:val="BodyText"/>
                    <w:spacing w:line="235" w:lineRule="auto"/>
                    <w:ind w:left="703"/>
                  </w:pPr>
                  <w:r>
                    <w:rPr/>
                    <w:t>$1 million per year in real terms) grow from around 3% to around 15% of the farm population over the last four decades.</w:t>
                  </w:r>
                </w:p>
                <w:p>
                  <w:pPr>
                    <w:pStyle w:val="BodyText"/>
                    <w:numPr>
                      <w:ilvl w:val="1"/>
                      <w:numId w:val="2"/>
                    </w:numPr>
                    <w:tabs>
                      <w:tab w:pos="704" w:val="left" w:leader="none"/>
                    </w:tabs>
                    <w:spacing w:line="230" w:lineRule="auto" w:before="127" w:after="0"/>
                    <w:ind w:left="703" w:right="490" w:hanging="269"/>
                    <w:jc w:val="left"/>
                  </w:pPr>
                  <w:r>
                    <w:rPr/>
                    <w:t>Meanwhile, their share of output has increased from</w:t>
                  </w:r>
                  <w:r>
                    <w:rPr>
                      <w:spacing w:val="-44"/>
                    </w:rPr>
                    <w:t> </w:t>
                  </w:r>
                  <w:r>
                    <w:rPr/>
                    <w:t>25% to around 58% of the value of</w:t>
                  </w:r>
                  <w:r>
                    <w:rPr>
                      <w:spacing w:val="-1"/>
                    </w:rPr>
                    <w:t> </w:t>
                  </w:r>
                  <w:r>
                    <w:rPr/>
                    <w:t>output.</w:t>
                  </w:r>
                </w:p>
                <w:p>
                  <w:pPr>
                    <w:pStyle w:val="BodyText"/>
                    <w:numPr>
                      <w:ilvl w:val="0"/>
                      <w:numId w:val="2"/>
                    </w:numPr>
                    <w:tabs>
                      <w:tab w:pos="409" w:val="left" w:leader="none"/>
                    </w:tabs>
                    <w:spacing w:line="235" w:lineRule="auto" w:before="123" w:after="0"/>
                    <w:ind w:left="408" w:right="1597" w:hanging="272"/>
                    <w:jc w:val="left"/>
                  </w:pPr>
                  <w:r>
                    <w:rPr/>
                    <w:t>Australian </w:t>
                  </w:r>
                  <w:r>
                    <w:rPr>
                      <w:spacing w:val="-3"/>
                    </w:rPr>
                    <w:t>farmers </w:t>
                  </w:r>
                  <w:r>
                    <w:rPr/>
                    <w:t>have historically</w:t>
                  </w:r>
                  <w:r>
                    <w:rPr>
                      <w:spacing w:val="-55"/>
                    </w:rPr>
                    <w:t> </w:t>
                  </w:r>
                  <w:r>
                    <w:rPr/>
                    <w:t>achieved strong productivity</w:t>
                  </w:r>
                  <w:r>
                    <w:rPr>
                      <w:spacing w:val="-1"/>
                    </w:rPr>
                    <w:t> </w:t>
                  </w:r>
                  <w:r>
                    <w:rPr/>
                    <w:t>growth.</w:t>
                  </w:r>
                </w:p>
                <w:p>
                  <w:pPr>
                    <w:pStyle w:val="BodyText"/>
                    <w:numPr>
                      <w:ilvl w:val="1"/>
                      <w:numId w:val="2"/>
                    </w:numPr>
                    <w:tabs>
                      <w:tab w:pos="776" w:val="left" w:leader="none"/>
                    </w:tabs>
                    <w:spacing w:line="232" w:lineRule="auto" w:before="125" w:after="0"/>
                    <w:ind w:left="703" w:right="497" w:hanging="269"/>
                    <w:jc w:val="left"/>
                  </w:pPr>
                  <w:r>
                    <w:rPr/>
                    <w:tab/>
                  </w:r>
                  <w:r>
                    <w:rPr/>
                    <w:t>Agricultural productivity growth has been comparable to competing </w:t>
                  </w:r>
                  <w:r>
                    <w:rPr>
                      <w:spacing w:val="-3"/>
                    </w:rPr>
                    <w:t>farmers </w:t>
                  </w:r>
                  <w:r>
                    <w:rPr/>
                    <w:t>in other high-income countries and faster than most other sectors of the Australian</w:t>
                  </w:r>
                  <w:r>
                    <w:rPr>
                      <w:spacing w:val="-54"/>
                    </w:rPr>
                    <w:t> </w:t>
                  </w:r>
                  <w:r>
                    <w:rPr>
                      <w:spacing w:val="-5"/>
                    </w:rPr>
                    <w:t>economy.</w:t>
                  </w:r>
                </w:p>
                <w:p>
                  <w:pPr>
                    <w:pStyle w:val="BodyText"/>
                    <w:numPr>
                      <w:ilvl w:val="1"/>
                      <w:numId w:val="2"/>
                    </w:numPr>
                    <w:tabs>
                      <w:tab w:pos="704" w:val="left" w:leader="none"/>
                    </w:tabs>
                    <w:spacing w:line="230" w:lineRule="auto" w:before="128" w:after="0"/>
                    <w:ind w:left="703" w:right="1644" w:hanging="269"/>
                    <w:jc w:val="left"/>
                  </w:pPr>
                  <w:r>
                    <w:rPr/>
                    <w:t>This growth has been driven by improvements</w:t>
                  </w:r>
                  <w:r>
                    <w:rPr>
                      <w:spacing w:val="-42"/>
                    </w:rPr>
                    <w:t> </w:t>
                  </w:r>
                  <w:r>
                    <w:rPr/>
                    <w:t>in technology and structural</w:t>
                  </w:r>
                  <w:r>
                    <w:rPr>
                      <w:spacing w:val="-5"/>
                    </w:rPr>
                    <w:t> </w:t>
                  </w:r>
                  <w:r>
                    <w:rPr/>
                    <w:t>change.</w:t>
                  </w:r>
                </w:p>
              </w:txbxContent>
            </v:textbox>
            <v:stroke dashstyle="solid"/>
            <w10:wrap type="none"/>
          </v:shape>
        </w:pict>
      </w:r>
      <w:r>
        <w:rPr>
          <w:color w:val="A7082D"/>
        </w:rPr>
        <w:t>Australian agriculture produces high-quality food and fibre, focusing on minimally processed products</w:t>
      </w:r>
    </w:p>
    <w:p>
      <w:pPr>
        <w:pStyle w:val="BodyText"/>
        <w:rPr>
          <w:b/>
          <w:sz w:val="20"/>
        </w:rPr>
      </w:pPr>
    </w:p>
    <w:p>
      <w:pPr>
        <w:spacing w:after="0"/>
        <w:rPr>
          <w:sz w:val="20"/>
        </w:rPr>
        <w:sectPr>
          <w:pgSz w:w="23820" w:h="16840" w:orient="landscape"/>
          <w:pgMar w:top="340" w:bottom="0" w:left="220" w:right="140"/>
        </w:sectPr>
      </w:pPr>
    </w:p>
    <w:p>
      <w:pPr>
        <w:spacing w:line="235" w:lineRule="auto" w:before="213"/>
        <w:ind w:left="331" w:right="10" w:firstLine="0"/>
        <w:jc w:val="left"/>
        <w:rPr>
          <w:b/>
          <w:i/>
          <w:sz w:val="28"/>
        </w:rPr>
      </w:pPr>
      <w:r>
        <w:rPr>
          <w:b/>
          <w:i/>
          <w:color w:val="A7082D"/>
          <w:sz w:val="28"/>
        </w:rPr>
        <w:t>Agriculture, fisheries and forestry value of production, </w:t>
      </w:r>
      <w:r>
        <w:rPr>
          <w:b/>
          <w:i/>
          <w:color w:val="A7082D"/>
          <w:sz w:val="28"/>
        </w:rPr>
        <w:t>by commodity, 2018–19</w:t>
      </w:r>
    </w:p>
    <w:p>
      <w:pPr>
        <w:spacing w:line="235" w:lineRule="auto" w:before="213"/>
        <w:ind w:left="331" w:right="9298" w:firstLine="0"/>
        <w:jc w:val="left"/>
        <w:rPr>
          <w:b/>
          <w:i/>
          <w:sz w:val="28"/>
        </w:rPr>
      </w:pPr>
      <w:r>
        <w:rPr/>
        <w:br w:type="column"/>
      </w:r>
      <w:r>
        <w:rPr>
          <w:b/>
          <w:i/>
          <w:color w:val="A7082D"/>
          <w:sz w:val="28"/>
        </w:rPr>
        <w:t>Agriculture, fisheries and forestry exports by </w:t>
      </w:r>
      <w:r>
        <w:rPr>
          <w:b/>
          <w:i/>
          <w:color w:val="A7082D"/>
          <w:sz w:val="28"/>
        </w:rPr>
        <w:t>destination, 1999–2000 to 2018–19</w:t>
      </w:r>
    </w:p>
    <w:p>
      <w:pPr>
        <w:spacing w:after="0" w:line="235" w:lineRule="auto"/>
        <w:jc w:val="left"/>
        <w:rPr>
          <w:sz w:val="28"/>
        </w:rPr>
        <w:sectPr>
          <w:type w:val="continuous"/>
          <w:pgSz w:w="23820" w:h="16840" w:orient="landscape"/>
          <w:pgMar w:top="1440" w:bottom="280" w:left="220" w:right="140"/>
          <w:cols w:num="2" w:equalWidth="0">
            <w:col w:w="6640" w:space="666"/>
            <w:col w:w="16154"/>
          </w:cols>
        </w:sectPr>
      </w:pPr>
    </w:p>
    <w:p>
      <w:pPr>
        <w:pStyle w:val="BodyText"/>
        <w:spacing w:before="6"/>
        <w:rPr>
          <w:b/>
          <w:i/>
          <w:sz w:val="5"/>
        </w:rPr>
      </w:pPr>
    </w:p>
    <w:p>
      <w:pPr>
        <w:tabs>
          <w:tab w:pos="7208" w:val="left" w:leader="none"/>
        </w:tabs>
        <w:spacing w:line="240" w:lineRule="auto"/>
        <w:ind w:left="344" w:right="0" w:firstLine="0"/>
        <w:rPr>
          <w:sz w:val="20"/>
        </w:rPr>
      </w:pPr>
      <w:r>
        <w:rPr>
          <w:sz w:val="20"/>
        </w:rPr>
        <w:drawing>
          <wp:inline distT="0" distB="0" distL="0" distR="0">
            <wp:extent cx="3584882" cy="4718304"/>
            <wp:effectExtent l="0" t="0" r="0" b="0"/>
            <wp:docPr id="21" name="image10.jpeg" descr="Chart, diagram, sunburst chart  Description automatically generated"/>
            <wp:cNvGraphicFramePr>
              <a:graphicFrameLocks noChangeAspect="1"/>
            </wp:cNvGraphicFramePr>
            <a:graphic>
              <a:graphicData uri="http://schemas.openxmlformats.org/drawingml/2006/picture">
                <pic:pic>
                  <pic:nvPicPr>
                    <pic:cNvPr id="22" name="image10.jpeg"/>
                    <pic:cNvPicPr/>
                  </pic:nvPicPr>
                  <pic:blipFill>
                    <a:blip r:embed="rId18" cstate="print"/>
                    <a:stretch>
                      <a:fillRect/>
                    </a:stretch>
                  </pic:blipFill>
                  <pic:spPr>
                    <a:xfrm>
                      <a:off x="0" y="0"/>
                      <a:ext cx="3584882" cy="4718304"/>
                    </a:xfrm>
                    <a:prstGeom prst="rect">
                      <a:avLst/>
                    </a:prstGeom>
                  </pic:spPr>
                </pic:pic>
              </a:graphicData>
            </a:graphic>
          </wp:inline>
        </w:drawing>
      </w:r>
      <w:r>
        <w:rPr>
          <w:sz w:val="20"/>
        </w:rPr>
      </w:r>
      <w:r>
        <w:rPr>
          <w:sz w:val="20"/>
        </w:rPr>
        <w:tab/>
      </w:r>
      <w:r>
        <w:rPr>
          <w:position w:val="1"/>
          <w:sz w:val="20"/>
        </w:rPr>
        <w:drawing>
          <wp:inline distT="0" distB="0" distL="0" distR="0">
            <wp:extent cx="4189772" cy="4484370"/>
            <wp:effectExtent l="0" t="0" r="0" b="0"/>
            <wp:docPr id="23" name="image11.jpeg" descr="A screenshot of a cell phone  Description automatically generated"/>
            <wp:cNvGraphicFramePr>
              <a:graphicFrameLocks noChangeAspect="1"/>
            </wp:cNvGraphicFramePr>
            <a:graphic>
              <a:graphicData uri="http://schemas.openxmlformats.org/drawingml/2006/picture">
                <pic:pic>
                  <pic:nvPicPr>
                    <pic:cNvPr id="24" name="image11.jpeg"/>
                    <pic:cNvPicPr/>
                  </pic:nvPicPr>
                  <pic:blipFill>
                    <a:blip r:embed="rId19" cstate="print"/>
                    <a:stretch>
                      <a:fillRect/>
                    </a:stretch>
                  </pic:blipFill>
                  <pic:spPr>
                    <a:xfrm>
                      <a:off x="0" y="0"/>
                      <a:ext cx="4189772" cy="4484370"/>
                    </a:xfrm>
                    <a:prstGeom prst="rect">
                      <a:avLst/>
                    </a:prstGeom>
                  </pic:spPr>
                </pic:pic>
              </a:graphicData>
            </a:graphic>
          </wp:inline>
        </w:drawing>
      </w:r>
      <w:r>
        <w:rPr>
          <w:position w:val="1"/>
          <w:sz w:val="20"/>
        </w:rPr>
      </w:r>
    </w:p>
    <w:p>
      <w:pPr>
        <w:pStyle w:val="BodyText"/>
        <w:rPr>
          <w:b/>
          <w:i/>
          <w:sz w:val="20"/>
        </w:rPr>
      </w:pPr>
    </w:p>
    <w:p>
      <w:pPr>
        <w:pStyle w:val="BodyText"/>
        <w:spacing w:before="3"/>
        <w:rPr>
          <w:b/>
          <w:i/>
          <w:sz w:val="27"/>
        </w:rPr>
      </w:pPr>
    </w:p>
    <w:p>
      <w:pPr>
        <w:spacing w:before="45"/>
        <w:ind w:left="388" w:right="0" w:firstLine="0"/>
        <w:jc w:val="left"/>
        <w:rPr>
          <w:b/>
          <w:i/>
          <w:sz w:val="28"/>
        </w:rPr>
      </w:pPr>
      <w:r>
        <w:rPr>
          <w:b/>
          <w:i/>
          <w:color w:val="A7082D"/>
          <w:sz w:val="28"/>
        </w:rPr>
        <w:t>Agriculture, fisheries and forestry production, 1999–2000 to 2018–19</w:t>
      </w:r>
    </w:p>
    <w:p>
      <w:pPr>
        <w:pStyle w:val="BodyText"/>
        <w:spacing w:before="10"/>
        <w:rPr>
          <w:b/>
          <w:i/>
          <w:sz w:val="10"/>
        </w:rPr>
      </w:pPr>
      <w:r>
        <w:rPr/>
        <w:drawing>
          <wp:anchor distT="0" distB="0" distL="0" distR="0" allowOverlap="1" layoutInCell="1" locked="0" behindDoc="0" simplePos="0" relativeHeight="11">
            <wp:simplePos x="0" y="0"/>
            <wp:positionH relativeFrom="page">
              <wp:posOffset>220979</wp:posOffset>
            </wp:positionH>
            <wp:positionV relativeFrom="paragraph">
              <wp:posOffset>108844</wp:posOffset>
            </wp:positionV>
            <wp:extent cx="8618074" cy="2373630"/>
            <wp:effectExtent l="0" t="0" r="0" b="0"/>
            <wp:wrapTopAndBottom/>
            <wp:docPr id="25" name="image12.jpeg" descr="A picture containing calendar  Description automatically generated"/>
            <wp:cNvGraphicFramePr>
              <a:graphicFrameLocks noChangeAspect="1"/>
            </wp:cNvGraphicFramePr>
            <a:graphic>
              <a:graphicData uri="http://schemas.openxmlformats.org/drawingml/2006/picture">
                <pic:pic>
                  <pic:nvPicPr>
                    <pic:cNvPr id="26" name="image12.jpeg"/>
                    <pic:cNvPicPr/>
                  </pic:nvPicPr>
                  <pic:blipFill>
                    <a:blip r:embed="rId20" cstate="print"/>
                    <a:stretch>
                      <a:fillRect/>
                    </a:stretch>
                  </pic:blipFill>
                  <pic:spPr>
                    <a:xfrm>
                      <a:off x="0" y="0"/>
                      <a:ext cx="8618074" cy="2373630"/>
                    </a:xfrm>
                    <a:prstGeom prst="rect">
                      <a:avLst/>
                    </a:prstGeom>
                  </pic:spPr>
                </pic:pic>
              </a:graphicData>
            </a:graphic>
          </wp:anchor>
        </w:drawing>
      </w:r>
    </w:p>
    <w:p>
      <w:pPr>
        <w:pStyle w:val="BodyText"/>
        <w:spacing w:before="12"/>
        <w:rPr>
          <w:b/>
          <w:i/>
          <w:sz w:val="24"/>
        </w:rPr>
      </w:pPr>
    </w:p>
    <w:p>
      <w:pPr>
        <w:spacing w:line="235" w:lineRule="exact" w:before="59"/>
        <w:ind w:left="501" w:right="0" w:firstLine="0"/>
        <w:jc w:val="left"/>
        <w:rPr>
          <w:sz w:val="20"/>
        </w:rPr>
      </w:pPr>
      <w:r>
        <w:rPr>
          <w:sz w:val="20"/>
        </w:rPr>
        <w:t>Jackson, T, Zammit, K &amp; Hatfield-Dodds, S 2020, </w:t>
      </w:r>
      <w:hyperlink r:id="rId21">
        <w:r>
          <w:rPr>
            <w:color w:val="006FC0"/>
            <w:sz w:val="20"/>
            <w:u w:val="single" w:color="006FC0"/>
          </w:rPr>
          <w:t>Snapshot of Australian Agriculture 2020</w:t>
        </w:r>
      </w:hyperlink>
      <w:r>
        <w:rPr>
          <w:sz w:val="20"/>
        </w:rPr>
        <w:t>, ABARES, Canberra.</w:t>
      </w:r>
    </w:p>
    <w:p>
      <w:pPr>
        <w:tabs>
          <w:tab w:pos="23348" w:val="right" w:leader="none"/>
        </w:tabs>
        <w:spacing w:line="381" w:lineRule="exact" w:before="0"/>
        <w:ind w:left="501" w:right="0" w:firstLine="0"/>
        <w:jc w:val="left"/>
        <w:rPr>
          <w:sz w:val="32"/>
        </w:rPr>
      </w:pPr>
      <w:r>
        <w:rPr>
          <w:sz w:val="20"/>
        </w:rPr>
        <w:t>Greenville, J 2019,</w:t>
      </w:r>
      <w:hyperlink r:id="rId22">
        <w:r>
          <w:rPr>
            <w:color w:val="006FC0"/>
            <w:sz w:val="20"/>
            <w:u w:val="single" w:color="006FC0"/>
          </w:rPr>
          <w:t> Australia’s place in global agriculture and food value chains</w:t>
        </w:r>
      </w:hyperlink>
      <w:r>
        <w:rPr>
          <w:sz w:val="20"/>
        </w:rPr>
        <w:t>,</w:t>
      </w:r>
      <w:r>
        <w:rPr>
          <w:spacing w:val="-5"/>
          <w:sz w:val="20"/>
        </w:rPr>
        <w:t> </w:t>
      </w:r>
      <w:r>
        <w:rPr>
          <w:sz w:val="20"/>
        </w:rPr>
        <w:t>ABARES, Canberra.</w:t>
        <w:tab/>
      </w:r>
      <w:r>
        <w:rPr>
          <w:position w:val="-9"/>
          <w:sz w:val="32"/>
        </w:rPr>
        <w:t>4</w:t>
      </w:r>
    </w:p>
    <w:p>
      <w:pPr>
        <w:spacing w:after="0" w:line="381" w:lineRule="exact"/>
        <w:jc w:val="left"/>
        <w:rPr>
          <w:sz w:val="32"/>
        </w:rPr>
        <w:sectPr>
          <w:type w:val="continuous"/>
          <w:pgSz w:w="23820" w:h="16840" w:orient="landscape"/>
          <w:pgMar w:top="1440" w:bottom="280" w:left="220" w:right="140"/>
        </w:sectPr>
      </w:pPr>
    </w:p>
    <w:p>
      <w:pPr>
        <w:pStyle w:val="BodyText"/>
        <w:rPr>
          <w:sz w:val="20"/>
        </w:rPr>
      </w:pPr>
    </w:p>
    <w:p>
      <w:pPr>
        <w:pStyle w:val="Heading1"/>
        <w:spacing w:line="736" w:lineRule="exact"/>
      </w:pPr>
      <w:r>
        <w:rPr/>
        <w:drawing>
          <wp:anchor distT="0" distB="0" distL="0" distR="0" allowOverlap="1" layoutInCell="1" locked="0" behindDoc="0" simplePos="0" relativeHeight="251674624">
            <wp:simplePos x="0" y="0"/>
            <wp:positionH relativeFrom="page">
              <wp:posOffset>208788</wp:posOffset>
            </wp:positionH>
            <wp:positionV relativeFrom="paragraph">
              <wp:posOffset>-155902</wp:posOffset>
            </wp:positionV>
            <wp:extent cx="2966699" cy="1030039"/>
            <wp:effectExtent l="0" t="0" r="0" b="0"/>
            <wp:wrapNone/>
            <wp:docPr id="27" name="image4.jpeg"/>
            <wp:cNvGraphicFramePr>
              <a:graphicFrameLocks noChangeAspect="1"/>
            </wp:cNvGraphicFramePr>
            <a:graphic>
              <a:graphicData uri="http://schemas.openxmlformats.org/drawingml/2006/picture">
                <pic:pic>
                  <pic:nvPicPr>
                    <pic:cNvPr id="28" name="image4.jpeg"/>
                    <pic:cNvPicPr/>
                  </pic:nvPicPr>
                  <pic:blipFill>
                    <a:blip r:embed="rId10" cstate="print"/>
                    <a:stretch>
                      <a:fillRect/>
                    </a:stretch>
                  </pic:blipFill>
                  <pic:spPr>
                    <a:xfrm>
                      <a:off x="0" y="0"/>
                      <a:ext cx="2966699" cy="1030039"/>
                    </a:xfrm>
                    <a:prstGeom prst="rect">
                      <a:avLst/>
                    </a:prstGeom>
                  </pic:spPr>
                </pic:pic>
              </a:graphicData>
            </a:graphic>
          </wp:anchor>
        </w:drawing>
      </w:r>
      <w:r>
        <w:rPr>
          <w:color w:val="A7082D"/>
        </w:rPr>
        <w:t>Strengths in sustainability:</w:t>
      </w:r>
    </w:p>
    <w:p>
      <w:pPr>
        <w:spacing w:line="736" w:lineRule="exact" w:before="0"/>
        <w:ind w:left="6272" w:right="0" w:firstLine="0"/>
        <w:jc w:val="left"/>
        <w:rPr>
          <w:b/>
          <w:sz w:val="64"/>
        </w:rPr>
      </w:pPr>
      <w:r>
        <w:rPr>
          <w:b/>
          <w:color w:val="A7082D"/>
          <w:sz w:val="64"/>
        </w:rPr>
        <w:t>Australian agriculture works with nature, not against it</w:t>
      </w:r>
    </w:p>
    <w:p>
      <w:pPr>
        <w:pStyle w:val="BodyText"/>
        <w:rPr>
          <w:b/>
          <w:sz w:val="20"/>
        </w:rPr>
      </w:pPr>
    </w:p>
    <w:p>
      <w:pPr>
        <w:pStyle w:val="BodyText"/>
        <w:spacing w:before="11"/>
        <w:rPr>
          <w:b/>
          <w:sz w:val="27"/>
        </w:rPr>
      </w:pPr>
    </w:p>
    <w:p>
      <w:pPr>
        <w:spacing w:line="339" w:lineRule="exact" w:before="44"/>
        <w:ind w:left="429" w:right="0" w:firstLine="0"/>
        <w:jc w:val="left"/>
        <w:rPr>
          <w:b/>
          <w:i/>
          <w:sz w:val="28"/>
        </w:rPr>
      </w:pPr>
      <w:r>
        <w:rPr/>
        <w:pict>
          <v:group style="position:absolute;margin-left:810.251343pt;margin-top:2.501926pt;width:334.45pt;height:325.4pt;mso-position-horizontal-relative:page;mso-position-vertical-relative:paragraph;z-index:251676672" coordorigin="16205,50" coordsize="6689,6508">
            <v:shape style="position:absolute;left:16205;top:392;width:6689;height:6166" type="#_x0000_t75" alt="Map  Description automatically generated" stroked="false">
              <v:imagedata r:id="rId23" o:title=""/>
            </v:shape>
            <v:shape style="position:absolute;left:16205;top:50;width:6689;height:6508" type="#_x0000_t202" filled="false" stroked="false">
              <v:textbox inset="0,0,0,0">
                <w:txbxContent>
                  <w:p>
                    <w:pPr>
                      <w:spacing w:line="286" w:lineRule="exact" w:before="0"/>
                      <w:ind w:left="191" w:right="0" w:firstLine="0"/>
                      <w:jc w:val="left"/>
                      <w:rPr>
                        <w:b/>
                        <w:i/>
                        <w:sz w:val="28"/>
                      </w:rPr>
                    </w:pPr>
                    <w:r>
                      <w:rPr>
                        <w:b/>
                        <w:i/>
                        <w:color w:val="A7082D"/>
                        <w:sz w:val="28"/>
                      </w:rPr>
                      <w:t>Agriculture accounts for 58% of Australian land use</w:t>
                    </w:r>
                  </w:p>
                  <w:p>
                    <w:pPr>
                      <w:spacing w:line="339" w:lineRule="exact" w:before="0"/>
                      <w:ind w:left="191" w:right="0" w:firstLine="0"/>
                      <w:jc w:val="left"/>
                      <w:rPr>
                        <w:b/>
                        <w:i/>
                        <w:sz w:val="28"/>
                      </w:rPr>
                    </w:pPr>
                    <w:r>
                      <w:rPr>
                        <w:b/>
                        <w:i/>
                        <w:color w:val="A7082D"/>
                        <w:sz w:val="28"/>
                      </w:rPr>
                      <w:t>(446 million hectares)</w:t>
                    </w:r>
                  </w:p>
                </w:txbxContent>
              </v:textbox>
              <w10:wrap type="none"/>
            </v:shape>
            <w10:wrap type="none"/>
          </v:group>
        </w:pict>
      </w:r>
      <w:r>
        <w:rPr/>
        <w:pict>
          <v:shape style="position:absolute;margin-left:415.200012pt;margin-top:-1.62991pt;width:371.55pt;height:540pt;mso-position-horizontal-relative:page;mso-position-vertical-relative:paragraph;z-index:251679744" type="#_x0000_t202" filled="false" stroked="true" strokeweight=".75pt" strokecolor="#000000">
            <v:textbox inset="0,0,0,0">
              <w:txbxContent>
                <w:p>
                  <w:pPr>
                    <w:pStyle w:val="BodyText"/>
                    <w:numPr>
                      <w:ilvl w:val="0"/>
                      <w:numId w:val="3"/>
                    </w:numPr>
                    <w:tabs>
                      <w:tab w:pos="588" w:val="left" w:leader="none"/>
                      <w:tab w:pos="589" w:val="left" w:leader="none"/>
                    </w:tabs>
                    <w:spacing w:line="235" w:lineRule="auto" w:before="65" w:after="0"/>
                    <w:ind w:left="588" w:right="400" w:hanging="452"/>
                    <w:jc w:val="left"/>
                  </w:pPr>
                  <w:r>
                    <w:rPr/>
                    <w:t>Australian agricultural </w:t>
                  </w:r>
                  <w:r>
                    <w:rPr>
                      <w:spacing w:val="-3"/>
                    </w:rPr>
                    <w:t>producers </w:t>
                  </w:r>
                  <w:r>
                    <w:rPr/>
                    <w:t>manage very significant </w:t>
                  </w:r>
                  <w:r>
                    <w:rPr>
                      <w:spacing w:val="-3"/>
                    </w:rPr>
                    <w:t>variability, </w:t>
                  </w:r>
                  <w:r>
                    <w:rPr/>
                    <w:t>particularly a highly</w:t>
                  </w:r>
                  <w:r>
                    <w:rPr>
                      <w:spacing w:val="-45"/>
                    </w:rPr>
                    <w:t> </w:t>
                  </w:r>
                  <w:r>
                    <w:rPr/>
                    <w:t>variable climate.</w:t>
                  </w:r>
                </w:p>
                <w:p>
                  <w:pPr>
                    <w:pStyle w:val="BodyText"/>
                    <w:numPr>
                      <w:ilvl w:val="0"/>
                      <w:numId w:val="3"/>
                    </w:numPr>
                    <w:tabs>
                      <w:tab w:pos="588" w:val="left" w:leader="none"/>
                      <w:tab w:pos="589" w:val="left" w:leader="none"/>
                    </w:tabs>
                    <w:spacing w:line="235" w:lineRule="auto" w:before="124" w:after="0"/>
                    <w:ind w:left="588" w:right="157" w:hanging="452"/>
                    <w:jc w:val="left"/>
                  </w:pPr>
                  <w:r>
                    <w:rPr/>
                    <w:t>Agriculture</w:t>
                  </w:r>
                  <w:r>
                    <w:rPr>
                      <w:spacing w:val="-13"/>
                    </w:rPr>
                    <w:t> </w:t>
                  </w:r>
                  <w:r>
                    <w:rPr/>
                    <w:t>is</w:t>
                  </w:r>
                  <w:r>
                    <w:rPr>
                      <w:spacing w:val="-13"/>
                    </w:rPr>
                    <w:t> </w:t>
                  </w:r>
                  <w:r>
                    <w:rPr/>
                    <w:t>undertaken</w:t>
                  </w:r>
                  <w:r>
                    <w:rPr>
                      <w:spacing w:val="-12"/>
                    </w:rPr>
                    <w:t> </w:t>
                  </w:r>
                  <w:r>
                    <w:rPr/>
                    <w:t>across</w:t>
                  </w:r>
                  <w:r>
                    <w:rPr>
                      <w:spacing w:val="-10"/>
                    </w:rPr>
                    <w:t> </w:t>
                  </w:r>
                  <w:r>
                    <w:rPr/>
                    <w:t>diverse</w:t>
                  </w:r>
                  <w:r>
                    <w:rPr>
                      <w:spacing w:val="-13"/>
                    </w:rPr>
                    <w:t> </w:t>
                  </w:r>
                  <w:r>
                    <w:rPr/>
                    <w:t>conditions, and accounts </w:t>
                  </w:r>
                  <w:r>
                    <w:rPr>
                      <w:spacing w:val="-3"/>
                    </w:rPr>
                    <w:t>for </w:t>
                  </w:r>
                  <w:r>
                    <w:rPr/>
                    <w:t>58% of Australian land</w:t>
                  </w:r>
                  <w:r>
                    <w:rPr>
                      <w:spacing w:val="-16"/>
                    </w:rPr>
                    <w:t> </w:t>
                  </w:r>
                  <w:r>
                    <w:rPr/>
                    <w:t>use.</w:t>
                  </w:r>
                </w:p>
                <w:p>
                  <w:pPr>
                    <w:pStyle w:val="BodyText"/>
                    <w:numPr>
                      <w:ilvl w:val="0"/>
                      <w:numId w:val="3"/>
                    </w:numPr>
                    <w:tabs>
                      <w:tab w:pos="588" w:val="left" w:leader="none"/>
                      <w:tab w:pos="589" w:val="left" w:leader="none"/>
                    </w:tabs>
                    <w:spacing w:line="235" w:lineRule="auto" w:before="122" w:after="0"/>
                    <w:ind w:left="588" w:right="187" w:hanging="452"/>
                    <w:jc w:val="left"/>
                  </w:pPr>
                  <w:r>
                    <w:rPr/>
                    <w:t>These</w:t>
                  </w:r>
                  <w:r>
                    <w:rPr>
                      <w:spacing w:val="-9"/>
                    </w:rPr>
                    <w:t> </w:t>
                  </w:r>
                  <w:r>
                    <w:rPr>
                      <w:spacing w:val="-3"/>
                    </w:rPr>
                    <w:t>factors</w:t>
                  </w:r>
                  <w:r>
                    <w:rPr>
                      <w:spacing w:val="-8"/>
                    </w:rPr>
                    <w:t> </w:t>
                  </w:r>
                  <w:r>
                    <w:rPr/>
                    <w:t>generate</w:t>
                  </w:r>
                  <w:r>
                    <w:rPr>
                      <w:spacing w:val="-8"/>
                    </w:rPr>
                    <w:t> </w:t>
                  </w:r>
                  <w:r>
                    <w:rPr/>
                    <w:t>substantial</w:t>
                  </w:r>
                  <w:r>
                    <w:rPr>
                      <w:spacing w:val="-15"/>
                    </w:rPr>
                    <w:t> </w:t>
                  </w:r>
                  <w:r>
                    <w:rPr/>
                    <w:t>variation</w:t>
                  </w:r>
                  <w:r>
                    <w:rPr>
                      <w:spacing w:val="-12"/>
                    </w:rPr>
                    <w:t> </w:t>
                  </w:r>
                  <w:r>
                    <w:rPr/>
                    <w:t>in</w:t>
                  </w:r>
                  <w:r>
                    <w:rPr>
                      <w:spacing w:val="-11"/>
                    </w:rPr>
                    <w:t> </w:t>
                  </w:r>
                  <w:r>
                    <w:rPr/>
                    <w:t>farm output, greater than that experienced by </w:t>
                  </w:r>
                  <w:r>
                    <w:rPr>
                      <w:spacing w:val="-3"/>
                    </w:rPr>
                    <w:t>farmers </w:t>
                  </w:r>
                  <w:r>
                    <w:rPr/>
                    <w:t>in most other countries, and greater than that experienced by business owners in other sectors</w:t>
                  </w:r>
                  <w:r>
                    <w:rPr>
                      <w:spacing w:val="-46"/>
                    </w:rPr>
                    <w:t> </w:t>
                  </w:r>
                  <w:r>
                    <w:rPr/>
                    <w:t>of the Australian</w:t>
                  </w:r>
                  <w:r>
                    <w:rPr>
                      <w:spacing w:val="-7"/>
                    </w:rPr>
                    <w:t> </w:t>
                  </w:r>
                  <w:r>
                    <w:rPr>
                      <w:spacing w:val="-5"/>
                    </w:rPr>
                    <w:t>economy.</w:t>
                  </w:r>
                </w:p>
                <w:p>
                  <w:pPr>
                    <w:pStyle w:val="BodyText"/>
                    <w:numPr>
                      <w:ilvl w:val="1"/>
                      <w:numId w:val="3"/>
                    </w:numPr>
                    <w:tabs>
                      <w:tab w:pos="704" w:val="left" w:leader="none"/>
                    </w:tabs>
                    <w:spacing w:line="232" w:lineRule="auto" w:before="129" w:after="0"/>
                    <w:ind w:left="703" w:right="622" w:hanging="269"/>
                    <w:jc w:val="left"/>
                  </w:pPr>
                  <w:r>
                    <w:rPr/>
                    <w:t>Australian agricultural output value and</w:t>
                  </w:r>
                  <w:r>
                    <w:rPr>
                      <w:spacing w:val="-44"/>
                    </w:rPr>
                    <w:t> </w:t>
                  </w:r>
                  <w:r>
                    <w:rPr>
                      <w:spacing w:val="-3"/>
                    </w:rPr>
                    <w:t>rainfall </w:t>
                  </w:r>
                  <w:r>
                    <w:rPr/>
                    <w:t>are more variable than most agricultural </w:t>
                  </w:r>
                  <w:r>
                    <w:rPr>
                      <w:spacing w:val="-3"/>
                    </w:rPr>
                    <w:t>producers </w:t>
                  </w:r>
                  <w:r>
                    <w:rPr/>
                    <w:t>(see figure top</w:t>
                  </w:r>
                  <w:r>
                    <w:rPr>
                      <w:spacing w:val="8"/>
                    </w:rPr>
                    <w:t> </w:t>
                  </w:r>
                  <w:r>
                    <w:rPr/>
                    <w:t>left).</w:t>
                  </w:r>
                </w:p>
                <w:p>
                  <w:pPr>
                    <w:pStyle w:val="BodyText"/>
                    <w:numPr>
                      <w:ilvl w:val="1"/>
                      <w:numId w:val="3"/>
                    </w:numPr>
                    <w:tabs>
                      <w:tab w:pos="704" w:val="left" w:leader="none"/>
                    </w:tabs>
                    <w:spacing w:line="232" w:lineRule="auto" w:before="125" w:after="0"/>
                    <w:ind w:left="703" w:right="689" w:hanging="269"/>
                    <w:jc w:val="left"/>
                  </w:pPr>
                  <w:r>
                    <w:rPr/>
                    <w:t>Low </w:t>
                  </w:r>
                  <w:r>
                    <w:rPr>
                      <w:spacing w:val="-3"/>
                    </w:rPr>
                    <w:t>rainfall years </w:t>
                  </w:r>
                  <w:r>
                    <w:rPr/>
                    <w:t>have become more</w:t>
                  </w:r>
                  <w:r>
                    <w:rPr>
                      <w:spacing w:val="-22"/>
                    </w:rPr>
                    <w:t> </w:t>
                  </w:r>
                  <w:r>
                    <w:rPr/>
                    <w:t>frequent over much of the wheat-sheep </w:t>
                  </w:r>
                  <w:r>
                    <w:rPr>
                      <w:spacing w:val="-3"/>
                    </w:rPr>
                    <w:t>zone </w:t>
                  </w:r>
                  <w:r>
                    <w:rPr/>
                    <w:t>in recent decades (see impacts bottom</w:t>
                  </w:r>
                  <w:r>
                    <w:rPr>
                      <w:spacing w:val="-2"/>
                    </w:rPr>
                    <w:t> </w:t>
                  </w:r>
                  <w:r>
                    <w:rPr/>
                    <w:t>right).</w:t>
                  </w:r>
                </w:p>
                <w:p>
                  <w:pPr>
                    <w:pStyle w:val="BodyText"/>
                    <w:numPr>
                      <w:ilvl w:val="0"/>
                      <w:numId w:val="3"/>
                    </w:numPr>
                    <w:tabs>
                      <w:tab w:pos="588" w:val="left" w:leader="none"/>
                      <w:tab w:pos="589" w:val="left" w:leader="none"/>
                    </w:tabs>
                    <w:spacing w:line="235" w:lineRule="auto" w:before="123" w:after="0"/>
                    <w:ind w:left="588" w:right="490" w:hanging="452"/>
                    <w:jc w:val="left"/>
                  </w:pPr>
                  <w:r>
                    <w:rPr/>
                    <w:t>Evidence that crop </w:t>
                  </w:r>
                  <w:r>
                    <w:rPr>
                      <w:spacing w:val="-3"/>
                    </w:rPr>
                    <w:t>producers </w:t>
                  </w:r>
                  <w:r>
                    <w:rPr/>
                    <w:t>have adapted to changing climate conditions and in</w:t>
                  </w:r>
                  <w:r>
                    <w:rPr>
                      <w:spacing w:val="-53"/>
                    </w:rPr>
                    <w:t> </w:t>
                  </w:r>
                  <w:r>
                    <w:rPr/>
                    <w:t>doing so have partly </w:t>
                  </w:r>
                  <w:r>
                    <w:rPr>
                      <w:spacing w:val="-3"/>
                    </w:rPr>
                    <w:t>restored </w:t>
                  </w:r>
                  <w:r>
                    <w:rPr/>
                    <w:t>productivity growth (Hughes, Lawson &amp; </w:t>
                  </w:r>
                  <w:r>
                    <w:rPr>
                      <w:spacing w:val="-4"/>
                    </w:rPr>
                    <w:t>Valle</w:t>
                  </w:r>
                  <w:r>
                    <w:rPr>
                      <w:spacing w:val="-2"/>
                    </w:rPr>
                    <w:t> </w:t>
                  </w:r>
                  <w:r>
                    <w:rPr/>
                    <w:t>2017).</w:t>
                  </w:r>
                </w:p>
                <w:p>
                  <w:pPr>
                    <w:pStyle w:val="BodyText"/>
                    <w:numPr>
                      <w:ilvl w:val="1"/>
                      <w:numId w:val="3"/>
                    </w:numPr>
                    <w:tabs>
                      <w:tab w:pos="704" w:val="left" w:leader="none"/>
                    </w:tabs>
                    <w:spacing w:line="232" w:lineRule="auto" w:before="128" w:after="0"/>
                    <w:ind w:left="703" w:right="160" w:hanging="269"/>
                    <w:jc w:val="left"/>
                  </w:pPr>
                  <w:r>
                    <w:rPr/>
                    <w:t>Strong growth in climate-adjusted productivity since 2006–07 has helped the cropping industry</w:t>
                  </w:r>
                  <w:r>
                    <w:rPr>
                      <w:spacing w:val="-36"/>
                    </w:rPr>
                    <w:t> </w:t>
                  </w:r>
                  <w:r>
                    <w:rPr/>
                    <w:t>to offset the decline in climate</w:t>
                  </w:r>
                  <w:r>
                    <w:rPr>
                      <w:spacing w:val="-16"/>
                    </w:rPr>
                    <w:t> </w:t>
                  </w:r>
                  <w:r>
                    <w:rPr/>
                    <w:t>conditions.</w:t>
                  </w:r>
                </w:p>
                <w:p>
                  <w:pPr>
                    <w:pStyle w:val="BodyText"/>
                    <w:numPr>
                      <w:ilvl w:val="1"/>
                      <w:numId w:val="3"/>
                    </w:numPr>
                    <w:tabs>
                      <w:tab w:pos="704" w:val="left" w:leader="none"/>
                    </w:tabs>
                    <w:spacing w:line="230" w:lineRule="auto" w:before="128" w:after="0"/>
                    <w:ind w:left="703" w:right="351" w:hanging="269"/>
                    <w:jc w:val="left"/>
                  </w:pPr>
                  <w:r>
                    <w:rPr>
                      <w:spacing w:val="-3"/>
                    </w:rPr>
                    <w:t>Farm </w:t>
                  </w:r>
                  <w:r>
                    <w:rPr/>
                    <w:t>productivity and wheat yields have</w:t>
                  </w:r>
                  <w:r>
                    <w:rPr>
                      <w:spacing w:val="-36"/>
                    </w:rPr>
                    <w:t> </w:t>
                  </w:r>
                  <w:r>
                    <w:rPr/>
                    <w:t>become less sensitive to climate since</w:t>
                  </w:r>
                  <w:r>
                    <w:rPr>
                      <w:spacing w:val="-14"/>
                    </w:rPr>
                    <w:t> </w:t>
                  </w:r>
                  <w:r>
                    <w:rPr/>
                    <w:t>2005–06.</w:t>
                  </w:r>
                </w:p>
              </w:txbxContent>
            </v:textbox>
            <v:stroke dashstyle="solid"/>
            <w10:wrap type="none"/>
          </v:shape>
        </w:pict>
      </w:r>
      <w:r>
        <w:rPr>
          <w:b/>
          <w:i/>
          <w:color w:val="A7082D"/>
          <w:sz w:val="28"/>
        </w:rPr>
        <w:t>Australia’s climate and agricultural output value is more</w:t>
      </w:r>
    </w:p>
    <w:p>
      <w:pPr>
        <w:spacing w:line="339" w:lineRule="exact" w:before="0"/>
        <w:ind w:left="429" w:right="0" w:firstLine="0"/>
        <w:jc w:val="left"/>
        <w:rPr>
          <w:b/>
          <w:i/>
          <w:sz w:val="28"/>
        </w:rPr>
      </w:pPr>
      <w:r>
        <w:rPr>
          <w:b/>
          <w:i/>
          <w:color w:val="A7082D"/>
          <w:sz w:val="28"/>
        </w:rPr>
        <w:t>variable than most other countries</w:t>
      </w:r>
    </w:p>
    <w:p>
      <w:pPr>
        <w:pStyle w:val="BodyText"/>
        <w:spacing w:before="7"/>
        <w:rPr>
          <w:b/>
          <w:i/>
          <w:sz w:val="10"/>
        </w:rPr>
      </w:pPr>
      <w:r>
        <w:rPr/>
        <w:pict>
          <v:group style="position:absolute;margin-left:41.279999pt;margin-top:8.424949pt;width:310.850pt;height:292.2pt;mso-position-horizontal-relative:page;mso-position-vertical-relative:paragraph;z-index:-251642880;mso-wrap-distance-left:0;mso-wrap-distance-right:0" coordorigin="826,168" coordsize="6217,5844">
            <v:shape style="position:absolute;left:1026;top:168;width:6016;height:5844" type="#_x0000_t75" stroked="false">
              <v:imagedata r:id="rId24" o:title=""/>
            </v:shape>
            <v:rect style="position:absolute;left:825;top:978;width:1160;height:456" filled="true" fillcolor="#ffffff" stroked="false">
              <v:fill type="solid"/>
            </v:rect>
            <v:shape style="position:absolute;left:884;top:1088;width:1060;height:281" type="#_x0000_t202" filled="false" stroked="false">
              <v:textbox inset="0,0,0,0">
                <w:txbxContent>
                  <w:p>
                    <w:pPr>
                      <w:spacing w:line="281" w:lineRule="exact" w:before="0"/>
                      <w:ind w:left="0" w:right="0" w:firstLine="0"/>
                      <w:jc w:val="left"/>
                      <w:rPr>
                        <w:b/>
                        <w:sz w:val="28"/>
                      </w:rPr>
                    </w:pPr>
                    <w:r>
                      <w:rPr>
                        <w:b/>
                        <w:color w:val="C00000"/>
                        <w:sz w:val="28"/>
                      </w:rPr>
                      <w:t>Australia</w:t>
                    </w:r>
                  </w:p>
                </w:txbxContent>
              </v:textbox>
              <w10:wrap type="none"/>
            </v:shape>
            <w10:wrap type="topAndBottom"/>
          </v:group>
        </w:pict>
      </w:r>
    </w:p>
    <w:p>
      <w:pPr>
        <w:pStyle w:val="BodyText"/>
        <w:spacing w:before="8"/>
        <w:rPr>
          <w:b/>
          <w:i/>
          <w:sz w:val="5"/>
        </w:rPr>
      </w:pPr>
    </w:p>
    <w:p>
      <w:pPr>
        <w:spacing w:after="0"/>
        <w:rPr>
          <w:sz w:val="5"/>
        </w:rPr>
        <w:sectPr>
          <w:pgSz w:w="23820" w:h="16840" w:orient="landscape"/>
          <w:pgMar w:top="340" w:bottom="0" w:left="220" w:right="140"/>
        </w:sectPr>
      </w:pPr>
    </w:p>
    <w:p>
      <w:pPr>
        <w:spacing w:line="235" w:lineRule="auto" w:before="245"/>
        <w:ind w:left="465" w:right="0" w:firstLine="0"/>
        <w:jc w:val="left"/>
        <w:rPr>
          <w:b/>
          <w:i/>
          <w:sz w:val="28"/>
        </w:rPr>
      </w:pPr>
      <w:r>
        <w:rPr>
          <w:b/>
          <w:i/>
          <w:color w:val="A7082D"/>
          <w:sz w:val="28"/>
        </w:rPr>
        <w:t>Climate-adjusted productivity growth, cropping farms, </w:t>
      </w:r>
      <w:r>
        <w:rPr>
          <w:b/>
          <w:i/>
          <w:color w:val="A7082D"/>
          <w:sz w:val="28"/>
        </w:rPr>
        <w:t>1978–79 to 2014–15</w:t>
      </w:r>
    </w:p>
    <w:p>
      <w:pPr>
        <w:pStyle w:val="BodyText"/>
        <w:spacing w:before="1"/>
        <w:rPr>
          <w:b/>
          <w:i/>
          <w:sz w:val="2"/>
        </w:rPr>
      </w:pPr>
    </w:p>
    <w:p>
      <w:pPr>
        <w:pStyle w:val="BodyText"/>
        <w:ind w:left="367"/>
        <w:rPr>
          <w:sz w:val="20"/>
        </w:rPr>
      </w:pPr>
      <w:r>
        <w:rPr>
          <w:sz w:val="20"/>
        </w:rPr>
        <w:drawing>
          <wp:inline distT="0" distB="0" distL="0" distR="0">
            <wp:extent cx="4111337" cy="3226307"/>
            <wp:effectExtent l="0" t="0" r="0" b="0"/>
            <wp:docPr id="29" name="image15.jpeg" descr="Chart, line chart  Description automatically generated"/>
            <wp:cNvGraphicFramePr>
              <a:graphicFrameLocks noChangeAspect="1"/>
            </wp:cNvGraphicFramePr>
            <a:graphic>
              <a:graphicData uri="http://schemas.openxmlformats.org/drawingml/2006/picture">
                <pic:pic>
                  <pic:nvPicPr>
                    <pic:cNvPr id="30" name="image15.jpeg"/>
                    <pic:cNvPicPr/>
                  </pic:nvPicPr>
                  <pic:blipFill>
                    <a:blip r:embed="rId25" cstate="print"/>
                    <a:stretch>
                      <a:fillRect/>
                    </a:stretch>
                  </pic:blipFill>
                  <pic:spPr>
                    <a:xfrm>
                      <a:off x="0" y="0"/>
                      <a:ext cx="4111337" cy="3226307"/>
                    </a:xfrm>
                    <a:prstGeom prst="rect">
                      <a:avLst/>
                    </a:prstGeom>
                  </pic:spPr>
                </pic:pic>
              </a:graphicData>
            </a:graphic>
          </wp:inline>
        </w:drawing>
      </w:r>
      <w:r>
        <w:rPr>
          <w:sz w:val="20"/>
        </w:rPr>
      </w:r>
    </w:p>
    <w:p>
      <w:pPr>
        <w:pStyle w:val="BodyText"/>
        <w:rPr>
          <w:b/>
          <w:i/>
          <w:sz w:val="20"/>
        </w:rPr>
      </w:pPr>
      <w:r>
        <w:rPr/>
        <w:br w:type="column"/>
      </w:r>
      <w:r>
        <w:rPr>
          <w:b/>
          <w:i/>
          <w:sz w:val="20"/>
        </w:rPr>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sz w:val="15"/>
        </w:rPr>
      </w:pPr>
    </w:p>
    <w:p>
      <w:pPr>
        <w:spacing w:line="235" w:lineRule="auto" w:before="0"/>
        <w:ind w:left="367" w:right="11" w:firstLine="0"/>
        <w:jc w:val="left"/>
        <w:rPr>
          <w:sz w:val="21"/>
        </w:rPr>
      </w:pPr>
      <w:r>
        <w:rPr>
          <w:sz w:val="21"/>
        </w:rPr>
        <w:t>Notes to figure top left: </w:t>
      </w:r>
      <w:r>
        <w:rPr>
          <w:color w:val="7E7E7E"/>
          <w:sz w:val="21"/>
        </w:rPr>
        <w:t>Figure presents agricultural output value volatility (1961– 2009) on top axis as an index where the average volatility across 15 countries = 1 and year-to-year rainfall variability index (1901–2015) on low axis, defined as 90th rainfall percentile minus 10th rainfall percentile divided by 50th rainfall percentile. </w:t>
      </w:r>
      <w:r>
        <w:rPr>
          <w:sz w:val="21"/>
        </w:rPr>
        <w:t>Source: </w:t>
      </w:r>
      <w:r>
        <w:rPr>
          <w:color w:val="7E7E7E"/>
          <w:sz w:val="21"/>
        </w:rPr>
        <w:t>Value from Keogh (2012) and rainfall from World Bank Group – Climate Change Knowledge Portal</w:t>
      </w:r>
    </w:p>
    <w:p>
      <w:pPr>
        <w:spacing w:line="235" w:lineRule="auto" w:before="14"/>
        <w:ind w:left="367" w:right="949" w:firstLine="0"/>
        <w:jc w:val="left"/>
        <w:rPr>
          <w:b/>
          <w:i/>
          <w:sz w:val="28"/>
        </w:rPr>
      </w:pPr>
      <w:r>
        <w:rPr/>
        <w:br w:type="column"/>
      </w:r>
      <w:r>
        <w:rPr>
          <w:b/>
          <w:i/>
          <w:color w:val="A7082D"/>
          <w:sz w:val="28"/>
        </w:rPr>
        <w:t>Shifts in climate and seasonal conditions in the last two </w:t>
      </w:r>
      <w:r>
        <w:rPr>
          <w:b/>
          <w:i/>
          <w:color w:val="A7082D"/>
          <w:sz w:val="28"/>
        </w:rPr>
        <w:t>decades have impacted farm business profits</w:t>
      </w:r>
    </w:p>
    <w:p>
      <w:pPr>
        <w:spacing w:after="0" w:line="235" w:lineRule="auto"/>
        <w:jc w:val="left"/>
        <w:rPr>
          <w:sz w:val="28"/>
        </w:rPr>
        <w:sectPr>
          <w:type w:val="continuous"/>
          <w:pgSz w:w="23820" w:h="16840" w:orient="landscape"/>
          <w:pgMar w:top="1440" w:bottom="280" w:left="220" w:right="140"/>
          <w:cols w:num="3" w:equalWidth="0">
            <w:col w:w="6975" w:space="886"/>
            <w:col w:w="7433" w:space="405"/>
            <w:col w:w="7761"/>
          </w:cols>
        </w:sectPr>
      </w:pPr>
    </w:p>
    <w:p>
      <w:pPr>
        <w:pStyle w:val="BodyText"/>
        <w:spacing w:before="4"/>
        <w:rPr>
          <w:b/>
          <w:i/>
          <w:sz w:val="24"/>
        </w:rPr>
      </w:pPr>
    </w:p>
    <w:p>
      <w:pPr>
        <w:spacing w:after="0"/>
        <w:rPr>
          <w:sz w:val="24"/>
        </w:rPr>
        <w:sectPr>
          <w:type w:val="continuous"/>
          <w:pgSz w:w="23820" w:h="16840" w:orient="landscape"/>
          <w:pgMar w:top="1440" w:bottom="280" w:left="220" w:right="140"/>
        </w:sectPr>
      </w:pPr>
    </w:p>
    <w:p>
      <w:pPr>
        <w:spacing w:line="242" w:lineRule="exact" w:before="59"/>
        <w:ind w:left="501" w:right="0" w:firstLine="0"/>
        <w:jc w:val="left"/>
        <w:rPr>
          <w:sz w:val="20"/>
        </w:rPr>
      </w:pPr>
      <w:r>
        <w:rPr/>
        <w:pict>
          <v:group style="position:absolute;margin-left:812.52002pt;margin-top:-283.42453pt;width:331pt;height:300.150pt;mso-position-horizontal-relative:page;mso-position-vertical-relative:paragraph;z-index:-252480512" coordorigin="16250,-5668" coordsize="6620,6003">
            <v:shape style="position:absolute;left:16853;top:-5669;width:6017;height:5588" type="#_x0000_t75" stroked="false">
              <v:imagedata r:id="rId26" o:title=""/>
            </v:shape>
            <v:shape style="position:absolute;left:16250;top:-1467;width:2580;height:1800" type="#_x0000_t75" stroked="false">
              <v:imagedata r:id="rId27" o:title=""/>
            </v:shape>
            <v:shape style="position:absolute;left:19650;top:97;width:3164;height:200" type="#_x0000_t202" filled="false" stroked="false">
              <v:textbox inset="0,0,0,0">
                <w:txbxContent>
                  <w:p>
                    <w:pPr>
                      <w:spacing w:line="199" w:lineRule="exact" w:before="0"/>
                      <w:ind w:left="0" w:right="0" w:firstLine="0"/>
                      <w:jc w:val="left"/>
                      <w:rPr>
                        <w:sz w:val="20"/>
                      </w:rPr>
                    </w:pPr>
                    <w:r>
                      <w:rPr>
                        <w:sz w:val="20"/>
                      </w:rPr>
                      <w:t>Source: </w:t>
                    </w:r>
                    <w:r>
                      <w:rPr>
                        <w:color w:val="7E7E7E"/>
                        <w:sz w:val="20"/>
                      </w:rPr>
                      <w:t>Data from Hughes et al. (2019)</w:t>
                    </w:r>
                  </w:p>
                </w:txbxContent>
              </v:textbox>
              <w10:wrap type="none"/>
            </v:shape>
            <w10:wrap type="none"/>
          </v:group>
        </w:pict>
      </w:r>
      <w:r>
        <w:rPr>
          <w:sz w:val="20"/>
        </w:rPr>
        <w:t>Jackson, T, Zammit, K &amp; Hatfield-Dodds, S 2020, </w:t>
      </w:r>
      <w:hyperlink r:id="rId21">
        <w:r>
          <w:rPr>
            <w:color w:val="006FC0"/>
            <w:sz w:val="20"/>
            <w:u w:val="single" w:color="006FC0"/>
          </w:rPr>
          <w:t>Snapshot of Australian Agriculture 2020</w:t>
        </w:r>
      </w:hyperlink>
      <w:r>
        <w:rPr>
          <w:sz w:val="20"/>
        </w:rPr>
        <w:t>, ABARES, Canberra.</w:t>
      </w:r>
    </w:p>
    <w:p>
      <w:pPr>
        <w:spacing w:line="240" w:lineRule="exact" w:before="0"/>
        <w:ind w:left="501" w:right="0" w:firstLine="0"/>
        <w:jc w:val="left"/>
        <w:rPr>
          <w:sz w:val="20"/>
        </w:rPr>
      </w:pPr>
      <w:r>
        <w:rPr>
          <w:sz w:val="20"/>
        </w:rPr>
        <w:t>Hughes, N, Lawson, K, &amp; Valle, H 2017, </w:t>
      </w:r>
      <w:hyperlink r:id="rId28">
        <w:r>
          <w:rPr>
            <w:color w:val="006FC0"/>
            <w:sz w:val="20"/>
            <w:u w:val="single" w:color="006FC0"/>
          </w:rPr>
          <w:t>Farm performance and climate: Climate-adjusted productivity for broadacre cropping farms</w:t>
        </w:r>
      </w:hyperlink>
      <w:r>
        <w:rPr>
          <w:color w:val="006FC0"/>
          <w:sz w:val="20"/>
        </w:rPr>
        <w:t>, </w:t>
      </w:r>
      <w:r>
        <w:rPr>
          <w:sz w:val="20"/>
        </w:rPr>
        <w:t>ABARES, Canberra.</w:t>
      </w:r>
    </w:p>
    <w:p>
      <w:pPr>
        <w:spacing w:line="242" w:lineRule="exact" w:before="0"/>
        <w:ind w:left="501" w:right="0" w:firstLine="0"/>
        <w:jc w:val="left"/>
        <w:rPr>
          <w:sz w:val="20"/>
        </w:rPr>
      </w:pPr>
      <w:r>
        <w:rPr>
          <w:sz w:val="20"/>
        </w:rPr>
        <w:t>Keogh, M 2012,</w:t>
      </w:r>
      <w:hyperlink r:id="rId29">
        <w:r>
          <w:rPr>
            <w:color w:val="006FC0"/>
            <w:sz w:val="20"/>
            <w:u w:val="single" w:color="006FC0"/>
          </w:rPr>
          <w:t> Including risk in enterprise decisions in Australia’s riskiest businesses</w:t>
        </w:r>
      </w:hyperlink>
      <w:r>
        <w:rPr>
          <w:sz w:val="20"/>
        </w:rPr>
        <w:t>, 2012 Conference (56th), February 7-10, 2012, Fremantle, Australia 124202, Aust. Agricultural and Resource Economics Society.</w:t>
      </w:r>
    </w:p>
    <w:p>
      <w:pPr>
        <w:tabs>
          <w:tab w:pos="4374" w:val="right" w:leader="none"/>
        </w:tabs>
        <w:spacing w:before="292"/>
        <w:ind w:left="501" w:right="0" w:firstLine="0"/>
        <w:jc w:val="left"/>
        <w:rPr>
          <w:sz w:val="32"/>
        </w:rPr>
      </w:pPr>
      <w:r>
        <w:rPr/>
        <w:br w:type="column"/>
      </w:r>
      <w:r>
        <w:rPr>
          <w:i/>
          <w:color w:val="7E7E7E"/>
          <w:sz w:val="20"/>
        </w:rPr>
        <w:t>ABARES</w:t>
      </w:r>
      <w:r>
        <w:rPr>
          <w:i/>
          <w:color w:val="7E7E7E"/>
          <w:spacing w:val="-3"/>
          <w:sz w:val="20"/>
        </w:rPr>
        <w:t> </w:t>
      </w:r>
      <w:r>
        <w:rPr>
          <w:i/>
          <w:color w:val="7E7E7E"/>
          <w:sz w:val="20"/>
        </w:rPr>
        <w:t>Insights</w:t>
      </w:r>
      <w:r>
        <w:rPr>
          <w:i/>
          <w:color w:val="7E7E7E"/>
          <w:spacing w:val="-3"/>
          <w:sz w:val="20"/>
        </w:rPr>
        <w:t> </w:t>
      </w:r>
      <w:r>
        <w:rPr>
          <w:color w:val="7E7E7E"/>
          <w:sz w:val="20"/>
        </w:rPr>
        <w:t>(2019.06)</w:t>
        <w:tab/>
      </w:r>
      <w:r>
        <w:rPr>
          <w:position w:val="-10"/>
          <w:sz w:val="32"/>
        </w:rPr>
        <w:t>5</w:t>
      </w:r>
    </w:p>
    <w:p>
      <w:pPr>
        <w:spacing w:after="0"/>
        <w:jc w:val="left"/>
        <w:rPr>
          <w:sz w:val="32"/>
        </w:rPr>
        <w:sectPr>
          <w:type w:val="continuous"/>
          <w:pgSz w:w="23820" w:h="16840" w:orient="landscape"/>
          <w:pgMar w:top="1440" w:bottom="280" w:left="220" w:right="140"/>
          <w:cols w:num="2" w:equalWidth="0">
            <w:col w:w="17817" w:space="1157"/>
            <w:col w:w="4486"/>
          </w:cols>
        </w:sectPr>
      </w:pPr>
    </w:p>
    <w:p>
      <w:pPr>
        <w:pStyle w:val="BodyText"/>
        <w:rPr>
          <w:sz w:val="20"/>
        </w:rPr>
      </w:pPr>
    </w:p>
    <w:p>
      <w:pPr>
        <w:pStyle w:val="Heading1"/>
        <w:spacing w:line="744" w:lineRule="exact"/>
      </w:pPr>
      <w:r>
        <w:rPr/>
        <w:drawing>
          <wp:anchor distT="0" distB="0" distL="0" distR="0" allowOverlap="1" layoutInCell="1" locked="0" behindDoc="0" simplePos="0" relativeHeight="251680768">
            <wp:simplePos x="0" y="0"/>
            <wp:positionH relativeFrom="page">
              <wp:posOffset>208788</wp:posOffset>
            </wp:positionH>
            <wp:positionV relativeFrom="paragraph">
              <wp:posOffset>-155902</wp:posOffset>
            </wp:positionV>
            <wp:extent cx="2966699" cy="1030039"/>
            <wp:effectExtent l="0" t="0" r="0" b="0"/>
            <wp:wrapNone/>
            <wp:docPr id="31" name="image4.jpeg"/>
            <wp:cNvGraphicFramePr>
              <a:graphicFrameLocks noChangeAspect="1"/>
            </wp:cNvGraphicFramePr>
            <a:graphic>
              <a:graphicData uri="http://schemas.openxmlformats.org/drawingml/2006/picture">
                <pic:pic>
                  <pic:nvPicPr>
                    <pic:cNvPr id="32" name="image4.jpeg"/>
                    <pic:cNvPicPr/>
                  </pic:nvPicPr>
                  <pic:blipFill>
                    <a:blip r:embed="rId10" cstate="print"/>
                    <a:stretch>
                      <a:fillRect/>
                    </a:stretch>
                  </pic:blipFill>
                  <pic:spPr>
                    <a:xfrm>
                      <a:off x="0" y="0"/>
                      <a:ext cx="2966699" cy="1030039"/>
                    </a:xfrm>
                    <a:prstGeom prst="rect">
                      <a:avLst/>
                    </a:prstGeom>
                  </pic:spPr>
                </pic:pic>
              </a:graphicData>
            </a:graphic>
          </wp:anchor>
        </w:drawing>
      </w:r>
      <w:r>
        <w:rPr>
          <w:color w:val="A7082D"/>
        </w:rPr>
        <w:t>Policy settings: Farming practices – lean and sustainable</w:t>
      </w:r>
    </w:p>
    <w:p>
      <w:pPr>
        <w:pStyle w:val="Heading3"/>
        <w:spacing w:line="211" w:lineRule="auto" w:before="23"/>
      </w:pPr>
      <w:r>
        <w:rPr>
          <w:i/>
          <w:color w:val="A7082D"/>
        </w:rPr>
        <w:t>Careful stewardship is central </w:t>
      </w:r>
      <w:r>
        <w:rPr>
          <w:i/>
          <w:color w:val="A7082D"/>
          <w:spacing w:val="-4"/>
        </w:rPr>
        <w:t>to </w:t>
      </w:r>
      <w:r>
        <w:rPr>
          <w:i/>
          <w:color w:val="A7082D"/>
        </w:rPr>
        <w:t>economically and environmentally</w:t>
      </w:r>
      <w:r>
        <w:rPr>
          <w:i/>
          <w:color w:val="A7082D"/>
          <w:spacing w:val="-81"/>
        </w:rPr>
        <w:t> </w:t>
      </w:r>
      <w:r>
        <w:rPr>
          <w:i/>
          <w:color w:val="A7082D"/>
        </w:rPr>
        <w:t>sustainable </w:t>
      </w:r>
      <w:r>
        <w:rPr>
          <w:color w:val="A7082D"/>
        </w:rPr>
        <w:t>production</w:t>
      </w:r>
    </w:p>
    <w:p>
      <w:pPr>
        <w:pStyle w:val="BodyText"/>
        <w:spacing w:before="3"/>
        <w:rPr>
          <w:i/>
          <w:sz w:val="10"/>
        </w:rPr>
      </w:pPr>
    </w:p>
    <w:p>
      <w:pPr>
        <w:spacing w:after="0"/>
        <w:rPr>
          <w:sz w:val="10"/>
        </w:rPr>
        <w:sectPr>
          <w:pgSz w:w="23820" w:h="16840" w:orient="landscape"/>
          <w:pgMar w:top="340" w:bottom="0" w:left="220" w:right="140"/>
        </w:sectPr>
      </w:pPr>
    </w:p>
    <w:p>
      <w:pPr>
        <w:spacing w:before="44"/>
        <w:ind w:left="712" w:right="0" w:firstLine="0"/>
        <w:jc w:val="left"/>
        <w:rPr>
          <w:b/>
          <w:i/>
          <w:sz w:val="28"/>
        </w:rPr>
      </w:pPr>
      <w:r>
        <w:rPr>
          <w:b/>
          <w:i/>
          <w:color w:val="A7082D"/>
          <w:sz w:val="28"/>
        </w:rPr>
        <w:t>Australia has one of the lowest levels of support</w:t>
      </w:r>
    </w:p>
    <w:p>
      <w:pPr>
        <w:pStyle w:val="BodyText"/>
        <w:spacing w:before="8"/>
        <w:rPr>
          <w:b/>
          <w:i/>
          <w:sz w:val="7"/>
        </w:rPr>
      </w:pPr>
    </w:p>
    <w:p>
      <w:pPr>
        <w:pStyle w:val="BodyText"/>
        <w:ind w:left="600" w:right="-44"/>
        <w:rPr>
          <w:sz w:val="20"/>
        </w:rPr>
      </w:pPr>
      <w:r>
        <w:rPr>
          <w:sz w:val="20"/>
        </w:rPr>
        <w:drawing>
          <wp:inline distT="0" distB="0" distL="0" distR="0">
            <wp:extent cx="6172759" cy="3500437"/>
            <wp:effectExtent l="0" t="0" r="0" b="0"/>
            <wp:docPr id="33" name="image18.jpeg" descr="Chart, bar chart  Description automatically generated"/>
            <wp:cNvGraphicFramePr>
              <a:graphicFrameLocks noChangeAspect="1"/>
            </wp:cNvGraphicFramePr>
            <a:graphic>
              <a:graphicData uri="http://schemas.openxmlformats.org/drawingml/2006/picture">
                <pic:pic>
                  <pic:nvPicPr>
                    <pic:cNvPr id="34" name="image18.jpeg"/>
                    <pic:cNvPicPr/>
                  </pic:nvPicPr>
                  <pic:blipFill>
                    <a:blip r:embed="rId30" cstate="print"/>
                    <a:stretch>
                      <a:fillRect/>
                    </a:stretch>
                  </pic:blipFill>
                  <pic:spPr>
                    <a:xfrm>
                      <a:off x="0" y="0"/>
                      <a:ext cx="6172759" cy="3500437"/>
                    </a:xfrm>
                    <a:prstGeom prst="rect">
                      <a:avLst/>
                    </a:prstGeom>
                  </pic:spPr>
                </pic:pic>
              </a:graphicData>
            </a:graphic>
          </wp:inline>
        </w:drawing>
      </w:r>
      <w:r>
        <w:rPr>
          <w:sz w:val="20"/>
        </w:rPr>
      </w:r>
    </w:p>
    <w:p>
      <w:pPr>
        <w:spacing w:line="235" w:lineRule="auto" w:before="163"/>
        <w:ind w:left="564" w:right="0" w:firstLine="0"/>
        <w:jc w:val="left"/>
        <w:rPr>
          <w:sz w:val="20"/>
        </w:rPr>
      </w:pPr>
      <w:r>
        <w:rPr>
          <w:sz w:val="20"/>
        </w:rPr>
        <w:t>Notes</w:t>
      </w:r>
      <w:r>
        <w:rPr>
          <w:color w:val="7E7E7E"/>
          <w:sz w:val="20"/>
        </w:rPr>
        <w:t>: Support measures as a share of gross farm receipts. The All countries total includes all OECD countries, non- OECD EU Member States, and the 12 Emerging Economies. The OECD total does not include the non-OECD EU Member States. Latvia and Lithuania are included only from 2004. The 12 Emerging Economies include Argentina, Brazil, China, Colombia, Costa Rica, India, Kazakhstan, the Philippines, Russian Federation, South Africa, Ukraine and Vietnam.</w:t>
      </w:r>
    </w:p>
    <w:p>
      <w:pPr>
        <w:spacing w:line="244" w:lineRule="exact" w:before="0"/>
        <w:ind w:left="564" w:right="0" w:firstLine="0"/>
        <w:jc w:val="left"/>
        <w:rPr>
          <w:sz w:val="20"/>
        </w:rPr>
      </w:pPr>
      <w:r>
        <w:rPr>
          <w:sz w:val="20"/>
        </w:rPr>
        <w:t>Source: </w:t>
      </w:r>
      <w:r>
        <w:rPr>
          <w:color w:val="7E7E7E"/>
          <w:sz w:val="20"/>
        </w:rPr>
        <w:t>Greenville (2020)</w:t>
      </w:r>
    </w:p>
    <w:p>
      <w:pPr>
        <w:pStyle w:val="BodyText"/>
        <w:spacing w:before="1"/>
        <w:rPr>
          <w:sz w:val="21"/>
        </w:rPr>
      </w:pPr>
    </w:p>
    <w:p>
      <w:pPr>
        <w:spacing w:before="0"/>
        <w:ind w:left="564" w:right="0" w:firstLine="0"/>
        <w:jc w:val="left"/>
        <w:rPr>
          <w:b/>
          <w:i/>
          <w:sz w:val="28"/>
        </w:rPr>
      </w:pPr>
      <w:r>
        <w:rPr>
          <w:b/>
          <w:i/>
          <w:color w:val="A7082D"/>
          <w:sz w:val="28"/>
        </w:rPr>
        <w:t>Farmer motivations for native vegetation management</w:t>
      </w:r>
    </w:p>
    <w:p>
      <w:pPr>
        <w:pStyle w:val="BodyText"/>
        <w:spacing w:line="304" w:lineRule="auto" w:before="124"/>
        <w:ind w:left="1233" w:right="7076" w:firstLine="870"/>
        <w:jc w:val="right"/>
      </w:pPr>
      <w:r>
        <w:rPr/>
        <w:pict>
          <v:group style="position:absolute;margin-left:187.303864pt;margin-top:6.581702pt;width:272.4pt;height:171.65pt;mso-position-horizontal-relative:page;mso-position-vertical-relative:paragraph;z-index:251686912" coordorigin="3746,132" coordsize="5448,3433">
            <v:shape style="position:absolute;left:4609;top:131;width:855;height:613" coordorigin="4609,132" coordsize="855,613" path="m4609,132l4609,259m4609,426l4609,744m5464,132l5464,744e" filled="false" stroked="true" strokeweight=".838135pt" strokecolor="#d9d9d9">
              <v:path arrowok="t"/>
              <v:stroke dashstyle="solid"/>
            </v:shape>
            <v:rect style="position:absolute;left:3762;top:258;width:1694;height:168" filled="true" fillcolor="#4471c4" stroked="false">
              <v:fill type="solid"/>
            </v:rect>
            <v:shape style="position:absolute;left:4609;top:928;width:855;height:318" coordorigin="4609,928" coordsize="855,318" path="m4609,928l4609,1246m5464,928l5464,1246e" filled="false" stroked="true" strokeweight=".838135pt" strokecolor="#d9d9d9">
              <v:path arrowok="t"/>
              <v:stroke dashstyle="solid"/>
            </v:shape>
            <v:rect style="position:absolute;left:3762;top:744;width:2213;height:185" filled="true" fillcolor="#009999" stroked="false">
              <v:fill type="solid"/>
            </v:rect>
            <v:shape style="position:absolute;left:4609;top:131;width:1694;height:1617" coordorigin="4609,132" coordsize="1694,1617" path="m4609,1414l4609,1748m5464,1414l5464,1748m6302,132l6302,1246m6302,1414l6302,1748e" filled="false" stroked="true" strokeweight=".838135pt" strokecolor="#d9d9d9">
              <v:path arrowok="t"/>
              <v:stroke dashstyle="solid"/>
            </v:shape>
            <v:rect style="position:absolute;left:3762;top:1246;width:2884;height:168" filled="true" fillcolor="#33cccc" stroked="false">
              <v:fill type="solid"/>
            </v:rect>
            <v:shape style="position:absolute;left:4609;top:131;width:2548;height:2102" coordorigin="4609,132" coordsize="2548,2102" path="m4609,1916l4609,2233m5464,1916l5464,2233m6302,1916l6302,2233m7157,132l7157,1748m7157,1916l7157,2233e" filled="false" stroked="true" strokeweight=".838135pt" strokecolor="#d9d9d9">
              <v:path arrowok="t"/>
              <v:stroke dashstyle="solid"/>
            </v:shape>
            <v:rect style="position:absolute;left:3762;top:1748;width:3906;height:168" filled="true" fillcolor="#92d050" stroked="false">
              <v:fill type="solid"/>
            </v:rect>
            <v:shape style="position:absolute;left:4609;top:131;width:4241;height:3433" coordorigin="4609,132" coordsize="4241,3433" path="m4609,2418l4609,3564m5464,2418l5464,3564m6302,2418l6302,3564m7157,2418l7157,3564m8012,132l8012,2233m8012,2418l8012,3564m8850,132l8850,2233m8850,2418l8850,3564e" filled="false" stroked="true" strokeweight=".838135pt" strokecolor="#d9d9d9">
              <v:path arrowok="t"/>
              <v:stroke dashstyle="solid"/>
            </v:shape>
            <v:rect style="position:absolute;left:3762;top:2233;width:5432;height:185" filled="true" fillcolor="#be9000" stroked="false">
              <v:fill type="solid"/>
            </v:rect>
            <v:rect style="position:absolute;left:3762;top:2735;width:503;height:168" filled="true" fillcolor="#7e5f00" stroked="false">
              <v:fill type="solid"/>
            </v:rect>
            <v:rect style="position:absolute;left:3762;top:3237;width:336;height:168" filled="true" fillcolor="#6f2f9f" stroked="false">
              <v:fill type="solid"/>
            </v:rect>
            <v:line style="position:absolute" from="3754,132" to="3754,3564" stroked="true" strokeweight=".838135pt" strokecolor="#d9d9d9">
              <v:stroke dashstyle="solid"/>
            </v:line>
            <v:shape style="position:absolute;left:5581;top:193;width:182;height:320" type="#_x0000_t202" filled="false" stroked="false">
              <v:textbox inset="0,0,0,0">
                <w:txbxContent>
                  <w:p>
                    <w:pPr>
                      <w:spacing w:line="319" w:lineRule="exact" w:before="0"/>
                      <w:ind w:left="0" w:right="0" w:firstLine="0"/>
                      <w:jc w:val="left"/>
                      <w:rPr>
                        <w:rFonts w:ascii="Calibri Light"/>
                        <w:b w:val="0"/>
                        <w:i/>
                        <w:sz w:val="32"/>
                      </w:rPr>
                    </w:pPr>
                    <w:r>
                      <w:rPr>
                        <w:rFonts w:ascii="Calibri Light"/>
                        <w:b w:val="0"/>
                        <w:i/>
                        <w:color w:val="006FC0"/>
                        <w:w w:val="99"/>
                        <w:sz w:val="32"/>
                      </w:rPr>
                      <w:t>$</w:t>
                    </w:r>
                  </w:p>
                </w:txbxContent>
              </v:textbox>
              <w10:wrap type="none"/>
            </v:shape>
            <v:shape style="position:absolute;left:6152;top:664;width:659;height:335" type="#_x0000_t202" filled="false" stroked="false">
              <v:textbox inset="0,0,0,0">
                <w:txbxContent>
                  <w:p>
                    <w:pPr>
                      <w:spacing w:line="335" w:lineRule="exact" w:before="0"/>
                      <w:ind w:left="0" w:right="0" w:firstLine="0"/>
                      <w:jc w:val="left"/>
                      <w:rPr>
                        <w:rFonts w:ascii="Webdings" w:hAnsi="Webdings"/>
                        <w:b/>
                        <w:sz w:val="32"/>
                      </w:rPr>
                    </w:pPr>
                    <w:r>
                      <w:rPr>
                        <w:rFonts w:ascii="Calibri Light" w:hAnsi="Calibri Light"/>
                        <w:b w:val="0"/>
                        <w:i/>
                        <w:color w:val="006FC0"/>
                        <w:sz w:val="32"/>
                      </w:rPr>
                      <w:t>$ </w:t>
                    </w:r>
                    <w:r>
                      <w:rPr>
                        <w:rFonts w:ascii="Webdings" w:hAnsi="Webdings"/>
                        <w:b/>
                        <w:color w:val="6FAC46"/>
                        <w:sz w:val="32"/>
                      </w:rPr>
                      <w:t></w:t>
                    </w:r>
                  </w:p>
                </w:txbxContent>
              </v:textbox>
              <w10:wrap type="none"/>
            </v:shape>
            <v:shape style="position:absolute;left:6795;top:1086;width:1079;height:367" type="#_x0000_t202" filled="false" stroked="false">
              <v:textbox inset="0,0,0,0">
                <w:txbxContent>
                  <w:p>
                    <w:pPr>
                      <w:spacing w:line="367" w:lineRule="exact" w:before="0"/>
                      <w:ind w:left="0" w:right="0" w:firstLine="0"/>
                      <w:jc w:val="left"/>
                      <w:rPr>
                        <w:rFonts w:ascii="Wingdings" w:hAnsi="Wingdings"/>
                        <w:sz w:val="32"/>
                      </w:rPr>
                    </w:pPr>
                    <w:r>
                      <w:rPr>
                        <w:rFonts w:ascii="Calibri Light" w:hAnsi="Calibri Light"/>
                        <w:b w:val="0"/>
                        <w:i/>
                        <w:color w:val="006FC0"/>
                        <w:sz w:val="32"/>
                      </w:rPr>
                      <w:t>$ </w:t>
                    </w:r>
                    <w:r>
                      <w:rPr>
                        <w:rFonts w:ascii="Webdings" w:hAnsi="Webdings"/>
                        <w:b/>
                        <w:color w:val="6FAC46"/>
                        <w:sz w:val="32"/>
                      </w:rPr>
                      <w:t></w:t>
                    </w:r>
                    <w:r>
                      <w:rPr>
                        <w:rFonts w:ascii="Times New Roman" w:hAnsi="Times New Roman"/>
                        <w:b/>
                        <w:color w:val="6FAC46"/>
                        <w:sz w:val="32"/>
                      </w:rPr>
                      <w:t> </w:t>
                    </w:r>
                    <w:r>
                      <w:rPr>
                        <w:rFonts w:ascii="Wingdings" w:hAnsi="Wingdings"/>
                        <w:color w:val="6F2F9F"/>
                        <w:sz w:val="32"/>
                      </w:rPr>
                      <w:t></w:t>
                    </w:r>
                  </w:p>
                </w:txbxContent>
              </v:textbox>
              <w10:wrap type="none"/>
            </v:shape>
            <v:shape style="position:absolute;left:7925;top:1621;width:340;height:320" type="#_x0000_t202" filled="false" stroked="false">
              <v:textbox inset="0,0,0,0">
                <w:txbxContent>
                  <w:p>
                    <w:pPr>
                      <w:spacing w:line="319" w:lineRule="exact" w:before="0"/>
                      <w:ind w:left="0" w:right="0" w:firstLine="0"/>
                      <w:jc w:val="left"/>
                      <w:rPr>
                        <w:rFonts w:ascii="Webdings" w:hAnsi="Webdings"/>
                        <w:b/>
                        <w:sz w:val="32"/>
                      </w:rPr>
                    </w:pPr>
                    <w:r>
                      <w:rPr>
                        <w:rFonts w:ascii="Webdings" w:hAnsi="Webdings"/>
                        <w:b/>
                        <w:color w:val="6FAC46"/>
                        <w:w w:val="99"/>
                        <w:sz w:val="32"/>
                      </w:rPr>
                      <w:t></w:t>
                    </w:r>
                  </w:p>
                </w:txbxContent>
              </v:textbox>
              <w10:wrap type="none"/>
            </v:shape>
            <v:shape style="position:absolute;left:4248;top:2647;width:609;height:848" type="#_x0000_t202" filled="false" stroked="false">
              <v:textbox inset="0,0,0,0">
                <w:txbxContent>
                  <w:p>
                    <w:pPr>
                      <w:spacing w:line="354" w:lineRule="exact" w:before="0"/>
                      <w:ind w:left="161" w:right="0" w:firstLine="0"/>
                      <w:jc w:val="left"/>
                      <w:rPr>
                        <w:rFonts w:ascii="Wingdings" w:hAnsi="Wingdings"/>
                        <w:sz w:val="32"/>
                      </w:rPr>
                    </w:pPr>
                    <w:r>
                      <w:rPr>
                        <w:rFonts w:ascii="Wingdings" w:hAnsi="Wingdings"/>
                        <w:color w:val="6F2F9F"/>
                        <w:w w:val="99"/>
                        <w:sz w:val="32"/>
                      </w:rPr>
                      <w:t></w:t>
                    </w:r>
                  </w:p>
                  <w:p>
                    <w:pPr>
                      <w:spacing w:line="384" w:lineRule="exact" w:before="109"/>
                      <w:ind w:left="0" w:right="0" w:firstLine="0"/>
                      <w:jc w:val="left"/>
                      <w:rPr>
                        <w:rFonts w:ascii="Wingdings" w:hAnsi="Wingdings"/>
                        <w:sz w:val="32"/>
                      </w:rPr>
                    </w:pPr>
                    <w:r>
                      <w:rPr>
                        <w:rFonts w:ascii="Calibri Light" w:hAnsi="Calibri Light"/>
                        <w:b w:val="0"/>
                        <w:i/>
                        <w:color w:val="006FC0"/>
                        <w:sz w:val="32"/>
                      </w:rPr>
                      <w:t>$ </w:t>
                    </w:r>
                    <w:r>
                      <w:rPr>
                        <w:rFonts w:ascii="Wingdings" w:hAnsi="Wingdings"/>
                        <w:color w:val="6F2F9F"/>
                        <w:sz w:val="32"/>
                      </w:rPr>
                      <w:t></w:t>
                    </w:r>
                  </w:p>
                </w:txbxContent>
              </v:textbox>
              <w10:wrap type="none"/>
            </v:shape>
            <w10:wrap type="none"/>
          </v:group>
        </w:pict>
      </w:r>
      <w:r>
        <w:rPr/>
        <w:pict>
          <v:line style="position:absolute;mso-position-horizontal-relative:page;mso-position-vertical-relative:paragraph;z-index:-252471296" from="485.260864pt,6.581702pt" to="485.260864pt,178.192039pt" stroked="true" strokeweight=".838135pt" strokecolor="#d9d9d9">
            <v:stroke dashstyle="solid"/>
            <w10:wrap type="none"/>
          </v:line>
        </w:pict>
      </w:r>
      <w:r>
        <w:rPr>
          <w:spacing w:val="-2"/>
          <w:w w:val="95"/>
        </w:rPr>
        <w:t>financial </w:t>
      </w:r>
      <w:r>
        <w:rPr/>
        <w:t>financial +</w:t>
      </w:r>
      <w:r>
        <w:rPr>
          <w:spacing w:val="-27"/>
        </w:rPr>
        <w:t> </w:t>
      </w:r>
      <w:r>
        <w:rPr>
          <w:spacing w:val="-5"/>
        </w:rPr>
        <w:t>envir</w:t>
      </w:r>
    </w:p>
    <w:p>
      <w:pPr>
        <w:pStyle w:val="BodyText"/>
        <w:spacing w:before="4"/>
        <w:ind w:right="7065"/>
        <w:jc w:val="right"/>
      </w:pPr>
      <w:r>
        <w:rPr>
          <w:spacing w:val="-3"/>
        </w:rPr>
        <w:t>all</w:t>
      </w:r>
      <w:r>
        <w:rPr>
          <w:spacing w:val="6"/>
        </w:rPr>
        <w:t> </w:t>
      </w:r>
      <w:r>
        <w:rPr>
          <w:spacing w:val="-3"/>
        </w:rPr>
        <w:t>three</w:t>
      </w:r>
    </w:p>
    <w:p>
      <w:pPr>
        <w:pStyle w:val="BodyText"/>
        <w:spacing w:line="367" w:lineRule="exact" w:before="108"/>
        <w:ind w:right="7074"/>
        <w:jc w:val="right"/>
      </w:pPr>
      <w:r>
        <w:rPr>
          <w:spacing w:val="-4"/>
        </w:rPr>
        <w:t>environment</w:t>
      </w:r>
    </w:p>
    <w:p>
      <w:pPr>
        <w:pStyle w:val="ListParagraph"/>
        <w:numPr>
          <w:ilvl w:val="0"/>
          <w:numId w:val="4"/>
        </w:numPr>
        <w:tabs>
          <w:tab w:pos="981" w:val="left" w:leader="none"/>
          <w:tab w:pos="982" w:val="left" w:leader="none"/>
        </w:tabs>
        <w:spacing w:line="235" w:lineRule="auto" w:before="112" w:after="0"/>
        <w:ind w:left="981" w:right="1588" w:hanging="452"/>
        <w:jc w:val="left"/>
        <w:rPr>
          <w:sz w:val="32"/>
        </w:rPr>
      </w:pPr>
      <w:r>
        <w:rPr>
          <w:w w:val="99"/>
          <w:sz w:val="32"/>
        </w:rPr>
        <w:br w:type="column"/>
      </w:r>
      <w:r>
        <w:rPr>
          <w:sz w:val="32"/>
        </w:rPr>
        <w:t>Australian</w:t>
      </w:r>
      <w:r>
        <w:rPr>
          <w:spacing w:val="-12"/>
          <w:sz w:val="32"/>
        </w:rPr>
        <w:t> </w:t>
      </w:r>
      <w:r>
        <w:rPr>
          <w:sz w:val="32"/>
        </w:rPr>
        <w:t>agriculture</w:t>
      </w:r>
      <w:r>
        <w:rPr>
          <w:spacing w:val="-8"/>
          <w:sz w:val="32"/>
        </w:rPr>
        <w:t> </w:t>
      </w:r>
      <w:r>
        <w:rPr>
          <w:sz w:val="32"/>
        </w:rPr>
        <w:t>is</w:t>
      </w:r>
      <w:r>
        <w:rPr>
          <w:spacing w:val="-10"/>
          <w:sz w:val="32"/>
        </w:rPr>
        <w:t> </w:t>
      </w:r>
      <w:r>
        <w:rPr>
          <w:sz w:val="32"/>
        </w:rPr>
        <w:t>globally</w:t>
      </w:r>
      <w:r>
        <w:rPr>
          <w:spacing w:val="-13"/>
          <w:sz w:val="32"/>
        </w:rPr>
        <w:t> </w:t>
      </w:r>
      <w:r>
        <w:rPr>
          <w:sz w:val="32"/>
        </w:rPr>
        <w:t>competitive</w:t>
      </w:r>
      <w:r>
        <w:rPr>
          <w:spacing w:val="-6"/>
          <w:sz w:val="32"/>
        </w:rPr>
        <w:t> </w:t>
      </w:r>
      <w:r>
        <w:rPr>
          <w:sz w:val="32"/>
        </w:rPr>
        <w:t>and</w:t>
      </w:r>
      <w:r>
        <w:rPr>
          <w:spacing w:val="-9"/>
          <w:sz w:val="32"/>
        </w:rPr>
        <w:t> </w:t>
      </w:r>
      <w:r>
        <w:rPr>
          <w:sz w:val="32"/>
        </w:rPr>
        <w:t>operates</w:t>
      </w:r>
      <w:r>
        <w:rPr>
          <w:spacing w:val="-4"/>
          <w:sz w:val="32"/>
        </w:rPr>
        <w:t> </w:t>
      </w:r>
      <w:r>
        <w:rPr>
          <w:sz w:val="32"/>
        </w:rPr>
        <w:t>with</w:t>
      </w:r>
      <w:r>
        <w:rPr>
          <w:spacing w:val="-11"/>
          <w:sz w:val="32"/>
        </w:rPr>
        <w:t> </w:t>
      </w:r>
      <w:r>
        <w:rPr>
          <w:sz w:val="32"/>
        </w:rPr>
        <w:t>virtually</w:t>
      </w:r>
      <w:r>
        <w:rPr>
          <w:spacing w:val="-11"/>
          <w:sz w:val="32"/>
        </w:rPr>
        <w:t> </w:t>
      </w:r>
      <w:r>
        <w:rPr>
          <w:sz w:val="32"/>
        </w:rPr>
        <w:t>no</w:t>
      </w:r>
      <w:r>
        <w:rPr>
          <w:spacing w:val="-6"/>
          <w:sz w:val="32"/>
        </w:rPr>
        <w:t> </w:t>
      </w:r>
      <w:r>
        <w:rPr>
          <w:sz w:val="32"/>
        </w:rPr>
        <w:t>direct producer support. Sustainable practices facilitated by policy approach and open </w:t>
      </w:r>
      <w:r>
        <w:rPr>
          <w:spacing w:val="-3"/>
          <w:sz w:val="32"/>
        </w:rPr>
        <w:t>markets.</w:t>
      </w:r>
    </w:p>
    <w:p>
      <w:pPr>
        <w:pStyle w:val="ListParagraph"/>
        <w:numPr>
          <w:ilvl w:val="0"/>
          <w:numId w:val="4"/>
        </w:numPr>
        <w:tabs>
          <w:tab w:pos="981" w:val="left" w:leader="none"/>
          <w:tab w:pos="982" w:val="left" w:leader="none"/>
        </w:tabs>
        <w:spacing w:line="388" w:lineRule="exact" w:before="118" w:after="0"/>
        <w:ind w:left="981" w:right="0" w:hanging="453"/>
        <w:jc w:val="left"/>
        <w:rPr>
          <w:sz w:val="32"/>
        </w:rPr>
      </w:pPr>
      <w:r>
        <w:rPr/>
        <w:pict>
          <v:rect style="position:absolute;margin-left:548.520020pt;margin-top:-61.135616pt;width:612pt;height:667.92pt;mso-position-horizontal-relative:page;mso-position-vertical-relative:paragraph;z-index:-252470272" filled="false" stroked="true" strokeweight=".75pt" strokecolor="#000000">
            <v:stroke dashstyle="solid"/>
            <w10:wrap type="none"/>
          </v:rect>
        </w:pict>
      </w:r>
      <w:r>
        <w:rPr>
          <w:sz w:val="32"/>
        </w:rPr>
        <w:t>Policy seeks to ensure competitive </w:t>
      </w:r>
      <w:r>
        <w:rPr>
          <w:spacing w:val="-3"/>
          <w:sz w:val="32"/>
        </w:rPr>
        <w:t>pressure </w:t>
      </w:r>
      <w:r>
        <w:rPr>
          <w:sz w:val="32"/>
        </w:rPr>
        <w:t>helps drive sustainability outcomes,</w:t>
      </w:r>
      <w:r>
        <w:rPr>
          <w:spacing w:val="-20"/>
          <w:sz w:val="32"/>
        </w:rPr>
        <w:t> </w:t>
      </w:r>
      <w:r>
        <w:rPr>
          <w:sz w:val="32"/>
        </w:rPr>
        <w:t>with</w:t>
      </w:r>
    </w:p>
    <w:p>
      <w:pPr>
        <w:pStyle w:val="BodyText"/>
        <w:spacing w:line="388" w:lineRule="exact"/>
        <w:ind w:left="981"/>
      </w:pPr>
      <w:r>
        <w:rPr/>
        <w:t>the right rules to balance resource use and conservation.</w:t>
      </w:r>
    </w:p>
    <w:p>
      <w:pPr>
        <w:pStyle w:val="ListParagraph"/>
        <w:numPr>
          <w:ilvl w:val="0"/>
          <w:numId w:val="4"/>
        </w:numPr>
        <w:tabs>
          <w:tab w:pos="981" w:val="left" w:leader="none"/>
          <w:tab w:pos="982" w:val="left" w:leader="none"/>
        </w:tabs>
        <w:spacing w:line="235" w:lineRule="auto" w:before="119" w:after="0"/>
        <w:ind w:left="981" w:right="1267" w:hanging="452"/>
        <w:jc w:val="left"/>
        <w:rPr>
          <w:sz w:val="32"/>
        </w:rPr>
      </w:pPr>
      <w:r>
        <w:rPr>
          <w:sz w:val="32"/>
        </w:rPr>
        <w:t>There</w:t>
      </w:r>
      <w:r>
        <w:rPr>
          <w:spacing w:val="-6"/>
          <w:sz w:val="32"/>
        </w:rPr>
        <w:t> </w:t>
      </w:r>
      <w:r>
        <w:rPr>
          <w:sz w:val="32"/>
        </w:rPr>
        <w:t>have</w:t>
      </w:r>
      <w:r>
        <w:rPr>
          <w:spacing w:val="-9"/>
          <w:sz w:val="32"/>
        </w:rPr>
        <w:t> </w:t>
      </w:r>
      <w:r>
        <w:rPr>
          <w:sz w:val="32"/>
        </w:rPr>
        <w:t>been</w:t>
      </w:r>
      <w:r>
        <w:rPr>
          <w:spacing w:val="-7"/>
          <w:sz w:val="32"/>
        </w:rPr>
        <w:t> </w:t>
      </w:r>
      <w:r>
        <w:rPr>
          <w:sz w:val="32"/>
        </w:rPr>
        <w:t>significant</w:t>
      </w:r>
      <w:r>
        <w:rPr>
          <w:spacing w:val="-15"/>
          <w:sz w:val="32"/>
        </w:rPr>
        <w:t> </w:t>
      </w:r>
      <w:r>
        <w:rPr>
          <w:sz w:val="32"/>
        </w:rPr>
        <w:t>changes</w:t>
      </w:r>
      <w:r>
        <w:rPr>
          <w:spacing w:val="-9"/>
          <w:sz w:val="32"/>
        </w:rPr>
        <w:t> </w:t>
      </w:r>
      <w:r>
        <w:rPr>
          <w:sz w:val="32"/>
        </w:rPr>
        <w:t>in</w:t>
      </w:r>
      <w:r>
        <w:rPr>
          <w:spacing w:val="-11"/>
          <w:sz w:val="32"/>
        </w:rPr>
        <w:t> </w:t>
      </w:r>
      <w:r>
        <w:rPr>
          <w:sz w:val="32"/>
        </w:rPr>
        <w:t>agricultural</w:t>
      </w:r>
      <w:r>
        <w:rPr>
          <w:spacing w:val="-12"/>
          <w:sz w:val="32"/>
        </w:rPr>
        <w:t> </w:t>
      </w:r>
      <w:r>
        <w:rPr>
          <w:sz w:val="32"/>
        </w:rPr>
        <w:t>and</w:t>
      </w:r>
      <w:r>
        <w:rPr>
          <w:spacing w:val="-11"/>
          <w:sz w:val="32"/>
        </w:rPr>
        <w:t> </w:t>
      </w:r>
      <w:r>
        <w:rPr>
          <w:sz w:val="32"/>
        </w:rPr>
        <w:t>environmental</w:t>
      </w:r>
      <w:r>
        <w:rPr>
          <w:spacing w:val="-6"/>
          <w:sz w:val="32"/>
        </w:rPr>
        <w:t> </w:t>
      </w:r>
      <w:r>
        <w:rPr>
          <w:sz w:val="32"/>
        </w:rPr>
        <w:t>policies</w:t>
      </w:r>
      <w:r>
        <w:rPr>
          <w:spacing w:val="-10"/>
          <w:sz w:val="32"/>
        </w:rPr>
        <w:t> </w:t>
      </w:r>
      <w:r>
        <w:rPr>
          <w:sz w:val="32"/>
        </w:rPr>
        <w:t>since European</w:t>
      </w:r>
      <w:r>
        <w:rPr>
          <w:spacing w:val="3"/>
          <w:sz w:val="32"/>
        </w:rPr>
        <w:t> </w:t>
      </w:r>
      <w:r>
        <w:rPr>
          <w:sz w:val="32"/>
        </w:rPr>
        <w:t>settlement.</w:t>
      </w:r>
    </w:p>
    <w:p>
      <w:pPr>
        <w:pStyle w:val="ListParagraph"/>
        <w:numPr>
          <w:ilvl w:val="1"/>
          <w:numId w:val="4"/>
        </w:numPr>
        <w:tabs>
          <w:tab w:pos="1277" w:val="left" w:leader="none"/>
        </w:tabs>
        <w:spacing w:line="230" w:lineRule="auto" w:before="128" w:after="0"/>
        <w:ind w:left="1276" w:right="640" w:hanging="449"/>
        <w:jc w:val="left"/>
        <w:rPr>
          <w:sz w:val="32"/>
        </w:rPr>
      </w:pPr>
      <w:r>
        <w:rPr>
          <w:sz w:val="32"/>
        </w:rPr>
        <w:t>Early phase pro-development (sometimes </w:t>
      </w:r>
      <w:r>
        <w:rPr>
          <w:spacing w:val="-3"/>
          <w:sz w:val="32"/>
        </w:rPr>
        <w:t>farmers </w:t>
      </w:r>
      <w:r>
        <w:rPr>
          <w:sz w:val="32"/>
        </w:rPr>
        <w:t>had to clear land and demonstrate use).</w:t>
      </w:r>
      <w:r>
        <w:rPr>
          <w:spacing w:val="-9"/>
          <w:sz w:val="32"/>
        </w:rPr>
        <w:t> </w:t>
      </w:r>
      <w:r>
        <w:rPr>
          <w:sz w:val="32"/>
        </w:rPr>
        <w:t>This</w:t>
      </w:r>
      <w:r>
        <w:rPr>
          <w:spacing w:val="-12"/>
          <w:sz w:val="32"/>
        </w:rPr>
        <w:t> </w:t>
      </w:r>
      <w:r>
        <w:rPr>
          <w:sz w:val="32"/>
        </w:rPr>
        <w:t>has</w:t>
      </w:r>
      <w:r>
        <w:rPr>
          <w:spacing w:val="-11"/>
          <w:sz w:val="32"/>
        </w:rPr>
        <w:t> </w:t>
      </w:r>
      <w:r>
        <w:rPr>
          <w:sz w:val="32"/>
        </w:rPr>
        <w:t>shifted</w:t>
      </w:r>
      <w:r>
        <w:rPr>
          <w:spacing w:val="-12"/>
          <w:sz w:val="32"/>
        </w:rPr>
        <w:t> </w:t>
      </w:r>
      <w:r>
        <w:rPr>
          <w:sz w:val="32"/>
        </w:rPr>
        <w:t>over</w:t>
      </w:r>
      <w:r>
        <w:rPr>
          <w:spacing w:val="-5"/>
          <w:sz w:val="32"/>
        </w:rPr>
        <w:t> </w:t>
      </w:r>
      <w:r>
        <w:rPr>
          <w:sz w:val="32"/>
        </w:rPr>
        <w:t>time</w:t>
      </w:r>
      <w:r>
        <w:rPr>
          <w:spacing w:val="-11"/>
          <w:sz w:val="32"/>
        </w:rPr>
        <w:t> </w:t>
      </w:r>
      <w:r>
        <w:rPr>
          <w:sz w:val="32"/>
        </w:rPr>
        <w:t>to</w:t>
      </w:r>
      <w:r>
        <w:rPr>
          <w:spacing w:val="-8"/>
          <w:sz w:val="32"/>
        </w:rPr>
        <w:t> </w:t>
      </w:r>
      <w:r>
        <w:rPr>
          <w:sz w:val="32"/>
        </w:rPr>
        <w:t>promote</w:t>
      </w:r>
      <w:r>
        <w:rPr>
          <w:spacing w:val="-7"/>
          <w:sz w:val="32"/>
        </w:rPr>
        <w:t> </w:t>
      </w:r>
      <w:r>
        <w:rPr>
          <w:sz w:val="32"/>
        </w:rPr>
        <w:t>environmentally</w:t>
      </w:r>
      <w:r>
        <w:rPr>
          <w:spacing w:val="-8"/>
          <w:sz w:val="32"/>
        </w:rPr>
        <w:t> </w:t>
      </w:r>
      <w:r>
        <w:rPr>
          <w:sz w:val="32"/>
        </w:rPr>
        <w:t>sustainable</w:t>
      </w:r>
      <w:r>
        <w:rPr>
          <w:spacing w:val="-16"/>
          <w:sz w:val="32"/>
        </w:rPr>
        <w:t> </w:t>
      </w:r>
      <w:r>
        <w:rPr>
          <w:sz w:val="32"/>
        </w:rPr>
        <w:t>development.</w:t>
      </w:r>
    </w:p>
    <w:p>
      <w:pPr>
        <w:pStyle w:val="ListParagraph"/>
        <w:numPr>
          <w:ilvl w:val="0"/>
          <w:numId w:val="4"/>
        </w:numPr>
        <w:tabs>
          <w:tab w:pos="981" w:val="left" w:leader="none"/>
          <w:tab w:pos="982" w:val="left" w:leader="none"/>
        </w:tabs>
        <w:spacing w:line="235" w:lineRule="auto" w:before="122" w:after="0"/>
        <w:ind w:left="981" w:right="1008" w:hanging="452"/>
        <w:jc w:val="left"/>
        <w:rPr>
          <w:sz w:val="32"/>
        </w:rPr>
      </w:pPr>
      <w:r>
        <w:rPr>
          <w:sz w:val="32"/>
        </w:rPr>
        <w:t>Over</w:t>
      </w:r>
      <w:r>
        <w:rPr>
          <w:spacing w:val="-6"/>
          <w:sz w:val="32"/>
        </w:rPr>
        <w:t> </w:t>
      </w:r>
      <w:r>
        <w:rPr>
          <w:sz w:val="32"/>
        </w:rPr>
        <w:t>time</w:t>
      </w:r>
      <w:r>
        <w:rPr>
          <w:spacing w:val="-8"/>
          <w:sz w:val="32"/>
        </w:rPr>
        <w:t> </w:t>
      </w:r>
      <w:r>
        <w:rPr>
          <w:sz w:val="32"/>
        </w:rPr>
        <w:t>(since</w:t>
      </w:r>
      <w:r>
        <w:rPr>
          <w:spacing w:val="-8"/>
          <w:sz w:val="32"/>
        </w:rPr>
        <w:t> </w:t>
      </w:r>
      <w:r>
        <w:rPr>
          <w:sz w:val="32"/>
        </w:rPr>
        <w:t>the</w:t>
      </w:r>
      <w:r>
        <w:rPr>
          <w:spacing w:val="-6"/>
          <w:sz w:val="32"/>
        </w:rPr>
        <w:t> </w:t>
      </w:r>
      <w:r>
        <w:rPr>
          <w:sz w:val="32"/>
        </w:rPr>
        <w:t>1990s),</w:t>
      </w:r>
      <w:r>
        <w:rPr>
          <w:spacing w:val="-2"/>
          <w:sz w:val="32"/>
        </w:rPr>
        <w:t> </w:t>
      </w:r>
      <w:r>
        <w:rPr>
          <w:sz w:val="32"/>
        </w:rPr>
        <w:t>governments</w:t>
      </w:r>
      <w:r>
        <w:rPr>
          <w:spacing w:val="-2"/>
          <w:sz w:val="32"/>
        </w:rPr>
        <w:t> </w:t>
      </w:r>
      <w:r>
        <w:rPr>
          <w:sz w:val="32"/>
        </w:rPr>
        <w:t>in</w:t>
      </w:r>
      <w:r>
        <w:rPr>
          <w:spacing w:val="-10"/>
          <w:sz w:val="32"/>
        </w:rPr>
        <w:t> </w:t>
      </w:r>
      <w:r>
        <w:rPr>
          <w:sz w:val="32"/>
        </w:rPr>
        <w:t>Australia</w:t>
      </w:r>
      <w:r>
        <w:rPr>
          <w:spacing w:val="-12"/>
          <w:sz w:val="32"/>
        </w:rPr>
        <w:t> </w:t>
      </w:r>
      <w:r>
        <w:rPr>
          <w:sz w:val="32"/>
        </w:rPr>
        <w:t>have</w:t>
      </w:r>
      <w:r>
        <w:rPr>
          <w:spacing w:val="-8"/>
          <w:sz w:val="32"/>
        </w:rPr>
        <w:t> </w:t>
      </w:r>
      <w:r>
        <w:rPr>
          <w:sz w:val="32"/>
        </w:rPr>
        <w:t>moved</w:t>
      </w:r>
      <w:r>
        <w:rPr>
          <w:spacing w:val="-4"/>
          <w:sz w:val="32"/>
        </w:rPr>
        <w:t> </w:t>
      </w:r>
      <w:r>
        <w:rPr>
          <w:spacing w:val="-3"/>
          <w:sz w:val="32"/>
        </w:rPr>
        <w:t>away</w:t>
      </w:r>
      <w:r>
        <w:rPr>
          <w:spacing w:val="-7"/>
          <w:sz w:val="32"/>
        </w:rPr>
        <w:t> </w:t>
      </w:r>
      <w:r>
        <w:rPr>
          <w:sz w:val="32"/>
        </w:rPr>
        <w:t>from</w:t>
      </w:r>
      <w:r>
        <w:rPr>
          <w:spacing w:val="-5"/>
          <w:sz w:val="32"/>
        </w:rPr>
        <w:t> </w:t>
      </w:r>
      <w:r>
        <w:rPr>
          <w:sz w:val="32"/>
        </w:rPr>
        <w:t>directly supporting </w:t>
      </w:r>
      <w:r>
        <w:rPr>
          <w:spacing w:val="-3"/>
          <w:sz w:val="32"/>
        </w:rPr>
        <w:t>farmers </w:t>
      </w:r>
      <w:r>
        <w:rPr>
          <w:sz w:val="32"/>
        </w:rPr>
        <w:t>with payments, to encouraging:</w:t>
      </w:r>
    </w:p>
    <w:p>
      <w:pPr>
        <w:pStyle w:val="ListParagraph"/>
        <w:numPr>
          <w:ilvl w:val="1"/>
          <w:numId w:val="4"/>
        </w:numPr>
        <w:tabs>
          <w:tab w:pos="1277" w:val="left" w:leader="none"/>
        </w:tabs>
        <w:spacing w:line="240" w:lineRule="auto" w:before="117" w:after="0"/>
        <w:ind w:left="1276" w:right="0" w:hanging="450"/>
        <w:jc w:val="left"/>
        <w:rPr>
          <w:sz w:val="32"/>
        </w:rPr>
      </w:pPr>
      <w:r>
        <w:rPr>
          <w:sz w:val="32"/>
        </w:rPr>
        <w:t>increased self-reliance and profitability through improving productivity via R&amp;D;</w:t>
      </w:r>
      <w:r>
        <w:rPr>
          <w:spacing w:val="-44"/>
          <w:sz w:val="32"/>
        </w:rPr>
        <w:t> </w:t>
      </w:r>
      <w:r>
        <w:rPr>
          <w:sz w:val="32"/>
        </w:rPr>
        <w:t>and</w:t>
      </w:r>
    </w:p>
    <w:p>
      <w:pPr>
        <w:pStyle w:val="ListParagraph"/>
        <w:numPr>
          <w:ilvl w:val="1"/>
          <w:numId w:val="4"/>
        </w:numPr>
        <w:tabs>
          <w:tab w:pos="1277" w:val="left" w:leader="none"/>
        </w:tabs>
        <w:spacing w:line="240" w:lineRule="auto" w:before="103" w:after="0"/>
        <w:ind w:left="1276" w:right="0" w:hanging="450"/>
        <w:jc w:val="left"/>
        <w:rPr>
          <w:sz w:val="32"/>
        </w:rPr>
      </w:pPr>
      <w:r>
        <w:rPr>
          <w:sz w:val="32"/>
        </w:rPr>
        <w:t>economies of scale through expansion of export</w:t>
      </w:r>
      <w:r>
        <w:rPr>
          <w:spacing w:val="-1"/>
          <w:sz w:val="32"/>
        </w:rPr>
        <w:t> </w:t>
      </w:r>
      <w:r>
        <w:rPr>
          <w:spacing w:val="-3"/>
          <w:sz w:val="32"/>
        </w:rPr>
        <w:t>markets.</w:t>
      </w:r>
    </w:p>
    <w:p>
      <w:pPr>
        <w:pStyle w:val="ListParagraph"/>
        <w:numPr>
          <w:ilvl w:val="0"/>
          <w:numId w:val="4"/>
        </w:numPr>
        <w:tabs>
          <w:tab w:pos="982" w:val="left" w:leader="none"/>
        </w:tabs>
        <w:spacing w:line="235" w:lineRule="auto" w:before="110" w:after="0"/>
        <w:ind w:left="981" w:right="904" w:hanging="452"/>
        <w:jc w:val="both"/>
        <w:rPr>
          <w:sz w:val="32"/>
        </w:rPr>
      </w:pPr>
      <w:r>
        <w:rPr>
          <w:sz w:val="32"/>
        </w:rPr>
        <w:t>Australian </w:t>
      </w:r>
      <w:r>
        <w:rPr>
          <w:spacing w:val="-3"/>
          <w:sz w:val="32"/>
        </w:rPr>
        <w:t>farmers </w:t>
      </w:r>
      <w:r>
        <w:rPr>
          <w:sz w:val="32"/>
        </w:rPr>
        <w:t>cannot </w:t>
      </w:r>
      <w:r>
        <w:rPr>
          <w:spacing w:val="-4"/>
          <w:sz w:val="32"/>
        </w:rPr>
        <w:t>afford </w:t>
      </w:r>
      <w:r>
        <w:rPr>
          <w:sz w:val="32"/>
        </w:rPr>
        <w:t>to maintain unsustainable farming practices, as these erode</w:t>
      </w:r>
      <w:r>
        <w:rPr>
          <w:spacing w:val="-4"/>
          <w:sz w:val="32"/>
        </w:rPr>
        <w:t> </w:t>
      </w:r>
      <w:r>
        <w:rPr>
          <w:sz w:val="32"/>
        </w:rPr>
        <w:t>long</w:t>
      </w:r>
      <w:r>
        <w:rPr>
          <w:spacing w:val="-10"/>
          <w:sz w:val="32"/>
        </w:rPr>
        <w:t> </w:t>
      </w:r>
      <w:r>
        <w:rPr>
          <w:sz w:val="32"/>
        </w:rPr>
        <w:t>term</w:t>
      </w:r>
      <w:r>
        <w:rPr>
          <w:spacing w:val="-5"/>
          <w:sz w:val="32"/>
        </w:rPr>
        <w:t> </w:t>
      </w:r>
      <w:r>
        <w:rPr>
          <w:sz w:val="32"/>
        </w:rPr>
        <w:t>productivity</w:t>
      </w:r>
      <w:r>
        <w:rPr>
          <w:spacing w:val="-8"/>
          <w:sz w:val="32"/>
        </w:rPr>
        <w:t> </w:t>
      </w:r>
      <w:r>
        <w:rPr>
          <w:sz w:val="32"/>
        </w:rPr>
        <w:t>through</w:t>
      </w:r>
      <w:r>
        <w:rPr>
          <w:spacing w:val="-9"/>
          <w:sz w:val="32"/>
        </w:rPr>
        <w:t> </w:t>
      </w:r>
      <w:r>
        <w:rPr>
          <w:sz w:val="32"/>
        </w:rPr>
        <w:t>running</w:t>
      </w:r>
      <w:r>
        <w:rPr>
          <w:spacing w:val="-9"/>
          <w:sz w:val="32"/>
        </w:rPr>
        <w:t> </w:t>
      </w:r>
      <w:r>
        <w:rPr>
          <w:sz w:val="32"/>
        </w:rPr>
        <w:t>down</w:t>
      </w:r>
      <w:r>
        <w:rPr>
          <w:spacing w:val="-4"/>
          <w:sz w:val="32"/>
        </w:rPr>
        <w:t> </w:t>
      </w:r>
      <w:r>
        <w:rPr>
          <w:sz w:val="32"/>
        </w:rPr>
        <w:t>the</w:t>
      </w:r>
      <w:r>
        <w:rPr>
          <w:spacing w:val="-7"/>
          <w:sz w:val="32"/>
        </w:rPr>
        <w:t> </w:t>
      </w:r>
      <w:r>
        <w:rPr>
          <w:sz w:val="32"/>
        </w:rPr>
        <w:t>natural</w:t>
      </w:r>
      <w:r>
        <w:rPr>
          <w:spacing w:val="-10"/>
          <w:sz w:val="32"/>
        </w:rPr>
        <w:t> </w:t>
      </w:r>
      <w:r>
        <w:rPr>
          <w:sz w:val="32"/>
        </w:rPr>
        <w:t>capital</w:t>
      </w:r>
      <w:r>
        <w:rPr>
          <w:spacing w:val="-14"/>
          <w:sz w:val="32"/>
        </w:rPr>
        <w:t> </w:t>
      </w:r>
      <w:r>
        <w:rPr>
          <w:sz w:val="32"/>
        </w:rPr>
        <w:t>stock</w:t>
      </w:r>
      <w:r>
        <w:rPr>
          <w:spacing w:val="-8"/>
          <w:sz w:val="32"/>
        </w:rPr>
        <w:t> </w:t>
      </w:r>
      <w:r>
        <w:rPr>
          <w:sz w:val="32"/>
        </w:rPr>
        <w:t>on</w:t>
      </w:r>
      <w:r>
        <w:rPr>
          <w:spacing w:val="-7"/>
          <w:sz w:val="32"/>
        </w:rPr>
        <w:t> </w:t>
      </w:r>
      <w:r>
        <w:rPr>
          <w:sz w:val="32"/>
        </w:rPr>
        <w:t>farms. Our </w:t>
      </w:r>
      <w:r>
        <w:rPr>
          <w:spacing w:val="-3"/>
          <w:sz w:val="32"/>
        </w:rPr>
        <w:t>system </w:t>
      </w:r>
      <w:r>
        <w:rPr>
          <w:sz w:val="32"/>
        </w:rPr>
        <w:t>of agricultural support </w:t>
      </w:r>
      <w:r>
        <w:rPr>
          <w:spacing w:val="-3"/>
          <w:sz w:val="32"/>
        </w:rPr>
        <w:t>reinforces </w:t>
      </w:r>
      <w:r>
        <w:rPr>
          <w:sz w:val="32"/>
        </w:rPr>
        <w:t>this—virtually no direct farm</w:t>
      </w:r>
      <w:r>
        <w:rPr>
          <w:spacing w:val="-21"/>
          <w:sz w:val="32"/>
        </w:rPr>
        <w:t> </w:t>
      </w:r>
      <w:r>
        <w:rPr>
          <w:sz w:val="32"/>
        </w:rPr>
        <w:t>support.</w:t>
      </w:r>
    </w:p>
    <w:p>
      <w:pPr>
        <w:pStyle w:val="ListParagraph"/>
        <w:numPr>
          <w:ilvl w:val="0"/>
          <w:numId w:val="4"/>
        </w:numPr>
        <w:tabs>
          <w:tab w:pos="982" w:val="left" w:leader="none"/>
        </w:tabs>
        <w:spacing w:line="235" w:lineRule="auto" w:before="123" w:after="0"/>
        <w:ind w:left="981" w:right="879" w:hanging="452"/>
        <w:jc w:val="both"/>
        <w:rPr>
          <w:sz w:val="32"/>
        </w:rPr>
      </w:pPr>
      <w:r>
        <w:rPr>
          <w:sz w:val="32"/>
        </w:rPr>
        <w:t>Instead, main policies aimed at more environmentally sustainable agricultural development</w:t>
      </w:r>
      <w:r>
        <w:rPr>
          <w:spacing w:val="-4"/>
          <w:sz w:val="32"/>
        </w:rPr>
        <w:t> </w:t>
      </w:r>
      <w:r>
        <w:rPr>
          <w:sz w:val="32"/>
        </w:rPr>
        <w:t>include</w:t>
      </w:r>
      <w:r>
        <w:rPr>
          <w:spacing w:val="-10"/>
          <w:sz w:val="32"/>
        </w:rPr>
        <w:t> </w:t>
      </w:r>
      <w:r>
        <w:rPr>
          <w:sz w:val="32"/>
        </w:rPr>
        <w:t>regulation,</w:t>
      </w:r>
      <w:r>
        <w:rPr>
          <w:spacing w:val="-8"/>
          <w:sz w:val="32"/>
        </w:rPr>
        <w:t> </w:t>
      </w:r>
      <w:r>
        <w:rPr>
          <w:sz w:val="32"/>
        </w:rPr>
        <w:t>suasion,</w:t>
      </w:r>
      <w:r>
        <w:rPr>
          <w:spacing w:val="-10"/>
          <w:sz w:val="32"/>
        </w:rPr>
        <w:t> </w:t>
      </w:r>
      <w:r>
        <w:rPr>
          <w:spacing w:val="-3"/>
          <w:sz w:val="32"/>
        </w:rPr>
        <w:t>Market</w:t>
      </w:r>
      <w:r>
        <w:rPr>
          <w:spacing w:val="-5"/>
          <w:sz w:val="32"/>
        </w:rPr>
        <w:t> </w:t>
      </w:r>
      <w:r>
        <w:rPr>
          <w:sz w:val="32"/>
        </w:rPr>
        <w:t>Based</w:t>
      </w:r>
      <w:r>
        <w:rPr>
          <w:spacing w:val="-5"/>
          <w:sz w:val="32"/>
        </w:rPr>
        <w:t> </w:t>
      </w:r>
      <w:r>
        <w:rPr>
          <w:sz w:val="32"/>
        </w:rPr>
        <w:t>Instruments</w:t>
      </w:r>
      <w:r>
        <w:rPr>
          <w:spacing w:val="-9"/>
          <w:sz w:val="32"/>
        </w:rPr>
        <w:t> </w:t>
      </w:r>
      <w:r>
        <w:rPr>
          <w:sz w:val="32"/>
        </w:rPr>
        <w:t>(MBIs)</w:t>
      </w:r>
      <w:r>
        <w:rPr>
          <w:spacing w:val="-5"/>
          <w:sz w:val="32"/>
        </w:rPr>
        <w:t> </w:t>
      </w:r>
      <w:r>
        <w:rPr>
          <w:sz w:val="32"/>
        </w:rPr>
        <w:t>and</w:t>
      </w:r>
      <w:r>
        <w:rPr>
          <w:spacing w:val="-9"/>
          <w:sz w:val="32"/>
        </w:rPr>
        <w:t> </w:t>
      </w:r>
      <w:r>
        <w:rPr>
          <w:sz w:val="32"/>
        </w:rPr>
        <w:t>RD&amp;E.</w:t>
      </w:r>
    </w:p>
    <w:p>
      <w:pPr>
        <w:pStyle w:val="ListParagraph"/>
        <w:numPr>
          <w:ilvl w:val="1"/>
          <w:numId w:val="4"/>
        </w:numPr>
        <w:tabs>
          <w:tab w:pos="1277" w:val="left" w:leader="none"/>
        </w:tabs>
        <w:spacing w:line="240" w:lineRule="auto" w:before="116" w:after="0"/>
        <w:ind w:left="1276" w:right="0" w:hanging="450"/>
        <w:jc w:val="both"/>
        <w:rPr>
          <w:sz w:val="32"/>
        </w:rPr>
      </w:pPr>
      <w:r>
        <w:rPr>
          <w:sz w:val="32"/>
        </w:rPr>
        <w:t>Regulation—imposed restrictions on land clearing in 1980s and</w:t>
      </w:r>
      <w:r>
        <w:rPr>
          <w:spacing w:val="-11"/>
          <w:sz w:val="32"/>
        </w:rPr>
        <w:t> </w:t>
      </w:r>
      <w:r>
        <w:rPr>
          <w:sz w:val="32"/>
        </w:rPr>
        <w:t>1990s.</w:t>
      </w:r>
    </w:p>
    <w:p>
      <w:pPr>
        <w:pStyle w:val="ListParagraph"/>
        <w:numPr>
          <w:ilvl w:val="1"/>
          <w:numId w:val="4"/>
        </w:numPr>
        <w:tabs>
          <w:tab w:pos="1277" w:val="left" w:leader="none"/>
        </w:tabs>
        <w:spacing w:line="392" w:lineRule="exact" w:before="104" w:after="0"/>
        <w:ind w:left="1276" w:right="1117" w:hanging="1277"/>
        <w:jc w:val="right"/>
        <w:rPr>
          <w:sz w:val="32"/>
        </w:rPr>
      </w:pPr>
      <w:r>
        <w:rPr>
          <w:sz w:val="32"/>
        </w:rPr>
        <w:t>Suasion</w:t>
      </w:r>
      <w:r>
        <w:rPr>
          <w:spacing w:val="-11"/>
          <w:sz w:val="32"/>
        </w:rPr>
        <w:t> </w:t>
      </w:r>
      <w:r>
        <w:rPr>
          <w:sz w:val="32"/>
        </w:rPr>
        <w:t>and</w:t>
      </w:r>
      <w:r>
        <w:rPr>
          <w:spacing w:val="-12"/>
          <w:sz w:val="32"/>
        </w:rPr>
        <w:t> </w:t>
      </w:r>
      <w:r>
        <w:rPr>
          <w:sz w:val="32"/>
        </w:rPr>
        <w:t>capacity</w:t>
      </w:r>
      <w:r>
        <w:rPr>
          <w:spacing w:val="-14"/>
          <w:sz w:val="32"/>
        </w:rPr>
        <w:t> </w:t>
      </w:r>
      <w:r>
        <w:rPr>
          <w:sz w:val="32"/>
        </w:rPr>
        <w:t>building</w:t>
      </w:r>
      <w:r>
        <w:rPr>
          <w:spacing w:val="-7"/>
          <w:sz w:val="32"/>
        </w:rPr>
        <w:t> </w:t>
      </w:r>
      <w:r>
        <w:rPr>
          <w:sz w:val="32"/>
        </w:rPr>
        <w:t>—introduced</w:t>
      </w:r>
      <w:r>
        <w:rPr>
          <w:spacing w:val="-12"/>
          <w:sz w:val="32"/>
        </w:rPr>
        <w:t> </w:t>
      </w:r>
      <w:r>
        <w:rPr>
          <w:sz w:val="32"/>
        </w:rPr>
        <w:t>Landcare</w:t>
      </w:r>
      <w:r>
        <w:rPr>
          <w:spacing w:val="-9"/>
          <w:sz w:val="32"/>
        </w:rPr>
        <w:t> </w:t>
      </w:r>
      <w:r>
        <w:rPr>
          <w:sz w:val="32"/>
        </w:rPr>
        <w:t>in</w:t>
      </w:r>
      <w:r>
        <w:rPr>
          <w:spacing w:val="-12"/>
          <w:sz w:val="32"/>
        </w:rPr>
        <w:t> </w:t>
      </w:r>
      <w:r>
        <w:rPr>
          <w:sz w:val="32"/>
        </w:rPr>
        <w:t>1989</w:t>
      </w:r>
      <w:r>
        <w:rPr>
          <w:spacing w:val="-5"/>
          <w:sz w:val="32"/>
        </w:rPr>
        <w:t> </w:t>
      </w:r>
      <w:r>
        <w:rPr>
          <w:sz w:val="32"/>
        </w:rPr>
        <w:t>(still</w:t>
      </w:r>
      <w:r>
        <w:rPr>
          <w:spacing w:val="-14"/>
          <w:sz w:val="32"/>
        </w:rPr>
        <w:t> </w:t>
      </w:r>
      <w:r>
        <w:rPr>
          <w:sz w:val="32"/>
        </w:rPr>
        <w:t>operates</w:t>
      </w:r>
      <w:r>
        <w:rPr>
          <w:spacing w:val="-8"/>
          <w:sz w:val="32"/>
        </w:rPr>
        <w:t> </w:t>
      </w:r>
      <w:r>
        <w:rPr>
          <w:sz w:val="32"/>
        </w:rPr>
        <w:t>today);</w:t>
      </w:r>
    </w:p>
    <w:p>
      <w:pPr>
        <w:pStyle w:val="BodyText"/>
        <w:spacing w:line="382" w:lineRule="exact"/>
        <w:ind w:right="1088"/>
        <w:jc w:val="right"/>
      </w:pPr>
      <w:r>
        <w:rPr/>
        <w:t>objectives</w:t>
      </w:r>
      <w:r>
        <w:rPr>
          <w:spacing w:val="-10"/>
        </w:rPr>
        <w:t> </w:t>
      </w:r>
      <w:r>
        <w:rPr/>
        <w:t>include</w:t>
      </w:r>
      <w:r>
        <w:rPr>
          <w:spacing w:val="-15"/>
        </w:rPr>
        <w:t> </w:t>
      </w:r>
      <w:r>
        <w:rPr/>
        <w:t>increased</w:t>
      </w:r>
      <w:r>
        <w:rPr>
          <w:spacing w:val="-11"/>
        </w:rPr>
        <w:t> </w:t>
      </w:r>
      <w:r>
        <w:rPr/>
        <w:t>environmental</w:t>
      </w:r>
      <w:r>
        <w:rPr>
          <w:spacing w:val="-11"/>
        </w:rPr>
        <w:t> </w:t>
      </w:r>
      <w:r>
        <w:rPr/>
        <w:t>awareness</w:t>
      </w:r>
      <w:r>
        <w:rPr>
          <w:spacing w:val="-9"/>
        </w:rPr>
        <w:t> </w:t>
      </w:r>
      <w:r>
        <w:rPr/>
        <w:t>and</w:t>
      </w:r>
      <w:r>
        <w:rPr>
          <w:spacing w:val="-15"/>
        </w:rPr>
        <w:t> </w:t>
      </w:r>
      <w:r>
        <w:rPr/>
        <w:t>sustainable</w:t>
      </w:r>
      <w:r>
        <w:rPr>
          <w:spacing w:val="-17"/>
        </w:rPr>
        <w:t> </w:t>
      </w:r>
      <w:r>
        <w:rPr/>
        <w:t>agriculture.</w:t>
      </w:r>
    </w:p>
    <w:p>
      <w:pPr>
        <w:pStyle w:val="ListParagraph"/>
        <w:numPr>
          <w:ilvl w:val="1"/>
          <w:numId w:val="4"/>
        </w:numPr>
        <w:tabs>
          <w:tab w:pos="1277" w:val="left" w:leader="none"/>
        </w:tabs>
        <w:spacing w:line="240" w:lineRule="auto" w:before="113" w:after="0"/>
        <w:ind w:left="1276" w:right="0" w:hanging="450"/>
        <w:jc w:val="both"/>
        <w:rPr>
          <w:sz w:val="32"/>
        </w:rPr>
      </w:pPr>
      <w:r>
        <w:rPr>
          <w:spacing w:val="-3"/>
          <w:sz w:val="32"/>
        </w:rPr>
        <w:t>Market </w:t>
      </w:r>
      <w:r>
        <w:rPr>
          <w:sz w:val="32"/>
        </w:rPr>
        <w:t>Based Instruments since 2000s: competitive tenders to cost</w:t>
      </w:r>
      <w:r>
        <w:rPr>
          <w:spacing w:val="-12"/>
          <w:sz w:val="32"/>
        </w:rPr>
        <w:t> </w:t>
      </w:r>
      <w:r>
        <w:rPr>
          <w:sz w:val="32"/>
        </w:rPr>
        <w:t>effectively</w:t>
      </w:r>
    </w:p>
    <w:p>
      <w:pPr>
        <w:spacing w:after="0" w:line="240" w:lineRule="auto"/>
        <w:jc w:val="both"/>
        <w:rPr>
          <w:sz w:val="32"/>
        </w:rPr>
        <w:sectPr>
          <w:type w:val="continuous"/>
          <w:pgSz w:w="23820" w:h="16840" w:orient="landscape"/>
          <w:pgMar w:top="1440" w:bottom="280" w:left="220" w:right="140"/>
          <w:cols w:num="2" w:equalWidth="0">
            <w:col w:w="10326" w:space="40"/>
            <w:col w:w="13094"/>
          </w:cols>
        </w:sectPr>
      </w:pPr>
    </w:p>
    <w:p>
      <w:pPr>
        <w:pStyle w:val="BodyText"/>
        <w:spacing w:before="131"/>
        <w:ind w:right="38"/>
        <w:jc w:val="right"/>
      </w:pPr>
      <w:r>
        <w:rPr/>
        <w:t>envir + personal</w:t>
      </w:r>
    </w:p>
    <w:p>
      <w:pPr>
        <w:pStyle w:val="BodyText"/>
        <w:spacing w:line="307" w:lineRule="auto" w:before="108"/>
        <w:ind w:left="638" w:right="114" w:firstLine="1371"/>
        <w:jc w:val="right"/>
      </w:pPr>
      <w:r>
        <w:rPr/>
        <w:t>personal personal + financial</w:t>
      </w:r>
    </w:p>
    <w:p>
      <w:pPr>
        <w:pStyle w:val="BodyText"/>
        <w:tabs>
          <w:tab w:pos="3317" w:val="left" w:leader="none"/>
        </w:tabs>
        <w:spacing w:line="187" w:lineRule="auto"/>
        <w:ind w:left="701"/>
      </w:pPr>
      <w:r>
        <w:rPr/>
        <w:br w:type="column"/>
      </w:r>
      <w:r>
        <w:rPr>
          <w:rFonts w:ascii="Webdings" w:hAnsi="Webdings"/>
          <w:b/>
          <w:color w:val="6FAC46"/>
          <w:position w:val="-11"/>
        </w:rPr>
        <w:t></w:t>
      </w:r>
      <w:r>
        <w:rPr>
          <w:rFonts w:ascii="Times New Roman" w:hAnsi="Times New Roman"/>
          <w:b/>
          <w:color w:val="6FAC46"/>
          <w:spacing w:val="69"/>
          <w:position w:val="-11"/>
        </w:rPr>
        <w:t> </w:t>
      </w:r>
      <w:r>
        <w:rPr>
          <w:rFonts w:ascii="Wingdings" w:hAnsi="Wingdings"/>
          <w:color w:val="6F2F9F"/>
          <w:position w:val="-11"/>
        </w:rPr>
        <w:t></w:t>
      </w:r>
      <w:r>
        <w:rPr>
          <w:rFonts w:ascii="Times New Roman" w:hAnsi="Times New Roman"/>
          <w:color w:val="6F2F9F"/>
          <w:position w:val="-11"/>
        </w:rPr>
        <w:tab/>
      </w:r>
      <w:r>
        <w:rPr/>
        <w:t>allocate funds </w:t>
      </w:r>
      <w:r>
        <w:rPr>
          <w:spacing w:val="-3"/>
        </w:rPr>
        <w:t>for </w:t>
      </w:r>
      <w:r>
        <w:rPr/>
        <w:t>biodiversity; currently used to purchase GHG reductions under</w:t>
      </w:r>
      <w:r>
        <w:rPr>
          <w:spacing w:val="-33"/>
        </w:rPr>
        <w:t> </w:t>
      </w:r>
      <w:r>
        <w:rPr>
          <w:spacing w:val="-9"/>
        </w:rPr>
        <w:t>ERF.</w:t>
      </w:r>
    </w:p>
    <w:p>
      <w:pPr>
        <w:pStyle w:val="BodyText"/>
        <w:spacing w:line="230" w:lineRule="auto" w:before="40"/>
        <w:ind w:left="3317" w:right="246" w:hanging="449"/>
      </w:pPr>
      <w:r>
        <w:rPr>
          <w:rFonts w:ascii="Courier New"/>
        </w:rPr>
        <w:t>o </w:t>
      </w:r>
      <w:r>
        <w:rPr/>
        <w:t>Government investment in RD&amp;E also used to increase adoption of technologies that have on and off-farm benefits (e.g., minimum till).</w:t>
      </w:r>
    </w:p>
    <w:p>
      <w:pPr>
        <w:pStyle w:val="ListParagraph"/>
        <w:numPr>
          <w:ilvl w:val="2"/>
          <w:numId w:val="4"/>
        </w:numPr>
        <w:tabs>
          <w:tab w:pos="3022" w:val="left" w:leader="none"/>
          <w:tab w:pos="3023" w:val="left" w:leader="none"/>
        </w:tabs>
        <w:spacing w:line="240" w:lineRule="auto" w:before="116" w:after="0"/>
        <w:ind w:left="3022" w:right="0" w:hanging="453"/>
        <w:jc w:val="left"/>
        <w:rPr>
          <w:sz w:val="32"/>
        </w:rPr>
      </w:pPr>
      <w:r>
        <w:rPr>
          <w:sz w:val="32"/>
        </w:rPr>
        <w:t>This</w:t>
      </w:r>
      <w:r>
        <w:rPr>
          <w:spacing w:val="-7"/>
          <w:sz w:val="32"/>
        </w:rPr>
        <w:t> </w:t>
      </w:r>
      <w:r>
        <w:rPr>
          <w:sz w:val="32"/>
        </w:rPr>
        <w:t>has</w:t>
      </w:r>
      <w:r>
        <w:rPr>
          <w:spacing w:val="-7"/>
          <w:sz w:val="32"/>
        </w:rPr>
        <w:t> </w:t>
      </w:r>
      <w:r>
        <w:rPr>
          <w:sz w:val="32"/>
        </w:rPr>
        <w:t>led</w:t>
      </w:r>
      <w:r>
        <w:rPr>
          <w:spacing w:val="-5"/>
          <w:sz w:val="32"/>
        </w:rPr>
        <w:t> </w:t>
      </w:r>
      <w:r>
        <w:rPr>
          <w:sz w:val="32"/>
        </w:rPr>
        <w:t>to</w:t>
      </w:r>
      <w:r>
        <w:rPr>
          <w:spacing w:val="-3"/>
          <w:sz w:val="32"/>
        </w:rPr>
        <w:t> </w:t>
      </w:r>
      <w:r>
        <w:rPr>
          <w:sz w:val="32"/>
        </w:rPr>
        <w:t>sustainable</w:t>
      </w:r>
      <w:r>
        <w:rPr>
          <w:spacing w:val="-10"/>
          <w:sz w:val="32"/>
        </w:rPr>
        <w:t> </w:t>
      </w:r>
      <w:r>
        <w:rPr>
          <w:sz w:val="32"/>
        </w:rPr>
        <w:t>practices</w:t>
      </w:r>
      <w:r>
        <w:rPr>
          <w:spacing w:val="-5"/>
          <w:sz w:val="32"/>
        </w:rPr>
        <w:t> </w:t>
      </w:r>
      <w:r>
        <w:rPr>
          <w:sz w:val="32"/>
        </w:rPr>
        <w:t>such</w:t>
      </w:r>
      <w:r>
        <w:rPr>
          <w:spacing w:val="-3"/>
          <w:sz w:val="32"/>
        </w:rPr>
        <w:t> </w:t>
      </w:r>
      <w:r>
        <w:rPr>
          <w:sz w:val="32"/>
        </w:rPr>
        <w:t>as</w:t>
      </w:r>
      <w:r>
        <w:rPr>
          <w:spacing w:val="-7"/>
          <w:sz w:val="32"/>
        </w:rPr>
        <w:t> </w:t>
      </w:r>
      <w:r>
        <w:rPr>
          <w:sz w:val="32"/>
        </w:rPr>
        <w:t>crop rotations</w:t>
      </w:r>
      <w:r>
        <w:rPr>
          <w:spacing w:val="-4"/>
          <w:sz w:val="32"/>
        </w:rPr>
        <w:t> </w:t>
      </w:r>
      <w:r>
        <w:rPr>
          <w:sz w:val="32"/>
        </w:rPr>
        <w:t>(an</w:t>
      </w:r>
      <w:r>
        <w:rPr>
          <w:spacing w:val="-5"/>
          <w:sz w:val="32"/>
        </w:rPr>
        <w:t> </w:t>
      </w:r>
      <w:r>
        <w:rPr>
          <w:sz w:val="32"/>
        </w:rPr>
        <w:t>issue</w:t>
      </w:r>
      <w:r>
        <w:rPr>
          <w:spacing w:val="-5"/>
          <w:sz w:val="32"/>
        </w:rPr>
        <w:t> </w:t>
      </w:r>
      <w:r>
        <w:rPr>
          <w:sz w:val="32"/>
        </w:rPr>
        <w:t>that</w:t>
      </w:r>
      <w:r>
        <w:rPr>
          <w:spacing w:val="-7"/>
          <w:sz w:val="32"/>
        </w:rPr>
        <w:t> </w:t>
      </w:r>
      <w:r>
        <w:rPr>
          <w:sz w:val="32"/>
        </w:rPr>
        <w:t>exists</w:t>
      </w:r>
      <w:r>
        <w:rPr>
          <w:spacing w:val="-7"/>
          <w:sz w:val="32"/>
        </w:rPr>
        <w:t> </w:t>
      </w:r>
      <w:r>
        <w:rPr>
          <w:sz w:val="32"/>
        </w:rPr>
        <w:t>in</w:t>
      </w:r>
      <w:r>
        <w:rPr>
          <w:spacing w:val="-7"/>
          <w:sz w:val="32"/>
        </w:rPr>
        <w:t> </w:t>
      </w:r>
      <w:r>
        <w:rPr>
          <w:sz w:val="32"/>
        </w:rPr>
        <w:t>Europe</w:t>
      </w:r>
    </w:p>
    <w:p>
      <w:pPr>
        <w:spacing w:after="0" w:line="240" w:lineRule="auto"/>
        <w:jc w:val="left"/>
        <w:rPr>
          <w:sz w:val="32"/>
        </w:rPr>
        <w:sectPr>
          <w:type w:val="continuous"/>
          <w:pgSz w:w="23820" w:h="16840" w:orient="landscape"/>
          <w:pgMar w:top="1440" w:bottom="280" w:left="220" w:right="140"/>
          <w:cols w:num="2" w:equalWidth="0">
            <w:col w:w="3298" w:space="5026"/>
            <w:col w:w="15136"/>
          </w:cols>
        </w:sectPr>
      </w:pPr>
    </w:p>
    <w:p>
      <w:pPr>
        <w:tabs>
          <w:tab w:pos="4267" w:val="left" w:leader="none"/>
          <w:tab w:pos="5066" w:val="left" w:leader="none"/>
          <w:tab w:pos="5917" w:val="left" w:leader="none"/>
          <w:tab w:pos="6768" w:val="left" w:leader="none"/>
          <w:tab w:pos="7618" w:val="left" w:leader="none"/>
          <w:tab w:pos="8468" w:val="left" w:leader="none"/>
          <w:tab w:pos="9319" w:val="left" w:leader="none"/>
        </w:tabs>
        <w:spacing w:line="237" w:lineRule="exact" w:before="0"/>
        <w:ind w:left="3416" w:right="0" w:firstLine="0"/>
        <w:jc w:val="left"/>
        <w:rPr>
          <w:sz w:val="20"/>
        </w:rPr>
      </w:pPr>
      <w:r>
        <w:rPr>
          <w:color w:val="585858"/>
          <w:sz w:val="20"/>
        </w:rPr>
        <w:t>0%</w:t>
        <w:tab/>
        <w:t>5%</w:t>
        <w:tab/>
        <w:t>10%</w:t>
        <w:tab/>
        <w:t>15%</w:t>
        <w:tab/>
        <w:t>20%</w:t>
        <w:tab/>
        <w:t>25%</w:t>
        <w:tab/>
        <w:t>30%</w:t>
        <w:tab/>
      </w:r>
      <w:r>
        <w:rPr>
          <w:color w:val="585858"/>
          <w:spacing w:val="-2"/>
          <w:sz w:val="20"/>
        </w:rPr>
        <w:t>35%</w:t>
      </w:r>
    </w:p>
    <w:p>
      <w:pPr>
        <w:spacing w:before="81"/>
        <w:ind w:left="2498" w:right="1740" w:firstLine="0"/>
        <w:jc w:val="center"/>
        <w:rPr>
          <w:sz w:val="36"/>
        </w:rPr>
      </w:pPr>
      <w:r>
        <w:rPr>
          <w:b/>
          <w:color w:val="006FC0"/>
          <w:sz w:val="36"/>
        </w:rPr>
        <w:t>$ </w:t>
      </w:r>
      <w:r>
        <w:rPr>
          <w:color w:val="006FC0"/>
          <w:sz w:val="36"/>
        </w:rPr>
        <w:t>financial </w:t>
      </w:r>
      <w:r>
        <w:rPr>
          <w:rFonts w:ascii="Webdings" w:hAnsi="Webdings"/>
          <w:b/>
          <w:color w:val="79B800"/>
          <w:sz w:val="36"/>
        </w:rPr>
        <w:t></w:t>
      </w:r>
      <w:r>
        <w:rPr>
          <w:rFonts w:ascii="Times New Roman" w:hAnsi="Times New Roman"/>
          <w:b/>
          <w:color w:val="79B800"/>
          <w:sz w:val="36"/>
        </w:rPr>
        <w:t> </w:t>
      </w:r>
      <w:r>
        <w:rPr>
          <w:color w:val="79B800"/>
          <w:sz w:val="36"/>
        </w:rPr>
        <w:t>environmental </w:t>
      </w:r>
      <w:r>
        <w:rPr>
          <w:rFonts w:ascii="Wingdings" w:hAnsi="Wingdings"/>
          <w:color w:val="6F2F9F"/>
          <w:sz w:val="36"/>
        </w:rPr>
        <w:t></w:t>
      </w:r>
      <w:r>
        <w:rPr>
          <w:rFonts w:ascii="Times New Roman" w:hAnsi="Times New Roman"/>
          <w:color w:val="6F2F9F"/>
          <w:sz w:val="36"/>
        </w:rPr>
        <w:t> </w:t>
      </w:r>
      <w:r>
        <w:rPr>
          <w:color w:val="6F2F9F"/>
          <w:sz w:val="36"/>
        </w:rPr>
        <w:t>personal</w:t>
      </w:r>
    </w:p>
    <w:p>
      <w:pPr>
        <w:spacing w:line="235" w:lineRule="auto" w:before="100"/>
        <w:ind w:left="626" w:right="-3" w:firstLine="0"/>
        <w:jc w:val="left"/>
        <w:rPr>
          <w:sz w:val="20"/>
        </w:rPr>
      </w:pPr>
      <w:r>
        <w:rPr>
          <w:sz w:val="20"/>
        </w:rPr>
        <w:t>Notes: </w:t>
      </w:r>
      <w:r>
        <w:rPr>
          <w:color w:val="7E7E7E"/>
          <w:sz w:val="20"/>
        </w:rPr>
        <w:t>Bars represent proportion of respondents citing each combination of motivations for vegetation management. Sums to 100%. </w:t>
      </w:r>
      <w:r>
        <w:rPr>
          <w:sz w:val="20"/>
        </w:rPr>
        <w:t>Source: </w:t>
      </w:r>
      <w:r>
        <w:rPr>
          <w:color w:val="7E7E7E"/>
          <w:sz w:val="20"/>
        </w:rPr>
        <w:t>Kancans et al. (2014)</w:t>
      </w:r>
    </w:p>
    <w:p>
      <w:pPr>
        <w:pStyle w:val="BodyText"/>
        <w:spacing w:before="11"/>
        <w:rPr>
          <w:sz w:val="29"/>
        </w:rPr>
      </w:pPr>
    </w:p>
    <w:p>
      <w:pPr>
        <w:spacing w:before="0"/>
        <w:ind w:left="501" w:right="0" w:firstLine="0"/>
        <w:jc w:val="left"/>
        <w:rPr>
          <w:sz w:val="20"/>
        </w:rPr>
      </w:pPr>
      <w:r>
        <w:rPr>
          <w:sz w:val="20"/>
        </w:rPr>
        <w:t>Greenville, J 2020, </w:t>
      </w:r>
      <w:hyperlink r:id="rId31">
        <w:r>
          <w:rPr>
            <w:color w:val="006FC0"/>
            <w:sz w:val="20"/>
            <w:u w:val="single" w:color="006FC0"/>
          </w:rPr>
          <w:t>Analysis of government support for Australian agricultural producers</w:t>
        </w:r>
      </w:hyperlink>
      <w:r>
        <w:rPr>
          <w:sz w:val="20"/>
        </w:rPr>
        <w:t>, ABARES, Canberra.</w:t>
      </w:r>
    </w:p>
    <w:p>
      <w:pPr>
        <w:pStyle w:val="BodyText"/>
        <w:spacing w:line="235" w:lineRule="auto"/>
        <w:ind w:left="953" w:right="895"/>
      </w:pPr>
      <w:r>
        <w:rPr/>
        <w:br w:type="column"/>
      </w:r>
      <w:r>
        <w:rPr/>
        <w:t>current CAP funding arrangements), limits to pesticide and fertilizer use, and practices such as no-till farming becoming the norm.</w:t>
      </w:r>
    </w:p>
    <w:p>
      <w:pPr>
        <w:pStyle w:val="ListParagraph"/>
        <w:numPr>
          <w:ilvl w:val="0"/>
          <w:numId w:val="4"/>
        </w:numPr>
        <w:tabs>
          <w:tab w:pos="953" w:val="left" w:leader="none"/>
          <w:tab w:pos="954" w:val="left" w:leader="none"/>
        </w:tabs>
        <w:spacing w:line="388" w:lineRule="exact" w:before="116" w:after="0"/>
        <w:ind w:left="953" w:right="0" w:hanging="453"/>
        <w:jc w:val="left"/>
        <w:rPr>
          <w:sz w:val="32"/>
        </w:rPr>
      </w:pPr>
      <w:r>
        <w:rPr>
          <w:sz w:val="32"/>
        </w:rPr>
        <w:t>More than half of Australian </w:t>
      </w:r>
      <w:r>
        <w:rPr>
          <w:spacing w:val="-3"/>
          <w:sz w:val="32"/>
        </w:rPr>
        <w:t>farmers </w:t>
      </w:r>
      <w:r>
        <w:rPr>
          <w:sz w:val="32"/>
        </w:rPr>
        <w:t>choose to manage native vegetation based</w:t>
      </w:r>
      <w:r>
        <w:rPr>
          <w:spacing w:val="-30"/>
          <w:sz w:val="32"/>
        </w:rPr>
        <w:t> </w:t>
      </w:r>
      <w:r>
        <w:rPr>
          <w:sz w:val="32"/>
        </w:rPr>
        <w:t>on</w:t>
      </w:r>
    </w:p>
    <w:p>
      <w:pPr>
        <w:pStyle w:val="BodyText"/>
        <w:spacing w:line="388" w:lineRule="exact"/>
        <w:ind w:left="953"/>
      </w:pPr>
      <w:r>
        <w:rPr/>
        <w:t>environmental motivations.</w:t>
      </w:r>
    </w:p>
    <w:p>
      <w:pPr>
        <w:spacing w:after="0" w:line="388" w:lineRule="exact"/>
        <w:sectPr>
          <w:type w:val="continuous"/>
          <w:pgSz w:w="23820" w:h="16840" w:orient="landscape"/>
          <w:pgMar w:top="1440" w:bottom="280" w:left="220" w:right="140"/>
          <w:cols w:num="2" w:equalWidth="0">
            <w:col w:w="10201" w:space="192"/>
            <w:col w:w="13067"/>
          </w:cols>
        </w:sectPr>
      </w:pPr>
    </w:p>
    <w:p>
      <w:pPr>
        <w:tabs>
          <w:tab w:pos="23348" w:val="right" w:leader="none"/>
        </w:tabs>
        <w:spacing w:line="352" w:lineRule="exact" w:before="0"/>
        <w:ind w:left="501" w:right="0" w:firstLine="0"/>
        <w:jc w:val="left"/>
        <w:rPr>
          <w:sz w:val="32"/>
        </w:rPr>
      </w:pPr>
      <w:r>
        <w:rPr>
          <w:sz w:val="20"/>
        </w:rPr>
        <w:t>Kancans, R, Ecker, S, Duncan A, Stenekes, N &amp; Zobel-Zubrzycka, H 2014, </w:t>
      </w:r>
      <w:hyperlink r:id="rId32">
        <w:r>
          <w:rPr>
            <w:color w:val="006FC0"/>
            <w:sz w:val="20"/>
            <w:u w:val="single" w:color="006FC0"/>
          </w:rPr>
          <w:t>Drivers of practice change in land management in Australian agriculture: Synthesis report—Stages I, II and III</w:t>
        </w:r>
      </w:hyperlink>
      <w:r>
        <w:rPr>
          <w:sz w:val="20"/>
        </w:rPr>
        <w:t>,</w:t>
      </w:r>
      <w:r>
        <w:rPr>
          <w:spacing w:val="-16"/>
          <w:sz w:val="20"/>
        </w:rPr>
        <w:t> </w:t>
      </w:r>
      <w:r>
        <w:rPr>
          <w:sz w:val="20"/>
        </w:rPr>
        <w:t>ABARES,</w:t>
      </w:r>
      <w:r>
        <w:rPr>
          <w:spacing w:val="-1"/>
          <w:sz w:val="20"/>
        </w:rPr>
        <w:t> </w:t>
      </w:r>
      <w:r>
        <w:rPr>
          <w:sz w:val="20"/>
        </w:rPr>
        <w:t>Canberra.</w:t>
        <w:tab/>
      </w:r>
      <w:r>
        <w:rPr>
          <w:position w:val="-7"/>
          <w:sz w:val="32"/>
        </w:rPr>
        <w:t>6</w:t>
      </w:r>
    </w:p>
    <w:p>
      <w:pPr>
        <w:spacing w:after="0" w:line="352" w:lineRule="exact"/>
        <w:jc w:val="left"/>
        <w:rPr>
          <w:sz w:val="32"/>
        </w:rPr>
        <w:sectPr>
          <w:type w:val="continuous"/>
          <w:pgSz w:w="23820" w:h="16840" w:orient="landscape"/>
          <w:pgMar w:top="1440" w:bottom="280" w:left="220" w:right="140"/>
        </w:sectPr>
      </w:pPr>
    </w:p>
    <w:p>
      <w:pPr>
        <w:pStyle w:val="BodyText"/>
        <w:rPr>
          <w:sz w:val="20"/>
        </w:rPr>
      </w:pPr>
    </w:p>
    <w:p>
      <w:pPr>
        <w:pStyle w:val="Heading1"/>
        <w:spacing w:line="213" w:lineRule="auto" w:before="170"/>
        <w:ind w:right="3884"/>
      </w:pPr>
      <w:r>
        <w:rPr/>
        <w:drawing>
          <wp:anchor distT="0" distB="0" distL="0" distR="0" allowOverlap="1" layoutInCell="1" locked="0" behindDoc="0" simplePos="0" relativeHeight="251691008">
            <wp:simplePos x="0" y="0"/>
            <wp:positionH relativeFrom="page">
              <wp:posOffset>208788</wp:posOffset>
            </wp:positionH>
            <wp:positionV relativeFrom="paragraph">
              <wp:posOffset>-155922</wp:posOffset>
            </wp:positionV>
            <wp:extent cx="2966699" cy="1030039"/>
            <wp:effectExtent l="0" t="0" r="0" b="0"/>
            <wp:wrapNone/>
            <wp:docPr id="35" name="image4.jpeg"/>
            <wp:cNvGraphicFramePr>
              <a:graphicFrameLocks noChangeAspect="1"/>
            </wp:cNvGraphicFramePr>
            <a:graphic>
              <a:graphicData uri="http://schemas.openxmlformats.org/drawingml/2006/picture">
                <pic:pic>
                  <pic:nvPicPr>
                    <pic:cNvPr id="36" name="image4.jpeg"/>
                    <pic:cNvPicPr/>
                  </pic:nvPicPr>
                  <pic:blipFill>
                    <a:blip r:embed="rId10" cstate="print"/>
                    <a:stretch>
                      <a:fillRect/>
                    </a:stretch>
                  </pic:blipFill>
                  <pic:spPr>
                    <a:xfrm>
                      <a:off x="0" y="0"/>
                      <a:ext cx="2966699" cy="1030039"/>
                    </a:xfrm>
                    <a:prstGeom prst="rect">
                      <a:avLst/>
                    </a:prstGeom>
                  </pic:spPr>
                </pic:pic>
              </a:graphicData>
            </a:graphic>
          </wp:anchor>
        </w:drawing>
      </w:r>
      <w:r>
        <w:rPr>
          <w:color w:val="A7082D"/>
        </w:rPr>
        <w:t>Policy settings: Water markets and reforms deliver for agriculture and the environment</w:t>
      </w:r>
    </w:p>
    <w:p>
      <w:pPr>
        <w:pStyle w:val="BodyText"/>
        <w:spacing w:before="12"/>
        <w:rPr>
          <w:b/>
          <w:sz w:val="24"/>
        </w:rPr>
      </w:pPr>
      <w:r>
        <w:rPr/>
        <w:pict>
          <v:shape style="position:absolute;margin-left:28.92pt;margin-top:17.601719pt;width:428.55pt;height:234.25pt;mso-position-horizontal-relative:page;mso-position-vertical-relative:paragraph;z-index:-251626496;mso-wrap-distance-left:0;mso-wrap-distance-right:0" type="#_x0000_t202" filled="false" stroked="true" strokeweight=".75pt" strokecolor="#000000">
            <v:textbox inset="0,0,0,0">
              <w:txbxContent>
                <w:p>
                  <w:pPr>
                    <w:pStyle w:val="BodyText"/>
                    <w:numPr>
                      <w:ilvl w:val="0"/>
                      <w:numId w:val="5"/>
                    </w:numPr>
                    <w:tabs>
                      <w:tab w:pos="587" w:val="left" w:leader="none"/>
                      <w:tab w:pos="588" w:val="left" w:leader="none"/>
                    </w:tabs>
                    <w:spacing w:line="235" w:lineRule="auto" w:before="67" w:after="0"/>
                    <w:ind w:left="587" w:right="186" w:hanging="452"/>
                    <w:jc w:val="left"/>
                  </w:pPr>
                  <w:r>
                    <w:rPr>
                      <w:spacing w:val="-4"/>
                    </w:rPr>
                    <w:t>Water </w:t>
                  </w:r>
                  <w:r>
                    <w:rPr>
                      <w:spacing w:val="-3"/>
                    </w:rPr>
                    <w:t>markets </w:t>
                  </w:r>
                  <w:r>
                    <w:rPr/>
                    <w:t>are widely accepted in Australia as an efficient</w:t>
                  </w:r>
                  <w:r>
                    <w:rPr>
                      <w:spacing w:val="-16"/>
                    </w:rPr>
                    <w:t> </w:t>
                  </w:r>
                  <w:r>
                    <w:rPr>
                      <w:spacing w:val="-3"/>
                    </w:rPr>
                    <w:t>way</w:t>
                  </w:r>
                  <w:r>
                    <w:rPr>
                      <w:spacing w:val="-10"/>
                    </w:rPr>
                    <w:t> </w:t>
                  </w:r>
                  <w:r>
                    <w:rPr/>
                    <w:t>to</w:t>
                  </w:r>
                  <w:r>
                    <w:rPr>
                      <w:spacing w:val="-10"/>
                    </w:rPr>
                    <w:t> </w:t>
                  </w:r>
                  <w:r>
                    <w:rPr/>
                    <w:t>allocate</w:t>
                  </w:r>
                  <w:r>
                    <w:rPr>
                      <w:spacing w:val="-16"/>
                    </w:rPr>
                    <w:t> </w:t>
                  </w:r>
                  <w:r>
                    <w:rPr/>
                    <w:t>scarce</w:t>
                  </w:r>
                  <w:r>
                    <w:rPr>
                      <w:spacing w:val="-8"/>
                    </w:rPr>
                    <w:t> </w:t>
                  </w:r>
                  <w:r>
                    <w:rPr/>
                    <w:t>resources,</w:t>
                  </w:r>
                  <w:r>
                    <w:rPr>
                      <w:spacing w:val="-3"/>
                    </w:rPr>
                    <w:t> </w:t>
                  </w:r>
                  <w:r>
                    <w:rPr/>
                    <w:t>allowing</w:t>
                  </w:r>
                  <w:r>
                    <w:rPr>
                      <w:spacing w:val="-12"/>
                    </w:rPr>
                    <w:t> </w:t>
                  </w:r>
                  <w:r>
                    <w:rPr/>
                    <w:t>irrigators to adapt to changing seasonal conditions and water</w:t>
                  </w:r>
                  <w:r>
                    <w:rPr>
                      <w:spacing w:val="-40"/>
                    </w:rPr>
                    <w:t> </w:t>
                  </w:r>
                  <w:r>
                    <w:rPr>
                      <w:spacing w:val="-4"/>
                    </w:rPr>
                    <w:t>supply.</w:t>
                  </w:r>
                </w:p>
                <w:p>
                  <w:pPr>
                    <w:pStyle w:val="BodyText"/>
                    <w:numPr>
                      <w:ilvl w:val="0"/>
                      <w:numId w:val="5"/>
                    </w:numPr>
                    <w:tabs>
                      <w:tab w:pos="587" w:val="left" w:leader="none"/>
                      <w:tab w:pos="588" w:val="left" w:leader="none"/>
                    </w:tabs>
                    <w:spacing w:line="235" w:lineRule="auto" w:before="124" w:after="0"/>
                    <w:ind w:left="587" w:right="247" w:hanging="452"/>
                    <w:jc w:val="left"/>
                  </w:pPr>
                  <w:r>
                    <w:rPr>
                      <w:spacing w:val="-4"/>
                    </w:rPr>
                    <w:t>Water </w:t>
                  </w:r>
                  <w:r>
                    <w:rPr>
                      <w:spacing w:val="-3"/>
                    </w:rPr>
                    <w:t>markets </w:t>
                  </w:r>
                  <w:r>
                    <w:rPr/>
                    <w:t>in the Murray–Darling Basin (MDB) are highly developed and well managed relative to other</w:t>
                  </w:r>
                  <w:r>
                    <w:rPr>
                      <w:spacing w:val="-47"/>
                    </w:rPr>
                    <w:t> </w:t>
                  </w:r>
                  <w:r>
                    <w:rPr/>
                    <w:t>places in the world (Grafton &amp; Horne 2014, Wheeler 2014), and environmental water has been integrated into our largest operating water </w:t>
                  </w:r>
                  <w:r>
                    <w:rPr>
                      <w:spacing w:val="-3"/>
                    </w:rPr>
                    <w:t>market </w:t>
                  </w:r>
                  <w:r>
                    <w:rPr/>
                    <w:t>the southern</w:t>
                  </w:r>
                  <w:r>
                    <w:rPr>
                      <w:spacing w:val="4"/>
                    </w:rPr>
                    <w:t> </w:t>
                  </w:r>
                  <w:r>
                    <w:rPr/>
                    <w:t>MDB.</w:t>
                  </w:r>
                </w:p>
                <w:p>
                  <w:pPr>
                    <w:pStyle w:val="BodyText"/>
                    <w:numPr>
                      <w:ilvl w:val="0"/>
                      <w:numId w:val="5"/>
                    </w:numPr>
                    <w:tabs>
                      <w:tab w:pos="587" w:val="left" w:leader="none"/>
                      <w:tab w:pos="588" w:val="left" w:leader="none"/>
                    </w:tabs>
                    <w:spacing w:line="235" w:lineRule="auto" w:before="126" w:after="0"/>
                    <w:ind w:left="587" w:right="166" w:hanging="452"/>
                    <w:jc w:val="left"/>
                  </w:pPr>
                  <w:r>
                    <w:rPr/>
                    <w:t>A wide </w:t>
                  </w:r>
                  <w:r>
                    <w:rPr>
                      <w:spacing w:val="-3"/>
                    </w:rPr>
                    <w:t>range </w:t>
                  </w:r>
                  <w:r>
                    <w:rPr/>
                    <w:t>of policy </w:t>
                  </w:r>
                  <w:r>
                    <w:rPr>
                      <w:spacing w:val="-4"/>
                    </w:rPr>
                    <w:t>reform </w:t>
                  </w:r>
                  <w:r>
                    <w:rPr/>
                    <w:t>has been undertaken since the</w:t>
                  </w:r>
                  <w:r>
                    <w:rPr>
                      <w:spacing w:val="-7"/>
                    </w:rPr>
                    <w:t> </w:t>
                  </w:r>
                  <w:r>
                    <w:rPr/>
                    <w:t>early</w:t>
                  </w:r>
                  <w:r>
                    <w:rPr>
                      <w:spacing w:val="-5"/>
                    </w:rPr>
                    <w:t> </w:t>
                  </w:r>
                  <w:r>
                    <w:rPr/>
                    <w:t>1900s,</w:t>
                  </w:r>
                  <w:r>
                    <w:rPr>
                      <w:spacing w:val="1"/>
                    </w:rPr>
                    <w:t> </w:t>
                  </w:r>
                  <w:r>
                    <w:rPr/>
                    <w:t>that</w:t>
                  </w:r>
                  <w:r>
                    <w:rPr>
                      <w:spacing w:val="-8"/>
                    </w:rPr>
                    <w:t> </w:t>
                  </w:r>
                  <w:r>
                    <w:rPr/>
                    <w:t>has</w:t>
                  </w:r>
                  <w:r>
                    <w:rPr>
                      <w:spacing w:val="-9"/>
                    </w:rPr>
                    <w:t> </w:t>
                  </w:r>
                  <w:r>
                    <w:rPr/>
                    <w:t>resulted</w:t>
                  </w:r>
                  <w:r>
                    <w:rPr>
                      <w:spacing w:val="-5"/>
                    </w:rPr>
                    <w:t> </w:t>
                  </w:r>
                  <w:r>
                    <w:rPr/>
                    <w:t>in</w:t>
                  </w:r>
                  <w:r>
                    <w:rPr>
                      <w:spacing w:val="-9"/>
                    </w:rPr>
                    <w:t> </w:t>
                  </w:r>
                  <w:r>
                    <w:rPr/>
                    <w:t>water</w:t>
                  </w:r>
                  <w:r>
                    <w:rPr>
                      <w:spacing w:val="-5"/>
                    </w:rPr>
                    <w:t> </w:t>
                  </w:r>
                  <w:r>
                    <w:rPr/>
                    <w:t>becoming</w:t>
                  </w:r>
                  <w:r>
                    <w:rPr>
                      <w:spacing w:val="-4"/>
                    </w:rPr>
                    <w:t> </w:t>
                  </w:r>
                  <w:r>
                    <w:rPr/>
                    <w:t>a</w:t>
                  </w:r>
                  <w:r>
                    <w:rPr>
                      <w:spacing w:val="-9"/>
                    </w:rPr>
                    <w:t> </w:t>
                  </w:r>
                  <w:r>
                    <w:rPr/>
                    <w:t>more economic and </w:t>
                  </w:r>
                  <w:r>
                    <w:rPr>
                      <w:spacing w:val="-3"/>
                    </w:rPr>
                    <w:t>transferable </w:t>
                  </w:r>
                  <w:r>
                    <w:rPr/>
                    <w:t>commodity (Wheeler</w:t>
                  </w:r>
                  <w:r>
                    <w:rPr>
                      <w:spacing w:val="-3"/>
                    </w:rPr>
                    <w:t> </w:t>
                  </w:r>
                  <w:r>
                    <w:rPr/>
                    <w:t>2014).</w:t>
                  </w:r>
                </w:p>
              </w:txbxContent>
            </v:textbox>
            <v:stroke dashstyle="solid"/>
            <w10:wrap type="topAndBottom"/>
          </v:shape>
        </w:pict>
      </w:r>
    </w:p>
    <w:p>
      <w:pPr>
        <w:pStyle w:val="BodyText"/>
        <w:spacing w:before="4"/>
        <w:rPr>
          <w:b/>
          <w:sz w:val="19"/>
        </w:rPr>
      </w:pPr>
    </w:p>
    <w:p>
      <w:pPr>
        <w:spacing w:before="44"/>
        <w:ind w:left="523" w:right="0" w:firstLine="0"/>
        <w:jc w:val="left"/>
        <w:rPr>
          <w:b/>
          <w:i/>
          <w:sz w:val="28"/>
        </w:rPr>
      </w:pPr>
      <w:r>
        <w:rPr/>
        <w:drawing>
          <wp:anchor distT="0" distB="0" distL="0" distR="0" allowOverlap="1" layoutInCell="1" locked="0" behindDoc="0" simplePos="0" relativeHeight="251692032">
            <wp:simplePos x="0" y="0"/>
            <wp:positionH relativeFrom="page">
              <wp:posOffset>373379</wp:posOffset>
            </wp:positionH>
            <wp:positionV relativeFrom="paragraph">
              <wp:posOffset>268605</wp:posOffset>
            </wp:positionV>
            <wp:extent cx="5221224" cy="4773168"/>
            <wp:effectExtent l="0" t="0" r="0" b="0"/>
            <wp:wrapNone/>
            <wp:docPr id="37" name="image19.jpeg"/>
            <wp:cNvGraphicFramePr>
              <a:graphicFrameLocks noChangeAspect="1"/>
            </wp:cNvGraphicFramePr>
            <a:graphic>
              <a:graphicData uri="http://schemas.openxmlformats.org/drawingml/2006/picture">
                <pic:pic>
                  <pic:nvPicPr>
                    <pic:cNvPr id="38" name="image19.jpeg"/>
                    <pic:cNvPicPr/>
                  </pic:nvPicPr>
                  <pic:blipFill>
                    <a:blip r:embed="rId33" cstate="print"/>
                    <a:stretch>
                      <a:fillRect/>
                    </a:stretch>
                  </pic:blipFill>
                  <pic:spPr>
                    <a:xfrm>
                      <a:off x="0" y="0"/>
                      <a:ext cx="5221224" cy="4773168"/>
                    </a:xfrm>
                    <a:prstGeom prst="rect">
                      <a:avLst/>
                    </a:prstGeom>
                  </pic:spPr>
                </pic:pic>
              </a:graphicData>
            </a:graphic>
          </wp:anchor>
        </w:drawing>
      </w:r>
      <w:r>
        <w:rPr/>
        <w:pict>
          <v:shape style="position:absolute;margin-left:500.519989pt;margin-top:-247.889938pt;width:660.5pt;height:295.2pt;mso-position-horizontal-relative:page;mso-position-vertical-relative:paragraph;z-index:251698176" type="#_x0000_t202" filled="false" stroked="true" strokeweight=".75pt" strokecolor="#000000">
            <v:textbox inset="0,0,0,0">
              <w:txbxContent>
                <w:p>
                  <w:pPr>
                    <w:pStyle w:val="BodyText"/>
                    <w:numPr>
                      <w:ilvl w:val="0"/>
                      <w:numId w:val="6"/>
                    </w:numPr>
                    <w:tabs>
                      <w:tab w:pos="587" w:val="left" w:leader="none"/>
                      <w:tab w:pos="588" w:val="left" w:leader="none"/>
                    </w:tabs>
                    <w:spacing w:line="235" w:lineRule="auto" w:before="67" w:after="0"/>
                    <w:ind w:left="587" w:right="371" w:hanging="452"/>
                    <w:jc w:val="left"/>
                  </w:pPr>
                  <w:r>
                    <w:rPr/>
                    <w:t>The</w:t>
                  </w:r>
                  <w:r>
                    <w:rPr>
                      <w:spacing w:val="-7"/>
                    </w:rPr>
                    <w:t> </w:t>
                  </w:r>
                  <w:r>
                    <w:rPr/>
                    <w:t>Murray–Darling</w:t>
                  </w:r>
                  <w:r>
                    <w:rPr>
                      <w:spacing w:val="-6"/>
                    </w:rPr>
                    <w:t> </w:t>
                  </w:r>
                  <w:r>
                    <w:rPr/>
                    <w:t>Basin</w:t>
                  </w:r>
                  <w:r>
                    <w:rPr>
                      <w:spacing w:val="-7"/>
                    </w:rPr>
                    <w:t> </w:t>
                  </w:r>
                  <w:r>
                    <w:rPr/>
                    <w:t>(MDB)</w:t>
                  </w:r>
                  <w:r>
                    <w:rPr>
                      <w:spacing w:val="-4"/>
                    </w:rPr>
                    <w:t> </w:t>
                  </w:r>
                  <w:r>
                    <w:rPr/>
                    <w:t>is</w:t>
                  </w:r>
                  <w:r>
                    <w:rPr>
                      <w:spacing w:val="-7"/>
                    </w:rPr>
                    <w:t> </w:t>
                  </w:r>
                  <w:r>
                    <w:rPr/>
                    <w:t>the</w:t>
                  </w:r>
                  <w:r>
                    <w:rPr>
                      <w:spacing w:val="-6"/>
                    </w:rPr>
                    <w:t> </w:t>
                  </w:r>
                  <w:r>
                    <w:rPr/>
                    <w:t>largest</w:t>
                  </w:r>
                  <w:r>
                    <w:rPr>
                      <w:spacing w:val="-6"/>
                    </w:rPr>
                    <w:t> </w:t>
                  </w:r>
                  <w:r>
                    <w:rPr/>
                    <w:t>and</w:t>
                  </w:r>
                  <w:r>
                    <w:rPr>
                      <w:spacing w:val="-9"/>
                    </w:rPr>
                    <w:t> </w:t>
                  </w:r>
                  <w:r>
                    <w:rPr/>
                    <w:t>most</w:t>
                  </w:r>
                  <w:r>
                    <w:rPr>
                      <w:spacing w:val="-5"/>
                    </w:rPr>
                    <w:t> </w:t>
                  </w:r>
                  <w:r>
                    <w:rPr/>
                    <w:t>complex</w:t>
                  </w:r>
                  <w:r>
                    <w:rPr>
                      <w:spacing w:val="-6"/>
                    </w:rPr>
                    <w:t> </w:t>
                  </w:r>
                  <w:r>
                    <w:rPr/>
                    <w:t>river</w:t>
                  </w:r>
                  <w:r>
                    <w:rPr>
                      <w:spacing w:val="-4"/>
                    </w:rPr>
                    <w:t> </w:t>
                  </w:r>
                  <w:r>
                    <w:rPr>
                      <w:spacing w:val="-3"/>
                    </w:rPr>
                    <w:t>system</w:t>
                  </w:r>
                  <w:r>
                    <w:rPr>
                      <w:spacing w:val="-8"/>
                    </w:rPr>
                    <w:t> </w:t>
                  </w:r>
                  <w:r>
                    <w:rPr/>
                    <w:t>in</w:t>
                  </w:r>
                  <w:r>
                    <w:rPr>
                      <w:spacing w:val="-8"/>
                    </w:rPr>
                    <w:t> </w:t>
                  </w:r>
                  <w:r>
                    <w:rPr/>
                    <w:t>Australia.</w:t>
                  </w:r>
                  <w:r>
                    <w:rPr>
                      <w:spacing w:val="-10"/>
                    </w:rPr>
                    <w:t> </w:t>
                  </w:r>
                  <w:r>
                    <w:rPr/>
                    <w:t>The basin is essentially the </w:t>
                  </w:r>
                  <w:r>
                    <w:rPr>
                      <w:spacing w:val="-3"/>
                    </w:rPr>
                    <w:t>food </w:t>
                  </w:r>
                  <w:r>
                    <w:rPr/>
                    <w:t>bowl of the</w:t>
                  </w:r>
                  <w:r>
                    <w:rPr>
                      <w:spacing w:val="-4"/>
                    </w:rPr>
                    <w:t> </w:t>
                  </w:r>
                  <w:r>
                    <w:rPr/>
                    <w:t>nation.</w:t>
                  </w:r>
                </w:p>
                <w:p>
                  <w:pPr>
                    <w:pStyle w:val="BodyText"/>
                    <w:numPr>
                      <w:ilvl w:val="0"/>
                      <w:numId w:val="6"/>
                    </w:numPr>
                    <w:tabs>
                      <w:tab w:pos="587" w:val="left" w:leader="none"/>
                      <w:tab w:pos="588" w:val="left" w:leader="none"/>
                    </w:tabs>
                    <w:spacing w:line="240" w:lineRule="auto" w:before="116" w:after="0"/>
                    <w:ind w:left="587" w:right="0" w:hanging="452"/>
                    <w:jc w:val="left"/>
                  </w:pPr>
                  <w:r>
                    <w:rPr/>
                    <w:t>Entitlements are issued by </w:t>
                  </w:r>
                  <w:r>
                    <w:rPr>
                      <w:spacing w:val="-3"/>
                    </w:rPr>
                    <w:t>state </w:t>
                  </w:r>
                  <w:r>
                    <w:rPr/>
                    <w:t>governments and help regulate water</w:t>
                  </w:r>
                  <w:r>
                    <w:rPr>
                      <w:spacing w:val="-18"/>
                    </w:rPr>
                    <w:t> </w:t>
                  </w:r>
                  <w:r>
                    <w:rPr/>
                    <w:t>use.</w:t>
                  </w:r>
                </w:p>
                <w:p>
                  <w:pPr>
                    <w:pStyle w:val="BodyText"/>
                    <w:numPr>
                      <w:ilvl w:val="0"/>
                      <w:numId w:val="6"/>
                    </w:numPr>
                    <w:tabs>
                      <w:tab w:pos="587" w:val="left" w:leader="none"/>
                      <w:tab w:pos="588" w:val="left" w:leader="none"/>
                    </w:tabs>
                    <w:spacing w:line="235" w:lineRule="auto" w:before="120" w:after="0"/>
                    <w:ind w:left="587" w:right="193" w:hanging="452"/>
                    <w:jc w:val="left"/>
                  </w:pPr>
                  <w:r>
                    <w:rPr>
                      <w:spacing w:val="-4"/>
                    </w:rPr>
                    <w:t>Water</w:t>
                  </w:r>
                  <w:r>
                    <w:rPr>
                      <w:spacing w:val="-5"/>
                    </w:rPr>
                    <w:t> </w:t>
                  </w:r>
                  <w:r>
                    <w:rPr/>
                    <w:t>can</w:t>
                  </w:r>
                  <w:r>
                    <w:rPr>
                      <w:spacing w:val="-8"/>
                    </w:rPr>
                    <w:t> </w:t>
                  </w:r>
                  <w:r>
                    <w:rPr/>
                    <w:t>be</w:t>
                  </w:r>
                  <w:r>
                    <w:rPr>
                      <w:spacing w:val="-5"/>
                    </w:rPr>
                    <w:t> </w:t>
                  </w:r>
                  <w:r>
                    <w:rPr/>
                    <w:t>bought</w:t>
                  </w:r>
                  <w:r>
                    <w:rPr>
                      <w:spacing w:val="-9"/>
                    </w:rPr>
                    <w:t> </w:t>
                  </w:r>
                  <w:r>
                    <w:rPr/>
                    <w:t>and</w:t>
                  </w:r>
                  <w:r>
                    <w:rPr>
                      <w:spacing w:val="-7"/>
                    </w:rPr>
                    <w:t> </w:t>
                  </w:r>
                  <w:r>
                    <w:rPr/>
                    <w:t>sold</w:t>
                  </w:r>
                  <w:r>
                    <w:rPr>
                      <w:spacing w:val="-7"/>
                    </w:rPr>
                    <w:t> </w:t>
                  </w:r>
                  <w:r>
                    <w:rPr/>
                    <w:t>in</w:t>
                  </w:r>
                  <w:r>
                    <w:rPr>
                      <w:spacing w:val="-9"/>
                    </w:rPr>
                    <w:t> </w:t>
                  </w:r>
                  <w:r>
                    <w:rPr/>
                    <w:t>markets—prices reflect</w:t>
                  </w:r>
                  <w:r>
                    <w:rPr>
                      <w:spacing w:val="-4"/>
                    </w:rPr>
                    <w:t> </w:t>
                  </w:r>
                  <w:r>
                    <w:rPr/>
                    <w:t>scarcity</w:t>
                  </w:r>
                  <w:r>
                    <w:rPr>
                      <w:spacing w:val="-6"/>
                    </w:rPr>
                    <w:t> </w:t>
                  </w:r>
                  <w:r>
                    <w:rPr/>
                    <w:t>and</w:t>
                  </w:r>
                  <w:r>
                    <w:rPr>
                      <w:spacing w:val="-7"/>
                    </w:rPr>
                    <w:t> </w:t>
                  </w:r>
                  <w:r>
                    <w:rPr/>
                    <w:t>vary</w:t>
                  </w:r>
                  <w:r>
                    <w:rPr>
                      <w:spacing w:val="-6"/>
                    </w:rPr>
                    <w:t> </w:t>
                  </w:r>
                  <w:r>
                    <w:rPr/>
                    <w:t>very</w:t>
                  </w:r>
                  <w:r>
                    <w:rPr>
                      <w:spacing w:val="-2"/>
                    </w:rPr>
                    <w:t> </w:t>
                  </w:r>
                  <w:r>
                    <w:rPr/>
                    <w:t>significantly</w:t>
                  </w:r>
                  <w:r>
                    <w:rPr>
                      <w:spacing w:val="-14"/>
                    </w:rPr>
                    <w:t> </w:t>
                  </w:r>
                  <w:r>
                    <w:rPr/>
                    <w:t>with conditions. Prices in dry </w:t>
                  </w:r>
                  <w:r>
                    <w:rPr>
                      <w:spacing w:val="-3"/>
                    </w:rPr>
                    <w:t>years </w:t>
                  </w:r>
                  <w:r>
                    <w:rPr/>
                    <w:t>are around three times higher than in typical</w:t>
                  </w:r>
                  <w:r>
                    <w:rPr>
                      <w:spacing w:val="-17"/>
                    </w:rPr>
                    <w:t> </w:t>
                  </w:r>
                  <w:r>
                    <w:rPr>
                      <w:spacing w:val="-3"/>
                    </w:rPr>
                    <w:t>years.</w:t>
                  </w:r>
                </w:p>
                <w:p>
                  <w:pPr>
                    <w:pStyle w:val="BodyText"/>
                    <w:spacing w:line="232" w:lineRule="auto" w:before="125"/>
                    <w:ind w:left="882" w:right="188" w:hanging="449"/>
                  </w:pPr>
                  <w:r>
                    <w:rPr>
                      <w:rFonts w:ascii="Courier New"/>
                    </w:rPr>
                    <w:t>o </w:t>
                  </w:r>
                  <w:r>
                    <w:rPr/>
                    <w:t>ABARES estimate average annual prices in the southern MDB to be around $550/ML under dry seasonal conditions, compared to around $180/ML under typical seasonal conditions (Figure 5 Whittle et al 2020).</w:t>
                  </w:r>
                </w:p>
                <w:p>
                  <w:pPr>
                    <w:pStyle w:val="BodyText"/>
                    <w:numPr>
                      <w:ilvl w:val="0"/>
                      <w:numId w:val="6"/>
                    </w:numPr>
                    <w:tabs>
                      <w:tab w:pos="587" w:val="left" w:leader="none"/>
                      <w:tab w:pos="588" w:val="left" w:leader="none"/>
                    </w:tabs>
                    <w:spacing w:line="235" w:lineRule="auto" w:before="122" w:after="0"/>
                    <w:ind w:left="587" w:right="269" w:hanging="452"/>
                    <w:jc w:val="left"/>
                  </w:pPr>
                  <w:r>
                    <w:rPr>
                      <w:spacing w:val="-3"/>
                    </w:rPr>
                    <w:t>Markets</w:t>
                  </w:r>
                  <w:r>
                    <w:rPr>
                      <w:spacing w:val="-7"/>
                    </w:rPr>
                    <w:t> </w:t>
                  </w:r>
                  <w:r>
                    <w:rPr/>
                    <w:t>facilitate</w:t>
                  </w:r>
                  <w:r>
                    <w:rPr>
                      <w:spacing w:val="-12"/>
                    </w:rPr>
                    <w:t> </w:t>
                  </w:r>
                  <w:r>
                    <w:rPr/>
                    <w:t>the</w:t>
                  </w:r>
                  <w:r>
                    <w:rPr>
                      <w:spacing w:val="-6"/>
                    </w:rPr>
                    <w:t> </w:t>
                  </w:r>
                  <w:r>
                    <w:rPr/>
                    <w:t>movement</w:t>
                  </w:r>
                  <w:r>
                    <w:rPr>
                      <w:spacing w:val="-4"/>
                    </w:rPr>
                    <w:t> </w:t>
                  </w:r>
                  <w:r>
                    <w:rPr/>
                    <w:t>of</w:t>
                  </w:r>
                  <w:r>
                    <w:rPr>
                      <w:spacing w:val="-5"/>
                    </w:rPr>
                    <w:t> </w:t>
                  </w:r>
                  <w:r>
                    <w:rPr/>
                    <w:t>water</w:t>
                  </w:r>
                  <w:r>
                    <w:rPr>
                      <w:spacing w:val="-7"/>
                    </w:rPr>
                    <w:t> </w:t>
                  </w:r>
                  <w:r>
                    <w:rPr/>
                    <w:t>to</w:t>
                  </w:r>
                  <w:r>
                    <w:rPr>
                      <w:spacing w:val="-8"/>
                    </w:rPr>
                    <w:t> </w:t>
                  </w:r>
                  <w:r>
                    <w:rPr/>
                    <w:t>its</w:t>
                  </w:r>
                  <w:r>
                    <w:rPr>
                      <w:spacing w:val="-8"/>
                    </w:rPr>
                    <w:t> </w:t>
                  </w:r>
                  <w:r>
                    <w:rPr/>
                    <w:t>highest-value</w:t>
                  </w:r>
                  <w:r>
                    <w:rPr>
                      <w:spacing w:val="-13"/>
                    </w:rPr>
                    <w:t> </w:t>
                  </w:r>
                  <w:r>
                    <w:rPr/>
                    <w:t>use,</w:t>
                  </w:r>
                  <w:r>
                    <w:rPr>
                      <w:spacing w:val="-7"/>
                    </w:rPr>
                    <w:t> </w:t>
                  </w:r>
                  <w:r>
                    <w:rPr/>
                    <w:t>including</w:t>
                  </w:r>
                  <w:r>
                    <w:rPr>
                      <w:spacing w:val="-15"/>
                    </w:rPr>
                    <w:t> </w:t>
                  </w:r>
                  <w:r>
                    <w:rPr/>
                    <w:t>allocation</w:t>
                  </w:r>
                  <w:r>
                    <w:rPr>
                      <w:spacing w:val="-13"/>
                    </w:rPr>
                    <w:t> </w:t>
                  </w:r>
                  <w:r>
                    <w:rPr/>
                    <w:t>between </w:t>
                  </w:r>
                  <w:r>
                    <w:rPr>
                      <w:spacing w:val="-3"/>
                    </w:rPr>
                    <w:t>years, </w:t>
                  </w:r>
                  <w:r>
                    <w:rPr/>
                    <w:t>within districts, and between </w:t>
                  </w:r>
                  <w:r>
                    <w:rPr>
                      <w:spacing w:val="-3"/>
                    </w:rPr>
                    <w:t>different</w:t>
                  </w:r>
                  <w:r>
                    <w:rPr/>
                    <w:t> regions.</w:t>
                  </w:r>
                </w:p>
                <w:p>
                  <w:pPr>
                    <w:pStyle w:val="BodyText"/>
                    <w:numPr>
                      <w:ilvl w:val="0"/>
                      <w:numId w:val="6"/>
                    </w:numPr>
                    <w:tabs>
                      <w:tab w:pos="587" w:val="left" w:leader="none"/>
                      <w:tab w:pos="588" w:val="left" w:leader="none"/>
                    </w:tabs>
                    <w:spacing w:line="235" w:lineRule="auto" w:before="123" w:after="0"/>
                    <w:ind w:left="587" w:right="354" w:hanging="452"/>
                    <w:jc w:val="left"/>
                  </w:pPr>
                  <w:r>
                    <w:rPr/>
                    <w:t>Since 2007 around 20% of surface water rights </w:t>
                  </w:r>
                  <w:r>
                    <w:rPr>
                      <w:spacing w:val="-3"/>
                    </w:rPr>
                    <w:t>have </w:t>
                  </w:r>
                  <w:r>
                    <w:rPr/>
                    <w:t>been </w:t>
                  </w:r>
                  <w:r>
                    <w:rPr>
                      <w:spacing w:val="-3"/>
                    </w:rPr>
                    <w:t>recovered </w:t>
                  </w:r>
                  <w:r>
                    <w:rPr/>
                    <w:t>through purchase of entitlements</w:t>
                  </w:r>
                  <w:r>
                    <w:rPr>
                      <w:spacing w:val="-10"/>
                    </w:rPr>
                    <w:t> </w:t>
                  </w:r>
                  <w:r>
                    <w:rPr/>
                    <w:t>from</w:t>
                  </w:r>
                  <w:r>
                    <w:rPr>
                      <w:spacing w:val="-4"/>
                    </w:rPr>
                    <w:t> </w:t>
                  </w:r>
                  <w:r>
                    <w:rPr/>
                    <w:t>farmers.</w:t>
                  </w:r>
                  <w:r>
                    <w:rPr>
                      <w:spacing w:val="-2"/>
                    </w:rPr>
                    <w:t> </w:t>
                  </w:r>
                  <w:r>
                    <w:rPr/>
                    <w:t>This</w:t>
                  </w:r>
                  <w:r>
                    <w:rPr>
                      <w:spacing w:val="-12"/>
                    </w:rPr>
                    <w:t> </w:t>
                  </w:r>
                  <w:r>
                    <w:rPr/>
                    <w:t>water</w:t>
                  </w:r>
                  <w:r>
                    <w:rPr>
                      <w:spacing w:val="-7"/>
                    </w:rPr>
                    <w:t> </w:t>
                  </w:r>
                  <w:r>
                    <w:rPr/>
                    <w:t>has</w:t>
                  </w:r>
                  <w:r>
                    <w:rPr>
                      <w:spacing w:val="-7"/>
                    </w:rPr>
                    <w:t> </w:t>
                  </w:r>
                  <w:r>
                    <w:rPr/>
                    <w:t>been</w:t>
                  </w:r>
                  <w:r>
                    <w:rPr>
                      <w:spacing w:val="-6"/>
                    </w:rPr>
                    <w:t> </w:t>
                  </w:r>
                  <w:r>
                    <w:rPr/>
                    <w:t>permanently</w:t>
                  </w:r>
                  <w:r>
                    <w:rPr>
                      <w:spacing w:val="-6"/>
                    </w:rPr>
                    <w:t> </w:t>
                  </w:r>
                  <w:r>
                    <w:rPr>
                      <w:spacing w:val="-3"/>
                    </w:rPr>
                    <w:t>retired</w:t>
                  </w:r>
                  <w:r>
                    <w:rPr>
                      <w:spacing w:val="-1"/>
                    </w:rPr>
                    <w:t> </w:t>
                  </w:r>
                  <w:r>
                    <w:rPr/>
                    <w:t>from</w:t>
                  </w:r>
                  <w:r>
                    <w:rPr>
                      <w:spacing w:val="-6"/>
                    </w:rPr>
                    <w:t> </w:t>
                  </w:r>
                  <w:r>
                    <w:rPr/>
                    <w:t>irrigation</w:t>
                  </w:r>
                  <w:r>
                    <w:rPr>
                      <w:spacing w:val="-10"/>
                    </w:rPr>
                    <w:t> </w:t>
                  </w:r>
                  <w:r>
                    <w:rPr/>
                    <w:t>use,</w:t>
                  </w:r>
                  <w:r>
                    <w:rPr>
                      <w:spacing w:val="-6"/>
                    </w:rPr>
                    <w:t> </w:t>
                  </w:r>
                  <w:r>
                    <w:rPr/>
                    <w:t>and</w:t>
                  </w:r>
                  <w:r>
                    <w:rPr>
                      <w:spacing w:val="-10"/>
                    </w:rPr>
                    <w:t> </w:t>
                  </w:r>
                  <w:r>
                    <w:rPr/>
                    <w:t>is managed by government </w:t>
                  </w:r>
                  <w:r>
                    <w:rPr>
                      <w:spacing w:val="-3"/>
                    </w:rPr>
                    <w:t>for </w:t>
                  </w:r>
                  <w:r>
                    <w:rPr/>
                    <w:t>the</w:t>
                  </w:r>
                  <w:r>
                    <w:rPr>
                      <w:spacing w:val="6"/>
                    </w:rPr>
                    <w:t> </w:t>
                  </w:r>
                  <w:r>
                    <w:rPr/>
                    <w:t>environment.</w:t>
                  </w:r>
                </w:p>
              </w:txbxContent>
            </v:textbox>
            <v:stroke dashstyle="solid"/>
            <w10:wrap type="none"/>
          </v:shape>
        </w:pict>
      </w:r>
      <w:r>
        <w:rPr>
          <w:b/>
          <w:i/>
          <w:color w:val="A7082D"/>
          <w:sz w:val="28"/>
        </w:rPr>
        <w:t>Murray–Darling Basin</w:t>
      </w:r>
    </w:p>
    <w:p>
      <w:pPr>
        <w:pStyle w:val="BodyText"/>
        <w:rPr>
          <w:b/>
          <w:i/>
          <w:sz w:val="28"/>
        </w:rPr>
      </w:pPr>
    </w:p>
    <w:p>
      <w:pPr>
        <w:pStyle w:val="BodyText"/>
        <w:rPr>
          <w:b/>
          <w:i/>
          <w:sz w:val="28"/>
        </w:rPr>
      </w:pPr>
    </w:p>
    <w:p>
      <w:pPr>
        <w:spacing w:before="178"/>
        <w:ind w:left="9904" w:right="8059" w:firstLine="0"/>
        <w:jc w:val="center"/>
        <w:rPr>
          <w:b/>
          <w:i/>
          <w:sz w:val="28"/>
        </w:rPr>
      </w:pPr>
      <w:r>
        <w:rPr>
          <w:b/>
          <w:i/>
          <w:color w:val="A7082D"/>
          <w:sz w:val="28"/>
        </w:rPr>
        <w:t>Water demand and prices are likely to increase</w:t>
      </w:r>
    </w:p>
    <w:p>
      <w:pPr>
        <w:pStyle w:val="BodyText"/>
        <w:spacing w:before="7"/>
        <w:rPr>
          <w:b/>
          <w:i/>
          <w:sz w:val="22"/>
        </w:rPr>
      </w:pPr>
    </w:p>
    <w:p>
      <w:pPr>
        <w:spacing w:after="0"/>
        <w:rPr>
          <w:sz w:val="22"/>
        </w:rPr>
        <w:sectPr>
          <w:pgSz w:w="23820" w:h="16840" w:orient="landscape"/>
          <w:pgMar w:top="340" w:bottom="0" w:left="220" w:right="140"/>
        </w:sectPr>
      </w:pPr>
    </w:p>
    <w:p>
      <w:pPr>
        <w:spacing w:before="40"/>
        <w:ind w:left="0" w:right="630" w:firstLine="0"/>
        <w:jc w:val="right"/>
        <w:rPr>
          <w:rFonts w:ascii="Calibri Light"/>
          <w:b w:val="0"/>
          <w:sz w:val="30"/>
        </w:rPr>
      </w:pPr>
      <w:r>
        <w:rPr/>
        <w:pict>
          <v:line style="position:absolute;mso-position-horizontal-relative:page;mso-position-vertical-relative:paragraph;z-index:251693056" from="655.341431pt,1.987874pt" to="655.341431pt,261.594682pt" stroked="true" strokeweight=".604401pt" strokecolor="#d9d9d9">
            <v:stroke dashstyle="solid"/>
            <w10:wrap type="none"/>
          </v:line>
        </w:pict>
      </w:r>
      <w:r>
        <w:rPr>
          <w:rFonts w:ascii="Calibri Light"/>
          <w:b w:val="0"/>
          <w:sz w:val="30"/>
        </w:rPr>
        <w:t>All irrigation</w:t>
      </w:r>
      <w:r>
        <w:rPr>
          <w:rFonts w:ascii="Calibri Light"/>
          <w:b w:val="0"/>
          <w:spacing w:val="8"/>
          <w:sz w:val="30"/>
        </w:rPr>
        <w:t> </w:t>
      </w:r>
      <w:r>
        <w:rPr>
          <w:rFonts w:ascii="Calibri Light"/>
          <w:b w:val="0"/>
          <w:sz w:val="30"/>
        </w:rPr>
        <w:t>activites</w:t>
      </w:r>
    </w:p>
    <w:p>
      <w:pPr>
        <w:spacing w:line="261" w:lineRule="auto" w:before="34"/>
        <w:ind w:left="10904" w:right="628" w:firstLine="868"/>
        <w:jc w:val="right"/>
        <w:rPr>
          <w:rFonts w:ascii="Calibri Light"/>
          <w:b w:val="0"/>
          <w:sz w:val="30"/>
        </w:rPr>
      </w:pPr>
      <w:r>
        <w:rPr>
          <w:rFonts w:ascii="Calibri Light"/>
          <w:b w:val="0"/>
          <w:spacing w:val="-1"/>
          <w:sz w:val="30"/>
        </w:rPr>
        <w:t>Cotton Almonds </w:t>
      </w:r>
      <w:r>
        <w:rPr>
          <w:rFonts w:ascii="Calibri Light"/>
          <w:b w:val="0"/>
          <w:sz w:val="30"/>
        </w:rPr>
        <w:t>Pastures</w:t>
      </w:r>
      <w:r>
        <w:rPr>
          <w:rFonts w:ascii="Calibri Light"/>
          <w:b w:val="0"/>
          <w:spacing w:val="7"/>
          <w:sz w:val="30"/>
        </w:rPr>
        <w:t> </w:t>
      </w:r>
      <w:r>
        <w:rPr>
          <w:rFonts w:ascii="Calibri Light"/>
          <w:b w:val="0"/>
          <w:sz w:val="30"/>
        </w:rPr>
        <w:t>-</w:t>
      </w:r>
      <w:r>
        <w:rPr>
          <w:rFonts w:ascii="Calibri Light"/>
          <w:b w:val="0"/>
          <w:spacing w:val="7"/>
          <w:sz w:val="30"/>
        </w:rPr>
        <w:t> </w:t>
      </w:r>
      <w:r>
        <w:rPr>
          <w:rFonts w:ascii="Calibri Light"/>
          <w:b w:val="0"/>
          <w:spacing w:val="-6"/>
          <w:sz w:val="30"/>
        </w:rPr>
        <w:t>hay</w:t>
      </w:r>
      <w:r>
        <w:rPr>
          <w:rFonts w:ascii="Calibri Light"/>
          <w:b w:val="0"/>
          <w:w w:val="100"/>
          <w:sz w:val="30"/>
        </w:rPr>
        <w:t> </w:t>
      </w:r>
      <w:r>
        <w:rPr>
          <w:rFonts w:ascii="Calibri Light"/>
          <w:b w:val="0"/>
          <w:sz w:val="30"/>
        </w:rPr>
        <w:t>Other</w:t>
      </w:r>
      <w:r>
        <w:rPr>
          <w:rFonts w:ascii="Calibri Light"/>
          <w:b w:val="0"/>
          <w:spacing w:val="5"/>
          <w:sz w:val="30"/>
        </w:rPr>
        <w:t> </w:t>
      </w:r>
      <w:r>
        <w:rPr>
          <w:rFonts w:ascii="Calibri Light"/>
          <w:b w:val="0"/>
          <w:sz w:val="30"/>
        </w:rPr>
        <w:t>cereals</w:t>
      </w:r>
    </w:p>
    <w:p>
      <w:pPr>
        <w:spacing w:line="261" w:lineRule="auto" w:before="1"/>
        <w:ind w:left="10587" w:right="628" w:firstLine="1452"/>
        <w:jc w:val="right"/>
        <w:rPr>
          <w:rFonts w:ascii="Calibri Light"/>
          <w:b w:val="0"/>
          <w:sz w:val="30"/>
        </w:rPr>
      </w:pPr>
      <w:r>
        <w:rPr>
          <w:rFonts w:ascii="Calibri Light"/>
          <w:b w:val="0"/>
          <w:sz w:val="30"/>
        </w:rPr>
        <w:t>Fruit  Other</w:t>
      </w:r>
      <w:r>
        <w:rPr>
          <w:rFonts w:ascii="Calibri Light"/>
          <w:b w:val="0"/>
          <w:spacing w:val="25"/>
          <w:sz w:val="30"/>
        </w:rPr>
        <w:t> </w:t>
      </w:r>
      <w:r>
        <w:rPr>
          <w:rFonts w:ascii="Calibri Light"/>
          <w:b w:val="0"/>
          <w:spacing w:val="-3"/>
          <w:sz w:val="30"/>
        </w:rPr>
        <w:t>broadacre</w:t>
      </w:r>
      <w:r>
        <w:rPr>
          <w:rFonts w:ascii="Calibri Light"/>
          <w:b w:val="0"/>
          <w:w w:val="100"/>
          <w:sz w:val="30"/>
        </w:rPr>
        <w:t> </w:t>
      </w:r>
      <w:r>
        <w:rPr>
          <w:rFonts w:ascii="Calibri Light"/>
          <w:b w:val="0"/>
          <w:sz w:val="30"/>
        </w:rPr>
        <w:t>Other</w:t>
      </w:r>
      <w:r>
        <w:rPr>
          <w:rFonts w:ascii="Calibri Light"/>
          <w:b w:val="0"/>
          <w:spacing w:val="8"/>
          <w:sz w:val="30"/>
        </w:rPr>
        <w:t> </w:t>
      </w:r>
      <w:r>
        <w:rPr>
          <w:rFonts w:ascii="Calibri Light"/>
          <w:b w:val="0"/>
          <w:sz w:val="30"/>
        </w:rPr>
        <w:t>crops</w:t>
      </w:r>
      <w:r>
        <w:rPr>
          <w:rFonts w:ascii="Calibri Light"/>
          <w:b w:val="0"/>
          <w:w w:val="100"/>
          <w:sz w:val="30"/>
        </w:rPr>
        <w:t> </w:t>
      </w:r>
      <w:r>
        <w:rPr>
          <w:rFonts w:ascii="Calibri Light"/>
          <w:b w:val="0"/>
          <w:spacing w:val="-1"/>
          <w:sz w:val="30"/>
        </w:rPr>
        <w:t>Grapevines Vegetables</w:t>
      </w:r>
    </w:p>
    <w:p>
      <w:pPr>
        <w:spacing w:line="261" w:lineRule="auto" w:before="2"/>
        <w:ind w:left="12100" w:right="628" w:hanging="125"/>
        <w:jc w:val="right"/>
        <w:rPr>
          <w:rFonts w:ascii="Calibri Light"/>
          <w:b w:val="0"/>
          <w:sz w:val="30"/>
        </w:rPr>
      </w:pPr>
      <w:r>
        <w:rPr>
          <w:rFonts w:ascii="Calibri Light"/>
          <w:b w:val="0"/>
          <w:sz w:val="30"/>
        </w:rPr>
        <w:t>Dairy </w:t>
      </w:r>
      <w:r>
        <w:rPr>
          <w:rFonts w:ascii="Calibri Light"/>
          <w:b w:val="0"/>
          <w:spacing w:val="-1"/>
          <w:sz w:val="30"/>
        </w:rPr>
        <w:t>Rice</w:t>
      </w:r>
    </w:p>
    <w:p>
      <w:pPr>
        <w:spacing w:before="1"/>
        <w:ind w:left="0" w:right="628" w:firstLine="0"/>
        <w:jc w:val="right"/>
        <w:rPr>
          <w:rFonts w:ascii="Calibri Light"/>
          <w:b w:val="0"/>
          <w:sz w:val="30"/>
        </w:rPr>
      </w:pPr>
      <w:r>
        <w:rPr>
          <w:rFonts w:ascii="Calibri Light"/>
          <w:b w:val="0"/>
          <w:sz w:val="30"/>
        </w:rPr>
        <w:t>Pastures -</w:t>
      </w:r>
      <w:r>
        <w:rPr>
          <w:rFonts w:ascii="Calibri Light"/>
          <w:b w:val="0"/>
          <w:spacing w:val="10"/>
          <w:sz w:val="30"/>
        </w:rPr>
        <w:t> </w:t>
      </w:r>
      <w:r>
        <w:rPr>
          <w:rFonts w:ascii="Calibri Light"/>
          <w:b w:val="0"/>
          <w:sz w:val="30"/>
        </w:rPr>
        <w:t>grazing</w:t>
      </w:r>
    </w:p>
    <w:p>
      <w:pPr>
        <w:spacing w:before="226"/>
        <w:ind w:left="0" w:right="38" w:firstLine="0"/>
        <w:jc w:val="right"/>
        <w:rPr>
          <w:rFonts w:ascii="Calibri Light"/>
          <w:b w:val="0"/>
          <w:sz w:val="30"/>
        </w:rPr>
      </w:pPr>
      <w:r>
        <w:rPr>
          <w:rFonts w:ascii="Calibri Light"/>
          <w:b w:val="0"/>
          <w:sz w:val="30"/>
        </w:rPr>
        <w:t>- 150</w:t>
      </w:r>
    </w:p>
    <w:p>
      <w:pPr>
        <w:pStyle w:val="BodyText"/>
        <w:rPr>
          <w:rFonts w:ascii="Calibri Light"/>
          <w:b w:val="0"/>
          <w:sz w:val="30"/>
        </w:rPr>
      </w:pPr>
      <w:r>
        <w:rPr/>
        <w:br w:type="column"/>
      </w:r>
      <w:r>
        <w:rPr>
          <w:rFonts w:ascii="Calibri Light"/>
          <w:b w:val="0"/>
          <w:sz w:val="30"/>
        </w:rPr>
      </w: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spacing w:before="7"/>
        <w:rPr>
          <w:rFonts w:ascii="Calibri Light"/>
          <w:b w:val="0"/>
          <w:sz w:val="24"/>
        </w:rPr>
      </w:pPr>
    </w:p>
    <w:p>
      <w:pPr>
        <w:tabs>
          <w:tab w:pos="1450" w:val="left" w:leader="none"/>
          <w:tab w:pos="2571" w:val="left" w:leader="none"/>
          <w:tab w:pos="4151" w:val="right" w:leader="none"/>
        </w:tabs>
        <w:spacing w:before="0"/>
        <w:ind w:left="367" w:right="0" w:firstLine="0"/>
        <w:jc w:val="left"/>
        <w:rPr>
          <w:rFonts w:ascii="Calibri Light"/>
          <w:b w:val="0"/>
          <w:sz w:val="30"/>
        </w:rPr>
      </w:pPr>
      <w:r>
        <w:rPr/>
        <w:pict>
          <v:group style="position:absolute;margin-left:673.876953pt;margin-top:-269.355194pt;width:282.7pt;height:259.6500pt;mso-position-horizontal-relative:page;mso-position-vertical-relative:paragraph;z-index:251694080" coordorigin="13478,-5387" coordsize="5654,5193">
            <v:shape style="position:absolute;left:15347;top:-5388;width:2241;height:5193" coordorigin="15347,-5387" coordsize="2241,5193" path="m15347,-5387l15347,-5321m15347,-5055l15347,-4923m16467,-5387l16467,-5321m16467,-5055l16467,-4923m17587,-5387l17587,-5321m17587,-5055l17587,-195e" filled="false" stroked="true" strokeweight=".604401pt" strokecolor="#d9d9d9">
              <v:path arrowok="t"/>
              <v:stroke dashstyle="solid"/>
            </v:shape>
            <v:rect style="position:absolute;left:14226;top:-5321;width:3663;height:266" filled="true" fillcolor="#3ca4ac" stroked="false">
              <v:fill type="solid"/>
            </v:rect>
            <v:rect style="position:absolute;left:14226;top:-5321;width:3663;height:266" filled="false" stroked="true" strokeweight=".603285pt" strokecolor="#68c3c9">
              <v:stroke dashstyle="solid"/>
            </v:rect>
            <v:shape style="position:absolute;left:13483;top:-2126;width:744;height:1865" coordorigin="13484,-2125" coordsize="744,1865" path="m14227,-529l13484,-529,13484,-261,14227,-261,14227,-529m14227,-927l13681,-927,13681,-661,14227,-661,14227,-927m14227,-1327l13743,-1327,13743,-1062,14227,-1062,14227,-1327m14227,-1727l13933,-1727,13933,-1460,14227,-1460,14227,-1727m14227,-2125l14090,-2125,14090,-1860,14227,-1860,14227,-2125e" filled="true" fillcolor="#f08600" stroked="false">
              <v:path arrowok="t"/>
              <v:fill type="solid"/>
            </v:shape>
            <v:line style="position:absolute" from="14211,-2526" to="14211,-2258" stroked="true" strokeweight="1.611737pt" strokecolor="#f08600">
              <v:stroke dashstyle="solid"/>
            </v:line>
            <v:line style="position:absolute" from="14253,-2926" to="14253,-2658" stroked="true" strokeweight="2.619073pt" strokecolor="#f08600">
              <v:stroke dashstyle="solid"/>
            </v:line>
            <v:shape style="position:absolute;left:14226;top:-4123;width:822;height:1064" coordorigin="14227,-4122" coordsize="822,1064" path="m14368,-3324l14227,-3324,14227,-3058,14368,-3058,14368,-3324m14640,-3724l14227,-3724,14227,-3457,14640,-3457,14640,-3724m15049,-4122l14227,-4122,14227,-3857,15049,-3857,15049,-4122e" filled="true" fillcolor="#f08600" stroked="false">
              <v:path arrowok="t"/>
              <v:fill type="solid"/>
            </v:shape>
            <v:shape style="position:absolute;left:15347;top:-4656;width:2;height:4461" coordorigin="15347,-4655" coordsize="0,4461" path="m15347,-4655l15347,-4522m15347,-4257l15347,-195e" filled="false" stroked="true" strokeweight=".604401pt" strokecolor="#d9d9d9">
              <v:path arrowok="t"/>
              <v:stroke dashstyle="solid"/>
            </v:shape>
            <v:rect style="position:absolute;left:14226;top:-4523;width:1989;height:266" filled="true" fillcolor="#f08600" stroked="false">
              <v:fill type="solid"/>
            </v:rect>
            <v:line style="position:absolute" from="16467,-4655" to="16467,-195" stroked="true" strokeweight=".604401pt" strokecolor="#d9d9d9">
              <v:stroke dashstyle="solid"/>
            </v:line>
            <v:rect style="position:absolute;left:14226;top:-4923;width:2475;height:268" filled="true" fillcolor="#f08600" stroked="false">
              <v:fill type="solid"/>
            </v:rect>
            <v:shape style="position:absolute;left:3950;top:-4369;width:3833;height:5564" coordorigin="3950,-4368" coordsize="3833,5564" path="m13484,-261l14227,-261,14227,-529,13484,-529,13484,-261xm13681,-662l14227,-662,14227,-927,13681,-927,13681,-662xm13743,-1062l14227,-1062,14227,-1327,13743,-1327,13743,-1062xm13933,-1460l14227,-1460,14227,-1727,13933,-1727,13933,-1460xm14090,-1860l14227,-1860,14227,-2125,14090,-2125,14090,-1860xm14195,-2258l14227,-2258,14227,-2526,14195,-2526,14195,-2258xm14279,-2658l14227,-2658,14227,-2926,14279,-2926,14279,-2658xm14368,-3058l14227,-3058,14227,-3324,14368,-3324,14368,-3058xm14640,-3457l14227,-3457,14227,-3724,14640,-3724,14640,-3457xm15049,-3857l14227,-3857,14227,-4122,15049,-4122,15049,-3857xm16215,-4257l14227,-4257,14227,-4522,16215,-4522,16215,-4257xm16701,-4655l14227,-4655,14227,-4923,16701,-4923,16701,-4655xe" filled="false" stroked="true" strokeweight=".603840pt" strokecolor="#f08600">
              <v:path arrowok="t"/>
              <v:stroke dashstyle="solid"/>
            </v:shape>
            <v:shape style="position:absolute;left:16215;top:-4523;width:1235;height:266" type="#_x0000_t75" stroked="false">
              <v:imagedata r:id="rId34" o:title=""/>
            </v:shape>
            <v:rect style="position:absolute;left:16215;top:-4523;width:1235;height:266" filled="false" stroked="true" strokeweight=".603328pt" strokecolor="#f08600">
              <v:stroke dashstyle="solid"/>
            </v:rect>
            <v:line style="position:absolute" from="18708,-5387" to="18708,-195" stroked="true" strokeweight=".604401pt" strokecolor="#d9d9d9">
              <v:stroke dashstyle="solid"/>
            </v:line>
            <v:shape style="position:absolute;left:17889;top:-5321;width:1235;height:266" type="#_x0000_t75" stroked="false">
              <v:imagedata r:id="rId35" o:title=""/>
            </v:shape>
            <v:rect style="position:absolute;left:17889;top:-5321;width:1235;height:266" filled="false" stroked="true" strokeweight=".603328pt" strokecolor="#68c3c9">
              <v:stroke dashstyle="solid"/>
            </v:rect>
            <v:line style="position:absolute" from="14227,-195" to="14227,-5387" stroked="true" strokeweight=".604401pt" strokecolor="#d9d9d9">
              <v:stroke dashstyle="solid"/>
            </v:line>
            <w10:wrap type="none"/>
          </v:group>
        </w:pict>
      </w:r>
      <w:r>
        <w:rPr>
          <w:rFonts w:ascii="Calibri Light"/>
          <w:b w:val="0"/>
          <w:sz w:val="30"/>
        </w:rPr>
        <w:t>GL</w:t>
        <w:tab/>
        <w:t>150</w:t>
        <w:tab/>
        <w:t>300</w:t>
        <w:tab/>
        <w:t>450</w:t>
      </w:r>
    </w:p>
    <w:p>
      <w:pPr>
        <w:pStyle w:val="BodyText"/>
        <w:rPr>
          <w:rFonts w:ascii="Calibri Light"/>
          <w:b w:val="0"/>
          <w:sz w:val="30"/>
        </w:rPr>
      </w:pPr>
      <w:r>
        <w:rPr/>
        <w:br w:type="column"/>
      </w:r>
      <w:r>
        <w:rPr>
          <w:rFonts w:ascii="Calibri Light"/>
          <w:b w:val="0"/>
          <w:sz w:val="30"/>
        </w:rPr>
      </w: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spacing w:before="7"/>
        <w:rPr>
          <w:rFonts w:ascii="Calibri Light"/>
          <w:b w:val="0"/>
          <w:sz w:val="24"/>
        </w:rPr>
      </w:pPr>
    </w:p>
    <w:p>
      <w:pPr>
        <w:spacing w:before="0"/>
        <w:ind w:left="367" w:right="0" w:firstLine="0"/>
        <w:jc w:val="left"/>
        <w:rPr>
          <w:rFonts w:ascii="Calibri Light"/>
          <w:b w:val="0"/>
          <w:sz w:val="30"/>
        </w:rPr>
      </w:pPr>
      <w:r>
        <w:rPr>
          <w:rFonts w:ascii="Calibri Light"/>
          <w:b w:val="0"/>
          <w:sz w:val="30"/>
        </w:rPr>
        <w:t>600</w:t>
      </w:r>
    </w:p>
    <w:p>
      <w:pPr>
        <w:pStyle w:val="BodyText"/>
        <w:rPr>
          <w:rFonts w:ascii="Calibri Light"/>
          <w:b w:val="0"/>
          <w:sz w:val="30"/>
        </w:rPr>
      </w:pPr>
      <w:r>
        <w:rPr/>
        <w:br w:type="column"/>
      </w:r>
      <w:r>
        <w:rPr>
          <w:rFonts w:ascii="Calibri Light"/>
          <w:b w:val="0"/>
          <w:sz w:val="30"/>
        </w:rPr>
      </w: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rPr>
          <w:rFonts w:ascii="Calibri Light"/>
          <w:b w:val="0"/>
          <w:sz w:val="30"/>
        </w:rPr>
      </w:pPr>
    </w:p>
    <w:p>
      <w:pPr>
        <w:pStyle w:val="BodyText"/>
        <w:spacing w:before="7"/>
        <w:rPr>
          <w:rFonts w:ascii="Calibri Light"/>
          <w:b w:val="0"/>
          <w:sz w:val="24"/>
        </w:rPr>
      </w:pPr>
    </w:p>
    <w:p>
      <w:pPr>
        <w:spacing w:before="0"/>
        <w:ind w:left="367" w:right="0" w:firstLine="0"/>
        <w:jc w:val="left"/>
        <w:rPr>
          <w:rFonts w:ascii="Calibri Light"/>
          <w:b w:val="0"/>
          <w:sz w:val="30"/>
        </w:rPr>
      </w:pPr>
      <w:r>
        <w:rPr/>
        <w:pict>
          <v:line style="position:absolute;mso-position-horizontal-relative:page;mso-position-vertical-relative:paragraph;z-index:251695104" from="991.388611pt,-269.355194pt" to="991.388611pt,-9.748386pt" stroked="true" strokeweight=".604401pt" strokecolor="#d9d9d9">
            <v:stroke dashstyle="solid"/>
            <w10:wrap type="none"/>
          </v:line>
        </w:pict>
      </w:r>
      <w:r>
        <w:rPr>
          <w:rFonts w:ascii="Calibri Light"/>
          <w:b w:val="0"/>
          <w:sz w:val="30"/>
        </w:rPr>
        <w:t>750</w:t>
      </w:r>
    </w:p>
    <w:p>
      <w:pPr>
        <w:pStyle w:val="BodyText"/>
        <w:rPr>
          <w:rFonts w:ascii="Calibri Light"/>
          <w:b w:val="0"/>
          <w:sz w:val="30"/>
        </w:rPr>
      </w:pPr>
      <w:r>
        <w:rPr/>
        <w:br w:type="column"/>
      </w:r>
      <w:r>
        <w:rPr>
          <w:rFonts w:ascii="Calibri Light"/>
          <w:b w:val="0"/>
          <w:sz w:val="30"/>
        </w:rPr>
      </w:r>
    </w:p>
    <w:p>
      <w:pPr>
        <w:pStyle w:val="BodyText"/>
        <w:rPr>
          <w:rFonts w:ascii="Calibri Light"/>
          <w:b w:val="0"/>
          <w:sz w:val="30"/>
        </w:rPr>
      </w:pPr>
    </w:p>
    <w:p>
      <w:pPr>
        <w:pStyle w:val="BodyText"/>
        <w:rPr>
          <w:rFonts w:ascii="Calibri Light"/>
          <w:b w:val="0"/>
          <w:sz w:val="30"/>
        </w:rPr>
      </w:pPr>
    </w:p>
    <w:p>
      <w:pPr>
        <w:pStyle w:val="BodyText"/>
        <w:spacing w:before="6"/>
        <w:rPr>
          <w:rFonts w:ascii="Calibri Light"/>
          <w:b w:val="0"/>
          <w:sz w:val="43"/>
        </w:rPr>
      </w:pPr>
    </w:p>
    <w:p>
      <w:pPr>
        <w:spacing w:before="1"/>
        <w:ind w:left="151" w:right="0" w:firstLine="0"/>
        <w:jc w:val="left"/>
        <w:rPr>
          <w:rFonts w:ascii="Calibri Light"/>
          <w:b w:val="0"/>
          <w:sz w:val="30"/>
        </w:rPr>
      </w:pPr>
      <w:r>
        <w:rPr>
          <w:rFonts w:ascii="Calibri Light"/>
          <w:b w:val="0"/>
          <w:sz w:val="30"/>
        </w:rPr>
        <w:t>Current</w:t>
      </w:r>
      <w:r>
        <w:rPr>
          <w:rFonts w:ascii="Calibri Light"/>
          <w:b w:val="0"/>
          <w:spacing w:val="8"/>
          <w:sz w:val="30"/>
        </w:rPr>
        <w:t> </w:t>
      </w:r>
      <w:r>
        <w:rPr>
          <w:rFonts w:ascii="Calibri Light"/>
          <w:b w:val="0"/>
          <w:sz w:val="30"/>
        </w:rPr>
        <w:t>demand,</w:t>
      </w:r>
    </w:p>
    <w:p>
      <w:pPr>
        <w:spacing w:before="1"/>
        <w:ind w:left="151" w:right="0" w:firstLine="0"/>
        <w:jc w:val="left"/>
        <w:rPr>
          <w:rFonts w:ascii="Calibri Light"/>
          <w:b w:val="0"/>
          <w:sz w:val="30"/>
        </w:rPr>
      </w:pPr>
      <w:r>
        <w:rPr/>
        <w:pict>
          <v:group style="position:absolute;margin-left:1001.764465pt;margin-top:-12.891017pt;width:8.9pt;height:8.85pt;mso-position-horizontal-relative:page;mso-position-vertical-relative:paragraph;z-index:251696128" coordorigin="20035,-258" coordsize="178,177">
            <v:rect style="position:absolute;left:20041;top:-252;width:166;height:165" filled="true" fillcolor="#f08600" stroked="false">
              <v:fill type="solid"/>
            </v:rect>
            <v:rect style="position:absolute;left:20041;top:-252;width:166;height:165" filled="false" stroked="true" strokeweight=".603839pt" strokecolor="#f08600">
              <v:stroke dashstyle="solid"/>
            </v:rect>
            <w10:wrap type="none"/>
          </v:group>
        </w:pict>
      </w:r>
      <w:r>
        <w:rPr>
          <w:rFonts w:ascii="Calibri Light"/>
          <w:b w:val="0"/>
          <w:sz w:val="30"/>
        </w:rPr>
        <w:t>existing</w:t>
      </w:r>
      <w:r>
        <w:rPr>
          <w:rFonts w:ascii="Calibri Light"/>
          <w:b w:val="0"/>
          <w:spacing w:val="7"/>
          <w:sz w:val="30"/>
        </w:rPr>
        <w:t> </w:t>
      </w:r>
      <w:r>
        <w:rPr>
          <w:rFonts w:ascii="Calibri Light"/>
          <w:b w:val="0"/>
          <w:sz w:val="30"/>
        </w:rPr>
        <w:t>plantings</w:t>
      </w:r>
    </w:p>
    <w:p>
      <w:pPr>
        <w:pStyle w:val="BodyText"/>
        <w:spacing w:before="7"/>
        <w:rPr>
          <w:rFonts w:ascii="Calibri Light"/>
          <w:b w:val="0"/>
        </w:rPr>
      </w:pPr>
    </w:p>
    <w:p>
      <w:pPr>
        <w:spacing w:line="242" w:lineRule="auto" w:before="0"/>
        <w:ind w:left="151" w:right="436" w:firstLine="0"/>
        <w:jc w:val="left"/>
        <w:rPr>
          <w:rFonts w:ascii="Calibri Light"/>
          <w:b w:val="0"/>
          <w:sz w:val="30"/>
        </w:rPr>
      </w:pPr>
      <w:r>
        <w:rPr/>
        <w:pict>
          <v:group style="position:absolute;margin-left:1001.764465pt;margin-top:5.500892pt;width:8.9pt;height:8.85pt;mso-position-horizontal-relative:page;mso-position-vertical-relative:paragraph;z-index:251697152" coordorigin="20035,110" coordsize="178,177">
            <v:shape style="position:absolute;left:20041;top:116;width:166;height:165" type="#_x0000_t75" stroked="false">
              <v:imagedata r:id="rId36" o:title=""/>
            </v:shape>
            <v:rect style="position:absolute;left:20041;top:116;width:166;height:165" filled="false" stroked="true" strokeweight=".603839pt" strokecolor="#f08600">
              <v:stroke dashstyle="solid"/>
            </v:rect>
            <w10:wrap type="none"/>
          </v:group>
        </w:pict>
      </w:r>
      <w:r>
        <w:rPr>
          <w:rFonts w:ascii="Calibri Light"/>
          <w:b w:val="0"/>
          <w:sz w:val="30"/>
        </w:rPr>
        <w:t>Additional demand at full maturity</w:t>
      </w:r>
    </w:p>
    <w:p>
      <w:pPr>
        <w:spacing w:after="0" w:line="242" w:lineRule="auto"/>
        <w:jc w:val="left"/>
        <w:rPr>
          <w:rFonts w:ascii="Calibri Light"/>
          <w:sz w:val="30"/>
        </w:rPr>
        <w:sectPr>
          <w:type w:val="continuous"/>
          <w:pgSz w:w="23820" w:h="16840" w:orient="landscape"/>
          <w:pgMar w:top="1440" w:bottom="280" w:left="220" w:right="140"/>
          <w:cols w:num="5" w:equalWidth="0">
            <w:col w:w="13237" w:space="244"/>
            <w:col w:w="4192" w:space="252"/>
            <w:col w:w="868" w:space="253"/>
            <w:col w:w="828" w:space="39"/>
            <w:col w:w="3547"/>
          </w:cols>
        </w:sectPr>
      </w:pPr>
    </w:p>
    <w:p>
      <w:pPr>
        <w:pStyle w:val="BodyText"/>
        <w:spacing w:before="1"/>
        <w:rPr>
          <w:rFonts w:ascii="Calibri Light"/>
          <w:b w:val="0"/>
          <w:sz w:val="14"/>
        </w:rPr>
      </w:pPr>
    </w:p>
    <w:p>
      <w:pPr>
        <w:spacing w:after="0"/>
        <w:rPr>
          <w:rFonts w:ascii="Calibri Light"/>
          <w:sz w:val="14"/>
        </w:rPr>
        <w:sectPr>
          <w:type w:val="continuous"/>
          <w:pgSz w:w="23820" w:h="16840" w:orient="landscape"/>
          <w:pgMar w:top="1440" w:bottom="280" w:left="220" w:right="140"/>
        </w:sectPr>
      </w:pPr>
    </w:p>
    <w:p>
      <w:pPr>
        <w:pStyle w:val="BodyText"/>
        <w:rPr>
          <w:rFonts w:ascii="Calibri Light"/>
          <w:b w:val="0"/>
          <w:sz w:val="20"/>
        </w:rPr>
      </w:pPr>
    </w:p>
    <w:p>
      <w:pPr>
        <w:pStyle w:val="BodyText"/>
        <w:spacing w:before="8"/>
        <w:rPr>
          <w:rFonts w:ascii="Calibri Light"/>
          <w:b w:val="0"/>
          <w:sz w:val="18"/>
        </w:rPr>
      </w:pPr>
    </w:p>
    <w:p>
      <w:pPr>
        <w:spacing w:line="242" w:lineRule="exact" w:before="0"/>
        <w:ind w:left="501" w:right="0" w:firstLine="0"/>
        <w:jc w:val="left"/>
        <w:rPr>
          <w:sz w:val="20"/>
        </w:rPr>
      </w:pPr>
      <w:r>
        <w:rPr>
          <w:sz w:val="20"/>
        </w:rPr>
        <w:t>Grafton, R.Q. &amp; Horne, J, 2014, “Water markets in the Murray-Darling basin”, </w:t>
      </w:r>
      <w:r>
        <w:rPr>
          <w:i/>
          <w:sz w:val="20"/>
        </w:rPr>
        <w:t>Agricultural Water Management</w:t>
      </w:r>
      <w:r>
        <w:rPr>
          <w:sz w:val="20"/>
        </w:rPr>
        <w:t>, 145(C), pp.61-71.</w:t>
      </w:r>
    </w:p>
    <w:p>
      <w:pPr>
        <w:spacing w:line="240" w:lineRule="exact" w:before="0"/>
        <w:ind w:left="501" w:right="0" w:firstLine="0"/>
        <w:jc w:val="left"/>
        <w:rPr>
          <w:sz w:val="20"/>
        </w:rPr>
      </w:pPr>
      <w:r>
        <w:rPr>
          <w:sz w:val="20"/>
        </w:rPr>
        <w:t>Wheeler, S.A., 2014, “Insights, lessons and benefits from improved regional water security and integration in Australia”, </w:t>
      </w:r>
      <w:r>
        <w:rPr>
          <w:i/>
          <w:sz w:val="20"/>
        </w:rPr>
        <w:t>Water Resources and Economics</w:t>
      </w:r>
      <w:r>
        <w:rPr>
          <w:sz w:val="20"/>
        </w:rPr>
        <w:t>, 8, pp.57-78.</w:t>
      </w:r>
    </w:p>
    <w:p>
      <w:pPr>
        <w:spacing w:line="235" w:lineRule="auto" w:before="2"/>
        <w:ind w:left="501" w:right="0" w:firstLine="0"/>
        <w:jc w:val="left"/>
        <w:rPr>
          <w:sz w:val="20"/>
        </w:rPr>
      </w:pPr>
      <w:r>
        <w:rPr>
          <w:sz w:val="20"/>
        </w:rPr>
        <w:t>Westwood, T, Qin, C &amp; Whittle, L 2020</w:t>
      </w:r>
      <w:r>
        <w:rPr>
          <w:color w:val="006FC0"/>
          <w:sz w:val="20"/>
        </w:rPr>
        <w:t>, </w:t>
      </w:r>
      <w:hyperlink r:id="rId37">
        <w:r>
          <w:rPr>
            <w:color w:val="006FC0"/>
            <w:sz w:val="20"/>
            <w:u w:val="single" w:color="006FC0"/>
          </w:rPr>
          <w:t>Water Market Outlook: July 2020</w:t>
        </w:r>
      </w:hyperlink>
      <w:r>
        <w:rPr>
          <w:sz w:val="20"/>
        </w:rPr>
        <w:t>, ABARES, Canberra. Whittle et al 2020 </w:t>
      </w:r>
      <w:hyperlink r:id="rId38">
        <w:r>
          <w:rPr>
            <w:color w:val="006FC0"/>
            <w:sz w:val="20"/>
            <w:u w:val="single" w:color="006FC0"/>
          </w:rPr>
          <w:t>Economic effects of water recovery in the Murray Darling Basin</w:t>
        </w:r>
      </w:hyperlink>
      <w:r>
        <w:rPr>
          <w:sz w:val="20"/>
        </w:rPr>
        <w:t>, ABARES Canberra. Goesch, T, Legg, P &amp; Donoghoe, M 2020, </w:t>
      </w:r>
      <w:hyperlink r:id="rId37">
        <w:r>
          <w:rPr>
            <w:color w:val="006FC0"/>
            <w:sz w:val="20"/>
            <w:u w:val="single" w:color="006FC0"/>
          </w:rPr>
          <w:t>Murray–Darling Basin water markets: Trends and drivers 2002–03 to 2018–19</w:t>
        </w:r>
      </w:hyperlink>
      <w:r>
        <w:rPr>
          <w:sz w:val="20"/>
        </w:rPr>
        <w:t>, ABARES, Canberra.</w:t>
      </w:r>
    </w:p>
    <w:p>
      <w:pPr>
        <w:spacing w:line="235" w:lineRule="auto" w:before="63"/>
        <w:ind w:left="696" w:right="352" w:hanging="329"/>
        <w:jc w:val="right"/>
        <w:rPr>
          <w:sz w:val="20"/>
        </w:rPr>
      </w:pPr>
      <w:r>
        <w:rPr/>
        <w:br w:type="column"/>
      </w:r>
      <w:r>
        <w:rPr>
          <w:b/>
          <w:color w:val="7E7E7E"/>
          <w:sz w:val="20"/>
        </w:rPr>
        <w:t>Changes in demand for water by sector, from 2006 to 2019 at $200</w:t>
      </w:r>
      <w:r>
        <w:rPr>
          <w:b/>
          <w:color w:val="7E7E7E"/>
          <w:spacing w:val="-27"/>
          <w:sz w:val="20"/>
        </w:rPr>
        <w:t> </w:t>
      </w:r>
      <w:r>
        <w:rPr>
          <w:b/>
          <w:color w:val="7E7E7E"/>
          <w:sz w:val="20"/>
        </w:rPr>
        <w:t>per</w:t>
      </w:r>
      <w:r>
        <w:rPr>
          <w:b/>
          <w:color w:val="7E7E7E"/>
          <w:spacing w:val="-4"/>
          <w:sz w:val="20"/>
        </w:rPr>
        <w:t> </w:t>
      </w:r>
      <w:r>
        <w:rPr>
          <w:b/>
          <w:color w:val="7E7E7E"/>
          <w:sz w:val="20"/>
        </w:rPr>
        <w:t>ML.</w:t>
      </w:r>
      <w:r>
        <w:rPr>
          <w:b/>
          <w:color w:val="7E7E7E"/>
          <w:w w:val="99"/>
          <w:sz w:val="20"/>
        </w:rPr>
        <w:t> </w:t>
      </w:r>
      <w:r>
        <w:rPr>
          <w:sz w:val="20"/>
        </w:rPr>
        <w:t>Note: </w:t>
      </w:r>
      <w:r>
        <w:rPr>
          <w:color w:val="7E7E7E"/>
          <w:sz w:val="20"/>
        </w:rPr>
        <w:t>Modelled estimates from ABARES Water Trade</w:t>
      </w:r>
      <w:r>
        <w:rPr>
          <w:color w:val="7E7E7E"/>
          <w:spacing w:val="-24"/>
          <w:sz w:val="20"/>
        </w:rPr>
        <w:t> </w:t>
      </w:r>
      <w:r>
        <w:rPr>
          <w:color w:val="7E7E7E"/>
          <w:sz w:val="20"/>
        </w:rPr>
        <w:t>Model,</w:t>
      </w:r>
      <w:r>
        <w:rPr>
          <w:color w:val="7E7E7E"/>
          <w:spacing w:val="-4"/>
          <w:sz w:val="20"/>
        </w:rPr>
        <w:t> </w:t>
      </w:r>
      <w:r>
        <w:rPr>
          <w:color w:val="7E7E7E"/>
          <w:sz w:val="20"/>
        </w:rPr>
        <w:t>including</w:t>
      </w:r>
      <w:r>
        <w:rPr>
          <w:color w:val="7E7E7E"/>
          <w:w w:val="99"/>
          <w:sz w:val="20"/>
        </w:rPr>
        <w:t> </w:t>
      </w:r>
      <w:r>
        <w:rPr>
          <w:color w:val="7E7E7E"/>
          <w:sz w:val="20"/>
        </w:rPr>
        <w:t>demand associated with existing perennial plantings coming to</w:t>
      </w:r>
      <w:r>
        <w:rPr>
          <w:color w:val="7E7E7E"/>
          <w:spacing w:val="-30"/>
          <w:sz w:val="20"/>
        </w:rPr>
        <w:t> </w:t>
      </w:r>
      <w:r>
        <w:rPr>
          <w:color w:val="7E7E7E"/>
          <w:sz w:val="20"/>
        </w:rPr>
        <w:t>maturity.</w:t>
      </w:r>
    </w:p>
    <w:p>
      <w:pPr>
        <w:spacing w:line="220" w:lineRule="exact" w:before="0"/>
        <w:ind w:left="0" w:right="349" w:firstLine="0"/>
        <w:jc w:val="right"/>
        <w:rPr>
          <w:sz w:val="20"/>
        </w:rPr>
      </w:pPr>
      <w:r>
        <w:rPr>
          <w:sz w:val="20"/>
        </w:rPr>
        <w:t>Source: </w:t>
      </w:r>
      <w:r>
        <w:rPr>
          <w:color w:val="7E7E7E"/>
          <w:sz w:val="20"/>
        </w:rPr>
        <w:t>Goesch et al.</w:t>
      </w:r>
      <w:r>
        <w:rPr>
          <w:color w:val="7E7E7E"/>
          <w:spacing w:val="-16"/>
          <w:sz w:val="20"/>
        </w:rPr>
        <w:t> </w:t>
      </w:r>
      <w:r>
        <w:rPr>
          <w:color w:val="7E7E7E"/>
          <w:sz w:val="20"/>
        </w:rPr>
        <w:t>(2020)</w:t>
      </w:r>
    </w:p>
    <w:p>
      <w:pPr>
        <w:pStyle w:val="BodyText"/>
        <w:spacing w:line="368" w:lineRule="exact"/>
        <w:ind w:right="99"/>
        <w:jc w:val="right"/>
      </w:pPr>
      <w:r>
        <w:rPr>
          <w:w w:val="99"/>
        </w:rPr>
        <w:t>7</w:t>
      </w:r>
    </w:p>
    <w:p>
      <w:pPr>
        <w:spacing w:after="0" w:line="368" w:lineRule="exact"/>
        <w:jc w:val="right"/>
        <w:sectPr>
          <w:type w:val="continuous"/>
          <w:pgSz w:w="23820" w:h="16840" w:orient="landscape"/>
          <w:pgMar w:top="1440" w:bottom="280" w:left="220" w:right="140"/>
          <w:cols w:num="2" w:equalWidth="0">
            <w:col w:w="16383" w:space="124"/>
            <w:col w:w="6953"/>
          </w:cols>
        </w:sectPr>
      </w:pPr>
    </w:p>
    <w:p>
      <w:pPr>
        <w:pStyle w:val="BodyText"/>
        <w:rPr>
          <w:sz w:val="20"/>
        </w:rPr>
      </w:pPr>
    </w:p>
    <w:p>
      <w:pPr>
        <w:pStyle w:val="Heading1"/>
        <w:spacing w:line="744" w:lineRule="exact"/>
      </w:pPr>
      <w:r>
        <w:rPr/>
        <w:drawing>
          <wp:anchor distT="0" distB="0" distL="0" distR="0" allowOverlap="1" layoutInCell="1" locked="0" behindDoc="0" simplePos="0" relativeHeight="251700224">
            <wp:simplePos x="0" y="0"/>
            <wp:positionH relativeFrom="page">
              <wp:posOffset>208788</wp:posOffset>
            </wp:positionH>
            <wp:positionV relativeFrom="paragraph">
              <wp:posOffset>-155902</wp:posOffset>
            </wp:positionV>
            <wp:extent cx="2966699" cy="1030039"/>
            <wp:effectExtent l="0" t="0" r="0" b="0"/>
            <wp:wrapNone/>
            <wp:docPr id="39" name="image4.jpeg"/>
            <wp:cNvGraphicFramePr>
              <a:graphicFrameLocks noChangeAspect="1"/>
            </wp:cNvGraphicFramePr>
            <a:graphic>
              <a:graphicData uri="http://schemas.openxmlformats.org/drawingml/2006/picture">
                <pic:pic>
                  <pic:nvPicPr>
                    <pic:cNvPr id="40" name="image4.jpeg"/>
                    <pic:cNvPicPr/>
                  </pic:nvPicPr>
                  <pic:blipFill>
                    <a:blip r:embed="rId10" cstate="print"/>
                    <a:stretch>
                      <a:fillRect/>
                    </a:stretch>
                  </pic:blipFill>
                  <pic:spPr>
                    <a:xfrm>
                      <a:off x="0" y="0"/>
                      <a:ext cx="2966699" cy="1030039"/>
                    </a:xfrm>
                    <a:prstGeom prst="rect">
                      <a:avLst/>
                    </a:prstGeom>
                  </pic:spPr>
                </pic:pic>
              </a:graphicData>
            </a:graphic>
          </wp:anchor>
        </w:drawing>
      </w:r>
      <w:r>
        <w:rPr>
          <w:color w:val="A7082D"/>
        </w:rPr>
        <w:t>Policy &amp; industry settings: Innovation and industry awareness</w:t>
      </w:r>
    </w:p>
    <w:p>
      <w:pPr>
        <w:pStyle w:val="Heading3"/>
        <w:rPr>
          <w:i/>
        </w:rPr>
      </w:pPr>
      <w:r>
        <w:rPr>
          <w:i/>
          <w:color w:val="A7082D"/>
        </w:rPr>
        <w:t>Agriculture is on the front foot</w:t>
      </w:r>
    </w:p>
    <w:p>
      <w:pPr>
        <w:pStyle w:val="BodyText"/>
        <w:spacing w:before="5"/>
        <w:rPr>
          <w:i/>
          <w:sz w:val="17"/>
        </w:rPr>
      </w:pPr>
    </w:p>
    <w:p>
      <w:pPr>
        <w:spacing w:after="0"/>
        <w:rPr>
          <w:sz w:val="17"/>
        </w:rPr>
        <w:sectPr>
          <w:pgSz w:w="23820" w:h="16840" w:orient="landscape"/>
          <w:pgMar w:top="340" w:bottom="0" w:left="220" w:right="140"/>
        </w:sectPr>
      </w:pPr>
    </w:p>
    <w:p>
      <w:pPr>
        <w:pStyle w:val="BodyText"/>
        <w:rPr>
          <w:i/>
          <w:sz w:val="36"/>
        </w:rPr>
      </w:pPr>
    </w:p>
    <w:p>
      <w:pPr>
        <w:pStyle w:val="ListParagraph"/>
        <w:numPr>
          <w:ilvl w:val="0"/>
          <w:numId w:val="4"/>
        </w:numPr>
        <w:tabs>
          <w:tab w:pos="451" w:val="left" w:leader="none"/>
          <w:tab w:pos="452" w:val="left" w:leader="none"/>
        </w:tabs>
        <w:spacing w:line="240" w:lineRule="auto" w:before="236" w:after="0"/>
        <w:ind w:left="953" w:right="93" w:hanging="954"/>
        <w:jc w:val="right"/>
        <w:rPr>
          <w:sz w:val="32"/>
        </w:rPr>
      </w:pPr>
      <w:r>
        <w:rPr/>
        <w:pict>
          <v:rect style="position:absolute;margin-left:28.92pt;margin-top:8.38437pt;width:541.8pt;height:607.320pt;mso-position-horizontal-relative:page;mso-position-vertical-relative:paragraph;z-index:-252457984" filled="false" stroked="true" strokeweight=".75pt" strokecolor="#000000">
            <v:stroke dashstyle="solid"/>
            <w10:wrap type="none"/>
          </v:rect>
        </w:pict>
      </w:r>
      <w:r>
        <w:rPr>
          <w:sz w:val="32"/>
        </w:rPr>
        <w:t>R&amp;D</w:t>
      </w:r>
      <w:r>
        <w:rPr>
          <w:spacing w:val="-6"/>
          <w:sz w:val="32"/>
        </w:rPr>
        <w:t> </w:t>
      </w:r>
      <w:r>
        <w:rPr>
          <w:spacing w:val="-3"/>
          <w:sz w:val="32"/>
        </w:rPr>
        <w:t>programs</w:t>
      </w:r>
      <w:r>
        <w:rPr>
          <w:spacing w:val="-4"/>
          <w:sz w:val="32"/>
        </w:rPr>
        <w:t> </w:t>
      </w:r>
      <w:r>
        <w:rPr>
          <w:sz w:val="32"/>
        </w:rPr>
        <w:t>helping</w:t>
      </w:r>
      <w:r>
        <w:rPr>
          <w:spacing w:val="-11"/>
          <w:sz w:val="32"/>
        </w:rPr>
        <w:t> </w:t>
      </w:r>
      <w:r>
        <w:rPr>
          <w:sz w:val="32"/>
        </w:rPr>
        <w:t>develop</w:t>
      </w:r>
      <w:r>
        <w:rPr>
          <w:spacing w:val="-3"/>
          <w:sz w:val="32"/>
        </w:rPr>
        <w:t> </w:t>
      </w:r>
      <w:r>
        <w:rPr>
          <w:sz w:val="32"/>
        </w:rPr>
        <w:t>better</w:t>
      </w:r>
      <w:r>
        <w:rPr>
          <w:spacing w:val="-5"/>
          <w:sz w:val="32"/>
        </w:rPr>
        <w:t> </w:t>
      </w:r>
      <w:r>
        <w:rPr>
          <w:sz w:val="32"/>
        </w:rPr>
        <w:t>practices</w:t>
      </w:r>
      <w:r>
        <w:rPr>
          <w:spacing w:val="-7"/>
          <w:sz w:val="32"/>
        </w:rPr>
        <w:t> </w:t>
      </w:r>
      <w:r>
        <w:rPr>
          <w:sz w:val="32"/>
        </w:rPr>
        <w:t>and</w:t>
      </w:r>
      <w:r>
        <w:rPr>
          <w:spacing w:val="-10"/>
          <w:sz w:val="32"/>
        </w:rPr>
        <w:t> </w:t>
      </w:r>
      <w:r>
        <w:rPr>
          <w:sz w:val="32"/>
        </w:rPr>
        <w:t>climate</w:t>
      </w:r>
      <w:r>
        <w:rPr>
          <w:spacing w:val="-12"/>
          <w:sz w:val="32"/>
        </w:rPr>
        <w:t> </w:t>
      </w:r>
      <w:r>
        <w:rPr>
          <w:sz w:val="32"/>
        </w:rPr>
        <w:t>suited</w:t>
      </w:r>
      <w:r>
        <w:rPr>
          <w:spacing w:val="-8"/>
          <w:sz w:val="32"/>
        </w:rPr>
        <w:t> </w:t>
      </w:r>
      <w:r>
        <w:rPr>
          <w:sz w:val="32"/>
        </w:rPr>
        <w:t>varieties.</w:t>
      </w:r>
    </w:p>
    <w:p>
      <w:pPr>
        <w:pStyle w:val="ListParagraph"/>
        <w:numPr>
          <w:ilvl w:val="1"/>
          <w:numId w:val="4"/>
        </w:numPr>
        <w:tabs>
          <w:tab w:pos="269" w:val="left" w:leader="none"/>
        </w:tabs>
        <w:spacing w:line="392" w:lineRule="exact" w:before="114" w:after="0"/>
        <w:ind w:left="1068" w:right="159" w:hanging="1069"/>
        <w:jc w:val="right"/>
        <w:rPr>
          <w:sz w:val="32"/>
        </w:rPr>
      </w:pPr>
      <w:r>
        <w:rPr>
          <w:sz w:val="32"/>
        </w:rPr>
        <w:t>Australia</w:t>
      </w:r>
      <w:r>
        <w:rPr>
          <w:spacing w:val="-14"/>
          <w:sz w:val="32"/>
        </w:rPr>
        <w:t> </w:t>
      </w:r>
      <w:r>
        <w:rPr>
          <w:sz w:val="32"/>
        </w:rPr>
        <w:t>looks</w:t>
      </w:r>
      <w:r>
        <w:rPr>
          <w:spacing w:val="-9"/>
          <w:sz w:val="32"/>
        </w:rPr>
        <w:t> </w:t>
      </w:r>
      <w:r>
        <w:rPr>
          <w:sz w:val="32"/>
        </w:rPr>
        <w:t>to</w:t>
      </w:r>
      <w:r>
        <w:rPr>
          <w:spacing w:val="-8"/>
          <w:sz w:val="32"/>
        </w:rPr>
        <w:t> </w:t>
      </w:r>
      <w:r>
        <w:rPr>
          <w:spacing w:val="-3"/>
          <w:sz w:val="32"/>
        </w:rPr>
        <w:t>market</w:t>
      </w:r>
      <w:r>
        <w:rPr>
          <w:spacing w:val="-6"/>
          <w:sz w:val="32"/>
        </w:rPr>
        <w:t> </w:t>
      </w:r>
      <w:r>
        <w:rPr>
          <w:sz w:val="32"/>
        </w:rPr>
        <w:t>approaches</w:t>
      </w:r>
      <w:r>
        <w:rPr>
          <w:spacing w:val="-9"/>
          <w:sz w:val="32"/>
        </w:rPr>
        <w:t> </w:t>
      </w:r>
      <w:r>
        <w:rPr>
          <w:sz w:val="32"/>
        </w:rPr>
        <w:t>to</w:t>
      </w:r>
      <w:r>
        <w:rPr>
          <w:spacing w:val="-10"/>
          <w:sz w:val="32"/>
        </w:rPr>
        <w:t> </w:t>
      </w:r>
      <w:r>
        <w:rPr>
          <w:sz w:val="32"/>
        </w:rPr>
        <w:t>drive</w:t>
      </w:r>
      <w:r>
        <w:rPr>
          <w:spacing w:val="-9"/>
          <w:sz w:val="32"/>
        </w:rPr>
        <w:t> </w:t>
      </w:r>
      <w:r>
        <w:rPr>
          <w:sz w:val="32"/>
        </w:rPr>
        <w:t>innovation</w:t>
      </w:r>
      <w:r>
        <w:rPr>
          <w:spacing w:val="-10"/>
          <w:sz w:val="32"/>
        </w:rPr>
        <w:t> </w:t>
      </w:r>
      <w:r>
        <w:rPr>
          <w:sz w:val="32"/>
        </w:rPr>
        <w:t>and</w:t>
      </w:r>
      <w:r>
        <w:rPr>
          <w:spacing w:val="-12"/>
          <w:sz w:val="32"/>
        </w:rPr>
        <w:t> </w:t>
      </w:r>
      <w:r>
        <w:rPr>
          <w:sz w:val="32"/>
        </w:rPr>
        <w:t>sustainability</w:t>
      </w:r>
    </w:p>
    <w:p>
      <w:pPr>
        <w:pStyle w:val="BodyText"/>
        <w:spacing w:line="382" w:lineRule="exact"/>
        <w:ind w:right="38"/>
        <w:jc w:val="right"/>
      </w:pPr>
      <w:r>
        <w:rPr/>
        <w:t>in land use, complemented with government incentives where appropriate.</w:t>
      </w:r>
    </w:p>
    <w:p>
      <w:pPr>
        <w:pStyle w:val="ListParagraph"/>
        <w:numPr>
          <w:ilvl w:val="0"/>
          <w:numId w:val="4"/>
        </w:numPr>
        <w:tabs>
          <w:tab w:pos="953" w:val="left" w:leader="none"/>
          <w:tab w:pos="954" w:val="left" w:leader="none"/>
        </w:tabs>
        <w:spacing w:line="235" w:lineRule="auto" w:before="120" w:after="0"/>
        <w:ind w:left="953" w:right="262" w:hanging="452"/>
        <w:jc w:val="left"/>
        <w:rPr>
          <w:sz w:val="32"/>
        </w:rPr>
      </w:pPr>
      <w:r>
        <w:rPr>
          <w:sz w:val="32"/>
        </w:rPr>
        <w:t>According to the </w:t>
      </w:r>
      <w:r>
        <w:rPr>
          <w:spacing w:val="-4"/>
          <w:sz w:val="32"/>
        </w:rPr>
        <w:t>OECD, </w:t>
      </w:r>
      <w:r>
        <w:rPr>
          <w:sz w:val="32"/>
        </w:rPr>
        <w:t>most (56%) of the current support provided by Australia</w:t>
      </w:r>
      <w:r>
        <w:rPr>
          <w:spacing w:val="-11"/>
          <w:sz w:val="32"/>
        </w:rPr>
        <w:t> </w:t>
      </w:r>
      <w:r>
        <w:rPr>
          <w:sz w:val="32"/>
        </w:rPr>
        <w:t>is</w:t>
      </w:r>
      <w:r>
        <w:rPr>
          <w:spacing w:val="-8"/>
          <w:sz w:val="32"/>
        </w:rPr>
        <w:t> </w:t>
      </w:r>
      <w:r>
        <w:rPr>
          <w:sz w:val="32"/>
        </w:rPr>
        <w:t>general</w:t>
      </w:r>
      <w:r>
        <w:rPr>
          <w:spacing w:val="-5"/>
          <w:sz w:val="32"/>
        </w:rPr>
        <w:t> </w:t>
      </w:r>
      <w:r>
        <w:rPr>
          <w:sz w:val="32"/>
        </w:rPr>
        <w:t>services</w:t>
      </w:r>
      <w:r>
        <w:rPr>
          <w:spacing w:val="-1"/>
          <w:sz w:val="32"/>
        </w:rPr>
        <w:t> </w:t>
      </w:r>
      <w:r>
        <w:rPr>
          <w:sz w:val="32"/>
        </w:rPr>
        <w:t>(e.g.,</w:t>
      </w:r>
      <w:r>
        <w:rPr>
          <w:spacing w:val="-7"/>
          <w:sz w:val="32"/>
        </w:rPr>
        <w:t> </w:t>
      </w:r>
      <w:r>
        <w:rPr>
          <w:sz w:val="32"/>
        </w:rPr>
        <w:t>R&amp;D).</w:t>
      </w:r>
      <w:r>
        <w:rPr>
          <w:spacing w:val="-5"/>
          <w:sz w:val="32"/>
        </w:rPr>
        <w:t> </w:t>
      </w:r>
      <w:r>
        <w:rPr>
          <w:sz w:val="32"/>
        </w:rPr>
        <w:t>The</w:t>
      </w:r>
      <w:r>
        <w:rPr>
          <w:spacing w:val="-6"/>
          <w:sz w:val="32"/>
        </w:rPr>
        <w:t> </w:t>
      </w:r>
      <w:r>
        <w:rPr>
          <w:sz w:val="32"/>
        </w:rPr>
        <w:t>remaining</w:t>
      </w:r>
      <w:r>
        <w:rPr>
          <w:spacing w:val="-8"/>
          <w:sz w:val="32"/>
        </w:rPr>
        <w:t> </w:t>
      </w:r>
      <w:r>
        <w:rPr>
          <w:sz w:val="32"/>
        </w:rPr>
        <w:t>44%</w:t>
      </w:r>
      <w:r>
        <w:rPr>
          <w:spacing w:val="-2"/>
          <w:sz w:val="32"/>
        </w:rPr>
        <w:t> </w:t>
      </w:r>
      <w:r>
        <w:rPr>
          <w:sz w:val="32"/>
        </w:rPr>
        <w:t>of</w:t>
      </w:r>
      <w:r>
        <w:rPr>
          <w:spacing w:val="-5"/>
          <w:sz w:val="32"/>
        </w:rPr>
        <w:t> </w:t>
      </w:r>
      <w:r>
        <w:rPr>
          <w:sz w:val="32"/>
        </w:rPr>
        <w:t>support</w:t>
      </w:r>
      <w:r>
        <w:rPr>
          <w:spacing w:val="-5"/>
          <w:sz w:val="32"/>
        </w:rPr>
        <w:t> </w:t>
      </w:r>
      <w:r>
        <w:rPr>
          <w:sz w:val="32"/>
        </w:rPr>
        <w:t>was assessed to be producer</w:t>
      </w:r>
      <w:r>
        <w:rPr>
          <w:spacing w:val="3"/>
          <w:sz w:val="32"/>
        </w:rPr>
        <w:t> </w:t>
      </w:r>
      <w:r>
        <w:rPr>
          <w:sz w:val="32"/>
        </w:rPr>
        <w:t>support.</w:t>
      </w:r>
    </w:p>
    <w:p>
      <w:pPr>
        <w:pStyle w:val="ListParagraph"/>
        <w:numPr>
          <w:ilvl w:val="1"/>
          <w:numId w:val="4"/>
        </w:numPr>
        <w:tabs>
          <w:tab w:pos="1069" w:val="left" w:leader="none"/>
        </w:tabs>
        <w:spacing w:line="230" w:lineRule="auto" w:before="129" w:after="0"/>
        <w:ind w:left="1068" w:right="197" w:hanging="269"/>
        <w:jc w:val="left"/>
        <w:rPr>
          <w:sz w:val="32"/>
        </w:rPr>
      </w:pPr>
      <w:r>
        <w:rPr>
          <w:spacing w:val="-7"/>
          <w:sz w:val="32"/>
        </w:rPr>
        <w:t>Total </w:t>
      </w:r>
      <w:r>
        <w:rPr>
          <w:sz w:val="32"/>
        </w:rPr>
        <w:t>support</w:t>
      </w:r>
      <w:r>
        <w:rPr>
          <w:spacing w:val="-6"/>
          <w:sz w:val="32"/>
        </w:rPr>
        <w:t> </w:t>
      </w:r>
      <w:r>
        <w:rPr>
          <w:sz w:val="32"/>
        </w:rPr>
        <w:t>provided</w:t>
      </w:r>
      <w:r>
        <w:rPr>
          <w:spacing w:val="-4"/>
          <w:sz w:val="32"/>
        </w:rPr>
        <w:t> </w:t>
      </w:r>
      <w:r>
        <w:rPr>
          <w:sz w:val="32"/>
        </w:rPr>
        <w:t>to</w:t>
      </w:r>
      <w:r>
        <w:rPr>
          <w:spacing w:val="-8"/>
          <w:sz w:val="32"/>
        </w:rPr>
        <w:t> </w:t>
      </w:r>
      <w:r>
        <w:rPr>
          <w:sz w:val="32"/>
        </w:rPr>
        <w:t>Australian</w:t>
      </w:r>
      <w:r>
        <w:rPr>
          <w:spacing w:val="-13"/>
          <w:sz w:val="32"/>
        </w:rPr>
        <w:t> </w:t>
      </w:r>
      <w:r>
        <w:rPr>
          <w:spacing w:val="-3"/>
          <w:sz w:val="32"/>
        </w:rPr>
        <w:t>farmers</w:t>
      </w:r>
      <w:r>
        <w:rPr>
          <w:spacing w:val="-4"/>
          <w:sz w:val="32"/>
        </w:rPr>
        <w:t> </w:t>
      </w:r>
      <w:r>
        <w:rPr>
          <w:sz w:val="32"/>
        </w:rPr>
        <w:t>contributes</w:t>
      </w:r>
      <w:r>
        <w:rPr>
          <w:spacing w:val="-6"/>
          <w:sz w:val="32"/>
        </w:rPr>
        <w:t> </w:t>
      </w:r>
      <w:r>
        <w:rPr>
          <w:sz w:val="32"/>
        </w:rPr>
        <w:t>very</w:t>
      </w:r>
      <w:r>
        <w:rPr>
          <w:spacing w:val="-4"/>
          <w:sz w:val="32"/>
        </w:rPr>
        <w:t> </w:t>
      </w:r>
      <w:r>
        <w:rPr>
          <w:sz w:val="32"/>
        </w:rPr>
        <w:t>little</w:t>
      </w:r>
      <w:r>
        <w:rPr>
          <w:spacing w:val="-13"/>
          <w:sz w:val="32"/>
        </w:rPr>
        <w:t> </w:t>
      </w:r>
      <w:r>
        <w:rPr>
          <w:sz w:val="32"/>
        </w:rPr>
        <w:t>directly to farmer revenues (around 2% over the period 2016 to</w:t>
      </w:r>
      <w:r>
        <w:rPr>
          <w:spacing w:val="3"/>
          <w:sz w:val="32"/>
        </w:rPr>
        <w:t> </w:t>
      </w:r>
      <w:r>
        <w:rPr>
          <w:sz w:val="32"/>
        </w:rPr>
        <w:t>2018).</w:t>
      </w:r>
    </w:p>
    <w:p>
      <w:pPr>
        <w:spacing w:before="45"/>
        <w:ind w:left="501" w:right="0" w:firstLine="0"/>
        <w:jc w:val="left"/>
        <w:rPr>
          <w:b/>
          <w:i/>
          <w:sz w:val="28"/>
        </w:rPr>
      </w:pPr>
      <w:r>
        <w:rPr/>
        <w:br w:type="column"/>
      </w:r>
      <w:r>
        <w:rPr>
          <w:b/>
          <w:i/>
          <w:color w:val="A7082D"/>
          <w:sz w:val="28"/>
        </w:rPr>
        <w:t>Australia’s support is heavily R&amp;D focused</w:t>
      </w:r>
    </w:p>
    <w:p>
      <w:pPr>
        <w:pStyle w:val="BodyText"/>
        <w:spacing w:before="2"/>
        <w:rPr>
          <w:b/>
          <w:i/>
          <w:sz w:val="10"/>
        </w:rPr>
      </w:pPr>
    </w:p>
    <w:p>
      <w:pPr>
        <w:pStyle w:val="BodyText"/>
        <w:ind w:left="597" w:right="-44"/>
        <w:rPr>
          <w:sz w:val="20"/>
        </w:rPr>
      </w:pPr>
      <w:r>
        <w:rPr>
          <w:sz w:val="20"/>
        </w:rPr>
        <w:drawing>
          <wp:inline distT="0" distB="0" distL="0" distR="0">
            <wp:extent cx="4443539" cy="1957958"/>
            <wp:effectExtent l="0" t="0" r="0" b="0"/>
            <wp:docPr id="41" name="image23.jpeg" descr="Chart, diagram  Description automatically generated"/>
            <wp:cNvGraphicFramePr>
              <a:graphicFrameLocks noChangeAspect="1"/>
            </wp:cNvGraphicFramePr>
            <a:graphic>
              <a:graphicData uri="http://schemas.openxmlformats.org/drawingml/2006/picture">
                <pic:pic>
                  <pic:nvPicPr>
                    <pic:cNvPr id="42" name="image23.jpeg"/>
                    <pic:cNvPicPr/>
                  </pic:nvPicPr>
                  <pic:blipFill>
                    <a:blip r:embed="rId39" cstate="print"/>
                    <a:stretch>
                      <a:fillRect/>
                    </a:stretch>
                  </pic:blipFill>
                  <pic:spPr>
                    <a:xfrm>
                      <a:off x="0" y="0"/>
                      <a:ext cx="4443539" cy="1957958"/>
                    </a:xfrm>
                    <a:prstGeom prst="rect">
                      <a:avLst/>
                    </a:prstGeom>
                  </pic:spPr>
                </pic:pic>
              </a:graphicData>
            </a:graphic>
          </wp:inline>
        </w:drawing>
      </w:r>
      <w:r>
        <w:rPr>
          <w:sz w:val="20"/>
        </w:rPr>
      </w:r>
    </w:p>
    <w:p>
      <w:pPr>
        <w:pStyle w:val="BodyText"/>
        <w:rPr>
          <w:b/>
          <w:i/>
          <w:sz w:val="20"/>
        </w:rPr>
      </w:pPr>
      <w:r>
        <w:rPr/>
        <w:br w:type="column"/>
      </w:r>
      <w:r>
        <w:rPr>
          <w:b/>
          <w:i/>
          <w:sz w:val="20"/>
        </w:rPr>
      </w:r>
    </w:p>
    <w:p>
      <w:pPr>
        <w:pStyle w:val="BodyText"/>
        <w:rPr>
          <w:b/>
          <w:i/>
          <w:sz w:val="20"/>
        </w:rPr>
      </w:pPr>
    </w:p>
    <w:p>
      <w:pPr>
        <w:pStyle w:val="BodyText"/>
        <w:rPr>
          <w:b/>
          <w:i/>
          <w:sz w:val="20"/>
        </w:rPr>
      </w:pPr>
    </w:p>
    <w:p>
      <w:pPr>
        <w:pStyle w:val="BodyText"/>
        <w:spacing w:before="7"/>
        <w:rPr>
          <w:b/>
          <w:i/>
          <w:sz w:val="25"/>
        </w:rPr>
      </w:pPr>
    </w:p>
    <w:p>
      <w:pPr>
        <w:spacing w:line="235" w:lineRule="auto" w:before="0"/>
        <w:ind w:left="501" w:right="738" w:firstLine="0"/>
        <w:jc w:val="left"/>
        <w:rPr>
          <w:sz w:val="21"/>
        </w:rPr>
      </w:pPr>
      <w:r>
        <w:rPr>
          <w:sz w:val="21"/>
        </w:rPr>
        <w:t>Notes: </w:t>
      </w:r>
      <w:r>
        <w:rPr>
          <w:color w:val="7E7E7E"/>
          <w:sz w:val="21"/>
        </w:rPr>
        <w:t>Most distorting support relates to payments linked to production in some form, such as inputs or where production is required.</w:t>
      </w:r>
    </w:p>
    <w:p>
      <w:pPr>
        <w:spacing w:line="235" w:lineRule="auto" w:before="6"/>
        <w:ind w:left="501" w:right="707" w:firstLine="0"/>
        <w:jc w:val="left"/>
        <w:rPr>
          <w:sz w:val="21"/>
        </w:rPr>
      </w:pPr>
      <w:r>
        <w:rPr>
          <w:color w:val="7E7E7E"/>
          <w:sz w:val="21"/>
        </w:rPr>
        <w:t>Least distorting support is not linked to production. Source: Greenville (2020)</w:t>
      </w:r>
    </w:p>
    <w:p>
      <w:pPr>
        <w:spacing w:after="0" w:line="235" w:lineRule="auto"/>
        <w:jc w:val="left"/>
        <w:rPr>
          <w:sz w:val="21"/>
        </w:rPr>
        <w:sectPr>
          <w:type w:val="continuous"/>
          <w:pgSz w:w="23820" w:h="16840" w:orient="landscape"/>
          <w:pgMar w:top="1440" w:bottom="280" w:left="220" w:right="140"/>
          <w:cols w:num="3" w:equalWidth="0">
            <w:col w:w="10895" w:space="205"/>
            <w:col w:w="7604" w:space="1319"/>
            <w:col w:w="3437"/>
          </w:cols>
        </w:sectPr>
      </w:pPr>
    </w:p>
    <w:p>
      <w:pPr>
        <w:pStyle w:val="ListParagraph"/>
        <w:numPr>
          <w:ilvl w:val="0"/>
          <w:numId w:val="4"/>
        </w:numPr>
        <w:tabs>
          <w:tab w:pos="953" w:val="left" w:leader="none"/>
          <w:tab w:pos="954" w:val="left" w:leader="none"/>
        </w:tabs>
        <w:spacing w:line="235" w:lineRule="auto" w:before="122" w:after="0"/>
        <w:ind w:left="953" w:right="1403" w:hanging="452"/>
        <w:jc w:val="left"/>
        <w:rPr>
          <w:sz w:val="32"/>
        </w:rPr>
      </w:pPr>
      <w:r>
        <w:rPr/>
        <w:pict>
          <v:line style="position:absolute;mso-position-horizontal-relative:page;mso-position-vertical-relative:paragraph;z-index:251710464" from="586.559998pt,-15.040313pt" to="1165.699998pt,-15.040313pt" stroked="true" strokeweight=".5pt" strokecolor="#c00000">
            <v:stroke dashstyle="solid"/>
            <w10:wrap type="none"/>
          </v:line>
        </w:pict>
      </w:r>
      <w:r>
        <w:rPr>
          <w:sz w:val="32"/>
        </w:rPr>
        <w:t>Some</w:t>
      </w:r>
      <w:r>
        <w:rPr>
          <w:spacing w:val="-5"/>
          <w:sz w:val="32"/>
        </w:rPr>
        <w:t> </w:t>
      </w:r>
      <w:r>
        <w:rPr>
          <w:sz w:val="32"/>
        </w:rPr>
        <w:t>RDCs</w:t>
      </w:r>
      <w:r>
        <w:rPr>
          <w:spacing w:val="-3"/>
          <w:sz w:val="32"/>
        </w:rPr>
        <w:t> </w:t>
      </w:r>
      <w:r>
        <w:rPr>
          <w:sz w:val="32"/>
        </w:rPr>
        <w:t>have</w:t>
      </w:r>
      <w:r>
        <w:rPr>
          <w:spacing w:val="-6"/>
          <w:sz w:val="32"/>
        </w:rPr>
        <w:t> </w:t>
      </w:r>
      <w:r>
        <w:rPr>
          <w:sz w:val="32"/>
        </w:rPr>
        <w:t>highlighted</w:t>
      </w:r>
      <w:r>
        <w:rPr>
          <w:spacing w:val="-13"/>
          <w:sz w:val="32"/>
        </w:rPr>
        <w:t> </w:t>
      </w:r>
      <w:r>
        <w:rPr>
          <w:sz w:val="32"/>
        </w:rPr>
        <w:t>the</w:t>
      </w:r>
      <w:r>
        <w:rPr>
          <w:spacing w:val="-7"/>
          <w:sz w:val="32"/>
        </w:rPr>
        <w:t> </w:t>
      </w:r>
      <w:r>
        <w:rPr>
          <w:sz w:val="32"/>
        </w:rPr>
        <w:t>need</w:t>
      </w:r>
      <w:r>
        <w:rPr>
          <w:spacing w:val="-6"/>
          <w:sz w:val="32"/>
        </w:rPr>
        <w:t> </w:t>
      </w:r>
      <w:r>
        <w:rPr>
          <w:spacing w:val="-3"/>
          <w:sz w:val="32"/>
        </w:rPr>
        <w:t>for</w:t>
      </w:r>
      <w:r>
        <w:rPr>
          <w:spacing w:val="-5"/>
          <w:sz w:val="32"/>
        </w:rPr>
        <w:t> </w:t>
      </w:r>
      <w:r>
        <w:rPr>
          <w:sz w:val="32"/>
        </w:rPr>
        <w:t>further</w:t>
      </w:r>
      <w:r>
        <w:rPr>
          <w:spacing w:val="-4"/>
          <w:sz w:val="32"/>
        </w:rPr>
        <w:t> </w:t>
      </w:r>
      <w:r>
        <w:rPr>
          <w:sz w:val="32"/>
        </w:rPr>
        <w:t>research</w:t>
      </w:r>
      <w:r>
        <w:rPr>
          <w:spacing w:val="-1"/>
          <w:sz w:val="32"/>
        </w:rPr>
        <w:t> </w:t>
      </w:r>
      <w:r>
        <w:rPr>
          <w:sz w:val="32"/>
        </w:rPr>
        <w:t>into</w:t>
      </w:r>
      <w:r>
        <w:rPr>
          <w:spacing w:val="-11"/>
          <w:sz w:val="32"/>
        </w:rPr>
        <w:t> </w:t>
      </w:r>
      <w:r>
        <w:rPr>
          <w:sz w:val="32"/>
        </w:rPr>
        <w:t>GHG mitigation and productivity</w:t>
      </w:r>
      <w:r>
        <w:rPr>
          <w:spacing w:val="-11"/>
          <w:sz w:val="32"/>
        </w:rPr>
        <w:t> </w:t>
      </w:r>
      <w:r>
        <w:rPr>
          <w:sz w:val="32"/>
        </w:rPr>
        <w:t>growth.</w:t>
      </w:r>
    </w:p>
    <w:p>
      <w:pPr>
        <w:pStyle w:val="ListParagraph"/>
        <w:numPr>
          <w:ilvl w:val="1"/>
          <w:numId w:val="4"/>
        </w:numPr>
        <w:tabs>
          <w:tab w:pos="269" w:val="left" w:leader="none"/>
        </w:tabs>
        <w:spacing w:line="392" w:lineRule="exact" w:before="116" w:after="0"/>
        <w:ind w:left="1068" w:right="436" w:hanging="1069"/>
        <w:jc w:val="right"/>
        <w:rPr>
          <w:sz w:val="32"/>
        </w:rPr>
      </w:pPr>
      <w:r>
        <w:rPr>
          <w:sz w:val="32"/>
        </w:rPr>
        <w:t>MLA</w:t>
      </w:r>
      <w:r>
        <w:rPr>
          <w:spacing w:val="-7"/>
          <w:sz w:val="32"/>
        </w:rPr>
        <w:t> </w:t>
      </w:r>
      <w:r>
        <w:rPr>
          <w:sz w:val="32"/>
        </w:rPr>
        <w:t>research</w:t>
      </w:r>
      <w:r>
        <w:rPr>
          <w:spacing w:val="-1"/>
          <w:sz w:val="32"/>
        </w:rPr>
        <w:t> </w:t>
      </w:r>
      <w:r>
        <w:rPr>
          <w:sz w:val="32"/>
        </w:rPr>
        <w:t>has</w:t>
      </w:r>
      <w:r>
        <w:rPr>
          <w:spacing w:val="-7"/>
          <w:sz w:val="32"/>
        </w:rPr>
        <w:t> </w:t>
      </w:r>
      <w:r>
        <w:rPr>
          <w:sz w:val="32"/>
        </w:rPr>
        <w:t>identified</w:t>
      </w:r>
      <w:r>
        <w:rPr>
          <w:spacing w:val="-12"/>
          <w:sz w:val="32"/>
        </w:rPr>
        <w:t> </w:t>
      </w:r>
      <w:r>
        <w:rPr>
          <w:sz w:val="32"/>
        </w:rPr>
        <w:t>possible</w:t>
      </w:r>
      <w:r>
        <w:rPr>
          <w:spacing w:val="-6"/>
          <w:sz w:val="32"/>
        </w:rPr>
        <w:t> </w:t>
      </w:r>
      <w:r>
        <w:rPr>
          <w:sz w:val="32"/>
        </w:rPr>
        <w:t>areas</w:t>
      </w:r>
      <w:r>
        <w:rPr>
          <w:spacing w:val="-5"/>
          <w:sz w:val="32"/>
        </w:rPr>
        <w:t> </w:t>
      </w:r>
      <w:r>
        <w:rPr>
          <w:spacing w:val="-3"/>
          <w:sz w:val="32"/>
        </w:rPr>
        <w:t>for</w:t>
      </w:r>
      <w:r>
        <w:rPr>
          <w:spacing w:val="-6"/>
          <w:sz w:val="32"/>
        </w:rPr>
        <w:t> </w:t>
      </w:r>
      <w:r>
        <w:rPr>
          <w:sz w:val="32"/>
        </w:rPr>
        <w:t>further</w:t>
      </w:r>
      <w:r>
        <w:rPr>
          <w:spacing w:val="-4"/>
          <w:sz w:val="32"/>
        </w:rPr>
        <w:t> </w:t>
      </w:r>
      <w:r>
        <w:rPr>
          <w:sz w:val="32"/>
        </w:rPr>
        <w:t>work,</w:t>
      </w:r>
      <w:r>
        <w:rPr>
          <w:spacing w:val="-1"/>
          <w:sz w:val="32"/>
        </w:rPr>
        <w:t> </w:t>
      </w:r>
      <w:r>
        <w:rPr>
          <w:sz w:val="32"/>
        </w:rPr>
        <w:t>including</w:t>
      </w:r>
      <w:r>
        <w:rPr>
          <w:spacing w:val="-13"/>
          <w:sz w:val="32"/>
        </w:rPr>
        <w:t> </w:t>
      </w:r>
      <w:r>
        <w:rPr>
          <w:spacing w:val="-3"/>
          <w:sz w:val="32"/>
        </w:rPr>
        <w:t>feed</w:t>
      </w:r>
    </w:p>
    <w:p>
      <w:pPr>
        <w:pStyle w:val="BodyText"/>
        <w:spacing w:line="382" w:lineRule="exact"/>
        <w:ind w:right="386"/>
        <w:jc w:val="right"/>
      </w:pPr>
      <w:r>
        <w:rPr/>
        <w:t>supplements, genetics, vaccination and early life programming of livestock.</w:t>
      </w:r>
    </w:p>
    <w:p>
      <w:pPr>
        <w:pStyle w:val="ListParagraph"/>
        <w:numPr>
          <w:ilvl w:val="1"/>
          <w:numId w:val="4"/>
        </w:numPr>
        <w:tabs>
          <w:tab w:pos="1069" w:val="left" w:leader="none"/>
        </w:tabs>
        <w:spacing w:line="232" w:lineRule="auto" w:before="123" w:after="0"/>
        <w:ind w:left="1068" w:right="233" w:hanging="269"/>
        <w:jc w:val="left"/>
        <w:rPr>
          <w:sz w:val="32"/>
        </w:rPr>
      </w:pPr>
      <w:r>
        <w:rPr>
          <w:sz w:val="32"/>
        </w:rPr>
        <w:t>Some</w:t>
      </w:r>
      <w:r>
        <w:rPr>
          <w:spacing w:val="-4"/>
          <w:sz w:val="32"/>
        </w:rPr>
        <w:t> </w:t>
      </w:r>
      <w:r>
        <w:rPr>
          <w:sz w:val="32"/>
        </w:rPr>
        <w:t>of</w:t>
      </w:r>
      <w:r>
        <w:rPr>
          <w:spacing w:val="-4"/>
          <w:sz w:val="32"/>
        </w:rPr>
        <w:t> </w:t>
      </w:r>
      <w:r>
        <w:rPr>
          <w:sz w:val="32"/>
        </w:rPr>
        <w:t>these</w:t>
      </w:r>
      <w:r>
        <w:rPr>
          <w:spacing w:val="-6"/>
          <w:sz w:val="32"/>
        </w:rPr>
        <w:t> </w:t>
      </w:r>
      <w:r>
        <w:rPr>
          <w:sz w:val="32"/>
        </w:rPr>
        <w:t>are</w:t>
      </w:r>
      <w:r>
        <w:rPr>
          <w:spacing w:val="-3"/>
          <w:sz w:val="32"/>
        </w:rPr>
        <w:t> </w:t>
      </w:r>
      <w:r>
        <w:rPr>
          <w:sz w:val="32"/>
        </w:rPr>
        <w:t>more</w:t>
      </w:r>
      <w:r>
        <w:rPr>
          <w:spacing w:val="-1"/>
          <w:sz w:val="32"/>
        </w:rPr>
        <w:t> </w:t>
      </w:r>
      <w:r>
        <w:rPr>
          <w:sz w:val="32"/>
        </w:rPr>
        <w:t>prospective</w:t>
      </w:r>
      <w:r>
        <w:rPr>
          <w:spacing w:val="-3"/>
          <w:sz w:val="32"/>
        </w:rPr>
        <w:t> </w:t>
      </w:r>
      <w:r>
        <w:rPr>
          <w:sz w:val="32"/>
        </w:rPr>
        <w:t>than</w:t>
      </w:r>
      <w:r>
        <w:rPr>
          <w:spacing w:val="-9"/>
          <w:sz w:val="32"/>
        </w:rPr>
        <w:t> </w:t>
      </w:r>
      <w:r>
        <w:rPr>
          <w:sz w:val="32"/>
        </w:rPr>
        <w:t>others,</w:t>
      </w:r>
      <w:r>
        <w:rPr>
          <w:spacing w:val="-3"/>
          <w:sz w:val="32"/>
        </w:rPr>
        <w:t> </w:t>
      </w:r>
      <w:r>
        <w:rPr>
          <w:sz w:val="32"/>
        </w:rPr>
        <w:t>but</w:t>
      </w:r>
      <w:r>
        <w:rPr>
          <w:spacing w:val="-5"/>
          <w:sz w:val="32"/>
        </w:rPr>
        <w:t> </w:t>
      </w:r>
      <w:r>
        <w:rPr>
          <w:sz w:val="32"/>
        </w:rPr>
        <w:t>those</w:t>
      </w:r>
      <w:r>
        <w:rPr>
          <w:spacing w:val="-6"/>
          <w:sz w:val="32"/>
        </w:rPr>
        <w:t> </w:t>
      </w:r>
      <w:r>
        <w:rPr>
          <w:sz w:val="32"/>
        </w:rPr>
        <w:t>with</w:t>
      </w:r>
      <w:r>
        <w:rPr>
          <w:spacing w:val="-7"/>
          <w:sz w:val="32"/>
        </w:rPr>
        <w:t> </w:t>
      </w:r>
      <w:r>
        <w:rPr>
          <w:sz w:val="32"/>
        </w:rPr>
        <w:t>the</w:t>
      </w:r>
      <w:r>
        <w:rPr>
          <w:spacing w:val="-6"/>
          <w:sz w:val="32"/>
        </w:rPr>
        <w:t> </w:t>
      </w:r>
      <w:r>
        <w:rPr>
          <w:sz w:val="32"/>
        </w:rPr>
        <w:t>highest mitigation and productivity potential also require the highest investment (MLA 2015).</w:t>
      </w:r>
    </w:p>
    <w:p>
      <w:pPr>
        <w:pStyle w:val="ListParagraph"/>
        <w:numPr>
          <w:ilvl w:val="0"/>
          <w:numId w:val="4"/>
        </w:numPr>
        <w:tabs>
          <w:tab w:pos="953" w:val="left" w:leader="none"/>
          <w:tab w:pos="954" w:val="left" w:leader="none"/>
        </w:tabs>
        <w:spacing w:line="240" w:lineRule="auto" w:before="116" w:after="0"/>
        <w:ind w:left="953" w:right="0" w:hanging="453"/>
        <w:jc w:val="left"/>
        <w:rPr>
          <w:sz w:val="32"/>
        </w:rPr>
      </w:pPr>
      <w:r>
        <w:rPr>
          <w:sz w:val="32"/>
        </w:rPr>
        <w:t>Australian agriculture has improved emissions intensity over</w:t>
      </w:r>
      <w:r>
        <w:rPr>
          <w:spacing w:val="-20"/>
          <w:sz w:val="32"/>
        </w:rPr>
        <w:t> </w:t>
      </w:r>
      <w:r>
        <w:rPr>
          <w:sz w:val="32"/>
        </w:rPr>
        <w:t>time.</w:t>
      </w:r>
    </w:p>
    <w:p>
      <w:pPr>
        <w:pStyle w:val="ListParagraph"/>
        <w:numPr>
          <w:ilvl w:val="1"/>
          <w:numId w:val="4"/>
        </w:numPr>
        <w:tabs>
          <w:tab w:pos="1069" w:val="left" w:leader="none"/>
        </w:tabs>
        <w:spacing w:line="230" w:lineRule="auto" w:before="125" w:after="0"/>
        <w:ind w:left="1068" w:right="272" w:hanging="269"/>
        <w:jc w:val="left"/>
        <w:rPr>
          <w:sz w:val="32"/>
        </w:rPr>
      </w:pPr>
      <w:r>
        <w:rPr>
          <w:sz w:val="32"/>
        </w:rPr>
        <w:t>Livestock</w:t>
      </w:r>
      <w:r>
        <w:rPr>
          <w:spacing w:val="-8"/>
          <w:sz w:val="32"/>
        </w:rPr>
        <w:t> </w:t>
      </w:r>
      <w:r>
        <w:rPr>
          <w:sz w:val="32"/>
        </w:rPr>
        <w:t>emissions,</w:t>
      </w:r>
      <w:r>
        <w:rPr>
          <w:spacing w:val="-6"/>
          <w:sz w:val="32"/>
        </w:rPr>
        <w:t> </w:t>
      </w:r>
      <w:r>
        <w:rPr>
          <w:sz w:val="32"/>
        </w:rPr>
        <w:t>which</w:t>
      </w:r>
      <w:r>
        <w:rPr>
          <w:spacing w:val="-7"/>
          <w:sz w:val="32"/>
        </w:rPr>
        <w:t> </w:t>
      </w:r>
      <w:r>
        <w:rPr>
          <w:spacing w:val="-3"/>
          <w:sz w:val="32"/>
        </w:rPr>
        <w:t>form</w:t>
      </w:r>
      <w:r>
        <w:rPr>
          <w:spacing w:val="-4"/>
          <w:sz w:val="32"/>
        </w:rPr>
        <w:t> </w:t>
      </w:r>
      <w:r>
        <w:rPr>
          <w:sz w:val="32"/>
        </w:rPr>
        <w:t>the</w:t>
      </w:r>
      <w:r>
        <w:rPr>
          <w:spacing w:val="-7"/>
          <w:sz w:val="32"/>
        </w:rPr>
        <w:t> </w:t>
      </w:r>
      <w:r>
        <w:rPr>
          <w:sz w:val="32"/>
        </w:rPr>
        <w:t>majority</w:t>
      </w:r>
      <w:r>
        <w:rPr>
          <w:spacing w:val="-4"/>
          <w:sz w:val="32"/>
        </w:rPr>
        <w:t> </w:t>
      </w:r>
      <w:r>
        <w:rPr>
          <w:sz w:val="32"/>
        </w:rPr>
        <w:t>of</w:t>
      </w:r>
      <w:r>
        <w:rPr>
          <w:spacing w:val="-7"/>
          <w:sz w:val="32"/>
        </w:rPr>
        <w:t> </w:t>
      </w:r>
      <w:r>
        <w:rPr>
          <w:sz w:val="32"/>
        </w:rPr>
        <w:t>agricultural</w:t>
      </w:r>
      <w:r>
        <w:rPr>
          <w:spacing w:val="-11"/>
          <w:sz w:val="32"/>
        </w:rPr>
        <w:t> </w:t>
      </w:r>
      <w:r>
        <w:rPr>
          <w:sz w:val="32"/>
        </w:rPr>
        <w:t>emissions,</w:t>
      </w:r>
      <w:r>
        <w:rPr>
          <w:spacing w:val="-5"/>
          <w:sz w:val="32"/>
        </w:rPr>
        <w:t> </w:t>
      </w:r>
      <w:r>
        <w:rPr>
          <w:sz w:val="32"/>
        </w:rPr>
        <w:t>have fallen since 1990, similar to trends in some other</w:t>
      </w:r>
      <w:r>
        <w:rPr>
          <w:spacing w:val="-11"/>
          <w:sz w:val="32"/>
        </w:rPr>
        <w:t> </w:t>
      </w:r>
      <w:r>
        <w:rPr>
          <w:sz w:val="32"/>
        </w:rPr>
        <w:t>countries.</w:t>
      </w:r>
    </w:p>
    <w:p>
      <w:pPr>
        <w:pStyle w:val="ListParagraph"/>
        <w:numPr>
          <w:ilvl w:val="0"/>
          <w:numId w:val="4"/>
        </w:numPr>
        <w:tabs>
          <w:tab w:pos="953" w:val="left" w:leader="none"/>
          <w:tab w:pos="954" w:val="left" w:leader="none"/>
        </w:tabs>
        <w:spacing w:line="235" w:lineRule="auto" w:before="123" w:after="0"/>
        <w:ind w:left="953" w:right="445" w:hanging="452"/>
        <w:jc w:val="left"/>
        <w:rPr>
          <w:sz w:val="32"/>
        </w:rPr>
      </w:pPr>
      <w:r>
        <w:rPr>
          <w:spacing w:val="-3"/>
          <w:sz w:val="32"/>
        </w:rPr>
        <w:t>Australia’s </w:t>
      </w:r>
      <w:r>
        <w:rPr>
          <w:sz w:val="32"/>
        </w:rPr>
        <w:t>agricultural sector is acting—driven by </w:t>
      </w:r>
      <w:r>
        <w:rPr>
          <w:spacing w:val="-3"/>
          <w:sz w:val="32"/>
        </w:rPr>
        <w:t>market </w:t>
      </w:r>
      <w:r>
        <w:rPr>
          <w:sz w:val="32"/>
        </w:rPr>
        <w:t>opportunities</w:t>
      </w:r>
      <w:r>
        <w:rPr>
          <w:spacing w:val="-40"/>
          <w:sz w:val="32"/>
        </w:rPr>
        <w:t> </w:t>
      </w:r>
      <w:r>
        <w:rPr>
          <w:sz w:val="32"/>
        </w:rPr>
        <w:t>and threats.</w:t>
      </w:r>
    </w:p>
    <w:p>
      <w:pPr>
        <w:pStyle w:val="ListParagraph"/>
        <w:numPr>
          <w:ilvl w:val="1"/>
          <w:numId w:val="4"/>
        </w:numPr>
        <w:tabs>
          <w:tab w:pos="1069" w:val="left" w:leader="none"/>
        </w:tabs>
        <w:spacing w:line="230" w:lineRule="auto" w:before="128" w:after="0"/>
        <w:ind w:left="1068" w:right="306" w:hanging="269"/>
        <w:jc w:val="left"/>
        <w:rPr>
          <w:sz w:val="32"/>
        </w:rPr>
      </w:pPr>
      <w:r>
        <w:rPr>
          <w:sz w:val="32"/>
        </w:rPr>
        <w:t>Most</w:t>
      </w:r>
      <w:r>
        <w:rPr>
          <w:spacing w:val="-6"/>
          <w:sz w:val="32"/>
        </w:rPr>
        <w:t> </w:t>
      </w:r>
      <w:r>
        <w:rPr>
          <w:sz w:val="32"/>
        </w:rPr>
        <w:t>industry</w:t>
      </w:r>
      <w:r>
        <w:rPr>
          <w:spacing w:val="-9"/>
          <w:sz w:val="32"/>
        </w:rPr>
        <w:t> </w:t>
      </w:r>
      <w:r>
        <w:rPr>
          <w:sz w:val="32"/>
        </w:rPr>
        <w:t>associations</w:t>
      </w:r>
      <w:r>
        <w:rPr>
          <w:spacing w:val="-8"/>
          <w:sz w:val="32"/>
        </w:rPr>
        <w:t> </w:t>
      </w:r>
      <w:r>
        <w:rPr>
          <w:sz w:val="32"/>
        </w:rPr>
        <w:t>support</w:t>
      </w:r>
      <w:r>
        <w:rPr>
          <w:spacing w:val="-4"/>
          <w:sz w:val="32"/>
        </w:rPr>
        <w:t> </w:t>
      </w:r>
      <w:r>
        <w:rPr>
          <w:sz w:val="32"/>
        </w:rPr>
        <w:t>GHG mitigation,</w:t>
      </w:r>
      <w:r>
        <w:rPr>
          <w:spacing w:val="-11"/>
          <w:sz w:val="32"/>
        </w:rPr>
        <w:t> </w:t>
      </w:r>
      <w:r>
        <w:rPr>
          <w:sz w:val="32"/>
        </w:rPr>
        <w:t>and</w:t>
      </w:r>
      <w:r>
        <w:rPr>
          <w:spacing w:val="-8"/>
          <w:sz w:val="32"/>
        </w:rPr>
        <w:t> </w:t>
      </w:r>
      <w:r>
        <w:rPr>
          <w:sz w:val="32"/>
        </w:rPr>
        <w:t>R&amp;D</w:t>
      </w:r>
      <w:r>
        <w:rPr>
          <w:spacing w:val="-4"/>
          <w:sz w:val="32"/>
        </w:rPr>
        <w:t> </w:t>
      </w:r>
      <w:r>
        <w:rPr>
          <w:sz w:val="32"/>
        </w:rPr>
        <w:t>is</w:t>
      </w:r>
      <w:r>
        <w:rPr>
          <w:spacing w:val="-6"/>
          <w:sz w:val="32"/>
        </w:rPr>
        <w:t> </w:t>
      </w:r>
      <w:r>
        <w:rPr>
          <w:sz w:val="32"/>
        </w:rPr>
        <w:t>increasingly focused</w:t>
      </w:r>
      <w:r>
        <w:rPr>
          <w:spacing w:val="-7"/>
          <w:sz w:val="32"/>
        </w:rPr>
        <w:t> </w:t>
      </w:r>
      <w:r>
        <w:rPr>
          <w:sz w:val="32"/>
        </w:rPr>
        <w:t>on</w:t>
      </w:r>
      <w:r>
        <w:rPr>
          <w:spacing w:val="-6"/>
          <w:sz w:val="32"/>
        </w:rPr>
        <w:t> </w:t>
      </w:r>
      <w:r>
        <w:rPr>
          <w:sz w:val="32"/>
        </w:rPr>
        <w:t>responding</w:t>
      </w:r>
      <w:r>
        <w:rPr>
          <w:spacing w:val="-6"/>
          <w:sz w:val="32"/>
        </w:rPr>
        <w:t> </w:t>
      </w:r>
      <w:r>
        <w:rPr>
          <w:sz w:val="32"/>
        </w:rPr>
        <w:t>to</w:t>
      </w:r>
      <w:r>
        <w:rPr>
          <w:spacing w:val="-6"/>
          <w:sz w:val="32"/>
        </w:rPr>
        <w:t> </w:t>
      </w:r>
      <w:r>
        <w:rPr>
          <w:sz w:val="32"/>
        </w:rPr>
        <w:t>climate</w:t>
      </w:r>
      <w:r>
        <w:rPr>
          <w:spacing w:val="-13"/>
          <w:sz w:val="32"/>
        </w:rPr>
        <w:t> </w:t>
      </w:r>
      <w:r>
        <w:rPr>
          <w:sz w:val="32"/>
        </w:rPr>
        <w:t>change</w:t>
      </w:r>
      <w:r>
        <w:rPr>
          <w:spacing w:val="-9"/>
          <w:sz w:val="32"/>
        </w:rPr>
        <w:t> </w:t>
      </w:r>
      <w:r>
        <w:rPr>
          <w:sz w:val="32"/>
        </w:rPr>
        <w:t>(both</w:t>
      </w:r>
      <w:r>
        <w:rPr>
          <w:spacing w:val="-5"/>
          <w:sz w:val="32"/>
        </w:rPr>
        <w:t> </w:t>
      </w:r>
      <w:r>
        <w:rPr>
          <w:sz w:val="32"/>
        </w:rPr>
        <w:t>mitigation</w:t>
      </w:r>
      <w:r>
        <w:rPr>
          <w:spacing w:val="-15"/>
          <w:sz w:val="32"/>
        </w:rPr>
        <w:t> </w:t>
      </w:r>
      <w:r>
        <w:rPr>
          <w:sz w:val="32"/>
        </w:rPr>
        <w:t>and</w:t>
      </w:r>
      <w:r>
        <w:rPr>
          <w:spacing w:val="-8"/>
          <w:sz w:val="32"/>
        </w:rPr>
        <w:t> </w:t>
      </w:r>
      <w:r>
        <w:rPr>
          <w:sz w:val="32"/>
        </w:rPr>
        <w:t>adaptation).</w:t>
      </w:r>
    </w:p>
    <w:p>
      <w:pPr>
        <w:pStyle w:val="ListParagraph"/>
        <w:numPr>
          <w:ilvl w:val="0"/>
          <w:numId w:val="4"/>
        </w:numPr>
        <w:tabs>
          <w:tab w:pos="953" w:val="left" w:leader="none"/>
          <w:tab w:pos="954" w:val="left" w:leader="none"/>
        </w:tabs>
        <w:spacing w:line="235" w:lineRule="auto" w:before="122" w:after="0"/>
        <w:ind w:left="953" w:right="112" w:hanging="452"/>
        <w:jc w:val="left"/>
        <w:rPr>
          <w:sz w:val="32"/>
        </w:rPr>
      </w:pPr>
      <w:r>
        <w:rPr>
          <w:sz w:val="32"/>
        </w:rPr>
        <w:t>Australian </w:t>
      </w:r>
      <w:r>
        <w:rPr>
          <w:spacing w:val="-3"/>
          <w:sz w:val="32"/>
        </w:rPr>
        <w:t>farmers </w:t>
      </w:r>
      <w:r>
        <w:rPr>
          <w:sz w:val="32"/>
        </w:rPr>
        <w:t>are internationally focused, and looking </w:t>
      </w:r>
      <w:r>
        <w:rPr>
          <w:spacing w:val="-3"/>
          <w:sz w:val="32"/>
        </w:rPr>
        <w:t>forward </w:t>
      </w:r>
      <w:r>
        <w:rPr>
          <w:sz w:val="32"/>
        </w:rPr>
        <w:t>to consumer</w:t>
      </w:r>
      <w:r>
        <w:rPr>
          <w:spacing w:val="-5"/>
          <w:sz w:val="32"/>
        </w:rPr>
        <w:t> </w:t>
      </w:r>
      <w:r>
        <w:rPr>
          <w:sz w:val="32"/>
        </w:rPr>
        <w:t>and</w:t>
      </w:r>
      <w:r>
        <w:rPr>
          <w:spacing w:val="-10"/>
          <w:sz w:val="32"/>
        </w:rPr>
        <w:t> </w:t>
      </w:r>
      <w:r>
        <w:rPr>
          <w:sz w:val="32"/>
        </w:rPr>
        <w:t>investor</w:t>
      </w:r>
      <w:r>
        <w:rPr>
          <w:spacing w:val="-8"/>
          <w:sz w:val="32"/>
        </w:rPr>
        <w:t> </w:t>
      </w:r>
      <w:r>
        <w:rPr>
          <w:sz w:val="32"/>
        </w:rPr>
        <w:t>trends.</w:t>
      </w:r>
      <w:r>
        <w:rPr>
          <w:spacing w:val="-7"/>
          <w:sz w:val="32"/>
        </w:rPr>
        <w:t> </w:t>
      </w:r>
      <w:r>
        <w:rPr>
          <w:sz w:val="32"/>
        </w:rPr>
        <w:t>Driven</w:t>
      </w:r>
      <w:r>
        <w:rPr>
          <w:spacing w:val="-4"/>
          <w:sz w:val="32"/>
        </w:rPr>
        <w:t> </w:t>
      </w:r>
      <w:r>
        <w:rPr>
          <w:sz w:val="32"/>
        </w:rPr>
        <w:t>by</w:t>
      </w:r>
      <w:r>
        <w:rPr>
          <w:spacing w:val="-8"/>
          <w:sz w:val="32"/>
        </w:rPr>
        <w:t> </w:t>
      </w:r>
      <w:r>
        <w:rPr>
          <w:sz w:val="32"/>
        </w:rPr>
        <w:t>these</w:t>
      </w:r>
      <w:r>
        <w:rPr>
          <w:spacing w:val="-7"/>
          <w:sz w:val="32"/>
        </w:rPr>
        <w:t> </w:t>
      </w:r>
      <w:r>
        <w:rPr>
          <w:sz w:val="32"/>
        </w:rPr>
        <w:t>incentives,</w:t>
      </w:r>
      <w:r>
        <w:rPr>
          <w:spacing w:val="-9"/>
          <w:sz w:val="32"/>
        </w:rPr>
        <w:t> </w:t>
      </w:r>
      <w:r>
        <w:rPr>
          <w:sz w:val="32"/>
        </w:rPr>
        <w:t>all</w:t>
      </w:r>
      <w:r>
        <w:rPr>
          <w:spacing w:val="-10"/>
          <w:sz w:val="32"/>
        </w:rPr>
        <w:t> </w:t>
      </w:r>
      <w:r>
        <w:rPr>
          <w:sz w:val="32"/>
        </w:rPr>
        <w:t>farming</w:t>
      </w:r>
      <w:r>
        <w:rPr>
          <w:spacing w:val="-9"/>
          <w:sz w:val="32"/>
        </w:rPr>
        <w:t> </w:t>
      </w:r>
      <w:r>
        <w:rPr>
          <w:sz w:val="32"/>
        </w:rPr>
        <w:t>industry bodies have commitments to sustainability</w:t>
      </w:r>
      <w:r>
        <w:rPr>
          <w:spacing w:val="-12"/>
          <w:sz w:val="32"/>
        </w:rPr>
        <w:t> </w:t>
      </w:r>
      <w:r>
        <w:rPr>
          <w:sz w:val="32"/>
        </w:rPr>
        <w:t>initiatives.</w:t>
      </w:r>
    </w:p>
    <w:p>
      <w:pPr>
        <w:pStyle w:val="ListParagraph"/>
        <w:numPr>
          <w:ilvl w:val="1"/>
          <w:numId w:val="4"/>
        </w:numPr>
        <w:tabs>
          <w:tab w:pos="1069" w:val="left" w:leader="none"/>
        </w:tabs>
        <w:spacing w:line="230" w:lineRule="auto" w:before="129" w:after="0"/>
        <w:ind w:left="1068" w:right="638" w:hanging="269"/>
        <w:jc w:val="left"/>
        <w:rPr>
          <w:sz w:val="32"/>
        </w:rPr>
      </w:pPr>
      <w:r>
        <w:rPr>
          <w:sz w:val="32"/>
        </w:rPr>
        <w:t>The</w:t>
      </w:r>
      <w:r>
        <w:rPr>
          <w:spacing w:val="-6"/>
          <w:sz w:val="32"/>
        </w:rPr>
        <w:t> </w:t>
      </w:r>
      <w:r>
        <w:rPr>
          <w:sz w:val="32"/>
        </w:rPr>
        <w:t>NFF</w:t>
      </w:r>
      <w:r>
        <w:rPr>
          <w:spacing w:val="-3"/>
          <w:sz w:val="32"/>
        </w:rPr>
        <w:t> </w:t>
      </w:r>
      <w:r>
        <w:rPr>
          <w:sz w:val="32"/>
        </w:rPr>
        <w:t>2030</w:t>
      </w:r>
      <w:r>
        <w:rPr>
          <w:spacing w:val="-1"/>
          <w:sz w:val="32"/>
        </w:rPr>
        <w:t> </w:t>
      </w:r>
      <w:r>
        <w:rPr>
          <w:sz w:val="32"/>
        </w:rPr>
        <w:t>Roadmap</w:t>
      </w:r>
      <w:r>
        <w:rPr>
          <w:spacing w:val="-4"/>
          <w:sz w:val="32"/>
        </w:rPr>
        <w:t> </w:t>
      </w:r>
      <w:r>
        <w:rPr>
          <w:sz w:val="32"/>
        </w:rPr>
        <w:t>identifies</w:t>
      </w:r>
      <w:r>
        <w:rPr>
          <w:spacing w:val="-11"/>
          <w:sz w:val="32"/>
        </w:rPr>
        <w:t> </w:t>
      </w:r>
      <w:r>
        <w:rPr>
          <w:sz w:val="32"/>
        </w:rPr>
        <w:t>growing</w:t>
      </w:r>
      <w:r>
        <w:rPr>
          <w:spacing w:val="-4"/>
          <w:sz w:val="32"/>
        </w:rPr>
        <w:t> </w:t>
      </w:r>
      <w:r>
        <w:rPr>
          <w:sz w:val="32"/>
        </w:rPr>
        <w:t>sustainably</w:t>
      </w:r>
      <w:r>
        <w:rPr>
          <w:spacing w:val="-13"/>
          <w:sz w:val="32"/>
        </w:rPr>
        <w:t> </w:t>
      </w:r>
      <w:r>
        <w:rPr>
          <w:sz w:val="32"/>
        </w:rPr>
        <w:t>as</w:t>
      </w:r>
      <w:r>
        <w:rPr>
          <w:spacing w:val="-6"/>
          <w:sz w:val="32"/>
        </w:rPr>
        <w:t> </w:t>
      </w:r>
      <w:r>
        <w:rPr>
          <w:sz w:val="32"/>
        </w:rPr>
        <w:t>one</w:t>
      </w:r>
      <w:r>
        <w:rPr>
          <w:spacing w:val="-2"/>
          <w:sz w:val="32"/>
        </w:rPr>
        <w:t> </w:t>
      </w:r>
      <w:r>
        <w:rPr>
          <w:sz w:val="32"/>
        </w:rPr>
        <w:t>of</w:t>
      </w:r>
      <w:r>
        <w:rPr>
          <w:spacing w:val="-6"/>
          <w:sz w:val="32"/>
        </w:rPr>
        <w:t> </w:t>
      </w:r>
      <w:r>
        <w:rPr>
          <w:sz w:val="32"/>
        </w:rPr>
        <w:t>their</w:t>
      </w:r>
      <w:r>
        <w:rPr>
          <w:spacing w:val="-5"/>
          <w:sz w:val="32"/>
        </w:rPr>
        <w:t> key </w:t>
      </w:r>
      <w:r>
        <w:rPr>
          <w:sz w:val="32"/>
        </w:rPr>
        <w:t>pillars to making Australian agriculture a $100b industry by</w:t>
      </w:r>
      <w:r>
        <w:rPr>
          <w:spacing w:val="-36"/>
          <w:sz w:val="32"/>
        </w:rPr>
        <w:t> </w:t>
      </w:r>
      <w:r>
        <w:rPr>
          <w:sz w:val="32"/>
        </w:rPr>
        <w:t>2030.</w:t>
      </w:r>
    </w:p>
    <w:p>
      <w:pPr>
        <w:pStyle w:val="BodyText"/>
        <w:spacing w:before="1"/>
        <w:rPr>
          <w:sz w:val="39"/>
        </w:rPr>
      </w:pPr>
    </w:p>
    <w:p>
      <w:pPr>
        <w:spacing w:line="254" w:lineRule="exact" w:before="1"/>
        <w:ind w:left="501" w:right="0" w:firstLine="0"/>
        <w:jc w:val="left"/>
        <w:rPr>
          <w:sz w:val="21"/>
        </w:rPr>
      </w:pPr>
      <w:r>
        <w:rPr>
          <w:sz w:val="21"/>
        </w:rPr>
        <w:t>Notes for Figure middle right: </w:t>
      </w:r>
      <w:r>
        <w:rPr>
          <w:color w:val="7E7E7E"/>
          <w:sz w:val="21"/>
        </w:rPr>
        <w:t>Data is the average for 2006–2016. Left panel shows emissions per unit of output for ten</w:t>
      </w:r>
    </w:p>
    <w:p>
      <w:pPr>
        <w:spacing w:line="235" w:lineRule="auto" w:before="1"/>
        <w:ind w:left="501" w:right="0" w:firstLine="0"/>
        <w:jc w:val="left"/>
        <w:rPr>
          <w:i/>
          <w:sz w:val="21"/>
        </w:rPr>
      </w:pPr>
      <w:r>
        <w:rPr>
          <w:color w:val="7E7E7E"/>
          <w:sz w:val="21"/>
        </w:rPr>
        <w:t>largest</w:t>
      </w:r>
      <w:r>
        <w:rPr>
          <w:color w:val="7E7E7E"/>
          <w:spacing w:val="-4"/>
          <w:sz w:val="21"/>
        </w:rPr>
        <w:t> </w:t>
      </w:r>
      <w:r>
        <w:rPr>
          <w:color w:val="7E7E7E"/>
          <w:sz w:val="21"/>
        </w:rPr>
        <w:t>beef and</w:t>
      </w:r>
      <w:r>
        <w:rPr>
          <w:color w:val="7E7E7E"/>
          <w:spacing w:val="-3"/>
          <w:sz w:val="21"/>
        </w:rPr>
        <w:t> </w:t>
      </w:r>
      <w:r>
        <w:rPr>
          <w:color w:val="7E7E7E"/>
          <w:sz w:val="21"/>
        </w:rPr>
        <w:t>veal</w:t>
      </w:r>
      <w:r>
        <w:rPr>
          <w:color w:val="7E7E7E"/>
          <w:spacing w:val="-6"/>
          <w:sz w:val="21"/>
        </w:rPr>
        <w:t> </w:t>
      </w:r>
      <w:r>
        <w:rPr>
          <w:color w:val="7E7E7E"/>
          <w:sz w:val="21"/>
        </w:rPr>
        <w:t>exporters.</w:t>
      </w:r>
      <w:r>
        <w:rPr>
          <w:color w:val="7E7E7E"/>
          <w:spacing w:val="-5"/>
          <w:sz w:val="21"/>
        </w:rPr>
        <w:t> </w:t>
      </w:r>
      <w:r>
        <w:rPr>
          <w:color w:val="7E7E7E"/>
          <w:sz w:val="21"/>
        </w:rPr>
        <w:t>Right</w:t>
      </w:r>
      <w:r>
        <w:rPr>
          <w:color w:val="7E7E7E"/>
          <w:spacing w:val="-1"/>
          <w:sz w:val="21"/>
        </w:rPr>
        <w:t> </w:t>
      </w:r>
      <w:r>
        <w:rPr>
          <w:color w:val="7E7E7E"/>
          <w:sz w:val="21"/>
        </w:rPr>
        <w:t>panel</w:t>
      </w:r>
      <w:r>
        <w:rPr>
          <w:color w:val="7E7E7E"/>
          <w:spacing w:val="-5"/>
          <w:sz w:val="21"/>
        </w:rPr>
        <w:t> </w:t>
      </w:r>
      <w:r>
        <w:rPr>
          <w:color w:val="7E7E7E"/>
          <w:sz w:val="21"/>
        </w:rPr>
        <w:t>shows</w:t>
      </w:r>
      <w:r>
        <w:rPr>
          <w:color w:val="7E7E7E"/>
          <w:spacing w:val="-1"/>
          <w:sz w:val="21"/>
        </w:rPr>
        <w:t> </w:t>
      </w:r>
      <w:r>
        <w:rPr>
          <w:color w:val="7E7E7E"/>
          <w:sz w:val="21"/>
        </w:rPr>
        <w:t>major</w:t>
      </w:r>
      <w:r>
        <w:rPr>
          <w:color w:val="7E7E7E"/>
          <w:spacing w:val="-4"/>
          <w:sz w:val="21"/>
        </w:rPr>
        <w:t> </w:t>
      </w:r>
      <w:r>
        <w:rPr>
          <w:color w:val="7E7E7E"/>
          <w:sz w:val="21"/>
        </w:rPr>
        <w:t>exporter’s</w:t>
      </w:r>
      <w:r>
        <w:rPr>
          <w:color w:val="7E7E7E"/>
          <w:spacing w:val="-6"/>
          <w:sz w:val="21"/>
        </w:rPr>
        <w:t> </w:t>
      </w:r>
      <w:r>
        <w:rPr>
          <w:color w:val="7E7E7E"/>
          <w:sz w:val="21"/>
        </w:rPr>
        <w:t>shares</w:t>
      </w:r>
      <w:r>
        <w:rPr>
          <w:color w:val="7E7E7E"/>
          <w:spacing w:val="-2"/>
          <w:sz w:val="21"/>
        </w:rPr>
        <w:t> </w:t>
      </w:r>
      <w:r>
        <w:rPr>
          <w:color w:val="7E7E7E"/>
          <w:sz w:val="21"/>
        </w:rPr>
        <w:t>of</w:t>
      </w:r>
      <w:r>
        <w:rPr>
          <w:color w:val="7E7E7E"/>
          <w:spacing w:val="-2"/>
          <w:sz w:val="21"/>
        </w:rPr>
        <w:t> </w:t>
      </w:r>
      <w:r>
        <w:rPr>
          <w:color w:val="7E7E7E"/>
          <w:sz w:val="21"/>
        </w:rPr>
        <w:t>global beef</w:t>
      </w:r>
      <w:r>
        <w:rPr>
          <w:color w:val="7E7E7E"/>
          <w:spacing w:val="-2"/>
          <w:sz w:val="21"/>
        </w:rPr>
        <w:t> </w:t>
      </w:r>
      <w:r>
        <w:rPr>
          <w:color w:val="7E7E7E"/>
          <w:sz w:val="21"/>
        </w:rPr>
        <w:t>and</w:t>
      </w:r>
      <w:r>
        <w:rPr>
          <w:color w:val="7E7E7E"/>
          <w:spacing w:val="-3"/>
          <w:sz w:val="21"/>
        </w:rPr>
        <w:t> </w:t>
      </w:r>
      <w:r>
        <w:rPr>
          <w:color w:val="7E7E7E"/>
          <w:sz w:val="21"/>
        </w:rPr>
        <w:t>veal</w:t>
      </w:r>
      <w:r>
        <w:rPr>
          <w:color w:val="7E7E7E"/>
          <w:spacing w:val="-2"/>
          <w:sz w:val="21"/>
        </w:rPr>
        <w:t> </w:t>
      </w:r>
      <w:r>
        <w:rPr>
          <w:color w:val="7E7E7E"/>
          <w:sz w:val="21"/>
        </w:rPr>
        <w:t>exports</w:t>
      </w:r>
      <w:r>
        <w:rPr>
          <w:color w:val="7E7E7E"/>
          <w:spacing w:val="-6"/>
          <w:sz w:val="21"/>
        </w:rPr>
        <w:t> </w:t>
      </w:r>
      <w:r>
        <w:rPr>
          <w:color w:val="7E7E7E"/>
          <w:sz w:val="21"/>
        </w:rPr>
        <w:t>in</w:t>
      </w:r>
      <w:r>
        <w:rPr>
          <w:color w:val="7E7E7E"/>
          <w:spacing w:val="-3"/>
          <w:sz w:val="21"/>
        </w:rPr>
        <w:t> </w:t>
      </w:r>
      <w:r>
        <w:rPr>
          <w:color w:val="7E7E7E"/>
          <w:sz w:val="21"/>
        </w:rPr>
        <w:t>increasing</w:t>
      </w:r>
      <w:r>
        <w:rPr>
          <w:color w:val="7E7E7E"/>
          <w:spacing w:val="-1"/>
          <w:sz w:val="21"/>
        </w:rPr>
        <w:t> </w:t>
      </w:r>
      <w:r>
        <w:rPr>
          <w:color w:val="7E7E7E"/>
          <w:sz w:val="21"/>
        </w:rPr>
        <w:t>order of emissions intensity, followed by Rest of world. </w:t>
      </w:r>
      <w:r>
        <w:rPr>
          <w:sz w:val="21"/>
        </w:rPr>
        <w:t>Source:</w:t>
      </w:r>
      <w:r>
        <w:rPr>
          <w:spacing w:val="11"/>
          <w:sz w:val="21"/>
        </w:rPr>
        <w:t> </w:t>
      </w:r>
      <w:r>
        <w:rPr>
          <w:color w:val="7E7E7E"/>
          <w:sz w:val="21"/>
        </w:rPr>
        <w:t>OECD/FAO (2019) </w:t>
      </w:r>
      <w:r>
        <w:rPr>
          <w:i/>
          <w:color w:val="7E7E7E"/>
          <w:sz w:val="21"/>
        </w:rPr>
        <w:t>Agricultural Outlook 2019–2028</w:t>
      </w:r>
    </w:p>
    <w:p>
      <w:pPr>
        <w:spacing w:line="191" w:lineRule="exact" w:before="171"/>
        <w:ind w:left="501" w:right="0" w:firstLine="0"/>
        <w:jc w:val="left"/>
        <w:rPr>
          <w:sz w:val="20"/>
        </w:rPr>
      </w:pPr>
      <w:r>
        <w:rPr>
          <w:sz w:val="20"/>
        </w:rPr>
        <w:t>Greenville, J 2020, </w:t>
      </w:r>
      <w:hyperlink r:id="rId31">
        <w:r>
          <w:rPr>
            <w:color w:val="006FC0"/>
            <w:sz w:val="20"/>
            <w:u w:val="single" w:color="006FC0"/>
          </w:rPr>
          <w:t>Analysis of government support for Australian agricultural producers</w:t>
        </w:r>
      </w:hyperlink>
      <w:r>
        <w:rPr>
          <w:sz w:val="20"/>
        </w:rPr>
        <w:t>, ABARES, Canberra.</w:t>
      </w:r>
    </w:p>
    <w:p>
      <w:pPr>
        <w:spacing w:line="283" w:lineRule="exact" w:before="0"/>
        <w:ind w:left="404" w:right="0" w:firstLine="0"/>
        <w:jc w:val="left"/>
        <w:rPr>
          <w:b/>
          <w:i/>
          <w:sz w:val="28"/>
        </w:rPr>
      </w:pPr>
      <w:r>
        <w:rPr/>
        <w:br w:type="column"/>
      </w:r>
      <w:r>
        <w:rPr>
          <w:b/>
          <w:i/>
          <w:color w:val="A7082D"/>
          <w:sz w:val="28"/>
        </w:rPr>
        <w:t>Australia’s beef emissions intensity appears lower than most major exporters,</w:t>
      </w:r>
    </w:p>
    <w:p>
      <w:pPr>
        <w:spacing w:line="339" w:lineRule="exact" w:before="0"/>
        <w:ind w:left="404" w:right="0" w:firstLine="0"/>
        <w:jc w:val="left"/>
        <w:rPr>
          <w:b/>
          <w:i/>
          <w:sz w:val="28"/>
        </w:rPr>
      </w:pPr>
      <w:r>
        <w:rPr/>
        <w:drawing>
          <wp:anchor distT="0" distB="0" distL="0" distR="0" allowOverlap="1" layoutInCell="1" locked="0" behindDoc="1" simplePos="0" relativeHeight="250859520">
            <wp:simplePos x="0" y="0"/>
            <wp:positionH relativeFrom="page">
              <wp:posOffset>7572756</wp:posOffset>
            </wp:positionH>
            <wp:positionV relativeFrom="paragraph">
              <wp:posOffset>170753</wp:posOffset>
            </wp:positionV>
            <wp:extent cx="3326892" cy="3105912"/>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40" cstate="print"/>
                    <a:stretch>
                      <a:fillRect/>
                    </a:stretch>
                  </pic:blipFill>
                  <pic:spPr>
                    <a:xfrm>
                      <a:off x="0" y="0"/>
                      <a:ext cx="3326892" cy="3105912"/>
                    </a:xfrm>
                    <a:prstGeom prst="rect">
                      <a:avLst/>
                    </a:prstGeom>
                  </pic:spPr>
                </pic:pic>
              </a:graphicData>
            </a:graphic>
          </wp:anchor>
        </w:drawing>
      </w:r>
      <w:r>
        <w:rPr/>
        <w:drawing>
          <wp:anchor distT="0" distB="0" distL="0" distR="0" allowOverlap="1" layoutInCell="1" locked="0" behindDoc="0" simplePos="0" relativeHeight="251703296">
            <wp:simplePos x="0" y="0"/>
            <wp:positionH relativeFrom="page">
              <wp:posOffset>13643029</wp:posOffset>
            </wp:positionH>
            <wp:positionV relativeFrom="paragraph">
              <wp:posOffset>495556</wp:posOffset>
            </wp:positionV>
            <wp:extent cx="1060961" cy="512063"/>
            <wp:effectExtent l="0" t="0" r="0" b="0"/>
            <wp:wrapNone/>
            <wp:docPr id="45" name="image25.jpeg"/>
            <wp:cNvGraphicFramePr>
              <a:graphicFrameLocks noChangeAspect="1"/>
            </wp:cNvGraphicFramePr>
            <a:graphic>
              <a:graphicData uri="http://schemas.openxmlformats.org/drawingml/2006/picture">
                <pic:pic>
                  <pic:nvPicPr>
                    <pic:cNvPr id="46" name="image25.jpeg"/>
                    <pic:cNvPicPr/>
                  </pic:nvPicPr>
                  <pic:blipFill>
                    <a:blip r:embed="rId41" cstate="print"/>
                    <a:stretch>
                      <a:fillRect/>
                    </a:stretch>
                  </pic:blipFill>
                  <pic:spPr>
                    <a:xfrm>
                      <a:off x="0" y="0"/>
                      <a:ext cx="1060961" cy="512063"/>
                    </a:xfrm>
                    <a:prstGeom prst="rect">
                      <a:avLst/>
                    </a:prstGeom>
                  </pic:spPr>
                </pic:pic>
              </a:graphicData>
            </a:graphic>
          </wp:anchor>
        </w:drawing>
      </w:r>
      <w:r>
        <w:rPr/>
        <w:drawing>
          <wp:anchor distT="0" distB="0" distL="0" distR="0" allowOverlap="1" layoutInCell="1" locked="0" behindDoc="0" simplePos="0" relativeHeight="251704320">
            <wp:simplePos x="0" y="0"/>
            <wp:positionH relativeFrom="page">
              <wp:posOffset>13614846</wp:posOffset>
            </wp:positionH>
            <wp:positionV relativeFrom="paragraph">
              <wp:posOffset>1162309</wp:posOffset>
            </wp:positionV>
            <wp:extent cx="661301" cy="536543"/>
            <wp:effectExtent l="0" t="0" r="0" b="0"/>
            <wp:wrapNone/>
            <wp:docPr id="47" name="image26.jpeg"/>
            <wp:cNvGraphicFramePr>
              <a:graphicFrameLocks noChangeAspect="1"/>
            </wp:cNvGraphicFramePr>
            <a:graphic>
              <a:graphicData uri="http://schemas.openxmlformats.org/drawingml/2006/picture">
                <pic:pic>
                  <pic:nvPicPr>
                    <pic:cNvPr id="48" name="image26.jpeg"/>
                    <pic:cNvPicPr/>
                  </pic:nvPicPr>
                  <pic:blipFill>
                    <a:blip r:embed="rId42" cstate="print"/>
                    <a:stretch>
                      <a:fillRect/>
                    </a:stretch>
                  </pic:blipFill>
                  <pic:spPr>
                    <a:xfrm>
                      <a:off x="0" y="0"/>
                      <a:ext cx="661301" cy="536543"/>
                    </a:xfrm>
                    <a:prstGeom prst="rect">
                      <a:avLst/>
                    </a:prstGeom>
                  </pic:spPr>
                </pic:pic>
              </a:graphicData>
            </a:graphic>
          </wp:anchor>
        </w:drawing>
      </w:r>
      <w:r>
        <w:rPr/>
        <w:drawing>
          <wp:anchor distT="0" distB="0" distL="0" distR="0" allowOverlap="1" layoutInCell="1" locked="0" behindDoc="0" simplePos="0" relativeHeight="251707392">
            <wp:simplePos x="0" y="0"/>
            <wp:positionH relativeFrom="page">
              <wp:posOffset>11169130</wp:posOffset>
            </wp:positionH>
            <wp:positionV relativeFrom="paragraph">
              <wp:posOffset>499429</wp:posOffset>
            </wp:positionV>
            <wp:extent cx="2270376" cy="2320861"/>
            <wp:effectExtent l="0" t="0" r="0" b="0"/>
            <wp:wrapNone/>
            <wp:docPr id="49" name="image27.jpeg"/>
            <wp:cNvGraphicFramePr>
              <a:graphicFrameLocks noChangeAspect="1"/>
            </wp:cNvGraphicFramePr>
            <a:graphic>
              <a:graphicData uri="http://schemas.openxmlformats.org/drawingml/2006/picture">
                <pic:pic>
                  <pic:nvPicPr>
                    <pic:cNvPr id="50" name="image27.jpeg"/>
                    <pic:cNvPicPr/>
                  </pic:nvPicPr>
                  <pic:blipFill>
                    <a:blip r:embed="rId43" cstate="print"/>
                    <a:stretch>
                      <a:fillRect/>
                    </a:stretch>
                  </pic:blipFill>
                  <pic:spPr>
                    <a:xfrm>
                      <a:off x="0" y="0"/>
                      <a:ext cx="2270376" cy="2320861"/>
                    </a:xfrm>
                    <a:prstGeom prst="rect">
                      <a:avLst/>
                    </a:prstGeom>
                  </pic:spPr>
                </pic:pic>
              </a:graphicData>
            </a:graphic>
          </wp:anchor>
        </w:drawing>
      </w:r>
      <w:r>
        <w:rPr>
          <w:b/>
          <w:i/>
          <w:color w:val="A7082D"/>
          <w:sz w:val="28"/>
        </w:rPr>
        <w:t>but higher than major importers</w:t>
      </w: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spacing w:before="3"/>
        <w:rPr>
          <w:b/>
          <w:i/>
          <w:sz w:val="25"/>
        </w:rPr>
      </w:pPr>
    </w:p>
    <w:p>
      <w:pPr>
        <w:spacing w:before="1"/>
        <w:ind w:left="5593" w:right="0" w:firstLine="0"/>
        <w:jc w:val="left"/>
        <w:rPr>
          <w:sz w:val="24"/>
        </w:rPr>
      </w:pPr>
      <w:r>
        <w:rPr/>
        <w:drawing>
          <wp:anchor distT="0" distB="0" distL="0" distR="0" allowOverlap="1" layoutInCell="1" locked="0" behindDoc="0" simplePos="0" relativeHeight="251705344">
            <wp:simplePos x="0" y="0"/>
            <wp:positionH relativeFrom="page">
              <wp:posOffset>13603930</wp:posOffset>
            </wp:positionH>
            <wp:positionV relativeFrom="paragraph">
              <wp:posOffset>-1164436</wp:posOffset>
            </wp:positionV>
            <wp:extent cx="660521" cy="569976"/>
            <wp:effectExtent l="0" t="0" r="0" b="0"/>
            <wp:wrapNone/>
            <wp:docPr id="51" name="image28.jpeg"/>
            <wp:cNvGraphicFramePr>
              <a:graphicFrameLocks noChangeAspect="1"/>
            </wp:cNvGraphicFramePr>
            <a:graphic>
              <a:graphicData uri="http://schemas.openxmlformats.org/drawingml/2006/picture">
                <pic:pic>
                  <pic:nvPicPr>
                    <pic:cNvPr id="52" name="image28.jpeg"/>
                    <pic:cNvPicPr/>
                  </pic:nvPicPr>
                  <pic:blipFill>
                    <a:blip r:embed="rId44" cstate="print"/>
                    <a:stretch>
                      <a:fillRect/>
                    </a:stretch>
                  </pic:blipFill>
                  <pic:spPr>
                    <a:xfrm>
                      <a:off x="0" y="0"/>
                      <a:ext cx="660521" cy="569976"/>
                    </a:xfrm>
                    <a:prstGeom prst="rect">
                      <a:avLst/>
                    </a:prstGeom>
                  </pic:spPr>
                </pic:pic>
              </a:graphicData>
            </a:graphic>
          </wp:anchor>
        </w:drawing>
      </w:r>
      <w:r>
        <w:rPr/>
        <w:drawing>
          <wp:anchor distT="0" distB="0" distL="0" distR="0" allowOverlap="1" layoutInCell="1" locked="0" behindDoc="0" simplePos="0" relativeHeight="251706368">
            <wp:simplePos x="0" y="0"/>
            <wp:positionH relativeFrom="page">
              <wp:posOffset>13621584</wp:posOffset>
            </wp:positionH>
            <wp:positionV relativeFrom="paragraph">
              <wp:posOffset>-435155</wp:posOffset>
            </wp:positionV>
            <wp:extent cx="895077" cy="323850"/>
            <wp:effectExtent l="0" t="0" r="0" b="0"/>
            <wp:wrapNone/>
            <wp:docPr id="53" name="image29.jpeg"/>
            <wp:cNvGraphicFramePr>
              <a:graphicFrameLocks noChangeAspect="1"/>
            </wp:cNvGraphicFramePr>
            <a:graphic>
              <a:graphicData uri="http://schemas.openxmlformats.org/drawingml/2006/picture">
                <pic:pic>
                  <pic:nvPicPr>
                    <pic:cNvPr id="54" name="image29.jpeg"/>
                    <pic:cNvPicPr/>
                  </pic:nvPicPr>
                  <pic:blipFill>
                    <a:blip r:embed="rId45" cstate="print"/>
                    <a:stretch>
                      <a:fillRect/>
                    </a:stretch>
                  </pic:blipFill>
                  <pic:spPr>
                    <a:xfrm>
                      <a:off x="0" y="0"/>
                      <a:ext cx="895077" cy="323850"/>
                    </a:xfrm>
                    <a:prstGeom prst="rect">
                      <a:avLst/>
                    </a:prstGeom>
                  </pic:spPr>
                </pic:pic>
              </a:graphicData>
            </a:graphic>
          </wp:anchor>
        </w:drawing>
      </w:r>
      <w:r>
        <w:rPr/>
        <w:drawing>
          <wp:anchor distT="0" distB="0" distL="0" distR="0" allowOverlap="1" layoutInCell="1" locked="0" behindDoc="0" simplePos="0" relativeHeight="251708416">
            <wp:simplePos x="0" y="0"/>
            <wp:positionH relativeFrom="page">
              <wp:posOffset>7466076</wp:posOffset>
            </wp:positionH>
            <wp:positionV relativeFrom="paragraph">
              <wp:posOffset>735275</wp:posOffset>
            </wp:positionV>
            <wp:extent cx="3916679" cy="2570966"/>
            <wp:effectExtent l="0" t="0" r="0" b="0"/>
            <wp:wrapNone/>
            <wp:docPr id="55" name="image30.png"/>
            <wp:cNvGraphicFramePr>
              <a:graphicFrameLocks noChangeAspect="1"/>
            </wp:cNvGraphicFramePr>
            <a:graphic>
              <a:graphicData uri="http://schemas.openxmlformats.org/drawingml/2006/picture">
                <pic:pic>
                  <pic:nvPicPr>
                    <pic:cNvPr id="56" name="image30.png"/>
                    <pic:cNvPicPr/>
                  </pic:nvPicPr>
                  <pic:blipFill>
                    <a:blip r:embed="rId46" cstate="print"/>
                    <a:stretch>
                      <a:fillRect/>
                    </a:stretch>
                  </pic:blipFill>
                  <pic:spPr>
                    <a:xfrm>
                      <a:off x="0" y="0"/>
                      <a:ext cx="3916679" cy="2570966"/>
                    </a:xfrm>
                    <a:prstGeom prst="rect">
                      <a:avLst/>
                    </a:prstGeom>
                  </pic:spPr>
                </pic:pic>
              </a:graphicData>
            </a:graphic>
          </wp:anchor>
        </w:drawing>
      </w:r>
      <w:r>
        <w:rPr>
          <w:color w:val="585858"/>
          <w:sz w:val="24"/>
        </w:rPr>
        <w:t>* Country or region is both a major importer and a major exporter</w:t>
      </w:r>
    </w:p>
    <w:p>
      <w:pPr>
        <w:pStyle w:val="BodyText"/>
        <w:spacing w:before="1"/>
        <w:rPr>
          <w:sz w:val="13"/>
        </w:rPr>
      </w:pPr>
      <w:r>
        <w:rPr/>
        <w:pict>
          <v:shape style="position:absolute;margin-left:587.880005pt;margin-top:10.194894pt;width:579.15pt;height:.1pt;mso-position-horizontal-relative:page;mso-position-vertical-relative:paragraph;z-index:-251617280;mso-wrap-distance-left:0;mso-wrap-distance-right:0" coordorigin="11758,204" coordsize="11583,0" path="m11758,204l23340,204e" filled="false" stroked="true" strokeweight=".5pt" strokecolor="#c00000">
            <v:path arrowok="t"/>
            <v:stroke dashstyle="solid"/>
            <w10:wrap type="topAndBottom"/>
          </v:shape>
        </w:pict>
      </w:r>
    </w:p>
    <w:p>
      <w:pPr>
        <w:spacing w:before="205"/>
        <w:ind w:left="404" w:right="0" w:firstLine="0"/>
        <w:jc w:val="left"/>
        <w:rPr>
          <w:b/>
          <w:i/>
          <w:sz w:val="28"/>
        </w:rPr>
      </w:pPr>
      <w:r>
        <w:rPr>
          <w:b/>
          <w:i/>
          <w:color w:val="A7082D"/>
          <w:sz w:val="28"/>
        </w:rPr>
        <w:t>Agriculture’s share of emissions likely to rise as other sectors cut emissions more cost-effectively</w:t>
      </w:r>
    </w:p>
    <w:p>
      <w:pPr>
        <w:pStyle w:val="BodyText"/>
        <w:rPr>
          <w:b/>
          <w:i/>
          <w:sz w:val="28"/>
        </w:rPr>
      </w:pPr>
    </w:p>
    <w:p>
      <w:pPr>
        <w:pStyle w:val="BodyText"/>
        <w:rPr>
          <w:b/>
          <w:i/>
          <w:sz w:val="28"/>
        </w:rPr>
      </w:pPr>
    </w:p>
    <w:p>
      <w:pPr>
        <w:pStyle w:val="BodyText"/>
        <w:rPr>
          <w:b/>
          <w:i/>
          <w:sz w:val="28"/>
        </w:rPr>
      </w:pPr>
    </w:p>
    <w:p>
      <w:pPr>
        <w:pStyle w:val="BodyText"/>
        <w:rPr>
          <w:b/>
          <w:i/>
          <w:sz w:val="34"/>
        </w:rPr>
      </w:pPr>
    </w:p>
    <w:p>
      <w:pPr>
        <w:spacing w:line="235" w:lineRule="auto" w:before="0"/>
        <w:ind w:left="8518" w:right="316" w:firstLine="0"/>
        <w:jc w:val="left"/>
        <w:rPr>
          <w:sz w:val="20"/>
        </w:rPr>
      </w:pPr>
      <w:r>
        <w:rPr/>
        <w:drawing>
          <wp:anchor distT="0" distB="0" distL="0" distR="0" allowOverlap="1" layoutInCell="1" locked="0" behindDoc="0" simplePos="0" relativeHeight="251709440">
            <wp:simplePos x="0" y="0"/>
            <wp:positionH relativeFrom="page">
              <wp:posOffset>11601039</wp:posOffset>
            </wp:positionH>
            <wp:positionV relativeFrom="paragraph">
              <wp:posOffset>-314565</wp:posOffset>
            </wp:positionV>
            <wp:extent cx="827180" cy="1097280"/>
            <wp:effectExtent l="0" t="0" r="0" b="0"/>
            <wp:wrapNone/>
            <wp:docPr id="57" name="image31.png"/>
            <wp:cNvGraphicFramePr>
              <a:graphicFrameLocks noChangeAspect="1"/>
            </wp:cNvGraphicFramePr>
            <a:graphic>
              <a:graphicData uri="http://schemas.openxmlformats.org/drawingml/2006/picture">
                <pic:pic>
                  <pic:nvPicPr>
                    <pic:cNvPr id="58" name="image31.png"/>
                    <pic:cNvPicPr/>
                  </pic:nvPicPr>
                  <pic:blipFill>
                    <a:blip r:embed="rId47" cstate="print"/>
                    <a:stretch>
                      <a:fillRect/>
                    </a:stretch>
                  </pic:blipFill>
                  <pic:spPr>
                    <a:xfrm>
                      <a:off x="0" y="0"/>
                      <a:ext cx="827180" cy="1097280"/>
                    </a:xfrm>
                    <a:prstGeom prst="rect">
                      <a:avLst/>
                    </a:prstGeom>
                  </pic:spPr>
                </pic:pic>
              </a:graphicData>
            </a:graphic>
          </wp:anchor>
        </w:drawing>
      </w:r>
      <w:r>
        <w:rPr>
          <w:sz w:val="20"/>
        </w:rPr>
        <w:t>Notes: </w:t>
      </w:r>
      <w:r>
        <w:rPr>
          <w:color w:val="7E7E7E"/>
          <w:sz w:val="20"/>
        </w:rPr>
        <w:t>Chart presents modelling results for an illustrative scenario. Agricultural output value and gross emissions are projected to rise, despite reduced emissions intensity and some shift of land into carbon offsets. Carbon forestry projected to offset all gross national emissions in 2050.</w:t>
      </w:r>
    </w:p>
    <w:p>
      <w:pPr>
        <w:spacing w:line="235" w:lineRule="auto" w:before="6"/>
        <w:ind w:left="8518" w:right="259" w:firstLine="0"/>
        <w:jc w:val="left"/>
        <w:rPr>
          <w:i/>
          <w:sz w:val="20"/>
        </w:rPr>
      </w:pPr>
      <w:r>
        <w:rPr>
          <w:sz w:val="20"/>
        </w:rPr>
        <w:t>Source: </w:t>
      </w:r>
      <w:r>
        <w:rPr>
          <w:color w:val="7E7E7E"/>
          <w:sz w:val="20"/>
        </w:rPr>
        <w:t>Data from ClimateWorks Australia (2014); </w:t>
      </w:r>
      <w:r>
        <w:rPr>
          <w:i/>
          <w:color w:val="7E7E7E"/>
          <w:sz w:val="20"/>
        </w:rPr>
        <w:t>Pathways to Deep Decarbonisation</w:t>
      </w:r>
    </w:p>
    <w:p>
      <w:pPr>
        <w:spacing w:after="0" w:line="235" w:lineRule="auto"/>
        <w:jc w:val="left"/>
        <w:rPr>
          <w:sz w:val="20"/>
        </w:rPr>
        <w:sectPr>
          <w:type w:val="continuous"/>
          <w:pgSz w:w="23820" w:h="16840" w:orient="landscape"/>
          <w:pgMar w:top="1440" w:bottom="280" w:left="220" w:right="140"/>
          <w:cols w:num="2" w:equalWidth="0">
            <w:col w:w="11159" w:space="40"/>
            <w:col w:w="12261"/>
          </w:cols>
        </w:sectPr>
      </w:pPr>
    </w:p>
    <w:p>
      <w:pPr>
        <w:spacing w:before="49"/>
        <w:ind w:left="501" w:right="0" w:firstLine="0"/>
        <w:jc w:val="left"/>
        <w:rPr>
          <w:sz w:val="20"/>
        </w:rPr>
      </w:pPr>
      <w:r>
        <w:rPr>
          <w:sz w:val="20"/>
        </w:rPr>
        <w:t>OECD/FAO, 2019, </w:t>
      </w:r>
      <w:hyperlink r:id="rId48">
        <w:r>
          <w:rPr>
            <w:color w:val="006FC0"/>
            <w:sz w:val="20"/>
            <w:u w:val="single" w:color="006FC0"/>
          </w:rPr>
          <w:t>OECD-FAO Agricultural Outlook 2019-2028</w:t>
        </w:r>
      </w:hyperlink>
      <w:r>
        <w:rPr>
          <w:sz w:val="20"/>
        </w:rPr>
        <w:t>, OECD Publishing, Paris.</w:t>
      </w:r>
    </w:p>
    <w:p>
      <w:pPr>
        <w:tabs>
          <w:tab w:pos="4133" w:val="right" w:leader="none"/>
        </w:tabs>
        <w:spacing w:line="329" w:lineRule="exact" w:before="0"/>
        <w:ind w:left="501" w:right="0" w:firstLine="0"/>
        <w:jc w:val="left"/>
        <w:rPr>
          <w:sz w:val="32"/>
        </w:rPr>
      </w:pPr>
      <w:r>
        <w:rPr/>
        <w:br w:type="column"/>
      </w:r>
      <w:r>
        <w:rPr>
          <w:i/>
          <w:color w:val="7E7E7E"/>
          <w:sz w:val="20"/>
        </w:rPr>
        <w:t>in</w:t>
      </w:r>
      <w:r>
        <w:rPr>
          <w:i/>
          <w:color w:val="7E7E7E"/>
          <w:spacing w:val="-3"/>
          <w:sz w:val="20"/>
        </w:rPr>
        <w:t> </w:t>
      </w:r>
      <w:r>
        <w:rPr>
          <w:i/>
          <w:color w:val="7E7E7E"/>
          <w:sz w:val="20"/>
        </w:rPr>
        <w:t>2050</w:t>
        <w:tab/>
      </w:r>
      <w:r>
        <w:rPr>
          <w:position w:val="-7"/>
          <w:sz w:val="32"/>
        </w:rPr>
        <w:t>8</w:t>
      </w:r>
    </w:p>
    <w:p>
      <w:pPr>
        <w:spacing w:after="0" w:line="329" w:lineRule="exact"/>
        <w:jc w:val="left"/>
        <w:rPr>
          <w:sz w:val="32"/>
        </w:rPr>
        <w:sectPr>
          <w:type w:val="continuous"/>
          <w:pgSz w:w="23820" w:h="16840" w:orient="landscape"/>
          <w:pgMar w:top="1440" w:bottom="280" w:left="220" w:right="140"/>
          <w:cols w:num="2" w:equalWidth="0">
            <w:col w:w="17746" w:space="1469"/>
            <w:col w:w="4245"/>
          </w:cols>
        </w:sectPr>
      </w:pPr>
    </w:p>
    <w:p>
      <w:pPr>
        <w:pStyle w:val="Heading1"/>
        <w:spacing w:line="736" w:lineRule="exact" w:before="347"/>
      </w:pPr>
      <w:r>
        <w:rPr/>
        <w:drawing>
          <wp:anchor distT="0" distB="0" distL="0" distR="0" allowOverlap="1" layoutInCell="1" locked="0" behindDoc="0" simplePos="0" relativeHeight="251713536">
            <wp:simplePos x="0" y="0"/>
            <wp:positionH relativeFrom="page">
              <wp:posOffset>208788</wp:posOffset>
            </wp:positionH>
            <wp:positionV relativeFrom="paragraph">
              <wp:posOffset>-962</wp:posOffset>
            </wp:positionV>
            <wp:extent cx="2966699" cy="1030039"/>
            <wp:effectExtent l="0" t="0" r="0" b="0"/>
            <wp:wrapNone/>
            <wp:docPr id="59" name="image4.jpeg"/>
            <wp:cNvGraphicFramePr>
              <a:graphicFrameLocks noChangeAspect="1"/>
            </wp:cNvGraphicFramePr>
            <a:graphic>
              <a:graphicData uri="http://schemas.openxmlformats.org/drawingml/2006/picture">
                <pic:pic>
                  <pic:nvPicPr>
                    <pic:cNvPr id="60" name="image4.jpeg"/>
                    <pic:cNvPicPr/>
                  </pic:nvPicPr>
                  <pic:blipFill>
                    <a:blip r:embed="rId10" cstate="print"/>
                    <a:stretch>
                      <a:fillRect/>
                    </a:stretch>
                  </pic:blipFill>
                  <pic:spPr>
                    <a:xfrm>
                      <a:off x="0" y="0"/>
                      <a:ext cx="2966699" cy="1030039"/>
                    </a:xfrm>
                    <a:prstGeom prst="rect">
                      <a:avLst/>
                    </a:prstGeom>
                  </pic:spPr>
                </pic:pic>
              </a:graphicData>
            </a:graphic>
          </wp:anchor>
        </w:drawing>
      </w:r>
      <w:r>
        <w:rPr>
          <w:color w:val="A7082D"/>
        </w:rPr>
        <w:t>Shared challenge:</w:t>
      </w:r>
    </w:p>
    <w:p>
      <w:pPr>
        <w:spacing w:line="699" w:lineRule="exact" w:before="0"/>
        <w:ind w:left="6272" w:right="0" w:firstLine="0"/>
        <w:jc w:val="left"/>
        <w:rPr>
          <w:b/>
          <w:sz w:val="64"/>
        </w:rPr>
      </w:pPr>
      <w:r>
        <w:rPr>
          <w:b/>
          <w:color w:val="A7082D"/>
          <w:sz w:val="64"/>
        </w:rPr>
        <w:t>Achieving consistent outcomes from different approaches</w:t>
      </w:r>
    </w:p>
    <w:p>
      <w:pPr>
        <w:pStyle w:val="Heading3"/>
        <w:rPr>
          <w:i/>
        </w:rPr>
      </w:pPr>
      <w:r>
        <w:rPr>
          <w:i/>
          <w:color w:val="A7082D"/>
        </w:rPr>
        <w:t>Achieving more by working together</w:t>
      </w:r>
    </w:p>
    <w:p>
      <w:pPr>
        <w:pStyle w:val="BodyText"/>
        <w:rPr>
          <w:i/>
          <w:sz w:val="25"/>
        </w:rPr>
      </w:pPr>
      <w:r>
        <w:rPr/>
        <w:pict>
          <v:shape style="position:absolute;margin-left:28.92pt;margin-top:17.618858pt;width:536.550pt;height:321.75pt;mso-position-horizontal-relative:page;mso-position-vertical-relative:paragraph;z-index:-251604992;mso-wrap-distance-left:0;mso-wrap-distance-right:0" type="#_x0000_t202" filled="false" stroked="true" strokeweight=".75pt" strokecolor="#000000">
            <v:textbox inset="0,0,0,0">
              <w:txbxContent>
                <w:p>
                  <w:pPr>
                    <w:pStyle w:val="BodyText"/>
                    <w:numPr>
                      <w:ilvl w:val="0"/>
                      <w:numId w:val="7"/>
                    </w:numPr>
                    <w:tabs>
                      <w:tab w:pos="587" w:val="left" w:leader="none"/>
                      <w:tab w:pos="588" w:val="left" w:leader="none"/>
                    </w:tabs>
                    <w:spacing w:line="235" w:lineRule="auto" w:before="66" w:after="0"/>
                    <w:ind w:left="587" w:right="857" w:hanging="452"/>
                    <w:jc w:val="left"/>
                  </w:pPr>
                  <w:r>
                    <w:rPr>
                      <w:spacing w:val="-6"/>
                    </w:rPr>
                    <w:t>Trade </w:t>
                  </w:r>
                  <w:r>
                    <w:rPr/>
                    <w:t>rules should encourage innovation across </w:t>
                  </w:r>
                  <w:r>
                    <w:rPr>
                      <w:spacing w:val="-3"/>
                    </w:rPr>
                    <w:t>different </w:t>
                  </w:r>
                  <w:r>
                    <w:rPr/>
                    <w:t>approaches</w:t>
                  </w:r>
                  <w:r>
                    <w:rPr>
                      <w:spacing w:val="-52"/>
                    </w:rPr>
                    <w:t> </w:t>
                  </w:r>
                  <w:r>
                    <w:rPr/>
                    <w:t>to meeting the sustainability challenge and avoid a prescription of one approach over the</w:t>
                  </w:r>
                  <w:r>
                    <w:rPr>
                      <w:spacing w:val="4"/>
                    </w:rPr>
                    <w:t> </w:t>
                  </w:r>
                  <w:r>
                    <w:rPr>
                      <w:spacing w:val="-6"/>
                    </w:rPr>
                    <w:t>other.</w:t>
                  </w:r>
                </w:p>
                <w:p>
                  <w:pPr>
                    <w:pStyle w:val="BodyText"/>
                    <w:numPr>
                      <w:ilvl w:val="0"/>
                      <w:numId w:val="7"/>
                    </w:numPr>
                    <w:tabs>
                      <w:tab w:pos="587" w:val="left" w:leader="none"/>
                      <w:tab w:pos="588" w:val="left" w:leader="none"/>
                    </w:tabs>
                    <w:spacing w:line="235" w:lineRule="auto" w:before="123" w:after="0"/>
                    <w:ind w:left="587" w:right="370" w:hanging="452"/>
                    <w:jc w:val="left"/>
                  </w:pPr>
                  <w:r>
                    <w:rPr/>
                    <w:t>Rules on land use and policies that promote </w:t>
                  </w:r>
                  <w:r>
                    <w:rPr>
                      <w:spacing w:val="-3"/>
                    </w:rPr>
                    <w:t>farmers </w:t>
                  </w:r>
                  <w:r>
                    <w:rPr/>
                    <w:t>to work with the environment,</w:t>
                  </w:r>
                  <w:r>
                    <w:rPr>
                      <w:spacing w:val="-6"/>
                    </w:rPr>
                    <w:t> </w:t>
                  </w:r>
                  <w:r>
                    <w:rPr/>
                    <w:t>not</w:t>
                  </w:r>
                  <w:r>
                    <w:rPr>
                      <w:spacing w:val="-6"/>
                    </w:rPr>
                    <w:t> </w:t>
                  </w:r>
                  <w:r>
                    <w:rPr/>
                    <w:t>against</w:t>
                  </w:r>
                  <w:r>
                    <w:rPr>
                      <w:spacing w:val="-15"/>
                    </w:rPr>
                    <w:t> </w:t>
                  </w:r>
                  <w:r>
                    <w:rPr/>
                    <w:t>it,</w:t>
                  </w:r>
                  <w:r>
                    <w:rPr>
                      <w:spacing w:val="-8"/>
                    </w:rPr>
                    <w:t> </w:t>
                  </w:r>
                  <w:r>
                    <w:rPr/>
                    <w:t>can</w:t>
                  </w:r>
                  <w:r>
                    <w:rPr>
                      <w:spacing w:val="-8"/>
                    </w:rPr>
                    <w:t> </w:t>
                  </w:r>
                  <w:r>
                    <w:rPr/>
                    <w:t>deliver</w:t>
                  </w:r>
                  <w:r>
                    <w:rPr>
                      <w:spacing w:val="-10"/>
                    </w:rPr>
                    <w:t> </w:t>
                  </w:r>
                  <w:r>
                    <w:rPr/>
                    <w:t>as</w:t>
                  </w:r>
                  <w:r>
                    <w:rPr>
                      <w:spacing w:val="-9"/>
                    </w:rPr>
                    <w:t> </w:t>
                  </w:r>
                  <w:r>
                    <w:rPr/>
                    <w:t>good</w:t>
                  </w:r>
                  <w:r>
                    <w:rPr>
                      <w:spacing w:val="-7"/>
                    </w:rPr>
                    <w:t> </w:t>
                  </w:r>
                  <w:r>
                    <w:rPr/>
                    <w:t>(if</w:t>
                  </w:r>
                  <w:r>
                    <w:rPr>
                      <w:spacing w:val="-8"/>
                    </w:rPr>
                    <w:t> </w:t>
                  </w:r>
                  <w:r>
                    <w:rPr/>
                    <w:t>not</w:t>
                  </w:r>
                  <w:r>
                    <w:rPr>
                      <w:spacing w:val="-6"/>
                    </w:rPr>
                    <w:t> </w:t>
                  </w:r>
                  <w:r>
                    <w:rPr/>
                    <w:t>better)</w:t>
                  </w:r>
                  <w:r>
                    <w:rPr>
                      <w:spacing w:val="-6"/>
                    </w:rPr>
                    <w:t> </w:t>
                  </w:r>
                  <w:r>
                    <w:rPr/>
                    <w:t>sustainability outcomes compared to direct intervention</w:t>
                  </w:r>
                  <w:r>
                    <w:rPr>
                      <w:spacing w:val="5"/>
                    </w:rPr>
                    <w:t> </w:t>
                  </w:r>
                  <w:r>
                    <w:rPr/>
                    <w:t>models.</w:t>
                  </w:r>
                </w:p>
                <w:p>
                  <w:pPr>
                    <w:pStyle w:val="BodyText"/>
                    <w:numPr>
                      <w:ilvl w:val="0"/>
                      <w:numId w:val="7"/>
                    </w:numPr>
                    <w:tabs>
                      <w:tab w:pos="587" w:val="left" w:leader="none"/>
                      <w:tab w:pos="588" w:val="left" w:leader="none"/>
                    </w:tabs>
                    <w:spacing w:line="235" w:lineRule="auto" w:before="124" w:after="0"/>
                    <w:ind w:left="587" w:right="371" w:hanging="452"/>
                    <w:jc w:val="left"/>
                  </w:pPr>
                  <w:r>
                    <w:rPr>
                      <w:spacing w:val="-6"/>
                    </w:rPr>
                    <w:t>Trade </w:t>
                  </w:r>
                  <w:r>
                    <w:rPr/>
                    <w:t>rules should not get in the </w:t>
                  </w:r>
                  <w:r>
                    <w:rPr>
                      <w:spacing w:val="-3"/>
                    </w:rPr>
                    <w:t>way </w:t>
                  </w:r>
                  <w:r>
                    <w:rPr/>
                    <w:t>of </w:t>
                  </w:r>
                  <w:r>
                    <w:rPr>
                      <w:spacing w:val="-3"/>
                    </w:rPr>
                    <w:t>market </w:t>
                  </w:r>
                  <w:r>
                    <w:rPr/>
                    <w:t>based instruments as a</w:t>
                  </w:r>
                  <w:r>
                    <w:rPr>
                      <w:spacing w:val="-35"/>
                    </w:rPr>
                    <w:t> </w:t>
                  </w:r>
                  <w:r>
                    <w:rPr/>
                    <w:t>tool to help achieve sustainability</w:t>
                  </w:r>
                  <w:r>
                    <w:rPr>
                      <w:spacing w:val="-9"/>
                    </w:rPr>
                    <w:t> </w:t>
                  </w:r>
                  <w:r>
                    <w:rPr/>
                    <w:t>outcomes.</w:t>
                  </w:r>
                </w:p>
                <w:p>
                  <w:pPr>
                    <w:pStyle w:val="BodyText"/>
                    <w:numPr>
                      <w:ilvl w:val="0"/>
                      <w:numId w:val="7"/>
                    </w:numPr>
                    <w:tabs>
                      <w:tab w:pos="587" w:val="left" w:leader="none"/>
                      <w:tab w:pos="588" w:val="left" w:leader="none"/>
                    </w:tabs>
                    <w:spacing w:line="235" w:lineRule="auto" w:before="122" w:after="0"/>
                    <w:ind w:left="587" w:right="533" w:hanging="452"/>
                    <w:jc w:val="left"/>
                  </w:pPr>
                  <w:r>
                    <w:rPr>
                      <w:spacing w:val="-6"/>
                    </w:rPr>
                    <w:t>Trade </w:t>
                  </w:r>
                  <w:r>
                    <w:rPr/>
                    <w:t>can allow production to shift and occur in the most sustainable location.</w:t>
                  </w:r>
                  <w:r>
                    <w:rPr>
                      <w:spacing w:val="-7"/>
                    </w:rPr>
                    <w:t> </w:t>
                  </w:r>
                  <w:r>
                    <w:rPr/>
                    <w:t>This</w:t>
                  </w:r>
                  <w:r>
                    <w:rPr>
                      <w:spacing w:val="-11"/>
                    </w:rPr>
                    <w:t> </w:t>
                  </w:r>
                  <w:r>
                    <w:rPr/>
                    <w:t>will</w:t>
                  </w:r>
                  <w:r>
                    <w:rPr>
                      <w:spacing w:val="-7"/>
                    </w:rPr>
                    <w:t> </w:t>
                  </w:r>
                  <w:r>
                    <w:rPr/>
                    <w:t>help</w:t>
                  </w:r>
                  <w:r>
                    <w:rPr>
                      <w:spacing w:val="-5"/>
                    </w:rPr>
                    <w:t> </w:t>
                  </w:r>
                  <w:r>
                    <w:rPr/>
                    <w:t>deliver</w:t>
                  </w:r>
                  <w:r>
                    <w:rPr>
                      <w:spacing w:val="-5"/>
                    </w:rPr>
                    <w:t> </w:t>
                  </w:r>
                  <w:r>
                    <w:rPr/>
                    <w:t>on</w:t>
                  </w:r>
                  <w:r>
                    <w:rPr>
                      <w:spacing w:val="-6"/>
                    </w:rPr>
                    <w:t> </w:t>
                  </w:r>
                  <w:r>
                    <w:rPr/>
                    <w:t>global</w:t>
                  </w:r>
                  <w:r>
                    <w:rPr>
                      <w:spacing w:val="-7"/>
                    </w:rPr>
                    <w:t> </w:t>
                  </w:r>
                  <w:r>
                    <w:rPr/>
                    <w:t>goals</w:t>
                  </w:r>
                  <w:r>
                    <w:rPr>
                      <w:spacing w:val="-7"/>
                    </w:rPr>
                    <w:t> </w:t>
                  </w:r>
                  <w:r>
                    <w:rPr/>
                    <w:t>of</w:t>
                  </w:r>
                  <w:r>
                    <w:rPr>
                      <w:spacing w:val="-3"/>
                    </w:rPr>
                    <w:t> </w:t>
                  </w:r>
                  <w:r>
                    <w:rPr/>
                    <w:t>emissions</w:t>
                  </w:r>
                  <w:r>
                    <w:rPr>
                      <w:spacing w:val="-6"/>
                    </w:rPr>
                    <w:t> </w:t>
                  </w:r>
                  <w:r>
                    <w:rPr/>
                    <w:t>reduction,</w:t>
                  </w:r>
                  <w:r>
                    <w:rPr>
                      <w:spacing w:val="-3"/>
                    </w:rPr>
                    <w:t> food </w:t>
                  </w:r>
                  <w:r>
                    <w:rPr/>
                    <w:t>security and rural</w:t>
                  </w:r>
                  <w:r>
                    <w:rPr>
                      <w:spacing w:val="-1"/>
                    </w:rPr>
                    <w:t> </w:t>
                  </w:r>
                  <w:r>
                    <w:rPr/>
                    <w:t>growth.</w:t>
                  </w:r>
                </w:p>
                <w:p>
                  <w:pPr>
                    <w:pStyle w:val="BodyText"/>
                    <w:numPr>
                      <w:ilvl w:val="0"/>
                      <w:numId w:val="7"/>
                    </w:numPr>
                    <w:tabs>
                      <w:tab w:pos="587" w:val="left" w:leader="none"/>
                      <w:tab w:pos="588" w:val="left" w:leader="none"/>
                    </w:tabs>
                    <w:spacing w:line="235" w:lineRule="auto" w:before="124" w:after="0"/>
                    <w:ind w:left="587" w:right="1017" w:hanging="452"/>
                    <w:jc w:val="left"/>
                  </w:pPr>
                  <w:r>
                    <w:rPr/>
                    <w:t>Free</w:t>
                  </w:r>
                  <w:r>
                    <w:rPr>
                      <w:spacing w:val="-4"/>
                    </w:rPr>
                    <w:t> </w:t>
                  </w:r>
                  <w:r>
                    <w:rPr/>
                    <w:t>trade</w:t>
                  </w:r>
                  <w:r>
                    <w:rPr>
                      <w:spacing w:val="-7"/>
                    </w:rPr>
                    <w:t> </w:t>
                  </w:r>
                  <w:r>
                    <w:rPr/>
                    <w:t>where</w:t>
                  </w:r>
                  <w:r>
                    <w:rPr>
                      <w:spacing w:val="-1"/>
                    </w:rPr>
                    <w:t> </w:t>
                  </w:r>
                  <w:r>
                    <w:rPr/>
                    <w:t>countries</w:t>
                  </w:r>
                  <w:r>
                    <w:rPr>
                      <w:spacing w:val="-7"/>
                    </w:rPr>
                    <w:t> </w:t>
                  </w:r>
                  <w:r>
                    <w:rPr/>
                    <w:t>are</w:t>
                  </w:r>
                  <w:r>
                    <w:rPr>
                      <w:spacing w:val="-7"/>
                    </w:rPr>
                    <w:t> </w:t>
                  </w:r>
                  <w:r>
                    <w:rPr/>
                    <w:t>acting</w:t>
                  </w:r>
                  <w:r>
                    <w:rPr>
                      <w:spacing w:val="-9"/>
                    </w:rPr>
                    <w:t> </w:t>
                  </w:r>
                  <w:r>
                    <w:rPr/>
                    <w:t>on</w:t>
                  </w:r>
                  <w:r>
                    <w:rPr>
                      <w:spacing w:val="-9"/>
                    </w:rPr>
                    <w:t> </w:t>
                  </w:r>
                  <w:r>
                    <w:rPr/>
                    <w:t>these</w:t>
                  </w:r>
                  <w:r>
                    <w:rPr>
                      <w:spacing w:val="-5"/>
                    </w:rPr>
                    <w:t> </w:t>
                  </w:r>
                  <w:r>
                    <w:rPr/>
                    <w:t>issues</w:t>
                  </w:r>
                  <w:r>
                    <w:rPr>
                      <w:spacing w:val="-9"/>
                    </w:rPr>
                    <w:t> </w:t>
                  </w:r>
                  <w:r>
                    <w:rPr/>
                    <w:t>promotes</w:t>
                  </w:r>
                  <w:r>
                    <w:rPr>
                      <w:spacing w:val="-5"/>
                    </w:rPr>
                    <w:t> </w:t>
                  </w:r>
                  <w:r>
                    <w:rPr/>
                    <w:t>global action.</w:t>
                  </w:r>
                </w:p>
                <w:p>
                  <w:pPr>
                    <w:pStyle w:val="BodyText"/>
                    <w:numPr>
                      <w:ilvl w:val="0"/>
                      <w:numId w:val="7"/>
                    </w:numPr>
                    <w:tabs>
                      <w:tab w:pos="587" w:val="left" w:leader="none"/>
                      <w:tab w:pos="588" w:val="left" w:leader="none"/>
                    </w:tabs>
                    <w:spacing w:line="235" w:lineRule="auto" w:before="122" w:after="0"/>
                    <w:ind w:left="587" w:right="918" w:hanging="452"/>
                    <w:jc w:val="left"/>
                  </w:pPr>
                  <w:r>
                    <w:rPr/>
                    <w:t>Closer</w:t>
                  </w:r>
                  <w:r>
                    <w:rPr>
                      <w:spacing w:val="-3"/>
                    </w:rPr>
                    <w:t> </w:t>
                  </w:r>
                  <w:r>
                    <w:rPr/>
                    <w:t>ties</w:t>
                  </w:r>
                  <w:r>
                    <w:rPr>
                      <w:spacing w:val="-4"/>
                    </w:rPr>
                    <w:t> </w:t>
                  </w:r>
                  <w:r>
                    <w:rPr/>
                    <w:t>will</w:t>
                  </w:r>
                  <w:r>
                    <w:rPr>
                      <w:spacing w:val="-9"/>
                    </w:rPr>
                    <w:t> </w:t>
                  </w:r>
                  <w:r>
                    <w:rPr/>
                    <w:t>help</w:t>
                  </w:r>
                  <w:r>
                    <w:rPr>
                      <w:spacing w:val="-4"/>
                    </w:rPr>
                    <w:t> </w:t>
                  </w:r>
                  <w:r>
                    <w:rPr/>
                    <w:t>with</w:t>
                  </w:r>
                  <w:r>
                    <w:rPr>
                      <w:spacing w:val="-5"/>
                    </w:rPr>
                    <w:t> </w:t>
                  </w:r>
                  <w:r>
                    <w:rPr/>
                    <w:t>sharing</w:t>
                  </w:r>
                  <w:r>
                    <w:rPr>
                      <w:spacing w:val="-6"/>
                    </w:rPr>
                    <w:t> </w:t>
                  </w:r>
                  <w:r>
                    <w:rPr/>
                    <w:t>lessons</w:t>
                  </w:r>
                  <w:r>
                    <w:rPr>
                      <w:spacing w:val="-3"/>
                    </w:rPr>
                    <w:t> </w:t>
                  </w:r>
                  <w:r>
                    <w:rPr/>
                    <w:t>and</w:t>
                  </w:r>
                  <w:r>
                    <w:rPr>
                      <w:spacing w:val="-7"/>
                    </w:rPr>
                    <w:t> </w:t>
                  </w:r>
                  <w:r>
                    <w:rPr/>
                    <w:t>approaches</w:t>
                  </w:r>
                  <w:r>
                    <w:rPr>
                      <w:spacing w:val="-3"/>
                    </w:rPr>
                    <w:t> </w:t>
                  </w:r>
                  <w:r>
                    <w:rPr/>
                    <w:t>and</w:t>
                  </w:r>
                  <w:r>
                    <w:rPr>
                      <w:spacing w:val="-5"/>
                    </w:rPr>
                    <w:t> </w:t>
                  </w:r>
                  <w:r>
                    <w:rPr/>
                    <w:t>help</w:t>
                  </w:r>
                  <w:r>
                    <w:rPr>
                      <w:spacing w:val="-7"/>
                    </w:rPr>
                    <w:t> </w:t>
                  </w:r>
                  <w:r>
                    <w:rPr/>
                    <w:t>both contribute more effectively to solving sustainability</w:t>
                  </w:r>
                  <w:r>
                    <w:rPr>
                      <w:spacing w:val="-26"/>
                    </w:rPr>
                    <w:t> </w:t>
                  </w:r>
                  <w:r>
                    <w:rPr/>
                    <w:t>challenges.</w:t>
                  </w:r>
                </w:p>
              </w:txbxContent>
            </v:textbox>
            <v:stroke dashstyle="solid"/>
            <w10:wrap type="topAndBottom"/>
          </v:shape>
        </w:pict>
      </w:r>
      <w:r>
        <w:rPr/>
        <w:pict>
          <v:shape style="position:absolute;margin-left:625.080017pt;margin-top:17.618858pt;width:535.450pt;height:314.2pt;mso-position-horizontal-relative:page;mso-position-vertical-relative:paragraph;z-index:-251603968;mso-wrap-distance-left:0;mso-wrap-distance-right:0" type="#_x0000_t202" filled="false" stroked="true" strokeweight=".75pt" strokecolor="#000000">
            <v:textbox inset="0,0,0,0">
              <w:txbxContent>
                <w:p>
                  <w:pPr>
                    <w:pStyle w:val="BodyText"/>
                    <w:numPr>
                      <w:ilvl w:val="0"/>
                      <w:numId w:val="8"/>
                    </w:numPr>
                    <w:tabs>
                      <w:tab w:pos="589" w:val="left" w:leader="none"/>
                      <w:tab w:pos="590" w:val="left" w:leader="none"/>
                    </w:tabs>
                    <w:spacing w:line="235" w:lineRule="auto" w:before="66" w:after="0"/>
                    <w:ind w:left="589" w:right="294" w:hanging="452"/>
                    <w:jc w:val="left"/>
                  </w:pPr>
                  <w:r>
                    <w:rPr/>
                    <w:t>Australia</w:t>
                  </w:r>
                  <w:r>
                    <w:rPr>
                      <w:spacing w:val="-12"/>
                    </w:rPr>
                    <w:t> </w:t>
                  </w:r>
                  <w:r>
                    <w:rPr/>
                    <w:t>and</w:t>
                  </w:r>
                  <w:r>
                    <w:rPr>
                      <w:spacing w:val="-9"/>
                    </w:rPr>
                    <w:t> </w:t>
                  </w:r>
                  <w:r>
                    <w:rPr/>
                    <w:t>the</w:t>
                  </w:r>
                  <w:r>
                    <w:rPr>
                      <w:spacing w:val="-6"/>
                    </w:rPr>
                    <w:t> </w:t>
                  </w:r>
                  <w:r>
                    <w:rPr/>
                    <w:t>EU</w:t>
                  </w:r>
                  <w:r>
                    <w:rPr>
                      <w:spacing w:val="-7"/>
                    </w:rPr>
                    <w:t> </w:t>
                  </w:r>
                  <w:r>
                    <w:rPr/>
                    <w:t>export</w:t>
                  </w:r>
                  <w:r>
                    <w:rPr>
                      <w:spacing w:val="-3"/>
                    </w:rPr>
                    <w:t> </w:t>
                  </w:r>
                  <w:r>
                    <w:rPr/>
                    <w:t>to</w:t>
                  </w:r>
                  <w:r>
                    <w:rPr>
                      <w:spacing w:val="-7"/>
                    </w:rPr>
                    <w:t> </w:t>
                  </w:r>
                  <w:r>
                    <w:rPr/>
                    <w:t>a</w:t>
                  </w:r>
                  <w:r>
                    <w:rPr>
                      <w:spacing w:val="-8"/>
                    </w:rPr>
                    <w:t> </w:t>
                  </w:r>
                  <w:r>
                    <w:rPr/>
                    <w:t>range</w:t>
                  </w:r>
                  <w:r>
                    <w:rPr>
                      <w:spacing w:val="-6"/>
                    </w:rPr>
                    <w:t> </w:t>
                  </w:r>
                  <w:r>
                    <w:rPr/>
                    <w:t>of</w:t>
                  </w:r>
                  <w:r>
                    <w:rPr>
                      <w:spacing w:val="-7"/>
                    </w:rPr>
                    <w:t> </w:t>
                  </w:r>
                  <w:r>
                    <w:rPr/>
                    <w:t>countries</w:t>
                  </w:r>
                  <w:r>
                    <w:rPr>
                      <w:spacing w:val="-6"/>
                    </w:rPr>
                    <w:t> </w:t>
                  </w:r>
                  <w:r>
                    <w:rPr/>
                    <w:t>and</w:t>
                  </w:r>
                  <w:r>
                    <w:rPr>
                      <w:spacing w:val="-8"/>
                    </w:rPr>
                    <w:t> </w:t>
                  </w:r>
                  <w:r>
                    <w:rPr/>
                    <w:t>regions</w:t>
                  </w:r>
                  <w:r>
                    <w:rPr>
                      <w:spacing w:val="-5"/>
                    </w:rPr>
                    <w:t> </w:t>
                  </w:r>
                  <w:r>
                    <w:rPr/>
                    <w:t>contributing to global </w:t>
                  </w:r>
                  <w:r>
                    <w:rPr>
                      <w:spacing w:val="-3"/>
                    </w:rPr>
                    <w:t>food </w:t>
                  </w:r>
                  <w:r>
                    <w:rPr/>
                    <w:t>security and</w:t>
                  </w:r>
                  <w:r>
                    <w:rPr>
                      <w:spacing w:val="-2"/>
                    </w:rPr>
                    <w:t> </w:t>
                  </w:r>
                  <w:r>
                    <w:rPr/>
                    <w:t>development</w:t>
                  </w:r>
                </w:p>
                <w:p>
                  <w:pPr>
                    <w:pStyle w:val="BodyText"/>
                    <w:numPr>
                      <w:ilvl w:val="0"/>
                      <w:numId w:val="8"/>
                    </w:numPr>
                    <w:tabs>
                      <w:tab w:pos="589" w:val="left" w:leader="none"/>
                      <w:tab w:pos="590" w:val="left" w:leader="none"/>
                    </w:tabs>
                    <w:spacing w:line="235" w:lineRule="auto" w:before="122" w:after="0"/>
                    <w:ind w:left="589" w:right="484" w:hanging="452"/>
                    <w:jc w:val="left"/>
                  </w:pPr>
                  <w:r>
                    <w:rPr/>
                    <w:t>64% of </w:t>
                  </w:r>
                  <w:r>
                    <w:rPr>
                      <w:spacing w:val="-3"/>
                    </w:rPr>
                    <w:t>Australia’s food </w:t>
                  </w:r>
                  <w:r>
                    <w:rPr/>
                    <w:t>exports are sent to countries in Asia, while only</w:t>
                  </w:r>
                  <w:r>
                    <w:rPr>
                      <w:spacing w:val="-41"/>
                    </w:rPr>
                    <w:t> </w:t>
                  </w:r>
                  <w:r>
                    <w:rPr/>
                    <w:t>5% of our </w:t>
                  </w:r>
                  <w:r>
                    <w:rPr>
                      <w:spacing w:val="-3"/>
                    </w:rPr>
                    <w:t>food </w:t>
                  </w:r>
                  <w:r>
                    <w:rPr/>
                    <w:t>exports are sent to Europe (EU-27). Around one-third of our </w:t>
                  </w:r>
                  <w:r>
                    <w:rPr>
                      <w:spacing w:val="-3"/>
                    </w:rPr>
                    <w:t>food </w:t>
                  </w:r>
                  <w:r>
                    <w:rPr/>
                    <w:t>exports are minimally</w:t>
                  </w:r>
                  <w:r>
                    <w:rPr>
                      <w:spacing w:val="3"/>
                    </w:rPr>
                    <w:t> </w:t>
                  </w:r>
                  <w:r>
                    <w:rPr>
                      <w:spacing w:val="-3"/>
                    </w:rPr>
                    <w:t>transformed.</w:t>
                  </w:r>
                </w:p>
                <w:p>
                  <w:pPr>
                    <w:pStyle w:val="BodyText"/>
                    <w:numPr>
                      <w:ilvl w:val="0"/>
                      <w:numId w:val="8"/>
                    </w:numPr>
                    <w:tabs>
                      <w:tab w:pos="589" w:val="left" w:leader="none"/>
                      <w:tab w:pos="590" w:val="left" w:leader="none"/>
                    </w:tabs>
                    <w:spacing w:line="387" w:lineRule="exact" w:before="117" w:after="0"/>
                    <w:ind w:left="589" w:right="0" w:hanging="453"/>
                    <w:jc w:val="left"/>
                  </w:pPr>
                  <w:r>
                    <w:rPr/>
                    <w:t>33% of </w:t>
                  </w:r>
                  <w:r>
                    <w:rPr>
                      <w:spacing w:val="-3"/>
                    </w:rPr>
                    <w:t>Australia’s </w:t>
                  </w:r>
                  <w:r>
                    <w:rPr/>
                    <w:t>imports are sourced from Asia, and 25% from</w:t>
                  </w:r>
                  <w:r>
                    <w:rPr>
                      <w:spacing w:val="-19"/>
                    </w:rPr>
                    <w:t> </w:t>
                  </w:r>
                  <w:r>
                    <w:rPr/>
                    <w:t>Europe.</w:t>
                  </w:r>
                </w:p>
                <w:p>
                  <w:pPr>
                    <w:pStyle w:val="BodyText"/>
                    <w:spacing w:line="387" w:lineRule="exact"/>
                    <w:ind w:left="589"/>
                  </w:pPr>
                  <w:r>
                    <w:rPr/>
                    <w:t>Over 90% of our food imports are substantially or elaborately transformed.</w:t>
                  </w:r>
                </w:p>
                <w:p>
                  <w:pPr>
                    <w:pStyle w:val="BodyText"/>
                    <w:numPr>
                      <w:ilvl w:val="0"/>
                      <w:numId w:val="8"/>
                    </w:numPr>
                    <w:tabs>
                      <w:tab w:pos="589" w:val="left" w:leader="none"/>
                      <w:tab w:pos="590" w:val="left" w:leader="none"/>
                    </w:tabs>
                    <w:spacing w:line="235" w:lineRule="auto" w:before="120" w:after="0"/>
                    <w:ind w:left="589" w:right="450" w:hanging="452"/>
                    <w:jc w:val="left"/>
                  </w:pPr>
                  <w:r>
                    <w:rPr>
                      <w:spacing w:val="-3"/>
                    </w:rPr>
                    <w:t>Australia’s </w:t>
                  </w:r>
                  <w:r>
                    <w:rPr/>
                    <w:t>high quality agricultural exports to the EU consist mainly of minimally transformed products such as oilseeds, horticulture and animal products.</w:t>
                  </w:r>
                  <w:r>
                    <w:rPr>
                      <w:spacing w:val="-8"/>
                    </w:rPr>
                    <w:t> </w:t>
                  </w:r>
                  <w:r>
                    <w:rPr/>
                    <w:t>These</w:t>
                  </w:r>
                  <w:r>
                    <w:rPr>
                      <w:spacing w:val="-8"/>
                    </w:rPr>
                    <w:t> </w:t>
                  </w:r>
                  <w:r>
                    <w:rPr/>
                    <w:t>become</w:t>
                  </w:r>
                  <w:r>
                    <w:rPr>
                      <w:spacing w:val="-7"/>
                    </w:rPr>
                    <w:t> </w:t>
                  </w:r>
                  <w:r>
                    <w:rPr/>
                    <w:t>important</w:t>
                  </w:r>
                  <w:r>
                    <w:rPr>
                      <w:spacing w:val="-9"/>
                    </w:rPr>
                    <w:t> </w:t>
                  </w:r>
                  <w:r>
                    <w:rPr/>
                    <w:t>inputs</w:t>
                  </w:r>
                  <w:r>
                    <w:rPr>
                      <w:spacing w:val="-12"/>
                    </w:rPr>
                    <w:t> </w:t>
                  </w:r>
                  <w:r>
                    <w:rPr/>
                    <w:t>into</w:t>
                  </w:r>
                  <w:r>
                    <w:rPr>
                      <w:spacing w:val="-12"/>
                    </w:rPr>
                    <w:t> </w:t>
                  </w:r>
                  <w:r>
                    <w:rPr>
                      <w:spacing w:val="-4"/>
                    </w:rPr>
                    <w:t>Europe’s </w:t>
                  </w:r>
                  <w:r>
                    <w:rPr/>
                    <w:t>further</w:t>
                  </w:r>
                  <w:r>
                    <w:rPr>
                      <w:spacing w:val="-6"/>
                    </w:rPr>
                    <w:t> </w:t>
                  </w:r>
                  <w:r>
                    <w:rPr/>
                    <w:t>processing of </w:t>
                  </w:r>
                  <w:r>
                    <w:rPr>
                      <w:spacing w:val="-3"/>
                    </w:rPr>
                    <w:t>food </w:t>
                  </w:r>
                  <w:r>
                    <w:rPr/>
                    <w:t>and agricultural</w:t>
                  </w:r>
                  <w:r>
                    <w:rPr>
                      <w:spacing w:val="-1"/>
                    </w:rPr>
                    <w:t> </w:t>
                  </w:r>
                  <w:r>
                    <w:rPr/>
                    <w:t>products.</w:t>
                  </w:r>
                </w:p>
                <w:p>
                  <w:pPr>
                    <w:pStyle w:val="BodyText"/>
                    <w:numPr>
                      <w:ilvl w:val="0"/>
                      <w:numId w:val="8"/>
                    </w:numPr>
                    <w:tabs>
                      <w:tab w:pos="589" w:val="left" w:leader="none"/>
                      <w:tab w:pos="590" w:val="left" w:leader="none"/>
                    </w:tabs>
                    <w:spacing w:line="235" w:lineRule="auto" w:before="125" w:after="0"/>
                    <w:ind w:left="589" w:right="710" w:hanging="452"/>
                    <w:jc w:val="left"/>
                  </w:pPr>
                  <w:r>
                    <w:rPr/>
                    <w:t>Around</w:t>
                  </w:r>
                  <w:r>
                    <w:rPr>
                      <w:spacing w:val="-7"/>
                    </w:rPr>
                    <w:t> </w:t>
                  </w:r>
                  <w:r>
                    <w:rPr/>
                    <w:t>90%</w:t>
                  </w:r>
                  <w:r>
                    <w:rPr>
                      <w:spacing w:val="-2"/>
                    </w:rPr>
                    <w:t> </w:t>
                  </w:r>
                  <w:r>
                    <w:rPr/>
                    <w:t>of</w:t>
                  </w:r>
                  <w:r>
                    <w:rPr>
                      <w:spacing w:val="-9"/>
                    </w:rPr>
                    <w:t> </w:t>
                  </w:r>
                  <w:r>
                    <w:rPr/>
                    <w:t>the</w:t>
                  </w:r>
                  <w:r>
                    <w:rPr>
                      <w:spacing w:val="-7"/>
                    </w:rPr>
                    <w:t> </w:t>
                  </w:r>
                  <w:r>
                    <w:rPr>
                      <w:spacing w:val="-6"/>
                    </w:rPr>
                    <w:t>EU’s</w:t>
                  </w:r>
                  <w:r>
                    <w:rPr>
                      <w:spacing w:val="-7"/>
                    </w:rPr>
                    <w:t> </w:t>
                  </w:r>
                  <w:r>
                    <w:rPr/>
                    <w:t>agricultural</w:t>
                  </w:r>
                  <w:r>
                    <w:rPr>
                      <w:spacing w:val="-12"/>
                    </w:rPr>
                    <w:t> </w:t>
                  </w:r>
                  <w:r>
                    <w:rPr/>
                    <w:t>exports</w:t>
                  </w:r>
                  <w:r>
                    <w:rPr>
                      <w:spacing w:val="-4"/>
                    </w:rPr>
                    <w:t> </w:t>
                  </w:r>
                  <w:r>
                    <w:rPr/>
                    <w:t>to</w:t>
                  </w:r>
                  <w:r>
                    <w:rPr>
                      <w:spacing w:val="-9"/>
                    </w:rPr>
                    <w:t> </w:t>
                  </w:r>
                  <w:r>
                    <w:rPr/>
                    <w:t>Australia</w:t>
                  </w:r>
                  <w:r>
                    <w:rPr>
                      <w:spacing w:val="-11"/>
                    </w:rPr>
                    <w:t> </w:t>
                  </w:r>
                  <w:r>
                    <w:rPr/>
                    <w:t>are</w:t>
                  </w:r>
                  <w:r>
                    <w:rPr>
                      <w:spacing w:val="-7"/>
                    </w:rPr>
                    <w:t> </w:t>
                  </w:r>
                  <w:r>
                    <w:rPr/>
                    <w:t>substantially </w:t>
                  </w:r>
                  <w:r>
                    <w:rPr>
                      <w:spacing w:val="-3"/>
                    </w:rPr>
                    <w:t>transformed: </w:t>
                  </w:r>
                  <w:r>
                    <w:rPr/>
                    <w:t>processed meats, fruit &amp; vegetables, confectionary and beverages.</w:t>
                  </w:r>
                </w:p>
              </w:txbxContent>
            </v:textbox>
            <v:stroke dashstyle="solid"/>
            <w10:wrap type="topAndBottom"/>
          </v:shape>
        </w:pict>
      </w:r>
    </w:p>
    <w:p>
      <w:pPr>
        <w:pStyle w:val="BodyText"/>
        <w:spacing w:before="4"/>
        <w:rPr>
          <w:i/>
          <w:sz w:val="6"/>
        </w:rPr>
      </w:pPr>
    </w:p>
    <w:p>
      <w:pPr>
        <w:spacing w:after="0"/>
        <w:rPr>
          <w:sz w:val="6"/>
        </w:rPr>
        <w:sectPr>
          <w:pgSz w:w="23820" w:h="16840" w:orient="landscape"/>
          <w:pgMar w:top="340" w:bottom="0" w:left="220" w:right="140"/>
        </w:sectPr>
      </w:pPr>
    </w:p>
    <w:p>
      <w:pPr>
        <w:spacing w:before="87"/>
        <w:ind w:left="516" w:right="4" w:firstLine="0"/>
        <w:jc w:val="center"/>
        <w:rPr>
          <w:b/>
          <w:i/>
          <w:sz w:val="28"/>
        </w:rPr>
      </w:pPr>
      <w:r>
        <w:rPr>
          <w:b/>
          <w:i/>
          <w:color w:val="A7082D"/>
          <w:sz w:val="28"/>
        </w:rPr>
        <w:t>Australia’s</w:t>
      </w:r>
      <w:r>
        <w:rPr>
          <w:b/>
          <w:i/>
          <w:color w:val="A7082D"/>
          <w:spacing w:val="-13"/>
          <w:sz w:val="28"/>
        </w:rPr>
        <w:t> </w:t>
      </w:r>
      <w:r>
        <w:rPr>
          <w:b/>
          <w:i/>
          <w:color w:val="A7082D"/>
          <w:sz w:val="28"/>
        </w:rPr>
        <w:t>agricultural</w:t>
      </w:r>
      <w:r>
        <w:rPr>
          <w:b/>
          <w:i/>
          <w:color w:val="A7082D"/>
          <w:spacing w:val="-12"/>
          <w:sz w:val="28"/>
        </w:rPr>
        <w:t> </w:t>
      </w:r>
      <w:r>
        <w:rPr>
          <w:b/>
          <w:i/>
          <w:color w:val="A7082D"/>
          <w:sz w:val="28"/>
        </w:rPr>
        <w:t>exports</w:t>
      </w:r>
      <w:r>
        <w:rPr>
          <w:b/>
          <w:i/>
          <w:color w:val="A7082D"/>
          <w:spacing w:val="-11"/>
          <w:sz w:val="28"/>
        </w:rPr>
        <w:t> </w:t>
      </w:r>
      <w:r>
        <w:rPr>
          <w:b/>
          <w:i/>
          <w:color w:val="A7082D"/>
          <w:sz w:val="28"/>
        </w:rPr>
        <w:t>to</w:t>
      </w:r>
      <w:r>
        <w:rPr>
          <w:b/>
          <w:i/>
          <w:color w:val="A7082D"/>
          <w:spacing w:val="-7"/>
          <w:sz w:val="28"/>
        </w:rPr>
        <w:t> </w:t>
      </w:r>
      <w:r>
        <w:rPr>
          <w:b/>
          <w:i/>
          <w:color w:val="A7082D"/>
          <w:sz w:val="28"/>
        </w:rPr>
        <w:t>EU</w:t>
      </w:r>
      <w:r>
        <w:rPr>
          <w:b/>
          <w:i/>
          <w:color w:val="A7082D"/>
          <w:spacing w:val="-7"/>
          <w:sz w:val="28"/>
        </w:rPr>
        <w:t> </w:t>
      </w:r>
      <w:r>
        <w:rPr>
          <w:b/>
          <w:i/>
          <w:color w:val="A7082D"/>
          <w:sz w:val="28"/>
        </w:rPr>
        <w:t>in</w:t>
      </w:r>
      <w:r>
        <w:rPr>
          <w:b/>
          <w:i/>
          <w:color w:val="A7082D"/>
          <w:spacing w:val="-4"/>
          <w:sz w:val="28"/>
        </w:rPr>
        <w:t> </w:t>
      </w:r>
      <w:r>
        <w:rPr>
          <w:b/>
          <w:i/>
          <w:color w:val="A7082D"/>
          <w:sz w:val="28"/>
        </w:rPr>
        <w:t>2019–20</w:t>
      </w:r>
    </w:p>
    <w:p>
      <w:pPr>
        <w:spacing w:before="124"/>
        <w:ind w:left="516" w:right="739" w:firstLine="0"/>
        <w:jc w:val="center"/>
        <w:rPr>
          <w:b/>
          <w:sz w:val="29"/>
        </w:rPr>
      </w:pPr>
      <w:r>
        <w:rPr/>
        <w:pict>
          <v:group style="position:absolute;margin-left:51.064457pt;margin-top:16.298496pt;width:253.1pt;height:257.55pt;mso-position-horizontal-relative:page;mso-position-vertical-relative:paragraph;z-index:-252444672" coordorigin="1021,326" coordsize="5062,5151">
            <v:shape style="position:absolute;left:2993;top:553;width:3090;height:2926" coordorigin="2993,554" coordsize="3090,2926" path="m5804,1744l3801,1744,3879,1746,3958,1754,4035,1768,4112,1787,4183,1811,4251,1839,4317,1870,4380,1906,4440,1946,4496,1989,4550,2036,4600,2086,4646,2138,4689,2194,4729,2252,4764,2312,4796,2375,4824,2440,4848,2506,4867,2574,4882,2643,4893,2713,4899,2784,4900,2856,4897,2929,4888,3002,4875,3075,4857,3148,5993,3479,6013,3403,6031,3327,6046,3250,6059,3173,6069,3095,6076,3018,6080,2940,6082,2862,6082,2784,6079,2707,6073,2629,6064,2552,6053,2475,6039,2398,6023,2322,6004,2246,5982,2171,5958,2096,5932,2022,5904,1952,5873,1884,5841,1816,5807,1751,5804,1744xm3777,554l3706,556,3634,560,3563,567,3491,576,3420,587,3348,601,3277,617,3206,636,3135,657,3064,680,2993,706,3417,1817,3492,1791,3568,1771,3645,1756,3723,1747,3801,1744,5804,1744,5772,1687,5734,1624,5694,1563,5653,1503,5610,1445,5566,1389,5519,1334,5472,1281,5423,1230,5372,1180,5320,1132,5267,1086,5212,1042,5156,999,5099,958,5040,919,4981,882,4921,847,4859,813,4797,782,4733,752,4669,724,4604,699,4538,675,4472,654,4404,634,4337,617,4268,601,4199,588,4130,577,4060,568,3990,561,3919,556,3848,554,3777,554xe" filled="true" fillcolor="#ff7900" stroked="false">
              <v:path arrowok="t"/>
              <v:fill type="solid"/>
            </v:shape>
            <v:shape style="position:absolute;left:4361;top:3147;width:1632;height:1668" coordorigin="4361,3148" coordsize="1632,1668" path="m4857,3148l4833,3220,4805,3291,4772,3359,4734,3424,4693,3486,4647,3546,4597,3602,4543,3654,4486,3703,4425,3748,4361,3789,4960,4815,5028,4774,5094,4730,5158,4684,5220,4636,5281,4586,5340,4534,5396,4480,5451,4424,5504,4367,5555,4308,5604,4247,5651,4184,5695,4120,5738,4054,5778,3987,5816,3918,5851,3848,5884,3776,5915,3704,5944,3630,5969,3555,5993,3479,4857,3148xe" filled="true" fillcolor="#ff9537" stroked="false">
              <v:path arrowok="t"/>
              <v:fill type="solid"/>
            </v:shape>
            <v:shape style="position:absolute;left:4361;top:3147;width:1632;height:1668" coordorigin="4361,3148" coordsize="1632,1668" path="m5993,3479l5969,3555,5944,3630,5915,3704,5884,3776,5851,3848,5816,3918,5778,3987,5738,4054,5695,4120,5651,4184,5604,4247,5555,4308,5504,4367,5451,4424,5396,4480,5340,4534,5281,4586,5220,4636,5158,4684,5094,4730,5028,4774,4960,4815,4361,3789,4425,3748,4486,3703,4543,3654,4597,3602,4647,3546,4693,3486,4734,3424,4772,3359,4805,3291,4833,3220,4857,3148,5993,3479xe" filled="false" stroked="true" strokeweight="1.365634pt" strokecolor="#ffffff">
              <v:path arrowok="t"/>
              <v:stroke dashstyle="solid"/>
            </v:shape>
            <v:shape style="position:absolute;left:4200;top:3789;width:761;height:1189" coordorigin="4200,3789" coordsize="761,1189" path="m4361,3789l4322,3811,4282,3832,4242,3850,4200,3867,4625,4978,4694,4950,4762,4919,4830,4887,4896,4852,4960,4815,4361,3789xe" filled="true" fillcolor="#ffa756" stroked="false">
              <v:path arrowok="t"/>
              <v:fill type="solid"/>
            </v:shape>
            <v:shape style="position:absolute;left:4200;top:3789;width:761;height:1189" coordorigin="4200,3789" coordsize="761,1189" path="m4960,4815l4896,4852,4830,4887,4762,4919,4694,4950,4625,4978,4200,3867,4242,3850,4282,3832,4322,3811,4361,3789,4960,4815xe" filled="false" stroked="true" strokeweight="1.364002pt" strokecolor="#ffffff">
              <v:path arrowok="t"/>
              <v:stroke dashstyle="solid"/>
            </v:shape>
            <v:shape style="position:absolute;left:4015;top:3867;width:610;height:1222" coordorigin="4016,3867" coordsize="610,1222" path="m4200,3867l4155,3884,4109,3898,4063,3910,4016,3921,4241,5089,4319,5072,4397,5053,4474,5030,4550,5005,4625,4978,4200,3867xe" filled="true" fillcolor="#ffc28a" stroked="false">
              <v:path arrowok="t"/>
              <v:fill type="solid"/>
            </v:shape>
            <v:shape style="position:absolute;left:4015;top:3867;width:610;height:1222" coordorigin="4016,3867" coordsize="610,1222" path="m4625,4978l4550,5005,4474,5030,4397,5053,4319,5072,4241,5089,4016,3921,4063,3910,4109,3898,4155,3884,4200,3867,4625,4978xe" filled="false" stroked="true" strokeweight="1.363255pt" strokecolor="#ffffff">
              <v:path arrowok="t"/>
              <v:stroke dashstyle="solid"/>
            </v:shape>
            <v:shape style="position:absolute;left:4000;top:3920;width:241;height:1175" coordorigin="4000,3921" coordsize="241,1175" path="m4016,3921l4000,3924,4208,5095,4230,5091,4241,5089,4016,3921xe" filled="true" fillcolor="#538235" stroked="false">
              <v:path arrowok="t"/>
              <v:fill type="solid"/>
            </v:shape>
            <v:shape style="position:absolute;left:4000;top:3920;width:241;height:1175" coordorigin="4000,3921" coordsize="241,1175" path="m4241,5089l4230,5091,4219,5093,4208,5095,4000,3924,4005,3923,4011,3922,4016,3921,4241,5089xe" filled="false" stroked="true" strokeweight="1.361949pt" strokecolor="#ffffff">
              <v:path arrowok="t"/>
              <v:stroke dashstyle="solid"/>
            </v:shape>
            <v:shape style="position:absolute;left:3817;top:3923;width:391;height:1207" coordorigin="3817,3924" coordsize="391,1207" path="m4000,3924l3955,3931,3909,3936,3863,3939,3817,3941,3827,5130,3903,5128,3980,5124,4056,5117,4132,5107,4208,5095,4000,3924xe" filled="true" fillcolor="#00afa8" stroked="false">
              <v:path arrowok="t"/>
              <v:fill type="solid"/>
            </v:shape>
            <v:shape style="position:absolute;left:3817;top:3923;width:391;height:1207" coordorigin="3817,3924" coordsize="391,1207" path="m4208,5095l4132,5107,4056,5117,3980,5124,3903,5128,3827,5130,3817,3941,3863,3939,3909,3936,3955,3931,4000,3924,4208,5095xe" filled="false" stroked="true" strokeweight="1.362398pt" strokecolor="#ffffff">
              <v:path arrowok="t"/>
              <v:stroke dashstyle="solid"/>
            </v:shape>
            <v:shape style="position:absolute;left:2346;top:3683;width:1481;height:1447" coordorigin="2346,3684" coordsize="1481,1447" path="m3106,3684l2346,4595,2406,4644,2468,4691,2530,4735,2595,4778,2660,4817,2726,4855,2794,4890,2863,4924,2933,4954,3003,4982,3075,5008,3147,5032,3221,5053,3295,5071,3369,5087,3444,5101,3520,5112,3596,5121,3673,5126,3750,5130,3827,5130,3817,3941,3739,3938,3663,3931,3587,3918,3512,3899,3439,3876,3368,3847,3299,3814,3232,3775,3168,3732,3106,3684xe" filled="true" fillcolor="#00e1d6" stroked="false">
              <v:path arrowok="t"/>
              <v:fill type="solid"/>
            </v:shape>
            <v:shape style="position:absolute;left:2346;top:3683;width:1481;height:1447" coordorigin="2346,3684" coordsize="1481,1447" path="m3827,5130l3750,5130,3673,5126,3596,5121,3520,5112,3444,5101,3369,5087,3295,5071,3221,5053,3147,5032,3075,5008,3003,4982,2933,4954,2863,4924,2794,4890,2726,4855,2660,4817,2595,4778,2530,4735,2468,4691,2406,4644,2346,4595,3106,3684,3168,3732,3232,3775,3299,3814,3368,3847,3439,3876,3512,3899,3587,3918,3663,3931,3739,3938,3817,3941,3827,5130xe" filled="false" stroked="true" strokeweight="1.365817pt" strokecolor="#ffffff">
              <v:path arrowok="t"/>
              <v:stroke dashstyle="solid"/>
            </v:shape>
            <v:shape style="position:absolute;left:1536;top:2897;width:1570;height:1698" coordorigin="1537,2898" coordsize="1570,1698" path="m2718,2898l1537,2958,1542,3037,1550,3116,1561,3194,1574,3272,1590,3348,1609,3424,1630,3500,1653,3574,1679,3647,1708,3720,1739,3791,1772,3862,1808,3931,1845,3999,1886,4065,1928,4130,1973,4194,2020,4256,2069,4317,2120,4376,2174,4434,2229,4489,2287,4543,2346,4595,3106,3684,3050,3633,2998,3579,2950,3521,2906,3461,2866,3397,2831,3332,2800,3264,2774,3194,2752,3122,2736,3048,2724,2974,2718,2898xe" filled="true" fillcolor="#95172d" stroked="false">
              <v:path arrowok="t"/>
              <v:fill type="solid"/>
            </v:shape>
            <v:shape style="position:absolute;left:1536;top:2897;width:1570;height:1698" coordorigin="1537,2898" coordsize="1570,1698" path="m2346,4595l2287,4543,2229,4489,2174,4434,2120,4376,2069,4317,2020,4256,1973,4194,1928,4130,1886,4065,1845,3999,1808,3931,1772,3862,1739,3791,1708,3720,1679,3647,1653,3574,1630,3500,1609,3424,1590,3348,1574,3272,1561,3194,1550,3116,1542,3037,1537,2958,2718,2898,2724,2974,2736,3048,2752,3122,2774,3194,2800,3264,2831,3332,2866,3397,2906,3461,2950,3521,2998,3579,3050,3633,3106,3684,2346,4595xe" filled="false" stroked="true" strokeweight="1.365403pt" strokecolor="#ffffff">
              <v:path arrowok="t"/>
              <v:stroke dashstyle="solid"/>
            </v:shape>
            <v:shape style="position:absolute;left:1534;top:1403;width:1426;height:1555" coordorigin="1534,1403" coordsize="1426,1555" path="m2040,1403l1991,1467,1944,1531,1900,1598,1858,1665,1818,1734,1781,1805,1747,1876,1715,1948,1685,2022,1658,2096,1634,2172,1612,2248,1593,2325,1576,2402,1562,2480,1551,2559,1543,2638,1537,2718,1534,2798,1534,2878,1537,2958,2718,2898,2717,2817,2722,2737,2732,2657,2748,2579,2770,2502,2797,2427,2830,2354,2868,2284,2911,2216,2959,2151,2040,1403xe" filled="true" fillcolor="#ce1f41" stroked="false">
              <v:path arrowok="t"/>
              <v:fill type="solid"/>
            </v:shape>
            <v:shape style="position:absolute;left:1534;top:1403;width:1426;height:1555" coordorigin="1534,1403" coordsize="1426,1555" path="m1537,2958l1534,2878,1534,2798,1537,2718,1543,2638,1551,2559,1562,2480,1576,2402,1593,2325,1612,2248,1634,2172,1658,2096,1685,2022,1715,1948,1747,1876,1781,1805,1818,1734,1858,1665,1900,1598,1944,1531,1991,1467,2040,1403,2959,2151,2911,2216,2868,2284,2830,2354,2797,2427,2770,2502,2748,2579,2732,2657,2722,2737,2717,2817,2718,2898,1537,2958xe" filled="false" stroked="true" strokeweight="1.365367pt" strokecolor="#ffffff">
              <v:path arrowok="t"/>
              <v:stroke dashstyle="solid"/>
            </v:shape>
            <v:shape style="position:absolute;left:2039;top:1308;width:958;height:843" coordorigin="2040,1309" coordsize="958,843" path="m2120,1309l2100,1332,2079,1356,2059,1379,2040,1403,2959,2151,2969,2140,2978,2129,2988,2117,2998,2106,2120,1309xe" filled="true" fillcolor="#e04360" stroked="false">
              <v:path arrowok="t"/>
              <v:fill type="solid"/>
            </v:shape>
            <v:shape style="position:absolute;left:2039;top:1308;width:958;height:843" coordorigin="2040,1309" coordsize="958,843" path="m2040,1403l2059,1379,2079,1356,2100,1332,2120,1309,2998,2106,2988,2117,2978,2129,2969,2140,2959,2151,2040,1403xe" filled="false" stroked="true" strokeweight="1.366247pt" strokecolor="#ffffff">
              <v:path arrowok="t"/>
              <v:stroke dashstyle="solid"/>
            </v:shape>
            <v:shape style="position:absolute;left:2120;top:930;width:1089;height:1177" coordorigin="2120,930" coordsize="1089,1177" path="m2559,930l2491,977,2424,1027,2359,1079,2296,1133,2236,1189,2177,1248,2120,1309,2998,2106,3046,2056,3098,2009,3152,1965,3209,1924,2559,930xe" filled="true" fillcolor="#ea798f" stroked="false">
              <v:path arrowok="t"/>
              <v:fill type="solid"/>
            </v:shape>
            <v:shape style="position:absolute;left:2120;top:930;width:1089;height:1177" coordorigin="2120,930" coordsize="1089,1177" path="m2120,1309l2177,1248,2236,1189,2296,1133,2359,1079,2424,1027,2491,977,2559,930,3209,1924,3152,1965,3098,2009,3046,2056,2998,2106,2120,1309xe" filled="false" stroked="true" strokeweight="1.365406pt" strokecolor="#ffffff">
              <v:path arrowok="t"/>
              <v:stroke dashstyle="solid"/>
            </v:shape>
            <v:shape style="position:absolute;left:2559;top:844;width:717;height:1080" coordorigin="2559,845" coordsize="717,1080" path="m2699,845l2663,865,2628,886,2593,908,2559,930,3209,1924,3225,1914,3242,1903,3259,1893,3276,1884,2699,845xe" filled="true" fillcolor="#2d75b6" stroked="false">
              <v:path arrowok="t"/>
              <v:fill type="solid"/>
            </v:shape>
            <v:shape style="position:absolute;left:2559;top:844;width:717;height:1080" coordorigin="2559,845" coordsize="717,1080" path="m2559,930l2593,908,2628,886,2663,865,2699,845,3276,1884,3259,1893,3242,1903,3225,1914,3209,1924,2559,930xe" filled="false" stroked="true" strokeweight="1.364129pt" strokecolor="#ffffff">
              <v:path arrowok="t"/>
              <v:stroke dashstyle="solid"/>
            </v:shape>
            <v:shape style="position:absolute;left:2698;top:706;width:719;height:1178" coordorigin="2699,706" coordsize="719,1178" path="m2993,706l2918,737,2843,770,2770,806,2699,845,3276,1884,3310,1865,3345,1848,3381,1832,3417,1817,2993,706xe" filled="true" fillcolor="#bcd6ed" stroked="false">
              <v:path arrowok="t"/>
              <v:fill type="solid"/>
            </v:shape>
            <v:shape style="position:absolute;left:2698;top:706;width:719;height:1178" coordorigin="2699,706" coordsize="719,1178" path="m2699,845l2770,806,2843,770,2918,737,2993,706,3417,1817,3381,1832,3345,1848,3310,1865,3276,1884,2699,845xe" filled="false" stroked="true" strokeweight="1.363845pt" strokecolor="#ffffff">
              <v:path arrowok="t"/>
              <v:stroke dashstyle="solid"/>
            </v:shape>
            <v:shape style="position:absolute;left:1021;top:2640;width:436;height:302" type="#_x0000_t75" stroked="false">
              <v:imagedata r:id="rId49" o:title=""/>
            </v:shape>
            <v:shape style="position:absolute;left:5541;top:915;width:382;height:398" type="#_x0000_t75" stroked="false">
              <v:imagedata r:id="rId50" o:title=""/>
            </v:shape>
            <v:shape style="position:absolute;left:3118;top:5134;width:273;height:343" type="#_x0000_t75" stroked="false">
              <v:imagedata r:id="rId51" o:title=""/>
            </v:shape>
            <v:shape style="position:absolute;left:2328;top:524;width:286;height:285" type="#_x0000_t75" stroked="false">
              <v:imagedata r:id="rId52" o:title=""/>
            </v:shape>
            <v:shape style="position:absolute;left:2641;top:325;width:259;height:357" type="#_x0000_t75" stroked="false">
              <v:imagedata r:id="rId53" o:title=""/>
            </v:shape>
            <w10:wrap type="none"/>
          </v:group>
        </w:pict>
      </w:r>
      <w:r>
        <w:rPr>
          <w:b/>
          <w:color w:val="2D75B6"/>
          <w:sz w:val="29"/>
        </w:rPr>
        <w:t>3%</w:t>
      </w:r>
    </w:p>
    <w:p>
      <w:pPr>
        <w:pStyle w:val="BodyText"/>
        <w:rPr>
          <w:b/>
          <w:sz w:val="28"/>
        </w:rPr>
      </w:pPr>
    </w:p>
    <w:p>
      <w:pPr>
        <w:pStyle w:val="BodyText"/>
        <w:spacing w:before="10"/>
        <w:rPr>
          <w:b/>
          <w:sz w:val="39"/>
        </w:rPr>
      </w:pPr>
    </w:p>
    <w:p>
      <w:pPr>
        <w:spacing w:before="0"/>
        <w:ind w:left="0" w:right="0" w:firstLine="0"/>
        <w:jc w:val="right"/>
        <w:rPr>
          <w:b/>
          <w:sz w:val="29"/>
        </w:rPr>
      </w:pPr>
      <w:r>
        <w:rPr>
          <w:b/>
          <w:color w:val="FF7900"/>
          <w:w w:val="95"/>
          <w:sz w:val="29"/>
        </w:rPr>
        <w:t>52%</w:t>
      </w:r>
    </w:p>
    <w:p>
      <w:pPr>
        <w:pStyle w:val="BodyText"/>
        <w:rPr>
          <w:b/>
          <w:sz w:val="28"/>
        </w:rPr>
      </w:pPr>
    </w:p>
    <w:p>
      <w:pPr>
        <w:pStyle w:val="BodyText"/>
        <w:rPr>
          <w:b/>
          <w:sz w:val="26"/>
        </w:rPr>
      </w:pPr>
    </w:p>
    <w:p>
      <w:pPr>
        <w:spacing w:before="0"/>
        <w:ind w:left="1069" w:right="4" w:firstLine="0"/>
        <w:jc w:val="center"/>
        <w:rPr>
          <w:sz w:val="29"/>
        </w:rPr>
      </w:pPr>
      <w:r>
        <w:rPr>
          <w:sz w:val="29"/>
        </w:rPr>
        <w:t>2019–20</w:t>
      </w:r>
    </w:p>
    <w:p>
      <w:pPr>
        <w:spacing w:before="3"/>
        <w:ind w:left="1071" w:right="4" w:firstLine="0"/>
        <w:jc w:val="center"/>
        <w:rPr>
          <w:sz w:val="29"/>
        </w:rPr>
      </w:pPr>
      <w:r>
        <w:rPr>
          <w:sz w:val="29"/>
        </w:rPr>
        <w:t>$1.91 billion</w:t>
      </w:r>
    </w:p>
    <w:p>
      <w:pPr>
        <w:pStyle w:val="BodyText"/>
        <w:rPr>
          <w:sz w:val="22"/>
        </w:rPr>
      </w:pPr>
      <w:r>
        <w:rPr/>
        <w:br w:type="column"/>
      </w:r>
      <w:r>
        <w:rPr>
          <w:sz w:val="22"/>
        </w:rPr>
      </w:r>
    </w:p>
    <w:p>
      <w:pPr>
        <w:pStyle w:val="BodyText"/>
        <w:rPr>
          <w:sz w:val="22"/>
        </w:rPr>
      </w:pPr>
    </w:p>
    <w:p>
      <w:pPr>
        <w:spacing w:line="364" w:lineRule="auto" w:before="160"/>
        <w:ind w:left="287" w:right="1174" w:firstLine="0"/>
        <w:jc w:val="left"/>
        <w:rPr>
          <w:sz w:val="22"/>
        </w:rPr>
      </w:pPr>
      <w:r>
        <w:rPr>
          <w:sz w:val="22"/>
        </w:rPr>
        <w:t>Oilseeds Industrial crops Pulses</w:t>
      </w:r>
    </w:p>
    <w:p>
      <w:pPr>
        <w:spacing w:line="364" w:lineRule="auto" w:before="0"/>
        <w:ind w:left="287" w:right="-5" w:firstLine="0"/>
        <w:jc w:val="left"/>
        <w:rPr>
          <w:sz w:val="22"/>
        </w:rPr>
      </w:pPr>
      <w:r>
        <w:rPr/>
        <w:pict>
          <v:rect style="position:absolute;margin-left:324.754333pt;margin-top:-56.264332pt;width:6.127284pt;height:6.164221pt;mso-position-horizontal-relative:page;mso-position-vertical-relative:paragraph;z-index:251715584" filled="true" fillcolor="#ff7900" stroked="false">
            <v:fill type="solid"/>
            <w10:wrap type="none"/>
          </v:rect>
        </w:pict>
      </w:r>
      <w:r>
        <w:rPr/>
        <w:pict>
          <v:rect style="position:absolute;margin-left:324.754333pt;margin-top:-36.40184pt;width:6.127284pt;height:6.164221pt;mso-position-horizontal-relative:page;mso-position-vertical-relative:paragraph;z-index:251716608" filled="true" fillcolor="#ff9537" stroked="false">
            <v:fill type="solid"/>
            <w10:wrap type="none"/>
          </v:rect>
        </w:pict>
      </w:r>
      <w:r>
        <w:rPr/>
        <w:pict>
          <v:rect style="position:absolute;margin-left:324.754333pt;margin-top:-15.85444pt;width:6.127284pt;height:6.164221pt;mso-position-horizontal-relative:page;mso-position-vertical-relative:paragraph;z-index:251717632" filled="true" fillcolor="#ffa756" stroked="false">
            <v:fill type="solid"/>
            <w10:wrap type="none"/>
          </v:rect>
        </w:pict>
      </w:r>
      <w:r>
        <w:rPr/>
        <w:pict>
          <v:rect style="position:absolute;margin-left:324.754333pt;margin-top:4.692963pt;width:6.127284pt;height:6.164221pt;mso-position-horizontal-relative:page;mso-position-vertical-relative:paragraph;z-index:251718656" filled="true" fillcolor="#ffc28a" stroked="false">
            <v:fill type="solid"/>
            <w10:wrap type="none"/>
          </v:rect>
        </w:pict>
      </w:r>
      <w:r>
        <w:rPr/>
        <w:pict>
          <v:rect style="position:absolute;margin-left:324.754333pt;margin-top:25.240364pt;width:6.127284pt;height:5.479307pt;mso-position-horizontal-relative:page;mso-position-vertical-relative:paragraph;z-index:251719680" filled="true" fillcolor="#538235" stroked="false">
            <v:fill type="solid"/>
            <w10:wrap type="none"/>
          </v:rect>
        </w:pict>
      </w:r>
      <w:r>
        <w:rPr>
          <w:sz w:val="22"/>
        </w:rPr>
        <w:t>Other crops and crop products Fruit &amp; nuts</w:t>
      </w:r>
    </w:p>
    <w:p>
      <w:pPr>
        <w:spacing w:before="0"/>
        <w:ind w:left="287" w:right="0" w:firstLine="0"/>
        <w:jc w:val="left"/>
        <w:rPr>
          <w:sz w:val="22"/>
        </w:rPr>
      </w:pPr>
      <w:r>
        <w:rPr/>
        <w:pict>
          <v:rect style="position:absolute;margin-left:324.754333pt;margin-top:4.282022pt;width:6.127284pt;height:6.164221pt;mso-position-horizontal-relative:page;mso-position-vertical-relative:paragraph;z-index:251720704" filled="true" fillcolor="#00afa8" stroked="false">
            <v:fill type="solid"/>
            <w10:wrap type="none"/>
          </v:rect>
        </w:pict>
      </w:r>
      <w:r>
        <w:rPr>
          <w:sz w:val="22"/>
        </w:rPr>
        <w:t>Vegetables</w:t>
      </w:r>
    </w:p>
    <w:p>
      <w:pPr>
        <w:spacing w:before="139"/>
        <w:ind w:left="287" w:right="0" w:firstLine="0"/>
        <w:jc w:val="left"/>
        <w:rPr>
          <w:sz w:val="22"/>
        </w:rPr>
      </w:pPr>
      <w:r>
        <w:rPr/>
        <w:pict>
          <v:rect style="position:absolute;margin-left:324.754333pt;margin-top:11.387259pt;width:6.127284pt;height:6.164221pt;mso-position-horizontal-relative:page;mso-position-vertical-relative:paragraph;z-index:251721728" filled="true" fillcolor="#00e1d6" stroked="false">
            <v:fill type="solid"/>
            <w10:wrap type="none"/>
          </v:rect>
        </w:pict>
      </w:r>
      <w:r>
        <w:rPr>
          <w:sz w:val="22"/>
        </w:rPr>
        <w:t>Other horticulture</w:t>
      </w:r>
    </w:p>
    <w:p>
      <w:pPr>
        <w:spacing w:line="339" w:lineRule="exact" w:before="45"/>
        <w:ind w:left="524" w:right="0" w:firstLine="0"/>
        <w:jc w:val="left"/>
        <w:rPr>
          <w:b/>
          <w:i/>
          <w:sz w:val="28"/>
        </w:rPr>
      </w:pPr>
      <w:r>
        <w:rPr/>
        <w:br w:type="column"/>
      </w:r>
      <w:r>
        <w:rPr>
          <w:b/>
          <w:i/>
          <w:color w:val="A7082D"/>
          <w:sz w:val="28"/>
        </w:rPr>
        <w:t>Australia and the EU bring complementary perspectives to global sustainability challenges</w:t>
      </w:r>
    </w:p>
    <w:p>
      <w:pPr>
        <w:spacing w:line="339" w:lineRule="exact" w:before="0"/>
        <w:ind w:left="586" w:right="0" w:firstLine="0"/>
        <w:jc w:val="left"/>
        <w:rPr>
          <w:b/>
          <w:i/>
          <w:sz w:val="28"/>
        </w:rPr>
      </w:pPr>
      <w:r>
        <w:rPr>
          <w:b/>
          <w:i/>
          <w:color w:val="A7082D"/>
          <w:sz w:val="28"/>
        </w:rPr>
        <w:t>– including ensuring food security and protecting natural capital</w:t>
      </w:r>
    </w:p>
    <w:p>
      <w:pPr>
        <w:spacing w:after="0" w:line="339" w:lineRule="exact"/>
        <w:jc w:val="left"/>
        <w:rPr>
          <w:sz w:val="28"/>
        </w:rPr>
        <w:sectPr>
          <w:type w:val="continuous"/>
          <w:pgSz w:w="23820" w:h="16840" w:orient="landscape"/>
          <w:pgMar w:top="1440" w:bottom="280" w:left="220" w:right="140"/>
          <w:cols w:num="3" w:equalWidth="0">
            <w:col w:w="6120" w:space="40"/>
            <w:col w:w="3040" w:space="1868"/>
            <w:col w:w="12392"/>
          </w:cols>
        </w:sectPr>
      </w:pPr>
    </w:p>
    <w:p>
      <w:pPr>
        <w:spacing w:before="8"/>
        <w:ind w:left="500" w:right="0" w:firstLine="0"/>
        <w:jc w:val="left"/>
        <w:rPr>
          <w:b/>
          <w:sz w:val="29"/>
        </w:rPr>
      </w:pPr>
      <w:r>
        <w:rPr>
          <w:b/>
          <w:color w:val="95172D"/>
          <w:sz w:val="29"/>
        </w:rPr>
        <w:t>33%</w:t>
      </w:r>
    </w:p>
    <w:p>
      <w:pPr>
        <w:spacing w:before="3"/>
        <w:ind w:left="566" w:right="0" w:firstLine="0"/>
        <w:jc w:val="left"/>
        <w:rPr>
          <w:sz w:val="29"/>
        </w:rPr>
      </w:pPr>
      <w:r>
        <w:rPr/>
        <w:br w:type="column"/>
      </w:r>
      <w:r>
        <w:rPr>
          <w:sz w:val="29"/>
        </w:rPr>
        <w:t>AUD</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6"/>
        </w:rPr>
      </w:pPr>
    </w:p>
    <w:p>
      <w:pPr>
        <w:spacing w:before="0"/>
        <w:ind w:left="500" w:right="0" w:firstLine="0"/>
        <w:jc w:val="left"/>
        <w:rPr>
          <w:b/>
          <w:sz w:val="29"/>
        </w:rPr>
      </w:pPr>
      <w:r>
        <w:rPr>
          <w:b/>
          <w:color w:val="00AFA8"/>
          <w:sz w:val="29"/>
        </w:rPr>
        <w:t>12%</w:t>
      </w:r>
    </w:p>
    <w:p>
      <w:pPr>
        <w:spacing w:before="95"/>
        <w:ind w:left="500" w:right="0" w:firstLine="0"/>
        <w:jc w:val="left"/>
        <w:rPr>
          <w:sz w:val="22"/>
        </w:rPr>
      </w:pPr>
      <w:r>
        <w:rPr/>
        <w:br w:type="column"/>
      </w:r>
      <w:r>
        <w:rPr>
          <w:sz w:val="22"/>
        </w:rPr>
        <w:t>Wool</w:t>
      </w:r>
    </w:p>
    <w:p>
      <w:pPr>
        <w:spacing w:line="364" w:lineRule="auto" w:before="140"/>
        <w:ind w:left="500" w:right="14604" w:firstLine="0"/>
        <w:jc w:val="left"/>
        <w:rPr>
          <w:sz w:val="22"/>
        </w:rPr>
      </w:pPr>
      <w:r>
        <w:rPr/>
        <w:pict>
          <v:rect style="position:absolute;margin-left:324.754333pt;margin-top:-8.836170pt;width:6.127284pt;height:6.164221pt;mso-position-horizontal-relative:page;mso-position-vertical-relative:paragraph;z-index:251722752" filled="true" fillcolor="#95172d" stroked="false">
            <v:fill type="solid"/>
            <w10:wrap type="none"/>
          </v:rect>
        </w:pict>
      </w:r>
      <w:r>
        <w:rPr/>
        <w:pict>
          <v:rect style="position:absolute;margin-left:324.754333pt;margin-top:11.026319pt;width:6.127284pt;height:6.164221pt;mso-position-horizontal-relative:page;mso-position-vertical-relative:paragraph;z-index:251723776" filled="true" fillcolor="#ce1f41" stroked="false">
            <v:fill type="solid"/>
            <w10:wrap type="none"/>
          </v:rect>
        </w:pict>
      </w:r>
      <w:r>
        <w:rPr/>
        <w:pict>
          <v:rect style="position:absolute;margin-left:324.754333pt;margin-top:31.570982pt;width:6.127284pt;height:6.164221pt;mso-position-horizontal-relative:page;mso-position-vertical-relative:paragraph;z-index:251724800" filled="true" fillcolor="#e04360" stroked="false">
            <v:fill type="solid"/>
            <w10:wrap type="none"/>
          </v:rect>
        </w:pict>
      </w:r>
      <w:r>
        <w:rPr/>
        <w:pict>
          <v:group style="position:absolute;margin-left:582.255005pt;margin-top:-146.638397pt;width:577.4pt;height:308pt;mso-position-horizontal-relative:page;mso-position-vertical-relative:paragraph;z-index:-252428288" coordorigin="11645,-2933" coordsize="11548,6160">
            <v:shape style="position:absolute;left:11712;top:-2933;width:4621;height:3784" type="#_x0000_t75" stroked="false">
              <v:imagedata r:id="rId54" o:title=""/>
            </v:shape>
            <v:shape style="position:absolute;left:19117;top:-2540;width:4075;height:5522" type="#_x0000_t75" stroked="false">
              <v:imagedata r:id="rId55" o:title=""/>
            </v:shape>
            <v:shape style="position:absolute;left:18547;top:-2656;width:948;height:5753" type="#_x0000_t75" stroked="false">
              <v:imagedata r:id="rId56" o:title=""/>
            </v:shape>
            <v:shape style="position:absolute;left:18084;top:-2362;width:463;height:3504" type="#_x0000_t75" stroked="false">
              <v:imagedata r:id="rId57" o:title=""/>
            </v:shape>
            <v:shape style="position:absolute;left:20523;top:-2583;width:2494;height:920" coordorigin="20524,-2582" coordsize="2494,920" path="m23017,-2582l20677,-2582,20617,-2570,20568,-2537,20536,-2488,20524,-2429,20524,-1663,22864,-1663,22924,-1675,22972,-1708,23005,-1756,23017,-1816,23017,-2582xe" filled="true" fillcolor="#ffb85e" stroked="false">
              <v:path arrowok="t"/>
              <v:fill type="solid"/>
            </v:shape>
            <v:shape style="position:absolute;left:20523;top:-2583;width:2494;height:920" coordorigin="20524,-2582" coordsize="2494,920" path="m20677,-2582l23017,-2582,23017,-1816,23005,-1756,22972,-1708,22924,-1675,22864,-1663,20524,-1663,20524,-2429,20536,-2488,20568,-2537,20617,-2570,20677,-2582xe" filled="false" stroked="true" strokeweight="2.25pt" strokecolor="#ffffff">
              <v:path arrowok="t"/>
              <v:stroke dashstyle="solid"/>
            </v:shape>
            <v:shape style="position:absolute;left:11667;top:823;width:6833;height:2381" coordorigin="11668,824" coordsize="6833,2381" path="m11668,1040l17310,1040,17310,824,18500,2014,17310,3204,17310,2988,11668,2988,11668,1040xe" filled="false" stroked="true" strokeweight="2.25pt" strokecolor="#f38509">
              <v:path arrowok="t"/>
              <v:stroke dashstyle="solid"/>
            </v:shape>
            <v:shape style="position:absolute;left:20724;top:-2443;width:2113;height:627" type="#_x0000_t202" filled="false" stroked="false">
              <v:textbox inset="0,0,0,0">
                <w:txbxContent>
                  <w:p>
                    <w:pPr>
                      <w:spacing w:line="189" w:lineRule="auto" w:before="0"/>
                      <w:ind w:left="0" w:right="-10" w:firstLine="312"/>
                      <w:jc w:val="left"/>
                      <w:rPr>
                        <w:b/>
                        <w:sz w:val="32"/>
                      </w:rPr>
                    </w:pPr>
                    <w:r>
                      <w:rPr>
                        <w:b/>
                        <w:color w:val="FFFFFF"/>
                        <w:sz w:val="32"/>
                      </w:rPr>
                      <w:t>income up, pressures down</w:t>
                    </w:r>
                  </w:p>
                </w:txbxContent>
              </v:textbox>
              <w10:wrap type="none"/>
            </v:shape>
            <v:shape style="position:absolute;left:11813;top:1148;width:5849;height:1717" type="#_x0000_t202" filled="false" stroked="false">
              <v:textbox inset="0,0,0,0">
                <w:txbxContent>
                  <w:p>
                    <w:pPr>
                      <w:spacing w:line="286" w:lineRule="exact" w:before="0"/>
                      <w:ind w:left="0" w:right="0" w:firstLine="0"/>
                      <w:jc w:val="left"/>
                      <w:rPr>
                        <w:rFonts w:ascii="Calibri Light"/>
                        <w:b w:val="0"/>
                        <w:sz w:val="28"/>
                      </w:rPr>
                    </w:pPr>
                    <w:r>
                      <w:rPr>
                        <w:b/>
                        <w:color w:val="B56400"/>
                        <w:sz w:val="28"/>
                      </w:rPr>
                      <w:t>decoupling </w:t>
                    </w:r>
                    <w:r>
                      <w:rPr>
                        <w:rFonts w:ascii="Calibri Light"/>
                        <w:b w:val="0"/>
                        <w:color w:val="B56400"/>
                        <w:sz w:val="28"/>
                      </w:rPr>
                      <w:t>is required to see</w:t>
                    </w:r>
                  </w:p>
                  <w:p>
                    <w:pPr>
                      <w:spacing w:line="306" w:lineRule="exact" w:before="47"/>
                      <w:ind w:left="0" w:right="0" w:firstLine="0"/>
                      <w:jc w:val="left"/>
                      <w:rPr>
                        <w:rFonts w:ascii="Calibri Light"/>
                        <w:b w:val="0"/>
                        <w:sz w:val="28"/>
                      </w:rPr>
                    </w:pPr>
                    <w:r>
                      <w:rPr>
                        <w:rFonts w:ascii="Calibri Light"/>
                        <w:b w:val="0"/>
                        <w:color w:val="B56400"/>
                        <w:sz w:val="28"/>
                      </w:rPr>
                      <w:t>income, resource-based services</w:t>
                    </w:r>
                  </w:p>
                  <w:p>
                    <w:pPr>
                      <w:spacing w:line="306" w:lineRule="exact" w:before="0"/>
                      <w:ind w:left="0" w:right="0" w:firstLine="0"/>
                      <w:jc w:val="left"/>
                      <w:rPr>
                        <w:b/>
                        <w:sz w:val="28"/>
                      </w:rPr>
                    </w:pPr>
                    <w:r>
                      <w:rPr>
                        <w:rFonts w:ascii="Calibri Light"/>
                        <w:b w:val="0"/>
                        <w:color w:val="B56400"/>
                        <w:sz w:val="28"/>
                      </w:rPr>
                      <w:t>and </w:t>
                    </w:r>
                    <w:r>
                      <w:rPr>
                        <w:b/>
                        <w:color w:val="B56400"/>
                        <w:sz w:val="28"/>
                      </w:rPr>
                      <w:t>well-being increase</w:t>
                    </w:r>
                  </w:p>
                  <w:p>
                    <w:pPr>
                      <w:spacing w:line="390" w:lineRule="atLeast" w:before="0"/>
                      <w:ind w:left="0" w:right="0" w:firstLine="0"/>
                      <w:jc w:val="left"/>
                      <w:rPr>
                        <w:b/>
                        <w:sz w:val="28"/>
                      </w:rPr>
                    </w:pPr>
                    <w:r>
                      <w:rPr>
                        <w:rFonts w:ascii="Calibri Light"/>
                        <w:b w:val="0"/>
                        <w:color w:val="B56400"/>
                        <w:sz w:val="28"/>
                      </w:rPr>
                      <w:t>while environmental </w:t>
                    </w:r>
                    <w:r>
                      <w:rPr>
                        <w:b/>
                        <w:color w:val="B56400"/>
                        <w:sz w:val="28"/>
                      </w:rPr>
                      <w:t>pressures decrease </w:t>
                    </w:r>
                    <w:r>
                      <w:rPr>
                        <w:rFonts w:ascii="Calibri Light"/>
                        <w:b w:val="0"/>
                        <w:color w:val="B56400"/>
                        <w:sz w:val="28"/>
                      </w:rPr>
                      <w:t>or</w:t>
                    </w:r>
                    <w:r>
                      <w:rPr>
                        <w:rFonts w:ascii="Calibri Light"/>
                        <w:b w:val="0"/>
                        <w:color w:val="B56400"/>
                        <w:spacing w:val="-41"/>
                        <w:sz w:val="28"/>
                      </w:rPr>
                      <w:t> </w:t>
                    </w:r>
                    <w:r>
                      <w:rPr>
                        <w:rFonts w:ascii="Calibri Light"/>
                        <w:b w:val="0"/>
                        <w:color w:val="B56400"/>
                        <w:spacing w:val="-3"/>
                        <w:sz w:val="28"/>
                      </w:rPr>
                      <w:t>reverse, </w:t>
                    </w:r>
                    <w:r>
                      <w:rPr>
                        <w:rFonts w:ascii="Calibri Light"/>
                        <w:b w:val="0"/>
                        <w:color w:val="B56400"/>
                        <w:sz w:val="28"/>
                      </w:rPr>
                      <w:t>in </w:t>
                    </w:r>
                    <w:r>
                      <w:rPr>
                        <w:rFonts w:ascii="Calibri Light"/>
                        <w:b w:val="0"/>
                        <w:color w:val="B56400"/>
                        <w:spacing w:val="-3"/>
                        <w:sz w:val="28"/>
                      </w:rPr>
                      <w:t>stark contrast </w:t>
                    </w:r>
                    <w:r>
                      <w:rPr>
                        <w:rFonts w:ascii="Calibri Light"/>
                        <w:b w:val="0"/>
                        <w:color w:val="B56400"/>
                        <w:sz w:val="28"/>
                      </w:rPr>
                      <w:t>to </w:t>
                    </w:r>
                    <w:r>
                      <w:rPr>
                        <w:b/>
                        <w:color w:val="B56400"/>
                        <w:sz w:val="28"/>
                      </w:rPr>
                      <w:t>unsustainable historical</w:t>
                    </w:r>
                    <w:r>
                      <w:rPr>
                        <w:b/>
                        <w:color w:val="B56400"/>
                        <w:spacing w:val="-12"/>
                        <w:sz w:val="28"/>
                      </w:rPr>
                      <w:t> </w:t>
                    </w:r>
                    <w:r>
                      <w:rPr>
                        <w:b/>
                        <w:color w:val="B56400"/>
                        <w:sz w:val="28"/>
                      </w:rPr>
                      <w:t>trends</w:t>
                    </w:r>
                  </w:p>
                </w:txbxContent>
              </v:textbox>
              <w10:wrap type="none"/>
            </v:shape>
            <w10:wrap type="none"/>
          </v:group>
        </w:pict>
      </w:r>
      <w:r>
        <w:rPr>
          <w:sz w:val="22"/>
        </w:rPr>
        <w:t>Meat and live animals Dairy products</w:t>
      </w:r>
    </w:p>
    <w:p>
      <w:pPr>
        <w:spacing w:line="364" w:lineRule="auto" w:before="0"/>
        <w:ind w:left="500" w:right="12841" w:firstLine="0"/>
        <w:jc w:val="left"/>
        <w:rPr>
          <w:sz w:val="22"/>
        </w:rPr>
      </w:pPr>
      <w:r>
        <w:rPr/>
        <w:pict>
          <v:rect style="position:absolute;margin-left:324.754333pt;margin-top:4.324026pt;width:6.127284pt;height:6.164221pt;mso-position-horizontal-relative:page;mso-position-vertical-relative:paragraph;z-index:251725824" filled="true" fillcolor="#ea798f" stroked="false">
            <v:fill type="solid"/>
            <w10:wrap type="none"/>
          </v:rect>
        </w:pict>
      </w:r>
      <w:r>
        <w:rPr/>
        <w:pict>
          <v:rect style="position:absolute;margin-left:324.754333pt;margin-top:24.871428pt;width:6.127284pt;height:5.479307pt;mso-position-horizontal-relative:page;mso-position-vertical-relative:paragraph;z-index:251726848" filled="true" fillcolor="#2d75b6" stroked="false">
            <v:fill type="solid"/>
            <w10:wrap type="none"/>
          </v:rect>
        </w:pict>
      </w:r>
      <w:r>
        <w:rPr>
          <w:sz w:val="22"/>
        </w:rPr>
        <w:t>Other livestock and livestock products Fisheries</w:t>
      </w:r>
    </w:p>
    <w:p>
      <w:pPr>
        <w:spacing w:before="0"/>
        <w:ind w:left="500" w:right="0" w:firstLine="0"/>
        <w:jc w:val="left"/>
        <w:rPr>
          <w:sz w:val="22"/>
        </w:rPr>
      </w:pPr>
      <w:r>
        <w:rPr/>
        <w:pict>
          <v:rect style="position:absolute;margin-left:324.754333pt;margin-top:3.913078pt;width:6.127284pt;height:6.164221pt;mso-position-horizontal-relative:page;mso-position-vertical-relative:paragraph;z-index:251727872" filled="true" fillcolor="#bcd6ed" stroked="false">
            <v:fill type="solid"/>
            <w10:wrap type="none"/>
          </v:rect>
        </w:pict>
      </w:r>
      <w:r>
        <w:rPr>
          <w:sz w:val="22"/>
        </w:rPr>
        <w:t>Forestry</w:t>
      </w:r>
    </w:p>
    <w:p>
      <w:pPr>
        <w:spacing w:after="0"/>
        <w:jc w:val="left"/>
        <w:rPr>
          <w:sz w:val="22"/>
        </w:rPr>
        <w:sectPr>
          <w:type w:val="continuous"/>
          <w:pgSz w:w="23820" w:h="16840" w:orient="landscape"/>
          <w:pgMar w:top="1440" w:bottom="280" w:left="220" w:right="140"/>
          <w:cols w:num="3" w:equalWidth="0">
            <w:col w:w="1055" w:space="1712"/>
            <w:col w:w="1124" w:space="2056"/>
            <w:col w:w="17513"/>
          </w:cols>
        </w:sectPr>
      </w:pPr>
    </w:p>
    <w:p>
      <w:pPr>
        <w:pStyle w:val="BodyText"/>
        <w:spacing w:before="11"/>
        <w:rPr>
          <w:sz w:val="10"/>
        </w:rPr>
      </w:pPr>
    </w:p>
    <w:p>
      <w:pPr>
        <w:spacing w:line="254" w:lineRule="exact" w:before="58"/>
        <w:ind w:left="807" w:right="0" w:firstLine="0"/>
        <w:jc w:val="left"/>
        <w:rPr>
          <w:sz w:val="21"/>
        </w:rPr>
      </w:pPr>
      <w:r>
        <w:rPr>
          <w:sz w:val="21"/>
        </w:rPr>
        <w:t>Source Figure above: </w:t>
      </w:r>
      <w:r>
        <w:rPr>
          <w:color w:val="7E7E7E"/>
          <w:sz w:val="21"/>
        </w:rPr>
        <w:t>ABARES analysis.</w:t>
      </w:r>
    </w:p>
    <w:p>
      <w:pPr>
        <w:spacing w:line="235" w:lineRule="exact" w:before="0"/>
        <w:ind w:left="807" w:right="0" w:firstLine="0"/>
        <w:jc w:val="left"/>
        <w:rPr>
          <w:i/>
          <w:sz w:val="21"/>
        </w:rPr>
      </w:pPr>
      <w:r>
        <w:rPr>
          <w:sz w:val="21"/>
        </w:rPr>
        <w:t>Source Figure on right: </w:t>
      </w:r>
      <w:r>
        <w:rPr>
          <w:color w:val="7E7E7E"/>
          <w:sz w:val="21"/>
        </w:rPr>
        <w:t>IRP (2019) </w:t>
      </w:r>
      <w:r>
        <w:rPr>
          <w:i/>
          <w:color w:val="7E7E7E"/>
          <w:sz w:val="21"/>
        </w:rPr>
        <w:t>Global Resources Outlook 2019 – Implications for Business Leaders,</w:t>
      </w:r>
    </w:p>
    <w:p>
      <w:pPr>
        <w:tabs>
          <w:tab w:pos="23348" w:val="right" w:leader="none"/>
        </w:tabs>
        <w:spacing w:line="371" w:lineRule="exact" w:before="0"/>
        <w:ind w:left="807" w:right="0" w:firstLine="0"/>
        <w:jc w:val="left"/>
        <w:rPr>
          <w:sz w:val="32"/>
        </w:rPr>
      </w:pPr>
      <w:r>
        <w:rPr>
          <w:color w:val="7E7E7E"/>
          <w:sz w:val="21"/>
        </w:rPr>
        <w:t>Figure 1 p.10 and Figure 6 p.25 – see also Figure 4.24 in main</w:t>
      </w:r>
      <w:r>
        <w:rPr>
          <w:color w:val="7E7E7E"/>
          <w:spacing w:val="-18"/>
          <w:sz w:val="21"/>
        </w:rPr>
        <w:t> </w:t>
      </w:r>
      <w:r>
        <w:rPr>
          <w:color w:val="7E7E7E"/>
          <w:sz w:val="21"/>
        </w:rPr>
        <w:t>GRO2019</w:t>
      </w:r>
      <w:r>
        <w:rPr>
          <w:color w:val="7E7E7E"/>
          <w:spacing w:val="-2"/>
          <w:sz w:val="21"/>
        </w:rPr>
        <w:t> </w:t>
      </w:r>
      <w:r>
        <w:rPr>
          <w:color w:val="7E7E7E"/>
          <w:sz w:val="21"/>
        </w:rPr>
        <w:t>report</w:t>
        <w:tab/>
      </w:r>
      <w:r>
        <w:rPr>
          <w:position w:val="-6"/>
          <w:sz w:val="32"/>
        </w:rPr>
        <w:t>9</w:t>
      </w:r>
    </w:p>
    <w:p>
      <w:pPr>
        <w:spacing w:after="0" w:line="371" w:lineRule="exact"/>
        <w:jc w:val="left"/>
        <w:rPr>
          <w:sz w:val="32"/>
        </w:rPr>
        <w:sectPr>
          <w:type w:val="continuous"/>
          <w:pgSz w:w="23820" w:h="16840" w:orient="landscape"/>
          <w:pgMar w:top="1440" w:bottom="280" w:left="220" w:right="140"/>
        </w:sectPr>
      </w:pPr>
    </w:p>
    <w:p>
      <w:pPr>
        <w:pStyle w:val="BodyText"/>
        <w:rPr>
          <w:sz w:val="20"/>
        </w:rPr>
      </w:pPr>
      <w:r>
        <w:rPr/>
        <w:pict>
          <v:rect style="position:absolute;margin-left:0pt;margin-top:-.000078pt;width:1190.52pt;height:841.92pt;mso-position-horizontal-relative:page;mso-position-vertical-relative:page;z-index:-252427264" filled="true" fillcolor="#c9c5c0" stroked="false">
            <v:fill type="solid"/>
            <w10:wrap type="none"/>
          </v:rect>
        </w:pict>
      </w:r>
    </w:p>
    <w:p>
      <w:pPr>
        <w:pStyle w:val="BodyText"/>
        <w:rPr>
          <w:sz w:val="20"/>
        </w:rPr>
      </w:pPr>
    </w:p>
    <w:p>
      <w:pPr>
        <w:pStyle w:val="BodyText"/>
        <w:spacing w:before="8"/>
        <w:rPr>
          <w:sz w:val="12"/>
        </w:rPr>
      </w:pPr>
    </w:p>
    <w:p>
      <w:pPr>
        <w:pStyle w:val="BodyText"/>
        <w:ind w:left="2820"/>
        <w:rPr>
          <w:sz w:val="20"/>
        </w:rPr>
      </w:pPr>
      <w:r>
        <w:rPr>
          <w:sz w:val="20"/>
        </w:rPr>
        <w:drawing>
          <wp:inline distT="0" distB="0" distL="0" distR="0">
            <wp:extent cx="2944088" cy="1103280"/>
            <wp:effectExtent l="0" t="0" r="0" b="0"/>
            <wp:docPr id="61" name="image1.png"/>
            <wp:cNvGraphicFramePr>
              <a:graphicFrameLocks noChangeAspect="1"/>
            </wp:cNvGraphicFramePr>
            <a:graphic>
              <a:graphicData uri="http://schemas.openxmlformats.org/drawingml/2006/picture">
                <pic:pic>
                  <pic:nvPicPr>
                    <pic:cNvPr id="62" name="image1.png"/>
                    <pic:cNvPicPr/>
                  </pic:nvPicPr>
                  <pic:blipFill>
                    <a:blip r:embed="rId5" cstate="print"/>
                    <a:stretch>
                      <a:fillRect/>
                    </a:stretch>
                  </pic:blipFill>
                  <pic:spPr>
                    <a:xfrm>
                      <a:off x="0" y="0"/>
                      <a:ext cx="2944088" cy="110328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line="630" w:lineRule="exact" w:before="0"/>
        <w:ind w:left="2821" w:right="0" w:firstLine="0"/>
        <w:jc w:val="left"/>
        <w:rPr>
          <w:b/>
          <w:sz w:val="52"/>
        </w:rPr>
      </w:pPr>
      <w:r>
        <w:rPr/>
        <w:drawing>
          <wp:anchor distT="0" distB="0" distL="0" distR="0" allowOverlap="1" layoutInCell="1" locked="0" behindDoc="0" simplePos="0" relativeHeight="251732992">
            <wp:simplePos x="0" y="0"/>
            <wp:positionH relativeFrom="page">
              <wp:posOffset>9383268</wp:posOffset>
            </wp:positionH>
            <wp:positionV relativeFrom="paragraph">
              <wp:posOffset>-60294</wp:posOffset>
            </wp:positionV>
            <wp:extent cx="4564380" cy="4564380"/>
            <wp:effectExtent l="0" t="0" r="0" b="0"/>
            <wp:wrapNone/>
            <wp:docPr id="63" name="image2.png"/>
            <wp:cNvGraphicFramePr>
              <a:graphicFrameLocks noChangeAspect="1"/>
            </wp:cNvGraphicFramePr>
            <a:graphic>
              <a:graphicData uri="http://schemas.openxmlformats.org/drawingml/2006/picture">
                <pic:pic>
                  <pic:nvPicPr>
                    <pic:cNvPr id="64" name="image2.png"/>
                    <pic:cNvPicPr/>
                  </pic:nvPicPr>
                  <pic:blipFill>
                    <a:blip r:embed="rId6" cstate="print"/>
                    <a:stretch>
                      <a:fillRect/>
                    </a:stretch>
                  </pic:blipFill>
                  <pic:spPr>
                    <a:xfrm>
                      <a:off x="0" y="0"/>
                      <a:ext cx="4564380" cy="4564380"/>
                    </a:xfrm>
                    <a:prstGeom prst="rect">
                      <a:avLst/>
                    </a:prstGeom>
                  </pic:spPr>
                </pic:pic>
              </a:graphicData>
            </a:graphic>
          </wp:anchor>
        </w:drawing>
      </w:r>
      <w:r>
        <w:rPr/>
        <w:pict>
          <v:group style="position:absolute;margin-left:474.684998pt;margin-top:5.427383pt;width:154.65pt;height:168.2pt;mso-position-horizontal-relative:page;mso-position-vertical-relative:paragraph;z-index:251734016" coordorigin="9494,109" coordsize="3093,3364" alt="A person wearing a suit and glasses  Description automatically generated">
            <v:shape style="position:absolute;left:9508;top:123;width:3063;height:3334" type="#_x0000_t75" alt="A person wearing a suit and glasses  Description automatically generated" stroked="false">
              <v:imagedata r:id="rId58" o:title=""/>
            </v:shape>
            <v:rect style="position:absolute;left:9501;top:116;width:3078;height:3349" filled="false" stroked="true" strokeweight=".75pt" strokecolor="#ffffff">
              <v:stroke dashstyle="solid"/>
            </v:rect>
            <w10:wrap type="none"/>
          </v:group>
        </w:pict>
      </w:r>
      <w:r>
        <w:rPr>
          <w:b/>
          <w:sz w:val="52"/>
        </w:rPr>
        <w:t>Dr Steve Hatfield-Dodds</w:t>
      </w:r>
    </w:p>
    <w:p>
      <w:pPr>
        <w:spacing w:line="436" w:lineRule="exact" w:before="331"/>
        <w:ind w:left="2821" w:right="0" w:firstLine="0"/>
        <w:jc w:val="left"/>
        <w:rPr>
          <w:sz w:val="36"/>
        </w:rPr>
      </w:pPr>
      <w:r>
        <w:rPr>
          <w:sz w:val="36"/>
        </w:rPr>
        <w:t>Executive Director,</w:t>
      </w:r>
    </w:p>
    <w:p>
      <w:pPr>
        <w:spacing w:line="432" w:lineRule="exact" w:before="0"/>
        <w:ind w:left="2821" w:right="0" w:firstLine="0"/>
        <w:jc w:val="left"/>
        <w:rPr>
          <w:b/>
          <w:sz w:val="36"/>
        </w:rPr>
      </w:pPr>
      <w:r>
        <w:rPr>
          <w:b/>
          <w:sz w:val="36"/>
        </w:rPr>
        <w:t>Australian Bureau of Agricultural</w:t>
      </w:r>
    </w:p>
    <w:p>
      <w:pPr>
        <w:spacing w:line="436" w:lineRule="exact" w:before="0"/>
        <w:ind w:left="2821" w:right="0" w:firstLine="0"/>
        <w:jc w:val="left"/>
        <w:rPr>
          <w:b/>
          <w:sz w:val="36"/>
        </w:rPr>
      </w:pPr>
      <w:r>
        <w:rPr>
          <w:b/>
          <w:sz w:val="36"/>
        </w:rPr>
        <w:t>and Resource Economics and Sciences</w:t>
      </w:r>
    </w:p>
    <w:p>
      <w:pPr>
        <w:pStyle w:val="BodyText"/>
        <w:spacing w:before="9"/>
        <w:rPr>
          <w:b/>
          <w:sz w:val="34"/>
        </w:rPr>
      </w:pPr>
    </w:p>
    <w:p>
      <w:pPr>
        <w:spacing w:line="436" w:lineRule="exact" w:before="0"/>
        <w:ind w:left="2821" w:right="0" w:firstLine="0"/>
        <w:jc w:val="left"/>
        <w:rPr>
          <w:sz w:val="36"/>
        </w:rPr>
      </w:pPr>
      <w:r>
        <w:rPr>
          <w:sz w:val="36"/>
        </w:rPr>
        <w:t>Honorary Professor,</w:t>
      </w:r>
    </w:p>
    <w:p>
      <w:pPr>
        <w:spacing w:line="432" w:lineRule="exact" w:before="0"/>
        <w:ind w:left="2821" w:right="0" w:firstLine="0"/>
        <w:jc w:val="left"/>
        <w:rPr>
          <w:sz w:val="36"/>
        </w:rPr>
      </w:pPr>
      <w:r>
        <w:rPr>
          <w:sz w:val="36"/>
        </w:rPr>
        <w:t>Crawford School of Government,</w:t>
      </w:r>
    </w:p>
    <w:p>
      <w:pPr>
        <w:spacing w:line="436" w:lineRule="exact" w:before="0"/>
        <w:ind w:left="2821" w:right="0" w:firstLine="0"/>
        <w:jc w:val="left"/>
        <w:rPr>
          <w:b/>
          <w:sz w:val="36"/>
        </w:rPr>
      </w:pPr>
      <w:r>
        <w:rPr>
          <w:b/>
          <w:sz w:val="36"/>
        </w:rPr>
        <w:t>Australian National University</w:t>
      </w:r>
    </w:p>
    <w:p>
      <w:pPr>
        <w:pStyle w:val="BodyText"/>
        <w:spacing w:before="10"/>
        <w:rPr>
          <w:b/>
          <w:sz w:val="34"/>
        </w:rPr>
      </w:pPr>
    </w:p>
    <w:p>
      <w:pPr>
        <w:spacing w:line="436" w:lineRule="exact" w:before="0"/>
        <w:ind w:left="2821" w:right="0" w:firstLine="0"/>
        <w:jc w:val="left"/>
        <w:rPr>
          <w:sz w:val="36"/>
        </w:rPr>
      </w:pPr>
      <w:r>
        <w:rPr>
          <w:sz w:val="36"/>
        </w:rPr>
        <w:t>Expert Member,</w:t>
      </w:r>
    </w:p>
    <w:p>
      <w:pPr>
        <w:spacing w:line="432" w:lineRule="exact" w:before="0"/>
        <w:ind w:left="2821" w:right="0" w:firstLine="0"/>
        <w:jc w:val="left"/>
        <w:rPr>
          <w:b/>
          <w:sz w:val="36"/>
        </w:rPr>
      </w:pPr>
      <w:r>
        <w:rPr>
          <w:b/>
          <w:sz w:val="36"/>
        </w:rPr>
        <w:t>International Resource Panel,</w:t>
      </w:r>
    </w:p>
    <w:p>
      <w:pPr>
        <w:spacing w:line="436" w:lineRule="exact" w:before="0"/>
        <w:ind w:left="2821" w:right="0" w:firstLine="0"/>
        <w:jc w:val="left"/>
        <w:rPr>
          <w:b/>
          <w:sz w:val="36"/>
        </w:rPr>
      </w:pPr>
      <w:r>
        <w:rPr>
          <w:b/>
          <w:sz w:val="36"/>
        </w:rPr>
        <w:t>UN Environment</w:t>
      </w:r>
    </w:p>
    <w:p>
      <w:pPr>
        <w:pStyle w:val="BodyText"/>
        <w:spacing w:before="3"/>
        <w:rPr>
          <w:b/>
          <w:sz w:val="51"/>
        </w:rPr>
      </w:pPr>
    </w:p>
    <w:p>
      <w:pPr>
        <w:spacing w:before="0"/>
        <w:ind w:left="2792" w:right="0" w:firstLine="0"/>
        <w:jc w:val="left"/>
        <w:rPr>
          <w:b/>
          <w:sz w:val="96"/>
        </w:rPr>
      </w:pPr>
      <w:r>
        <w:rPr>
          <w:b/>
          <w:sz w:val="96"/>
        </w:rPr>
        <w:t>awe.gov.au/abares</w:t>
      </w:r>
    </w:p>
    <w:p>
      <w:pPr>
        <w:pStyle w:val="BodyText"/>
        <w:spacing w:before="3"/>
        <w:rPr>
          <w:b/>
          <w:sz w:val="18"/>
        </w:rPr>
      </w:pPr>
    </w:p>
    <w:p>
      <w:pPr>
        <w:pStyle w:val="BodyText"/>
        <w:spacing w:line="235" w:lineRule="auto" w:before="41"/>
        <w:ind w:left="2821" w:right="8760"/>
      </w:pPr>
      <w:r>
        <w:rPr/>
        <w:t>The Australian Bureau of Agricultural and Resource Economics and Sciences is the research arm of the Australian Government Department of Agriculture, Water and the Environment.</w:t>
      </w:r>
    </w:p>
    <w:p>
      <w:pPr>
        <w:pStyle w:val="BodyText"/>
        <w:spacing w:before="8"/>
        <w:rPr>
          <w:sz w:val="31"/>
        </w:rPr>
      </w:pPr>
    </w:p>
    <w:p>
      <w:pPr>
        <w:pStyle w:val="BodyText"/>
        <w:spacing w:line="235" w:lineRule="auto"/>
        <w:ind w:left="2821" w:right="8582"/>
      </w:pPr>
      <w:r>
        <w:rPr/>
        <w:t>Our mission is to provide professionally independent data, research, analysis and advice that informs public and private decisions affecting Australian agriculture, fisheries and forestry.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before="35"/>
        <w:ind w:right="100"/>
        <w:jc w:val="right"/>
      </w:pPr>
      <w:r>
        <w:rPr>
          <w:w w:val="95"/>
        </w:rPr>
        <w:t>10</w:t>
      </w:r>
    </w:p>
    <w:sectPr>
      <w:pgSz w:w="23820" w:h="16840" w:orient="landscape"/>
      <w:pgMar w:top="1580" w:bottom="0" w:left="22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Webdings">
    <w:altName w:val="Webdings"/>
    <w:charset w:val="2"/>
    <w:family w:val="roman"/>
    <w:pitch w:val="variable"/>
  </w:font>
  <w:font w:name="Wingdings">
    <w:altName w:val="Wingdings"/>
    <w:charset w:val="2"/>
    <w:family w:val="auto"/>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589" w:hanging="452"/>
      </w:pPr>
      <w:rPr>
        <w:rFonts w:hint="default" w:ascii="Arial" w:hAnsi="Arial" w:eastAsia="Arial" w:cs="Arial"/>
        <w:w w:val="99"/>
        <w:sz w:val="32"/>
        <w:szCs w:val="32"/>
        <w:lang w:val="en-au" w:eastAsia="en-au" w:bidi="en-au"/>
      </w:rPr>
    </w:lvl>
    <w:lvl w:ilvl="1">
      <w:start w:val="0"/>
      <w:numFmt w:val="bullet"/>
      <w:lvlText w:val="•"/>
      <w:lvlJc w:val="left"/>
      <w:pPr>
        <w:ind w:left="1591" w:hanging="452"/>
      </w:pPr>
      <w:rPr>
        <w:rFonts w:hint="default"/>
        <w:lang w:val="en-au" w:eastAsia="en-au" w:bidi="en-au"/>
      </w:rPr>
    </w:lvl>
    <w:lvl w:ilvl="2">
      <w:start w:val="0"/>
      <w:numFmt w:val="bullet"/>
      <w:lvlText w:val="•"/>
      <w:lvlJc w:val="left"/>
      <w:pPr>
        <w:ind w:left="2602" w:hanging="452"/>
      </w:pPr>
      <w:rPr>
        <w:rFonts w:hint="default"/>
        <w:lang w:val="en-au" w:eastAsia="en-au" w:bidi="en-au"/>
      </w:rPr>
    </w:lvl>
    <w:lvl w:ilvl="3">
      <w:start w:val="0"/>
      <w:numFmt w:val="bullet"/>
      <w:lvlText w:val="•"/>
      <w:lvlJc w:val="left"/>
      <w:pPr>
        <w:ind w:left="3614" w:hanging="452"/>
      </w:pPr>
      <w:rPr>
        <w:rFonts w:hint="default"/>
        <w:lang w:val="en-au" w:eastAsia="en-au" w:bidi="en-au"/>
      </w:rPr>
    </w:lvl>
    <w:lvl w:ilvl="4">
      <w:start w:val="0"/>
      <w:numFmt w:val="bullet"/>
      <w:lvlText w:val="•"/>
      <w:lvlJc w:val="left"/>
      <w:pPr>
        <w:ind w:left="4625" w:hanging="452"/>
      </w:pPr>
      <w:rPr>
        <w:rFonts w:hint="default"/>
        <w:lang w:val="en-au" w:eastAsia="en-au" w:bidi="en-au"/>
      </w:rPr>
    </w:lvl>
    <w:lvl w:ilvl="5">
      <w:start w:val="0"/>
      <w:numFmt w:val="bullet"/>
      <w:lvlText w:val="•"/>
      <w:lvlJc w:val="left"/>
      <w:pPr>
        <w:ind w:left="5636" w:hanging="452"/>
      </w:pPr>
      <w:rPr>
        <w:rFonts w:hint="default"/>
        <w:lang w:val="en-au" w:eastAsia="en-au" w:bidi="en-au"/>
      </w:rPr>
    </w:lvl>
    <w:lvl w:ilvl="6">
      <w:start w:val="0"/>
      <w:numFmt w:val="bullet"/>
      <w:lvlText w:val="•"/>
      <w:lvlJc w:val="left"/>
      <w:pPr>
        <w:ind w:left="6648" w:hanging="452"/>
      </w:pPr>
      <w:rPr>
        <w:rFonts w:hint="default"/>
        <w:lang w:val="en-au" w:eastAsia="en-au" w:bidi="en-au"/>
      </w:rPr>
    </w:lvl>
    <w:lvl w:ilvl="7">
      <w:start w:val="0"/>
      <w:numFmt w:val="bullet"/>
      <w:lvlText w:val="•"/>
      <w:lvlJc w:val="left"/>
      <w:pPr>
        <w:ind w:left="7659" w:hanging="452"/>
      </w:pPr>
      <w:rPr>
        <w:rFonts w:hint="default"/>
        <w:lang w:val="en-au" w:eastAsia="en-au" w:bidi="en-au"/>
      </w:rPr>
    </w:lvl>
    <w:lvl w:ilvl="8">
      <w:start w:val="0"/>
      <w:numFmt w:val="bullet"/>
      <w:lvlText w:val="•"/>
      <w:lvlJc w:val="left"/>
      <w:pPr>
        <w:ind w:left="8671" w:hanging="452"/>
      </w:pPr>
      <w:rPr>
        <w:rFonts w:hint="default"/>
        <w:lang w:val="en-au" w:eastAsia="en-au" w:bidi="en-au"/>
      </w:rPr>
    </w:lvl>
  </w:abstractNum>
  <w:abstractNum w:abstractNumId="6">
    <w:multiLevelType w:val="hybridMultilevel"/>
    <w:lvl w:ilvl="0">
      <w:start w:val="0"/>
      <w:numFmt w:val="bullet"/>
      <w:lvlText w:val="•"/>
      <w:lvlJc w:val="left"/>
      <w:pPr>
        <w:ind w:left="587" w:hanging="452"/>
      </w:pPr>
      <w:rPr>
        <w:rFonts w:hint="default" w:ascii="Arial" w:hAnsi="Arial" w:eastAsia="Arial" w:cs="Arial"/>
        <w:w w:val="99"/>
        <w:sz w:val="32"/>
        <w:szCs w:val="32"/>
        <w:lang w:val="en-au" w:eastAsia="en-au" w:bidi="en-au"/>
      </w:rPr>
    </w:lvl>
    <w:lvl w:ilvl="1">
      <w:start w:val="0"/>
      <w:numFmt w:val="bullet"/>
      <w:lvlText w:val="•"/>
      <w:lvlJc w:val="left"/>
      <w:pPr>
        <w:ind w:left="1593" w:hanging="452"/>
      </w:pPr>
      <w:rPr>
        <w:rFonts w:hint="default"/>
        <w:lang w:val="en-au" w:eastAsia="en-au" w:bidi="en-au"/>
      </w:rPr>
    </w:lvl>
    <w:lvl w:ilvl="2">
      <w:start w:val="0"/>
      <w:numFmt w:val="bullet"/>
      <w:lvlText w:val="•"/>
      <w:lvlJc w:val="left"/>
      <w:pPr>
        <w:ind w:left="2607" w:hanging="452"/>
      </w:pPr>
      <w:rPr>
        <w:rFonts w:hint="default"/>
        <w:lang w:val="en-au" w:eastAsia="en-au" w:bidi="en-au"/>
      </w:rPr>
    </w:lvl>
    <w:lvl w:ilvl="3">
      <w:start w:val="0"/>
      <w:numFmt w:val="bullet"/>
      <w:lvlText w:val="•"/>
      <w:lvlJc w:val="left"/>
      <w:pPr>
        <w:ind w:left="3620" w:hanging="452"/>
      </w:pPr>
      <w:rPr>
        <w:rFonts w:hint="default"/>
        <w:lang w:val="en-au" w:eastAsia="en-au" w:bidi="en-au"/>
      </w:rPr>
    </w:lvl>
    <w:lvl w:ilvl="4">
      <w:start w:val="0"/>
      <w:numFmt w:val="bullet"/>
      <w:lvlText w:val="•"/>
      <w:lvlJc w:val="left"/>
      <w:pPr>
        <w:ind w:left="4634" w:hanging="452"/>
      </w:pPr>
      <w:rPr>
        <w:rFonts w:hint="default"/>
        <w:lang w:val="en-au" w:eastAsia="en-au" w:bidi="en-au"/>
      </w:rPr>
    </w:lvl>
    <w:lvl w:ilvl="5">
      <w:start w:val="0"/>
      <w:numFmt w:val="bullet"/>
      <w:lvlText w:val="•"/>
      <w:lvlJc w:val="left"/>
      <w:pPr>
        <w:ind w:left="5647" w:hanging="452"/>
      </w:pPr>
      <w:rPr>
        <w:rFonts w:hint="default"/>
        <w:lang w:val="en-au" w:eastAsia="en-au" w:bidi="en-au"/>
      </w:rPr>
    </w:lvl>
    <w:lvl w:ilvl="6">
      <w:start w:val="0"/>
      <w:numFmt w:val="bullet"/>
      <w:lvlText w:val="•"/>
      <w:lvlJc w:val="left"/>
      <w:pPr>
        <w:ind w:left="6661" w:hanging="452"/>
      </w:pPr>
      <w:rPr>
        <w:rFonts w:hint="default"/>
        <w:lang w:val="en-au" w:eastAsia="en-au" w:bidi="en-au"/>
      </w:rPr>
    </w:lvl>
    <w:lvl w:ilvl="7">
      <w:start w:val="0"/>
      <w:numFmt w:val="bullet"/>
      <w:lvlText w:val="•"/>
      <w:lvlJc w:val="left"/>
      <w:pPr>
        <w:ind w:left="7674" w:hanging="452"/>
      </w:pPr>
      <w:rPr>
        <w:rFonts w:hint="default"/>
        <w:lang w:val="en-au" w:eastAsia="en-au" w:bidi="en-au"/>
      </w:rPr>
    </w:lvl>
    <w:lvl w:ilvl="8">
      <w:start w:val="0"/>
      <w:numFmt w:val="bullet"/>
      <w:lvlText w:val="•"/>
      <w:lvlJc w:val="left"/>
      <w:pPr>
        <w:ind w:left="8688" w:hanging="452"/>
      </w:pPr>
      <w:rPr>
        <w:rFonts w:hint="default"/>
        <w:lang w:val="en-au" w:eastAsia="en-au" w:bidi="en-au"/>
      </w:rPr>
    </w:lvl>
  </w:abstractNum>
  <w:abstractNum w:abstractNumId="5">
    <w:multiLevelType w:val="hybridMultilevel"/>
    <w:lvl w:ilvl="0">
      <w:start w:val="0"/>
      <w:numFmt w:val="bullet"/>
      <w:lvlText w:val="•"/>
      <w:lvlJc w:val="left"/>
      <w:pPr>
        <w:ind w:left="587" w:hanging="452"/>
      </w:pPr>
      <w:rPr>
        <w:rFonts w:hint="default" w:ascii="Arial" w:hAnsi="Arial" w:eastAsia="Arial" w:cs="Arial"/>
        <w:w w:val="99"/>
        <w:sz w:val="32"/>
        <w:szCs w:val="32"/>
        <w:lang w:val="en-au" w:eastAsia="en-au" w:bidi="en-au"/>
      </w:rPr>
    </w:lvl>
    <w:lvl w:ilvl="1">
      <w:start w:val="0"/>
      <w:numFmt w:val="bullet"/>
      <w:lvlText w:val="•"/>
      <w:lvlJc w:val="left"/>
      <w:pPr>
        <w:ind w:left="880" w:hanging="452"/>
      </w:pPr>
      <w:rPr>
        <w:rFonts w:hint="default"/>
        <w:lang w:val="en-au" w:eastAsia="en-au" w:bidi="en-au"/>
      </w:rPr>
    </w:lvl>
    <w:lvl w:ilvl="2">
      <w:start w:val="0"/>
      <w:numFmt w:val="bullet"/>
      <w:lvlText w:val="•"/>
      <w:lvlJc w:val="left"/>
      <w:pPr>
        <w:ind w:left="2248" w:hanging="452"/>
      </w:pPr>
      <w:rPr>
        <w:rFonts w:hint="default"/>
        <w:lang w:val="en-au" w:eastAsia="en-au" w:bidi="en-au"/>
      </w:rPr>
    </w:lvl>
    <w:lvl w:ilvl="3">
      <w:start w:val="0"/>
      <w:numFmt w:val="bullet"/>
      <w:lvlText w:val="•"/>
      <w:lvlJc w:val="left"/>
      <w:pPr>
        <w:ind w:left="3616" w:hanging="452"/>
      </w:pPr>
      <w:rPr>
        <w:rFonts w:hint="default"/>
        <w:lang w:val="en-au" w:eastAsia="en-au" w:bidi="en-au"/>
      </w:rPr>
    </w:lvl>
    <w:lvl w:ilvl="4">
      <w:start w:val="0"/>
      <w:numFmt w:val="bullet"/>
      <w:lvlText w:val="•"/>
      <w:lvlJc w:val="left"/>
      <w:pPr>
        <w:ind w:left="4984" w:hanging="452"/>
      </w:pPr>
      <w:rPr>
        <w:rFonts w:hint="default"/>
        <w:lang w:val="en-au" w:eastAsia="en-au" w:bidi="en-au"/>
      </w:rPr>
    </w:lvl>
    <w:lvl w:ilvl="5">
      <w:start w:val="0"/>
      <w:numFmt w:val="bullet"/>
      <w:lvlText w:val="•"/>
      <w:lvlJc w:val="left"/>
      <w:pPr>
        <w:ind w:left="6353" w:hanging="452"/>
      </w:pPr>
      <w:rPr>
        <w:rFonts w:hint="default"/>
        <w:lang w:val="en-au" w:eastAsia="en-au" w:bidi="en-au"/>
      </w:rPr>
    </w:lvl>
    <w:lvl w:ilvl="6">
      <w:start w:val="0"/>
      <w:numFmt w:val="bullet"/>
      <w:lvlText w:val="•"/>
      <w:lvlJc w:val="left"/>
      <w:pPr>
        <w:ind w:left="7721" w:hanging="452"/>
      </w:pPr>
      <w:rPr>
        <w:rFonts w:hint="default"/>
        <w:lang w:val="en-au" w:eastAsia="en-au" w:bidi="en-au"/>
      </w:rPr>
    </w:lvl>
    <w:lvl w:ilvl="7">
      <w:start w:val="0"/>
      <w:numFmt w:val="bullet"/>
      <w:lvlText w:val="•"/>
      <w:lvlJc w:val="left"/>
      <w:pPr>
        <w:ind w:left="9089" w:hanging="452"/>
      </w:pPr>
      <w:rPr>
        <w:rFonts w:hint="default"/>
        <w:lang w:val="en-au" w:eastAsia="en-au" w:bidi="en-au"/>
      </w:rPr>
    </w:lvl>
    <w:lvl w:ilvl="8">
      <w:start w:val="0"/>
      <w:numFmt w:val="bullet"/>
      <w:lvlText w:val="•"/>
      <w:lvlJc w:val="left"/>
      <w:pPr>
        <w:ind w:left="10458" w:hanging="452"/>
      </w:pPr>
      <w:rPr>
        <w:rFonts w:hint="default"/>
        <w:lang w:val="en-au" w:eastAsia="en-au" w:bidi="en-au"/>
      </w:rPr>
    </w:lvl>
  </w:abstractNum>
  <w:abstractNum w:abstractNumId="4">
    <w:multiLevelType w:val="hybridMultilevel"/>
    <w:lvl w:ilvl="0">
      <w:start w:val="0"/>
      <w:numFmt w:val="bullet"/>
      <w:lvlText w:val="•"/>
      <w:lvlJc w:val="left"/>
      <w:pPr>
        <w:ind w:left="587" w:hanging="452"/>
      </w:pPr>
      <w:rPr>
        <w:rFonts w:hint="default" w:ascii="Arial" w:hAnsi="Arial" w:eastAsia="Arial" w:cs="Arial"/>
        <w:w w:val="99"/>
        <w:sz w:val="32"/>
        <w:szCs w:val="32"/>
        <w:lang w:val="en-au" w:eastAsia="en-au" w:bidi="en-au"/>
      </w:rPr>
    </w:lvl>
    <w:lvl w:ilvl="1">
      <w:start w:val="0"/>
      <w:numFmt w:val="bullet"/>
      <w:lvlText w:val="•"/>
      <w:lvlJc w:val="left"/>
      <w:pPr>
        <w:ind w:left="1377" w:hanging="452"/>
      </w:pPr>
      <w:rPr>
        <w:rFonts w:hint="default"/>
        <w:lang w:val="en-au" w:eastAsia="en-au" w:bidi="en-au"/>
      </w:rPr>
    </w:lvl>
    <w:lvl w:ilvl="2">
      <w:start w:val="0"/>
      <w:numFmt w:val="bullet"/>
      <w:lvlText w:val="•"/>
      <w:lvlJc w:val="left"/>
      <w:pPr>
        <w:ind w:left="2175" w:hanging="452"/>
      </w:pPr>
      <w:rPr>
        <w:rFonts w:hint="default"/>
        <w:lang w:val="en-au" w:eastAsia="en-au" w:bidi="en-au"/>
      </w:rPr>
    </w:lvl>
    <w:lvl w:ilvl="3">
      <w:start w:val="0"/>
      <w:numFmt w:val="bullet"/>
      <w:lvlText w:val="•"/>
      <w:lvlJc w:val="left"/>
      <w:pPr>
        <w:ind w:left="2972" w:hanging="452"/>
      </w:pPr>
      <w:rPr>
        <w:rFonts w:hint="default"/>
        <w:lang w:val="en-au" w:eastAsia="en-au" w:bidi="en-au"/>
      </w:rPr>
    </w:lvl>
    <w:lvl w:ilvl="4">
      <w:start w:val="0"/>
      <w:numFmt w:val="bullet"/>
      <w:lvlText w:val="•"/>
      <w:lvlJc w:val="left"/>
      <w:pPr>
        <w:ind w:left="3770" w:hanging="452"/>
      </w:pPr>
      <w:rPr>
        <w:rFonts w:hint="default"/>
        <w:lang w:val="en-au" w:eastAsia="en-au" w:bidi="en-au"/>
      </w:rPr>
    </w:lvl>
    <w:lvl w:ilvl="5">
      <w:start w:val="0"/>
      <w:numFmt w:val="bullet"/>
      <w:lvlText w:val="•"/>
      <w:lvlJc w:val="left"/>
      <w:pPr>
        <w:ind w:left="4567" w:hanging="452"/>
      </w:pPr>
      <w:rPr>
        <w:rFonts w:hint="default"/>
        <w:lang w:val="en-au" w:eastAsia="en-au" w:bidi="en-au"/>
      </w:rPr>
    </w:lvl>
    <w:lvl w:ilvl="6">
      <w:start w:val="0"/>
      <w:numFmt w:val="bullet"/>
      <w:lvlText w:val="•"/>
      <w:lvlJc w:val="left"/>
      <w:pPr>
        <w:ind w:left="5365" w:hanging="452"/>
      </w:pPr>
      <w:rPr>
        <w:rFonts w:hint="default"/>
        <w:lang w:val="en-au" w:eastAsia="en-au" w:bidi="en-au"/>
      </w:rPr>
    </w:lvl>
    <w:lvl w:ilvl="7">
      <w:start w:val="0"/>
      <w:numFmt w:val="bullet"/>
      <w:lvlText w:val="•"/>
      <w:lvlJc w:val="left"/>
      <w:pPr>
        <w:ind w:left="6162" w:hanging="452"/>
      </w:pPr>
      <w:rPr>
        <w:rFonts w:hint="default"/>
        <w:lang w:val="en-au" w:eastAsia="en-au" w:bidi="en-au"/>
      </w:rPr>
    </w:lvl>
    <w:lvl w:ilvl="8">
      <w:start w:val="0"/>
      <w:numFmt w:val="bullet"/>
      <w:lvlText w:val="•"/>
      <w:lvlJc w:val="left"/>
      <w:pPr>
        <w:ind w:left="6960" w:hanging="452"/>
      </w:pPr>
      <w:rPr>
        <w:rFonts w:hint="default"/>
        <w:lang w:val="en-au" w:eastAsia="en-au" w:bidi="en-au"/>
      </w:rPr>
    </w:lvl>
  </w:abstractNum>
  <w:abstractNum w:abstractNumId="3">
    <w:multiLevelType w:val="hybridMultilevel"/>
    <w:lvl w:ilvl="0">
      <w:start w:val="0"/>
      <w:numFmt w:val="bullet"/>
      <w:lvlText w:val="•"/>
      <w:lvlJc w:val="left"/>
      <w:pPr>
        <w:ind w:left="981" w:hanging="452"/>
      </w:pPr>
      <w:rPr>
        <w:rFonts w:hint="default" w:ascii="Arial" w:hAnsi="Arial" w:eastAsia="Arial" w:cs="Arial"/>
        <w:w w:val="99"/>
        <w:sz w:val="32"/>
        <w:szCs w:val="32"/>
        <w:lang w:val="en-au" w:eastAsia="en-au" w:bidi="en-au"/>
      </w:rPr>
    </w:lvl>
    <w:lvl w:ilvl="1">
      <w:start w:val="0"/>
      <w:numFmt w:val="bullet"/>
      <w:lvlText w:val="o"/>
      <w:lvlJc w:val="left"/>
      <w:pPr>
        <w:ind w:left="1276" w:hanging="449"/>
      </w:pPr>
      <w:rPr>
        <w:rFonts w:hint="default" w:ascii="Courier New" w:hAnsi="Courier New" w:eastAsia="Courier New" w:cs="Courier New"/>
        <w:w w:val="99"/>
        <w:sz w:val="32"/>
        <w:szCs w:val="32"/>
        <w:lang w:val="en-au" w:eastAsia="en-au" w:bidi="en-au"/>
      </w:rPr>
    </w:lvl>
    <w:lvl w:ilvl="2">
      <w:start w:val="0"/>
      <w:numFmt w:val="bullet"/>
      <w:lvlText w:val="•"/>
      <w:lvlJc w:val="left"/>
      <w:pPr>
        <w:ind w:left="3022" w:hanging="452"/>
      </w:pPr>
      <w:rPr>
        <w:rFonts w:hint="default" w:ascii="Arial" w:hAnsi="Arial" w:eastAsia="Arial" w:cs="Arial"/>
        <w:w w:val="99"/>
        <w:sz w:val="32"/>
        <w:szCs w:val="32"/>
        <w:lang w:val="en-au" w:eastAsia="en-au" w:bidi="en-au"/>
      </w:rPr>
    </w:lvl>
    <w:lvl w:ilvl="3">
      <w:start w:val="0"/>
      <w:numFmt w:val="bullet"/>
      <w:lvlText w:val="•"/>
      <w:lvlJc w:val="left"/>
      <w:pPr>
        <w:ind w:left="3020" w:hanging="452"/>
      </w:pPr>
      <w:rPr>
        <w:rFonts w:hint="default"/>
        <w:lang w:val="en-au" w:eastAsia="en-au" w:bidi="en-au"/>
      </w:rPr>
    </w:lvl>
    <w:lvl w:ilvl="4">
      <w:start w:val="0"/>
      <w:numFmt w:val="bullet"/>
      <w:lvlText w:val="•"/>
      <w:lvlJc w:val="left"/>
      <w:pPr>
        <w:ind w:left="3320" w:hanging="452"/>
      </w:pPr>
      <w:rPr>
        <w:rFonts w:hint="default"/>
        <w:lang w:val="en-au" w:eastAsia="en-au" w:bidi="en-au"/>
      </w:rPr>
    </w:lvl>
    <w:lvl w:ilvl="5">
      <w:start w:val="0"/>
      <w:numFmt w:val="bullet"/>
      <w:lvlText w:val="•"/>
      <w:lvlJc w:val="left"/>
      <w:pPr>
        <w:ind w:left="2854" w:hanging="452"/>
      </w:pPr>
      <w:rPr>
        <w:rFonts w:hint="default"/>
        <w:lang w:val="en-au" w:eastAsia="en-au" w:bidi="en-au"/>
      </w:rPr>
    </w:lvl>
    <w:lvl w:ilvl="6">
      <w:start w:val="0"/>
      <w:numFmt w:val="bullet"/>
      <w:lvlText w:val="•"/>
      <w:lvlJc w:val="left"/>
      <w:pPr>
        <w:ind w:left="2389" w:hanging="452"/>
      </w:pPr>
      <w:rPr>
        <w:rFonts w:hint="default"/>
        <w:lang w:val="en-au" w:eastAsia="en-au" w:bidi="en-au"/>
      </w:rPr>
    </w:lvl>
    <w:lvl w:ilvl="7">
      <w:start w:val="0"/>
      <w:numFmt w:val="bullet"/>
      <w:lvlText w:val="•"/>
      <w:lvlJc w:val="left"/>
      <w:pPr>
        <w:ind w:left="1924" w:hanging="452"/>
      </w:pPr>
      <w:rPr>
        <w:rFonts w:hint="default"/>
        <w:lang w:val="en-au" w:eastAsia="en-au" w:bidi="en-au"/>
      </w:rPr>
    </w:lvl>
    <w:lvl w:ilvl="8">
      <w:start w:val="0"/>
      <w:numFmt w:val="bullet"/>
      <w:lvlText w:val="•"/>
      <w:lvlJc w:val="left"/>
      <w:pPr>
        <w:ind w:left="1459" w:hanging="452"/>
      </w:pPr>
      <w:rPr>
        <w:rFonts w:hint="default"/>
        <w:lang w:val="en-au" w:eastAsia="en-au" w:bidi="en-au"/>
      </w:rPr>
    </w:lvl>
  </w:abstractNum>
  <w:abstractNum w:abstractNumId="2">
    <w:multiLevelType w:val="hybridMultilevel"/>
    <w:lvl w:ilvl="0">
      <w:start w:val="0"/>
      <w:numFmt w:val="bullet"/>
      <w:lvlText w:val="•"/>
      <w:lvlJc w:val="left"/>
      <w:pPr>
        <w:ind w:left="588" w:hanging="452"/>
      </w:pPr>
      <w:rPr>
        <w:rFonts w:hint="default" w:ascii="Arial" w:hAnsi="Arial" w:eastAsia="Arial" w:cs="Arial"/>
        <w:w w:val="99"/>
        <w:sz w:val="32"/>
        <w:szCs w:val="32"/>
        <w:lang w:val="en-au" w:eastAsia="en-au" w:bidi="en-au"/>
      </w:rPr>
    </w:lvl>
    <w:lvl w:ilvl="1">
      <w:start w:val="0"/>
      <w:numFmt w:val="bullet"/>
      <w:lvlText w:val="o"/>
      <w:lvlJc w:val="left"/>
      <w:pPr>
        <w:ind w:left="703" w:hanging="269"/>
      </w:pPr>
      <w:rPr>
        <w:rFonts w:hint="default" w:ascii="Courier New" w:hAnsi="Courier New" w:eastAsia="Courier New" w:cs="Courier New"/>
        <w:w w:val="99"/>
        <w:sz w:val="32"/>
        <w:szCs w:val="32"/>
        <w:lang w:val="en-au" w:eastAsia="en-au" w:bidi="en-au"/>
      </w:rPr>
    </w:lvl>
    <w:lvl w:ilvl="2">
      <w:start w:val="0"/>
      <w:numFmt w:val="bullet"/>
      <w:lvlText w:val="•"/>
      <w:lvlJc w:val="left"/>
      <w:pPr>
        <w:ind w:left="1446" w:hanging="269"/>
      </w:pPr>
      <w:rPr>
        <w:rFonts w:hint="default"/>
        <w:lang w:val="en-au" w:eastAsia="en-au" w:bidi="en-au"/>
      </w:rPr>
    </w:lvl>
    <w:lvl w:ilvl="3">
      <w:start w:val="0"/>
      <w:numFmt w:val="bullet"/>
      <w:lvlText w:val="•"/>
      <w:lvlJc w:val="left"/>
      <w:pPr>
        <w:ind w:left="2192" w:hanging="269"/>
      </w:pPr>
      <w:rPr>
        <w:rFonts w:hint="default"/>
        <w:lang w:val="en-au" w:eastAsia="en-au" w:bidi="en-au"/>
      </w:rPr>
    </w:lvl>
    <w:lvl w:ilvl="4">
      <w:start w:val="0"/>
      <w:numFmt w:val="bullet"/>
      <w:lvlText w:val="•"/>
      <w:lvlJc w:val="left"/>
      <w:pPr>
        <w:ind w:left="2938" w:hanging="269"/>
      </w:pPr>
      <w:rPr>
        <w:rFonts w:hint="default"/>
        <w:lang w:val="en-au" w:eastAsia="en-au" w:bidi="en-au"/>
      </w:rPr>
    </w:lvl>
    <w:lvl w:ilvl="5">
      <w:start w:val="0"/>
      <w:numFmt w:val="bullet"/>
      <w:lvlText w:val="•"/>
      <w:lvlJc w:val="left"/>
      <w:pPr>
        <w:ind w:left="3684" w:hanging="269"/>
      </w:pPr>
      <w:rPr>
        <w:rFonts w:hint="default"/>
        <w:lang w:val="en-au" w:eastAsia="en-au" w:bidi="en-au"/>
      </w:rPr>
    </w:lvl>
    <w:lvl w:ilvl="6">
      <w:start w:val="0"/>
      <w:numFmt w:val="bullet"/>
      <w:lvlText w:val="•"/>
      <w:lvlJc w:val="left"/>
      <w:pPr>
        <w:ind w:left="4430" w:hanging="269"/>
      </w:pPr>
      <w:rPr>
        <w:rFonts w:hint="default"/>
        <w:lang w:val="en-au" w:eastAsia="en-au" w:bidi="en-au"/>
      </w:rPr>
    </w:lvl>
    <w:lvl w:ilvl="7">
      <w:start w:val="0"/>
      <w:numFmt w:val="bullet"/>
      <w:lvlText w:val="•"/>
      <w:lvlJc w:val="left"/>
      <w:pPr>
        <w:ind w:left="5176" w:hanging="269"/>
      </w:pPr>
      <w:rPr>
        <w:rFonts w:hint="default"/>
        <w:lang w:val="en-au" w:eastAsia="en-au" w:bidi="en-au"/>
      </w:rPr>
    </w:lvl>
    <w:lvl w:ilvl="8">
      <w:start w:val="0"/>
      <w:numFmt w:val="bullet"/>
      <w:lvlText w:val="•"/>
      <w:lvlJc w:val="left"/>
      <w:pPr>
        <w:ind w:left="5923" w:hanging="269"/>
      </w:pPr>
      <w:rPr>
        <w:rFonts w:hint="default"/>
        <w:lang w:val="en-au" w:eastAsia="en-au" w:bidi="en-au"/>
      </w:rPr>
    </w:lvl>
  </w:abstractNum>
  <w:abstractNum w:abstractNumId="1">
    <w:multiLevelType w:val="hybridMultilevel"/>
    <w:lvl w:ilvl="0">
      <w:start w:val="0"/>
      <w:numFmt w:val="bullet"/>
      <w:lvlText w:val=""/>
      <w:lvlJc w:val="left"/>
      <w:pPr>
        <w:ind w:left="408" w:hanging="272"/>
      </w:pPr>
      <w:rPr>
        <w:rFonts w:hint="default" w:ascii="Wingdings" w:hAnsi="Wingdings" w:eastAsia="Wingdings" w:cs="Wingdings"/>
        <w:spacing w:val="17"/>
        <w:w w:val="99"/>
        <w:sz w:val="30"/>
        <w:szCs w:val="30"/>
        <w:lang w:val="en-au" w:eastAsia="en-au" w:bidi="en-au"/>
      </w:rPr>
    </w:lvl>
    <w:lvl w:ilvl="1">
      <w:start w:val="0"/>
      <w:numFmt w:val="bullet"/>
      <w:lvlText w:val="o"/>
      <w:lvlJc w:val="left"/>
      <w:pPr>
        <w:ind w:left="703" w:hanging="269"/>
      </w:pPr>
      <w:rPr>
        <w:rFonts w:hint="default" w:ascii="Courier New" w:hAnsi="Courier New" w:eastAsia="Courier New" w:cs="Courier New"/>
        <w:w w:val="99"/>
        <w:sz w:val="32"/>
        <w:szCs w:val="32"/>
        <w:lang w:val="en-au" w:eastAsia="en-au" w:bidi="en-au"/>
      </w:rPr>
    </w:lvl>
    <w:lvl w:ilvl="2">
      <w:start w:val="0"/>
      <w:numFmt w:val="bullet"/>
      <w:lvlText w:val="•"/>
      <w:lvlJc w:val="left"/>
      <w:pPr>
        <w:ind w:left="900" w:hanging="269"/>
      </w:pPr>
      <w:rPr>
        <w:rFonts w:hint="default"/>
        <w:lang w:val="en-au" w:eastAsia="en-au" w:bidi="en-au"/>
      </w:rPr>
    </w:lvl>
    <w:lvl w:ilvl="3">
      <w:start w:val="0"/>
      <w:numFmt w:val="bullet"/>
      <w:lvlText w:val="•"/>
      <w:lvlJc w:val="left"/>
      <w:pPr>
        <w:ind w:left="1870" w:hanging="269"/>
      </w:pPr>
      <w:rPr>
        <w:rFonts w:hint="default"/>
        <w:lang w:val="en-au" w:eastAsia="en-au" w:bidi="en-au"/>
      </w:rPr>
    </w:lvl>
    <w:lvl w:ilvl="4">
      <w:start w:val="0"/>
      <w:numFmt w:val="bullet"/>
      <w:lvlText w:val="•"/>
      <w:lvlJc w:val="left"/>
      <w:pPr>
        <w:ind w:left="2841" w:hanging="269"/>
      </w:pPr>
      <w:rPr>
        <w:rFonts w:hint="default"/>
        <w:lang w:val="en-au" w:eastAsia="en-au" w:bidi="en-au"/>
      </w:rPr>
    </w:lvl>
    <w:lvl w:ilvl="5">
      <w:start w:val="0"/>
      <w:numFmt w:val="bullet"/>
      <w:lvlText w:val="•"/>
      <w:lvlJc w:val="left"/>
      <w:pPr>
        <w:ind w:left="3812" w:hanging="269"/>
      </w:pPr>
      <w:rPr>
        <w:rFonts w:hint="default"/>
        <w:lang w:val="en-au" w:eastAsia="en-au" w:bidi="en-au"/>
      </w:rPr>
    </w:lvl>
    <w:lvl w:ilvl="6">
      <w:start w:val="0"/>
      <w:numFmt w:val="bullet"/>
      <w:lvlText w:val="•"/>
      <w:lvlJc w:val="left"/>
      <w:pPr>
        <w:ind w:left="4782" w:hanging="269"/>
      </w:pPr>
      <w:rPr>
        <w:rFonts w:hint="default"/>
        <w:lang w:val="en-au" w:eastAsia="en-au" w:bidi="en-au"/>
      </w:rPr>
    </w:lvl>
    <w:lvl w:ilvl="7">
      <w:start w:val="0"/>
      <w:numFmt w:val="bullet"/>
      <w:lvlText w:val="•"/>
      <w:lvlJc w:val="left"/>
      <w:pPr>
        <w:ind w:left="5753" w:hanging="269"/>
      </w:pPr>
      <w:rPr>
        <w:rFonts w:hint="default"/>
        <w:lang w:val="en-au" w:eastAsia="en-au" w:bidi="en-au"/>
      </w:rPr>
    </w:lvl>
    <w:lvl w:ilvl="8">
      <w:start w:val="0"/>
      <w:numFmt w:val="bullet"/>
      <w:lvlText w:val="•"/>
      <w:lvlJc w:val="left"/>
      <w:pPr>
        <w:ind w:left="6724" w:hanging="269"/>
      </w:pPr>
      <w:rPr>
        <w:rFonts w:hint="default"/>
        <w:lang w:val="en-au" w:eastAsia="en-au" w:bidi="en-au"/>
      </w:rPr>
    </w:lvl>
  </w:abstractNum>
  <w:abstractNum w:abstractNumId="0">
    <w:multiLevelType w:val="hybridMultilevel"/>
    <w:lvl w:ilvl="0">
      <w:start w:val="0"/>
      <w:numFmt w:val="bullet"/>
      <w:lvlText w:val="•"/>
      <w:lvlJc w:val="left"/>
      <w:pPr>
        <w:ind w:left="587" w:hanging="452"/>
      </w:pPr>
      <w:rPr>
        <w:rFonts w:hint="default" w:ascii="Arial" w:hAnsi="Arial" w:eastAsia="Arial" w:cs="Arial"/>
        <w:w w:val="99"/>
        <w:sz w:val="32"/>
        <w:szCs w:val="32"/>
        <w:lang w:val="en-au" w:eastAsia="en-au" w:bidi="en-au"/>
      </w:rPr>
    </w:lvl>
    <w:lvl w:ilvl="1">
      <w:start w:val="0"/>
      <w:numFmt w:val="bullet"/>
      <w:lvlText w:val="•"/>
      <w:lvlJc w:val="left"/>
      <w:pPr>
        <w:ind w:left="1329" w:hanging="452"/>
      </w:pPr>
      <w:rPr>
        <w:rFonts w:hint="default"/>
        <w:lang w:val="en-au" w:eastAsia="en-au" w:bidi="en-au"/>
      </w:rPr>
    </w:lvl>
    <w:lvl w:ilvl="2">
      <w:start w:val="0"/>
      <w:numFmt w:val="bullet"/>
      <w:lvlText w:val="•"/>
      <w:lvlJc w:val="left"/>
      <w:pPr>
        <w:ind w:left="2079" w:hanging="452"/>
      </w:pPr>
      <w:rPr>
        <w:rFonts w:hint="default"/>
        <w:lang w:val="en-au" w:eastAsia="en-au" w:bidi="en-au"/>
      </w:rPr>
    </w:lvl>
    <w:lvl w:ilvl="3">
      <w:start w:val="0"/>
      <w:numFmt w:val="bullet"/>
      <w:lvlText w:val="•"/>
      <w:lvlJc w:val="left"/>
      <w:pPr>
        <w:ind w:left="2829" w:hanging="452"/>
      </w:pPr>
      <w:rPr>
        <w:rFonts w:hint="default"/>
        <w:lang w:val="en-au" w:eastAsia="en-au" w:bidi="en-au"/>
      </w:rPr>
    </w:lvl>
    <w:lvl w:ilvl="4">
      <w:start w:val="0"/>
      <w:numFmt w:val="bullet"/>
      <w:lvlText w:val="•"/>
      <w:lvlJc w:val="left"/>
      <w:pPr>
        <w:ind w:left="3579" w:hanging="452"/>
      </w:pPr>
      <w:rPr>
        <w:rFonts w:hint="default"/>
        <w:lang w:val="en-au" w:eastAsia="en-au" w:bidi="en-au"/>
      </w:rPr>
    </w:lvl>
    <w:lvl w:ilvl="5">
      <w:start w:val="0"/>
      <w:numFmt w:val="bullet"/>
      <w:lvlText w:val="•"/>
      <w:lvlJc w:val="left"/>
      <w:pPr>
        <w:ind w:left="4328" w:hanging="452"/>
      </w:pPr>
      <w:rPr>
        <w:rFonts w:hint="default"/>
        <w:lang w:val="en-au" w:eastAsia="en-au" w:bidi="en-au"/>
      </w:rPr>
    </w:lvl>
    <w:lvl w:ilvl="6">
      <w:start w:val="0"/>
      <w:numFmt w:val="bullet"/>
      <w:lvlText w:val="•"/>
      <w:lvlJc w:val="left"/>
      <w:pPr>
        <w:ind w:left="5078" w:hanging="452"/>
      </w:pPr>
      <w:rPr>
        <w:rFonts w:hint="default"/>
        <w:lang w:val="en-au" w:eastAsia="en-au" w:bidi="en-au"/>
      </w:rPr>
    </w:lvl>
    <w:lvl w:ilvl="7">
      <w:start w:val="0"/>
      <w:numFmt w:val="bullet"/>
      <w:lvlText w:val="•"/>
      <w:lvlJc w:val="left"/>
      <w:pPr>
        <w:ind w:left="5828" w:hanging="452"/>
      </w:pPr>
      <w:rPr>
        <w:rFonts w:hint="default"/>
        <w:lang w:val="en-au" w:eastAsia="en-au" w:bidi="en-au"/>
      </w:rPr>
    </w:lvl>
    <w:lvl w:ilvl="8">
      <w:start w:val="0"/>
      <w:numFmt w:val="bullet"/>
      <w:lvlText w:val="•"/>
      <w:lvlJc w:val="left"/>
      <w:pPr>
        <w:ind w:left="6578" w:hanging="452"/>
      </w:pPr>
      <w:rPr>
        <w:rFonts w:hint="default"/>
        <w:lang w:val="en-au" w:eastAsia="en-au" w:bidi="en-au"/>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au" w:bidi="en-au"/>
    </w:rPr>
  </w:style>
  <w:style w:styleId="BodyText" w:type="paragraph">
    <w:name w:val="Body Text"/>
    <w:basedOn w:val="Normal"/>
    <w:uiPriority w:val="1"/>
    <w:qFormat/>
    <w:pPr/>
    <w:rPr>
      <w:rFonts w:ascii="Calibri" w:hAnsi="Calibri" w:eastAsia="Calibri" w:cs="Calibri"/>
      <w:sz w:val="32"/>
      <w:szCs w:val="32"/>
      <w:lang w:val="en-au" w:eastAsia="en-au" w:bidi="en-au"/>
    </w:rPr>
  </w:style>
  <w:style w:styleId="Heading1" w:type="paragraph">
    <w:name w:val="Heading 1"/>
    <w:basedOn w:val="Normal"/>
    <w:uiPriority w:val="1"/>
    <w:qFormat/>
    <w:pPr>
      <w:spacing w:before="103"/>
      <w:ind w:left="6272"/>
      <w:outlineLvl w:val="1"/>
    </w:pPr>
    <w:rPr>
      <w:rFonts w:ascii="Calibri" w:hAnsi="Calibri" w:eastAsia="Calibri" w:cs="Calibri"/>
      <w:b/>
      <w:bCs/>
      <w:sz w:val="64"/>
      <w:szCs w:val="64"/>
      <w:lang w:val="en-au" w:eastAsia="en-au" w:bidi="en-au"/>
    </w:rPr>
  </w:style>
  <w:style w:styleId="Heading2" w:type="paragraph">
    <w:name w:val="Heading 2"/>
    <w:basedOn w:val="Normal"/>
    <w:uiPriority w:val="1"/>
    <w:qFormat/>
    <w:pPr>
      <w:ind w:left="2638"/>
      <w:outlineLvl w:val="2"/>
    </w:pPr>
    <w:rPr>
      <w:rFonts w:ascii="Calibri" w:hAnsi="Calibri" w:eastAsia="Calibri" w:cs="Calibri"/>
      <w:b/>
      <w:bCs/>
      <w:sz w:val="52"/>
      <w:szCs w:val="52"/>
      <w:lang w:val="en-au" w:eastAsia="en-au" w:bidi="en-au"/>
    </w:rPr>
  </w:style>
  <w:style w:styleId="Heading3" w:type="paragraph">
    <w:name w:val="Heading 3"/>
    <w:basedOn w:val="Normal"/>
    <w:uiPriority w:val="1"/>
    <w:qFormat/>
    <w:pPr>
      <w:spacing w:line="598" w:lineRule="exact"/>
      <w:ind w:left="6272"/>
      <w:outlineLvl w:val="3"/>
    </w:pPr>
    <w:rPr>
      <w:rFonts w:ascii="Calibri" w:hAnsi="Calibri" w:eastAsia="Calibri" w:cs="Calibri"/>
      <w:i/>
      <w:sz w:val="52"/>
      <w:szCs w:val="52"/>
      <w:lang w:val="en-au" w:eastAsia="en-au" w:bidi="en-au"/>
    </w:rPr>
  </w:style>
  <w:style w:styleId="Heading4" w:type="paragraph">
    <w:name w:val="Heading 4"/>
    <w:basedOn w:val="Normal"/>
    <w:uiPriority w:val="1"/>
    <w:qFormat/>
    <w:pPr>
      <w:spacing w:line="436" w:lineRule="exact"/>
      <w:ind w:left="2821"/>
      <w:outlineLvl w:val="4"/>
    </w:pPr>
    <w:rPr>
      <w:rFonts w:ascii="Calibri" w:hAnsi="Calibri" w:eastAsia="Calibri" w:cs="Calibri"/>
      <w:b/>
      <w:bCs/>
      <w:sz w:val="36"/>
      <w:szCs w:val="36"/>
      <w:lang w:val="en-au" w:eastAsia="en-au" w:bidi="en-au"/>
    </w:rPr>
  </w:style>
  <w:style w:styleId="Heading5" w:type="paragraph">
    <w:name w:val="Heading 5"/>
    <w:basedOn w:val="Normal"/>
    <w:uiPriority w:val="1"/>
    <w:qFormat/>
    <w:pPr>
      <w:spacing w:line="387" w:lineRule="exact"/>
      <w:ind w:left="1424"/>
      <w:outlineLvl w:val="5"/>
    </w:pPr>
    <w:rPr>
      <w:rFonts w:ascii="Calibri" w:hAnsi="Calibri" w:eastAsia="Calibri" w:cs="Calibri"/>
      <w:b/>
      <w:bCs/>
      <w:sz w:val="32"/>
      <w:szCs w:val="32"/>
      <w:lang w:val="en-au" w:eastAsia="en-au" w:bidi="en-au"/>
    </w:rPr>
  </w:style>
  <w:style w:styleId="ListParagraph" w:type="paragraph">
    <w:name w:val="List Paragraph"/>
    <w:basedOn w:val="Normal"/>
    <w:uiPriority w:val="1"/>
    <w:qFormat/>
    <w:pPr>
      <w:spacing w:before="116"/>
      <w:ind w:left="953" w:hanging="452"/>
    </w:pPr>
    <w:rPr>
      <w:rFonts w:ascii="Calibri" w:hAnsi="Calibri" w:eastAsia="Calibri" w:cs="Calibri"/>
      <w:lang w:val="en-au" w:eastAsia="en-au" w:bidi="en-au"/>
    </w:rPr>
  </w:style>
  <w:style w:styleId="TableParagraph" w:type="paragraph">
    <w:name w:val="Table Paragraph"/>
    <w:basedOn w:val="Normal"/>
    <w:uiPriority w:val="1"/>
    <w:qFormat/>
    <w:pPr/>
    <w:rPr>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copyright@awe.gov.au" TargetMode="External"/><Relationship Id="rId8" Type="http://schemas.openxmlformats.org/officeDocument/2006/relationships/image" Target="media/image3.png"/><Relationship Id="rId9" Type="http://schemas.openxmlformats.org/officeDocument/2006/relationships/hyperlink" Target="https://doi.org/10.25814/2twd-0018"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s://soe.environment.gov.au/download/reports" TargetMode="External"/><Relationship Id="rId17" Type="http://schemas.openxmlformats.org/officeDocument/2006/relationships/hyperlink" Target="https://publications.csiro.au/rpr/pub?pid=csiro%3AEP154878" TargetMode="External"/><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hyperlink" Target="https://www.agriculture.gov.au/abares/publications/insights/snapshot-of-australian-agriculture-2020" TargetMode="External"/><Relationship Id="rId22" Type="http://schemas.openxmlformats.org/officeDocument/2006/relationships/hyperlink" Target="https://www.agriculture.gov.au/abares/publications/insights/global-agriculture-and-food-value-chains" TargetMode="External"/><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hyperlink" Target="https://www.agriculture.gov.au/abares/research-topics/climate/farm-performance-climate" TargetMode="External"/><Relationship Id="rId29" Type="http://schemas.openxmlformats.org/officeDocument/2006/relationships/hyperlink" Target="https://ideas.repec.org/p/ags/aare12/124202.html" TargetMode="External"/><Relationship Id="rId30" Type="http://schemas.openxmlformats.org/officeDocument/2006/relationships/image" Target="media/image18.jpeg"/><Relationship Id="rId31" Type="http://schemas.openxmlformats.org/officeDocument/2006/relationships/hyperlink" Target="https://www.agriculture.gov.au/abares/research-topics/trade/analysis-of-government-support-agricultural-producers" TargetMode="External"/><Relationship Id="rId32" Type="http://schemas.openxmlformats.org/officeDocument/2006/relationships/hyperlink" Target="https://daff.ent.sirsidynix.net.au/client/en_AU/search/asset/1027311/0" TargetMode="External"/><Relationship Id="rId33" Type="http://schemas.openxmlformats.org/officeDocument/2006/relationships/image" Target="media/image19.jpe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hyperlink" Target="https://www.agriculture.gov.au/abares/research-topics/water/murray-darling-basin-trends-and-drivers" TargetMode="External"/><Relationship Id="rId38" Type="http://schemas.openxmlformats.org/officeDocument/2006/relationships/hyperlink" Target="https://daff.ent.sirsidynix.net.au/client/en_AU/search/asset/1030661/0" TargetMode="External"/><Relationship Id="rId39" Type="http://schemas.openxmlformats.org/officeDocument/2006/relationships/image" Target="media/image23.jpeg"/><Relationship Id="rId40" Type="http://schemas.openxmlformats.org/officeDocument/2006/relationships/image" Target="media/image24.pn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hyperlink" Target="https://www.oecd-ilibrary.org/agriculture-and-food/oecd-fao-agricultural-outlook-2019-2028_agr_outlook-2019-en" TargetMode="External"/><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jpeg"/><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2020-11-10T01:52:30Z</dcterms:created>
  <dcterms:modified xsi:type="dcterms:W3CDTF">2020-11-10T01:52:30Z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2020-11-10T00:00:00Z</vt:filetime>
  </property>
  <property fmtid="{D5CDD505-2E9C-101B-9397-08002B2CF9AE}" pid="3" name="Creator">
    <vt:lpwstr>Microsoft® PowerPoint® for Microsoft 365</vt:lpwstr>
  </property>
  <property fmtid="{D5CDD505-2E9C-101B-9397-08002B2CF9AE}" pid="4" name="LastSaved">
    <vt:filetime>2020-11-10T00:00:00Z</vt:filetime>
  </property>
</Properties>
</file>