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342BC" w14:textId="77777777" w:rsidR="00304BEB" w:rsidRDefault="00304BEB" w:rsidP="004F356A">
      <w:pPr>
        <w:pStyle w:val="Heading1"/>
      </w:pPr>
      <w:r>
        <w:rPr>
          <w:noProof/>
          <w:lang w:val="en-AU" w:eastAsia="en-AU"/>
        </w:rPr>
        <w:drawing>
          <wp:inline distT="0" distB="0" distL="0" distR="0" wp14:anchorId="4D5B8CF3" wp14:editId="4C3B2C7B">
            <wp:extent cx="3225554" cy="553720"/>
            <wp:effectExtent l="0" t="0" r="635" b="5080"/>
            <wp:docPr id="7" name="Picture 7" title="Australian Government Department of the Environment and Ener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EnE-inline-Blue.jpg"/>
                    <pic:cNvPicPr/>
                  </pic:nvPicPr>
                  <pic:blipFill>
                    <a:blip r:embed="rId7">
                      <a:extLst>
                        <a:ext uri="{28A0092B-C50C-407E-A947-70E740481C1C}">
                          <a14:useLocalDpi xmlns:a14="http://schemas.microsoft.com/office/drawing/2010/main" val="0"/>
                        </a:ext>
                      </a:extLst>
                    </a:blip>
                    <a:stretch>
                      <a:fillRect/>
                    </a:stretch>
                  </pic:blipFill>
                  <pic:spPr>
                    <a:xfrm>
                      <a:off x="0" y="0"/>
                      <a:ext cx="3227397" cy="554036"/>
                    </a:xfrm>
                    <a:prstGeom prst="rect">
                      <a:avLst/>
                    </a:prstGeom>
                  </pic:spPr>
                </pic:pic>
              </a:graphicData>
            </a:graphic>
          </wp:inline>
        </w:drawing>
      </w:r>
    </w:p>
    <w:p w14:paraId="6FD40EF8" w14:textId="77777777" w:rsidR="00381548" w:rsidRPr="00381548" w:rsidRDefault="00381548" w:rsidP="00381548"/>
    <w:p w14:paraId="354F36C8" w14:textId="297FA240" w:rsidR="00CC51D7" w:rsidRPr="00453F66" w:rsidRDefault="00354327" w:rsidP="00354327">
      <w:pPr>
        <w:pStyle w:val="Heading1"/>
        <w:jc w:val="center"/>
      </w:pPr>
      <w:r w:rsidRPr="00453F66">
        <w:t>PEOPLE STRATEGY 2018-22</w:t>
      </w:r>
    </w:p>
    <w:p w14:paraId="3AF565B5" w14:textId="07EECEA7" w:rsidR="004F356A" w:rsidRPr="00354327" w:rsidRDefault="00CC51D7" w:rsidP="00354327">
      <w:pPr>
        <w:jc w:val="center"/>
        <w:rPr>
          <w:color w:val="548DD4" w:themeColor="text2" w:themeTint="99"/>
        </w:rPr>
      </w:pPr>
      <w:r w:rsidRPr="00354327">
        <w:rPr>
          <w:color w:val="548DD4" w:themeColor="text2" w:themeTint="99"/>
        </w:rPr>
        <w:t>We support a healthy environment, strong economy and thriving community for all Australians by fostering productive relationships and collaborating on policy, program and regulation. Our workforce is rapidly changing and so is the Australian Public Service. How we add public value and how we deliver positive outcomes continues to evolve. How we do our work, how we interact with technology and data, and how we collaborate with government, communities, business and the public will be our greatest challenge</w:t>
      </w:r>
      <w:r w:rsidR="004F356A" w:rsidRPr="00354327">
        <w:rPr>
          <w:color w:val="548DD4" w:themeColor="text2" w:themeTint="99"/>
        </w:rPr>
        <w:t xml:space="preserve"> and our greatest opportunity.</w:t>
      </w:r>
    </w:p>
    <w:p w14:paraId="5F218BC7" w14:textId="24FC3F97" w:rsidR="00DF778E" w:rsidRPr="00354327" w:rsidRDefault="00CC51D7" w:rsidP="00354327">
      <w:pPr>
        <w:jc w:val="center"/>
        <w:rPr>
          <w:color w:val="548DD4" w:themeColor="text2" w:themeTint="99"/>
        </w:rPr>
      </w:pPr>
      <w:r w:rsidRPr="00354327">
        <w:rPr>
          <w:color w:val="548DD4" w:themeColor="text2" w:themeTint="99"/>
        </w:rPr>
        <w:t>To support our workforce for the future, we will deliver a range of initiatives under the following four pillars.</w:t>
      </w:r>
    </w:p>
    <w:p w14:paraId="36BD1356" w14:textId="77777777" w:rsidR="004F356A" w:rsidRPr="00453F66" w:rsidRDefault="004F356A" w:rsidP="004F35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Caption w:val="The four pillars of the People Startegy 2018-22"/>
      </w:tblPr>
      <w:tblGrid>
        <w:gridCol w:w="5529"/>
        <w:gridCol w:w="5724"/>
        <w:gridCol w:w="5167"/>
        <w:gridCol w:w="5940"/>
      </w:tblGrid>
      <w:tr w:rsidR="00CC51D7" w:rsidRPr="00453F66" w14:paraId="5BB4FDB9" w14:textId="77777777" w:rsidTr="00E831B4">
        <w:tc>
          <w:tcPr>
            <w:tcW w:w="5529" w:type="dxa"/>
          </w:tcPr>
          <w:p w14:paraId="0E9B88F6" w14:textId="77777777" w:rsidR="004F356A" w:rsidRDefault="004F356A" w:rsidP="00453F66">
            <w:pPr>
              <w:rPr>
                <w:sz w:val="20"/>
                <w:szCs w:val="20"/>
              </w:rPr>
            </w:pPr>
            <w:r>
              <w:rPr>
                <w:noProof/>
                <w:sz w:val="20"/>
                <w:szCs w:val="20"/>
                <w:lang w:val="en-AU" w:eastAsia="en-AU"/>
              </w:rPr>
              <w:drawing>
                <wp:inline distT="0" distB="0" distL="0" distR="0" wp14:anchorId="15263B3C" wp14:editId="213C2F81">
                  <wp:extent cx="685800" cy="685800"/>
                  <wp:effectExtent l="0" t="0" r="0" b="0"/>
                  <wp:docPr id="2" name="Picture 2" title="  Small icon of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nurture-icon.jp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7FE1FA1D" w14:textId="77777777" w:rsidR="00CC51D7" w:rsidRPr="004F356A" w:rsidRDefault="00CC51D7" w:rsidP="00304BEB">
            <w:pPr>
              <w:pStyle w:val="Heading2"/>
              <w:outlineLvl w:val="1"/>
            </w:pPr>
            <w:r w:rsidRPr="004F356A">
              <w:t xml:space="preserve">Nurture and </w:t>
            </w:r>
            <w:r w:rsidRPr="00304BEB">
              <w:t>Grow</w:t>
            </w:r>
            <w:r w:rsidRPr="004F356A">
              <w:t xml:space="preserve"> our Skills</w:t>
            </w:r>
          </w:p>
        </w:tc>
        <w:tc>
          <w:tcPr>
            <w:tcW w:w="5724" w:type="dxa"/>
          </w:tcPr>
          <w:p w14:paraId="1B4525F2" w14:textId="77777777" w:rsidR="004F356A" w:rsidRDefault="004F356A" w:rsidP="00453F66">
            <w:pPr>
              <w:rPr>
                <w:sz w:val="20"/>
                <w:szCs w:val="20"/>
              </w:rPr>
            </w:pPr>
            <w:r>
              <w:rPr>
                <w:noProof/>
                <w:sz w:val="20"/>
                <w:szCs w:val="20"/>
                <w:lang w:val="en-AU" w:eastAsia="en-AU"/>
              </w:rPr>
              <w:drawing>
                <wp:inline distT="0" distB="0" distL="0" distR="0" wp14:anchorId="0555FDA5" wp14:editId="1CF724DB">
                  <wp:extent cx="670560" cy="670560"/>
                  <wp:effectExtent l="0" t="0" r="0" b="0"/>
                  <wp:docPr id="3" name="Picture 3" title="Small icon of a group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eadership-icon.jpg"/>
                          <pic:cNvPicPr/>
                        </pic:nvPicPr>
                        <pic:blipFill>
                          <a:blip r:embed="rId9">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inline>
              </w:drawing>
            </w:r>
          </w:p>
          <w:p w14:paraId="46CD6EAF" w14:textId="77777777" w:rsidR="00CC51D7" w:rsidRPr="004F356A" w:rsidRDefault="00CC51D7" w:rsidP="00304BEB">
            <w:pPr>
              <w:pStyle w:val="Heading2"/>
              <w:outlineLvl w:val="1"/>
            </w:pPr>
            <w:r w:rsidRPr="004F356A">
              <w:t>Cultivate Leadership</w:t>
            </w:r>
          </w:p>
        </w:tc>
        <w:tc>
          <w:tcPr>
            <w:tcW w:w="0" w:type="auto"/>
          </w:tcPr>
          <w:p w14:paraId="521C0B23" w14:textId="77777777" w:rsidR="004F356A" w:rsidRDefault="004F356A" w:rsidP="00453F66">
            <w:pPr>
              <w:rPr>
                <w:sz w:val="20"/>
                <w:szCs w:val="20"/>
              </w:rPr>
            </w:pPr>
            <w:r>
              <w:rPr>
                <w:noProof/>
                <w:sz w:val="20"/>
                <w:szCs w:val="20"/>
                <w:lang w:val="en-AU" w:eastAsia="en-AU"/>
              </w:rPr>
              <w:drawing>
                <wp:inline distT="0" distB="0" distL="0" distR="0" wp14:anchorId="77FEB835" wp14:editId="504DB9DA">
                  <wp:extent cx="680720" cy="680720"/>
                  <wp:effectExtent l="0" t="0" r="5080" b="5080"/>
                  <wp:docPr id="4" name="Picture 4" title="Small icon of different coloured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diversity-icon.jpg"/>
                          <pic:cNvPicPr/>
                        </pic:nvPicPr>
                        <pic:blipFill>
                          <a:blip r:embed="rId10">
                            <a:extLst>
                              <a:ext uri="{28A0092B-C50C-407E-A947-70E740481C1C}">
                                <a14:useLocalDpi xmlns:a14="http://schemas.microsoft.com/office/drawing/2010/main" val="0"/>
                              </a:ext>
                            </a:extLst>
                          </a:blip>
                          <a:stretch>
                            <a:fillRect/>
                          </a:stretch>
                        </pic:blipFill>
                        <pic:spPr>
                          <a:xfrm>
                            <a:off x="0" y="0"/>
                            <a:ext cx="680720" cy="680720"/>
                          </a:xfrm>
                          <a:prstGeom prst="rect">
                            <a:avLst/>
                          </a:prstGeom>
                        </pic:spPr>
                      </pic:pic>
                    </a:graphicData>
                  </a:graphic>
                </wp:inline>
              </w:drawing>
            </w:r>
          </w:p>
          <w:p w14:paraId="18E41635" w14:textId="77777777" w:rsidR="00CC51D7" w:rsidRPr="004F356A" w:rsidRDefault="00CC51D7" w:rsidP="00304BEB">
            <w:pPr>
              <w:pStyle w:val="Heading2"/>
              <w:outlineLvl w:val="1"/>
            </w:pPr>
            <w:r w:rsidRPr="004F356A">
              <w:t>Embrace the benefits of diversity</w:t>
            </w:r>
          </w:p>
        </w:tc>
        <w:tc>
          <w:tcPr>
            <w:tcW w:w="0" w:type="auto"/>
          </w:tcPr>
          <w:p w14:paraId="0134B697" w14:textId="77777777" w:rsidR="004F356A" w:rsidRDefault="004F356A" w:rsidP="00453F66">
            <w:pPr>
              <w:rPr>
                <w:sz w:val="20"/>
                <w:szCs w:val="20"/>
              </w:rPr>
            </w:pPr>
            <w:r>
              <w:rPr>
                <w:noProof/>
                <w:sz w:val="20"/>
                <w:szCs w:val="20"/>
                <w:lang w:val="en-AU" w:eastAsia="en-AU"/>
              </w:rPr>
              <w:drawing>
                <wp:inline distT="0" distB="0" distL="0" distR="0" wp14:anchorId="1B19D676" wp14:editId="50DFC74C">
                  <wp:extent cx="629920" cy="629920"/>
                  <wp:effectExtent l="0" t="0" r="5080" b="5080"/>
                  <wp:docPr id="5" name="Picture 5" title="Small icon of an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workplaces-icon.jpg"/>
                          <pic:cNvPicPr/>
                        </pic:nvPicPr>
                        <pic:blipFill>
                          <a:blip r:embed="rId11">
                            <a:extLst>
                              <a:ext uri="{28A0092B-C50C-407E-A947-70E740481C1C}">
                                <a14:useLocalDpi xmlns:a14="http://schemas.microsoft.com/office/drawing/2010/main" val="0"/>
                              </a:ext>
                            </a:extLst>
                          </a:blip>
                          <a:stretch>
                            <a:fillRect/>
                          </a:stretch>
                        </pic:blipFill>
                        <pic:spPr>
                          <a:xfrm>
                            <a:off x="0" y="0"/>
                            <a:ext cx="629920" cy="629920"/>
                          </a:xfrm>
                          <a:prstGeom prst="rect">
                            <a:avLst/>
                          </a:prstGeom>
                        </pic:spPr>
                      </pic:pic>
                    </a:graphicData>
                  </a:graphic>
                </wp:inline>
              </w:drawing>
            </w:r>
          </w:p>
          <w:p w14:paraId="5E4D6F55" w14:textId="77777777" w:rsidR="00CC51D7" w:rsidRPr="004F356A" w:rsidRDefault="00CC51D7" w:rsidP="00304BEB">
            <w:pPr>
              <w:pStyle w:val="Heading2"/>
              <w:outlineLvl w:val="1"/>
            </w:pPr>
            <w:r w:rsidRPr="004F356A">
              <w:t>Facilitate safe and healthy workplaces</w:t>
            </w:r>
          </w:p>
        </w:tc>
      </w:tr>
      <w:tr w:rsidR="00CC51D7" w:rsidRPr="00453F66" w14:paraId="0AE10A69" w14:textId="77777777" w:rsidTr="00E831B4">
        <w:tc>
          <w:tcPr>
            <w:tcW w:w="5529" w:type="dxa"/>
          </w:tcPr>
          <w:p w14:paraId="09219365" w14:textId="77777777" w:rsidR="00CC51D7" w:rsidRDefault="00CC51D7" w:rsidP="00453F66">
            <w:pPr>
              <w:rPr>
                <w:sz w:val="20"/>
                <w:szCs w:val="20"/>
              </w:rPr>
            </w:pPr>
            <w:r w:rsidRPr="00453F66">
              <w:rPr>
                <w:sz w:val="20"/>
                <w:szCs w:val="20"/>
              </w:rPr>
              <w:t xml:space="preserve">We will invest in our people. Our core competencies, critical and specialist skills will be understood, </w:t>
            </w:r>
            <w:proofErr w:type="spellStart"/>
            <w:r w:rsidRPr="00453F66">
              <w:rPr>
                <w:sz w:val="20"/>
                <w:szCs w:val="20"/>
              </w:rPr>
              <w:t>recognised</w:t>
            </w:r>
            <w:proofErr w:type="spellEnd"/>
            <w:r w:rsidRPr="00453F66">
              <w:rPr>
                <w:sz w:val="20"/>
                <w:szCs w:val="20"/>
              </w:rPr>
              <w:t xml:space="preserve"> and developed.</w:t>
            </w:r>
          </w:p>
          <w:p w14:paraId="2973CA86" w14:textId="77777777" w:rsidR="00E831B4" w:rsidRPr="00453F66" w:rsidRDefault="00E831B4" w:rsidP="00E831B4">
            <w:pPr>
              <w:rPr>
                <w:sz w:val="20"/>
                <w:szCs w:val="20"/>
              </w:rPr>
            </w:pPr>
            <w:r w:rsidRPr="00453F66">
              <w:rPr>
                <w:sz w:val="20"/>
                <w:szCs w:val="20"/>
              </w:rPr>
              <w:t>We will identify, attract and build the skills we need now and into the future. We will provide opportunities to develop the knowledge and experiences our people need to successfully contribute to the evolving responsibilities of the Department.</w:t>
            </w:r>
          </w:p>
          <w:p w14:paraId="49769273" w14:textId="77777777" w:rsidR="00E831B4" w:rsidRPr="00453F66" w:rsidRDefault="00E831B4" w:rsidP="00453F66">
            <w:pPr>
              <w:rPr>
                <w:sz w:val="20"/>
                <w:szCs w:val="20"/>
              </w:rPr>
            </w:pPr>
          </w:p>
        </w:tc>
        <w:tc>
          <w:tcPr>
            <w:tcW w:w="5724" w:type="dxa"/>
          </w:tcPr>
          <w:p w14:paraId="64DD235C" w14:textId="77777777" w:rsidR="00CC51D7" w:rsidRPr="00453F66" w:rsidRDefault="00CC51D7" w:rsidP="00453F66">
            <w:pPr>
              <w:rPr>
                <w:sz w:val="20"/>
                <w:szCs w:val="20"/>
              </w:rPr>
            </w:pPr>
            <w:r w:rsidRPr="00453F66">
              <w:rPr>
                <w:sz w:val="20"/>
                <w:szCs w:val="20"/>
              </w:rPr>
              <w:t>We expect our leaders to be influential, inclusive, respectful, accountable, innovative and collaborative. They will communicate our purpose and provide regular feedback on progress toward our goals.</w:t>
            </w:r>
          </w:p>
          <w:p w14:paraId="7E6CB475" w14:textId="77777777" w:rsidR="00CC51D7" w:rsidRPr="00453F66" w:rsidRDefault="00CC51D7" w:rsidP="00453F66">
            <w:pPr>
              <w:rPr>
                <w:sz w:val="20"/>
                <w:szCs w:val="20"/>
              </w:rPr>
            </w:pPr>
            <w:r w:rsidRPr="00453F66">
              <w:rPr>
                <w:sz w:val="20"/>
                <w:szCs w:val="20"/>
              </w:rPr>
              <w:t>While leadership should occur across all levels in the Department, we will build the capability and empower our Executive Level staff to balance support for our people while delivering our outcomes.</w:t>
            </w:r>
          </w:p>
          <w:p w14:paraId="2B53F3D3" w14:textId="77777777" w:rsidR="00CC51D7" w:rsidRPr="00453F66" w:rsidRDefault="00CC51D7" w:rsidP="00453F66">
            <w:pPr>
              <w:rPr>
                <w:sz w:val="20"/>
                <w:szCs w:val="20"/>
              </w:rPr>
            </w:pPr>
            <w:r w:rsidRPr="00453F66">
              <w:rPr>
                <w:sz w:val="20"/>
                <w:szCs w:val="20"/>
              </w:rPr>
              <w:t xml:space="preserve">Our leaders will actively manage risk, </w:t>
            </w:r>
            <w:proofErr w:type="spellStart"/>
            <w:r w:rsidRPr="00453F66">
              <w:rPr>
                <w:sz w:val="20"/>
                <w:szCs w:val="20"/>
              </w:rPr>
              <w:t>recognise</w:t>
            </w:r>
            <w:proofErr w:type="spellEnd"/>
            <w:r w:rsidRPr="00453F66">
              <w:rPr>
                <w:sz w:val="20"/>
                <w:szCs w:val="20"/>
              </w:rPr>
              <w:t xml:space="preserve"> and reward innovation and engage in conversations that drive high performance and support self-reflection for improvement and development.</w:t>
            </w:r>
          </w:p>
        </w:tc>
        <w:tc>
          <w:tcPr>
            <w:tcW w:w="0" w:type="auto"/>
          </w:tcPr>
          <w:p w14:paraId="4EBDC14A" w14:textId="77777777" w:rsidR="00CC51D7" w:rsidRPr="00453F66" w:rsidRDefault="00CC51D7" w:rsidP="00453F66">
            <w:pPr>
              <w:rPr>
                <w:sz w:val="20"/>
                <w:szCs w:val="20"/>
              </w:rPr>
            </w:pPr>
            <w:r w:rsidRPr="00453F66">
              <w:rPr>
                <w:sz w:val="20"/>
                <w:szCs w:val="20"/>
              </w:rPr>
              <w:t>We are committed to attracting and celebrating people from all backgrounds and we will continue to strengthen our inclusive and supportive environment.</w:t>
            </w:r>
          </w:p>
          <w:p w14:paraId="60AD1357" w14:textId="77777777" w:rsidR="00CC51D7" w:rsidRPr="00453F66" w:rsidRDefault="00CC51D7" w:rsidP="00453F66">
            <w:pPr>
              <w:rPr>
                <w:sz w:val="20"/>
                <w:szCs w:val="20"/>
              </w:rPr>
            </w:pPr>
            <w:r w:rsidRPr="00453F66">
              <w:rPr>
                <w:sz w:val="20"/>
                <w:szCs w:val="20"/>
              </w:rPr>
              <w:t xml:space="preserve">We </w:t>
            </w:r>
            <w:proofErr w:type="spellStart"/>
            <w:r w:rsidRPr="00453F66">
              <w:rPr>
                <w:sz w:val="20"/>
                <w:szCs w:val="20"/>
              </w:rPr>
              <w:t>recognise</w:t>
            </w:r>
            <w:proofErr w:type="spellEnd"/>
            <w:r w:rsidRPr="00453F66">
              <w:rPr>
                <w:sz w:val="20"/>
                <w:szCs w:val="20"/>
              </w:rPr>
              <w:t xml:space="preserve"> the importance of diversity and openly value the different skills, knowledge and perspectives our people bring with them.</w:t>
            </w:r>
          </w:p>
          <w:p w14:paraId="6ACBDA2D" w14:textId="77777777" w:rsidR="00CC51D7" w:rsidRPr="00453F66" w:rsidRDefault="00CC51D7" w:rsidP="00453F66">
            <w:pPr>
              <w:rPr>
                <w:sz w:val="20"/>
                <w:szCs w:val="20"/>
              </w:rPr>
            </w:pPr>
            <w:r w:rsidRPr="00453F66">
              <w:rPr>
                <w:sz w:val="20"/>
                <w:szCs w:val="20"/>
              </w:rPr>
              <w:t>We understand and appreciate our unique work locations and their respective cultures. We will work collaboratively to find ways to better connect our cultures across our regional and central offices.</w:t>
            </w:r>
          </w:p>
        </w:tc>
        <w:tc>
          <w:tcPr>
            <w:tcW w:w="0" w:type="auto"/>
          </w:tcPr>
          <w:p w14:paraId="297DEDEE" w14:textId="77777777" w:rsidR="00CC51D7" w:rsidRPr="00453F66" w:rsidRDefault="00CC51D7" w:rsidP="00453F66">
            <w:pPr>
              <w:rPr>
                <w:sz w:val="20"/>
                <w:szCs w:val="20"/>
              </w:rPr>
            </w:pPr>
            <w:r w:rsidRPr="00453F66">
              <w:rPr>
                <w:sz w:val="20"/>
                <w:szCs w:val="20"/>
              </w:rPr>
              <w:t>We are committed to ensuring the health and safety of our people and the people who our work directly affects. Our work spans contrasting locations and environments and we will take a risk-based approach when conducting our business.</w:t>
            </w:r>
          </w:p>
          <w:p w14:paraId="5F1D876B" w14:textId="77777777" w:rsidR="00CC51D7" w:rsidRPr="00453F66" w:rsidRDefault="00CC51D7" w:rsidP="00453F66">
            <w:pPr>
              <w:rPr>
                <w:sz w:val="20"/>
                <w:szCs w:val="20"/>
              </w:rPr>
            </w:pPr>
            <w:r w:rsidRPr="00453F66">
              <w:rPr>
                <w:sz w:val="20"/>
                <w:szCs w:val="20"/>
              </w:rPr>
              <w:t xml:space="preserve">We will have a strong focus on psychological health to increase overall resilience, health and wellbeing in our workforce. We will support our people by promoting healthy workplaces, </w:t>
            </w:r>
            <w:proofErr w:type="spellStart"/>
            <w:r w:rsidRPr="00453F66">
              <w:rPr>
                <w:sz w:val="20"/>
                <w:szCs w:val="20"/>
              </w:rPr>
              <w:t>behaviours</w:t>
            </w:r>
            <w:proofErr w:type="spellEnd"/>
            <w:r w:rsidRPr="00453F66">
              <w:rPr>
                <w:sz w:val="20"/>
                <w:szCs w:val="20"/>
              </w:rPr>
              <w:t xml:space="preserve"> and attitudes.</w:t>
            </w:r>
          </w:p>
        </w:tc>
      </w:tr>
    </w:tbl>
    <w:p w14:paraId="4DFE15D6" w14:textId="77777777" w:rsidR="00354327" w:rsidRDefault="00354327" w:rsidP="00354327">
      <w:pPr>
        <w:jc w:val="center"/>
        <w:rPr>
          <w:sz w:val="20"/>
          <w:szCs w:val="20"/>
        </w:rPr>
      </w:pPr>
    </w:p>
    <w:p w14:paraId="3DDDFAE4" w14:textId="6F7A9DA1" w:rsidR="00354327" w:rsidRPr="00354327" w:rsidRDefault="00354327" w:rsidP="00354327">
      <w:pPr>
        <w:jc w:val="center"/>
        <w:rPr>
          <w:color w:val="548DD4" w:themeColor="text2" w:themeTint="99"/>
        </w:rPr>
      </w:pPr>
      <w:r w:rsidRPr="00354327">
        <w:rPr>
          <w:color w:val="548DD4" w:themeColor="text2" w:themeTint="99"/>
        </w:rPr>
        <w:t>THE INVOLVEMENT AND ENGAGEMENT OF ABORIGINAL AND TORRES STRAIT ISLANDER PEOPLES IS DEEPLY IMPORTANT TO OUR DEPARTMENT. WE ACKNOWLEDGE THE IMPORTANT PERSPECTIVE ABORIGINAL AND TORRES STRAIT ISLANDER PEOPLES BRING TO OUR WORK AND CELEBRATE THE ROLE THEY PLAY AS KEY PARTNERS IN ACHIEVING OUR OUTCOMES.</w:t>
      </w:r>
    </w:p>
    <w:p w14:paraId="2A760DD1" w14:textId="77777777" w:rsidR="00304BEB" w:rsidRPr="00453F66" w:rsidRDefault="001238E7" w:rsidP="00453F66">
      <w:pPr>
        <w:rPr>
          <w:sz w:val="20"/>
          <w:szCs w:val="20"/>
        </w:rPr>
      </w:pPr>
      <w:r>
        <w:rPr>
          <w:noProof/>
          <w:sz w:val="20"/>
          <w:szCs w:val="20"/>
          <w:lang w:val="en-AU" w:eastAsia="en-AU"/>
        </w:rPr>
        <w:drawing>
          <wp:inline distT="0" distB="0" distL="0" distR="0" wp14:anchorId="7B306190" wp14:editId="3A3C7997">
            <wp:extent cx="14198600" cy="1431925"/>
            <wp:effectExtent l="0" t="0" r="0" b="0"/>
            <wp:docPr id="1" name="Picture 1" descr="Images (from left to right): Image of departmental staff inspecting fuel equipment; Image of aerial photo of the Great Barrier Reef; Image of a group of departmental staff from the Australia’s Wetlands team; Image of wind turbines; Image of an employee working in the Uluru-Katak Tjuka National Park; Image of the John Gorton Building in Canberra, Australia" title="Department of the Environment and Energ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s.jpg"/>
                    <pic:cNvPicPr/>
                  </pic:nvPicPr>
                  <pic:blipFill>
                    <a:blip r:embed="rId12">
                      <a:extLst>
                        <a:ext uri="{28A0092B-C50C-407E-A947-70E740481C1C}">
                          <a14:useLocalDpi xmlns:a14="http://schemas.microsoft.com/office/drawing/2010/main" val="0"/>
                        </a:ext>
                      </a:extLst>
                    </a:blip>
                    <a:stretch>
                      <a:fillRect/>
                    </a:stretch>
                  </pic:blipFill>
                  <pic:spPr>
                    <a:xfrm>
                      <a:off x="0" y="0"/>
                      <a:ext cx="14198600" cy="1431925"/>
                    </a:xfrm>
                    <a:prstGeom prst="rect">
                      <a:avLst/>
                    </a:prstGeom>
                  </pic:spPr>
                </pic:pic>
              </a:graphicData>
            </a:graphic>
          </wp:inline>
        </w:drawing>
      </w:r>
    </w:p>
    <w:p w14:paraId="0DFCD09D" w14:textId="77777777" w:rsidR="00304BEB" w:rsidRPr="00304BEB" w:rsidRDefault="00304BEB" w:rsidP="00304BEB">
      <w:pPr>
        <w:pStyle w:val="Heading2"/>
      </w:pPr>
      <w:r w:rsidRPr="00304BEB">
        <w:t>Our Future Workforce Will Be</w:t>
      </w:r>
    </w:p>
    <w:p w14:paraId="36DBC7AA" w14:textId="77777777" w:rsidR="00304BEB" w:rsidRPr="00304BEB" w:rsidRDefault="00304BEB" w:rsidP="00304BEB">
      <w:pPr>
        <w:pStyle w:val="ListParagraph"/>
        <w:numPr>
          <w:ilvl w:val="0"/>
          <w:numId w:val="1"/>
        </w:numPr>
        <w:tabs>
          <w:tab w:val="left" w:pos="9606"/>
        </w:tabs>
        <w:rPr>
          <w:sz w:val="20"/>
          <w:szCs w:val="20"/>
        </w:rPr>
      </w:pPr>
      <w:r w:rsidRPr="00304BEB">
        <w:rPr>
          <w:sz w:val="20"/>
          <w:szCs w:val="20"/>
        </w:rPr>
        <w:t xml:space="preserve">Influential and collaborative across all levels of leadership </w:t>
      </w:r>
    </w:p>
    <w:p w14:paraId="28879A2E" w14:textId="77777777" w:rsidR="00304BEB" w:rsidRPr="00304BEB" w:rsidRDefault="00304BEB" w:rsidP="00304BEB">
      <w:pPr>
        <w:pStyle w:val="ListParagraph"/>
        <w:numPr>
          <w:ilvl w:val="0"/>
          <w:numId w:val="1"/>
        </w:numPr>
        <w:tabs>
          <w:tab w:val="left" w:pos="9606"/>
        </w:tabs>
        <w:rPr>
          <w:sz w:val="20"/>
          <w:szCs w:val="20"/>
        </w:rPr>
      </w:pPr>
      <w:r w:rsidRPr="00304BEB">
        <w:rPr>
          <w:sz w:val="20"/>
          <w:szCs w:val="20"/>
        </w:rPr>
        <w:t>Productive, innovative, engaged and willing to embrace change</w:t>
      </w:r>
    </w:p>
    <w:p w14:paraId="75328CE2" w14:textId="77777777" w:rsidR="00304BEB" w:rsidRPr="00304BEB" w:rsidRDefault="00304BEB" w:rsidP="00304BEB">
      <w:pPr>
        <w:pStyle w:val="ListParagraph"/>
        <w:numPr>
          <w:ilvl w:val="0"/>
          <w:numId w:val="1"/>
        </w:numPr>
        <w:tabs>
          <w:tab w:val="left" w:pos="9606"/>
        </w:tabs>
        <w:rPr>
          <w:sz w:val="20"/>
          <w:szCs w:val="20"/>
        </w:rPr>
      </w:pPr>
      <w:r w:rsidRPr="00304BEB">
        <w:rPr>
          <w:sz w:val="20"/>
          <w:szCs w:val="20"/>
        </w:rPr>
        <w:t>Supported to work in flexible ways  both individually and structurally</w:t>
      </w:r>
    </w:p>
    <w:p w14:paraId="2F53A074" w14:textId="77777777" w:rsidR="00304BEB" w:rsidRPr="00304BEB" w:rsidRDefault="00304BEB" w:rsidP="00304BEB">
      <w:pPr>
        <w:pStyle w:val="ListParagraph"/>
        <w:numPr>
          <w:ilvl w:val="0"/>
          <w:numId w:val="1"/>
        </w:numPr>
        <w:tabs>
          <w:tab w:val="left" w:pos="9606"/>
        </w:tabs>
        <w:rPr>
          <w:sz w:val="20"/>
          <w:szCs w:val="20"/>
        </w:rPr>
      </w:pPr>
      <w:r w:rsidRPr="00304BEB">
        <w:rPr>
          <w:sz w:val="20"/>
          <w:szCs w:val="20"/>
        </w:rPr>
        <w:t>Inclusive of diversity in skills, knowledge and perspectives</w:t>
      </w:r>
    </w:p>
    <w:p w14:paraId="363F60C7" w14:textId="77777777" w:rsidR="00304BEB" w:rsidRPr="00304BEB" w:rsidRDefault="00304BEB" w:rsidP="00304BEB">
      <w:pPr>
        <w:pStyle w:val="ListParagraph"/>
        <w:numPr>
          <w:ilvl w:val="0"/>
          <w:numId w:val="1"/>
        </w:numPr>
        <w:tabs>
          <w:tab w:val="left" w:pos="9606"/>
        </w:tabs>
        <w:rPr>
          <w:sz w:val="20"/>
          <w:szCs w:val="20"/>
        </w:rPr>
      </w:pPr>
      <w:r w:rsidRPr="00304BEB">
        <w:rPr>
          <w:sz w:val="20"/>
          <w:szCs w:val="20"/>
        </w:rPr>
        <w:t>Built on individual and team capability through career and talent management</w:t>
      </w:r>
    </w:p>
    <w:p w14:paraId="38707594" w14:textId="77777777" w:rsidR="006D1382" w:rsidRDefault="00304BEB" w:rsidP="00304BEB">
      <w:pPr>
        <w:pStyle w:val="ListParagraph"/>
        <w:numPr>
          <w:ilvl w:val="0"/>
          <w:numId w:val="1"/>
        </w:numPr>
        <w:tabs>
          <w:tab w:val="left" w:pos="9606"/>
        </w:tabs>
        <w:rPr>
          <w:sz w:val="20"/>
          <w:szCs w:val="20"/>
        </w:rPr>
      </w:pPr>
      <w:r w:rsidRPr="00304BEB">
        <w:rPr>
          <w:sz w:val="20"/>
          <w:szCs w:val="20"/>
        </w:rPr>
        <w:t xml:space="preserve">Supportive of safe and healthy workplaces, practices and </w:t>
      </w:r>
      <w:proofErr w:type="spellStart"/>
      <w:r w:rsidRPr="00304BEB">
        <w:rPr>
          <w:sz w:val="20"/>
          <w:szCs w:val="20"/>
        </w:rPr>
        <w:t>behaviours</w:t>
      </w:r>
      <w:proofErr w:type="spellEnd"/>
    </w:p>
    <w:p w14:paraId="30D0F3F0" w14:textId="77777777" w:rsidR="00F30C9D" w:rsidRDefault="00F30C9D" w:rsidP="00F30C9D">
      <w:pPr>
        <w:pStyle w:val="Heading1"/>
      </w:pPr>
      <w:r>
        <w:rPr>
          <w:noProof/>
          <w:lang w:val="en-AU" w:eastAsia="en-AU"/>
        </w:rPr>
        <w:lastRenderedPageBreak/>
        <w:drawing>
          <wp:inline distT="0" distB="0" distL="0" distR="0" wp14:anchorId="6EF10F26" wp14:editId="30DF1C51">
            <wp:extent cx="3225554" cy="553720"/>
            <wp:effectExtent l="0" t="0" r="635" b="5080"/>
            <wp:docPr id="9" name="Picture 9" title="Australian Government Department of the Environment and Ener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EnE-inline-Blue.jpg"/>
                    <pic:cNvPicPr/>
                  </pic:nvPicPr>
                  <pic:blipFill>
                    <a:blip r:embed="rId7">
                      <a:extLst>
                        <a:ext uri="{28A0092B-C50C-407E-A947-70E740481C1C}">
                          <a14:useLocalDpi xmlns:a14="http://schemas.microsoft.com/office/drawing/2010/main" val="0"/>
                        </a:ext>
                      </a:extLst>
                    </a:blip>
                    <a:stretch>
                      <a:fillRect/>
                    </a:stretch>
                  </pic:blipFill>
                  <pic:spPr>
                    <a:xfrm>
                      <a:off x="0" y="0"/>
                      <a:ext cx="3227397" cy="554036"/>
                    </a:xfrm>
                    <a:prstGeom prst="rect">
                      <a:avLst/>
                    </a:prstGeom>
                  </pic:spPr>
                </pic:pic>
              </a:graphicData>
            </a:graphic>
          </wp:inline>
        </w:drawing>
      </w:r>
    </w:p>
    <w:p w14:paraId="1F065910" w14:textId="77777777" w:rsidR="00F30C9D" w:rsidRPr="00453F66" w:rsidRDefault="00F30C9D" w:rsidP="00F30C9D">
      <w:pPr>
        <w:pStyle w:val="Heading1"/>
        <w:jc w:val="center"/>
      </w:pPr>
      <w:bookmarkStart w:id="0" w:name="_GoBack"/>
      <w:bookmarkEnd w:id="0"/>
      <w:r w:rsidRPr="00453F66">
        <w:t>PEOPLE STRATEGY 2018-22</w:t>
      </w:r>
    </w:p>
    <w:p w14:paraId="51937BC6" w14:textId="77777777" w:rsidR="00F30C9D" w:rsidRDefault="00F30C9D" w:rsidP="00F30C9D">
      <w:pPr>
        <w:jc w:val="center"/>
        <w:rPr>
          <w:color w:val="17365D" w:themeColor="text2" w:themeShade="BF"/>
        </w:rPr>
      </w:pPr>
      <w:r w:rsidRPr="006A158A">
        <w:rPr>
          <w:color w:val="17365D" w:themeColor="text2" w:themeShade="BF"/>
        </w:rPr>
        <w:t xml:space="preserve">To prepare you for the future workforce requirements we will leverage the unique expertise you bring to the </w:t>
      </w:r>
      <w:proofErr w:type="spellStart"/>
      <w:r w:rsidRPr="006A158A">
        <w:rPr>
          <w:color w:val="17365D" w:themeColor="text2" w:themeShade="BF"/>
        </w:rPr>
        <w:t>organisation</w:t>
      </w:r>
      <w:proofErr w:type="spellEnd"/>
      <w:r w:rsidRPr="006A158A">
        <w:rPr>
          <w:color w:val="17365D" w:themeColor="text2" w:themeShade="BF"/>
        </w:rPr>
        <w:t xml:space="preserve"> and provide you with the skills and experiences you need to fulfil your career with the Department.</w:t>
      </w:r>
    </w:p>
    <w:p w14:paraId="22004747" w14:textId="77777777" w:rsidR="00F30C9D" w:rsidRPr="006A158A" w:rsidRDefault="00F30C9D" w:rsidP="00F30C9D">
      <w:pPr>
        <w:jc w:val="center"/>
        <w:rPr>
          <w:color w:val="17365D" w:themeColor="text2" w:themeShade="BF"/>
        </w:rPr>
      </w:pPr>
    </w:p>
    <w:p w14:paraId="7FBB3B4B" w14:textId="77777777" w:rsidR="00F30C9D" w:rsidRPr="00F30C9D" w:rsidRDefault="00F30C9D" w:rsidP="00F30C9D">
      <w:pPr>
        <w:jc w:val="center"/>
        <w:rPr>
          <w:sz w:val="16"/>
          <w:szCs w:val="16"/>
        </w:rPr>
      </w:pPr>
      <w:r>
        <w:rPr>
          <w:noProof/>
          <w:sz w:val="20"/>
          <w:szCs w:val="20"/>
          <w:lang w:val="en-AU" w:eastAsia="en-AU"/>
        </w:rPr>
        <w:drawing>
          <wp:inline distT="0" distB="0" distL="0" distR="0" wp14:anchorId="7A4E1E79" wp14:editId="21F3FA00">
            <wp:extent cx="3580703" cy="3330054"/>
            <wp:effectExtent l="0" t="0" r="1270" b="3810"/>
            <wp:docPr id="10" name="Picture 10" title="Circular infographic demonstrating how the workforce management initiatives under the People Strategy help develop organisational capability and add public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ng-value-infographic.jpg"/>
                    <pic:cNvPicPr/>
                  </pic:nvPicPr>
                  <pic:blipFill>
                    <a:blip r:embed="rId13">
                      <a:extLst>
                        <a:ext uri="{28A0092B-C50C-407E-A947-70E740481C1C}">
                          <a14:useLocalDpi xmlns:a14="http://schemas.microsoft.com/office/drawing/2010/main" val="0"/>
                        </a:ext>
                      </a:extLst>
                    </a:blip>
                    <a:stretch>
                      <a:fillRect/>
                    </a:stretch>
                  </pic:blipFill>
                  <pic:spPr>
                    <a:xfrm>
                      <a:off x="0" y="0"/>
                      <a:ext cx="3590343" cy="3339019"/>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eople Startegy 2018-22 table"/>
        <w:tblDescription w:val="Table showing the skills and experiences both the Department will offer, and what the Departmental employee will exhibit."/>
      </w:tblPr>
      <w:tblGrid>
        <w:gridCol w:w="12894"/>
        <w:gridCol w:w="9466"/>
      </w:tblGrid>
      <w:tr w:rsidR="00F30C9D" w:rsidRPr="001D1DC7" w14:paraId="500A72AC" w14:textId="77777777" w:rsidTr="00FE3D47">
        <w:tc>
          <w:tcPr>
            <w:tcW w:w="0" w:type="auto"/>
            <w:vAlign w:val="center"/>
          </w:tcPr>
          <w:p w14:paraId="4CDE978B" w14:textId="77777777" w:rsidR="00F30C9D" w:rsidRPr="001D1DC7" w:rsidRDefault="00F30C9D" w:rsidP="00FE3D47">
            <w:pPr>
              <w:pStyle w:val="Heading2"/>
              <w:outlineLvl w:val="1"/>
            </w:pPr>
            <w:r w:rsidRPr="001D1DC7">
              <w:t>AS AN EMPLOYER WE WILL</w:t>
            </w:r>
          </w:p>
        </w:tc>
        <w:tc>
          <w:tcPr>
            <w:tcW w:w="0" w:type="auto"/>
            <w:vAlign w:val="center"/>
          </w:tcPr>
          <w:p w14:paraId="12688D89" w14:textId="77777777" w:rsidR="00F30C9D" w:rsidRPr="001D1DC7" w:rsidRDefault="00F30C9D" w:rsidP="00FE3D47">
            <w:pPr>
              <w:pStyle w:val="Heading2"/>
              <w:outlineLvl w:val="1"/>
            </w:pPr>
            <w:r w:rsidRPr="001D1DC7">
              <w:t>AS AN EMPLOYEE YOU WILL</w:t>
            </w:r>
          </w:p>
        </w:tc>
      </w:tr>
      <w:tr w:rsidR="00F30C9D" w:rsidRPr="001D1DC7" w14:paraId="0FDD2493" w14:textId="77777777" w:rsidTr="00FE3D47">
        <w:tc>
          <w:tcPr>
            <w:tcW w:w="0" w:type="auto"/>
            <w:tcBorders>
              <w:bottom w:val="single" w:sz="4" w:space="0" w:color="auto"/>
            </w:tcBorders>
            <w:vAlign w:val="center"/>
          </w:tcPr>
          <w:p w14:paraId="3BDE0946" w14:textId="77777777" w:rsidR="00F30C9D" w:rsidRPr="001D1DC7" w:rsidRDefault="00F30C9D" w:rsidP="00FE3D47">
            <w:pPr>
              <w:rPr>
                <w:sz w:val="20"/>
                <w:szCs w:val="20"/>
              </w:rPr>
            </w:pPr>
            <w:r w:rsidRPr="001D1DC7">
              <w:rPr>
                <w:sz w:val="20"/>
                <w:szCs w:val="20"/>
              </w:rPr>
              <w:t>Promote and encourage flexible working opportunities that balance operational and individual needs</w:t>
            </w:r>
          </w:p>
        </w:tc>
        <w:tc>
          <w:tcPr>
            <w:tcW w:w="0" w:type="auto"/>
            <w:tcBorders>
              <w:bottom w:val="single" w:sz="4" w:space="0" w:color="auto"/>
            </w:tcBorders>
            <w:vAlign w:val="center"/>
          </w:tcPr>
          <w:p w14:paraId="5016A5A2" w14:textId="77777777" w:rsidR="00F30C9D" w:rsidRPr="001D1DC7" w:rsidRDefault="00F30C9D" w:rsidP="00FE3D47">
            <w:pPr>
              <w:rPr>
                <w:sz w:val="20"/>
                <w:szCs w:val="20"/>
              </w:rPr>
            </w:pPr>
            <w:r w:rsidRPr="001D1DC7">
              <w:rPr>
                <w:sz w:val="20"/>
                <w:szCs w:val="20"/>
              </w:rPr>
              <w:t>Uphold the APS values and promote integrity through personal example</w:t>
            </w:r>
          </w:p>
        </w:tc>
      </w:tr>
      <w:tr w:rsidR="00F30C9D" w:rsidRPr="001D1DC7" w14:paraId="7B52CF27" w14:textId="77777777" w:rsidTr="00FE3D47">
        <w:tc>
          <w:tcPr>
            <w:tcW w:w="0" w:type="auto"/>
            <w:tcBorders>
              <w:top w:val="single" w:sz="4" w:space="0" w:color="auto"/>
              <w:bottom w:val="single" w:sz="4" w:space="0" w:color="auto"/>
            </w:tcBorders>
            <w:vAlign w:val="center"/>
          </w:tcPr>
          <w:p w14:paraId="31D0E462" w14:textId="77777777" w:rsidR="00F30C9D" w:rsidRPr="001D1DC7" w:rsidRDefault="00F30C9D" w:rsidP="00FE3D47">
            <w:pPr>
              <w:rPr>
                <w:sz w:val="20"/>
                <w:szCs w:val="20"/>
              </w:rPr>
            </w:pPr>
            <w:r w:rsidRPr="001D1DC7">
              <w:rPr>
                <w:sz w:val="20"/>
                <w:szCs w:val="20"/>
              </w:rPr>
              <w:t>Ensure we have the capabilities for the  Department’s future priorities by providing a Strategic Workforce Plan to implement people and workforce development strategies</w:t>
            </w:r>
          </w:p>
        </w:tc>
        <w:tc>
          <w:tcPr>
            <w:tcW w:w="0" w:type="auto"/>
            <w:tcBorders>
              <w:top w:val="single" w:sz="4" w:space="0" w:color="auto"/>
              <w:bottom w:val="single" w:sz="4" w:space="0" w:color="auto"/>
            </w:tcBorders>
            <w:vAlign w:val="center"/>
          </w:tcPr>
          <w:p w14:paraId="35D65A4B" w14:textId="77777777" w:rsidR="00F30C9D" w:rsidRPr="001D1DC7" w:rsidRDefault="00F30C9D" w:rsidP="00FE3D47">
            <w:pPr>
              <w:rPr>
                <w:sz w:val="20"/>
                <w:szCs w:val="20"/>
              </w:rPr>
            </w:pPr>
            <w:r w:rsidRPr="001D1DC7">
              <w:rPr>
                <w:sz w:val="20"/>
                <w:szCs w:val="20"/>
              </w:rPr>
              <w:t>Treat your colleagues respectfully and courteously</w:t>
            </w:r>
          </w:p>
        </w:tc>
      </w:tr>
      <w:tr w:rsidR="00F30C9D" w:rsidRPr="001D1DC7" w14:paraId="3C2E9953" w14:textId="77777777" w:rsidTr="00FE3D47">
        <w:tc>
          <w:tcPr>
            <w:tcW w:w="0" w:type="auto"/>
            <w:tcBorders>
              <w:top w:val="single" w:sz="4" w:space="0" w:color="auto"/>
              <w:bottom w:val="single" w:sz="4" w:space="0" w:color="auto"/>
            </w:tcBorders>
            <w:vAlign w:val="center"/>
          </w:tcPr>
          <w:p w14:paraId="32E1F831" w14:textId="77777777" w:rsidR="00F30C9D" w:rsidRPr="001D1DC7" w:rsidRDefault="00F30C9D" w:rsidP="00FE3D47">
            <w:pPr>
              <w:rPr>
                <w:sz w:val="20"/>
                <w:szCs w:val="20"/>
              </w:rPr>
            </w:pPr>
            <w:r w:rsidRPr="001D1DC7">
              <w:rPr>
                <w:sz w:val="20"/>
                <w:szCs w:val="20"/>
              </w:rPr>
              <w:t>Value the balance between your expertise and breadth of experience and provide mobility opportunities</w:t>
            </w:r>
          </w:p>
        </w:tc>
        <w:tc>
          <w:tcPr>
            <w:tcW w:w="0" w:type="auto"/>
            <w:tcBorders>
              <w:top w:val="single" w:sz="4" w:space="0" w:color="auto"/>
              <w:bottom w:val="single" w:sz="4" w:space="0" w:color="auto"/>
            </w:tcBorders>
            <w:vAlign w:val="center"/>
          </w:tcPr>
          <w:p w14:paraId="21FB2E5E" w14:textId="77777777" w:rsidR="00F30C9D" w:rsidRPr="001D1DC7" w:rsidRDefault="00F30C9D" w:rsidP="00FE3D47">
            <w:pPr>
              <w:rPr>
                <w:sz w:val="20"/>
                <w:szCs w:val="20"/>
              </w:rPr>
            </w:pPr>
            <w:r w:rsidRPr="001D1DC7">
              <w:rPr>
                <w:sz w:val="20"/>
                <w:szCs w:val="20"/>
              </w:rPr>
              <w:t>Be empowered to make decisions whilst actively engaging with risk</w:t>
            </w:r>
          </w:p>
        </w:tc>
      </w:tr>
      <w:tr w:rsidR="00F30C9D" w:rsidRPr="001D1DC7" w14:paraId="72EA2F45" w14:textId="77777777" w:rsidTr="00FE3D47">
        <w:tc>
          <w:tcPr>
            <w:tcW w:w="0" w:type="auto"/>
            <w:tcBorders>
              <w:top w:val="single" w:sz="4" w:space="0" w:color="auto"/>
              <w:bottom w:val="single" w:sz="4" w:space="0" w:color="auto"/>
            </w:tcBorders>
            <w:vAlign w:val="center"/>
          </w:tcPr>
          <w:p w14:paraId="62BCE270" w14:textId="77777777" w:rsidR="00F30C9D" w:rsidRPr="001D1DC7" w:rsidRDefault="00F30C9D" w:rsidP="00FE3D47">
            <w:pPr>
              <w:rPr>
                <w:sz w:val="20"/>
                <w:szCs w:val="20"/>
              </w:rPr>
            </w:pPr>
            <w:r w:rsidRPr="001D1DC7">
              <w:rPr>
                <w:sz w:val="20"/>
                <w:szCs w:val="20"/>
              </w:rPr>
              <w:t>Provide a safe and healthy workplace with a strong focus on wellbeing</w:t>
            </w:r>
          </w:p>
        </w:tc>
        <w:tc>
          <w:tcPr>
            <w:tcW w:w="0" w:type="auto"/>
            <w:tcBorders>
              <w:top w:val="single" w:sz="4" w:space="0" w:color="auto"/>
              <w:bottom w:val="single" w:sz="4" w:space="0" w:color="auto"/>
            </w:tcBorders>
            <w:vAlign w:val="center"/>
          </w:tcPr>
          <w:p w14:paraId="0347C200" w14:textId="77777777" w:rsidR="00F30C9D" w:rsidRPr="001D1DC7" w:rsidRDefault="00F30C9D" w:rsidP="00FE3D47">
            <w:pPr>
              <w:rPr>
                <w:sz w:val="20"/>
                <w:szCs w:val="20"/>
              </w:rPr>
            </w:pPr>
            <w:r w:rsidRPr="001D1DC7">
              <w:rPr>
                <w:sz w:val="20"/>
                <w:szCs w:val="20"/>
              </w:rPr>
              <w:t>Be able to broaden your skills through mobility opportunities across the Department and wider industries</w:t>
            </w:r>
          </w:p>
        </w:tc>
      </w:tr>
      <w:tr w:rsidR="00F30C9D" w:rsidRPr="001D1DC7" w14:paraId="0E724C05" w14:textId="77777777" w:rsidTr="00FE3D47">
        <w:tc>
          <w:tcPr>
            <w:tcW w:w="0" w:type="auto"/>
            <w:tcBorders>
              <w:top w:val="single" w:sz="4" w:space="0" w:color="auto"/>
              <w:bottom w:val="single" w:sz="4" w:space="0" w:color="auto"/>
            </w:tcBorders>
            <w:vAlign w:val="center"/>
          </w:tcPr>
          <w:p w14:paraId="1D246FE5" w14:textId="77777777" w:rsidR="00F30C9D" w:rsidRPr="001D1DC7" w:rsidRDefault="00F30C9D" w:rsidP="00FE3D47">
            <w:pPr>
              <w:rPr>
                <w:sz w:val="20"/>
                <w:szCs w:val="20"/>
              </w:rPr>
            </w:pPr>
            <w:r w:rsidRPr="001D1DC7">
              <w:rPr>
                <w:sz w:val="20"/>
                <w:szCs w:val="20"/>
              </w:rPr>
              <w:t>Support a diverse workforce across all our locations who feel respected, encouraged and included</w:t>
            </w:r>
          </w:p>
        </w:tc>
        <w:tc>
          <w:tcPr>
            <w:tcW w:w="0" w:type="auto"/>
            <w:tcBorders>
              <w:top w:val="single" w:sz="4" w:space="0" w:color="auto"/>
              <w:bottom w:val="single" w:sz="4" w:space="0" w:color="auto"/>
            </w:tcBorders>
            <w:vAlign w:val="center"/>
          </w:tcPr>
          <w:p w14:paraId="19E5581F" w14:textId="77777777" w:rsidR="00F30C9D" w:rsidRPr="001D1DC7" w:rsidRDefault="00F30C9D" w:rsidP="00FE3D47">
            <w:pPr>
              <w:rPr>
                <w:sz w:val="20"/>
                <w:szCs w:val="20"/>
              </w:rPr>
            </w:pPr>
            <w:r w:rsidRPr="001D1DC7">
              <w:rPr>
                <w:sz w:val="20"/>
                <w:szCs w:val="20"/>
              </w:rPr>
              <w:t>Have opportunities to develop your capabilities to meet future departmental needs</w:t>
            </w:r>
          </w:p>
        </w:tc>
      </w:tr>
      <w:tr w:rsidR="00F30C9D" w:rsidRPr="001D1DC7" w14:paraId="057BBA85" w14:textId="77777777" w:rsidTr="00FE3D47">
        <w:tc>
          <w:tcPr>
            <w:tcW w:w="0" w:type="auto"/>
            <w:tcBorders>
              <w:top w:val="single" w:sz="4" w:space="0" w:color="auto"/>
              <w:bottom w:val="single" w:sz="4" w:space="0" w:color="auto"/>
            </w:tcBorders>
            <w:vAlign w:val="center"/>
          </w:tcPr>
          <w:p w14:paraId="51DB1C7B" w14:textId="77777777" w:rsidR="00F30C9D" w:rsidRPr="001D1DC7" w:rsidRDefault="00F30C9D" w:rsidP="00FE3D47">
            <w:pPr>
              <w:rPr>
                <w:sz w:val="20"/>
                <w:szCs w:val="20"/>
              </w:rPr>
            </w:pPr>
            <w:r w:rsidRPr="001D1DC7">
              <w:rPr>
                <w:sz w:val="20"/>
                <w:szCs w:val="20"/>
              </w:rPr>
              <w:t>Ensure you understand what is expected of you and know when you are performing well by having productive and frequent conversations</w:t>
            </w:r>
          </w:p>
        </w:tc>
        <w:tc>
          <w:tcPr>
            <w:tcW w:w="0" w:type="auto"/>
            <w:tcBorders>
              <w:top w:val="single" w:sz="4" w:space="0" w:color="auto"/>
              <w:bottom w:val="single" w:sz="4" w:space="0" w:color="auto"/>
            </w:tcBorders>
            <w:vAlign w:val="center"/>
          </w:tcPr>
          <w:p w14:paraId="5DE06B28" w14:textId="77777777" w:rsidR="00F30C9D" w:rsidRPr="001D1DC7" w:rsidRDefault="00F30C9D" w:rsidP="00FE3D47">
            <w:pPr>
              <w:rPr>
                <w:sz w:val="20"/>
                <w:szCs w:val="20"/>
              </w:rPr>
            </w:pPr>
            <w:r w:rsidRPr="001D1DC7">
              <w:rPr>
                <w:sz w:val="20"/>
                <w:szCs w:val="20"/>
              </w:rPr>
              <w:t>Have regular opportunities to discuss your performance and know what your role expectations are</w:t>
            </w:r>
          </w:p>
        </w:tc>
      </w:tr>
      <w:tr w:rsidR="00F30C9D" w:rsidRPr="001D1DC7" w14:paraId="3AAC310C" w14:textId="77777777" w:rsidTr="00FE3D47">
        <w:tc>
          <w:tcPr>
            <w:tcW w:w="0" w:type="auto"/>
            <w:tcBorders>
              <w:top w:val="single" w:sz="4" w:space="0" w:color="auto"/>
              <w:bottom w:val="single" w:sz="4" w:space="0" w:color="auto"/>
            </w:tcBorders>
            <w:vAlign w:val="center"/>
          </w:tcPr>
          <w:p w14:paraId="76AF43C0" w14:textId="77777777" w:rsidR="00F30C9D" w:rsidRPr="001D1DC7" w:rsidRDefault="00F30C9D" w:rsidP="00FE3D47">
            <w:pPr>
              <w:rPr>
                <w:sz w:val="20"/>
                <w:szCs w:val="20"/>
              </w:rPr>
            </w:pPr>
            <w:r w:rsidRPr="001D1DC7">
              <w:rPr>
                <w:sz w:val="20"/>
                <w:szCs w:val="20"/>
              </w:rPr>
              <w:t>Provide meaningful rewards and recognition for high performance</w:t>
            </w:r>
          </w:p>
        </w:tc>
        <w:tc>
          <w:tcPr>
            <w:tcW w:w="0" w:type="auto"/>
            <w:tcBorders>
              <w:top w:val="single" w:sz="4" w:space="0" w:color="auto"/>
              <w:bottom w:val="single" w:sz="4" w:space="0" w:color="auto"/>
            </w:tcBorders>
            <w:vAlign w:val="center"/>
          </w:tcPr>
          <w:p w14:paraId="3CC708DF" w14:textId="77777777" w:rsidR="00F30C9D" w:rsidRPr="001D1DC7" w:rsidRDefault="00F30C9D" w:rsidP="00FE3D47">
            <w:pPr>
              <w:rPr>
                <w:sz w:val="20"/>
                <w:szCs w:val="20"/>
              </w:rPr>
            </w:pPr>
            <w:r w:rsidRPr="001D1DC7">
              <w:rPr>
                <w:sz w:val="20"/>
                <w:szCs w:val="20"/>
              </w:rPr>
              <w:t>Have the opportunity to build your leadership skills regardless of your level or role</w:t>
            </w:r>
          </w:p>
        </w:tc>
      </w:tr>
      <w:tr w:rsidR="00F30C9D" w:rsidRPr="001D1DC7" w14:paraId="66F3F749" w14:textId="77777777" w:rsidTr="00FE3D47">
        <w:tc>
          <w:tcPr>
            <w:tcW w:w="0" w:type="auto"/>
            <w:tcBorders>
              <w:top w:val="single" w:sz="4" w:space="0" w:color="auto"/>
              <w:bottom w:val="single" w:sz="4" w:space="0" w:color="auto"/>
            </w:tcBorders>
            <w:vAlign w:val="center"/>
          </w:tcPr>
          <w:p w14:paraId="7AE2719F" w14:textId="77777777" w:rsidR="00F30C9D" w:rsidRPr="001D1DC7" w:rsidRDefault="00F30C9D" w:rsidP="00FE3D47">
            <w:pPr>
              <w:rPr>
                <w:sz w:val="20"/>
                <w:szCs w:val="20"/>
              </w:rPr>
            </w:pPr>
            <w:r w:rsidRPr="001D1DC7">
              <w:rPr>
                <w:sz w:val="20"/>
                <w:szCs w:val="20"/>
              </w:rPr>
              <w:t>Ensure our leaders can anticipate and prepare for changes and are able to respond quickly</w:t>
            </w:r>
          </w:p>
        </w:tc>
        <w:tc>
          <w:tcPr>
            <w:tcW w:w="0" w:type="auto"/>
            <w:tcBorders>
              <w:top w:val="single" w:sz="4" w:space="0" w:color="auto"/>
              <w:bottom w:val="single" w:sz="4" w:space="0" w:color="auto"/>
            </w:tcBorders>
            <w:vAlign w:val="center"/>
          </w:tcPr>
          <w:p w14:paraId="5C2DDFEA" w14:textId="77777777" w:rsidR="00F30C9D" w:rsidRPr="001D1DC7" w:rsidRDefault="00F30C9D" w:rsidP="00FE3D47">
            <w:pPr>
              <w:rPr>
                <w:sz w:val="20"/>
                <w:szCs w:val="20"/>
              </w:rPr>
            </w:pPr>
            <w:r w:rsidRPr="001D1DC7">
              <w:rPr>
                <w:sz w:val="20"/>
                <w:szCs w:val="20"/>
              </w:rPr>
              <w:t>Be supported to look for appropriate opportunities to do things differently and be willing to embrace innovation and change</w:t>
            </w:r>
          </w:p>
        </w:tc>
      </w:tr>
      <w:tr w:rsidR="00F30C9D" w:rsidRPr="001D1DC7" w14:paraId="402CE263" w14:textId="77777777" w:rsidTr="00FE3D47">
        <w:tc>
          <w:tcPr>
            <w:tcW w:w="0" w:type="auto"/>
            <w:tcBorders>
              <w:top w:val="single" w:sz="4" w:space="0" w:color="auto"/>
              <w:bottom w:val="single" w:sz="4" w:space="0" w:color="auto"/>
            </w:tcBorders>
            <w:vAlign w:val="center"/>
          </w:tcPr>
          <w:p w14:paraId="38629F36" w14:textId="77777777" w:rsidR="00F30C9D" w:rsidRPr="001D1DC7" w:rsidRDefault="00F30C9D" w:rsidP="00FE3D47">
            <w:pPr>
              <w:rPr>
                <w:sz w:val="20"/>
                <w:szCs w:val="20"/>
              </w:rPr>
            </w:pPr>
            <w:r w:rsidRPr="001D1DC7">
              <w:rPr>
                <w:sz w:val="20"/>
                <w:szCs w:val="20"/>
              </w:rPr>
              <w:t xml:space="preserve">Provide targeted learning and development opportunities and invest in growing the skills we need now and into the future </w:t>
            </w:r>
          </w:p>
        </w:tc>
        <w:tc>
          <w:tcPr>
            <w:tcW w:w="0" w:type="auto"/>
            <w:tcBorders>
              <w:top w:val="single" w:sz="4" w:space="0" w:color="auto"/>
              <w:bottom w:val="single" w:sz="4" w:space="0" w:color="auto"/>
            </w:tcBorders>
            <w:vAlign w:val="center"/>
          </w:tcPr>
          <w:p w14:paraId="3A829F7A" w14:textId="77777777" w:rsidR="00F30C9D" w:rsidRPr="001D1DC7" w:rsidRDefault="00F30C9D" w:rsidP="00FE3D47">
            <w:pPr>
              <w:rPr>
                <w:sz w:val="20"/>
                <w:szCs w:val="20"/>
              </w:rPr>
            </w:pPr>
            <w:r w:rsidRPr="001D1DC7">
              <w:rPr>
                <w:sz w:val="20"/>
                <w:szCs w:val="20"/>
              </w:rPr>
              <w:t>Be respected and valued and promote an inclusive and supportive workplace</w:t>
            </w:r>
          </w:p>
        </w:tc>
      </w:tr>
      <w:tr w:rsidR="00F30C9D" w:rsidRPr="001D1DC7" w14:paraId="7CD925E5" w14:textId="77777777" w:rsidTr="00FE3D47">
        <w:tc>
          <w:tcPr>
            <w:tcW w:w="0" w:type="auto"/>
            <w:tcBorders>
              <w:top w:val="single" w:sz="4" w:space="0" w:color="auto"/>
              <w:bottom w:val="single" w:sz="4" w:space="0" w:color="auto"/>
            </w:tcBorders>
            <w:vAlign w:val="center"/>
          </w:tcPr>
          <w:p w14:paraId="14F5CC5B" w14:textId="77777777" w:rsidR="00F30C9D" w:rsidRPr="001D1DC7" w:rsidRDefault="00F30C9D" w:rsidP="00FE3D47">
            <w:pPr>
              <w:rPr>
                <w:sz w:val="20"/>
                <w:szCs w:val="20"/>
              </w:rPr>
            </w:pPr>
            <w:r w:rsidRPr="001D1DC7">
              <w:rPr>
                <w:sz w:val="20"/>
                <w:szCs w:val="20"/>
              </w:rPr>
              <w:t>Reward collaboration across the Department and provide opportunities to enhance skills and experiences</w:t>
            </w:r>
          </w:p>
        </w:tc>
        <w:tc>
          <w:tcPr>
            <w:tcW w:w="0" w:type="auto"/>
            <w:tcBorders>
              <w:top w:val="single" w:sz="4" w:space="0" w:color="auto"/>
              <w:bottom w:val="single" w:sz="4" w:space="0" w:color="auto"/>
            </w:tcBorders>
            <w:vAlign w:val="center"/>
          </w:tcPr>
          <w:p w14:paraId="34AD711D" w14:textId="77777777" w:rsidR="00F30C9D" w:rsidRPr="001D1DC7" w:rsidRDefault="00F30C9D" w:rsidP="00FE3D47">
            <w:pPr>
              <w:rPr>
                <w:sz w:val="20"/>
                <w:szCs w:val="20"/>
              </w:rPr>
            </w:pPr>
            <w:r w:rsidRPr="001D1DC7">
              <w:rPr>
                <w:sz w:val="20"/>
                <w:szCs w:val="20"/>
              </w:rPr>
              <w:t xml:space="preserve">Have access to a safe workplace and take responsibility for healthy attitudes and </w:t>
            </w:r>
            <w:proofErr w:type="spellStart"/>
            <w:r w:rsidRPr="001D1DC7">
              <w:rPr>
                <w:sz w:val="20"/>
                <w:szCs w:val="20"/>
              </w:rPr>
              <w:t>behaviours</w:t>
            </w:r>
            <w:proofErr w:type="spellEnd"/>
          </w:p>
        </w:tc>
      </w:tr>
      <w:tr w:rsidR="00F30C9D" w:rsidRPr="001D1DC7" w14:paraId="5AB9B346" w14:textId="77777777" w:rsidTr="00FE3D47">
        <w:tc>
          <w:tcPr>
            <w:tcW w:w="0" w:type="auto"/>
            <w:tcBorders>
              <w:top w:val="single" w:sz="4" w:space="0" w:color="auto"/>
              <w:bottom w:val="single" w:sz="4" w:space="0" w:color="auto"/>
            </w:tcBorders>
            <w:vAlign w:val="center"/>
          </w:tcPr>
          <w:p w14:paraId="318FC385" w14:textId="77777777" w:rsidR="00F30C9D" w:rsidRPr="001D1DC7" w:rsidRDefault="00F30C9D" w:rsidP="00FE3D47">
            <w:pPr>
              <w:rPr>
                <w:sz w:val="20"/>
                <w:szCs w:val="20"/>
              </w:rPr>
            </w:pPr>
            <w:r w:rsidRPr="001D1DC7">
              <w:rPr>
                <w:sz w:val="20"/>
                <w:szCs w:val="20"/>
              </w:rPr>
              <w:t>Ensure there are systems and frameworks in place to support our leaders to make decisions and engage with risks</w:t>
            </w:r>
          </w:p>
        </w:tc>
        <w:tc>
          <w:tcPr>
            <w:tcW w:w="0" w:type="auto"/>
            <w:tcBorders>
              <w:top w:val="single" w:sz="4" w:space="0" w:color="auto"/>
              <w:bottom w:val="single" w:sz="4" w:space="0" w:color="auto"/>
            </w:tcBorders>
            <w:vAlign w:val="center"/>
          </w:tcPr>
          <w:p w14:paraId="734C8C92" w14:textId="77777777" w:rsidR="00F30C9D" w:rsidRPr="001D1DC7" w:rsidRDefault="00F30C9D" w:rsidP="00FE3D47">
            <w:pPr>
              <w:rPr>
                <w:sz w:val="20"/>
                <w:szCs w:val="20"/>
              </w:rPr>
            </w:pPr>
            <w:r w:rsidRPr="001D1DC7">
              <w:rPr>
                <w:sz w:val="20"/>
                <w:szCs w:val="20"/>
              </w:rPr>
              <w:t>Have the opportunity to interact with digital transformation</w:t>
            </w:r>
          </w:p>
        </w:tc>
      </w:tr>
      <w:tr w:rsidR="00F30C9D" w:rsidRPr="001D1DC7" w14:paraId="3FA786A0" w14:textId="77777777" w:rsidTr="00FE3D47">
        <w:tc>
          <w:tcPr>
            <w:tcW w:w="0" w:type="auto"/>
            <w:tcBorders>
              <w:top w:val="single" w:sz="4" w:space="0" w:color="auto"/>
              <w:bottom w:val="single" w:sz="4" w:space="0" w:color="auto"/>
            </w:tcBorders>
            <w:vAlign w:val="center"/>
          </w:tcPr>
          <w:p w14:paraId="211F768C" w14:textId="77777777" w:rsidR="00F30C9D" w:rsidRPr="001D1DC7" w:rsidRDefault="00F30C9D" w:rsidP="00FE3D47">
            <w:pPr>
              <w:rPr>
                <w:sz w:val="20"/>
                <w:szCs w:val="20"/>
              </w:rPr>
            </w:pPr>
            <w:r w:rsidRPr="001D1DC7">
              <w:rPr>
                <w:sz w:val="20"/>
                <w:szCs w:val="20"/>
              </w:rPr>
              <w:t>Quickly form response teams by drawing on the diversity of skills and expertise to meet emerging priorities</w:t>
            </w:r>
          </w:p>
        </w:tc>
        <w:tc>
          <w:tcPr>
            <w:tcW w:w="0" w:type="auto"/>
            <w:tcBorders>
              <w:top w:val="single" w:sz="4" w:space="0" w:color="auto"/>
              <w:bottom w:val="single" w:sz="4" w:space="0" w:color="auto"/>
            </w:tcBorders>
            <w:vAlign w:val="center"/>
          </w:tcPr>
          <w:p w14:paraId="4F13A4D6" w14:textId="77777777" w:rsidR="00F30C9D" w:rsidRPr="001D1DC7" w:rsidRDefault="00F30C9D" w:rsidP="00FE3D47">
            <w:pPr>
              <w:rPr>
                <w:sz w:val="20"/>
                <w:szCs w:val="20"/>
              </w:rPr>
            </w:pPr>
            <w:r w:rsidRPr="001D1DC7">
              <w:rPr>
                <w:sz w:val="20"/>
                <w:szCs w:val="20"/>
              </w:rPr>
              <w:t>Be involved in knowledge sharing and collaboration and be committed to continuous improvement in the way we work</w:t>
            </w:r>
          </w:p>
        </w:tc>
      </w:tr>
      <w:tr w:rsidR="00F30C9D" w:rsidRPr="001D1DC7" w14:paraId="49F39492" w14:textId="77777777" w:rsidTr="00FE3D47">
        <w:tc>
          <w:tcPr>
            <w:tcW w:w="0" w:type="auto"/>
            <w:tcBorders>
              <w:top w:val="single" w:sz="4" w:space="0" w:color="auto"/>
            </w:tcBorders>
            <w:vAlign w:val="center"/>
          </w:tcPr>
          <w:p w14:paraId="18E47CA6" w14:textId="77777777" w:rsidR="00F30C9D" w:rsidRPr="001D1DC7" w:rsidRDefault="00F30C9D" w:rsidP="00FE3D47">
            <w:pPr>
              <w:rPr>
                <w:sz w:val="20"/>
                <w:szCs w:val="20"/>
              </w:rPr>
            </w:pPr>
          </w:p>
        </w:tc>
        <w:tc>
          <w:tcPr>
            <w:tcW w:w="0" w:type="auto"/>
            <w:tcBorders>
              <w:top w:val="single" w:sz="4" w:space="0" w:color="auto"/>
            </w:tcBorders>
            <w:vAlign w:val="center"/>
          </w:tcPr>
          <w:p w14:paraId="108E9B96" w14:textId="77777777" w:rsidR="00F30C9D" w:rsidRPr="001D1DC7" w:rsidRDefault="00F30C9D" w:rsidP="00FE3D47">
            <w:pPr>
              <w:rPr>
                <w:sz w:val="20"/>
                <w:szCs w:val="20"/>
              </w:rPr>
            </w:pPr>
            <w:r w:rsidRPr="001D1DC7">
              <w:rPr>
                <w:sz w:val="20"/>
                <w:szCs w:val="20"/>
              </w:rPr>
              <w:t xml:space="preserve">Be willing to engage with workforce initiatives and be committed to </w:t>
            </w:r>
            <w:proofErr w:type="spellStart"/>
            <w:r w:rsidRPr="001D1DC7">
              <w:rPr>
                <w:sz w:val="20"/>
                <w:szCs w:val="20"/>
              </w:rPr>
              <w:t>self development</w:t>
            </w:r>
            <w:proofErr w:type="spellEnd"/>
          </w:p>
        </w:tc>
      </w:tr>
    </w:tbl>
    <w:p w14:paraId="7A447F34" w14:textId="77777777" w:rsidR="00F30C9D" w:rsidRPr="00F30C9D" w:rsidRDefault="00F30C9D" w:rsidP="00F30C9D">
      <w:pPr>
        <w:tabs>
          <w:tab w:val="left" w:pos="9606"/>
        </w:tabs>
        <w:rPr>
          <w:sz w:val="16"/>
          <w:szCs w:val="16"/>
        </w:rPr>
      </w:pPr>
    </w:p>
    <w:sectPr w:rsidR="00F30C9D" w:rsidRPr="00F30C9D" w:rsidSect="00453F66">
      <w:headerReference w:type="even" r:id="rId14"/>
      <w:headerReference w:type="default" r:id="rId15"/>
      <w:footerReference w:type="even" r:id="rId16"/>
      <w:footerReference w:type="default" r:id="rId17"/>
      <w:headerReference w:type="first" r:id="rId18"/>
      <w:footerReference w:type="first" r:id="rId19"/>
      <w:pgSz w:w="23800" w:h="16820" w:orient="landscape"/>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6A54F" w14:textId="77777777" w:rsidR="00AB1E83" w:rsidRDefault="00AB1E83" w:rsidP="00D91FB9">
      <w:pPr>
        <w:spacing w:after="0"/>
      </w:pPr>
      <w:r>
        <w:separator/>
      </w:r>
    </w:p>
  </w:endnote>
  <w:endnote w:type="continuationSeparator" w:id="0">
    <w:p w14:paraId="52C419D4" w14:textId="77777777" w:rsidR="00AB1E83" w:rsidRDefault="00AB1E83" w:rsidP="00D91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Pro-Semibold">
    <w:altName w:val="Calibri"/>
    <w:panose1 w:val="00000000000000000000"/>
    <w:charset w:val="4D"/>
    <w:family w:val="auto"/>
    <w:notTrueType/>
    <w:pitch w:val="default"/>
    <w:sig w:usb0="00000003" w:usb1="00000000" w:usb2="00000000" w:usb3="00000000" w:csb0="00000001" w:csb1="00000000"/>
  </w:font>
  <w:font w:name="MyriadPro-Regular">
    <w:altName w:val="Myriad Pro"/>
    <w:panose1 w:val="020B0503030403020204"/>
    <w:charset w:val="00"/>
    <w:family w:val="swiss"/>
    <w:notTrueType/>
    <w:pitch w:val="default"/>
    <w:sig w:usb0="00000003" w:usb1="00000000" w:usb2="00000000" w:usb3="00000000" w:csb0="00000009" w:csb1="00000000"/>
  </w:font>
  <w:font w:name="AGaramondPro-Regular">
    <w:altName w:val="Cambria"/>
    <w:panose1 w:val="02020502060506020403"/>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6814" w14:textId="77777777" w:rsidR="00135570" w:rsidRDefault="001355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2A3F0" w14:textId="77777777" w:rsidR="00135570" w:rsidRDefault="001355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87C24" w14:textId="77777777" w:rsidR="00135570" w:rsidRDefault="00135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748D8" w14:textId="77777777" w:rsidR="00AB1E83" w:rsidRDefault="00AB1E83" w:rsidP="00D91FB9">
      <w:pPr>
        <w:spacing w:after="0"/>
      </w:pPr>
      <w:r>
        <w:separator/>
      </w:r>
    </w:p>
  </w:footnote>
  <w:footnote w:type="continuationSeparator" w:id="0">
    <w:p w14:paraId="42F23CAD" w14:textId="77777777" w:rsidR="00AB1E83" w:rsidRDefault="00AB1E83" w:rsidP="00D91F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6A2BF" w14:textId="77777777" w:rsidR="00135570" w:rsidRDefault="001355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C53D5" w14:textId="77777777" w:rsidR="00135570" w:rsidRDefault="001355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E85F6" w14:textId="77777777" w:rsidR="00135570" w:rsidRDefault="00135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87C75"/>
    <w:multiLevelType w:val="hybridMultilevel"/>
    <w:tmpl w:val="D2C8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D7"/>
    <w:rsid w:val="001238E7"/>
    <w:rsid w:val="00135570"/>
    <w:rsid w:val="00180E50"/>
    <w:rsid w:val="00304BEB"/>
    <w:rsid w:val="00354327"/>
    <w:rsid w:val="00381548"/>
    <w:rsid w:val="00453F66"/>
    <w:rsid w:val="004F356A"/>
    <w:rsid w:val="005C7505"/>
    <w:rsid w:val="006D1382"/>
    <w:rsid w:val="00AB1E83"/>
    <w:rsid w:val="00C15F62"/>
    <w:rsid w:val="00CC51D7"/>
    <w:rsid w:val="00D04772"/>
    <w:rsid w:val="00D91FB9"/>
    <w:rsid w:val="00DC793C"/>
    <w:rsid w:val="00DF778E"/>
    <w:rsid w:val="00E831B4"/>
    <w:rsid w:val="00F30C9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3F42033"/>
  <w15:docId w15:val="{0588C9C9-678F-429B-BBC2-FE44D137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56A"/>
    <w:pPr>
      <w:spacing w:after="120"/>
    </w:pPr>
    <w:rPr>
      <w:rFonts w:asciiTheme="majorHAnsi" w:hAnsiTheme="majorHAnsi"/>
    </w:rPr>
  </w:style>
  <w:style w:type="paragraph" w:styleId="Heading1">
    <w:name w:val="heading 1"/>
    <w:basedOn w:val="Normal"/>
    <w:next w:val="Normal"/>
    <w:link w:val="Heading1Char"/>
    <w:uiPriority w:val="9"/>
    <w:qFormat/>
    <w:rsid w:val="00354327"/>
    <w:pPr>
      <w:keepNext/>
      <w:keepLines/>
      <w:spacing w:before="200" w:after="200"/>
      <w:outlineLvl w:val="0"/>
    </w:pPr>
    <w:rPr>
      <w:rFonts w:eastAsiaTheme="majorEastAsia" w:cstheme="majorBidi"/>
      <w:b/>
      <w:bCs/>
      <w:color w:val="17365D" w:themeColor="text2" w:themeShade="BF"/>
      <w:sz w:val="48"/>
      <w:szCs w:val="32"/>
    </w:rPr>
  </w:style>
  <w:style w:type="paragraph" w:styleId="Heading2">
    <w:name w:val="heading 2"/>
    <w:basedOn w:val="Normal"/>
    <w:next w:val="Normal"/>
    <w:link w:val="Heading2Char"/>
    <w:uiPriority w:val="9"/>
    <w:unhideWhenUsed/>
    <w:qFormat/>
    <w:rsid w:val="00304BEB"/>
    <w:pPr>
      <w:keepNext/>
      <w:keepLines/>
      <w:spacing w:before="200"/>
      <w:outlineLvl w:val="1"/>
    </w:pPr>
    <w:rPr>
      <w:rFonts w:eastAsiaTheme="majorEastAsia" w:cstheme="majorBidi"/>
      <w:b/>
      <w:bCs/>
      <w:color w:val="17365D" w:themeColor="text2"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uiPriority w:val="99"/>
    <w:rsid w:val="00CC51D7"/>
    <w:pPr>
      <w:widowControl w:val="0"/>
      <w:suppressAutoHyphens/>
      <w:autoSpaceDE w:val="0"/>
      <w:autoSpaceDN w:val="0"/>
      <w:adjustRightInd w:val="0"/>
      <w:spacing w:after="113" w:line="640" w:lineRule="atLeast"/>
      <w:textAlignment w:val="center"/>
    </w:pPr>
    <w:rPr>
      <w:rFonts w:ascii="MyriadPro-Semibold" w:hAnsi="MyriadPro-Semibold" w:cs="MyriadPro-Semibold"/>
      <w:caps/>
      <w:color w:val="0035C4"/>
      <w:sz w:val="72"/>
      <w:szCs w:val="72"/>
    </w:rPr>
  </w:style>
  <w:style w:type="paragraph" w:customStyle="1" w:styleId="Intro">
    <w:name w:val="Intro"/>
    <w:basedOn w:val="Normal"/>
    <w:uiPriority w:val="99"/>
    <w:rsid w:val="00CC51D7"/>
    <w:pPr>
      <w:widowControl w:val="0"/>
      <w:suppressAutoHyphens/>
      <w:autoSpaceDE w:val="0"/>
      <w:autoSpaceDN w:val="0"/>
      <w:adjustRightInd w:val="0"/>
      <w:spacing w:before="113" w:after="340" w:line="380" w:lineRule="atLeast"/>
      <w:textAlignment w:val="center"/>
    </w:pPr>
    <w:rPr>
      <w:rFonts w:ascii="MyriadPro-Regular" w:hAnsi="MyriadPro-Regular" w:cs="MyriadPro-Regular"/>
      <w:color w:val="000000"/>
      <w:sz w:val="30"/>
      <w:szCs w:val="30"/>
    </w:rPr>
  </w:style>
  <w:style w:type="paragraph" w:customStyle="1" w:styleId="Body">
    <w:name w:val="Body"/>
    <w:basedOn w:val="Normal"/>
    <w:uiPriority w:val="99"/>
    <w:rsid w:val="00CC51D7"/>
    <w:pPr>
      <w:widowControl w:val="0"/>
      <w:suppressAutoHyphens/>
      <w:autoSpaceDE w:val="0"/>
      <w:autoSpaceDN w:val="0"/>
      <w:adjustRightInd w:val="0"/>
      <w:spacing w:before="113" w:after="0" w:line="240" w:lineRule="atLeast"/>
      <w:textAlignment w:val="center"/>
    </w:pPr>
    <w:rPr>
      <w:rFonts w:ascii="AGaramondPro-Regular" w:hAnsi="AGaramondPro-Regular" w:cs="AGaramondPro-Regular"/>
      <w:color w:val="000000"/>
      <w:sz w:val="20"/>
      <w:szCs w:val="20"/>
    </w:rPr>
  </w:style>
  <w:style w:type="paragraph" w:customStyle="1" w:styleId="H2">
    <w:name w:val="H2"/>
    <w:basedOn w:val="Normal"/>
    <w:uiPriority w:val="99"/>
    <w:rsid w:val="00CC51D7"/>
    <w:pPr>
      <w:widowControl w:val="0"/>
      <w:suppressAutoHyphens/>
      <w:autoSpaceDE w:val="0"/>
      <w:autoSpaceDN w:val="0"/>
      <w:adjustRightInd w:val="0"/>
      <w:spacing w:before="397" w:after="0" w:line="300" w:lineRule="atLeast"/>
      <w:textAlignment w:val="center"/>
    </w:pPr>
    <w:rPr>
      <w:rFonts w:ascii="MyriadPro-Semibold" w:hAnsi="MyriadPro-Semibold" w:cs="MyriadPro-Semibold"/>
      <w:caps/>
      <w:color w:val="0035C4"/>
      <w:sz w:val="32"/>
      <w:szCs w:val="32"/>
    </w:rPr>
  </w:style>
  <w:style w:type="table" w:styleId="TableGrid">
    <w:name w:val="Table Grid"/>
    <w:basedOn w:val="TableNormal"/>
    <w:uiPriority w:val="59"/>
    <w:rsid w:val="00CC51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als">
    <w:name w:val="Goals"/>
    <w:basedOn w:val="Normal"/>
    <w:uiPriority w:val="99"/>
    <w:rsid w:val="00CC51D7"/>
    <w:pPr>
      <w:widowControl w:val="0"/>
      <w:autoSpaceDE w:val="0"/>
      <w:autoSpaceDN w:val="0"/>
      <w:adjustRightInd w:val="0"/>
      <w:spacing w:after="0" w:line="288" w:lineRule="auto"/>
      <w:textAlignment w:val="center"/>
    </w:pPr>
    <w:rPr>
      <w:rFonts w:ascii="MyriadPro-Semibold" w:hAnsi="MyriadPro-Semibold" w:cs="MyriadPro-Semibold"/>
      <w:color w:val="000000"/>
    </w:rPr>
  </w:style>
  <w:style w:type="character" w:customStyle="1" w:styleId="Heading1Char">
    <w:name w:val="Heading 1 Char"/>
    <w:basedOn w:val="DefaultParagraphFont"/>
    <w:link w:val="Heading1"/>
    <w:uiPriority w:val="9"/>
    <w:rsid w:val="00354327"/>
    <w:rPr>
      <w:rFonts w:asciiTheme="majorHAnsi" w:eastAsiaTheme="majorEastAsia" w:hAnsiTheme="majorHAnsi" w:cstheme="majorBidi"/>
      <w:b/>
      <w:bCs/>
      <w:color w:val="17365D" w:themeColor="text2" w:themeShade="BF"/>
      <w:sz w:val="48"/>
      <w:szCs w:val="32"/>
    </w:rPr>
  </w:style>
  <w:style w:type="paragraph" w:styleId="BalloonText">
    <w:name w:val="Balloon Text"/>
    <w:basedOn w:val="Normal"/>
    <w:link w:val="BalloonTextChar"/>
    <w:uiPriority w:val="99"/>
    <w:semiHidden/>
    <w:unhideWhenUsed/>
    <w:rsid w:val="001238E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38E7"/>
    <w:rPr>
      <w:rFonts w:ascii="Lucida Grande" w:hAnsi="Lucida Grande" w:cs="Lucida Grande"/>
      <w:sz w:val="18"/>
      <w:szCs w:val="18"/>
    </w:rPr>
  </w:style>
  <w:style w:type="character" w:customStyle="1" w:styleId="Heading2Char">
    <w:name w:val="Heading 2 Char"/>
    <w:basedOn w:val="DefaultParagraphFont"/>
    <w:link w:val="Heading2"/>
    <w:uiPriority w:val="9"/>
    <w:rsid w:val="00304BEB"/>
    <w:rPr>
      <w:rFonts w:asciiTheme="majorHAnsi" w:eastAsiaTheme="majorEastAsia" w:hAnsiTheme="majorHAnsi" w:cstheme="majorBidi"/>
      <w:b/>
      <w:bCs/>
      <w:color w:val="17365D" w:themeColor="text2" w:themeShade="BF"/>
      <w:szCs w:val="26"/>
    </w:rPr>
  </w:style>
  <w:style w:type="paragraph" w:styleId="ListParagraph">
    <w:name w:val="List Paragraph"/>
    <w:basedOn w:val="Normal"/>
    <w:uiPriority w:val="34"/>
    <w:qFormat/>
    <w:rsid w:val="00304BEB"/>
    <w:pPr>
      <w:ind w:left="720"/>
      <w:contextualSpacing/>
    </w:pPr>
  </w:style>
  <w:style w:type="paragraph" w:styleId="Header">
    <w:name w:val="header"/>
    <w:basedOn w:val="Normal"/>
    <w:link w:val="HeaderChar"/>
    <w:uiPriority w:val="99"/>
    <w:unhideWhenUsed/>
    <w:rsid w:val="00D91FB9"/>
    <w:pPr>
      <w:tabs>
        <w:tab w:val="center" w:pos="4513"/>
        <w:tab w:val="right" w:pos="9026"/>
      </w:tabs>
      <w:spacing w:after="0"/>
    </w:pPr>
  </w:style>
  <w:style w:type="character" w:customStyle="1" w:styleId="HeaderChar">
    <w:name w:val="Header Char"/>
    <w:basedOn w:val="DefaultParagraphFont"/>
    <w:link w:val="Header"/>
    <w:uiPriority w:val="99"/>
    <w:rsid w:val="00D91FB9"/>
    <w:rPr>
      <w:rFonts w:asciiTheme="majorHAnsi" w:hAnsiTheme="majorHAnsi"/>
    </w:rPr>
  </w:style>
  <w:style w:type="paragraph" w:styleId="Footer">
    <w:name w:val="footer"/>
    <w:basedOn w:val="Normal"/>
    <w:link w:val="FooterChar"/>
    <w:uiPriority w:val="99"/>
    <w:unhideWhenUsed/>
    <w:rsid w:val="00D91FB9"/>
    <w:pPr>
      <w:tabs>
        <w:tab w:val="center" w:pos="4513"/>
        <w:tab w:val="right" w:pos="9026"/>
      </w:tabs>
      <w:spacing w:after="0"/>
    </w:pPr>
  </w:style>
  <w:style w:type="character" w:customStyle="1" w:styleId="FooterChar">
    <w:name w:val="Footer Char"/>
    <w:basedOn w:val="DefaultParagraphFont"/>
    <w:link w:val="Footer"/>
    <w:uiPriority w:val="99"/>
    <w:rsid w:val="00D91FB9"/>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E9005308.dotm</Template>
  <TotalTime>6</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People Strategy 2018-22</vt:lpstr>
    </vt:vector>
  </TitlesOfParts>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Strategy 2018-22</dc:title>
  <dc:subject/>
  <dc:creator>Department of the Environment and Energy</dc:creator>
  <cp:keywords/>
  <dc:description/>
  <cp:lastModifiedBy>Durack, Bec</cp:lastModifiedBy>
  <cp:revision>4</cp:revision>
  <dcterms:created xsi:type="dcterms:W3CDTF">2018-02-07T04:58:00Z</dcterms:created>
  <dcterms:modified xsi:type="dcterms:W3CDTF">2018-02-07T05:07:00Z</dcterms:modified>
</cp:coreProperties>
</file>