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5ED5" w14:paraId="03A87EBC" w14:textId="77777777" w:rsidTr="00E23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shd w:val="clear" w:color="auto" w:fill="C2D69B" w:themeFill="accent3" w:themeFillTint="99"/>
          </w:tcPr>
          <w:p w14:paraId="03A87EBA" w14:textId="77777777" w:rsidR="00DD09B8" w:rsidRDefault="00DD09B8" w:rsidP="00E35ED5">
            <w:pPr>
              <w:spacing w:before="120" w:after="120" w:line="240" w:lineRule="auto"/>
              <w:rPr>
                <w:b/>
              </w:rPr>
            </w:pPr>
            <w:bookmarkStart w:id="0" w:name="_GoBack"/>
            <w:bookmarkEnd w:id="0"/>
            <w:r w:rsidRPr="00DD09B8">
              <w:rPr>
                <w:b/>
              </w:rPr>
              <w:t>Regional NRM Organisation Governance</w:t>
            </w:r>
          </w:p>
          <w:p w14:paraId="03A87EBB" w14:textId="77777777" w:rsidR="00E35ED5" w:rsidRPr="00DD09B8" w:rsidRDefault="00E35ED5" w:rsidP="001D5AA6">
            <w:pPr>
              <w:spacing w:before="120" w:after="120" w:line="240" w:lineRule="auto"/>
              <w:rPr>
                <w:b/>
              </w:rPr>
            </w:pPr>
            <w:r w:rsidRPr="0076155E">
              <w:rPr>
                <w:b/>
              </w:rPr>
              <w:t xml:space="preserve">Performance Expectation </w:t>
            </w:r>
            <w:r w:rsidR="00E939AB">
              <w:rPr>
                <w:b/>
              </w:rPr>
              <w:t>1</w:t>
            </w:r>
            <w:r w:rsidRPr="0076155E">
              <w:rPr>
                <w:b/>
              </w:rPr>
              <w:t xml:space="preserve">– </w:t>
            </w:r>
            <w:r>
              <w:rPr>
                <w:b/>
              </w:rPr>
              <w:t>Organisational</w:t>
            </w:r>
            <w:r w:rsidRPr="0076155E">
              <w:rPr>
                <w:b/>
              </w:rPr>
              <w:t xml:space="preserve"> governance</w:t>
            </w:r>
            <w:r w:rsidR="003A22C8">
              <w:rPr>
                <w:b/>
              </w:rPr>
              <w:t>.</w:t>
            </w:r>
          </w:p>
        </w:tc>
      </w:tr>
      <w:tr w:rsidR="00E35ED5" w14:paraId="03A87EBE" w14:textId="77777777" w:rsidTr="00E23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</w:tcPr>
          <w:p w14:paraId="03A87EBD" w14:textId="77777777" w:rsidR="00E35ED5" w:rsidRPr="00EE6E98" w:rsidRDefault="00987F6F" w:rsidP="0041715F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68"/>
              <w:rPr>
                <w:rFonts w:asciiTheme="minorHAnsi" w:hAnsiTheme="minorHAnsi"/>
                <w:i/>
                <w:sz w:val="20"/>
                <w:szCs w:val="20"/>
                <w:lang w:eastAsia="en-AU"/>
              </w:rPr>
            </w:pPr>
            <w:r w:rsidRPr="0003369F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Strong </w:t>
            </w:r>
            <w:r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organisational</w:t>
            </w:r>
            <w:r w:rsidRPr="0003369F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 governance is </w:t>
            </w:r>
            <w:r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fundamental to sound </w:t>
            </w:r>
            <w:r w:rsidRPr="00EE6E9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decision</w:t>
            </w:r>
            <w:r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-making</w:t>
            </w:r>
            <w:r w:rsidRPr="00EE6E9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and </w:t>
            </w:r>
            <w:r w:rsidRPr="00EE6E9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managing and using resources efficiently to ensure that the highest possible level of performance is achieved</w:t>
            </w:r>
            <w:r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,</w:t>
            </w:r>
            <w:r w:rsidRPr="00EE6E9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 including how risk is monitored and assessed</w:t>
            </w:r>
            <w:r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. </w:t>
            </w:r>
            <w:r w:rsidRPr="0003369F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It allows the Australian Government to be confident that its NRM investment is being delivered</w:t>
            </w:r>
            <w:r w:rsidR="0041715F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 by</w:t>
            </w:r>
            <w:r w:rsidRPr="00FC215B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highly capable </w:t>
            </w:r>
            <w:r w:rsidRPr="00FC215B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organisation</w:t>
            </w:r>
            <w:r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s</w:t>
            </w:r>
            <w:r w:rsidR="00AA2029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.</w:t>
            </w:r>
          </w:p>
        </w:tc>
      </w:tr>
      <w:tr w:rsidR="00E35ED5" w14:paraId="03A87EC0" w14:textId="77777777" w:rsidTr="00E230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89" w:type="dxa"/>
            <w:shd w:val="clear" w:color="auto" w:fill="C2D69B" w:themeFill="accent3" w:themeFillTint="99"/>
          </w:tcPr>
          <w:p w14:paraId="03A87EBF" w14:textId="77777777" w:rsidR="00E35ED5" w:rsidRPr="004C4134" w:rsidRDefault="00E35ED5" w:rsidP="00E35ED5">
            <w:pPr>
              <w:spacing w:before="120" w:after="120" w:line="240" w:lineRule="auto"/>
              <w:rPr>
                <w:b/>
              </w:rPr>
            </w:pPr>
            <w:r w:rsidRPr="0076155E">
              <w:rPr>
                <w:b/>
              </w:rPr>
              <w:t>Expected practices</w:t>
            </w:r>
          </w:p>
        </w:tc>
      </w:tr>
      <w:tr w:rsidR="00E35ED5" w14:paraId="03A87EC3" w14:textId="77777777" w:rsidTr="00E23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  <w:shd w:val="clear" w:color="auto" w:fill="D6E3BC" w:themeFill="accent3" w:themeFillTint="66"/>
          </w:tcPr>
          <w:p w14:paraId="03A87EC1" w14:textId="77777777" w:rsidR="00E35ED5" w:rsidRPr="00E939AB" w:rsidRDefault="00E939AB" w:rsidP="00E939AB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1.1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F648BC" w:rsidRPr="00E939AB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regional NRM organisation is complying with </w:t>
            </w:r>
            <w:r w:rsidR="004562CB" w:rsidRPr="00E939AB">
              <w:rPr>
                <w:rFonts w:asciiTheme="minorHAnsi" w:hAnsiTheme="minorHAnsi"/>
                <w:b/>
                <w:i/>
                <w:sz w:val="24"/>
                <w:szCs w:val="24"/>
              </w:rPr>
              <w:t>governance responsibilities according to its statutory/incorporation or other legal obligations, including Work, Health and Safety obligations.</w:t>
            </w:r>
          </w:p>
          <w:p w14:paraId="03A87EC2" w14:textId="77777777" w:rsidR="00E35ED5" w:rsidRPr="009B51D6" w:rsidRDefault="00987F6F" w:rsidP="00E35ED5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aims to demonstrate that a regional NRM organisation is fulfilling its </w:t>
            </w:r>
            <w:r w:rsidRPr="00095F2F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legislative and stewardship </w:t>
            </w:r>
            <w:r>
              <w:rPr>
                <w:rFonts w:asciiTheme="minorHAnsi" w:hAnsiTheme="minorHAnsi"/>
                <w:sz w:val="20"/>
                <w:szCs w:val="20"/>
              </w:rPr>
              <w:t>obligations as a highly competent and capable organisation.</w:t>
            </w:r>
            <w:r w:rsidR="00E35ED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FF0F0D" w14:paraId="03A87ECB" w14:textId="77777777" w:rsidTr="003520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11"/>
        </w:trPr>
        <w:tc>
          <w:tcPr>
            <w:tcW w:w="9889" w:type="dxa"/>
          </w:tcPr>
          <w:p w14:paraId="03A87EC4" w14:textId="77777777" w:rsidR="00F3617A" w:rsidRDefault="00F0060C" w:rsidP="00F3617A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</w:t>
            </w:r>
            <w:r w:rsidR="00F3617A">
              <w:rPr>
                <w:rFonts w:asciiTheme="minorHAnsi" w:hAnsiTheme="minorHAnsi"/>
                <w:sz w:val="20"/>
                <w:szCs w:val="20"/>
              </w:rPr>
              <w:t>vidence</w:t>
            </w:r>
            <w:r w:rsidR="00624387">
              <w:rPr>
                <w:rFonts w:asciiTheme="minorHAnsi" w:hAnsiTheme="minorHAnsi"/>
                <w:sz w:val="20"/>
                <w:szCs w:val="20"/>
              </w:rPr>
              <w:t xml:space="preserve"> may include:</w:t>
            </w:r>
          </w:p>
          <w:p w14:paraId="03A87EC5" w14:textId="77777777" w:rsidR="00FF0F0D" w:rsidRPr="009B77FE" w:rsidRDefault="00FF0F0D" w:rsidP="00D845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Documentation of a governance structure.</w:t>
            </w:r>
          </w:p>
          <w:p w14:paraId="03A87EC6" w14:textId="77777777" w:rsidR="00FF0F0D" w:rsidRPr="00E575A6" w:rsidRDefault="00FF0F0D" w:rsidP="00D845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Documentation or evidence from relevant authorities confirming that governance obligations have been met.</w:t>
            </w:r>
          </w:p>
          <w:p w14:paraId="03A87EC7" w14:textId="77777777" w:rsidR="00FF0F0D" w:rsidRPr="00E575A6" w:rsidRDefault="00FF0F0D" w:rsidP="00D845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clearly defined suite of relevant policies and procedures, including but not confined to</w:t>
            </w:r>
            <w:r w:rsidR="00987F6F">
              <w:rPr>
                <w:rFonts w:asciiTheme="minorHAnsi" w:hAnsiTheme="minorHAnsi"/>
                <w:sz w:val="20"/>
                <w:szCs w:val="20"/>
              </w:rPr>
              <w:t xml:space="preserve"> probity (</w:t>
            </w:r>
            <w:proofErr w:type="spellStart"/>
            <w:r w:rsidR="00987F6F">
              <w:rPr>
                <w:rFonts w:asciiTheme="minorHAnsi" w:hAnsiTheme="minorHAnsi"/>
                <w:sz w:val="20"/>
                <w:szCs w:val="20"/>
              </w:rPr>
              <w:t>inc.</w:t>
            </w:r>
            <w:proofErr w:type="spellEnd"/>
            <w:r w:rsidR="00987F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conflict of interest</w:t>
            </w:r>
            <w:r w:rsidR="00374AE0">
              <w:rPr>
                <w:rFonts w:asciiTheme="minorHAnsi" w:hAnsiTheme="minorHAnsi"/>
                <w:sz w:val="20"/>
                <w:szCs w:val="20"/>
              </w:rPr>
              <w:t xml:space="preserve"> and financial</w:t>
            </w:r>
            <w:r w:rsidR="00987F6F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987F6F">
              <w:rPr>
                <w:rFonts w:asciiTheme="minorHAnsi" w:hAnsiTheme="minorHAnsi"/>
                <w:sz w:val="20"/>
                <w:szCs w:val="20"/>
              </w:rPr>
              <w:t xml:space="preserve">fraud, </w:t>
            </w:r>
            <w:r w:rsidR="00FA0CE8">
              <w:rPr>
                <w:rFonts w:asciiTheme="minorHAnsi" w:hAnsiTheme="minorHAnsi"/>
                <w:sz w:val="20"/>
                <w:szCs w:val="20"/>
              </w:rPr>
              <w:t>project management</w:t>
            </w:r>
            <w:r>
              <w:rPr>
                <w:rFonts w:asciiTheme="minorHAnsi" w:hAnsiTheme="minorHAnsi"/>
                <w:sz w:val="20"/>
                <w:szCs w:val="20"/>
              </w:rPr>
              <w:t>, risk management</w:t>
            </w:r>
            <w:r w:rsidR="005A4EC1">
              <w:rPr>
                <w:rFonts w:asciiTheme="minorHAnsi" w:hAnsiTheme="minorHAnsi"/>
                <w:sz w:val="20"/>
                <w:szCs w:val="20"/>
              </w:rPr>
              <w:t>, transparent board and staff appointment processes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procurement.</w:t>
            </w:r>
          </w:p>
          <w:p w14:paraId="03A87EC8" w14:textId="77777777" w:rsidR="00FF0F0D" w:rsidRDefault="00FF0F0D" w:rsidP="003A38A8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WH&amp;S </w:t>
            </w:r>
            <w:r w:rsidR="00FA0CE8">
              <w:rPr>
                <w:rFonts w:asciiTheme="minorHAnsi" w:hAnsiTheme="minorHAnsi"/>
                <w:sz w:val="20"/>
                <w:szCs w:val="20"/>
              </w:rPr>
              <w:t xml:space="preserve">policies, </w:t>
            </w:r>
            <w:r>
              <w:rPr>
                <w:rFonts w:asciiTheme="minorHAnsi" w:hAnsiTheme="minorHAnsi"/>
                <w:sz w:val="20"/>
                <w:szCs w:val="20"/>
              </w:rPr>
              <w:t>guidelines</w:t>
            </w:r>
            <w:r w:rsidR="004A3A74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formal safety documents </w:t>
            </w:r>
            <w:r w:rsidR="004A3A74">
              <w:rPr>
                <w:rFonts w:asciiTheme="minorHAnsi" w:hAnsiTheme="minorHAnsi"/>
                <w:sz w:val="20"/>
                <w:szCs w:val="20"/>
              </w:rPr>
              <w:t xml:space="preserve">and processes in place </w:t>
            </w:r>
            <w:r>
              <w:rPr>
                <w:rFonts w:asciiTheme="minorHAnsi" w:hAnsiTheme="minorHAnsi"/>
                <w:sz w:val="20"/>
                <w:szCs w:val="20"/>
              </w:rPr>
              <w:t>demonstrating compliance with relevant State legislation</w:t>
            </w:r>
            <w:r w:rsidR="003A38A8">
              <w:rPr>
                <w:rFonts w:asciiTheme="minorHAnsi" w:hAnsiTheme="minorHAnsi"/>
                <w:sz w:val="20"/>
                <w:szCs w:val="20"/>
              </w:rPr>
              <w:t>, including compliance by contracted</w:t>
            </w:r>
            <w:r w:rsidR="0041715F">
              <w:rPr>
                <w:rFonts w:asciiTheme="minorHAnsi" w:hAnsiTheme="minorHAnsi"/>
                <w:sz w:val="20"/>
                <w:szCs w:val="20"/>
              </w:rPr>
              <w:t xml:space="preserve"> 3</w:t>
            </w:r>
            <w:r w:rsidR="0041715F" w:rsidRPr="0041715F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 w:rsidR="0041715F">
              <w:rPr>
                <w:rFonts w:asciiTheme="minorHAnsi" w:hAnsiTheme="minorHAnsi"/>
                <w:sz w:val="20"/>
                <w:szCs w:val="20"/>
              </w:rPr>
              <w:t xml:space="preserve"> parties</w:t>
            </w:r>
            <w:r w:rsidR="003A38A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3A87EC9" w14:textId="77777777" w:rsidR="005A6C9A" w:rsidRDefault="005A6C9A" w:rsidP="005A6C9A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C51C2F">
              <w:rPr>
                <w:rFonts w:asciiTheme="minorHAnsi" w:hAnsiTheme="minorHAnsi"/>
                <w:sz w:val="20"/>
                <w:szCs w:val="20"/>
              </w:rPr>
              <w:t>ndependent c</w:t>
            </w:r>
            <w:r w:rsidR="00C51C2F" w:rsidRPr="00B22F72">
              <w:rPr>
                <w:rFonts w:asciiTheme="minorHAnsi" w:hAnsiTheme="minorHAnsi"/>
                <w:sz w:val="20"/>
                <w:szCs w:val="20"/>
              </w:rPr>
              <w:t>apability or performance reviews or audits are regularly conducted and improvements are implemented to address findings</w:t>
            </w:r>
            <w:r w:rsidR="00C51C2F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405882">
              <w:rPr>
                <w:rFonts w:asciiTheme="minorHAnsi" w:hAnsiTheme="minorHAnsi"/>
                <w:sz w:val="20"/>
                <w:szCs w:val="20"/>
              </w:rPr>
              <w:t xml:space="preserve">are </w:t>
            </w:r>
            <w:r w:rsidR="00C51C2F">
              <w:rPr>
                <w:rFonts w:asciiTheme="minorHAnsi" w:hAnsiTheme="minorHAnsi"/>
                <w:sz w:val="20"/>
                <w:szCs w:val="20"/>
              </w:rPr>
              <w:t xml:space="preserve">made public. </w:t>
            </w:r>
          </w:p>
          <w:p w14:paraId="795EC768" w14:textId="77777777" w:rsidR="00C51C2F" w:rsidRPr="00976996" w:rsidRDefault="00C51C2F" w:rsidP="00CA56C4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A6C9A">
              <w:rPr>
                <w:rFonts w:asciiTheme="minorHAnsi" w:hAnsiTheme="minorHAnsi"/>
                <w:sz w:val="20"/>
                <w:szCs w:val="20"/>
              </w:rPr>
              <w:t xml:space="preserve">An independent capability or performance review or audit where an organisation undertakes audits </w:t>
            </w:r>
            <w:r w:rsidR="00CA56C4">
              <w:rPr>
                <w:rFonts w:asciiTheme="minorHAnsi" w:hAnsiTheme="minorHAnsi"/>
                <w:sz w:val="20"/>
                <w:szCs w:val="20"/>
              </w:rPr>
              <w:t xml:space="preserve">that focus </w:t>
            </w:r>
            <w:r w:rsidRPr="005A6C9A">
              <w:rPr>
                <w:rFonts w:asciiTheme="minorHAnsi" w:hAnsiTheme="minorHAnsi"/>
                <w:sz w:val="20"/>
                <w:szCs w:val="20"/>
              </w:rPr>
              <w:t>on organisational and business areas with the highest risks.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14:paraId="03A87ECA" w14:textId="0043C1D5" w:rsidR="00235E5D" w:rsidRPr="009B77FE" w:rsidRDefault="00235E5D" w:rsidP="00976996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Where the regional NRM organisation is a statutory </w:t>
            </w:r>
            <w:r w:rsidR="001A5867">
              <w:rPr>
                <w:rFonts w:asciiTheme="minorHAnsi" w:hAnsiTheme="minorHAnsi"/>
                <w:sz w:val="20"/>
                <w:szCs w:val="20"/>
              </w:rPr>
              <w:t>authority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1A5867">
              <w:rPr>
                <w:rFonts w:asciiTheme="minorHAnsi" w:hAnsiTheme="minorHAnsi"/>
                <w:sz w:val="20"/>
                <w:szCs w:val="20"/>
              </w:rPr>
              <w:t xml:space="preserve">evidence confirming their compliance is provided </w:t>
            </w:r>
            <w:r>
              <w:rPr>
                <w:rFonts w:asciiTheme="minorHAnsi" w:hAnsiTheme="minorHAnsi"/>
                <w:sz w:val="20"/>
                <w:szCs w:val="20"/>
              </w:rPr>
              <w:t>by the appropriate State Government department.</w:t>
            </w:r>
          </w:p>
        </w:tc>
      </w:tr>
      <w:tr w:rsidR="00E35ED5" w14:paraId="03A87ECE" w14:textId="77777777" w:rsidTr="00E23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  <w:shd w:val="clear" w:color="auto" w:fill="D6E3BC" w:themeFill="accent3" w:themeFillTint="66"/>
          </w:tcPr>
          <w:p w14:paraId="03A87ECC" w14:textId="77777777" w:rsidR="00E35ED5" w:rsidRPr="00FF0F0D" w:rsidRDefault="00FF0F0D" w:rsidP="00FF0F0D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1.2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E35ED5" w:rsidRPr="00FF0F0D">
              <w:rPr>
                <w:rFonts w:asciiTheme="minorHAnsi" w:hAnsiTheme="minorHAnsi"/>
                <w:b/>
                <w:i/>
                <w:sz w:val="24"/>
                <w:szCs w:val="24"/>
              </w:rPr>
              <w:t>The regional NRM organisation has a process in place for formally reviewing the performance and composition of the regional NRM organisation’s board of directors.</w:t>
            </w:r>
          </w:p>
          <w:p w14:paraId="03A87ECD" w14:textId="78FD01B0" w:rsidR="00E35ED5" w:rsidRPr="00CF77DE" w:rsidRDefault="00E35ED5" w:rsidP="00235E5D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aims to demonstrate that a regional NRM organisation has a board of </w:t>
            </w:r>
            <w:r w:rsidR="00235E5D">
              <w:rPr>
                <w:rFonts w:asciiTheme="minorHAnsi" w:hAnsiTheme="minorHAnsi"/>
                <w:sz w:val="20"/>
                <w:szCs w:val="20"/>
              </w:rPr>
              <w:t xml:space="preserve">directors (appointed or elected)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that are fully conversant with their responsibility as directors of a statutory or incorporated organisation and </w:t>
            </w:r>
            <w:r w:rsidR="00532594">
              <w:rPr>
                <w:rFonts w:asciiTheme="minorHAnsi" w:hAnsiTheme="minorHAnsi"/>
                <w:sz w:val="20"/>
                <w:szCs w:val="20"/>
              </w:rPr>
              <w:t>are representative of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demography of the region.</w:t>
            </w:r>
          </w:p>
        </w:tc>
      </w:tr>
      <w:tr w:rsidR="00E663FC" w14:paraId="03A87ED5" w14:textId="77777777" w:rsidTr="003520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43"/>
        </w:trPr>
        <w:tc>
          <w:tcPr>
            <w:tcW w:w="9889" w:type="dxa"/>
          </w:tcPr>
          <w:p w14:paraId="03A87ECF" w14:textId="77777777" w:rsidR="00F3617A" w:rsidRDefault="00F0060C" w:rsidP="00F3617A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ED0" w14:textId="77777777" w:rsidR="00AA2029" w:rsidRDefault="00E663FC" w:rsidP="00AA202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Evidence that a </w:t>
            </w:r>
            <w:r w:rsidR="005B6CE0">
              <w:rPr>
                <w:rFonts w:asciiTheme="minorHAnsi" w:hAnsiTheme="minorHAnsi"/>
                <w:sz w:val="20"/>
                <w:szCs w:val="20"/>
              </w:rPr>
              <w:t xml:space="preserve">board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review process is in place and is regularly undertaken. </w:t>
            </w:r>
          </w:p>
          <w:p w14:paraId="03A87ED1" w14:textId="77777777" w:rsidR="00E663FC" w:rsidRPr="00AA2029" w:rsidRDefault="00E663FC" w:rsidP="00AA2029">
            <w:pPr>
              <w:spacing w:before="60" w:after="60" w:line="240" w:lineRule="auto"/>
              <w:ind w:left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2029">
              <w:rPr>
                <w:rFonts w:asciiTheme="minorHAnsi" w:hAnsiTheme="minorHAnsi"/>
                <w:i/>
                <w:sz w:val="20"/>
                <w:szCs w:val="20"/>
              </w:rPr>
              <w:t xml:space="preserve">Note - A review process would be expected to include any codes of conduct and delegations of authority, including discrete roles, </w:t>
            </w:r>
            <w:r w:rsidRPr="00AA2029">
              <w:rPr>
                <w:rFonts w:asciiTheme="minorHAnsi" w:hAnsiTheme="minorHAnsi"/>
                <w:sz w:val="20"/>
                <w:szCs w:val="20"/>
              </w:rPr>
              <w:t>responsibilities</w:t>
            </w:r>
            <w:r w:rsidRPr="00AA2029">
              <w:rPr>
                <w:rFonts w:asciiTheme="minorHAnsi" w:hAnsiTheme="minorHAnsi"/>
                <w:i/>
                <w:sz w:val="20"/>
                <w:szCs w:val="20"/>
              </w:rPr>
              <w:t xml:space="preserve"> and relationships between Board members and the organisation’s management.</w:t>
            </w:r>
          </w:p>
          <w:p w14:paraId="03A87ED2" w14:textId="77777777" w:rsidR="00E663FC" w:rsidRDefault="00E663FC" w:rsidP="00D845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Evidence that</w:t>
            </w:r>
            <w:r w:rsidRPr="00227F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recommendations from a </w:t>
            </w:r>
            <w:r w:rsidR="005B6CE0">
              <w:rPr>
                <w:rFonts w:asciiTheme="minorHAnsi" w:hAnsiTheme="minorHAnsi"/>
                <w:sz w:val="20"/>
                <w:szCs w:val="20"/>
              </w:rPr>
              <w:t xml:space="preserve">board </w:t>
            </w:r>
            <w:r>
              <w:rPr>
                <w:rFonts w:asciiTheme="minorHAnsi" w:hAnsiTheme="minorHAnsi"/>
                <w:sz w:val="20"/>
                <w:szCs w:val="20"/>
              </w:rPr>
              <w:t>review process have been responded to and progress monitored.</w:t>
            </w:r>
          </w:p>
          <w:p w14:paraId="03A87ED3" w14:textId="77777777" w:rsidR="004A3A74" w:rsidRPr="00E575A6" w:rsidRDefault="004A3A74" w:rsidP="00D845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Evidence that an induction process is in place for new directors.</w:t>
            </w:r>
          </w:p>
          <w:p w14:paraId="03A87ED4" w14:textId="77777777" w:rsidR="00E663FC" w:rsidRPr="008831AC" w:rsidRDefault="00E663FC" w:rsidP="00BD5EE5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Evidence that a board of directors can demonstrate a full range of skills </w:t>
            </w:r>
            <w:r w:rsidR="0041715F">
              <w:rPr>
                <w:rFonts w:asciiTheme="minorHAnsi" w:hAnsiTheme="minorHAnsi"/>
                <w:sz w:val="20"/>
                <w:szCs w:val="20"/>
              </w:rPr>
              <w:t xml:space="preserve">and knowledge </w:t>
            </w:r>
            <w:r>
              <w:rPr>
                <w:rFonts w:asciiTheme="minorHAnsi" w:hAnsiTheme="minorHAnsi"/>
                <w:sz w:val="20"/>
                <w:szCs w:val="20"/>
              </w:rPr>
              <w:t>that reflect the responsibilities of the regional NRM organisation</w:t>
            </w:r>
            <w:r w:rsidR="008D36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D36F2" w:rsidRPr="008D36F2">
              <w:rPr>
                <w:rFonts w:asciiTheme="minorHAnsi" w:hAnsiTheme="minorHAnsi"/>
                <w:sz w:val="20"/>
                <w:szCs w:val="20"/>
              </w:rPr>
              <w:t>and the interests of the local community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14:paraId="03A87ED6" w14:textId="77777777" w:rsidR="0022700A" w:rsidRDefault="0022700A"/>
    <w:p w14:paraId="03A87ED7" w14:textId="77777777" w:rsidR="0022700A" w:rsidRDefault="0022700A">
      <w:pPr>
        <w:spacing w:after="0" w:line="240" w:lineRule="auto"/>
      </w:pPr>
      <w:r>
        <w:br w:type="page"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5ED5" w14:paraId="03A87EDA" w14:textId="77777777" w:rsidTr="00E23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shd w:val="clear" w:color="auto" w:fill="D6E3BC" w:themeFill="accent3" w:themeFillTint="66"/>
          </w:tcPr>
          <w:p w14:paraId="03A87ED8" w14:textId="77777777" w:rsidR="00E35ED5" w:rsidRPr="00E663FC" w:rsidRDefault="00E663FC" w:rsidP="00E663FC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lastRenderedPageBreak/>
              <w:t>1.3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E35ED5" w:rsidRPr="00E663F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regional NRM organisation has organisational decision making processes that are </w:t>
            </w:r>
            <w:r w:rsidR="00FA0CE8">
              <w:rPr>
                <w:rFonts w:asciiTheme="minorHAnsi" w:hAnsiTheme="minorHAnsi"/>
                <w:b/>
                <w:i/>
                <w:sz w:val="24"/>
                <w:szCs w:val="24"/>
              </w:rPr>
              <w:t>transparent</w:t>
            </w:r>
            <w:r w:rsidR="00E35ED5" w:rsidRPr="00E663F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and communicated regularly with the local community</w:t>
            </w:r>
            <w:r w:rsidR="006F39E7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  <w:p w14:paraId="03A87ED9" w14:textId="77777777" w:rsidR="00E35ED5" w:rsidRPr="00CF77DE" w:rsidRDefault="00E35ED5" w:rsidP="00E35ED5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aims to demonstrate that a regional NRM organisation is open, honest and transparent in its decision making processes and is engaging the </w:t>
            </w:r>
            <w:r w:rsidR="006F39E7">
              <w:rPr>
                <w:rFonts w:asciiTheme="minorHAnsi" w:hAnsiTheme="minorHAnsi"/>
                <w:sz w:val="20"/>
                <w:szCs w:val="20"/>
              </w:rPr>
              <w:t xml:space="preserve">local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community in decision making. </w:t>
            </w:r>
          </w:p>
        </w:tc>
      </w:tr>
      <w:tr w:rsidR="004F5166" w14:paraId="03A87EDF" w14:textId="77777777" w:rsidTr="002A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tcW w:w="9889" w:type="dxa"/>
            <w:tcBorders>
              <w:bottom w:val="single" w:sz="4" w:space="0" w:color="auto"/>
            </w:tcBorders>
          </w:tcPr>
          <w:p w14:paraId="03A87EDB" w14:textId="77777777" w:rsidR="00F3617A" w:rsidRDefault="00F0060C" w:rsidP="00F3617A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369" w:hanging="369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EDC" w14:textId="77777777" w:rsidR="004F5166" w:rsidRPr="00D71F9E" w:rsidRDefault="004F5166" w:rsidP="00D845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Communication plans and policies are in place to ensure regular communication of organisational decisions </w:t>
            </w:r>
            <w:r w:rsidR="004A3A74">
              <w:rPr>
                <w:rFonts w:asciiTheme="minorHAnsi" w:hAnsiTheme="minorHAnsi"/>
                <w:sz w:val="20"/>
                <w:szCs w:val="20"/>
              </w:rPr>
              <w:t>and that these plans are being implemented and reviewed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3A87EDD" w14:textId="77777777" w:rsidR="006C0579" w:rsidRDefault="002A3F3B" w:rsidP="004058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 about o</w:t>
            </w:r>
            <w:r w:rsidR="004F5166">
              <w:rPr>
                <w:rFonts w:asciiTheme="minorHAnsi" w:hAnsiTheme="minorHAnsi"/>
                <w:sz w:val="20"/>
                <w:szCs w:val="20"/>
              </w:rPr>
              <w:t>rganis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ational decisions </w:t>
            </w:r>
            <w:r w:rsidR="00405882">
              <w:rPr>
                <w:rFonts w:asciiTheme="minorHAnsi" w:hAnsiTheme="minorHAnsi"/>
                <w:sz w:val="20"/>
                <w:szCs w:val="20"/>
              </w:rPr>
              <w:t>is</w:t>
            </w:r>
            <w:r w:rsidR="004F5166">
              <w:rPr>
                <w:rFonts w:asciiTheme="minorHAnsi" w:hAnsiTheme="minorHAnsi"/>
                <w:sz w:val="20"/>
                <w:szCs w:val="20"/>
              </w:rPr>
              <w:t xml:space="preserve"> easily available (e.g. websites, </w:t>
            </w:r>
            <w:r w:rsidR="008E05E1">
              <w:rPr>
                <w:rFonts w:asciiTheme="minorHAnsi" w:hAnsiTheme="minorHAnsi"/>
                <w:sz w:val="20"/>
                <w:szCs w:val="20"/>
              </w:rPr>
              <w:t xml:space="preserve">social media, </w:t>
            </w:r>
            <w:r w:rsidR="004F5166">
              <w:rPr>
                <w:rFonts w:asciiTheme="minorHAnsi" w:hAnsiTheme="minorHAnsi"/>
                <w:sz w:val="20"/>
                <w:szCs w:val="20"/>
              </w:rPr>
              <w:t xml:space="preserve">newsletters and other communication material) within 6 months of </w:t>
            </w:r>
            <w:r w:rsidR="00405882">
              <w:rPr>
                <w:rFonts w:asciiTheme="minorHAnsi" w:hAnsiTheme="minorHAnsi"/>
                <w:sz w:val="20"/>
                <w:szCs w:val="20"/>
              </w:rPr>
              <w:t xml:space="preserve">an </w:t>
            </w:r>
            <w:r w:rsidR="004F5166">
              <w:rPr>
                <w:rFonts w:asciiTheme="minorHAnsi" w:hAnsiTheme="minorHAnsi"/>
                <w:sz w:val="20"/>
                <w:szCs w:val="20"/>
              </w:rPr>
              <w:t>organisational decision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being made</w:t>
            </w:r>
            <w:r w:rsidR="004F5166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03A87EDE" w14:textId="77777777" w:rsidR="003725AD" w:rsidRPr="00D71F9E" w:rsidRDefault="003725AD" w:rsidP="004058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725AD">
              <w:rPr>
                <w:rFonts w:asciiTheme="minorHAnsi" w:hAnsiTheme="minorHAnsi"/>
                <w:sz w:val="20"/>
                <w:szCs w:val="20"/>
              </w:rPr>
              <w:t>Regional community participation processes are used to engage local communities and inform organisational decision-making.</w:t>
            </w:r>
          </w:p>
        </w:tc>
      </w:tr>
      <w:tr w:rsidR="00E35ED5" w14:paraId="03A87EE2" w14:textId="77777777" w:rsidTr="002A72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03A87EE0" w14:textId="77777777" w:rsidR="00E35ED5" w:rsidRPr="004F5166" w:rsidRDefault="004F5166" w:rsidP="004F5166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1.4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E35ED5" w:rsidRPr="004F5166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regional NRM organisation ensures </w:t>
            </w:r>
            <w:r w:rsidR="00002C16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all </w:t>
            </w:r>
            <w:r w:rsidR="00E35ED5" w:rsidRPr="004F5166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staff and board of directors </w:t>
            </w:r>
            <w:r w:rsidR="004A3A74">
              <w:rPr>
                <w:rFonts w:asciiTheme="minorHAnsi" w:hAnsiTheme="minorHAnsi"/>
                <w:b/>
                <w:i/>
                <w:sz w:val="24"/>
                <w:szCs w:val="24"/>
              </w:rPr>
              <w:t>demonstrate</w:t>
            </w:r>
            <w:r w:rsidR="00E35ED5" w:rsidRPr="004F5166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Indigenous cultural awareness.</w:t>
            </w:r>
            <w:r w:rsidR="005A6C9A">
              <w:rPr>
                <w:rFonts w:asciiTheme="minorHAnsi" w:hAnsiTheme="minorHAnsi"/>
                <w:b/>
                <w:i/>
                <w:sz w:val="24"/>
                <w:szCs w:val="24"/>
              </w:rPr>
              <w:t>*</w:t>
            </w:r>
          </w:p>
          <w:p w14:paraId="03A87EE1" w14:textId="77777777" w:rsidR="00E35ED5" w:rsidRPr="00CF77DE" w:rsidRDefault="00E35ED5" w:rsidP="004F5166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aims to demonstrate that a regional NRM organisation is </w:t>
            </w:r>
            <w:r w:rsidRPr="0005772E">
              <w:rPr>
                <w:rFonts w:asciiTheme="minorHAnsi" w:hAnsiTheme="minorHAnsi"/>
                <w:sz w:val="20"/>
                <w:szCs w:val="20"/>
              </w:rPr>
              <w:t>creating a</w:t>
            </w: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05772E">
              <w:rPr>
                <w:rFonts w:asciiTheme="minorHAnsi" w:hAnsiTheme="minorHAnsi"/>
                <w:sz w:val="20"/>
                <w:szCs w:val="20"/>
              </w:rPr>
              <w:t xml:space="preserve"> inclusive workplace that values, respects and develops employee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management </w:t>
            </w:r>
            <w:r w:rsidRPr="0005772E">
              <w:rPr>
                <w:rFonts w:asciiTheme="minorHAnsi" w:hAnsiTheme="minorHAnsi"/>
                <w:sz w:val="20"/>
                <w:szCs w:val="20"/>
              </w:rPr>
              <w:t>competence in Aboriginal and Torres Strait Islander culture.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4F5166" w14:paraId="03A87EE7" w14:textId="77777777" w:rsidTr="00A3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tcW w:w="9889" w:type="dxa"/>
          </w:tcPr>
          <w:p w14:paraId="03A87EE3" w14:textId="77777777" w:rsidR="00F3617A" w:rsidRDefault="00F0060C" w:rsidP="00B5555C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369" w:hanging="369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EE4" w14:textId="0B77E420" w:rsidR="004F5166" w:rsidRDefault="004F5166" w:rsidP="00B5555C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Evidence of training </w:t>
            </w:r>
            <w:r w:rsidR="00235E5D">
              <w:rPr>
                <w:rFonts w:asciiTheme="minorHAnsi" w:hAnsiTheme="minorHAnsi"/>
                <w:sz w:val="20"/>
                <w:szCs w:val="20"/>
              </w:rPr>
              <w:t xml:space="preserve">for staff and Board members has been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undertaken by a qualified/appropriate Indigenous cultural awareness trainer. </w:t>
            </w:r>
          </w:p>
          <w:p w14:paraId="03A87EE5" w14:textId="77777777" w:rsidR="004F5166" w:rsidRDefault="004F5166" w:rsidP="00A366A9">
            <w:pPr>
              <w:spacing w:before="60" w:after="60" w:line="240" w:lineRule="auto"/>
              <w:ind w:left="284"/>
              <w:rPr>
                <w:rFonts w:asciiTheme="minorHAnsi" w:hAnsiTheme="minorHAnsi"/>
                <w:i/>
                <w:sz w:val="20"/>
                <w:szCs w:val="20"/>
              </w:rPr>
            </w:pPr>
            <w:r w:rsidRPr="004F5166">
              <w:rPr>
                <w:rFonts w:asciiTheme="minorHAnsi" w:hAnsiTheme="minorHAnsi"/>
                <w:i/>
                <w:sz w:val="20"/>
                <w:szCs w:val="20"/>
              </w:rPr>
              <w:t>Note - An appropriate Indigenous cultural awareness trainer may include Traditional Owners and elders who may not have formal training qualifications but are recognised as Indigenous cultural awareness training providers.</w:t>
            </w:r>
          </w:p>
          <w:p w14:paraId="03A87EE6" w14:textId="1D36A610" w:rsidR="00C51C2F" w:rsidRPr="005A6C9A" w:rsidRDefault="005A6C9A" w:rsidP="00235E5D">
            <w:pPr>
              <w:spacing w:before="60" w:after="60" w:line="240" w:lineRule="auto"/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 w:rsidRPr="005A6C9A">
              <w:rPr>
                <w:rFonts w:asciiTheme="minorHAnsi" w:hAnsiTheme="minorHAnsi"/>
                <w:sz w:val="24"/>
                <w:szCs w:val="24"/>
              </w:rPr>
              <w:t>*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976996">
              <w:rPr>
                <w:rFonts w:asciiTheme="minorHAnsi" w:hAnsiTheme="minorHAnsi"/>
                <w:sz w:val="20"/>
                <w:szCs w:val="20"/>
                <w:u w:val="single"/>
              </w:rPr>
              <w:t>As of 2020, the following will</w:t>
            </w:r>
            <w:r w:rsidR="00C51C2F" w:rsidRPr="00976996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Pr="00976996">
              <w:rPr>
                <w:rFonts w:asciiTheme="minorHAnsi" w:hAnsiTheme="minorHAnsi"/>
                <w:sz w:val="20"/>
                <w:szCs w:val="20"/>
                <w:u w:val="single"/>
              </w:rPr>
              <w:t>be included</w:t>
            </w:r>
            <w:r w:rsidRPr="005A6C9A">
              <w:rPr>
                <w:rFonts w:asciiTheme="minorHAnsi" w:hAnsiTheme="minorHAnsi"/>
                <w:sz w:val="20"/>
                <w:szCs w:val="20"/>
              </w:rPr>
              <w:t xml:space="preserve"> as a part of this expected practice – </w:t>
            </w:r>
            <w:r w:rsidR="00235E5D" w:rsidRPr="00976996">
              <w:rPr>
                <w:rFonts w:asciiTheme="minorHAnsi" w:hAnsiTheme="minorHAnsi"/>
                <w:i/>
                <w:sz w:val="20"/>
                <w:szCs w:val="20"/>
              </w:rPr>
              <w:t xml:space="preserve">“A </w:t>
            </w:r>
            <w:r w:rsidR="00C51C2F" w:rsidRPr="00976996">
              <w:rPr>
                <w:rFonts w:asciiTheme="minorHAnsi" w:hAnsiTheme="minorHAnsi"/>
                <w:i/>
                <w:sz w:val="20"/>
                <w:szCs w:val="20"/>
              </w:rPr>
              <w:t>cultural competency framework is in place and is being implemented, reviewed and updated in line with regional NRM plan updates.</w:t>
            </w:r>
            <w:r w:rsidR="00235E5D" w:rsidRPr="00976996">
              <w:rPr>
                <w:rFonts w:asciiTheme="minorHAnsi" w:hAnsiTheme="minorHAnsi"/>
                <w:i/>
                <w:sz w:val="20"/>
                <w:szCs w:val="20"/>
              </w:rPr>
              <w:t>”</w:t>
            </w:r>
            <w:r w:rsidR="00C51C2F" w:rsidRPr="005A6C9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E35ED5" w14:paraId="03A87EEA" w14:textId="77777777" w:rsidTr="00E230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89" w:type="dxa"/>
            <w:shd w:val="clear" w:color="auto" w:fill="D6E3BC" w:themeFill="accent3" w:themeFillTint="66"/>
          </w:tcPr>
          <w:p w14:paraId="03A87EE8" w14:textId="77777777" w:rsidR="00E35ED5" w:rsidRPr="00E676EF" w:rsidRDefault="00E676EF" w:rsidP="00E676EF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1.5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E35ED5" w:rsidRPr="00E676E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regional NRM organisation </w:t>
            </w:r>
            <w:r w:rsidR="00297276" w:rsidRPr="00297276">
              <w:rPr>
                <w:rFonts w:asciiTheme="minorHAnsi" w:hAnsiTheme="minorHAnsi"/>
                <w:b/>
                <w:i/>
                <w:sz w:val="24"/>
                <w:szCs w:val="24"/>
              </w:rPr>
              <w:t>has structures and processes in place to regularly communicate organisational and project performance achievements</w:t>
            </w:r>
            <w:r w:rsidR="00E35ED5" w:rsidRPr="00E676EF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  <w:p w14:paraId="03A87EE9" w14:textId="77777777" w:rsidR="00E35ED5" w:rsidRPr="008E4814" w:rsidRDefault="00E35ED5" w:rsidP="008D36F2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aims to demonstrate that a regional NRM organisation is open, honest and transparent in how it is performing in delivering Australian Government NRM investment. </w:t>
            </w:r>
          </w:p>
        </w:tc>
      </w:tr>
      <w:tr w:rsidR="00E676EF" w14:paraId="03A87EED" w14:textId="77777777" w:rsidTr="00E67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</w:tcPr>
          <w:p w14:paraId="03A87EEB" w14:textId="77777777" w:rsidR="00F3617A" w:rsidRDefault="00F0060C" w:rsidP="00F3617A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369" w:hanging="369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EEC" w14:textId="77777777" w:rsidR="00E676EF" w:rsidRPr="00E575A6" w:rsidRDefault="00E676EF" w:rsidP="00DF02B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Corporate annual reports </w:t>
            </w:r>
            <w:r w:rsidR="00396A08">
              <w:rPr>
                <w:rFonts w:asciiTheme="minorHAnsi" w:hAnsiTheme="minorHAnsi"/>
                <w:sz w:val="20"/>
                <w:szCs w:val="20"/>
              </w:rPr>
              <w:t xml:space="preserve">or other documents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that clearly articulate organisational and project performance achievements are easily available (e.g. websites, </w:t>
            </w:r>
            <w:r w:rsidR="008E05E1">
              <w:rPr>
                <w:rFonts w:asciiTheme="minorHAnsi" w:hAnsiTheme="minorHAnsi"/>
                <w:sz w:val="20"/>
                <w:szCs w:val="20"/>
              </w:rPr>
              <w:t xml:space="preserve">social media, </w:t>
            </w:r>
            <w:r>
              <w:rPr>
                <w:rFonts w:asciiTheme="minorHAnsi" w:hAnsiTheme="minorHAnsi"/>
                <w:sz w:val="20"/>
                <w:szCs w:val="20"/>
              </w:rPr>
              <w:t>newsletters and other communication material) within 6 months of being finalised and approved.</w:t>
            </w:r>
          </w:p>
        </w:tc>
      </w:tr>
      <w:tr w:rsidR="00FB0A80" w:rsidRPr="003D4D41" w14:paraId="03A87EEF" w14:textId="77777777" w:rsidTr="00FB0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89" w:type="dxa"/>
            <w:shd w:val="clear" w:color="auto" w:fill="C2D69B" w:themeFill="accent3" w:themeFillTint="99"/>
          </w:tcPr>
          <w:p w14:paraId="03A87EEE" w14:textId="77777777" w:rsidR="00FB0A80" w:rsidRPr="004C4134" w:rsidRDefault="00FB0A80" w:rsidP="00FB0A8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Additional</w:t>
            </w:r>
            <w:r w:rsidRPr="0076155E">
              <w:rPr>
                <w:b/>
              </w:rPr>
              <w:t xml:space="preserve"> practices</w:t>
            </w:r>
          </w:p>
        </w:tc>
      </w:tr>
      <w:tr w:rsidR="00E35ED5" w:rsidRPr="003D4D41" w14:paraId="03A87EF2" w14:textId="77777777" w:rsidTr="00E23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  <w:shd w:val="clear" w:color="auto" w:fill="D6E3BC" w:themeFill="accent3" w:themeFillTint="66"/>
          </w:tcPr>
          <w:p w14:paraId="03A87EF0" w14:textId="26FBD419" w:rsidR="00BA508D" w:rsidRDefault="00B5555C" w:rsidP="00BA508D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>1.6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1B2165" w:rsidRPr="00E676EF">
              <w:rPr>
                <w:rFonts w:asciiTheme="minorHAnsi" w:hAnsiTheme="minorHAnsi"/>
                <w:b/>
                <w:i/>
                <w:sz w:val="24"/>
                <w:szCs w:val="24"/>
              </w:rPr>
              <w:t>The regional NRM organisation</w:t>
            </w:r>
            <w:r w:rsidR="001B2165"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="004E3241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also has </w:t>
            </w:r>
            <w:r w:rsidR="001A586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following </w:t>
            </w:r>
            <w:r w:rsidR="00E35ED5"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>additional practices</w:t>
            </w:r>
            <w:r w:rsidR="00BA508D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  <w:r w:rsidR="00E35ED5"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="00FE44AB" w:rsidRPr="00976996">
              <w:rPr>
                <w:rFonts w:asciiTheme="minorHAnsi" w:hAnsiTheme="minorHAnsi"/>
                <w:i/>
                <w:sz w:val="24"/>
                <w:szCs w:val="24"/>
              </w:rPr>
              <w:t>(please list)</w:t>
            </w:r>
          </w:p>
          <w:p w14:paraId="03A87EF1" w14:textId="6EA93C98" w:rsidR="00E35ED5" w:rsidRPr="00B5555C" w:rsidRDefault="00BA508D" w:rsidP="001A5867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A508D">
              <w:rPr>
                <w:rFonts w:asciiTheme="minorHAnsi" w:hAnsiTheme="minorHAnsi"/>
                <w:sz w:val="20"/>
                <w:szCs w:val="20"/>
              </w:rPr>
              <w:t xml:space="preserve">Any additional practices should include a clear description of the practice and how it is of benefit to the organisation </w:t>
            </w:r>
            <w:r w:rsidRPr="00BA508D">
              <w:rPr>
                <w:rFonts w:asciiTheme="minorHAnsi" w:hAnsiTheme="minorHAnsi"/>
                <w:sz w:val="20"/>
                <w:szCs w:val="20"/>
                <w:u w:val="single"/>
              </w:rPr>
              <w:t>and</w:t>
            </w:r>
            <w:r w:rsidRPr="00BA508D">
              <w:rPr>
                <w:rFonts w:asciiTheme="minorHAnsi" w:hAnsiTheme="minorHAnsi"/>
                <w:sz w:val="20"/>
                <w:szCs w:val="20"/>
              </w:rPr>
              <w:t xml:space="preserve"> the Australian Government</w:t>
            </w:r>
            <w:r w:rsidR="004E3241">
              <w:rPr>
                <w:rFonts w:asciiTheme="minorHAnsi" w:hAnsiTheme="minorHAnsi"/>
                <w:sz w:val="20"/>
                <w:szCs w:val="20"/>
              </w:rPr>
              <w:t>. Any additional practice should not be one that could be considered ‘business as usual’.</w:t>
            </w:r>
            <w:r w:rsidR="007F50B8">
              <w:rPr>
                <w:rFonts w:asciiTheme="minorHAnsi" w:hAnsiTheme="minorHAnsi"/>
                <w:sz w:val="20"/>
                <w:szCs w:val="20"/>
              </w:rPr>
              <w:t xml:space="preserve"> For regional NRM organisations that are </w:t>
            </w:r>
            <w:r w:rsidR="001A5867">
              <w:rPr>
                <w:rFonts w:asciiTheme="minorHAnsi" w:hAnsiTheme="minorHAnsi"/>
                <w:sz w:val="20"/>
                <w:szCs w:val="20"/>
              </w:rPr>
              <w:t>s</w:t>
            </w:r>
            <w:r w:rsidR="007F50B8">
              <w:rPr>
                <w:rFonts w:asciiTheme="minorHAnsi" w:hAnsiTheme="minorHAnsi"/>
                <w:sz w:val="20"/>
                <w:szCs w:val="20"/>
              </w:rPr>
              <w:t xml:space="preserve">tatutory </w:t>
            </w:r>
            <w:r w:rsidR="001A5867">
              <w:rPr>
                <w:rFonts w:asciiTheme="minorHAnsi" w:hAnsiTheme="minorHAnsi"/>
                <w:sz w:val="20"/>
                <w:szCs w:val="20"/>
              </w:rPr>
              <w:t>a</w:t>
            </w:r>
            <w:r w:rsidR="007F50B8">
              <w:rPr>
                <w:rFonts w:asciiTheme="minorHAnsi" w:hAnsiTheme="minorHAnsi"/>
                <w:sz w:val="20"/>
                <w:szCs w:val="20"/>
              </w:rPr>
              <w:t>uthorities, responding to state legislative requirements and obligations is considered business as usual.</w:t>
            </w:r>
          </w:p>
        </w:tc>
      </w:tr>
      <w:tr w:rsidR="00B86B92" w14:paraId="03A87EF5" w14:textId="77777777" w:rsidTr="00BA50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tcW w:w="9889" w:type="dxa"/>
          </w:tcPr>
          <w:p w14:paraId="03A87EF3" w14:textId="77777777" w:rsidR="00F3617A" w:rsidRDefault="003E0539" w:rsidP="00F3617A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bookmarkStart w:id="1" w:name="_Hlk451329273"/>
            <w:r>
              <w:rPr>
                <w:rFonts w:asciiTheme="minorHAnsi" w:hAnsiTheme="minorHAnsi"/>
                <w:sz w:val="20"/>
                <w:szCs w:val="20"/>
              </w:rPr>
              <w:t>Additional</w:t>
            </w:r>
            <w:r w:rsidR="00F3617A">
              <w:rPr>
                <w:rFonts w:asciiTheme="minorHAnsi" w:hAnsiTheme="minorHAnsi"/>
                <w:sz w:val="20"/>
                <w:szCs w:val="20"/>
              </w:rPr>
              <w:t xml:space="preserve"> practices may include but not be limited to:</w:t>
            </w:r>
          </w:p>
          <w:p w14:paraId="03A87EF4" w14:textId="77777777" w:rsidR="00B86B92" w:rsidRPr="00E575A6" w:rsidRDefault="00B86B92" w:rsidP="00BA508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Compliance with industry accepted standards that are over and above </w:t>
            </w:r>
            <w:r w:rsidRPr="00D97FB2">
              <w:rPr>
                <w:rFonts w:asciiTheme="minorHAnsi" w:hAnsiTheme="minorHAnsi"/>
                <w:sz w:val="20"/>
                <w:szCs w:val="20"/>
              </w:rPr>
              <w:t>statutory/incorporation, legal and financial obligations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bookmarkEnd w:id="1"/>
    </w:tbl>
    <w:p w14:paraId="03A87EF6" w14:textId="77777777" w:rsidR="00CF77DE" w:rsidRPr="00F61C54" w:rsidRDefault="005869B9" w:rsidP="00B86B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42C2C" w14:paraId="03A87EF9" w14:textId="77777777" w:rsidTr="00E23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shd w:val="clear" w:color="auto" w:fill="CCC0D9" w:themeFill="accent4" w:themeFillTint="66"/>
          </w:tcPr>
          <w:p w14:paraId="03A87EF7" w14:textId="77777777" w:rsidR="00DD09B8" w:rsidRDefault="00DD09B8" w:rsidP="00B42C2C">
            <w:pPr>
              <w:spacing w:before="120" w:after="120" w:line="240" w:lineRule="auto"/>
              <w:rPr>
                <w:b/>
              </w:rPr>
            </w:pPr>
            <w:r w:rsidRPr="00DD09B8">
              <w:rPr>
                <w:b/>
              </w:rPr>
              <w:lastRenderedPageBreak/>
              <w:t>Regional NRM Organisation Governance</w:t>
            </w:r>
          </w:p>
          <w:p w14:paraId="03A87EF8" w14:textId="77777777" w:rsidR="00B42C2C" w:rsidRPr="00DD09B8" w:rsidRDefault="00B42C2C" w:rsidP="001D5AA6">
            <w:pPr>
              <w:spacing w:before="120" w:after="120" w:line="240" w:lineRule="auto"/>
              <w:rPr>
                <w:b/>
              </w:rPr>
            </w:pPr>
            <w:r w:rsidRPr="0076155E">
              <w:rPr>
                <w:b/>
              </w:rPr>
              <w:t xml:space="preserve">Performance Expectation </w:t>
            </w:r>
            <w:r w:rsidR="008D2F84">
              <w:rPr>
                <w:b/>
              </w:rPr>
              <w:t xml:space="preserve">2 </w:t>
            </w:r>
            <w:r w:rsidRPr="0076155E">
              <w:rPr>
                <w:b/>
              </w:rPr>
              <w:t>– Financial governance</w:t>
            </w:r>
            <w:r w:rsidR="003A22C8">
              <w:rPr>
                <w:b/>
              </w:rPr>
              <w:t>.</w:t>
            </w:r>
          </w:p>
        </w:tc>
      </w:tr>
      <w:tr w:rsidR="00B42C2C" w14:paraId="03A87EFB" w14:textId="77777777" w:rsidTr="00E23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</w:tcPr>
          <w:p w14:paraId="03A87EFA" w14:textId="77777777" w:rsidR="00B42C2C" w:rsidRPr="0003369F" w:rsidRDefault="00B42C2C" w:rsidP="003D4789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ind w:left="68"/>
              <w:rPr>
                <w:rFonts w:asciiTheme="minorHAnsi" w:hAnsiTheme="minorHAnsi"/>
                <w:i/>
                <w:sz w:val="20"/>
                <w:szCs w:val="20"/>
                <w:lang w:eastAsia="en-AU"/>
              </w:rPr>
            </w:pPr>
            <w:r w:rsidRPr="0003369F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Strong financial governance is important for good governance and financial stability. It allows the Australian Government to be confident that its NRM investment is being delivered</w:t>
            </w:r>
            <w:r w:rsidR="00FC215B" w:rsidRPr="00FC215B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 by a financially </w:t>
            </w:r>
            <w:r w:rsidR="0041715F" w:rsidRPr="0041715F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competent and capable</w:t>
            </w:r>
            <w:r w:rsidR="0041715F" w:rsidRPr="00FC215B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 </w:t>
            </w:r>
            <w:r w:rsidR="00FC215B" w:rsidRPr="00FC215B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organisation</w:t>
            </w:r>
            <w:r w:rsidR="0003369F" w:rsidRPr="0003369F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. </w:t>
            </w:r>
          </w:p>
        </w:tc>
      </w:tr>
      <w:tr w:rsidR="00B42C2C" w14:paraId="03A87EFD" w14:textId="77777777" w:rsidTr="00E230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89" w:type="dxa"/>
            <w:shd w:val="clear" w:color="auto" w:fill="CCC0D9" w:themeFill="accent4" w:themeFillTint="66"/>
          </w:tcPr>
          <w:p w14:paraId="03A87EFC" w14:textId="77777777" w:rsidR="00B42C2C" w:rsidRPr="004C4134" w:rsidRDefault="00B42C2C" w:rsidP="00B42C2C">
            <w:pPr>
              <w:spacing w:before="120" w:after="120" w:line="240" w:lineRule="auto"/>
              <w:rPr>
                <w:b/>
              </w:rPr>
            </w:pPr>
            <w:r w:rsidRPr="0076155E">
              <w:rPr>
                <w:b/>
              </w:rPr>
              <w:t>Expected practices</w:t>
            </w:r>
          </w:p>
        </w:tc>
      </w:tr>
      <w:tr w:rsidR="00B42C2C" w14:paraId="03A87F00" w14:textId="77777777" w:rsidTr="000F5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  <w:shd w:val="clear" w:color="auto" w:fill="DFD8E8"/>
          </w:tcPr>
          <w:p w14:paraId="03A87EFE" w14:textId="77777777" w:rsidR="00B42C2C" w:rsidRPr="00280753" w:rsidRDefault="001B639B" w:rsidP="001B639B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2.1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B42C2C" w:rsidRPr="001B639B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regional NRM organisation </w:t>
            </w:r>
            <w:r w:rsidR="004562CB" w:rsidRPr="001B639B">
              <w:rPr>
                <w:rFonts w:asciiTheme="minorHAnsi" w:hAnsiTheme="minorHAnsi"/>
                <w:b/>
                <w:i/>
                <w:sz w:val="24"/>
                <w:szCs w:val="24"/>
              </w:rPr>
              <w:t>is complying</w:t>
            </w:r>
            <w:r w:rsidR="00B42C2C" w:rsidRPr="001B639B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with financial responsibilities according to its statutory/incorporation or other legal obligations.</w:t>
            </w:r>
          </w:p>
          <w:p w14:paraId="03A87EFF" w14:textId="77777777" w:rsidR="00B42C2C" w:rsidRPr="009B51D6" w:rsidRDefault="00B42C2C" w:rsidP="0041715F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aims to demonstrate that a regional NRM organisation is fulfilling its financial obligations as a strong and financially </w:t>
            </w:r>
            <w:r w:rsidR="0041715F">
              <w:rPr>
                <w:rFonts w:asciiTheme="minorHAnsi" w:hAnsiTheme="minorHAnsi"/>
                <w:sz w:val="20"/>
                <w:szCs w:val="20"/>
              </w:rPr>
              <w:t>capable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statutory or incorporated organisation. </w:t>
            </w:r>
          </w:p>
        </w:tc>
      </w:tr>
      <w:tr w:rsidR="000F5075" w14:paraId="03A87F04" w14:textId="77777777" w:rsidTr="00BA50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7"/>
        </w:trPr>
        <w:tc>
          <w:tcPr>
            <w:tcW w:w="9889" w:type="dxa"/>
          </w:tcPr>
          <w:p w14:paraId="03A87F01" w14:textId="77777777" w:rsidR="00F3617A" w:rsidRDefault="00F0060C" w:rsidP="002C6133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F02" w14:textId="77777777" w:rsidR="000F5075" w:rsidRDefault="000F5075" w:rsidP="00D845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Documentation from relevant authorities </w:t>
            </w:r>
            <w:r w:rsidR="003E0539">
              <w:rPr>
                <w:rFonts w:asciiTheme="minorHAnsi" w:hAnsiTheme="minorHAnsi"/>
                <w:sz w:val="20"/>
                <w:szCs w:val="20"/>
              </w:rPr>
              <w:t>demonstrating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that this expected practice has been met.</w:t>
            </w:r>
          </w:p>
          <w:p w14:paraId="367D08AA" w14:textId="77777777" w:rsidR="000F5075" w:rsidRDefault="000F5075" w:rsidP="003A22C8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Evidence that</w:t>
            </w:r>
            <w:r w:rsidRPr="00851D17">
              <w:rPr>
                <w:rFonts w:asciiTheme="minorHAnsi" w:hAnsiTheme="minorHAnsi"/>
                <w:sz w:val="20"/>
                <w:szCs w:val="20"/>
              </w:rPr>
              <w:t xml:space="preserve"> financial governance structure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851D17">
              <w:rPr>
                <w:rFonts w:asciiTheme="minorHAnsi" w:hAnsiTheme="minorHAnsi"/>
                <w:sz w:val="20"/>
                <w:szCs w:val="20"/>
              </w:rPr>
              <w:t xml:space="preserve"> and processes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are in place </w:t>
            </w:r>
            <w:r w:rsidRPr="00851D17">
              <w:rPr>
                <w:rFonts w:asciiTheme="minorHAnsi" w:hAnsiTheme="minorHAnsi"/>
                <w:sz w:val="20"/>
                <w:szCs w:val="20"/>
              </w:rPr>
              <w:t>that ensure the regional NRM organisation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is financially </w:t>
            </w:r>
            <w:r w:rsidR="0041715F">
              <w:rPr>
                <w:rFonts w:asciiTheme="minorHAnsi" w:hAnsiTheme="minorHAnsi"/>
                <w:sz w:val="20"/>
                <w:szCs w:val="20"/>
              </w:rPr>
              <w:t>competent and capable</w:t>
            </w:r>
            <w:r w:rsidR="0072492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3A87F03" w14:textId="5E553319" w:rsidR="004E3241" w:rsidRPr="009B77FE" w:rsidRDefault="004E3241" w:rsidP="00976996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Where the regional NRM organisation is a statutory </w:t>
            </w:r>
            <w:r w:rsidR="001A5867">
              <w:rPr>
                <w:rFonts w:asciiTheme="minorHAnsi" w:hAnsiTheme="minorHAnsi"/>
                <w:sz w:val="20"/>
                <w:szCs w:val="20"/>
              </w:rPr>
              <w:t>authority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evidence confirming their compliance is </w:t>
            </w:r>
            <w:r w:rsidR="001A5867">
              <w:rPr>
                <w:rFonts w:asciiTheme="minorHAnsi" w:hAnsiTheme="minorHAnsi"/>
                <w:sz w:val="20"/>
                <w:szCs w:val="20"/>
              </w:rPr>
              <w:t>provided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the appropriate State Government department.</w:t>
            </w:r>
          </w:p>
        </w:tc>
      </w:tr>
      <w:tr w:rsidR="00B42C2C" w14:paraId="03A87F07" w14:textId="77777777" w:rsidTr="003A2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9889" w:type="dxa"/>
            <w:shd w:val="clear" w:color="auto" w:fill="DFD8E8"/>
          </w:tcPr>
          <w:p w14:paraId="03A87F05" w14:textId="77777777" w:rsidR="0076292D" w:rsidRPr="000F5075" w:rsidRDefault="00F21F08" w:rsidP="000F5075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2.2</w:t>
            </w:r>
            <w:r w:rsidR="0076292D"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76292D" w:rsidRPr="000F5075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regional NRM organisation is complying with Australian Government NRM contractual obligations </w:t>
            </w:r>
            <w:r w:rsidR="009F104D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for </w:t>
            </w:r>
            <w:r w:rsidR="0076292D" w:rsidRPr="000F5075">
              <w:rPr>
                <w:rFonts w:asciiTheme="minorHAnsi" w:hAnsiTheme="minorHAnsi"/>
                <w:b/>
                <w:i/>
                <w:sz w:val="24"/>
                <w:szCs w:val="24"/>
              </w:rPr>
              <w:t>project financial reporting and management</w:t>
            </w:r>
            <w:r w:rsidR="009F104D">
              <w:rPr>
                <w:rFonts w:asciiTheme="minorHAnsi" w:hAnsiTheme="minorHAnsi"/>
                <w:b/>
                <w:i/>
                <w:sz w:val="24"/>
                <w:szCs w:val="24"/>
              </w:rPr>
              <w:t>,</w:t>
            </w:r>
            <w:r w:rsidR="0076292D" w:rsidRPr="000F5075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accurately and </w:t>
            </w:r>
            <w:r w:rsidR="0076292D">
              <w:rPr>
                <w:rFonts w:asciiTheme="minorHAnsi" w:hAnsiTheme="minorHAnsi"/>
                <w:b/>
                <w:i/>
                <w:sz w:val="24"/>
                <w:szCs w:val="24"/>
              </w:rPr>
              <w:t>on time</w:t>
            </w:r>
            <w:r w:rsidR="0076292D" w:rsidRPr="000F5075">
              <w:rPr>
                <w:rFonts w:asciiTheme="minorHAnsi" w:hAnsiTheme="minorHAnsi"/>
                <w:b/>
                <w:i/>
                <w:sz w:val="24"/>
                <w:szCs w:val="24"/>
              </w:rPr>
              <w:t>, including acquittal of funding as required.</w:t>
            </w:r>
          </w:p>
          <w:p w14:paraId="03A87F06" w14:textId="77777777" w:rsidR="00B42C2C" w:rsidRPr="00CF77DE" w:rsidRDefault="00B42C2C" w:rsidP="000F3B45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aims to demonstrate that a regional NRM organisation is able to </w:t>
            </w:r>
            <w:r w:rsidR="00F66CC6">
              <w:rPr>
                <w:rFonts w:asciiTheme="minorHAnsi" w:hAnsiTheme="minorHAnsi"/>
                <w:sz w:val="20"/>
                <w:szCs w:val="20"/>
              </w:rPr>
              <w:t xml:space="preserve">manage its finances to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deliver Australian Government NRM investment in a professional and timely manner, achieving value for money and </w:t>
            </w:r>
            <w:r w:rsidR="00F66CC6">
              <w:rPr>
                <w:rFonts w:asciiTheme="minorHAnsi" w:hAnsiTheme="minorHAnsi"/>
                <w:sz w:val="20"/>
                <w:szCs w:val="20"/>
              </w:rPr>
              <w:t>NRM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outcomes. </w:t>
            </w:r>
          </w:p>
        </w:tc>
      </w:tr>
      <w:tr w:rsidR="000F5075" w14:paraId="03A87F0B" w14:textId="77777777" w:rsidTr="00241B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0"/>
        </w:trPr>
        <w:tc>
          <w:tcPr>
            <w:tcW w:w="9889" w:type="dxa"/>
          </w:tcPr>
          <w:p w14:paraId="03A87F08" w14:textId="77777777" w:rsidR="002C6133" w:rsidRDefault="00F0060C" w:rsidP="00A73E4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F09" w14:textId="77777777" w:rsidR="000F5075" w:rsidRPr="009B77FE" w:rsidRDefault="00241B4F" w:rsidP="00A73E4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Progress and annual f</w:t>
            </w:r>
            <w:r w:rsidR="000F5075" w:rsidRPr="004D3968">
              <w:rPr>
                <w:rFonts w:asciiTheme="minorHAnsi" w:hAnsiTheme="minorHAnsi"/>
                <w:sz w:val="20"/>
                <w:szCs w:val="20"/>
              </w:rPr>
              <w:t>inancial report</w:t>
            </w:r>
            <w:r w:rsidR="000F5075">
              <w:rPr>
                <w:rFonts w:asciiTheme="minorHAnsi" w:hAnsiTheme="minorHAnsi"/>
                <w:sz w:val="20"/>
                <w:szCs w:val="20"/>
              </w:rPr>
              <w:t xml:space="preserve">s </w:t>
            </w:r>
            <w:r>
              <w:rPr>
                <w:rFonts w:asciiTheme="minorHAnsi" w:hAnsiTheme="minorHAnsi"/>
                <w:sz w:val="20"/>
                <w:szCs w:val="20"/>
              </w:rPr>
              <w:t>approved by the</w:t>
            </w:r>
            <w:r w:rsidR="000F5075">
              <w:rPr>
                <w:rFonts w:asciiTheme="minorHAnsi" w:hAnsiTheme="minorHAnsi"/>
                <w:sz w:val="20"/>
                <w:szCs w:val="20"/>
              </w:rPr>
              <w:t xml:space="preserve"> Australian Government.</w:t>
            </w:r>
          </w:p>
          <w:p w14:paraId="2E914D2A" w14:textId="77777777" w:rsidR="000F5075" w:rsidRDefault="000F5075" w:rsidP="00A73E4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Documentation showing financial variations to contracted projects </w:t>
            </w:r>
            <w:r w:rsidR="00241B4F">
              <w:rPr>
                <w:rFonts w:asciiTheme="minorHAnsi" w:hAnsiTheme="minorHAnsi"/>
                <w:sz w:val="20"/>
                <w:szCs w:val="20"/>
              </w:rPr>
              <w:t>have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be</w:t>
            </w:r>
            <w:r w:rsidR="00241B4F">
              <w:rPr>
                <w:rFonts w:asciiTheme="minorHAnsi" w:hAnsiTheme="minorHAnsi"/>
                <w:sz w:val="20"/>
                <w:szCs w:val="20"/>
              </w:rPr>
              <w:t>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prepared and managed in a timely and professional manner that meets contractual </w:t>
            </w:r>
            <w:r w:rsidRPr="001601B2">
              <w:rPr>
                <w:rFonts w:asciiTheme="minorHAnsi" w:hAnsiTheme="minorHAnsi"/>
                <w:sz w:val="20"/>
                <w:szCs w:val="20"/>
              </w:rPr>
              <w:t>obligation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241B4F">
              <w:rPr>
                <w:rFonts w:asciiTheme="minorHAnsi" w:hAnsiTheme="minorHAnsi"/>
                <w:sz w:val="20"/>
                <w:szCs w:val="20"/>
              </w:rPr>
              <w:t xml:space="preserve"> and ensure potential delays to delivery are minimised.</w:t>
            </w:r>
          </w:p>
          <w:p w14:paraId="45F7CF1E" w14:textId="0D764943" w:rsidR="00A73E49" w:rsidRPr="00A73E49" w:rsidRDefault="00A73E49" w:rsidP="00A73E4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73E49">
              <w:rPr>
                <w:rFonts w:asciiTheme="minorHAnsi" w:hAnsiTheme="minorHAnsi"/>
                <w:sz w:val="20"/>
                <w:szCs w:val="20"/>
              </w:rPr>
              <w:t xml:space="preserve">Evidence that a process exists to identify interest </w:t>
            </w:r>
            <w:r>
              <w:rPr>
                <w:rFonts w:asciiTheme="minorHAnsi" w:hAnsiTheme="minorHAnsi"/>
                <w:sz w:val="20"/>
                <w:szCs w:val="20"/>
              </w:rPr>
              <w:t>earned</w:t>
            </w:r>
            <w:r w:rsidRPr="00A73E49">
              <w:rPr>
                <w:rFonts w:asciiTheme="minorHAnsi" w:hAnsiTheme="minorHAnsi"/>
                <w:sz w:val="20"/>
                <w:szCs w:val="20"/>
              </w:rPr>
              <w:t xml:space="preserve"> on Australian Government funding, including accurate reporting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interest </w:t>
            </w:r>
            <w:r w:rsidRPr="00A73E49">
              <w:rPr>
                <w:rFonts w:asciiTheme="minorHAnsi" w:hAnsiTheme="minorHAnsi"/>
                <w:sz w:val="20"/>
                <w:szCs w:val="20"/>
              </w:rPr>
              <w:t xml:space="preserve">on the </w:t>
            </w:r>
            <w:r>
              <w:rPr>
                <w:rFonts w:asciiTheme="minorHAnsi" w:hAnsiTheme="minorHAnsi"/>
                <w:sz w:val="20"/>
                <w:szCs w:val="20"/>
              </w:rPr>
              <w:t>National Landcare Programme</w:t>
            </w:r>
            <w:r w:rsidRPr="00A73E49">
              <w:rPr>
                <w:rFonts w:asciiTheme="minorHAnsi" w:hAnsiTheme="minorHAnsi"/>
                <w:sz w:val="20"/>
                <w:szCs w:val="20"/>
              </w:rPr>
              <w:t xml:space="preserve"> Financial Report.</w:t>
            </w:r>
          </w:p>
          <w:p w14:paraId="03A87F0A" w14:textId="4655E607" w:rsidR="00A73E49" w:rsidRPr="009B77FE" w:rsidRDefault="00A73E49" w:rsidP="00A73E4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73E49">
              <w:rPr>
                <w:rFonts w:asciiTheme="minorHAnsi" w:hAnsiTheme="minorHAnsi"/>
                <w:sz w:val="20"/>
                <w:szCs w:val="20"/>
              </w:rPr>
              <w:t xml:space="preserve">Evidence showing that a process is in place to identify how interest from Australian Government funding has been used on projects delivering </w:t>
            </w:r>
            <w:r>
              <w:rPr>
                <w:rFonts w:asciiTheme="minorHAnsi" w:hAnsiTheme="minorHAnsi"/>
                <w:sz w:val="20"/>
                <w:szCs w:val="20"/>
              </w:rPr>
              <w:t>National Landcare Programme</w:t>
            </w:r>
            <w:r w:rsidRPr="00A73E49">
              <w:rPr>
                <w:rFonts w:asciiTheme="minorHAnsi" w:hAnsiTheme="minorHAnsi"/>
                <w:sz w:val="20"/>
                <w:szCs w:val="20"/>
              </w:rPr>
              <w:t xml:space="preserve"> approved outcomes.</w:t>
            </w:r>
          </w:p>
        </w:tc>
      </w:tr>
      <w:tr w:rsidR="00B42C2C" w14:paraId="03A87F0E" w14:textId="77777777" w:rsidTr="00F66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tcW w:w="9889" w:type="dxa"/>
            <w:shd w:val="clear" w:color="auto" w:fill="DFD8E8"/>
          </w:tcPr>
          <w:p w14:paraId="03A87F0C" w14:textId="77777777" w:rsidR="00B42C2C" w:rsidRPr="000F5075" w:rsidRDefault="000F5075" w:rsidP="000F5075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2.3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B42C2C" w:rsidRPr="000F5075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regional NRM organisation has annual </w:t>
            </w:r>
            <w:r w:rsidR="008A6299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corporate </w:t>
            </w:r>
            <w:r w:rsidR="00B42C2C" w:rsidRPr="000F5075">
              <w:rPr>
                <w:rFonts w:asciiTheme="minorHAnsi" w:hAnsiTheme="minorHAnsi"/>
                <w:b/>
                <w:i/>
                <w:sz w:val="24"/>
                <w:szCs w:val="24"/>
              </w:rPr>
              <w:t>financial reports that are publicly available.</w:t>
            </w:r>
          </w:p>
          <w:p w14:paraId="03A87F0D" w14:textId="77777777" w:rsidR="00B42C2C" w:rsidRPr="00CF77DE" w:rsidRDefault="00B42C2C" w:rsidP="00B42C2C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aims to demonstrate that a regional NRM organisation is open, honest and transparent in its </w:t>
            </w:r>
            <w:r w:rsidR="00396A08">
              <w:rPr>
                <w:rFonts w:asciiTheme="minorHAnsi" w:hAnsiTheme="minorHAnsi"/>
                <w:sz w:val="20"/>
                <w:szCs w:val="20"/>
              </w:rPr>
              <w:t xml:space="preserve">financial </w:t>
            </w:r>
            <w:r>
              <w:rPr>
                <w:rFonts w:asciiTheme="minorHAnsi" w:hAnsiTheme="minorHAnsi"/>
                <w:sz w:val="20"/>
                <w:szCs w:val="20"/>
              </w:rPr>
              <w:t>operations.</w:t>
            </w:r>
          </w:p>
        </w:tc>
      </w:tr>
      <w:tr w:rsidR="000F5075" w14:paraId="03A87F11" w14:textId="77777777" w:rsidTr="00F66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</w:trPr>
        <w:tc>
          <w:tcPr>
            <w:tcW w:w="9889" w:type="dxa"/>
          </w:tcPr>
          <w:p w14:paraId="03A87F0F" w14:textId="77777777" w:rsidR="002C6133" w:rsidRDefault="00F0060C" w:rsidP="002C6133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F10" w14:textId="77777777" w:rsidR="000F5075" w:rsidRPr="009B77FE" w:rsidRDefault="000F5075" w:rsidP="00D845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A75212">
              <w:rPr>
                <w:rFonts w:asciiTheme="minorHAnsi" w:hAnsiTheme="minorHAnsi"/>
                <w:sz w:val="20"/>
                <w:szCs w:val="20"/>
              </w:rPr>
              <w:t xml:space="preserve">nnual </w:t>
            </w:r>
            <w:r w:rsidR="008A6299">
              <w:rPr>
                <w:rFonts w:asciiTheme="minorHAnsi" w:hAnsiTheme="minorHAnsi"/>
                <w:sz w:val="20"/>
                <w:szCs w:val="20"/>
              </w:rPr>
              <w:t xml:space="preserve">corporate </w:t>
            </w:r>
            <w:r w:rsidRPr="00A75212">
              <w:rPr>
                <w:rFonts w:asciiTheme="minorHAnsi" w:hAnsiTheme="minorHAnsi"/>
                <w:sz w:val="20"/>
                <w:szCs w:val="20"/>
              </w:rPr>
              <w:t>financial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reports are publicly available and easily accessible on the organisations website, within 6 months of being finalised</w:t>
            </w:r>
            <w:r w:rsidR="0072492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FB0A80" w14:paraId="03A87F13" w14:textId="77777777" w:rsidTr="00FB0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  <w:shd w:val="clear" w:color="auto" w:fill="CCC0D9" w:themeFill="accent4" w:themeFillTint="66"/>
          </w:tcPr>
          <w:p w14:paraId="03A87F12" w14:textId="77777777" w:rsidR="00FB0A80" w:rsidRPr="004C4134" w:rsidRDefault="00FB0A80" w:rsidP="00FB0A8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Additional</w:t>
            </w:r>
            <w:r w:rsidRPr="0076155E">
              <w:rPr>
                <w:b/>
              </w:rPr>
              <w:t xml:space="preserve"> practices</w:t>
            </w:r>
          </w:p>
        </w:tc>
      </w:tr>
      <w:tr w:rsidR="00FB0A80" w14:paraId="03A87F16" w14:textId="77777777" w:rsidTr="000F5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89" w:type="dxa"/>
            <w:shd w:val="clear" w:color="auto" w:fill="DFD8E8"/>
          </w:tcPr>
          <w:p w14:paraId="03A87F14" w14:textId="40590499" w:rsidR="00FB0A80" w:rsidRPr="00976996" w:rsidRDefault="00FB0A80" w:rsidP="000F3B45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2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4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Pr="00E676EF">
              <w:rPr>
                <w:rFonts w:asciiTheme="minorHAnsi" w:hAnsiTheme="minorHAnsi"/>
                <w:b/>
                <w:i/>
                <w:sz w:val="24"/>
                <w:szCs w:val="24"/>
              </w:rPr>
              <w:t>The regional NRM organisation</w:t>
            </w:r>
            <w:r w:rsidR="001A586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also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has </w:t>
            </w:r>
            <w:r w:rsidR="001A586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following 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>additional practices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="00FE44AB" w:rsidRPr="00976996">
              <w:rPr>
                <w:rFonts w:asciiTheme="minorHAnsi" w:hAnsiTheme="minorHAnsi"/>
                <w:i/>
                <w:sz w:val="24"/>
                <w:szCs w:val="24"/>
              </w:rPr>
              <w:t>(please list)</w:t>
            </w:r>
          </w:p>
          <w:p w14:paraId="03A87F15" w14:textId="77777777" w:rsidR="00FB0A80" w:rsidRPr="00B5555C" w:rsidRDefault="00FB0A80" w:rsidP="000F3B45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A508D">
              <w:rPr>
                <w:rFonts w:asciiTheme="minorHAnsi" w:hAnsiTheme="minorHAnsi"/>
                <w:sz w:val="20"/>
                <w:szCs w:val="20"/>
              </w:rPr>
              <w:t xml:space="preserve">Any additional practices should include a clear description of the practice and how it is of benefit to the organisation </w:t>
            </w:r>
            <w:r w:rsidRPr="00BA508D">
              <w:rPr>
                <w:rFonts w:asciiTheme="minorHAnsi" w:hAnsiTheme="minorHAnsi"/>
                <w:sz w:val="20"/>
                <w:szCs w:val="20"/>
                <w:u w:val="single"/>
              </w:rPr>
              <w:t>and</w:t>
            </w:r>
            <w:r w:rsidRPr="00BA508D">
              <w:rPr>
                <w:rFonts w:asciiTheme="minorHAnsi" w:hAnsiTheme="minorHAnsi"/>
                <w:sz w:val="20"/>
                <w:szCs w:val="20"/>
              </w:rPr>
              <w:t xml:space="preserve"> the Australian Government</w:t>
            </w:r>
          </w:p>
        </w:tc>
      </w:tr>
      <w:tr w:rsidR="00FB0A80" w14:paraId="03A87F19" w14:textId="77777777" w:rsidTr="000F5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tcW w:w="9889" w:type="dxa"/>
          </w:tcPr>
          <w:p w14:paraId="03A87F17" w14:textId="77777777" w:rsidR="00FB0A80" w:rsidRDefault="00FB0A80" w:rsidP="00425CD1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practices may include but not be limited to:</w:t>
            </w:r>
          </w:p>
          <w:p w14:paraId="03A87F18" w14:textId="6422E7FF" w:rsidR="00FB0A80" w:rsidRPr="00E575A6" w:rsidRDefault="00FB0A80" w:rsidP="00425CD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Compliance with industry accepted standards that are over and above </w:t>
            </w:r>
            <w:r w:rsidRPr="00D97FB2">
              <w:rPr>
                <w:rFonts w:asciiTheme="minorHAnsi" w:hAnsiTheme="minorHAnsi"/>
                <w:sz w:val="20"/>
                <w:szCs w:val="20"/>
              </w:rPr>
              <w:t>statutory/incorporation, legal and financial obligations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4E3241">
              <w:rPr>
                <w:rFonts w:asciiTheme="minorHAnsi" w:hAnsiTheme="minorHAnsi"/>
                <w:sz w:val="20"/>
                <w:szCs w:val="20"/>
              </w:rPr>
              <w:t xml:space="preserve"> Any additional practice should not be one that could be considered as ‘business as usual’.</w:t>
            </w:r>
            <w:r w:rsidR="007F50B8">
              <w:rPr>
                <w:rFonts w:asciiTheme="minorHAnsi" w:hAnsiTheme="minorHAnsi"/>
                <w:sz w:val="20"/>
                <w:szCs w:val="20"/>
              </w:rPr>
              <w:t xml:space="preserve"> For regional NRM organisations that are Statutory Authorities, responding to state legislative requirements and obligations is considered business as usual.</w:t>
            </w:r>
          </w:p>
        </w:tc>
      </w:tr>
    </w:tbl>
    <w:p w14:paraId="03A87F1A" w14:textId="77777777" w:rsidR="005869B9" w:rsidRDefault="005869B9" w:rsidP="000F5075">
      <w:pPr>
        <w:spacing w:after="0" w:line="240" w:lineRule="auto"/>
        <w:rPr>
          <w:sz w:val="20"/>
          <w:szCs w:val="20"/>
        </w:rPr>
      </w:pPr>
    </w:p>
    <w:p w14:paraId="03A87F1B" w14:textId="77777777" w:rsidR="00B42C2C" w:rsidRPr="00F61C54" w:rsidRDefault="005869B9" w:rsidP="000F50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93DC6" w14:paraId="03A87F1E" w14:textId="77777777" w:rsidTr="00F36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shd w:val="clear" w:color="auto" w:fill="E5B8B7" w:themeFill="accent2" w:themeFillTint="66"/>
          </w:tcPr>
          <w:p w14:paraId="03A87F1C" w14:textId="77777777" w:rsidR="00DD09B8" w:rsidRDefault="00DD09B8" w:rsidP="00017DDD">
            <w:pPr>
              <w:spacing w:before="120" w:after="120" w:line="240" w:lineRule="auto"/>
              <w:rPr>
                <w:b/>
              </w:rPr>
            </w:pPr>
            <w:r w:rsidRPr="00DD09B8">
              <w:rPr>
                <w:b/>
              </w:rPr>
              <w:lastRenderedPageBreak/>
              <w:t>Australian Government NRM Delivery</w:t>
            </w:r>
          </w:p>
          <w:p w14:paraId="03A87F1D" w14:textId="77777777" w:rsidR="00793DC6" w:rsidRPr="00793DC6" w:rsidRDefault="00793DC6" w:rsidP="001D5AA6">
            <w:pPr>
              <w:spacing w:before="120" w:after="120" w:line="240" w:lineRule="auto"/>
              <w:rPr>
                <w:b/>
              </w:rPr>
            </w:pPr>
            <w:r w:rsidRPr="0076155E">
              <w:rPr>
                <w:b/>
              </w:rPr>
              <w:t xml:space="preserve">Performance Expectation </w:t>
            </w:r>
            <w:r w:rsidR="0072492C">
              <w:rPr>
                <w:b/>
              </w:rPr>
              <w:t xml:space="preserve">3 </w:t>
            </w:r>
            <w:r w:rsidRPr="0076155E">
              <w:rPr>
                <w:b/>
              </w:rPr>
              <w:t xml:space="preserve">– </w:t>
            </w:r>
            <w:r w:rsidRPr="00793DC6">
              <w:rPr>
                <w:b/>
              </w:rPr>
              <w:t>Regional NRM plans</w:t>
            </w:r>
            <w:r w:rsidR="003A22C8">
              <w:rPr>
                <w:b/>
              </w:rPr>
              <w:t>.</w:t>
            </w:r>
          </w:p>
        </w:tc>
      </w:tr>
      <w:tr w:rsidR="00793DC6" w14:paraId="03A87F20" w14:textId="77777777" w:rsidTr="00E23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</w:tcPr>
          <w:p w14:paraId="03A87F1F" w14:textId="77777777" w:rsidR="00793DC6" w:rsidRPr="00AC3F38" w:rsidRDefault="00CF377F" w:rsidP="00AA5AA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/>
                <w:i/>
                <w:sz w:val="20"/>
                <w:szCs w:val="20"/>
                <w:lang w:eastAsia="en-AU"/>
              </w:rPr>
            </w:pPr>
            <w:r w:rsidRPr="00AC3F3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A comprehensive r</w:t>
            </w:r>
            <w:r w:rsidR="00914608" w:rsidRPr="00AC3F3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egional NRM plan </w:t>
            </w:r>
            <w:r w:rsidRPr="00AC3F3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has</w:t>
            </w:r>
            <w:r w:rsidR="00914608" w:rsidRPr="00AC3F3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 an important role in </w:t>
            </w:r>
            <w:r w:rsidR="0009489F" w:rsidRPr="00AC3F3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aligning national, state and regional NRM priorities </w:t>
            </w:r>
            <w:r w:rsidR="00AA5AA0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while also providing linkages to</w:t>
            </w:r>
            <w:r w:rsidR="00914608" w:rsidRPr="00AC3F3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 other regional priorities</w:t>
            </w:r>
            <w:r w:rsidR="0009489F" w:rsidRPr="00AC3F3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, including the priorities of local communities</w:t>
            </w:r>
            <w:r w:rsidR="00914608" w:rsidRPr="00AC3F3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. </w:t>
            </w:r>
            <w:r w:rsidR="00D7125B" w:rsidRPr="0003369F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It allows the Australian Government to be confident that its NRM </w:t>
            </w:r>
            <w:r w:rsidR="00AC3F3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investment and </w:t>
            </w:r>
            <w:r w:rsidR="0009489F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priorities are </w:t>
            </w:r>
            <w:r w:rsidR="00D7125B" w:rsidRPr="0003369F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being </w:t>
            </w:r>
            <w:r w:rsidR="00AC3F3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appropriately and strategically </w:t>
            </w:r>
            <w:r w:rsidR="00D7125B" w:rsidRPr="0003369F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delivered</w:t>
            </w:r>
            <w:r w:rsidR="00AC3F3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.</w:t>
            </w:r>
            <w:r w:rsidR="00873A4D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 Comprehensive </w:t>
            </w:r>
            <w:r w:rsidR="00814FE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regional NRM plans </w:t>
            </w:r>
            <w:r w:rsidR="00873A4D" w:rsidRPr="00814FE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are strategic, based on best available scientific, economic and social information and provide a blueprint for </w:t>
            </w:r>
            <w:r w:rsidR="00814FE8" w:rsidRPr="00814FE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future </w:t>
            </w:r>
            <w:r w:rsidR="008B2077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NRM activity</w:t>
            </w:r>
            <w:r w:rsidR="00873A4D" w:rsidRPr="00814FE8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>.</w:t>
            </w:r>
          </w:p>
        </w:tc>
      </w:tr>
      <w:tr w:rsidR="00793DC6" w14:paraId="03A87F22" w14:textId="77777777" w:rsidTr="00F361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89" w:type="dxa"/>
            <w:shd w:val="clear" w:color="auto" w:fill="E5B8B7" w:themeFill="accent2" w:themeFillTint="66"/>
          </w:tcPr>
          <w:p w14:paraId="03A87F21" w14:textId="77777777" w:rsidR="00793DC6" w:rsidRPr="004C4134" w:rsidRDefault="00793DC6" w:rsidP="00793DC6">
            <w:pPr>
              <w:spacing w:before="120" w:after="120" w:line="240" w:lineRule="auto"/>
              <w:rPr>
                <w:b/>
              </w:rPr>
            </w:pPr>
            <w:r w:rsidRPr="0076155E">
              <w:rPr>
                <w:b/>
              </w:rPr>
              <w:t>Expected practices</w:t>
            </w:r>
          </w:p>
        </w:tc>
      </w:tr>
      <w:tr w:rsidR="006E59F9" w14:paraId="03A87F25" w14:textId="77777777" w:rsidTr="00F36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  <w:shd w:val="clear" w:color="auto" w:fill="F2DBDB" w:themeFill="accent2" w:themeFillTint="33"/>
          </w:tcPr>
          <w:p w14:paraId="03A87F23" w14:textId="77777777" w:rsidR="006E59F9" w:rsidRPr="0072492C" w:rsidRDefault="0072492C" w:rsidP="0072492C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3.1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6E59F9" w:rsidRPr="0072492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regional NRM organisation has a regional NRM plan that provides the strategic direction </w:t>
            </w:r>
            <w:r w:rsidR="00017DDD" w:rsidRPr="0072492C">
              <w:rPr>
                <w:rFonts w:asciiTheme="minorHAnsi" w:hAnsiTheme="minorHAnsi"/>
                <w:b/>
                <w:i/>
                <w:sz w:val="24"/>
                <w:szCs w:val="24"/>
              </w:rPr>
              <w:t>to</w:t>
            </w:r>
            <w:r w:rsidR="006E59F9" w:rsidRPr="0072492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NRM</w:t>
            </w:r>
            <w:r w:rsidR="00017DDD" w:rsidRPr="0072492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activity</w:t>
            </w:r>
            <w:r w:rsidR="006E59F9" w:rsidRPr="0072492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within the region based on best available scientific, economic and social information.</w:t>
            </w:r>
            <w:r w:rsidR="00471422">
              <w:rPr>
                <w:rFonts w:asciiTheme="minorHAnsi" w:hAnsiTheme="minorHAnsi"/>
                <w:b/>
                <w:i/>
                <w:sz w:val="24"/>
                <w:szCs w:val="24"/>
              </w:rPr>
              <w:t>*</w:t>
            </w:r>
          </w:p>
          <w:p w14:paraId="03A87F24" w14:textId="77777777" w:rsidR="006E59F9" w:rsidRPr="009B51D6" w:rsidRDefault="006E59F9" w:rsidP="000E5623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</w:t>
            </w:r>
            <w:r w:rsidR="000E5623">
              <w:rPr>
                <w:rFonts w:asciiTheme="minorHAnsi" w:hAnsiTheme="minorHAnsi"/>
                <w:sz w:val="20"/>
                <w:szCs w:val="20"/>
              </w:rPr>
              <w:t xml:space="preserve">aims to demonstrate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that a regional NRM organisation has an up-to-date </w:t>
            </w:r>
            <w:r w:rsidR="000E5623">
              <w:rPr>
                <w:rFonts w:asciiTheme="minorHAnsi" w:hAnsiTheme="minorHAnsi"/>
                <w:sz w:val="20"/>
                <w:szCs w:val="20"/>
              </w:rPr>
              <w:t xml:space="preserve">regional </w:t>
            </w:r>
            <w:r>
              <w:rPr>
                <w:rFonts w:asciiTheme="minorHAnsi" w:hAnsiTheme="minorHAnsi"/>
                <w:sz w:val="20"/>
                <w:szCs w:val="20"/>
              </w:rPr>
              <w:t>NRM plan</w:t>
            </w:r>
            <w:r w:rsidR="000E562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087218" w14:paraId="03A87F2C" w14:textId="77777777" w:rsidTr="00A36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6"/>
        </w:trPr>
        <w:tc>
          <w:tcPr>
            <w:tcW w:w="9889" w:type="dxa"/>
          </w:tcPr>
          <w:p w14:paraId="03A87F26" w14:textId="77777777" w:rsidR="00087218" w:rsidRPr="00B22F47" w:rsidRDefault="00F0060C" w:rsidP="00A366A9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369" w:hanging="369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F27" w14:textId="77777777" w:rsidR="00087218" w:rsidRPr="00B22F47" w:rsidRDefault="00087218" w:rsidP="00A366A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22F47">
              <w:rPr>
                <w:rFonts w:asciiTheme="minorHAnsi" w:hAnsiTheme="minorHAnsi"/>
                <w:sz w:val="20"/>
                <w:szCs w:val="20"/>
              </w:rPr>
              <w:t>A current regional NRM plan based on best available scientific, economic and social information.</w:t>
            </w:r>
          </w:p>
          <w:p w14:paraId="03A87F28" w14:textId="28F7DA62" w:rsidR="00087218" w:rsidRPr="00B22F47" w:rsidRDefault="00087218" w:rsidP="00A366A9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284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B22F47">
              <w:rPr>
                <w:rFonts w:asciiTheme="minorHAnsi" w:hAnsiTheme="minorHAnsi"/>
                <w:i/>
                <w:sz w:val="20"/>
                <w:szCs w:val="20"/>
              </w:rPr>
              <w:t>Note - The NRM plan should be updated</w:t>
            </w:r>
            <w:r w:rsidR="003D4789" w:rsidRPr="00B22F47">
              <w:rPr>
                <w:rFonts w:asciiTheme="minorHAnsi" w:hAnsiTheme="minorHAnsi"/>
                <w:i/>
                <w:sz w:val="20"/>
                <w:szCs w:val="20"/>
              </w:rPr>
              <w:t xml:space="preserve"> within the timeframe identified</w:t>
            </w:r>
            <w:r w:rsidRPr="00B22F47">
              <w:rPr>
                <w:rFonts w:asciiTheme="minorHAnsi" w:hAnsiTheme="minorHAnsi"/>
                <w:i/>
                <w:sz w:val="20"/>
                <w:szCs w:val="20"/>
              </w:rPr>
              <w:t xml:space="preserve"> in the plan</w:t>
            </w:r>
            <w:r w:rsidR="00840B4E">
              <w:rPr>
                <w:rFonts w:asciiTheme="minorHAnsi" w:hAnsiTheme="minorHAnsi"/>
                <w:i/>
                <w:sz w:val="20"/>
                <w:szCs w:val="20"/>
              </w:rPr>
              <w:t>,</w:t>
            </w:r>
            <w:r w:rsidRPr="00B22F47">
              <w:rPr>
                <w:rFonts w:asciiTheme="minorHAnsi" w:hAnsiTheme="minorHAnsi"/>
                <w:i/>
                <w:sz w:val="20"/>
                <w:szCs w:val="20"/>
              </w:rPr>
              <w:t xml:space="preserve"> organisational policies</w:t>
            </w:r>
            <w:r w:rsidR="00840B4E">
              <w:rPr>
                <w:rFonts w:asciiTheme="minorHAnsi" w:hAnsiTheme="minorHAnsi"/>
                <w:i/>
                <w:sz w:val="20"/>
                <w:szCs w:val="20"/>
              </w:rPr>
              <w:t xml:space="preserve"> or state/territory (or other applicable) policies</w:t>
            </w:r>
            <w:r w:rsidRPr="00B22F47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r w:rsidR="005D0DD8" w:rsidRPr="00B22F47">
              <w:rPr>
                <w:rFonts w:asciiTheme="minorHAnsi" w:hAnsiTheme="minorHAnsi"/>
                <w:i/>
                <w:sz w:val="20"/>
                <w:szCs w:val="20"/>
              </w:rPr>
              <w:t>Supporting information</w:t>
            </w:r>
            <w:r w:rsidRPr="00B22F47">
              <w:rPr>
                <w:rFonts w:asciiTheme="minorHAnsi" w:hAnsiTheme="minorHAnsi"/>
                <w:i/>
                <w:sz w:val="20"/>
                <w:szCs w:val="20"/>
              </w:rPr>
              <w:t xml:space="preserve"> could include: </w:t>
            </w:r>
            <w:r w:rsidR="00FE44AB">
              <w:rPr>
                <w:rFonts w:asciiTheme="minorHAnsi" w:hAnsiTheme="minorHAnsi"/>
                <w:i/>
                <w:sz w:val="20"/>
                <w:szCs w:val="20"/>
              </w:rPr>
              <w:t xml:space="preserve">brief </w:t>
            </w:r>
            <w:r w:rsidRPr="00B22F47">
              <w:rPr>
                <w:rFonts w:asciiTheme="minorHAnsi" w:hAnsiTheme="minorHAnsi"/>
                <w:i/>
                <w:sz w:val="20"/>
                <w:szCs w:val="20"/>
              </w:rPr>
              <w:t>description of how experts were involved in developing the scientific, economic and/or social aspects of the plan; and the appropriateness of the model used for the plan (</w:t>
            </w:r>
            <w:r w:rsidR="001963BF" w:rsidRPr="00B22F47">
              <w:rPr>
                <w:rFonts w:asciiTheme="minorHAnsi" w:hAnsiTheme="minorHAnsi"/>
                <w:i/>
                <w:sz w:val="20"/>
                <w:szCs w:val="20"/>
              </w:rPr>
              <w:t>e.g.</w:t>
            </w:r>
            <w:r w:rsidRPr="00B22F47">
              <w:rPr>
                <w:rFonts w:asciiTheme="minorHAnsi" w:hAnsiTheme="minorHAnsi"/>
                <w:i/>
                <w:sz w:val="20"/>
                <w:szCs w:val="20"/>
              </w:rPr>
              <w:t xml:space="preserve"> asset based approach, system based approach).</w:t>
            </w:r>
          </w:p>
          <w:p w14:paraId="03A87F29" w14:textId="77777777" w:rsidR="00087218" w:rsidRPr="00B22F47" w:rsidRDefault="00087218" w:rsidP="00A366A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22F47">
              <w:rPr>
                <w:rFonts w:asciiTheme="minorHAnsi" w:hAnsiTheme="minorHAnsi"/>
                <w:sz w:val="20"/>
                <w:szCs w:val="20"/>
              </w:rPr>
              <w:t xml:space="preserve">Documentation of information sources </w:t>
            </w:r>
            <w:r w:rsidR="003D4789" w:rsidRPr="00B22F47">
              <w:rPr>
                <w:rFonts w:asciiTheme="minorHAnsi" w:hAnsiTheme="minorHAnsi"/>
                <w:sz w:val="20"/>
                <w:szCs w:val="20"/>
              </w:rPr>
              <w:t xml:space="preserve">and skills </w:t>
            </w:r>
            <w:r w:rsidRPr="00B22F47">
              <w:rPr>
                <w:rFonts w:asciiTheme="minorHAnsi" w:hAnsiTheme="minorHAnsi"/>
                <w:sz w:val="20"/>
                <w:szCs w:val="20"/>
              </w:rPr>
              <w:t xml:space="preserve">used in development of the regional NRM plan. </w:t>
            </w:r>
          </w:p>
          <w:p w14:paraId="03A87F2A" w14:textId="77777777" w:rsidR="00087218" w:rsidRPr="00B22F47" w:rsidRDefault="00087218" w:rsidP="00A366A9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284"/>
              <w:rPr>
                <w:rFonts w:asciiTheme="minorHAnsi" w:hAnsiTheme="minorHAnsi"/>
                <w:i/>
                <w:sz w:val="20"/>
                <w:szCs w:val="20"/>
              </w:rPr>
            </w:pPr>
            <w:r w:rsidRPr="00B22F47">
              <w:rPr>
                <w:rFonts w:asciiTheme="minorHAnsi" w:hAnsiTheme="minorHAnsi"/>
                <w:i/>
                <w:sz w:val="20"/>
                <w:szCs w:val="20"/>
              </w:rPr>
              <w:t>Note - This could include literature reviews, descriptions of use of technical advisory panels, description of expert</w:t>
            </w:r>
            <w:r w:rsidR="003D4789" w:rsidRPr="00B22F47">
              <w:rPr>
                <w:rFonts w:asciiTheme="minorHAnsi" w:hAnsiTheme="minorHAnsi"/>
                <w:i/>
                <w:sz w:val="20"/>
                <w:szCs w:val="20"/>
              </w:rPr>
              <w:t xml:space="preserve"> input</w:t>
            </w:r>
            <w:r w:rsidRPr="00B22F47">
              <w:rPr>
                <w:rFonts w:asciiTheme="minorHAnsi" w:hAnsiTheme="minorHAnsi"/>
                <w:i/>
                <w:sz w:val="20"/>
                <w:szCs w:val="20"/>
              </w:rPr>
              <w:t xml:space="preserve"> and an outline of staff expertise in developing plans.</w:t>
            </w:r>
          </w:p>
          <w:p w14:paraId="03A87F2B" w14:textId="52E67196" w:rsidR="00821EDC" w:rsidRPr="00A366A9" w:rsidRDefault="00A366A9" w:rsidP="00A366A9">
            <w:pPr>
              <w:spacing w:before="60" w:after="60" w:line="240" w:lineRule="auto"/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 w:rsidRPr="00A366A9">
              <w:rPr>
                <w:rFonts w:asciiTheme="minorHAnsi" w:hAnsiTheme="minorHAnsi"/>
                <w:sz w:val="24"/>
                <w:szCs w:val="24"/>
              </w:rPr>
              <w:t>*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976996">
              <w:rPr>
                <w:rFonts w:asciiTheme="minorHAnsi" w:hAnsiTheme="minorHAnsi"/>
                <w:sz w:val="20"/>
                <w:szCs w:val="20"/>
                <w:u w:val="single"/>
              </w:rPr>
              <w:t>As of 2020, the following will be included</w:t>
            </w:r>
            <w:r w:rsidRPr="00A366A9">
              <w:rPr>
                <w:rFonts w:asciiTheme="minorHAnsi" w:hAnsiTheme="minorHAnsi"/>
                <w:sz w:val="20"/>
                <w:szCs w:val="20"/>
              </w:rPr>
              <w:t xml:space="preserve"> as a part of this expected practice – </w:t>
            </w:r>
            <w:r w:rsidR="00FE44AB" w:rsidRPr="00976996">
              <w:rPr>
                <w:rFonts w:asciiTheme="minorHAnsi" w:hAnsiTheme="minorHAnsi"/>
                <w:i/>
                <w:sz w:val="20"/>
                <w:szCs w:val="20"/>
              </w:rPr>
              <w:t>“</w:t>
            </w:r>
            <w:r w:rsidR="00821EDC" w:rsidRPr="00976996">
              <w:rPr>
                <w:rFonts w:asciiTheme="minorHAnsi" w:hAnsiTheme="minorHAnsi"/>
                <w:i/>
                <w:sz w:val="20"/>
                <w:szCs w:val="20"/>
              </w:rPr>
              <w:t>The regional NRM planning process includes an independent scientific review process.</w:t>
            </w:r>
            <w:r w:rsidR="00FE44AB" w:rsidRPr="00976996">
              <w:rPr>
                <w:rFonts w:asciiTheme="minorHAnsi" w:hAnsiTheme="minorHAnsi"/>
                <w:i/>
                <w:sz w:val="20"/>
                <w:szCs w:val="20"/>
              </w:rPr>
              <w:t>”</w:t>
            </w:r>
            <w:r w:rsidR="00821EDC" w:rsidRPr="00A366A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6E59F9" w14:paraId="03A87F2F" w14:textId="77777777" w:rsidTr="00D8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  <w:shd w:val="clear" w:color="auto" w:fill="F2DBDB" w:themeFill="accent2" w:themeFillTint="33"/>
          </w:tcPr>
          <w:p w14:paraId="03A87F2D" w14:textId="77777777" w:rsidR="006E59F9" w:rsidRPr="002C6133" w:rsidRDefault="002C6133" w:rsidP="002C6133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3.2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6E59F9" w:rsidRPr="002C6133">
              <w:rPr>
                <w:rFonts w:asciiTheme="minorHAnsi" w:hAnsiTheme="minorHAnsi"/>
                <w:b/>
                <w:i/>
                <w:sz w:val="24"/>
                <w:szCs w:val="24"/>
              </w:rPr>
              <w:t>The regional NRM organisation has a regional NRM plan that demonstrates strategic alignment with Australian Government and state/territory NRM policies and priorities.</w:t>
            </w:r>
          </w:p>
          <w:p w14:paraId="03A87F2E" w14:textId="77777777" w:rsidR="006E59F9" w:rsidRPr="00CF77DE" w:rsidRDefault="006E59F9" w:rsidP="000E5623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</w:t>
            </w:r>
            <w:r w:rsidR="000E5623">
              <w:rPr>
                <w:rFonts w:asciiTheme="minorHAnsi" w:hAnsiTheme="minorHAnsi"/>
                <w:sz w:val="20"/>
                <w:szCs w:val="20"/>
              </w:rPr>
              <w:t xml:space="preserve">aims to demonstrate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that a regional NRM </w:t>
            </w:r>
            <w:r w:rsidR="001B678B">
              <w:rPr>
                <w:rFonts w:asciiTheme="minorHAnsi" w:hAnsiTheme="minorHAnsi"/>
                <w:sz w:val="20"/>
                <w:szCs w:val="20"/>
              </w:rPr>
              <w:t xml:space="preserve">plan aligns </w:t>
            </w:r>
            <w:r w:rsidR="00AA5AA0">
              <w:rPr>
                <w:rFonts w:asciiTheme="minorHAnsi" w:hAnsiTheme="minorHAnsi"/>
                <w:sz w:val="20"/>
                <w:szCs w:val="20"/>
              </w:rPr>
              <w:t xml:space="preserve">with </w:t>
            </w:r>
            <w:r w:rsidR="001B678B">
              <w:rPr>
                <w:rFonts w:asciiTheme="minorHAnsi" w:hAnsiTheme="minorHAnsi"/>
                <w:sz w:val="20"/>
                <w:szCs w:val="20"/>
              </w:rPr>
              <w:t>national, state and regional NRM priorities.</w:t>
            </w:r>
          </w:p>
        </w:tc>
      </w:tr>
      <w:tr w:rsidR="002C6133" w14:paraId="03A87F33" w14:textId="77777777" w:rsidTr="002A7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9889" w:type="dxa"/>
          </w:tcPr>
          <w:p w14:paraId="03A87F30" w14:textId="77777777" w:rsidR="002C6133" w:rsidRDefault="00F0060C" w:rsidP="002C6133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369" w:hanging="369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F31" w14:textId="77777777" w:rsidR="002C6133" w:rsidRPr="009B77FE" w:rsidRDefault="002C6133" w:rsidP="00D845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plan recognises an</w:t>
            </w:r>
            <w:r w:rsidRPr="00236D95">
              <w:rPr>
                <w:rFonts w:asciiTheme="minorHAnsi" w:hAnsiTheme="minorHAnsi"/>
                <w:sz w:val="20"/>
                <w:szCs w:val="20"/>
              </w:rPr>
              <w:t xml:space="preserve"> alignment of relevant Australian Government and state government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policies and </w:t>
            </w:r>
            <w:r w:rsidRPr="00236D95">
              <w:rPr>
                <w:rFonts w:asciiTheme="minorHAnsi" w:hAnsiTheme="minorHAnsi"/>
                <w:sz w:val="20"/>
                <w:szCs w:val="20"/>
              </w:rPr>
              <w:t>priorities in the regional NRM plan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3A87F32" w14:textId="77777777" w:rsidR="002C6133" w:rsidRPr="009B77FE" w:rsidRDefault="002C6133" w:rsidP="00D84582">
            <w:pPr>
              <w:pStyle w:val="ListParagraph"/>
              <w:numPr>
                <w:ilvl w:val="0"/>
                <w:numId w:val="7"/>
              </w:numPr>
              <w:spacing w:before="60" w:after="60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Where appropriate, the plan is endorsed by the </w:t>
            </w:r>
            <w:r w:rsidR="00814FE8">
              <w:rPr>
                <w:rFonts w:asciiTheme="minorHAnsi" w:hAnsiTheme="minorHAnsi"/>
                <w:sz w:val="20"/>
                <w:szCs w:val="20"/>
              </w:rPr>
              <w:t xml:space="preserve">relevant </w:t>
            </w:r>
            <w:r>
              <w:rPr>
                <w:rFonts w:asciiTheme="minorHAnsi" w:hAnsiTheme="minorHAnsi"/>
                <w:sz w:val="20"/>
                <w:szCs w:val="20"/>
              </w:rPr>
              <w:t>state/territory government.</w:t>
            </w:r>
          </w:p>
        </w:tc>
      </w:tr>
      <w:tr w:rsidR="006E59F9" w14:paraId="03A87F36" w14:textId="77777777" w:rsidTr="00E23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  <w:shd w:val="clear" w:color="auto" w:fill="F2DBDB" w:themeFill="accent2" w:themeFillTint="33"/>
          </w:tcPr>
          <w:p w14:paraId="03A87F34" w14:textId="77777777" w:rsidR="006E59F9" w:rsidRPr="002C6133" w:rsidRDefault="002C6133" w:rsidP="002C6133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3.3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6E59F9" w:rsidRPr="002C6133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regional NRM organisation has a regional NRM plan that has been developed with comprehensive and documented </w:t>
            </w:r>
            <w:r w:rsidR="00CF377F" w:rsidRPr="002C6133">
              <w:rPr>
                <w:rFonts w:asciiTheme="minorHAnsi" w:hAnsiTheme="minorHAnsi"/>
                <w:b/>
                <w:i/>
                <w:sz w:val="24"/>
                <w:szCs w:val="24"/>
              </w:rPr>
              <w:t>participation</w:t>
            </w:r>
            <w:r w:rsidR="006E59F9" w:rsidRPr="002C6133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of the </w:t>
            </w:r>
            <w:r w:rsidR="00047BCF">
              <w:rPr>
                <w:rFonts w:asciiTheme="minorHAnsi" w:hAnsiTheme="minorHAnsi"/>
                <w:b/>
                <w:i/>
                <w:sz w:val="24"/>
                <w:szCs w:val="24"/>
              </w:rPr>
              <w:t>local community</w:t>
            </w:r>
            <w:r w:rsidR="006E59F9" w:rsidRPr="002C6133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  <w:p w14:paraId="03A87F35" w14:textId="77777777" w:rsidR="006E59F9" w:rsidRPr="00CF77DE" w:rsidRDefault="006E59F9" w:rsidP="005D0DD8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</w:t>
            </w:r>
            <w:r w:rsidR="000E5623">
              <w:rPr>
                <w:rFonts w:asciiTheme="minorHAnsi" w:hAnsiTheme="minorHAnsi"/>
                <w:sz w:val="20"/>
                <w:szCs w:val="20"/>
              </w:rPr>
              <w:t xml:space="preserve">aims to demonstrate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that a regional NRM organisation has provided significant opportunity for </w:t>
            </w:r>
            <w:r w:rsidR="00047BCF">
              <w:rPr>
                <w:rFonts w:asciiTheme="minorHAnsi" w:hAnsiTheme="minorHAnsi"/>
                <w:sz w:val="20"/>
                <w:szCs w:val="20"/>
              </w:rPr>
              <w:t xml:space="preserve">local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community </w:t>
            </w:r>
            <w:r w:rsidR="005D0DD8">
              <w:rPr>
                <w:rFonts w:asciiTheme="minorHAnsi" w:hAnsiTheme="minorHAnsi"/>
                <w:sz w:val="20"/>
                <w:szCs w:val="20"/>
              </w:rPr>
              <w:t xml:space="preserve">participation in </w:t>
            </w:r>
            <w:r w:rsidR="00086544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NRM </w:t>
            </w:r>
            <w:r w:rsidR="00086544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lan development. </w:t>
            </w:r>
          </w:p>
        </w:tc>
      </w:tr>
      <w:tr w:rsidR="002C6133" w14:paraId="03A87F3A" w14:textId="77777777" w:rsidTr="00123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89" w:type="dxa"/>
            <w:tcBorders>
              <w:bottom w:val="single" w:sz="4" w:space="0" w:color="auto"/>
            </w:tcBorders>
          </w:tcPr>
          <w:p w14:paraId="03A87F37" w14:textId="77777777" w:rsidR="002C6133" w:rsidRDefault="00F0060C" w:rsidP="002C6133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369" w:hanging="369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F38" w14:textId="77777777" w:rsidR="002C6133" w:rsidRDefault="002C6133" w:rsidP="00D845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236D95">
              <w:rPr>
                <w:rFonts w:asciiTheme="minorHAnsi" w:hAnsiTheme="minorHAnsi"/>
                <w:sz w:val="20"/>
                <w:szCs w:val="20"/>
              </w:rPr>
              <w:t xml:space="preserve">ocumentation of </w:t>
            </w:r>
            <w:r w:rsidR="00047BCF">
              <w:rPr>
                <w:rFonts w:asciiTheme="minorHAnsi" w:hAnsiTheme="minorHAnsi"/>
                <w:sz w:val="20"/>
                <w:szCs w:val="20"/>
              </w:rPr>
              <w:t xml:space="preserve">local </w:t>
            </w:r>
            <w:r w:rsidRPr="00236D95">
              <w:rPr>
                <w:rFonts w:asciiTheme="minorHAnsi" w:hAnsiTheme="minorHAnsi"/>
                <w:sz w:val="20"/>
                <w:szCs w:val="20"/>
              </w:rPr>
              <w:t xml:space="preserve">community and stakeholder </w:t>
            </w:r>
            <w:r w:rsidR="008A6299">
              <w:rPr>
                <w:rFonts w:asciiTheme="minorHAnsi" w:hAnsiTheme="minorHAnsi"/>
                <w:sz w:val="20"/>
                <w:szCs w:val="20"/>
              </w:rPr>
              <w:t xml:space="preserve">consultation and </w:t>
            </w:r>
            <w:r w:rsidRPr="00236D95">
              <w:rPr>
                <w:rFonts w:asciiTheme="minorHAnsi" w:hAnsiTheme="minorHAnsi"/>
                <w:sz w:val="20"/>
                <w:szCs w:val="20"/>
              </w:rPr>
              <w:t xml:space="preserve">involvement in the </w:t>
            </w: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236D95">
              <w:rPr>
                <w:rFonts w:asciiTheme="minorHAnsi" w:hAnsiTheme="minorHAnsi"/>
                <w:sz w:val="20"/>
                <w:szCs w:val="20"/>
              </w:rPr>
              <w:t>egional NRM planning process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03A87F39" w14:textId="77777777" w:rsidR="002C6133" w:rsidRPr="009B77FE" w:rsidRDefault="002C6133" w:rsidP="005D0DD8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C6133">
              <w:rPr>
                <w:rFonts w:asciiTheme="minorHAnsi" w:hAnsiTheme="minorHAnsi"/>
                <w:i/>
                <w:sz w:val="20"/>
                <w:szCs w:val="20"/>
              </w:rPr>
              <w:t xml:space="preserve">Note </w:t>
            </w:r>
            <w:r w:rsidR="005D0DD8">
              <w:rPr>
                <w:rFonts w:asciiTheme="minorHAnsi" w:hAnsiTheme="minorHAnsi"/>
                <w:i/>
                <w:sz w:val="20"/>
                <w:szCs w:val="20"/>
              </w:rPr>
              <w:t>–</w:t>
            </w:r>
            <w:r w:rsidRPr="002C6133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5D0DD8">
              <w:rPr>
                <w:rFonts w:asciiTheme="minorHAnsi" w:hAnsiTheme="minorHAnsi"/>
                <w:i/>
                <w:sz w:val="20"/>
                <w:szCs w:val="20"/>
              </w:rPr>
              <w:t>Supporting information</w:t>
            </w:r>
            <w:r w:rsidRPr="002C6133">
              <w:rPr>
                <w:rFonts w:asciiTheme="minorHAnsi" w:hAnsiTheme="minorHAnsi"/>
                <w:i/>
                <w:sz w:val="20"/>
                <w:szCs w:val="20"/>
              </w:rPr>
              <w:t xml:space="preserve"> could include lists</w:t>
            </w:r>
            <w:r w:rsidR="005D0DD8">
              <w:rPr>
                <w:rFonts w:asciiTheme="minorHAnsi" w:hAnsiTheme="minorHAnsi"/>
                <w:i/>
                <w:sz w:val="20"/>
                <w:szCs w:val="20"/>
              </w:rPr>
              <w:t>, minutes</w:t>
            </w:r>
            <w:r w:rsidRPr="002C6133">
              <w:rPr>
                <w:rFonts w:asciiTheme="minorHAnsi" w:hAnsiTheme="minorHAnsi"/>
                <w:i/>
                <w:sz w:val="20"/>
                <w:szCs w:val="20"/>
              </w:rPr>
              <w:t xml:space="preserve"> and agendas of community meetings, feedback forms with timing for responses, participation surveys and evaluations of participation surveys, summaries of feedback and how </w:t>
            </w:r>
            <w:r w:rsidR="003D4789">
              <w:rPr>
                <w:rFonts w:asciiTheme="minorHAnsi" w:hAnsiTheme="minorHAnsi"/>
                <w:i/>
                <w:sz w:val="20"/>
                <w:szCs w:val="20"/>
              </w:rPr>
              <w:t>information</w:t>
            </w:r>
            <w:r w:rsidRPr="002C6133">
              <w:rPr>
                <w:rFonts w:asciiTheme="minorHAnsi" w:hAnsiTheme="minorHAnsi"/>
                <w:i/>
                <w:sz w:val="20"/>
                <w:szCs w:val="20"/>
              </w:rPr>
              <w:t xml:space="preserve"> was incorporated into the NRM Plan.</w:t>
            </w:r>
          </w:p>
        </w:tc>
      </w:tr>
    </w:tbl>
    <w:p w14:paraId="03A87F3B" w14:textId="77777777" w:rsidR="007831B2" w:rsidRDefault="007831B2"/>
    <w:p w14:paraId="03A87F3C" w14:textId="77777777" w:rsidR="007831B2" w:rsidRDefault="007831B2">
      <w:pPr>
        <w:spacing w:after="0" w:line="240" w:lineRule="auto"/>
      </w:pPr>
      <w:r>
        <w:br w:type="page"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E59F9" w14:paraId="03A87F3F" w14:textId="77777777" w:rsidTr="00E23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shd w:val="clear" w:color="auto" w:fill="F2DBDB" w:themeFill="accent2" w:themeFillTint="33"/>
          </w:tcPr>
          <w:p w14:paraId="03A87F3D" w14:textId="77777777" w:rsidR="006E59F9" w:rsidRPr="002C6133" w:rsidRDefault="002C6133" w:rsidP="002C6133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lastRenderedPageBreak/>
              <w:t>3.4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6E59F9" w:rsidRPr="002C6133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</w:t>
            </w:r>
            <w:r w:rsidR="006477FC" w:rsidRPr="002C6133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regional NRM organisation has a </w:t>
            </w:r>
            <w:r w:rsidR="00086544" w:rsidRPr="002C6133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regional </w:t>
            </w:r>
            <w:r w:rsidR="006E59F9" w:rsidRPr="002C6133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NRM plan </w:t>
            </w:r>
            <w:r w:rsidR="008A6299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with clear priorities, outcomes and activities </w:t>
            </w:r>
            <w:r w:rsidR="00E1464E">
              <w:rPr>
                <w:rFonts w:asciiTheme="minorHAnsi" w:hAnsiTheme="minorHAnsi"/>
                <w:b/>
                <w:i/>
                <w:sz w:val="24"/>
                <w:szCs w:val="24"/>
              </w:rPr>
              <w:t>to achieve those outcomes</w:t>
            </w:r>
            <w:r w:rsidR="008A6299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  <w:p w14:paraId="03A87F3E" w14:textId="77777777" w:rsidR="006E59F9" w:rsidRPr="00CF77DE" w:rsidRDefault="006E59F9" w:rsidP="005E67D1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</w:t>
            </w:r>
            <w:r w:rsidR="000E5623">
              <w:rPr>
                <w:rFonts w:asciiTheme="minorHAnsi" w:hAnsiTheme="minorHAnsi"/>
                <w:sz w:val="20"/>
                <w:szCs w:val="20"/>
              </w:rPr>
              <w:t xml:space="preserve">aims to demonstrate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that a regional NRM organisation is </w:t>
            </w:r>
            <w:r w:rsidR="005E67D1">
              <w:rPr>
                <w:rFonts w:asciiTheme="minorHAnsi" w:hAnsiTheme="minorHAnsi"/>
                <w:sz w:val="20"/>
                <w:szCs w:val="20"/>
              </w:rPr>
              <w:t>aligning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their </w:t>
            </w:r>
            <w:r w:rsidR="005E67D1">
              <w:rPr>
                <w:rFonts w:asciiTheme="minorHAnsi" w:hAnsiTheme="minorHAnsi"/>
                <w:sz w:val="20"/>
                <w:szCs w:val="20"/>
              </w:rPr>
              <w:t xml:space="preserve">activities and on ground implementation with the outcomes sought in 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regional </w:t>
            </w:r>
            <w:r w:rsidR="00086544">
              <w:rPr>
                <w:rFonts w:asciiTheme="minorHAnsi" w:hAnsiTheme="minorHAnsi"/>
                <w:sz w:val="20"/>
                <w:szCs w:val="20"/>
              </w:rPr>
              <w:t xml:space="preserve">NRM </w:t>
            </w:r>
            <w:r>
              <w:rPr>
                <w:rFonts w:asciiTheme="minorHAnsi" w:hAnsiTheme="minorHAnsi"/>
                <w:sz w:val="20"/>
                <w:szCs w:val="20"/>
              </w:rPr>
              <w:t>plan</w:t>
            </w:r>
            <w:r w:rsidR="005E67D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B27C7" w14:paraId="03A87F46" w14:textId="77777777" w:rsidTr="0004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9889" w:type="dxa"/>
          </w:tcPr>
          <w:p w14:paraId="03A87F40" w14:textId="77777777" w:rsidR="00AB27C7" w:rsidRDefault="00F0060C" w:rsidP="00AB27C7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369" w:hanging="369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F41" w14:textId="77777777" w:rsidR="00AB27C7" w:rsidRDefault="00AB27C7" w:rsidP="00D845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Documentation of prioritisation methods, including decision support tools </w:t>
            </w:r>
            <w:r w:rsidR="002A72F2">
              <w:rPr>
                <w:rFonts w:asciiTheme="minorHAnsi" w:hAnsiTheme="minorHAnsi"/>
                <w:sz w:val="20"/>
                <w:szCs w:val="20"/>
              </w:rPr>
              <w:t>and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spatial representation of priorities. </w:t>
            </w:r>
          </w:p>
          <w:p w14:paraId="03A87F42" w14:textId="77777777" w:rsidR="00AB27C7" w:rsidRPr="00AB27C7" w:rsidRDefault="00AB27C7" w:rsidP="00AB27C7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284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AB27C7">
              <w:rPr>
                <w:rFonts w:asciiTheme="minorHAnsi" w:hAnsiTheme="minorHAnsi"/>
                <w:i/>
                <w:sz w:val="20"/>
                <w:szCs w:val="20"/>
              </w:rPr>
              <w:t xml:space="preserve">Note - </w:t>
            </w:r>
            <w:r w:rsidR="006C5CD1" w:rsidRPr="006C5CD1">
              <w:rPr>
                <w:rFonts w:asciiTheme="minorHAnsi" w:hAnsiTheme="minorHAnsi"/>
                <w:i/>
                <w:sz w:val="20"/>
                <w:szCs w:val="20"/>
              </w:rPr>
              <w:t>Clear links between the prioritisation tool and the regional NRM plan should be evident</w:t>
            </w:r>
            <w:r w:rsidR="006C5CD1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  <w:p w14:paraId="03A87F43" w14:textId="77777777" w:rsidR="00AB27C7" w:rsidRDefault="00AB27C7" w:rsidP="00D845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regional NRM plan </w:t>
            </w:r>
            <w:r w:rsidR="00A2392B">
              <w:rPr>
                <w:rFonts w:asciiTheme="minorHAnsi" w:hAnsiTheme="minorHAnsi"/>
                <w:sz w:val="20"/>
                <w:szCs w:val="20"/>
              </w:rPr>
              <w:t xml:space="preserve">and related documents </w:t>
            </w:r>
            <w:r>
              <w:rPr>
                <w:rFonts w:asciiTheme="minorHAnsi" w:hAnsiTheme="minorHAnsi"/>
                <w:sz w:val="20"/>
                <w:szCs w:val="20"/>
              </w:rPr>
              <w:t>include specific, measurable, achievable, realistic and time-bound outcomes or objectives.</w:t>
            </w:r>
          </w:p>
          <w:p w14:paraId="03A87F44" w14:textId="77777777" w:rsidR="00AB27C7" w:rsidRDefault="00AB27C7" w:rsidP="00D845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Systems are in place </w:t>
            </w:r>
            <w:r w:rsidR="008A6299">
              <w:rPr>
                <w:rFonts w:asciiTheme="minorHAnsi" w:hAnsiTheme="minorHAnsi"/>
                <w:sz w:val="20"/>
                <w:szCs w:val="20"/>
              </w:rPr>
              <w:t xml:space="preserve">and utilised </w:t>
            </w:r>
            <w:r>
              <w:rPr>
                <w:rFonts w:asciiTheme="minorHAnsi" w:hAnsiTheme="minorHAnsi"/>
                <w:sz w:val="20"/>
                <w:szCs w:val="20"/>
              </w:rPr>
              <w:t>to measure the achievements and review the effectiveness of the NRM plan.</w:t>
            </w:r>
          </w:p>
          <w:p w14:paraId="03A87F45" w14:textId="77777777" w:rsidR="00AB27C7" w:rsidRDefault="00AB27C7" w:rsidP="00761CE1">
            <w:pPr>
              <w:pStyle w:val="ListParagraph"/>
              <w:numPr>
                <w:ilvl w:val="0"/>
                <w:numId w:val="7"/>
              </w:numPr>
              <w:spacing w:before="60" w:after="60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8A376B">
              <w:rPr>
                <w:rFonts w:asciiTheme="minorHAnsi" w:hAnsiTheme="minorHAnsi"/>
                <w:sz w:val="20"/>
                <w:szCs w:val="20"/>
              </w:rPr>
              <w:t xml:space="preserve"> framework that clearly identifies public and private benefit and where </w:t>
            </w:r>
            <w:r w:rsidR="006C5CD1">
              <w:rPr>
                <w:rFonts w:asciiTheme="minorHAnsi" w:hAnsiTheme="minorHAnsi"/>
                <w:sz w:val="20"/>
                <w:szCs w:val="20"/>
              </w:rPr>
              <w:t xml:space="preserve">and why </w:t>
            </w:r>
            <w:r w:rsidRPr="008A376B">
              <w:rPr>
                <w:rFonts w:asciiTheme="minorHAnsi" w:hAnsiTheme="minorHAnsi"/>
                <w:sz w:val="20"/>
                <w:szCs w:val="20"/>
              </w:rPr>
              <w:t xml:space="preserve">government intervention </w:t>
            </w:r>
            <w:r w:rsidR="001E4013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 w:rsidR="00761CE1">
              <w:rPr>
                <w:rFonts w:asciiTheme="minorHAnsi" w:hAnsiTheme="minorHAnsi"/>
                <w:sz w:val="20"/>
                <w:szCs w:val="20"/>
              </w:rPr>
              <w:t>required</w:t>
            </w:r>
            <w:r w:rsidR="001E401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D74EC4" w14:paraId="03A87F49" w14:textId="77777777" w:rsidTr="00E230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89" w:type="dxa"/>
            <w:shd w:val="clear" w:color="auto" w:fill="F2DBDB" w:themeFill="accent2" w:themeFillTint="33"/>
          </w:tcPr>
          <w:p w14:paraId="03A87F47" w14:textId="77777777" w:rsidR="00D74EC4" w:rsidRPr="00AB27C7" w:rsidRDefault="00AB27C7" w:rsidP="00AB27C7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3.5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D74EC4" w:rsidRPr="00AB27C7">
              <w:rPr>
                <w:rFonts w:asciiTheme="minorHAnsi" w:hAnsiTheme="minorHAnsi"/>
                <w:b/>
                <w:i/>
                <w:sz w:val="24"/>
                <w:szCs w:val="24"/>
              </w:rPr>
              <w:t>The regional NRM organisation has a</w:t>
            </w:r>
            <w:r w:rsidR="00086544" w:rsidRPr="00AB27C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regional</w:t>
            </w:r>
            <w:r w:rsidR="00D74EC4" w:rsidRPr="00AB27C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NRM plan that </w:t>
            </w:r>
            <w:r w:rsidR="004F799B" w:rsidRPr="00AB27C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clearly articulates </w:t>
            </w:r>
            <w:r w:rsidR="00086544" w:rsidRPr="00AB27C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Indigenous </w:t>
            </w:r>
            <w:r w:rsidR="004F799B" w:rsidRPr="00AB27C7">
              <w:rPr>
                <w:rFonts w:asciiTheme="minorHAnsi" w:hAnsiTheme="minorHAnsi"/>
                <w:b/>
                <w:i/>
                <w:sz w:val="24"/>
                <w:szCs w:val="24"/>
              </w:rPr>
              <w:t>land and sea management aspirations and participation</w:t>
            </w:r>
            <w:r w:rsidR="009C56A5" w:rsidRPr="00AB27C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and identifies strategies to implement them</w:t>
            </w:r>
            <w:r w:rsidR="00D74EC4" w:rsidRPr="00AB27C7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  <w:p w14:paraId="03A87F48" w14:textId="77777777" w:rsidR="00D74EC4" w:rsidRPr="00CF77DE" w:rsidRDefault="00D74EC4" w:rsidP="00B46ABC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</w:t>
            </w:r>
            <w:r w:rsidR="000E5623">
              <w:rPr>
                <w:rFonts w:asciiTheme="minorHAnsi" w:hAnsiTheme="minorHAnsi"/>
                <w:sz w:val="20"/>
                <w:szCs w:val="20"/>
              </w:rPr>
              <w:t xml:space="preserve">aims to demonstrate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that a regional NRM organisation is </w:t>
            </w:r>
            <w:r w:rsidR="00B46ABC">
              <w:rPr>
                <w:rFonts w:asciiTheme="minorHAnsi" w:hAnsiTheme="minorHAnsi"/>
                <w:sz w:val="20"/>
                <w:szCs w:val="20"/>
              </w:rPr>
              <w:t xml:space="preserve">actively including </w:t>
            </w:r>
            <w:r w:rsidR="00805E8D">
              <w:rPr>
                <w:rFonts w:asciiTheme="minorHAnsi" w:hAnsiTheme="minorHAnsi"/>
                <w:sz w:val="20"/>
                <w:szCs w:val="20"/>
              </w:rPr>
              <w:t>Indigenous NRM participation and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implementation</w:t>
            </w:r>
            <w:r w:rsidR="00B46ABC">
              <w:rPr>
                <w:rFonts w:asciiTheme="minorHAnsi" w:hAnsiTheme="minorHAnsi"/>
                <w:sz w:val="20"/>
                <w:szCs w:val="20"/>
              </w:rPr>
              <w:t xml:space="preserve"> into their regional NRM plan and outcomes.</w:t>
            </w:r>
          </w:p>
        </w:tc>
      </w:tr>
      <w:tr w:rsidR="00AB27C7" w14:paraId="03A87F52" w14:textId="77777777" w:rsidTr="008B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4"/>
        </w:trPr>
        <w:tc>
          <w:tcPr>
            <w:tcW w:w="9889" w:type="dxa"/>
          </w:tcPr>
          <w:p w14:paraId="03A87F4A" w14:textId="77777777" w:rsidR="00AB27C7" w:rsidRDefault="00F0060C" w:rsidP="00CC2A23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369" w:hanging="369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F4B" w14:textId="77777777" w:rsidR="00AB27C7" w:rsidRDefault="00AB27C7" w:rsidP="00CC2A2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Documentation of Indigenous and stakeholder involvement in the</w:t>
            </w:r>
            <w:r w:rsidR="00A366A9">
              <w:rPr>
                <w:rFonts w:asciiTheme="minorHAnsi" w:hAnsiTheme="minorHAnsi"/>
                <w:sz w:val="20"/>
                <w:szCs w:val="20"/>
              </w:rPr>
              <w:t xml:space="preserve"> regional NRM planning process.</w:t>
            </w:r>
          </w:p>
          <w:p w14:paraId="03A87F4C" w14:textId="77777777" w:rsidR="00AB27C7" w:rsidRDefault="00AB27C7" w:rsidP="00CC2A2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regional NRM plan identifies and incorporates Indigenous NRM interests relevant to the region</w:t>
            </w:r>
            <w:r w:rsidR="00A366A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3A87F4D" w14:textId="77777777" w:rsidR="00AB27C7" w:rsidRPr="00AB27C7" w:rsidRDefault="00AB27C7" w:rsidP="00CC2A23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284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Note - </w:t>
            </w:r>
            <w:r w:rsidRPr="00AB27C7">
              <w:rPr>
                <w:rFonts w:asciiTheme="minorHAnsi" w:hAnsiTheme="minorHAnsi"/>
                <w:i/>
                <w:sz w:val="20"/>
                <w:szCs w:val="20"/>
              </w:rPr>
              <w:t>The regional NRM plan should:</w:t>
            </w:r>
          </w:p>
          <w:p w14:paraId="03A87F4E" w14:textId="77777777" w:rsidR="00AB27C7" w:rsidRPr="00AB27C7" w:rsidRDefault="00AB27C7" w:rsidP="002A72F2">
            <w:pPr>
              <w:pStyle w:val="ListBullet"/>
              <w:numPr>
                <w:ilvl w:val="0"/>
                <w:numId w:val="9"/>
              </w:numPr>
              <w:spacing w:before="60" w:after="0" w:line="240" w:lineRule="auto"/>
              <w:ind w:left="1003" w:hanging="35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AB27C7">
              <w:rPr>
                <w:rFonts w:asciiTheme="minorHAnsi" w:hAnsiTheme="minorHAnsi"/>
                <w:i/>
                <w:sz w:val="20"/>
                <w:szCs w:val="20"/>
              </w:rPr>
              <w:t>clearly identify and acknowledge the various Indigenous tribal and/or language groups, their interests, responsibilities and relationships to land and water and consider roles, responsibilities and capacity to achieve the outcomes and targets of the plan</w:t>
            </w:r>
            <w:r w:rsidR="006F05C0">
              <w:rPr>
                <w:rFonts w:asciiTheme="minorHAnsi" w:hAnsiTheme="minorHAnsi"/>
                <w:i/>
                <w:sz w:val="20"/>
                <w:szCs w:val="20"/>
              </w:rPr>
              <w:t>;</w:t>
            </w:r>
          </w:p>
          <w:p w14:paraId="03A87F4F" w14:textId="77777777" w:rsidR="00AB27C7" w:rsidRPr="00AB27C7" w:rsidRDefault="00AB27C7" w:rsidP="002A72F2">
            <w:pPr>
              <w:pStyle w:val="ListBullet"/>
              <w:numPr>
                <w:ilvl w:val="0"/>
                <w:numId w:val="9"/>
              </w:numPr>
              <w:spacing w:after="0" w:line="240" w:lineRule="auto"/>
              <w:ind w:left="1003" w:hanging="35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AB27C7">
              <w:rPr>
                <w:rFonts w:asciiTheme="minorHAnsi" w:hAnsiTheme="minorHAnsi"/>
                <w:i/>
                <w:sz w:val="20"/>
                <w:szCs w:val="20"/>
              </w:rPr>
              <w:t>incorporate Indigenous ecological knowledge, where appropriate, in accordance with agreed protocols and with prior approval of the Indigenous custodians of the knowledge</w:t>
            </w:r>
            <w:r w:rsidR="006F05C0">
              <w:rPr>
                <w:rFonts w:asciiTheme="minorHAnsi" w:hAnsiTheme="minorHAnsi"/>
                <w:i/>
                <w:sz w:val="20"/>
                <w:szCs w:val="20"/>
              </w:rPr>
              <w:t>;</w:t>
            </w:r>
          </w:p>
          <w:p w14:paraId="03A87F50" w14:textId="77777777" w:rsidR="00AB27C7" w:rsidRPr="00AB27C7" w:rsidRDefault="00AB27C7" w:rsidP="002A72F2">
            <w:pPr>
              <w:pStyle w:val="ListBullet"/>
              <w:numPr>
                <w:ilvl w:val="0"/>
                <w:numId w:val="9"/>
              </w:numPr>
              <w:spacing w:after="0" w:line="240" w:lineRule="auto"/>
              <w:ind w:left="1003" w:hanging="35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AB27C7">
              <w:rPr>
                <w:rFonts w:asciiTheme="minorHAnsi" w:hAnsiTheme="minorHAnsi"/>
                <w:i/>
                <w:sz w:val="20"/>
                <w:szCs w:val="20"/>
              </w:rPr>
              <w:t>clearly articulate Indigenous land and sea management aspirations and opportunities and identify strategies to prioritise and implement them</w:t>
            </w:r>
            <w:r w:rsidR="006F05C0">
              <w:rPr>
                <w:rFonts w:asciiTheme="minorHAnsi" w:hAnsiTheme="minorHAnsi"/>
                <w:i/>
                <w:sz w:val="20"/>
                <w:szCs w:val="20"/>
              </w:rPr>
              <w:t>; and</w:t>
            </w:r>
          </w:p>
          <w:p w14:paraId="03A87F51" w14:textId="77777777" w:rsidR="00AB27C7" w:rsidRDefault="00AB27C7" w:rsidP="002A72F2">
            <w:pPr>
              <w:pStyle w:val="ListBullet"/>
              <w:numPr>
                <w:ilvl w:val="0"/>
                <w:numId w:val="9"/>
              </w:numPr>
              <w:spacing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AB27C7">
              <w:rPr>
                <w:rFonts w:asciiTheme="minorHAnsi" w:hAnsiTheme="minorHAnsi"/>
                <w:i/>
                <w:sz w:val="20"/>
                <w:szCs w:val="20"/>
              </w:rPr>
              <w:t>clearly</w:t>
            </w:r>
            <w:proofErr w:type="gramEnd"/>
            <w:r w:rsidRPr="00AB27C7">
              <w:rPr>
                <w:rFonts w:asciiTheme="minorHAnsi" w:hAnsiTheme="minorHAnsi"/>
                <w:i/>
                <w:sz w:val="20"/>
                <w:szCs w:val="20"/>
              </w:rPr>
              <w:t xml:space="preserve"> identify the economic and social opportunities and benefits to be gained from Indigenous land and sea management aspirations and opportunities</w:t>
            </w:r>
            <w:r w:rsidR="006F05C0">
              <w:rPr>
                <w:rFonts w:asciiTheme="minorHAnsi" w:hAnsiTheme="minorHAnsi"/>
                <w:i/>
                <w:sz w:val="20"/>
                <w:szCs w:val="20"/>
              </w:rPr>
              <w:t>, including employment and training opportunities.</w:t>
            </w:r>
          </w:p>
        </w:tc>
      </w:tr>
      <w:tr w:rsidR="00FB0A80" w:rsidRPr="003D4D41" w14:paraId="03A87F54" w14:textId="77777777" w:rsidTr="00821A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89" w:type="dxa"/>
            <w:shd w:val="clear" w:color="auto" w:fill="E5B8B7" w:themeFill="accent2" w:themeFillTint="66"/>
          </w:tcPr>
          <w:p w14:paraId="03A87F53" w14:textId="77777777" w:rsidR="00FB0A80" w:rsidRPr="004C4134" w:rsidRDefault="00FB0A80" w:rsidP="00FB0A8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Additional</w:t>
            </w:r>
            <w:r w:rsidRPr="0076155E">
              <w:rPr>
                <w:b/>
              </w:rPr>
              <w:t xml:space="preserve"> practices</w:t>
            </w:r>
          </w:p>
        </w:tc>
      </w:tr>
      <w:tr w:rsidR="00E1464E" w:rsidRPr="003D4D41" w14:paraId="03A87F57" w14:textId="77777777" w:rsidTr="00FB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  <w:shd w:val="clear" w:color="auto" w:fill="F2DBDB" w:themeFill="accent2" w:themeFillTint="33"/>
          </w:tcPr>
          <w:p w14:paraId="03A87F55" w14:textId="32124084" w:rsidR="00E1464E" w:rsidRDefault="00E1464E" w:rsidP="00761CE1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3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6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Pr="00E676EF">
              <w:rPr>
                <w:rFonts w:asciiTheme="minorHAnsi" w:hAnsiTheme="minorHAnsi"/>
                <w:b/>
                <w:i/>
                <w:sz w:val="24"/>
                <w:szCs w:val="24"/>
              </w:rPr>
              <w:t>The regional NRM organisation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="00FE44AB">
              <w:rPr>
                <w:rFonts w:asciiTheme="minorHAnsi" w:hAnsiTheme="minorHAnsi"/>
                <w:b/>
                <w:i/>
                <w:sz w:val="24"/>
                <w:szCs w:val="24"/>
              </w:rPr>
              <w:t>also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has </w:t>
            </w:r>
            <w:r w:rsidR="001A586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following 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>additional practices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="00FE44AB" w:rsidRPr="00976996">
              <w:rPr>
                <w:rFonts w:asciiTheme="minorHAnsi" w:hAnsiTheme="minorHAnsi"/>
                <w:i/>
                <w:sz w:val="24"/>
                <w:szCs w:val="24"/>
              </w:rPr>
              <w:t>(please list)</w:t>
            </w:r>
          </w:p>
          <w:p w14:paraId="03A87F56" w14:textId="77777777" w:rsidR="00E1464E" w:rsidRPr="00B5555C" w:rsidRDefault="00E1464E" w:rsidP="00761CE1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A508D">
              <w:rPr>
                <w:rFonts w:asciiTheme="minorHAnsi" w:hAnsiTheme="minorHAnsi"/>
                <w:sz w:val="20"/>
                <w:szCs w:val="20"/>
              </w:rPr>
              <w:t xml:space="preserve">Any additional practices should include a clear description of the practice and how it is of benefit to the organisation </w:t>
            </w:r>
            <w:r w:rsidRPr="00BA508D">
              <w:rPr>
                <w:rFonts w:asciiTheme="minorHAnsi" w:hAnsiTheme="minorHAnsi"/>
                <w:sz w:val="20"/>
                <w:szCs w:val="20"/>
                <w:u w:val="single"/>
              </w:rPr>
              <w:t>and</w:t>
            </w:r>
            <w:r w:rsidRPr="00BA508D">
              <w:rPr>
                <w:rFonts w:asciiTheme="minorHAnsi" w:hAnsiTheme="minorHAnsi"/>
                <w:sz w:val="20"/>
                <w:szCs w:val="20"/>
              </w:rPr>
              <w:t xml:space="preserve"> the Australian Government</w:t>
            </w:r>
          </w:p>
        </w:tc>
      </w:tr>
      <w:tr w:rsidR="00B26E4B" w14:paraId="03A87F5A" w14:textId="77777777" w:rsidTr="002069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tcW w:w="9889" w:type="dxa"/>
          </w:tcPr>
          <w:p w14:paraId="03A87F58" w14:textId="77777777" w:rsidR="00B26E4B" w:rsidRDefault="00B26E4B" w:rsidP="00425CD1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practices may include but not be limited to:</w:t>
            </w:r>
          </w:p>
          <w:p w14:paraId="03A87F59" w14:textId="4FB61534" w:rsidR="00B26E4B" w:rsidRPr="00E575A6" w:rsidRDefault="00B26E4B" w:rsidP="00425CD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Compliance with industry accepted standards that are over and above </w:t>
            </w:r>
            <w:r w:rsidRPr="00D97FB2">
              <w:rPr>
                <w:rFonts w:asciiTheme="minorHAnsi" w:hAnsiTheme="minorHAnsi"/>
                <w:sz w:val="20"/>
                <w:szCs w:val="20"/>
              </w:rPr>
              <w:t>statutory/incorporation, legal and financial obligations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FE44AB">
              <w:rPr>
                <w:rFonts w:asciiTheme="minorHAnsi" w:hAnsiTheme="minorHAnsi"/>
                <w:sz w:val="20"/>
                <w:szCs w:val="20"/>
              </w:rPr>
              <w:t xml:space="preserve"> Any additional practice should not be one that could be considered as ‘business as usual’.</w:t>
            </w:r>
            <w:r w:rsidR="007F50B8">
              <w:rPr>
                <w:rFonts w:asciiTheme="minorHAnsi" w:hAnsiTheme="minorHAnsi"/>
                <w:sz w:val="20"/>
                <w:szCs w:val="20"/>
              </w:rPr>
              <w:t xml:space="preserve"> For regional NRM organisations that are Statutory Authorities, responding to state legislative requirements and obligations is considered business as usual.</w:t>
            </w:r>
          </w:p>
        </w:tc>
      </w:tr>
    </w:tbl>
    <w:p w14:paraId="03A87F5B" w14:textId="77777777" w:rsidR="005869B9" w:rsidRDefault="005869B9" w:rsidP="002069BA">
      <w:pPr>
        <w:spacing w:after="0" w:line="240" w:lineRule="auto"/>
        <w:rPr>
          <w:sz w:val="20"/>
          <w:szCs w:val="20"/>
        </w:rPr>
      </w:pPr>
    </w:p>
    <w:p w14:paraId="03A87F5C" w14:textId="77777777" w:rsidR="00681E62" w:rsidRPr="00F61C54" w:rsidRDefault="005869B9" w:rsidP="002069B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81E62" w14:paraId="03A87F5F" w14:textId="77777777" w:rsidTr="00FB3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shd w:val="clear" w:color="auto" w:fill="FCF33E"/>
          </w:tcPr>
          <w:p w14:paraId="03A87F5D" w14:textId="77777777" w:rsidR="00DD09B8" w:rsidRDefault="00DD09B8" w:rsidP="0027420F">
            <w:pPr>
              <w:spacing w:before="120" w:after="120" w:line="240" w:lineRule="auto"/>
              <w:rPr>
                <w:b/>
              </w:rPr>
            </w:pPr>
            <w:r w:rsidRPr="00DD09B8">
              <w:rPr>
                <w:b/>
              </w:rPr>
              <w:lastRenderedPageBreak/>
              <w:t>Australian Government NRM Delivery</w:t>
            </w:r>
          </w:p>
          <w:p w14:paraId="03A87F5E" w14:textId="77777777" w:rsidR="00681E62" w:rsidRPr="00793DC6" w:rsidRDefault="00681E62" w:rsidP="001D5AA6">
            <w:pPr>
              <w:spacing w:before="120" w:after="120" w:line="240" w:lineRule="auto"/>
              <w:rPr>
                <w:b/>
              </w:rPr>
            </w:pPr>
            <w:r w:rsidRPr="0076155E">
              <w:rPr>
                <w:b/>
              </w:rPr>
              <w:t xml:space="preserve">Performance Expectation </w:t>
            </w:r>
            <w:r w:rsidR="002069BA">
              <w:rPr>
                <w:b/>
              </w:rPr>
              <w:t xml:space="preserve">4 </w:t>
            </w:r>
            <w:r w:rsidRPr="0076155E">
              <w:rPr>
                <w:b/>
              </w:rPr>
              <w:t>–</w:t>
            </w:r>
            <w:r w:rsidR="001D5AA6">
              <w:rPr>
                <w:b/>
              </w:rPr>
              <w:t>L</w:t>
            </w:r>
            <w:r w:rsidRPr="00066740">
              <w:rPr>
                <w:b/>
              </w:rPr>
              <w:t>ocal community participat</w:t>
            </w:r>
            <w:r>
              <w:rPr>
                <w:b/>
              </w:rPr>
              <w:t>i</w:t>
            </w:r>
            <w:r w:rsidR="001D5AA6">
              <w:rPr>
                <w:b/>
              </w:rPr>
              <w:t>on</w:t>
            </w:r>
            <w:r w:rsidRPr="00066740">
              <w:rPr>
                <w:b/>
              </w:rPr>
              <w:t xml:space="preserve"> </w:t>
            </w:r>
            <w:r w:rsidR="001D5AA6">
              <w:rPr>
                <w:b/>
              </w:rPr>
              <w:t>and engagement</w:t>
            </w:r>
            <w:r w:rsidR="003A22C8">
              <w:rPr>
                <w:b/>
              </w:rPr>
              <w:t>.</w:t>
            </w:r>
          </w:p>
        </w:tc>
      </w:tr>
      <w:tr w:rsidR="00681E62" w14:paraId="03A87F61" w14:textId="77777777" w:rsidTr="00FB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</w:tcPr>
          <w:p w14:paraId="03A87F60" w14:textId="77777777" w:rsidR="00681E62" w:rsidRPr="0061507D" w:rsidRDefault="0027420F" w:rsidP="008401F2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61507D">
              <w:rPr>
                <w:rFonts w:asciiTheme="minorHAnsi" w:hAnsiTheme="minorHAnsi"/>
                <w:i/>
                <w:sz w:val="20"/>
                <w:szCs w:val="20"/>
              </w:rPr>
              <w:t xml:space="preserve">Regional NRM organisations </w:t>
            </w:r>
            <w:r w:rsidR="00A60269" w:rsidRPr="0061507D">
              <w:rPr>
                <w:rFonts w:asciiTheme="minorHAnsi" w:hAnsiTheme="minorHAnsi"/>
                <w:i/>
                <w:sz w:val="20"/>
                <w:szCs w:val="20"/>
              </w:rPr>
              <w:t>play an important role in</w:t>
            </w:r>
            <w:r w:rsidRPr="0061507D">
              <w:rPr>
                <w:rFonts w:asciiTheme="minorHAnsi" w:hAnsiTheme="minorHAnsi"/>
                <w:i/>
                <w:sz w:val="20"/>
                <w:szCs w:val="20"/>
              </w:rPr>
              <w:t xml:space="preserve"> engag</w:t>
            </w:r>
            <w:r w:rsidR="00A60269" w:rsidRPr="0061507D">
              <w:rPr>
                <w:rFonts w:asciiTheme="minorHAnsi" w:hAnsiTheme="minorHAnsi"/>
                <w:i/>
                <w:sz w:val="20"/>
                <w:szCs w:val="20"/>
              </w:rPr>
              <w:t xml:space="preserve">ing </w:t>
            </w:r>
            <w:r w:rsidR="004E0071" w:rsidRPr="0061507D">
              <w:rPr>
                <w:rFonts w:asciiTheme="minorHAnsi" w:hAnsiTheme="minorHAnsi"/>
                <w:i/>
                <w:sz w:val="20"/>
                <w:szCs w:val="20"/>
              </w:rPr>
              <w:t>and support</w:t>
            </w:r>
            <w:r w:rsidR="0061507D" w:rsidRPr="0061507D">
              <w:rPr>
                <w:rFonts w:asciiTheme="minorHAnsi" w:hAnsiTheme="minorHAnsi"/>
                <w:i/>
                <w:sz w:val="20"/>
                <w:szCs w:val="20"/>
              </w:rPr>
              <w:t>ing</w:t>
            </w:r>
            <w:r w:rsidR="004E0071" w:rsidRPr="0061507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61507D">
              <w:rPr>
                <w:rFonts w:asciiTheme="minorHAnsi" w:hAnsiTheme="minorHAnsi"/>
                <w:i/>
                <w:sz w:val="20"/>
                <w:szCs w:val="20"/>
              </w:rPr>
              <w:t>their local community</w:t>
            </w:r>
            <w:r w:rsidR="00A60269" w:rsidRPr="0061507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61507D">
              <w:rPr>
                <w:rFonts w:asciiTheme="minorHAnsi" w:hAnsiTheme="minorHAnsi"/>
                <w:i/>
                <w:sz w:val="20"/>
                <w:szCs w:val="20"/>
              </w:rPr>
              <w:t xml:space="preserve">in prioritising and delivering </w:t>
            </w:r>
            <w:r w:rsidR="0061507D" w:rsidRPr="0061507D">
              <w:rPr>
                <w:rFonts w:asciiTheme="minorHAnsi" w:hAnsiTheme="minorHAnsi"/>
                <w:i/>
                <w:sz w:val="20"/>
                <w:szCs w:val="20"/>
              </w:rPr>
              <w:t>NRM</w:t>
            </w:r>
            <w:r w:rsidRPr="0061507D">
              <w:rPr>
                <w:rFonts w:asciiTheme="minorHAnsi" w:hAnsiTheme="minorHAnsi"/>
                <w:i/>
                <w:sz w:val="20"/>
                <w:szCs w:val="20"/>
              </w:rPr>
              <w:t xml:space="preserve"> activities across their </w:t>
            </w:r>
            <w:r w:rsidR="00A60269" w:rsidRPr="0061507D">
              <w:rPr>
                <w:rFonts w:asciiTheme="minorHAnsi" w:hAnsiTheme="minorHAnsi"/>
                <w:i/>
                <w:sz w:val="20"/>
                <w:szCs w:val="20"/>
              </w:rPr>
              <w:t>NRM</w:t>
            </w:r>
            <w:r w:rsidRPr="0061507D">
              <w:rPr>
                <w:rFonts w:asciiTheme="minorHAnsi" w:hAnsiTheme="minorHAnsi"/>
                <w:i/>
                <w:sz w:val="20"/>
                <w:szCs w:val="20"/>
              </w:rPr>
              <w:t xml:space="preserve"> region, including assisting them through partnerships and cooperative arrangements. </w:t>
            </w:r>
            <w:r w:rsidR="00A60269" w:rsidRPr="0061507D">
              <w:rPr>
                <w:rFonts w:asciiTheme="minorHAnsi" w:hAnsiTheme="minorHAnsi"/>
                <w:i/>
                <w:sz w:val="20"/>
                <w:szCs w:val="20"/>
                <w:lang w:eastAsia="en-AU"/>
              </w:rPr>
              <w:t xml:space="preserve">It allows the Australian Government to be confident that </w:t>
            </w:r>
            <w:r w:rsidR="00A60269" w:rsidRPr="0061507D">
              <w:rPr>
                <w:rFonts w:asciiTheme="minorHAnsi" w:hAnsiTheme="minorHAnsi"/>
                <w:i/>
                <w:sz w:val="20"/>
                <w:szCs w:val="20"/>
              </w:rPr>
              <w:t>the local community</w:t>
            </w:r>
            <w:r w:rsidR="0061507D" w:rsidRPr="0061507D">
              <w:rPr>
                <w:rFonts w:asciiTheme="minorHAnsi" w:hAnsiTheme="minorHAnsi"/>
                <w:i/>
                <w:sz w:val="20"/>
                <w:szCs w:val="20"/>
              </w:rPr>
              <w:t>, including the Indigenous community,</w:t>
            </w:r>
            <w:r w:rsidR="004E0071" w:rsidRPr="0061507D">
              <w:rPr>
                <w:rFonts w:asciiTheme="minorHAnsi" w:hAnsiTheme="minorHAnsi"/>
                <w:i/>
                <w:sz w:val="20"/>
                <w:szCs w:val="20"/>
              </w:rPr>
              <w:t xml:space="preserve"> is participat</w:t>
            </w:r>
            <w:r w:rsidR="0061507D" w:rsidRPr="0061507D">
              <w:rPr>
                <w:rFonts w:asciiTheme="minorHAnsi" w:hAnsiTheme="minorHAnsi"/>
                <w:i/>
                <w:sz w:val="20"/>
                <w:szCs w:val="20"/>
              </w:rPr>
              <w:t>ing</w:t>
            </w:r>
            <w:r w:rsidR="004E0071" w:rsidRPr="0061507D">
              <w:rPr>
                <w:rFonts w:asciiTheme="minorHAnsi" w:hAnsiTheme="minorHAnsi"/>
                <w:i/>
                <w:sz w:val="20"/>
                <w:szCs w:val="20"/>
              </w:rPr>
              <w:t xml:space="preserve"> in the planning and delivery of priority </w:t>
            </w:r>
            <w:r w:rsidR="00A60269" w:rsidRPr="0061507D">
              <w:rPr>
                <w:rFonts w:asciiTheme="minorHAnsi" w:hAnsiTheme="minorHAnsi"/>
                <w:i/>
                <w:sz w:val="20"/>
                <w:szCs w:val="20"/>
              </w:rPr>
              <w:t>NRM</w:t>
            </w:r>
            <w:r w:rsidR="004E0071" w:rsidRPr="0061507D">
              <w:rPr>
                <w:rFonts w:asciiTheme="minorHAnsi" w:hAnsiTheme="minorHAnsi"/>
                <w:i/>
                <w:sz w:val="20"/>
                <w:szCs w:val="20"/>
              </w:rPr>
              <w:t xml:space="preserve"> and sustainable agricultural activities and contribut</w:t>
            </w:r>
            <w:r w:rsidR="0061507D" w:rsidRPr="0061507D">
              <w:rPr>
                <w:rFonts w:asciiTheme="minorHAnsi" w:hAnsiTheme="minorHAnsi"/>
                <w:i/>
                <w:sz w:val="20"/>
                <w:szCs w:val="20"/>
              </w:rPr>
              <w:t>ing</w:t>
            </w:r>
            <w:r w:rsidR="004E0071" w:rsidRPr="0061507D">
              <w:rPr>
                <w:rFonts w:asciiTheme="minorHAnsi" w:hAnsiTheme="minorHAnsi"/>
                <w:i/>
                <w:sz w:val="20"/>
                <w:szCs w:val="20"/>
              </w:rPr>
              <w:t xml:space="preserve"> to wider social and economic benefits. </w:t>
            </w:r>
          </w:p>
        </w:tc>
      </w:tr>
      <w:tr w:rsidR="00681E62" w14:paraId="03A87F63" w14:textId="77777777" w:rsidTr="00821A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89" w:type="dxa"/>
            <w:shd w:val="clear" w:color="auto" w:fill="FCF33E"/>
            <w:vAlign w:val="center"/>
          </w:tcPr>
          <w:p w14:paraId="03A87F62" w14:textId="77777777" w:rsidR="00681E62" w:rsidRPr="004C4134" w:rsidRDefault="00681E62" w:rsidP="00821A67">
            <w:pPr>
              <w:spacing w:before="120" w:after="120" w:line="240" w:lineRule="auto"/>
              <w:rPr>
                <w:b/>
              </w:rPr>
            </w:pPr>
            <w:r w:rsidRPr="0076155E">
              <w:rPr>
                <w:b/>
              </w:rPr>
              <w:t>Expected practices</w:t>
            </w:r>
          </w:p>
        </w:tc>
      </w:tr>
      <w:tr w:rsidR="00681E62" w14:paraId="03A87F66" w14:textId="77777777" w:rsidTr="00FB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  <w:shd w:val="clear" w:color="auto" w:fill="FDF69D"/>
          </w:tcPr>
          <w:p w14:paraId="03A87F64" w14:textId="77777777" w:rsidR="00681E62" w:rsidRPr="002069BA" w:rsidRDefault="002069BA" w:rsidP="002069BA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4.1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681E62" w:rsidRPr="002069BA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regional NRM organisation has a current community participation plan and a current Indigenous participation </w:t>
            </w:r>
            <w:r w:rsidR="00CE1B68" w:rsidRPr="002069BA">
              <w:rPr>
                <w:rFonts w:asciiTheme="minorHAnsi" w:hAnsiTheme="minorHAnsi"/>
                <w:b/>
                <w:i/>
                <w:sz w:val="24"/>
                <w:szCs w:val="24"/>
              </w:rPr>
              <w:t>plan</w:t>
            </w:r>
            <w:r w:rsidR="00681E62" w:rsidRPr="002069BA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  <w:p w14:paraId="03A87F65" w14:textId="77777777" w:rsidR="00681E62" w:rsidRPr="009B51D6" w:rsidRDefault="00681E62" w:rsidP="0049431A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</w:t>
            </w:r>
            <w:r w:rsidR="00CE1B68">
              <w:rPr>
                <w:rFonts w:asciiTheme="minorHAnsi" w:hAnsiTheme="minorHAnsi"/>
                <w:sz w:val="20"/>
                <w:szCs w:val="20"/>
              </w:rPr>
              <w:t xml:space="preserve">aims to demonstrate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that </w:t>
            </w:r>
            <w:r w:rsidR="007625A2">
              <w:rPr>
                <w:rFonts w:asciiTheme="minorHAnsi" w:hAnsiTheme="minorHAnsi"/>
                <w:sz w:val="20"/>
                <w:szCs w:val="20"/>
              </w:rPr>
              <w:t>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regional NRM organisation has high level commitment to community and Indigenous participation and work</w:t>
            </w:r>
            <w:r w:rsidR="00CE1B68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with </w:t>
            </w:r>
            <w:r w:rsidR="00CE1B68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764BA6">
              <w:rPr>
                <w:rFonts w:asciiTheme="minorHAnsi" w:hAnsiTheme="minorHAnsi"/>
                <w:sz w:val="20"/>
                <w:szCs w:val="20"/>
              </w:rPr>
              <w:t xml:space="preserve">local </w:t>
            </w:r>
            <w:r w:rsidR="00CE1B68">
              <w:rPr>
                <w:rFonts w:asciiTheme="minorHAnsi" w:hAnsiTheme="minorHAnsi"/>
                <w:sz w:val="20"/>
                <w:szCs w:val="20"/>
              </w:rPr>
              <w:t>community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identify appropriate approaches to participation.</w:t>
            </w:r>
          </w:p>
        </w:tc>
      </w:tr>
      <w:tr w:rsidR="000D732E" w14:paraId="03A87F75" w14:textId="77777777" w:rsidTr="000D7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0"/>
        </w:trPr>
        <w:tc>
          <w:tcPr>
            <w:tcW w:w="9889" w:type="dxa"/>
          </w:tcPr>
          <w:p w14:paraId="03A87F67" w14:textId="77777777" w:rsidR="000D732E" w:rsidRDefault="00F0060C" w:rsidP="000D732E">
            <w:p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F68" w14:textId="77777777" w:rsidR="000D732E" w:rsidRDefault="000D732E" w:rsidP="00D845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 current </w:t>
            </w:r>
            <w:r w:rsidRPr="00976996">
              <w:rPr>
                <w:rFonts w:asciiTheme="minorHAnsi" w:hAnsiTheme="minorHAnsi"/>
                <w:b/>
                <w:sz w:val="20"/>
                <w:szCs w:val="20"/>
              </w:rPr>
              <w:t>community participation plan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that </w:t>
            </w:r>
            <w:r w:rsidRPr="00DC4586">
              <w:rPr>
                <w:rFonts w:asciiTheme="minorHAnsi" w:hAnsiTheme="minorHAnsi"/>
                <w:sz w:val="20"/>
                <w:szCs w:val="20"/>
              </w:rPr>
              <w:t>identifies the stakeholder context for NRM in the region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DC458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includes </w:t>
            </w:r>
            <w:r w:rsidRPr="00DC4586">
              <w:rPr>
                <w:rFonts w:asciiTheme="minorHAnsi" w:hAnsiTheme="minorHAnsi"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sz w:val="20"/>
                <w:szCs w:val="20"/>
              </w:rPr>
              <w:t>participation</w:t>
            </w:r>
            <w:r w:rsidRPr="00DC4586">
              <w:rPr>
                <w:rFonts w:asciiTheme="minorHAnsi" w:hAnsiTheme="minorHAnsi"/>
                <w:sz w:val="20"/>
                <w:szCs w:val="20"/>
              </w:rPr>
              <w:t xml:space="preserve"> approaches</w:t>
            </w:r>
            <w:r w:rsidR="006C5CD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3A87F69" w14:textId="77777777" w:rsidR="000D732E" w:rsidRPr="009B77FE" w:rsidRDefault="000D732E" w:rsidP="002069BA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069BA">
              <w:rPr>
                <w:rFonts w:asciiTheme="minorHAnsi" w:hAnsiTheme="minorHAnsi"/>
                <w:i/>
                <w:sz w:val="20"/>
                <w:szCs w:val="20"/>
              </w:rPr>
              <w:t xml:space="preserve">Note - A community participation plan </w:t>
            </w:r>
            <w:r w:rsidR="008B2077">
              <w:rPr>
                <w:rFonts w:asciiTheme="minorHAnsi" w:hAnsiTheme="minorHAnsi"/>
                <w:i/>
                <w:sz w:val="20"/>
                <w:szCs w:val="20"/>
              </w:rPr>
              <w:t>should</w:t>
            </w:r>
            <w:r w:rsidRPr="002069BA">
              <w:rPr>
                <w:rFonts w:asciiTheme="minorHAnsi" w:hAnsiTheme="minorHAnsi"/>
                <w:i/>
                <w:sz w:val="20"/>
                <w:szCs w:val="20"/>
              </w:rPr>
              <w:t xml:space="preserve"> support the organisation to improve its engagement and participation, provide clear guidance on the opportunities available through effective </w:t>
            </w:r>
            <w:r w:rsidR="00764BA6">
              <w:rPr>
                <w:rFonts w:asciiTheme="minorHAnsi" w:hAnsiTheme="minorHAnsi"/>
                <w:i/>
                <w:sz w:val="20"/>
                <w:szCs w:val="20"/>
              </w:rPr>
              <w:t xml:space="preserve">local </w:t>
            </w:r>
            <w:r w:rsidRPr="002069BA">
              <w:rPr>
                <w:rFonts w:asciiTheme="minorHAnsi" w:hAnsiTheme="minorHAnsi"/>
                <w:i/>
                <w:sz w:val="20"/>
                <w:szCs w:val="20"/>
              </w:rPr>
              <w:t>community and Indigenous participation in NRM planning, programs and processes and clearly set out targets and measures of success to ensure the strategy is successfully implemented.</w:t>
            </w:r>
          </w:p>
          <w:p w14:paraId="03A87F6A" w14:textId="77777777" w:rsidR="000D732E" w:rsidRDefault="000D732E" w:rsidP="000D732E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 current </w:t>
            </w:r>
            <w:r w:rsidRPr="00976996">
              <w:rPr>
                <w:rFonts w:asciiTheme="minorHAnsi" w:hAnsiTheme="minorHAnsi"/>
                <w:b/>
                <w:sz w:val="20"/>
                <w:szCs w:val="20"/>
              </w:rPr>
              <w:t>Indigenous participation plan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that </w:t>
            </w:r>
            <w:r w:rsidRPr="00DC4586">
              <w:rPr>
                <w:rFonts w:asciiTheme="minorHAnsi" w:hAnsiTheme="minorHAnsi"/>
                <w:sz w:val="20"/>
                <w:szCs w:val="20"/>
              </w:rPr>
              <w:t xml:space="preserve">identifies the </w:t>
            </w:r>
            <w:r>
              <w:rPr>
                <w:rFonts w:asciiTheme="minorHAnsi" w:hAnsiTheme="minorHAnsi"/>
                <w:sz w:val="20"/>
                <w:szCs w:val="20"/>
              </w:rPr>
              <w:t>Indigenous</w:t>
            </w:r>
            <w:r w:rsidRPr="00DC4586">
              <w:rPr>
                <w:rFonts w:asciiTheme="minorHAnsi" w:hAnsiTheme="minorHAnsi"/>
                <w:sz w:val="20"/>
                <w:szCs w:val="20"/>
              </w:rPr>
              <w:t xml:space="preserve"> context for NRM in the region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includes</w:t>
            </w:r>
            <w:r w:rsidRPr="00DC4586">
              <w:rPr>
                <w:rFonts w:asciiTheme="minorHAnsi" w:hAnsiTheme="minorHAnsi"/>
                <w:sz w:val="20"/>
                <w:szCs w:val="20"/>
              </w:rPr>
              <w:t xml:space="preserve"> appropriate </w:t>
            </w:r>
            <w:r>
              <w:rPr>
                <w:rFonts w:asciiTheme="minorHAnsi" w:hAnsiTheme="minorHAnsi"/>
                <w:sz w:val="20"/>
                <w:szCs w:val="20"/>
              </w:rPr>
              <w:t>participation</w:t>
            </w:r>
            <w:r w:rsidRPr="00DC4586">
              <w:rPr>
                <w:rFonts w:asciiTheme="minorHAnsi" w:hAnsiTheme="minorHAnsi"/>
                <w:sz w:val="20"/>
                <w:szCs w:val="20"/>
              </w:rPr>
              <w:t xml:space="preserve"> approaches</w:t>
            </w:r>
            <w:r w:rsidR="008401F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3A87F6B" w14:textId="77777777" w:rsidR="000D732E" w:rsidRPr="002069BA" w:rsidRDefault="000D732E" w:rsidP="000D732E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284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2069BA">
              <w:rPr>
                <w:rFonts w:asciiTheme="minorHAnsi" w:hAnsiTheme="minorHAnsi"/>
                <w:i/>
                <w:sz w:val="20"/>
                <w:szCs w:val="20"/>
              </w:rPr>
              <w:t xml:space="preserve">Note - While the content and intent of an Indigenous participation plan will vary from region to region and across relevant tribal and language groups, there are a number of </w:t>
            </w:r>
            <w:r w:rsidRPr="00976996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key areas</w:t>
            </w:r>
            <w:r w:rsidRPr="002069BA">
              <w:rPr>
                <w:rFonts w:asciiTheme="minorHAnsi" w:hAnsiTheme="minorHAnsi"/>
                <w:i/>
                <w:sz w:val="20"/>
                <w:szCs w:val="20"/>
              </w:rPr>
              <w:t xml:space="preserve"> that should be included and expanded on in a plan. These are: </w:t>
            </w:r>
          </w:p>
          <w:p w14:paraId="03A87F6C" w14:textId="77777777" w:rsidR="000D732E" w:rsidRPr="002069BA" w:rsidRDefault="000D732E" w:rsidP="00BF7250">
            <w:pPr>
              <w:pStyle w:val="ListBullet"/>
              <w:numPr>
                <w:ilvl w:val="0"/>
                <w:numId w:val="10"/>
              </w:numPr>
              <w:spacing w:before="60" w:after="0" w:line="240" w:lineRule="auto"/>
              <w:ind w:left="1003" w:hanging="35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2069BA">
              <w:rPr>
                <w:rFonts w:asciiTheme="minorHAnsi" w:hAnsiTheme="minorHAnsi"/>
                <w:i/>
                <w:sz w:val="20"/>
                <w:szCs w:val="20"/>
              </w:rPr>
              <w:t>Purpose</w:t>
            </w:r>
            <w:r w:rsidR="007B141C">
              <w:rPr>
                <w:rFonts w:asciiTheme="minorHAnsi" w:hAnsiTheme="minorHAnsi"/>
                <w:i/>
                <w:sz w:val="20"/>
                <w:szCs w:val="20"/>
              </w:rPr>
              <w:t>;</w:t>
            </w:r>
            <w:r w:rsidRPr="002069BA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14:paraId="03A87F6D" w14:textId="77777777" w:rsidR="000D732E" w:rsidRPr="002069BA" w:rsidRDefault="007B141C" w:rsidP="00BF7250">
            <w:pPr>
              <w:pStyle w:val="ListBullet"/>
              <w:numPr>
                <w:ilvl w:val="0"/>
                <w:numId w:val="10"/>
              </w:numPr>
              <w:spacing w:after="0" w:line="240" w:lineRule="auto"/>
              <w:ind w:left="1003" w:hanging="35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Acknowledgement of Country;</w:t>
            </w:r>
          </w:p>
          <w:p w14:paraId="03A87F6E" w14:textId="77777777" w:rsidR="000D732E" w:rsidRPr="002069BA" w:rsidRDefault="007B141C" w:rsidP="00BF7250">
            <w:pPr>
              <w:pStyle w:val="ListBullet"/>
              <w:numPr>
                <w:ilvl w:val="0"/>
                <w:numId w:val="10"/>
              </w:numPr>
              <w:spacing w:after="0" w:line="240" w:lineRule="auto"/>
              <w:ind w:left="1003" w:hanging="35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Vision and guiding principles;</w:t>
            </w:r>
          </w:p>
          <w:p w14:paraId="03A87F6F" w14:textId="77777777" w:rsidR="000D732E" w:rsidRPr="002069BA" w:rsidRDefault="000D732E" w:rsidP="00BF7250">
            <w:pPr>
              <w:pStyle w:val="ListBullet"/>
              <w:numPr>
                <w:ilvl w:val="0"/>
                <w:numId w:val="10"/>
              </w:numPr>
              <w:spacing w:after="0" w:line="240" w:lineRule="auto"/>
              <w:ind w:left="1003" w:hanging="35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2069BA">
              <w:rPr>
                <w:rFonts w:asciiTheme="minorHAnsi" w:hAnsiTheme="minorHAnsi"/>
                <w:i/>
                <w:sz w:val="20"/>
                <w:szCs w:val="20"/>
              </w:rPr>
              <w:t>Indigenous land and s</w:t>
            </w:r>
            <w:r w:rsidR="007B141C">
              <w:rPr>
                <w:rFonts w:asciiTheme="minorHAnsi" w:hAnsiTheme="minorHAnsi"/>
                <w:i/>
                <w:sz w:val="20"/>
                <w:szCs w:val="20"/>
              </w:rPr>
              <w:t>ea management across the region;</w:t>
            </w:r>
          </w:p>
          <w:p w14:paraId="03A87F70" w14:textId="77777777" w:rsidR="000D732E" w:rsidRPr="002069BA" w:rsidRDefault="000D732E" w:rsidP="00BF7250">
            <w:pPr>
              <w:pStyle w:val="ListBullet"/>
              <w:numPr>
                <w:ilvl w:val="0"/>
                <w:numId w:val="10"/>
              </w:numPr>
              <w:spacing w:after="0" w:line="240" w:lineRule="auto"/>
              <w:ind w:left="1003" w:hanging="35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2069BA">
              <w:rPr>
                <w:rFonts w:asciiTheme="minorHAnsi" w:hAnsiTheme="minorHAnsi"/>
                <w:i/>
                <w:sz w:val="20"/>
                <w:szCs w:val="20"/>
              </w:rPr>
              <w:t>Key objectives, outcomes and activities</w:t>
            </w:r>
            <w:r w:rsidR="007B141C">
              <w:rPr>
                <w:rFonts w:asciiTheme="minorHAnsi" w:hAnsiTheme="minorHAnsi"/>
                <w:i/>
                <w:sz w:val="20"/>
                <w:szCs w:val="20"/>
              </w:rPr>
              <w:t>;</w:t>
            </w:r>
          </w:p>
          <w:p w14:paraId="03A87F71" w14:textId="77777777" w:rsidR="000D732E" w:rsidRPr="002069BA" w:rsidRDefault="007B141C" w:rsidP="00BF7250">
            <w:pPr>
              <w:pStyle w:val="ListBullet"/>
              <w:numPr>
                <w:ilvl w:val="0"/>
                <w:numId w:val="10"/>
              </w:numPr>
              <w:spacing w:after="0" w:line="240" w:lineRule="auto"/>
              <w:ind w:left="1003" w:hanging="35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Implementation of plan;</w:t>
            </w:r>
          </w:p>
          <w:p w14:paraId="03A87F72" w14:textId="77777777" w:rsidR="000D732E" w:rsidRPr="002069BA" w:rsidRDefault="007B141C" w:rsidP="00BF7250">
            <w:pPr>
              <w:pStyle w:val="ListBullet"/>
              <w:numPr>
                <w:ilvl w:val="0"/>
                <w:numId w:val="10"/>
              </w:numPr>
              <w:spacing w:after="0" w:line="240" w:lineRule="auto"/>
              <w:ind w:left="1003" w:hanging="35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Measures of success;</w:t>
            </w:r>
          </w:p>
          <w:p w14:paraId="03A87F73" w14:textId="77777777" w:rsidR="000D732E" w:rsidRPr="002069BA" w:rsidRDefault="007B141C" w:rsidP="00BF7250">
            <w:pPr>
              <w:pStyle w:val="ListBullet"/>
              <w:numPr>
                <w:ilvl w:val="0"/>
                <w:numId w:val="10"/>
              </w:numPr>
              <w:spacing w:after="0" w:line="240" w:lineRule="auto"/>
              <w:ind w:left="1003" w:hanging="35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Review and evaluation; and</w:t>
            </w:r>
          </w:p>
          <w:p w14:paraId="03A87F74" w14:textId="77777777" w:rsidR="000D732E" w:rsidRPr="009B77FE" w:rsidRDefault="000D732E" w:rsidP="00BF7250">
            <w:pPr>
              <w:pStyle w:val="ListBullet"/>
              <w:numPr>
                <w:ilvl w:val="0"/>
                <w:numId w:val="10"/>
              </w:numPr>
              <w:spacing w:after="60" w:line="240" w:lineRule="auto"/>
              <w:ind w:left="1003" w:hanging="35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069BA">
              <w:rPr>
                <w:rFonts w:asciiTheme="minorHAnsi" w:hAnsiTheme="minorHAnsi"/>
                <w:i/>
                <w:sz w:val="20"/>
                <w:szCs w:val="20"/>
              </w:rPr>
              <w:t>Reference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Pr="002069BA">
              <w:rPr>
                <w:rFonts w:asciiTheme="minorHAnsi" w:hAnsiTheme="minorHAnsi"/>
                <w:i/>
                <w:sz w:val="20"/>
                <w:szCs w:val="20"/>
              </w:rPr>
              <w:t xml:space="preserve"> for further information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</w:tr>
      <w:tr w:rsidR="00681E62" w14:paraId="03A87F78" w14:textId="77777777" w:rsidTr="00FB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  <w:shd w:val="clear" w:color="auto" w:fill="FDF69D"/>
          </w:tcPr>
          <w:p w14:paraId="03A87F76" w14:textId="77777777" w:rsidR="00681E62" w:rsidRPr="00BA7F82" w:rsidRDefault="00BA7F82" w:rsidP="00BA7F82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4.2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681E62" w:rsidRPr="00BA7F82">
              <w:rPr>
                <w:rFonts w:asciiTheme="minorHAnsi" w:hAnsiTheme="minorHAnsi"/>
                <w:b/>
                <w:i/>
                <w:sz w:val="24"/>
                <w:szCs w:val="24"/>
              </w:rPr>
              <w:t>The regional NRM organisation has an established process in place</w:t>
            </w:r>
            <w:r w:rsidR="00047BC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that allows the local community</w:t>
            </w:r>
            <w:r w:rsidR="00681E62" w:rsidRPr="00BA7F82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to participate in </w:t>
            </w:r>
            <w:r w:rsidR="00E05AE2" w:rsidRPr="00BA7F82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priority setting and/or </w:t>
            </w:r>
            <w:r w:rsidR="00681E62" w:rsidRPr="00BA7F82">
              <w:rPr>
                <w:rFonts w:asciiTheme="minorHAnsi" w:hAnsiTheme="minorHAnsi"/>
                <w:b/>
                <w:i/>
                <w:sz w:val="24"/>
                <w:szCs w:val="24"/>
              </w:rPr>
              <w:t>decision making</w:t>
            </w:r>
            <w:r w:rsidR="00E05AE2" w:rsidRPr="00BA7F82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  <w:p w14:paraId="03A87F77" w14:textId="77777777" w:rsidR="00681E62" w:rsidRPr="00CF77DE" w:rsidRDefault="007625A2" w:rsidP="0049431A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aims to demonstrate that the </w:t>
            </w:r>
            <w:r w:rsidR="00681E62">
              <w:rPr>
                <w:rFonts w:asciiTheme="minorHAnsi" w:hAnsiTheme="minorHAnsi"/>
                <w:sz w:val="20"/>
                <w:szCs w:val="20"/>
              </w:rPr>
              <w:t>regional NRM organisation involv</w:t>
            </w:r>
            <w:r>
              <w:rPr>
                <w:rFonts w:asciiTheme="minorHAnsi" w:hAnsiTheme="minorHAnsi"/>
                <w:sz w:val="20"/>
                <w:szCs w:val="20"/>
              </w:rPr>
              <w:t>es</w:t>
            </w:r>
            <w:r w:rsidR="00681E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A3E5D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047BCF">
              <w:rPr>
                <w:rFonts w:asciiTheme="minorHAnsi" w:hAnsiTheme="minorHAnsi"/>
                <w:sz w:val="20"/>
                <w:szCs w:val="20"/>
              </w:rPr>
              <w:t xml:space="preserve">local </w:t>
            </w:r>
            <w:r w:rsidR="00681E62">
              <w:rPr>
                <w:rFonts w:asciiTheme="minorHAnsi" w:hAnsiTheme="minorHAnsi"/>
                <w:sz w:val="20"/>
                <w:szCs w:val="20"/>
              </w:rPr>
              <w:t>community in decision making and priority setting.</w:t>
            </w:r>
          </w:p>
        </w:tc>
      </w:tr>
      <w:tr w:rsidR="00BA7F82" w14:paraId="03A87F7C" w14:textId="77777777" w:rsidTr="006C5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0"/>
        </w:trPr>
        <w:tc>
          <w:tcPr>
            <w:tcW w:w="9889" w:type="dxa"/>
            <w:tcBorders>
              <w:bottom w:val="single" w:sz="4" w:space="0" w:color="auto"/>
            </w:tcBorders>
          </w:tcPr>
          <w:p w14:paraId="03A87F79" w14:textId="77777777" w:rsidR="00BA7F82" w:rsidRDefault="00F0060C" w:rsidP="008E21E3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F7A" w14:textId="77777777" w:rsidR="00BA7F82" w:rsidRDefault="00BA7F82" w:rsidP="00814FE8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Evidence of mechanisms that promote and facilitate ongoing </w:t>
            </w:r>
            <w:r w:rsidR="00047BCF">
              <w:rPr>
                <w:rFonts w:asciiTheme="minorHAnsi" w:hAnsiTheme="minorHAnsi"/>
                <w:sz w:val="20"/>
                <w:szCs w:val="20"/>
              </w:rPr>
              <w:t xml:space="preserve">local </w:t>
            </w:r>
            <w:r>
              <w:rPr>
                <w:rFonts w:asciiTheme="minorHAnsi" w:hAnsiTheme="minorHAnsi"/>
                <w:sz w:val="20"/>
                <w:szCs w:val="20"/>
              </w:rPr>
              <w:t>community participation in regional NRM planning and decision making.</w:t>
            </w:r>
          </w:p>
          <w:p w14:paraId="03A87F7B" w14:textId="77777777" w:rsidR="00BA7F82" w:rsidRPr="009B77FE" w:rsidRDefault="00BA7F82" w:rsidP="00A473B7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236D95">
              <w:rPr>
                <w:rFonts w:asciiTheme="minorHAnsi" w:hAnsiTheme="minorHAnsi"/>
                <w:sz w:val="20"/>
                <w:szCs w:val="20"/>
              </w:rPr>
              <w:t xml:space="preserve">vidence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</w:t>
            </w:r>
            <w:r w:rsidR="00047BCF">
              <w:rPr>
                <w:rFonts w:asciiTheme="minorHAnsi" w:hAnsiTheme="minorHAnsi"/>
                <w:sz w:val="20"/>
                <w:szCs w:val="20"/>
              </w:rPr>
              <w:t xml:space="preserve">local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community involvement in the </w:t>
            </w:r>
            <w:r w:rsidRPr="00236D95">
              <w:rPr>
                <w:rFonts w:asciiTheme="minorHAnsi" w:hAnsiTheme="minorHAnsi"/>
                <w:sz w:val="20"/>
                <w:szCs w:val="20"/>
              </w:rPr>
              <w:t xml:space="preserve">development </w:t>
            </w:r>
            <w:r w:rsidR="00A473B7">
              <w:rPr>
                <w:rFonts w:asciiTheme="minorHAnsi" w:hAnsiTheme="minorHAnsi"/>
                <w:sz w:val="20"/>
                <w:szCs w:val="20"/>
              </w:rPr>
              <w:t xml:space="preserve">and implementation </w:t>
            </w:r>
            <w:r w:rsidRPr="00236D95">
              <w:rPr>
                <w:rFonts w:asciiTheme="minorHAnsi" w:hAnsiTheme="minorHAnsi"/>
                <w:sz w:val="20"/>
                <w:szCs w:val="20"/>
              </w:rPr>
              <w:t xml:space="preserve">of regional NRM </w:t>
            </w:r>
            <w:r>
              <w:rPr>
                <w:rFonts w:asciiTheme="minorHAnsi" w:hAnsiTheme="minorHAnsi"/>
                <w:sz w:val="20"/>
                <w:szCs w:val="20"/>
              </w:rPr>
              <w:t>priorities</w:t>
            </w:r>
            <w:r w:rsidR="00A473B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14:paraId="03A87F7D" w14:textId="77777777" w:rsidR="007831B2" w:rsidRDefault="007831B2"/>
    <w:p w14:paraId="03A87F7E" w14:textId="77777777" w:rsidR="007831B2" w:rsidRDefault="007831B2">
      <w:pPr>
        <w:spacing w:after="0" w:line="240" w:lineRule="auto"/>
      </w:pPr>
      <w:r>
        <w:br w:type="page"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81E62" w14:paraId="03A87F81" w14:textId="77777777" w:rsidTr="00FB3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shd w:val="clear" w:color="auto" w:fill="FDF69D"/>
          </w:tcPr>
          <w:p w14:paraId="03A87F7F" w14:textId="77777777" w:rsidR="00681E62" w:rsidRPr="00BA7F82" w:rsidRDefault="00BA7F82" w:rsidP="00BA7F82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lastRenderedPageBreak/>
              <w:t>4.3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681E62" w:rsidRPr="00BA7F82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regional NRM organisation </w:t>
            </w:r>
            <w:r w:rsidR="00B42ED3" w:rsidRPr="00BA7F82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is </w:t>
            </w:r>
            <w:r w:rsidR="00D57BC9" w:rsidRPr="00BA7F82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actively </w:t>
            </w:r>
            <w:r w:rsidR="00681E62" w:rsidRPr="00BA7F82">
              <w:rPr>
                <w:rFonts w:asciiTheme="minorHAnsi" w:hAnsiTheme="minorHAnsi"/>
                <w:b/>
                <w:i/>
                <w:sz w:val="24"/>
                <w:szCs w:val="24"/>
              </w:rPr>
              <w:t>build</w:t>
            </w:r>
            <w:r w:rsidR="00B42ED3" w:rsidRPr="00BA7F82">
              <w:rPr>
                <w:rFonts w:asciiTheme="minorHAnsi" w:hAnsiTheme="minorHAnsi"/>
                <w:b/>
                <w:i/>
                <w:sz w:val="24"/>
                <w:szCs w:val="24"/>
              </w:rPr>
              <w:t>ing</w:t>
            </w:r>
            <w:r w:rsidR="00681E62" w:rsidRPr="00BA7F82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the capacity of the local community to participate in NRM through funding support for training, on ground projects and related activities. </w:t>
            </w:r>
          </w:p>
          <w:p w14:paraId="03A87F80" w14:textId="77777777" w:rsidR="00681E62" w:rsidRPr="00CF77DE" w:rsidRDefault="00681E62" w:rsidP="0049431A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</w:t>
            </w:r>
            <w:r w:rsidR="00D57BC9">
              <w:rPr>
                <w:rFonts w:asciiTheme="minorHAnsi" w:hAnsiTheme="minorHAnsi"/>
                <w:sz w:val="20"/>
                <w:szCs w:val="20"/>
              </w:rPr>
              <w:t xml:space="preserve">aims to demonstrate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that </w:t>
            </w:r>
            <w:r w:rsidR="00D57BC9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regional NRM organisation is actively supporting </w:t>
            </w:r>
            <w:r w:rsidR="00D57BC9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5F51AB">
              <w:rPr>
                <w:rFonts w:asciiTheme="minorHAnsi" w:hAnsiTheme="minorHAnsi"/>
                <w:sz w:val="20"/>
                <w:szCs w:val="20"/>
              </w:rPr>
              <w:t xml:space="preserve">local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community to participate in NRM. </w:t>
            </w:r>
          </w:p>
        </w:tc>
      </w:tr>
      <w:tr w:rsidR="006B749B" w14:paraId="03A87F88" w14:textId="77777777" w:rsidTr="008B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9"/>
        </w:trPr>
        <w:tc>
          <w:tcPr>
            <w:tcW w:w="9889" w:type="dxa"/>
          </w:tcPr>
          <w:p w14:paraId="03A87F82" w14:textId="77777777" w:rsidR="006B749B" w:rsidRDefault="00F0060C" w:rsidP="006B749B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F83" w14:textId="77777777" w:rsidR="006B749B" w:rsidRDefault="006B749B" w:rsidP="00D845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Evidence of </w:t>
            </w:r>
            <w:r w:rsidR="00721DA6">
              <w:rPr>
                <w:rFonts w:asciiTheme="minorHAnsi" w:hAnsiTheme="minorHAnsi"/>
                <w:sz w:val="20"/>
                <w:szCs w:val="20"/>
              </w:rPr>
              <w:t xml:space="preserve">initiatives or mechanisms that support the </w:t>
            </w:r>
            <w:r w:rsidR="005F51AB">
              <w:rPr>
                <w:rFonts w:asciiTheme="minorHAnsi" w:hAnsiTheme="minorHAnsi"/>
                <w:sz w:val="20"/>
                <w:szCs w:val="20"/>
              </w:rPr>
              <w:t xml:space="preserve">local </w:t>
            </w:r>
            <w:r>
              <w:rPr>
                <w:rFonts w:asciiTheme="minorHAnsi" w:hAnsiTheme="minorHAnsi"/>
                <w:sz w:val="20"/>
                <w:szCs w:val="20"/>
              </w:rPr>
              <w:t>community to implement projects addressing local priorities and evidence of the funded activities.</w:t>
            </w:r>
            <w:r w:rsidR="00EB358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3A87F84" w14:textId="77777777" w:rsidR="006B749B" w:rsidRDefault="006B749B" w:rsidP="00D8458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B538C">
              <w:rPr>
                <w:rFonts w:asciiTheme="minorHAnsi" w:hAnsiTheme="minorHAnsi"/>
                <w:sz w:val="20"/>
                <w:szCs w:val="20"/>
              </w:rPr>
              <w:t xml:space="preserve">Evidence </w:t>
            </w:r>
            <w:r w:rsidR="00721DA6">
              <w:rPr>
                <w:rFonts w:asciiTheme="minorHAnsi" w:hAnsiTheme="minorHAnsi"/>
                <w:sz w:val="20"/>
                <w:szCs w:val="20"/>
              </w:rPr>
              <w:t xml:space="preserve">of initiatives or mechanisms that support </w:t>
            </w:r>
            <w:r w:rsidR="005F51AB">
              <w:rPr>
                <w:rFonts w:asciiTheme="minorHAnsi" w:hAnsiTheme="minorHAnsi"/>
                <w:sz w:val="20"/>
                <w:szCs w:val="20"/>
              </w:rPr>
              <w:t xml:space="preserve">local </w:t>
            </w:r>
            <w:r w:rsidRPr="00CB538C">
              <w:rPr>
                <w:rFonts w:asciiTheme="minorHAnsi" w:hAnsiTheme="minorHAnsi"/>
                <w:sz w:val="20"/>
                <w:szCs w:val="20"/>
              </w:rPr>
              <w:t xml:space="preserve">community </w:t>
            </w:r>
            <w:r w:rsidR="00471422">
              <w:rPr>
                <w:rFonts w:asciiTheme="minorHAnsi" w:hAnsiTheme="minorHAnsi"/>
                <w:sz w:val="20"/>
                <w:szCs w:val="20"/>
              </w:rPr>
              <w:t>participation</w:t>
            </w:r>
            <w:r w:rsidRPr="00CB538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21DA6">
              <w:rPr>
                <w:rFonts w:asciiTheme="minorHAnsi" w:hAnsiTheme="minorHAnsi"/>
                <w:sz w:val="20"/>
                <w:szCs w:val="20"/>
              </w:rPr>
              <w:t xml:space="preserve">in </w:t>
            </w:r>
            <w:r w:rsidRPr="00CB538C">
              <w:rPr>
                <w:rFonts w:asciiTheme="minorHAnsi" w:hAnsiTheme="minorHAnsi"/>
                <w:sz w:val="20"/>
                <w:szCs w:val="20"/>
              </w:rPr>
              <w:t xml:space="preserve">activities </w:t>
            </w:r>
            <w:r w:rsidR="005F51AB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CB538C">
              <w:rPr>
                <w:rFonts w:asciiTheme="minorHAnsi" w:hAnsiTheme="minorHAnsi"/>
                <w:sz w:val="20"/>
                <w:szCs w:val="20"/>
              </w:rPr>
              <w:t>training including, for example WHS; and evidence of the funded activities.</w:t>
            </w:r>
          </w:p>
          <w:p w14:paraId="03A87F85" w14:textId="77777777" w:rsidR="006B749B" w:rsidRPr="009B77FE" w:rsidRDefault="00761CE1" w:rsidP="00DB5CEB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6B749B">
              <w:rPr>
                <w:rFonts w:asciiTheme="minorHAnsi" w:hAnsiTheme="minorHAnsi"/>
                <w:sz w:val="20"/>
                <w:szCs w:val="20"/>
              </w:rPr>
              <w:t xml:space="preserve"> demonstrable increase in </w:t>
            </w:r>
            <w:r w:rsidR="005F51AB">
              <w:rPr>
                <w:rFonts w:asciiTheme="minorHAnsi" w:hAnsiTheme="minorHAnsi"/>
                <w:sz w:val="20"/>
                <w:szCs w:val="20"/>
              </w:rPr>
              <w:t xml:space="preserve">local </w:t>
            </w:r>
            <w:r w:rsidR="006B749B">
              <w:rPr>
                <w:rFonts w:asciiTheme="minorHAnsi" w:hAnsiTheme="minorHAnsi"/>
                <w:sz w:val="20"/>
                <w:szCs w:val="20"/>
              </w:rPr>
              <w:t>community capacity and participation in NRM.</w:t>
            </w:r>
          </w:p>
          <w:p w14:paraId="03A87F86" w14:textId="77777777" w:rsidR="006B749B" w:rsidRPr="009B77FE" w:rsidRDefault="006B749B" w:rsidP="006B749B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Evidence of </w:t>
            </w:r>
            <w:r w:rsidR="005F51AB">
              <w:rPr>
                <w:rFonts w:asciiTheme="minorHAnsi" w:hAnsiTheme="minorHAnsi"/>
                <w:sz w:val="20"/>
                <w:szCs w:val="20"/>
              </w:rPr>
              <w:t xml:space="preserve">local </w:t>
            </w:r>
            <w:r>
              <w:rPr>
                <w:rFonts w:asciiTheme="minorHAnsi" w:hAnsiTheme="minorHAnsi"/>
                <w:sz w:val="20"/>
                <w:szCs w:val="20"/>
              </w:rPr>
              <w:t>community engagement and participation tools</w:t>
            </w:r>
            <w:r w:rsidR="0047142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3A87F87" w14:textId="77777777" w:rsidR="006B749B" w:rsidRPr="009B77FE" w:rsidRDefault="006B749B" w:rsidP="006B749B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Evidence of </w:t>
            </w:r>
            <w:r w:rsidR="005F51AB">
              <w:rPr>
                <w:rFonts w:asciiTheme="minorHAnsi" w:hAnsiTheme="minorHAnsi"/>
                <w:sz w:val="20"/>
                <w:szCs w:val="20"/>
              </w:rPr>
              <w:t xml:space="preserve">local </w:t>
            </w:r>
            <w:r>
              <w:rPr>
                <w:rFonts w:asciiTheme="minorHAnsi" w:hAnsiTheme="minorHAnsi"/>
                <w:sz w:val="20"/>
                <w:szCs w:val="20"/>
              </w:rPr>
              <w:t>community partnerships and cooperative arrangements.</w:t>
            </w:r>
          </w:p>
        </w:tc>
      </w:tr>
      <w:tr w:rsidR="00681E62" w14:paraId="03A87F8B" w14:textId="77777777" w:rsidTr="00FB31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89" w:type="dxa"/>
            <w:shd w:val="clear" w:color="auto" w:fill="FDF69D"/>
          </w:tcPr>
          <w:p w14:paraId="03A87F89" w14:textId="77777777" w:rsidR="00681E62" w:rsidRPr="006B749B" w:rsidRDefault="006B749B" w:rsidP="006B749B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4.4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681E62" w:rsidRPr="006B749B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regional NRM organisation </w:t>
            </w:r>
            <w:r w:rsidR="00B42ED3" w:rsidRPr="006B749B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is </w:t>
            </w:r>
            <w:r w:rsidR="00770930" w:rsidRPr="006B749B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actively </w:t>
            </w:r>
            <w:r w:rsidR="008B3A19" w:rsidRPr="006B749B">
              <w:rPr>
                <w:rFonts w:asciiTheme="minorHAnsi" w:hAnsiTheme="minorHAnsi"/>
                <w:b/>
                <w:i/>
                <w:sz w:val="24"/>
                <w:szCs w:val="24"/>
              </w:rPr>
              <w:t>support</w:t>
            </w:r>
            <w:r w:rsidR="00B42ED3" w:rsidRPr="006B749B">
              <w:rPr>
                <w:rFonts w:asciiTheme="minorHAnsi" w:hAnsiTheme="minorHAnsi"/>
                <w:b/>
                <w:i/>
                <w:sz w:val="24"/>
                <w:szCs w:val="24"/>
              </w:rPr>
              <w:t>ing</w:t>
            </w:r>
            <w:r w:rsidR="00681E62" w:rsidRPr="006B749B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increase</w:t>
            </w:r>
            <w:r w:rsidR="00770930" w:rsidRPr="006B749B">
              <w:rPr>
                <w:rFonts w:asciiTheme="minorHAnsi" w:hAnsiTheme="minorHAnsi"/>
                <w:b/>
                <w:i/>
                <w:sz w:val="24"/>
                <w:szCs w:val="24"/>
              </w:rPr>
              <w:t>d</w:t>
            </w:r>
            <w:r w:rsidR="00681E62" w:rsidRPr="006B749B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participation of Indigenous people in the planning and delivery of NRM projects</w:t>
            </w:r>
            <w:r w:rsidR="00A31185" w:rsidRPr="006B749B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and investment.</w:t>
            </w:r>
            <w:r w:rsidR="005F17CA">
              <w:rPr>
                <w:rFonts w:asciiTheme="minorHAnsi" w:hAnsiTheme="minorHAnsi"/>
                <w:b/>
                <w:i/>
                <w:sz w:val="24"/>
                <w:szCs w:val="24"/>
              </w:rPr>
              <w:t>*</w:t>
            </w:r>
          </w:p>
          <w:p w14:paraId="03A87F8A" w14:textId="77777777" w:rsidR="00681E62" w:rsidRPr="0055455D" w:rsidRDefault="00681E62" w:rsidP="008B3A19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</w:t>
            </w:r>
            <w:r w:rsidR="00770930">
              <w:rPr>
                <w:rFonts w:asciiTheme="minorHAnsi" w:hAnsiTheme="minorHAnsi"/>
                <w:sz w:val="20"/>
                <w:szCs w:val="20"/>
              </w:rPr>
              <w:t xml:space="preserve">aims to demonstrate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that a regional NRM organisation is actively </w:t>
            </w:r>
            <w:r w:rsidR="008B3A19">
              <w:rPr>
                <w:rFonts w:asciiTheme="minorHAnsi" w:hAnsiTheme="minorHAnsi"/>
                <w:sz w:val="20"/>
                <w:szCs w:val="20"/>
              </w:rPr>
              <w:t>increasing the number of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Indigenous people participat</w:t>
            </w:r>
            <w:r w:rsidR="008B3A19">
              <w:rPr>
                <w:rFonts w:asciiTheme="minorHAnsi" w:hAnsiTheme="minorHAnsi"/>
                <w:sz w:val="20"/>
                <w:szCs w:val="20"/>
              </w:rPr>
              <w:t>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 </w:t>
            </w:r>
            <w:r w:rsidR="00A31185">
              <w:rPr>
                <w:rFonts w:asciiTheme="minorHAnsi" w:hAnsiTheme="minorHAnsi"/>
                <w:sz w:val="20"/>
                <w:szCs w:val="20"/>
              </w:rPr>
              <w:t>the planning and delivery of NRM projects and investment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</w:tr>
      <w:tr w:rsidR="006B749B" w14:paraId="03A87F91" w14:textId="77777777" w:rsidTr="00EB3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5"/>
        </w:trPr>
        <w:tc>
          <w:tcPr>
            <w:tcW w:w="9889" w:type="dxa"/>
          </w:tcPr>
          <w:p w14:paraId="03A87F8C" w14:textId="77777777" w:rsidR="006B749B" w:rsidRDefault="00F0060C" w:rsidP="006B749B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F8D" w14:textId="77777777" w:rsidR="00814FE8" w:rsidRDefault="006B749B" w:rsidP="00EB3587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Evidence of initiatives to support increased participation of Indigenous people in NRM planning and delivery and evidence of funded activities.</w:t>
            </w:r>
            <w:r w:rsidR="00EB358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3A87F8E" w14:textId="77777777" w:rsidR="006B749B" w:rsidRPr="009B77FE" w:rsidRDefault="006B749B" w:rsidP="006B749B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Evidence of mechanisms that support increased participation of Indigenous people in the planning and delivery of NRM projects and investment.</w:t>
            </w:r>
          </w:p>
          <w:p w14:paraId="03A87F8F" w14:textId="77777777" w:rsidR="006B749B" w:rsidRDefault="00761CE1" w:rsidP="006B749B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6B749B">
              <w:rPr>
                <w:rFonts w:asciiTheme="minorHAnsi" w:hAnsiTheme="minorHAnsi"/>
                <w:sz w:val="20"/>
                <w:szCs w:val="20"/>
              </w:rPr>
              <w:t xml:space="preserve"> demonstrable increase in the participation of Indigenous people in the planning and delivery of NRM projects and investment.</w:t>
            </w:r>
          </w:p>
          <w:p w14:paraId="03A87F90" w14:textId="77777777" w:rsidR="00B22F47" w:rsidRPr="00CF7CB1" w:rsidRDefault="007F5BFB" w:rsidP="00BF1A92">
            <w:pPr>
              <w:spacing w:before="60" w:after="60" w:line="240" w:lineRule="auto"/>
              <w:ind w:left="142" w:hanging="142"/>
              <w:rPr>
                <w:rFonts w:asciiTheme="minorHAnsi" w:hAnsiTheme="minorHAnsi"/>
                <w:i/>
                <w:sz w:val="20"/>
                <w:szCs w:val="20"/>
              </w:rPr>
            </w:pPr>
            <w:r w:rsidRPr="007F5BFB">
              <w:rPr>
                <w:rFonts w:asciiTheme="minorHAnsi" w:hAnsiTheme="minorHAnsi"/>
                <w:sz w:val="24"/>
                <w:szCs w:val="24"/>
              </w:rPr>
              <w:t>*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7F5BFB">
              <w:rPr>
                <w:rFonts w:asciiTheme="minorHAnsi" w:hAnsiTheme="minorHAnsi"/>
                <w:sz w:val="20"/>
                <w:szCs w:val="20"/>
              </w:rPr>
              <w:t xml:space="preserve">As of 2018, the following will be included as a part of this expected practice - </w:t>
            </w:r>
            <w:r w:rsidR="00BF1A92">
              <w:rPr>
                <w:rFonts w:asciiTheme="minorHAnsi" w:hAnsiTheme="minorHAnsi"/>
                <w:sz w:val="20"/>
                <w:szCs w:val="20"/>
              </w:rPr>
              <w:t>a</w:t>
            </w:r>
            <w:r w:rsidR="00B22F47" w:rsidRPr="007F5BFB">
              <w:rPr>
                <w:rFonts w:asciiTheme="minorHAnsi" w:hAnsiTheme="minorHAnsi"/>
                <w:sz w:val="20"/>
                <w:szCs w:val="20"/>
              </w:rPr>
              <w:t xml:space="preserve"> Reconciliation Action Plan is in place</w:t>
            </w:r>
            <w:r w:rsidRPr="007F5BFB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B22F47" w:rsidRPr="0003060A">
              <w:rPr>
                <w:rFonts w:asciiTheme="minorHAnsi" w:hAnsiTheme="minorHAnsi"/>
                <w:sz w:val="20"/>
                <w:szCs w:val="20"/>
              </w:rPr>
              <w:t xml:space="preserve"> preferential procurem</w:t>
            </w:r>
            <w:r w:rsidR="00B22F47">
              <w:rPr>
                <w:rFonts w:asciiTheme="minorHAnsi" w:hAnsiTheme="minorHAnsi"/>
                <w:sz w:val="20"/>
                <w:szCs w:val="20"/>
              </w:rPr>
              <w:t>ent policy/strategy is in place to support local Indigenou</w:t>
            </w:r>
            <w:r>
              <w:rPr>
                <w:rFonts w:asciiTheme="minorHAnsi" w:hAnsiTheme="minorHAnsi"/>
                <w:sz w:val="20"/>
                <w:szCs w:val="20"/>
              </w:rPr>
              <w:t>s businesses; and a</w:t>
            </w:r>
            <w:r w:rsidR="00B22F47" w:rsidRPr="0003060A">
              <w:rPr>
                <w:rFonts w:asciiTheme="minorHAnsi" w:hAnsiTheme="minorHAnsi"/>
                <w:sz w:val="20"/>
                <w:szCs w:val="20"/>
              </w:rPr>
              <w:t>n Indigenous advisory group or similar</w:t>
            </w:r>
            <w:r w:rsidR="00B22F47">
              <w:rPr>
                <w:rFonts w:asciiTheme="minorHAnsi" w:hAnsiTheme="minorHAnsi"/>
                <w:sz w:val="20"/>
                <w:szCs w:val="20"/>
              </w:rPr>
              <w:t xml:space="preserve"> that provides advice to the Board</w:t>
            </w:r>
            <w:r w:rsidR="00B22F47" w:rsidRPr="0003060A">
              <w:rPr>
                <w:rFonts w:asciiTheme="minorHAnsi" w:hAnsiTheme="minorHAnsi"/>
                <w:sz w:val="20"/>
                <w:szCs w:val="20"/>
              </w:rPr>
              <w:t xml:space="preserve"> is in place</w:t>
            </w:r>
            <w:r w:rsidR="00B22F47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</w:tr>
      <w:tr w:rsidR="00821A67" w:rsidRPr="003D4D41" w14:paraId="03A87F93" w14:textId="77777777" w:rsidTr="00821A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89" w:type="dxa"/>
            <w:shd w:val="clear" w:color="auto" w:fill="FCF33E"/>
          </w:tcPr>
          <w:p w14:paraId="03A87F92" w14:textId="77777777" w:rsidR="00821A67" w:rsidRPr="004C4134" w:rsidRDefault="00821A67" w:rsidP="00685B1A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Additional</w:t>
            </w:r>
            <w:r w:rsidRPr="0076155E">
              <w:rPr>
                <w:b/>
              </w:rPr>
              <w:t xml:space="preserve"> practices</w:t>
            </w:r>
          </w:p>
        </w:tc>
      </w:tr>
      <w:tr w:rsidR="00771FC1" w:rsidRPr="003D4D41" w14:paraId="03A87F96" w14:textId="77777777" w:rsidTr="00780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  <w:shd w:val="clear" w:color="auto" w:fill="FDF69D"/>
          </w:tcPr>
          <w:p w14:paraId="03A87F94" w14:textId="0141E71E" w:rsidR="00771FC1" w:rsidRDefault="00771FC1" w:rsidP="00C348F3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4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5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Pr="00E676EF">
              <w:rPr>
                <w:rFonts w:asciiTheme="minorHAnsi" w:hAnsiTheme="minorHAnsi"/>
                <w:b/>
                <w:i/>
                <w:sz w:val="24"/>
                <w:szCs w:val="24"/>
              </w:rPr>
              <w:t>The regional NRM organisation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="00FE44AB">
              <w:rPr>
                <w:rFonts w:asciiTheme="minorHAnsi" w:hAnsiTheme="minorHAnsi"/>
                <w:b/>
                <w:i/>
                <w:sz w:val="24"/>
                <w:szCs w:val="24"/>
              </w:rPr>
              <w:t>also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has </w:t>
            </w:r>
            <w:r w:rsidR="001A586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following 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>additional practices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="00FE44AB" w:rsidRPr="00976996">
              <w:rPr>
                <w:rFonts w:asciiTheme="minorHAnsi" w:hAnsiTheme="minorHAnsi"/>
                <w:i/>
                <w:sz w:val="24"/>
                <w:szCs w:val="24"/>
              </w:rPr>
              <w:t>(please list)</w:t>
            </w:r>
          </w:p>
          <w:p w14:paraId="03A87F95" w14:textId="77777777" w:rsidR="00771FC1" w:rsidRPr="00B5555C" w:rsidRDefault="00771FC1" w:rsidP="00C348F3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A508D">
              <w:rPr>
                <w:rFonts w:asciiTheme="minorHAnsi" w:hAnsiTheme="minorHAnsi"/>
                <w:sz w:val="20"/>
                <w:szCs w:val="20"/>
              </w:rPr>
              <w:t xml:space="preserve">Any additional practices should include a clear description of the practice and how it is of benefit to the organisation </w:t>
            </w:r>
            <w:r w:rsidRPr="00BA508D">
              <w:rPr>
                <w:rFonts w:asciiTheme="minorHAnsi" w:hAnsiTheme="minorHAnsi"/>
                <w:sz w:val="20"/>
                <w:szCs w:val="20"/>
                <w:u w:val="single"/>
              </w:rPr>
              <w:t>and</w:t>
            </w:r>
            <w:r w:rsidRPr="00BA508D">
              <w:rPr>
                <w:rFonts w:asciiTheme="minorHAnsi" w:hAnsiTheme="minorHAnsi"/>
                <w:sz w:val="20"/>
                <w:szCs w:val="20"/>
              </w:rPr>
              <w:t xml:space="preserve"> the Australian Government</w:t>
            </w:r>
          </w:p>
        </w:tc>
      </w:tr>
      <w:tr w:rsidR="00B26E4B" w14:paraId="03A87F99" w14:textId="77777777" w:rsidTr="00B26E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9889" w:type="dxa"/>
          </w:tcPr>
          <w:p w14:paraId="03A87F97" w14:textId="77777777" w:rsidR="00B26E4B" w:rsidRDefault="00B26E4B" w:rsidP="00425CD1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practices may include but not be limited to:</w:t>
            </w:r>
          </w:p>
          <w:p w14:paraId="03A87F98" w14:textId="3672AD85" w:rsidR="00B26E4B" w:rsidRPr="00E575A6" w:rsidRDefault="00B26E4B" w:rsidP="00425CD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Compliance with industry accepted standards that are over and above </w:t>
            </w:r>
            <w:r w:rsidRPr="00D97FB2">
              <w:rPr>
                <w:rFonts w:asciiTheme="minorHAnsi" w:hAnsiTheme="minorHAnsi"/>
                <w:sz w:val="20"/>
                <w:szCs w:val="20"/>
              </w:rPr>
              <w:t>statutory/incorporation, legal and financial obligations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FE44AB">
              <w:rPr>
                <w:rFonts w:asciiTheme="minorHAnsi" w:hAnsiTheme="minorHAnsi"/>
                <w:sz w:val="20"/>
                <w:szCs w:val="20"/>
              </w:rPr>
              <w:t xml:space="preserve"> Any additional practice should not be one that could be considered as ‘business as usual’.</w:t>
            </w:r>
            <w:r w:rsidR="007F50B8">
              <w:rPr>
                <w:rFonts w:asciiTheme="minorHAnsi" w:hAnsiTheme="minorHAnsi"/>
                <w:sz w:val="20"/>
                <w:szCs w:val="20"/>
              </w:rPr>
              <w:t xml:space="preserve"> For regional NRM organisations that are Statutory Authorities, responding to state legislative requirements and obligations is considered business as usual.</w:t>
            </w:r>
          </w:p>
        </w:tc>
      </w:tr>
    </w:tbl>
    <w:p w14:paraId="03A87F9A" w14:textId="77777777" w:rsidR="005869B9" w:rsidRDefault="005869B9" w:rsidP="00E13F43">
      <w:pPr>
        <w:spacing w:after="0" w:line="240" w:lineRule="auto"/>
        <w:rPr>
          <w:sz w:val="20"/>
          <w:szCs w:val="20"/>
        </w:rPr>
      </w:pPr>
    </w:p>
    <w:p w14:paraId="03A87F9B" w14:textId="77777777" w:rsidR="00681E62" w:rsidRPr="00F61C54" w:rsidRDefault="005869B9" w:rsidP="00E13F4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81E62" w14:paraId="03A87F9E" w14:textId="77777777" w:rsidTr="004C3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shd w:val="clear" w:color="auto" w:fill="FB927D"/>
          </w:tcPr>
          <w:p w14:paraId="03A87F9C" w14:textId="77777777" w:rsidR="00DD09B8" w:rsidRDefault="00DD09B8" w:rsidP="0027420F">
            <w:pPr>
              <w:spacing w:before="120" w:after="120" w:line="240" w:lineRule="auto"/>
              <w:rPr>
                <w:b/>
              </w:rPr>
            </w:pPr>
            <w:r w:rsidRPr="00DD09B8">
              <w:rPr>
                <w:b/>
              </w:rPr>
              <w:lastRenderedPageBreak/>
              <w:t>Australian Government NRM Delivery</w:t>
            </w:r>
          </w:p>
          <w:p w14:paraId="03A87F9D" w14:textId="77777777" w:rsidR="00681E62" w:rsidRPr="00793DC6" w:rsidRDefault="00681E62" w:rsidP="001D5AA6">
            <w:pPr>
              <w:spacing w:before="120" w:after="120" w:line="240" w:lineRule="auto"/>
              <w:rPr>
                <w:b/>
              </w:rPr>
            </w:pPr>
            <w:r w:rsidRPr="0076155E">
              <w:rPr>
                <w:b/>
              </w:rPr>
              <w:t xml:space="preserve">Performance Expectation </w:t>
            </w:r>
            <w:r w:rsidR="00E13F43">
              <w:rPr>
                <w:b/>
              </w:rPr>
              <w:t xml:space="preserve">5 </w:t>
            </w:r>
            <w:r w:rsidRPr="0076155E">
              <w:rPr>
                <w:b/>
              </w:rPr>
              <w:t xml:space="preserve">– </w:t>
            </w:r>
            <w:r w:rsidRPr="004F469F">
              <w:rPr>
                <w:b/>
              </w:rPr>
              <w:t>Monitoring</w:t>
            </w:r>
            <w:r w:rsidR="00C309AC">
              <w:rPr>
                <w:b/>
              </w:rPr>
              <w:t>, Evaluation,</w:t>
            </w:r>
            <w:r w:rsidRPr="004F469F">
              <w:rPr>
                <w:b/>
              </w:rPr>
              <w:t xml:space="preserve"> Reporting </w:t>
            </w:r>
            <w:r w:rsidR="00C309AC">
              <w:rPr>
                <w:b/>
              </w:rPr>
              <w:t>and Improvement</w:t>
            </w:r>
          </w:p>
        </w:tc>
      </w:tr>
      <w:tr w:rsidR="00681E62" w14:paraId="03A87FA0" w14:textId="77777777" w:rsidTr="005A2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</w:tcPr>
          <w:p w14:paraId="03A87F9F" w14:textId="77777777" w:rsidR="00681E62" w:rsidRPr="00685B1A" w:rsidRDefault="00500DF1" w:rsidP="00685B1A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685B1A">
              <w:rPr>
                <w:rFonts w:asciiTheme="minorHAnsi" w:hAnsiTheme="minorHAnsi"/>
                <w:i/>
                <w:sz w:val="20"/>
                <w:szCs w:val="20"/>
              </w:rPr>
              <w:t xml:space="preserve">The Australian Government is committed to accountability and demonstrating that its </w:t>
            </w:r>
            <w:r w:rsidR="006C5CD1" w:rsidRPr="00685B1A">
              <w:rPr>
                <w:rFonts w:asciiTheme="minorHAnsi" w:hAnsiTheme="minorHAnsi"/>
                <w:i/>
                <w:sz w:val="20"/>
                <w:szCs w:val="20"/>
              </w:rPr>
              <w:t>NRM</w:t>
            </w:r>
            <w:r w:rsidRPr="00685B1A">
              <w:rPr>
                <w:rFonts w:asciiTheme="minorHAnsi" w:hAnsiTheme="minorHAnsi"/>
                <w:i/>
                <w:sz w:val="20"/>
                <w:szCs w:val="20"/>
              </w:rPr>
              <w:t xml:space="preserve"> investments achieve desired </w:t>
            </w:r>
            <w:r w:rsidR="006C5CD1" w:rsidRPr="00685B1A">
              <w:rPr>
                <w:rFonts w:asciiTheme="minorHAnsi" w:hAnsiTheme="minorHAnsi"/>
                <w:i/>
                <w:sz w:val="20"/>
                <w:szCs w:val="20"/>
              </w:rPr>
              <w:t>NRM</w:t>
            </w:r>
            <w:r w:rsidR="00853778" w:rsidRPr="00685B1A">
              <w:rPr>
                <w:rFonts w:asciiTheme="minorHAnsi" w:hAnsiTheme="minorHAnsi"/>
                <w:i/>
                <w:sz w:val="20"/>
                <w:szCs w:val="20"/>
              </w:rPr>
              <w:t xml:space="preserve"> outcomes</w:t>
            </w:r>
            <w:r w:rsidRPr="00685B1A"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 w:rsidR="00B9632D" w:rsidRPr="00685B1A">
              <w:rPr>
                <w:rFonts w:asciiTheme="minorHAnsi" w:hAnsiTheme="minorHAnsi"/>
                <w:i/>
                <w:sz w:val="20"/>
                <w:szCs w:val="20"/>
              </w:rPr>
              <w:t xml:space="preserve"> Regional NRM organisations </w:t>
            </w:r>
            <w:r w:rsidR="0088793F" w:rsidRPr="00685B1A">
              <w:rPr>
                <w:rFonts w:asciiTheme="minorHAnsi" w:hAnsiTheme="minorHAnsi"/>
                <w:i/>
                <w:sz w:val="20"/>
                <w:szCs w:val="20"/>
              </w:rPr>
              <w:t xml:space="preserve">are </w:t>
            </w:r>
            <w:r w:rsidR="00B9632D" w:rsidRPr="00685B1A">
              <w:rPr>
                <w:rFonts w:asciiTheme="minorHAnsi" w:hAnsiTheme="minorHAnsi"/>
                <w:i/>
                <w:sz w:val="20"/>
                <w:szCs w:val="20"/>
              </w:rPr>
              <w:t xml:space="preserve">expected to manage projects consistent with the principles of </w:t>
            </w:r>
            <w:r w:rsidR="006C5CD1" w:rsidRPr="00685B1A">
              <w:rPr>
                <w:rFonts w:asciiTheme="minorHAnsi" w:hAnsiTheme="minorHAnsi"/>
                <w:i/>
                <w:sz w:val="20"/>
                <w:szCs w:val="20"/>
              </w:rPr>
              <w:t>Monitoring, Evaluation, Reporting and Improvement (</w:t>
            </w:r>
            <w:r w:rsidR="00B9632D" w:rsidRPr="00685B1A">
              <w:rPr>
                <w:rFonts w:asciiTheme="minorHAnsi" w:hAnsiTheme="minorHAnsi"/>
                <w:i/>
                <w:sz w:val="20"/>
                <w:szCs w:val="20"/>
              </w:rPr>
              <w:t>MERI</w:t>
            </w:r>
            <w:r w:rsidR="006C5CD1" w:rsidRPr="00685B1A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="009455DF" w:rsidRPr="00685B1A">
              <w:rPr>
                <w:rFonts w:asciiTheme="minorHAnsi" w:hAnsiTheme="minorHAnsi"/>
                <w:i/>
                <w:sz w:val="20"/>
                <w:szCs w:val="20"/>
              </w:rPr>
              <w:t xml:space="preserve">. MERI provides a model for </w:t>
            </w:r>
            <w:r w:rsidR="0088793F" w:rsidRPr="00685B1A">
              <w:rPr>
                <w:rFonts w:asciiTheme="minorHAnsi" w:hAnsiTheme="minorHAnsi"/>
                <w:i/>
                <w:sz w:val="20"/>
                <w:szCs w:val="20"/>
              </w:rPr>
              <w:t xml:space="preserve">designing outcomes based </w:t>
            </w:r>
            <w:r w:rsidR="00853778" w:rsidRPr="00685B1A">
              <w:rPr>
                <w:rFonts w:asciiTheme="minorHAnsi" w:hAnsiTheme="minorHAnsi"/>
                <w:i/>
                <w:sz w:val="20"/>
                <w:szCs w:val="20"/>
              </w:rPr>
              <w:t>projects</w:t>
            </w:r>
            <w:r w:rsidR="0088793F" w:rsidRPr="00685B1A">
              <w:rPr>
                <w:rFonts w:asciiTheme="minorHAnsi" w:hAnsiTheme="minorHAnsi"/>
                <w:i/>
                <w:sz w:val="20"/>
                <w:szCs w:val="20"/>
              </w:rPr>
              <w:t xml:space="preserve"> and </w:t>
            </w:r>
            <w:r w:rsidR="009455DF" w:rsidRPr="00685B1A">
              <w:rPr>
                <w:rFonts w:asciiTheme="minorHAnsi" w:hAnsiTheme="minorHAnsi"/>
                <w:i/>
                <w:sz w:val="20"/>
                <w:szCs w:val="20"/>
              </w:rPr>
              <w:t xml:space="preserve">assessing progress with project delivery, program performance and the change over time in </w:t>
            </w:r>
            <w:r w:rsidR="0088793F" w:rsidRPr="00685B1A">
              <w:rPr>
                <w:rFonts w:asciiTheme="minorHAnsi" w:hAnsiTheme="minorHAnsi"/>
                <w:i/>
                <w:sz w:val="20"/>
                <w:szCs w:val="20"/>
              </w:rPr>
              <w:t xml:space="preserve">resource condition </w:t>
            </w:r>
            <w:r w:rsidR="009455DF" w:rsidRPr="00685B1A">
              <w:rPr>
                <w:rFonts w:asciiTheme="minorHAnsi" w:hAnsiTheme="minorHAnsi"/>
                <w:i/>
                <w:sz w:val="20"/>
                <w:szCs w:val="20"/>
              </w:rPr>
              <w:t xml:space="preserve">against </w:t>
            </w:r>
            <w:r w:rsidR="0088793F" w:rsidRPr="00685B1A">
              <w:rPr>
                <w:rFonts w:asciiTheme="minorHAnsi" w:hAnsiTheme="minorHAnsi"/>
                <w:i/>
                <w:sz w:val="20"/>
                <w:szCs w:val="20"/>
              </w:rPr>
              <w:t xml:space="preserve">stated </w:t>
            </w:r>
            <w:r w:rsidR="009455DF" w:rsidRPr="00685B1A">
              <w:rPr>
                <w:rFonts w:asciiTheme="minorHAnsi" w:hAnsiTheme="minorHAnsi"/>
                <w:i/>
                <w:sz w:val="20"/>
                <w:szCs w:val="20"/>
              </w:rPr>
              <w:t xml:space="preserve">outcomes. It provides opportunities to </w:t>
            </w:r>
            <w:r w:rsidR="0088793F" w:rsidRPr="00685B1A">
              <w:rPr>
                <w:rFonts w:asciiTheme="minorHAnsi" w:hAnsiTheme="minorHAnsi"/>
                <w:i/>
                <w:sz w:val="20"/>
                <w:szCs w:val="20"/>
              </w:rPr>
              <w:t xml:space="preserve">adaptively </w:t>
            </w:r>
            <w:r w:rsidR="009455DF" w:rsidRPr="00685B1A">
              <w:rPr>
                <w:rFonts w:asciiTheme="minorHAnsi" w:hAnsiTheme="minorHAnsi"/>
                <w:i/>
                <w:sz w:val="20"/>
                <w:szCs w:val="20"/>
              </w:rPr>
              <w:t>improve program and project design and delivery and to reorient investment at key decision points.</w:t>
            </w:r>
          </w:p>
        </w:tc>
      </w:tr>
      <w:tr w:rsidR="00681E62" w14:paraId="03A87FA2" w14:textId="77777777" w:rsidTr="00821A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9889" w:type="dxa"/>
            <w:shd w:val="clear" w:color="auto" w:fill="FB927D"/>
            <w:vAlign w:val="center"/>
          </w:tcPr>
          <w:p w14:paraId="03A87FA1" w14:textId="77777777" w:rsidR="00681E62" w:rsidRPr="004C4134" w:rsidRDefault="00681E62" w:rsidP="00821A67">
            <w:pPr>
              <w:spacing w:before="60" w:after="60" w:line="240" w:lineRule="auto"/>
              <w:rPr>
                <w:b/>
              </w:rPr>
            </w:pPr>
            <w:r w:rsidRPr="0076155E">
              <w:rPr>
                <w:b/>
              </w:rPr>
              <w:t>Expected practices</w:t>
            </w:r>
          </w:p>
        </w:tc>
      </w:tr>
      <w:tr w:rsidR="00681E62" w14:paraId="03A87FA5" w14:textId="77777777" w:rsidTr="004C3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  <w:shd w:val="clear" w:color="auto" w:fill="FECCC2"/>
          </w:tcPr>
          <w:p w14:paraId="03A87FA3" w14:textId="77777777" w:rsidR="00681E62" w:rsidRPr="00092580" w:rsidRDefault="00092580" w:rsidP="00092580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5.1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681E62" w:rsidRPr="00092580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regional NRM organisation </w:t>
            </w:r>
            <w:r w:rsidR="00B42ED3" w:rsidRPr="00092580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is </w:t>
            </w:r>
            <w:r w:rsidR="00681E62" w:rsidRPr="00092580">
              <w:rPr>
                <w:rFonts w:asciiTheme="minorHAnsi" w:hAnsiTheme="minorHAnsi"/>
                <w:b/>
                <w:i/>
                <w:sz w:val="24"/>
                <w:szCs w:val="24"/>
              </w:rPr>
              <w:t>provid</w:t>
            </w:r>
            <w:r w:rsidR="00B42ED3" w:rsidRPr="00092580">
              <w:rPr>
                <w:rFonts w:asciiTheme="minorHAnsi" w:hAnsiTheme="minorHAnsi"/>
                <w:b/>
                <w:i/>
                <w:sz w:val="24"/>
                <w:szCs w:val="24"/>
              </w:rPr>
              <w:t>ing</w:t>
            </w:r>
            <w:r w:rsidR="00681E62" w:rsidRPr="00092580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comprehensive, accurate and timely project MERI plans and MERIT reporting.</w:t>
            </w:r>
          </w:p>
          <w:p w14:paraId="03A87FA4" w14:textId="77777777" w:rsidR="00681E62" w:rsidRPr="009B51D6" w:rsidRDefault="00681E62" w:rsidP="00786812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</w:t>
            </w:r>
            <w:r w:rsidR="000E5623">
              <w:rPr>
                <w:rFonts w:asciiTheme="minorHAnsi" w:hAnsiTheme="minorHAnsi"/>
                <w:sz w:val="20"/>
                <w:szCs w:val="20"/>
              </w:rPr>
              <w:t xml:space="preserve">aims to demonstrate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that a regional NRM organisation is </w:t>
            </w:r>
            <w:r w:rsidR="00641F64">
              <w:rPr>
                <w:rFonts w:asciiTheme="minorHAnsi" w:hAnsiTheme="minorHAnsi"/>
                <w:sz w:val="20"/>
                <w:szCs w:val="20"/>
              </w:rPr>
              <w:t>fully competent in MERI</w:t>
            </w:r>
            <w:r w:rsidR="00786812">
              <w:rPr>
                <w:rFonts w:asciiTheme="minorHAnsi" w:hAnsiTheme="minorHAnsi"/>
                <w:sz w:val="20"/>
                <w:szCs w:val="20"/>
              </w:rPr>
              <w:t xml:space="preserve"> and that MERI plans and MERIT reporting reflects Australian Government NRM priorities and</w:t>
            </w:r>
            <w:r w:rsidR="00641F6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5247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 w:rsidR="00B46ABC" w:rsidRPr="00B46ABC">
              <w:rPr>
                <w:rFonts w:asciiTheme="minorHAnsi" w:hAnsiTheme="minorHAnsi"/>
                <w:sz w:val="20"/>
                <w:szCs w:val="20"/>
              </w:rPr>
              <w:t>complying with Australian Government NRM contractual reporting obligations</w:t>
            </w:r>
            <w:r w:rsidR="0078681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E13F43" w14:paraId="03A87FAC" w14:textId="77777777" w:rsidTr="00092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1"/>
        </w:trPr>
        <w:tc>
          <w:tcPr>
            <w:tcW w:w="9889" w:type="dxa"/>
          </w:tcPr>
          <w:p w14:paraId="03A87FA6" w14:textId="77777777" w:rsidR="00092580" w:rsidRDefault="00F0060C" w:rsidP="00092580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FA7" w14:textId="77777777" w:rsidR="00131B4C" w:rsidRDefault="00131B4C" w:rsidP="00E13F4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Documentation demonstrating high quality project planning and programme logic is applied during project delivery.</w:t>
            </w:r>
          </w:p>
          <w:p w14:paraId="03A87FA8" w14:textId="77777777" w:rsidR="00E13F43" w:rsidRDefault="00E13F43" w:rsidP="00E13F4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4B4037">
              <w:rPr>
                <w:rFonts w:asciiTheme="minorHAnsi" w:hAnsiTheme="minorHAnsi"/>
                <w:sz w:val="20"/>
                <w:szCs w:val="20"/>
              </w:rPr>
              <w:t xml:space="preserve">ocumentation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demonstrating that monitoring and reporting is </w:t>
            </w:r>
            <w:r w:rsidRPr="004B4037">
              <w:rPr>
                <w:rFonts w:asciiTheme="minorHAnsi" w:hAnsiTheme="minorHAnsi"/>
                <w:sz w:val="20"/>
                <w:szCs w:val="20"/>
              </w:rPr>
              <w:t xml:space="preserve">managed in a timely manner </w:t>
            </w:r>
            <w:r>
              <w:rPr>
                <w:rFonts w:asciiTheme="minorHAnsi" w:hAnsiTheme="minorHAnsi"/>
                <w:sz w:val="20"/>
                <w:szCs w:val="20"/>
              </w:rPr>
              <w:t>and</w:t>
            </w:r>
            <w:r w:rsidRPr="004B4037">
              <w:rPr>
                <w:rFonts w:asciiTheme="minorHAnsi" w:hAnsiTheme="minorHAnsi"/>
                <w:sz w:val="20"/>
                <w:szCs w:val="20"/>
              </w:rPr>
              <w:t xml:space="preserve"> meets contractual obligations</w:t>
            </w:r>
            <w:r w:rsidR="00131B4C">
              <w:rPr>
                <w:rFonts w:asciiTheme="minorHAnsi" w:hAnsiTheme="minorHAnsi"/>
                <w:sz w:val="20"/>
                <w:szCs w:val="20"/>
              </w:rPr>
              <w:t>.</w:t>
            </w:r>
            <w:r w:rsidRPr="004B403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3A87FA9" w14:textId="77777777" w:rsidR="00175247" w:rsidRPr="009B77FE" w:rsidRDefault="0075602C" w:rsidP="00E13F4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Documentation demonstrating how </w:t>
            </w:r>
            <w:r w:rsidR="008B2077">
              <w:rPr>
                <w:rFonts w:asciiTheme="minorHAnsi" w:hAnsiTheme="minorHAnsi"/>
                <w:sz w:val="20"/>
                <w:szCs w:val="20"/>
              </w:rPr>
              <w:t xml:space="preserve">project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activities </w:t>
            </w:r>
            <w:r w:rsidR="008B2077">
              <w:rPr>
                <w:rFonts w:asciiTheme="minorHAnsi" w:hAnsiTheme="minorHAnsi"/>
                <w:sz w:val="20"/>
                <w:szCs w:val="20"/>
              </w:rPr>
              <w:t xml:space="preserve">and outcomes align and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are contributing to </w:t>
            </w:r>
            <w:r w:rsidR="00D560CA">
              <w:rPr>
                <w:rFonts w:asciiTheme="minorHAnsi" w:hAnsiTheme="minorHAnsi"/>
                <w:sz w:val="20"/>
                <w:szCs w:val="20"/>
              </w:rPr>
              <w:t>Australian G</w:t>
            </w:r>
            <w:r w:rsidR="008B2077">
              <w:rPr>
                <w:rFonts w:asciiTheme="minorHAnsi" w:hAnsiTheme="minorHAnsi"/>
                <w:sz w:val="20"/>
                <w:szCs w:val="20"/>
              </w:rPr>
              <w:t>overnment investment priorities</w:t>
            </w:r>
            <w:r w:rsidR="006630F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3A87FAA" w14:textId="77777777" w:rsidR="00E13F43" w:rsidRDefault="00131B4C" w:rsidP="00E13F4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4B4037">
              <w:rPr>
                <w:rFonts w:asciiTheme="minorHAnsi" w:hAnsiTheme="minorHAnsi"/>
                <w:sz w:val="20"/>
                <w:szCs w:val="20"/>
              </w:rPr>
              <w:t xml:space="preserve">ocumentation </w:t>
            </w:r>
            <w:r>
              <w:rPr>
                <w:rFonts w:asciiTheme="minorHAnsi" w:hAnsiTheme="minorHAnsi"/>
                <w:sz w:val="20"/>
                <w:szCs w:val="20"/>
              </w:rPr>
              <w:t>demonstrating that project MERI plans are being reviewed and updated on an ongoing basis using an evidence-based evaluation approach.</w:t>
            </w:r>
          </w:p>
          <w:p w14:paraId="03A87FAB" w14:textId="77777777" w:rsidR="00F4470A" w:rsidRPr="009B77FE" w:rsidRDefault="00F4470A" w:rsidP="00E13F4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451B2">
              <w:rPr>
                <w:rFonts w:asciiTheme="minorHAnsi" w:hAnsiTheme="minorHAnsi"/>
                <w:sz w:val="20"/>
                <w:szCs w:val="20"/>
              </w:rPr>
              <w:t>Evidence of regular input of project data into MERIT as projects progress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681E62" w:rsidRPr="00664D35" w14:paraId="03A87FAF" w14:textId="77777777" w:rsidTr="004C3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  <w:shd w:val="clear" w:color="auto" w:fill="FECCC2"/>
          </w:tcPr>
          <w:p w14:paraId="03A87FAD" w14:textId="77777777" w:rsidR="00681E62" w:rsidRPr="00BF7250" w:rsidRDefault="00BF7250" w:rsidP="00BF7250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5.2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681E62" w:rsidRPr="00BF7250">
              <w:rPr>
                <w:rFonts w:asciiTheme="minorHAnsi" w:hAnsiTheme="minorHAnsi"/>
                <w:b/>
                <w:i/>
                <w:sz w:val="24"/>
                <w:szCs w:val="24"/>
              </w:rPr>
              <w:t>The regional NRM organisation is implementing processes to ensure that MERI activities are adequately resourced by appropriately skilled and informed staff.</w:t>
            </w:r>
          </w:p>
          <w:p w14:paraId="03A87FAE" w14:textId="77777777" w:rsidR="00681E62" w:rsidRPr="00CF77DE" w:rsidRDefault="00681E62" w:rsidP="000E5623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</w:t>
            </w:r>
            <w:r w:rsidR="000E5623">
              <w:rPr>
                <w:rFonts w:asciiTheme="minorHAnsi" w:hAnsiTheme="minorHAnsi"/>
                <w:sz w:val="20"/>
                <w:szCs w:val="20"/>
              </w:rPr>
              <w:t xml:space="preserve">aims to demonstrate </w:t>
            </w:r>
            <w:r>
              <w:rPr>
                <w:rFonts w:asciiTheme="minorHAnsi" w:hAnsiTheme="minorHAnsi"/>
                <w:sz w:val="20"/>
                <w:szCs w:val="20"/>
              </w:rPr>
              <w:t>that a regional NRM organisation is committed to high quality MERI activities.</w:t>
            </w:r>
          </w:p>
        </w:tc>
      </w:tr>
      <w:tr w:rsidR="00E13F43" w14:paraId="03A87FB6" w14:textId="77777777" w:rsidTr="007B52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8"/>
        </w:trPr>
        <w:tc>
          <w:tcPr>
            <w:tcW w:w="9889" w:type="dxa"/>
            <w:tcBorders>
              <w:bottom w:val="single" w:sz="4" w:space="0" w:color="auto"/>
            </w:tcBorders>
          </w:tcPr>
          <w:p w14:paraId="03A87FB0" w14:textId="77777777" w:rsidR="00092580" w:rsidRDefault="00F0060C" w:rsidP="00092580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FB1" w14:textId="77777777" w:rsidR="00E13F43" w:rsidRPr="009B77FE" w:rsidRDefault="00E13F43" w:rsidP="00092580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Evidence of processes </w:t>
            </w:r>
            <w:r w:rsidR="00131B4C">
              <w:rPr>
                <w:rFonts w:asciiTheme="minorHAnsi" w:hAnsiTheme="minorHAnsi"/>
                <w:sz w:val="20"/>
                <w:szCs w:val="20"/>
              </w:rPr>
              <w:t xml:space="preserve">and procedures </w:t>
            </w:r>
            <w:r>
              <w:rPr>
                <w:rFonts w:asciiTheme="minorHAnsi" w:hAnsiTheme="minorHAnsi"/>
                <w:sz w:val="20"/>
                <w:szCs w:val="20"/>
              </w:rPr>
              <w:t>that support MERI</w:t>
            </w:r>
            <w:r w:rsidR="00131B4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3A87FB2" w14:textId="77777777" w:rsidR="00E13F43" w:rsidRPr="009B77FE" w:rsidRDefault="00E13F43" w:rsidP="00092580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Evidence of resourcing allocated to support MERI processes</w:t>
            </w:r>
            <w:r w:rsidR="00131B4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3A87FB3" w14:textId="77777777" w:rsidR="00E13F43" w:rsidRDefault="00E13F43" w:rsidP="00092580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Evidence of regular staff training/profess</w:t>
            </w:r>
            <w:r w:rsidR="00131B4C">
              <w:rPr>
                <w:rFonts w:asciiTheme="minorHAnsi" w:hAnsiTheme="minorHAnsi"/>
                <w:sz w:val="20"/>
                <w:szCs w:val="20"/>
              </w:rPr>
              <w:t>ional development in MERI.</w:t>
            </w:r>
          </w:p>
          <w:p w14:paraId="03A87FB4" w14:textId="77777777" w:rsidR="00131B4C" w:rsidRPr="009B77FE" w:rsidRDefault="00131B4C" w:rsidP="00092580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Evidence that contracted service providers to the region</w:t>
            </w:r>
            <w:r w:rsidR="001E4013">
              <w:rPr>
                <w:rFonts w:asciiTheme="minorHAnsi" w:hAnsiTheme="minorHAnsi"/>
                <w:sz w:val="20"/>
                <w:szCs w:val="20"/>
              </w:rPr>
              <w:t>al NRM organisation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have been made aware of their MERI requirements, including data/evidence collection associated with project delivery.</w:t>
            </w:r>
          </w:p>
          <w:p w14:paraId="03A87FB5" w14:textId="77777777" w:rsidR="00E13F43" w:rsidRPr="009B77FE" w:rsidRDefault="00E13F43" w:rsidP="00092580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Evidence of the timeliness and quality of MERI planning and reporting</w:t>
            </w:r>
            <w:r w:rsidR="00131B4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681E62" w14:paraId="03A87FB9" w14:textId="77777777" w:rsidTr="004C3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  <w:shd w:val="clear" w:color="auto" w:fill="FECCC2"/>
          </w:tcPr>
          <w:p w14:paraId="03A87FB7" w14:textId="77777777" w:rsidR="00BA5B1C" w:rsidRPr="00BF7250" w:rsidRDefault="00BF7250" w:rsidP="00BF7250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5.3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="00681E62" w:rsidRPr="00BF7250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regional NRM organisation </w:t>
            </w:r>
            <w:r w:rsidR="00BA5B1C" w:rsidRPr="00BF7250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is </w:t>
            </w:r>
            <w:r w:rsidR="00B42ED3" w:rsidRPr="00BF7250">
              <w:rPr>
                <w:rFonts w:asciiTheme="minorHAnsi" w:hAnsiTheme="minorHAnsi"/>
                <w:b/>
                <w:i/>
                <w:sz w:val="24"/>
                <w:szCs w:val="24"/>
              </w:rPr>
              <w:t>demonstrating and communicating progress towards NRM project outcomes through regular monitoring, evaluation and reporting of project performance and the use of results to guide improved practice.</w:t>
            </w:r>
          </w:p>
          <w:p w14:paraId="03A87FB8" w14:textId="77777777" w:rsidR="00681E62" w:rsidRPr="00CF77DE" w:rsidRDefault="00681E62" w:rsidP="00B42ED3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expected practice </w:t>
            </w:r>
            <w:r w:rsidR="0088793F">
              <w:rPr>
                <w:rFonts w:asciiTheme="minorHAnsi" w:hAnsiTheme="minorHAnsi"/>
                <w:sz w:val="20"/>
                <w:szCs w:val="20"/>
              </w:rPr>
              <w:t xml:space="preserve">aims to demonstrate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that a regional NRM organisation </w:t>
            </w:r>
            <w:r w:rsidR="00B42ED3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 w:rsidR="00B42ED3" w:rsidRPr="00B42ED3">
              <w:rPr>
                <w:rFonts w:asciiTheme="minorHAnsi" w:hAnsiTheme="minorHAnsi"/>
                <w:sz w:val="20"/>
                <w:szCs w:val="20"/>
              </w:rPr>
              <w:t xml:space="preserve">using MERI processes appropriately to demonstrate and </w:t>
            </w:r>
            <w:r w:rsidR="002250EC">
              <w:rPr>
                <w:rFonts w:asciiTheme="minorHAnsi" w:hAnsiTheme="minorHAnsi"/>
                <w:sz w:val="20"/>
                <w:szCs w:val="20"/>
              </w:rPr>
              <w:t xml:space="preserve">publically </w:t>
            </w:r>
            <w:r w:rsidR="00B42ED3" w:rsidRPr="00B42ED3">
              <w:rPr>
                <w:rFonts w:asciiTheme="minorHAnsi" w:hAnsiTheme="minorHAnsi"/>
                <w:sz w:val="20"/>
                <w:szCs w:val="20"/>
              </w:rPr>
              <w:t xml:space="preserve">communicate progress towards project outcomes, improve delivery through adaptive management, and ensure appropriate </w:t>
            </w:r>
            <w:r w:rsidR="003E2C70">
              <w:rPr>
                <w:rFonts w:asciiTheme="minorHAnsi" w:hAnsiTheme="minorHAnsi"/>
                <w:sz w:val="20"/>
                <w:szCs w:val="20"/>
              </w:rPr>
              <w:t xml:space="preserve">local </w:t>
            </w:r>
            <w:r w:rsidR="00B42ED3" w:rsidRPr="00B42ED3">
              <w:rPr>
                <w:rFonts w:asciiTheme="minorHAnsi" w:hAnsiTheme="minorHAnsi"/>
                <w:sz w:val="20"/>
                <w:szCs w:val="20"/>
              </w:rPr>
              <w:t>community and stakeholder participation in MERI processes.</w:t>
            </w:r>
          </w:p>
        </w:tc>
      </w:tr>
      <w:tr w:rsidR="00BF7250" w14:paraId="03A87FC0" w14:textId="77777777" w:rsidTr="006C5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6"/>
        </w:trPr>
        <w:tc>
          <w:tcPr>
            <w:tcW w:w="9889" w:type="dxa"/>
            <w:tcBorders>
              <w:bottom w:val="single" w:sz="4" w:space="0" w:color="auto"/>
            </w:tcBorders>
          </w:tcPr>
          <w:p w14:paraId="03A87FBA" w14:textId="77777777" w:rsidR="00BF7250" w:rsidRDefault="00F0060C" w:rsidP="00BF7250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Supporting evidence may include:</w:t>
            </w:r>
          </w:p>
          <w:p w14:paraId="03A87FBB" w14:textId="77777777" w:rsidR="00BF7250" w:rsidRPr="009B77FE" w:rsidRDefault="00BF7250" w:rsidP="00823A9A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Evidence that MERI is used to </w:t>
            </w:r>
            <w:r w:rsidR="002250EC">
              <w:rPr>
                <w:rFonts w:asciiTheme="minorHAnsi" w:hAnsiTheme="minorHAnsi"/>
                <w:sz w:val="20"/>
                <w:szCs w:val="20"/>
              </w:rPr>
              <w:t xml:space="preserve">publically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communicate </w:t>
            </w:r>
            <w:r w:rsidR="00641F64">
              <w:rPr>
                <w:rFonts w:asciiTheme="minorHAnsi" w:hAnsiTheme="minorHAnsi"/>
                <w:sz w:val="20"/>
                <w:szCs w:val="20"/>
              </w:rPr>
              <w:t xml:space="preserve">and demonstrate </w:t>
            </w:r>
            <w:r>
              <w:rPr>
                <w:rFonts w:asciiTheme="minorHAnsi" w:hAnsiTheme="minorHAnsi"/>
                <w:sz w:val="20"/>
                <w:szCs w:val="20"/>
              </w:rPr>
              <w:t>NRM outcomes</w:t>
            </w:r>
            <w:r w:rsidR="00F4470A" w:rsidRPr="006451B2">
              <w:rPr>
                <w:rFonts w:asciiTheme="minorHAnsi" w:hAnsiTheme="minorHAnsi"/>
                <w:sz w:val="20"/>
                <w:szCs w:val="20"/>
              </w:rPr>
              <w:t>, including communication and promotion of project outcomes.</w:t>
            </w:r>
            <w:r w:rsidRPr="006451B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3A87FBC" w14:textId="77777777" w:rsidR="00BF7250" w:rsidRPr="009B77FE" w:rsidRDefault="00BF7250" w:rsidP="00BF7250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Evidence of systems </w:t>
            </w:r>
            <w:r w:rsidR="004871A7">
              <w:rPr>
                <w:rFonts w:asciiTheme="minorHAnsi" w:hAnsiTheme="minorHAnsi"/>
                <w:sz w:val="20"/>
                <w:szCs w:val="20"/>
              </w:rPr>
              <w:t xml:space="preserve">and processes </w:t>
            </w:r>
            <w:r>
              <w:rPr>
                <w:rFonts w:asciiTheme="minorHAnsi" w:hAnsiTheme="minorHAnsi"/>
                <w:sz w:val="20"/>
                <w:szCs w:val="20"/>
              </w:rPr>
              <w:t>used to inform continuous improvement/adaptive project management.</w:t>
            </w:r>
          </w:p>
          <w:p w14:paraId="03A87FBD" w14:textId="77777777" w:rsidR="00BF7250" w:rsidRPr="009B77FE" w:rsidRDefault="00BF7250" w:rsidP="00BF7250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Evidence of </w:t>
            </w:r>
            <w:r w:rsidRPr="002C11D4">
              <w:rPr>
                <w:rFonts w:asciiTheme="minorHAnsi" w:hAnsiTheme="minorHAnsi"/>
                <w:sz w:val="20"/>
                <w:szCs w:val="20"/>
              </w:rPr>
              <w:t>community and stakeholder involvement in MERI planning process</w:t>
            </w:r>
            <w:r>
              <w:rPr>
                <w:rFonts w:asciiTheme="minorHAnsi" w:hAnsiTheme="minorHAnsi"/>
                <w:sz w:val="20"/>
                <w:szCs w:val="20"/>
              </w:rPr>
              <w:t>es</w:t>
            </w:r>
            <w:r w:rsidRPr="002C11D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3A87FBE" w14:textId="77777777" w:rsidR="00BF7250" w:rsidRDefault="00BF7250" w:rsidP="001E401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Evidence that </w:t>
            </w:r>
            <w:r w:rsidRPr="00664D35">
              <w:rPr>
                <w:rFonts w:asciiTheme="minorHAnsi" w:hAnsiTheme="minorHAnsi"/>
                <w:sz w:val="20"/>
                <w:szCs w:val="20"/>
              </w:rPr>
              <w:t>project promotional materials and activities comply with contractual obligations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3A87FBF" w14:textId="77777777" w:rsidR="006630F4" w:rsidRPr="009B77FE" w:rsidRDefault="006630F4" w:rsidP="001D5AA6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60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9F1273">
              <w:rPr>
                <w:rFonts w:asciiTheme="minorHAnsi" w:hAnsiTheme="minorHAnsi"/>
                <w:sz w:val="20"/>
                <w:szCs w:val="20"/>
              </w:rPr>
              <w:t xml:space="preserve">ublic reporting of monitoring findings and the impact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</w:t>
            </w:r>
            <w:r w:rsidRPr="009F1273">
              <w:rPr>
                <w:rFonts w:asciiTheme="minorHAnsi" w:hAnsiTheme="minorHAnsi"/>
                <w:sz w:val="20"/>
                <w:szCs w:val="20"/>
              </w:rPr>
              <w:t xml:space="preserve">NRM activities </w:t>
            </w:r>
            <w:r>
              <w:rPr>
                <w:rFonts w:asciiTheme="minorHAnsi" w:hAnsiTheme="minorHAnsi"/>
                <w:sz w:val="20"/>
                <w:szCs w:val="20"/>
              </w:rPr>
              <w:t>on the condition</w:t>
            </w:r>
            <w:r w:rsidRPr="009F1273">
              <w:rPr>
                <w:rFonts w:asciiTheme="minorHAnsi" w:hAnsiTheme="minorHAnsi"/>
                <w:sz w:val="20"/>
                <w:szCs w:val="20"/>
              </w:rPr>
              <w:t xml:space="preserve"> of the environment and production landscapes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</w:tr>
    </w:tbl>
    <w:p w14:paraId="03A87FC1" w14:textId="77777777" w:rsidR="007831B2" w:rsidRDefault="007831B2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21A67" w14:paraId="03A87FC3" w14:textId="77777777" w:rsidTr="00821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shd w:val="clear" w:color="auto" w:fill="FB927D"/>
            <w:vAlign w:val="center"/>
          </w:tcPr>
          <w:p w14:paraId="03A87FC2" w14:textId="77777777" w:rsidR="00821A67" w:rsidRPr="004C4134" w:rsidRDefault="00821A67" w:rsidP="00821A67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Additional</w:t>
            </w:r>
            <w:r w:rsidRPr="0076155E">
              <w:rPr>
                <w:b/>
              </w:rPr>
              <w:t xml:space="preserve"> practices</w:t>
            </w:r>
          </w:p>
        </w:tc>
      </w:tr>
      <w:tr w:rsidR="00771FC1" w14:paraId="03A87FC6" w14:textId="77777777" w:rsidTr="007B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9" w:type="dxa"/>
            <w:shd w:val="clear" w:color="auto" w:fill="FECCC2"/>
          </w:tcPr>
          <w:p w14:paraId="03A87FC4" w14:textId="67C46F95" w:rsidR="00771FC1" w:rsidRDefault="00771FC1" w:rsidP="00C348F3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ind w:left="709" w:hanging="709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5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4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ab/>
            </w:r>
            <w:r w:rsidRPr="00E676EF">
              <w:rPr>
                <w:rFonts w:asciiTheme="minorHAnsi" w:hAnsiTheme="minorHAnsi"/>
                <w:b/>
                <w:i/>
                <w:sz w:val="24"/>
                <w:szCs w:val="24"/>
              </w:rPr>
              <w:t>The regional NRM organisation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="00FE44AB">
              <w:rPr>
                <w:rFonts w:asciiTheme="minorHAnsi" w:hAnsiTheme="minorHAnsi"/>
                <w:b/>
                <w:i/>
                <w:sz w:val="24"/>
                <w:szCs w:val="24"/>
              </w:rPr>
              <w:t>also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has </w:t>
            </w:r>
            <w:r w:rsidR="001A586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following 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>additional practices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  <w:r w:rsidRPr="00B555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="00FE44AB" w:rsidRPr="00976996">
              <w:rPr>
                <w:rFonts w:asciiTheme="minorHAnsi" w:hAnsiTheme="minorHAnsi"/>
                <w:i/>
                <w:sz w:val="24"/>
                <w:szCs w:val="24"/>
              </w:rPr>
              <w:t>(please list)</w:t>
            </w:r>
          </w:p>
          <w:p w14:paraId="03A87FC5" w14:textId="77777777" w:rsidR="00771FC1" w:rsidRPr="00B5555C" w:rsidRDefault="00771FC1" w:rsidP="00C348F3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A508D">
              <w:rPr>
                <w:rFonts w:asciiTheme="minorHAnsi" w:hAnsiTheme="minorHAnsi"/>
                <w:sz w:val="20"/>
                <w:szCs w:val="20"/>
              </w:rPr>
              <w:t xml:space="preserve">Any additional practices should include a clear description of the practice and how it is of benefit to the organisation </w:t>
            </w:r>
            <w:r w:rsidRPr="00BA508D">
              <w:rPr>
                <w:rFonts w:asciiTheme="minorHAnsi" w:hAnsiTheme="minorHAnsi"/>
                <w:sz w:val="20"/>
                <w:szCs w:val="20"/>
                <w:u w:val="single"/>
              </w:rPr>
              <w:t>and</w:t>
            </w:r>
            <w:r w:rsidRPr="00BA508D">
              <w:rPr>
                <w:rFonts w:asciiTheme="minorHAnsi" w:hAnsiTheme="minorHAnsi"/>
                <w:sz w:val="20"/>
                <w:szCs w:val="20"/>
              </w:rPr>
              <w:t xml:space="preserve"> the Australian Government</w:t>
            </w:r>
          </w:p>
        </w:tc>
      </w:tr>
      <w:tr w:rsidR="00B26E4B" w14:paraId="03A87FC9" w14:textId="77777777" w:rsidTr="00B26E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5"/>
        </w:trPr>
        <w:tc>
          <w:tcPr>
            <w:tcW w:w="9889" w:type="dxa"/>
          </w:tcPr>
          <w:p w14:paraId="03A87FC7" w14:textId="77777777" w:rsidR="00B26E4B" w:rsidRDefault="00B26E4B" w:rsidP="00425CD1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practices may include but not be limited to:</w:t>
            </w:r>
          </w:p>
          <w:p w14:paraId="03A87FC8" w14:textId="5849B66E" w:rsidR="00B26E4B" w:rsidRPr="00E575A6" w:rsidRDefault="00B26E4B" w:rsidP="00425CD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59" w:hanging="22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Compliance with industry accepted standards that are over and above </w:t>
            </w:r>
            <w:r w:rsidRPr="00D97FB2">
              <w:rPr>
                <w:rFonts w:asciiTheme="minorHAnsi" w:hAnsiTheme="minorHAnsi"/>
                <w:sz w:val="20"/>
                <w:szCs w:val="20"/>
              </w:rPr>
              <w:t>statutory/incorporation, legal and financial obligations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FE44AB">
              <w:rPr>
                <w:rFonts w:asciiTheme="minorHAnsi" w:hAnsiTheme="minorHAnsi"/>
                <w:sz w:val="20"/>
                <w:szCs w:val="20"/>
              </w:rPr>
              <w:t xml:space="preserve"> Any additional practice should not be one that could be considered as ‘business as usual’.</w:t>
            </w:r>
            <w:r w:rsidR="007F50B8">
              <w:rPr>
                <w:rFonts w:asciiTheme="minorHAnsi" w:hAnsiTheme="minorHAnsi"/>
                <w:sz w:val="20"/>
                <w:szCs w:val="20"/>
              </w:rPr>
              <w:t xml:space="preserve"> For regional NRM organisations that are Statutory Authorities, responding to state legislative requirements and obligations is considered business as usual.</w:t>
            </w:r>
          </w:p>
        </w:tc>
      </w:tr>
    </w:tbl>
    <w:p w14:paraId="03A87FCA" w14:textId="77777777" w:rsidR="004F469F" w:rsidRDefault="004F469F" w:rsidP="00CC2A23">
      <w:pPr>
        <w:spacing w:after="0" w:line="240" w:lineRule="auto"/>
      </w:pPr>
    </w:p>
    <w:p w14:paraId="03A87FCB" w14:textId="77777777" w:rsidR="0022635A" w:rsidRPr="00640980" w:rsidRDefault="0022635A" w:rsidP="0022635A">
      <w:pPr>
        <w:autoSpaceDE w:val="0"/>
        <w:autoSpaceDN w:val="0"/>
        <w:spacing w:before="120" w:after="120" w:line="240" w:lineRule="auto"/>
        <w:rPr>
          <w:rFonts w:asciiTheme="minorHAnsi" w:hAnsiTheme="minorHAnsi"/>
          <w:sz w:val="20"/>
          <w:szCs w:val="20"/>
          <w:lang w:eastAsia="en-AU"/>
        </w:rPr>
      </w:pPr>
      <w:r w:rsidRPr="0022635A">
        <w:rPr>
          <w:rFonts w:asciiTheme="minorHAnsi" w:hAnsiTheme="minorHAnsi"/>
          <w:b/>
          <w:i/>
          <w:sz w:val="20"/>
          <w:szCs w:val="20"/>
          <w:lang w:eastAsia="en-AU"/>
        </w:rPr>
        <w:t>Note</w:t>
      </w:r>
      <w:r>
        <w:rPr>
          <w:rFonts w:asciiTheme="minorHAnsi" w:hAnsiTheme="minorHAnsi"/>
          <w:sz w:val="20"/>
          <w:szCs w:val="20"/>
          <w:lang w:eastAsia="en-AU"/>
        </w:rPr>
        <w:t xml:space="preserve"> - </w:t>
      </w:r>
      <w:r w:rsidRPr="00DB4D84">
        <w:rPr>
          <w:rFonts w:asciiTheme="minorHAnsi" w:hAnsiTheme="minorHAnsi"/>
          <w:sz w:val="20"/>
          <w:szCs w:val="20"/>
          <w:lang w:eastAsia="en-AU"/>
        </w:rPr>
        <w:t>In the context of the National Landcare Programme</w:t>
      </w:r>
      <w:r>
        <w:rPr>
          <w:rFonts w:asciiTheme="minorHAnsi" w:hAnsiTheme="minorHAnsi"/>
          <w:sz w:val="20"/>
          <w:szCs w:val="20"/>
          <w:lang w:eastAsia="en-AU"/>
        </w:rPr>
        <w:t xml:space="preserve"> and these performance expectations, i</w:t>
      </w:r>
      <w:r w:rsidRPr="00640980">
        <w:rPr>
          <w:rFonts w:asciiTheme="minorHAnsi" w:hAnsiTheme="minorHAnsi"/>
          <w:sz w:val="20"/>
          <w:szCs w:val="20"/>
          <w:lang w:eastAsia="en-AU"/>
        </w:rPr>
        <w:t xml:space="preserve">t is recognised that the composition of the local community will likely differ between NRM regions. Depending on the NRM region, this might include stakeholders such as: </w:t>
      </w:r>
    </w:p>
    <w:p w14:paraId="03A87FCC" w14:textId="77777777" w:rsidR="0022635A" w:rsidRPr="00640980" w:rsidRDefault="0022635A" w:rsidP="0022635A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ind w:left="714" w:hanging="357"/>
        <w:rPr>
          <w:rFonts w:asciiTheme="minorHAnsi" w:hAnsiTheme="minorHAnsi"/>
          <w:sz w:val="20"/>
          <w:szCs w:val="20"/>
          <w:lang w:eastAsia="en-AU"/>
        </w:rPr>
      </w:pPr>
      <w:r>
        <w:rPr>
          <w:rFonts w:asciiTheme="minorHAnsi" w:hAnsiTheme="minorHAnsi"/>
          <w:sz w:val="20"/>
          <w:szCs w:val="20"/>
          <w:lang w:eastAsia="en-AU"/>
        </w:rPr>
        <w:t xml:space="preserve">identified </w:t>
      </w:r>
      <w:proofErr w:type="spellStart"/>
      <w:r>
        <w:rPr>
          <w:rFonts w:asciiTheme="minorHAnsi" w:hAnsiTheme="minorHAnsi"/>
          <w:sz w:val="20"/>
          <w:szCs w:val="20"/>
          <w:lang w:eastAsia="en-AU"/>
        </w:rPr>
        <w:t>l</w:t>
      </w:r>
      <w:r w:rsidRPr="00640980">
        <w:rPr>
          <w:rFonts w:asciiTheme="minorHAnsi" w:hAnsiTheme="minorHAnsi"/>
          <w:sz w:val="20"/>
          <w:szCs w:val="20"/>
          <w:lang w:eastAsia="en-AU"/>
        </w:rPr>
        <w:t>andcare</w:t>
      </w:r>
      <w:proofErr w:type="spellEnd"/>
      <w:r w:rsidRPr="00640980">
        <w:rPr>
          <w:rFonts w:asciiTheme="minorHAnsi" w:hAnsiTheme="minorHAnsi"/>
          <w:sz w:val="20"/>
          <w:szCs w:val="20"/>
          <w:lang w:eastAsia="en-AU"/>
        </w:rPr>
        <w:t xml:space="preserve"> groups and other ‘care’ groups such as </w:t>
      </w:r>
      <w:proofErr w:type="spellStart"/>
      <w:r w:rsidRPr="00640980">
        <w:rPr>
          <w:rFonts w:asciiTheme="minorHAnsi" w:hAnsiTheme="minorHAnsi"/>
          <w:sz w:val="20"/>
          <w:szCs w:val="20"/>
          <w:lang w:eastAsia="en-AU"/>
        </w:rPr>
        <w:t>bushcare</w:t>
      </w:r>
      <w:proofErr w:type="spellEnd"/>
      <w:r w:rsidRPr="00640980">
        <w:rPr>
          <w:rFonts w:asciiTheme="minorHAnsi" w:hAnsiTheme="minorHAnsi"/>
          <w:sz w:val="20"/>
          <w:szCs w:val="20"/>
          <w:lang w:eastAsia="en-AU"/>
        </w:rPr>
        <w:t xml:space="preserve">, </w:t>
      </w:r>
      <w:proofErr w:type="spellStart"/>
      <w:r w:rsidRPr="00640980">
        <w:rPr>
          <w:rFonts w:asciiTheme="minorHAnsi" w:hAnsiTheme="minorHAnsi"/>
          <w:sz w:val="20"/>
          <w:szCs w:val="20"/>
          <w:lang w:eastAsia="en-AU"/>
        </w:rPr>
        <w:t>coastcare</w:t>
      </w:r>
      <w:proofErr w:type="spellEnd"/>
      <w:r w:rsidRPr="00640980">
        <w:rPr>
          <w:rFonts w:asciiTheme="minorHAnsi" w:hAnsiTheme="minorHAnsi"/>
          <w:sz w:val="20"/>
          <w:szCs w:val="20"/>
          <w:lang w:eastAsia="en-AU"/>
        </w:rPr>
        <w:t xml:space="preserve">, </w:t>
      </w:r>
      <w:proofErr w:type="spellStart"/>
      <w:r w:rsidRPr="00640980">
        <w:rPr>
          <w:rFonts w:asciiTheme="minorHAnsi" w:hAnsiTheme="minorHAnsi"/>
          <w:sz w:val="20"/>
          <w:szCs w:val="20"/>
          <w:lang w:eastAsia="en-AU"/>
        </w:rPr>
        <w:t>rivercare</w:t>
      </w:r>
      <w:proofErr w:type="spellEnd"/>
      <w:r w:rsidRPr="00640980">
        <w:rPr>
          <w:rFonts w:asciiTheme="minorHAnsi" w:hAnsiTheme="minorHAnsi"/>
          <w:sz w:val="20"/>
          <w:szCs w:val="20"/>
          <w:lang w:eastAsia="en-AU"/>
        </w:rPr>
        <w:t xml:space="preserve"> </w:t>
      </w:r>
      <w:proofErr w:type="spellStart"/>
      <w:r w:rsidRPr="00640980">
        <w:rPr>
          <w:rFonts w:asciiTheme="minorHAnsi" w:hAnsiTheme="minorHAnsi"/>
          <w:sz w:val="20"/>
          <w:szCs w:val="20"/>
          <w:lang w:eastAsia="en-AU"/>
        </w:rPr>
        <w:t>etc</w:t>
      </w:r>
      <w:proofErr w:type="spellEnd"/>
      <w:r>
        <w:rPr>
          <w:rFonts w:asciiTheme="minorHAnsi" w:hAnsiTheme="minorHAnsi"/>
          <w:sz w:val="20"/>
          <w:szCs w:val="20"/>
          <w:lang w:eastAsia="en-AU"/>
        </w:rPr>
        <w:t>;</w:t>
      </w:r>
      <w:r w:rsidRPr="00640980">
        <w:rPr>
          <w:rFonts w:asciiTheme="minorHAnsi" w:hAnsiTheme="minorHAnsi"/>
          <w:sz w:val="20"/>
          <w:szCs w:val="20"/>
          <w:lang w:eastAsia="en-AU"/>
        </w:rPr>
        <w:t xml:space="preserve"> </w:t>
      </w:r>
    </w:p>
    <w:p w14:paraId="03A87FCD" w14:textId="77777777" w:rsidR="0022635A" w:rsidRPr="00640980" w:rsidRDefault="0022635A" w:rsidP="0022635A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ind w:left="714" w:hanging="357"/>
        <w:rPr>
          <w:rFonts w:asciiTheme="minorHAnsi" w:hAnsiTheme="minorHAnsi"/>
          <w:sz w:val="20"/>
          <w:szCs w:val="20"/>
          <w:lang w:eastAsia="en-AU"/>
        </w:rPr>
      </w:pPr>
      <w:r w:rsidRPr="00640980">
        <w:rPr>
          <w:rFonts w:asciiTheme="minorHAnsi" w:hAnsiTheme="minorHAnsi"/>
          <w:sz w:val="20"/>
          <w:szCs w:val="20"/>
          <w:lang w:eastAsia="en-AU"/>
        </w:rPr>
        <w:t>‘friends of’ groups and oth</w:t>
      </w:r>
      <w:r>
        <w:rPr>
          <w:rFonts w:asciiTheme="minorHAnsi" w:hAnsiTheme="minorHAnsi"/>
          <w:sz w:val="20"/>
          <w:szCs w:val="20"/>
          <w:lang w:eastAsia="en-AU"/>
        </w:rPr>
        <w:t>er community environment groups;</w:t>
      </w:r>
    </w:p>
    <w:p w14:paraId="03A87FCE" w14:textId="77777777" w:rsidR="0022635A" w:rsidRPr="00640980" w:rsidRDefault="0022635A" w:rsidP="0022635A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ind w:left="714" w:hanging="357"/>
        <w:rPr>
          <w:rFonts w:asciiTheme="minorHAnsi" w:hAnsiTheme="minorHAnsi"/>
          <w:sz w:val="20"/>
          <w:szCs w:val="20"/>
          <w:lang w:eastAsia="en-AU"/>
        </w:rPr>
      </w:pPr>
      <w:r w:rsidRPr="00640980">
        <w:rPr>
          <w:rFonts w:asciiTheme="minorHAnsi" w:hAnsiTheme="minorHAnsi"/>
          <w:sz w:val="20"/>
          <w:szCs w:val="20"/>
          <w:lang w:eastAsia="en-AU"/>
        </w:rPr>
        <w:t>farmer/producer groups</w:t>
      </w:r>
      <w:r>
        <w:rPr>
          <w:rFonts w:asciiTheme="minorHAnsi" w:hAnsiTheme="minorHAnsi"/>
          <w:sz w:val="20"/>
          <w:szCs w:val="20"/>
          <w:lang w:eastAsia="en-AU"/>
        </w:rPr>
        <w:t xml:space="preserve"> and individuals;</w:t>
      </w:r>
    </w:p>
    <w:p w14:paraId="03A87FCF" w14:textId="77777777" w:rsidR="0022635A" w:rsidRPr="00640980" w:rsidRDefault="0022635A" w:rsidP="0022635A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ind w:left="714" w:hanging="357"/>
        <w:rPr>
          <w:rFonts w:asciiTheme="minorHAnsi" w:hAnsiTheme="minorHAnsi"/>
          <w:sz w:val="20"/>
          <w:szCs w:val="20"/>
          <w:lang w:eastAsia="en-AU"/>
        </w:rPr>
      </w:pPr>
      <w:r w:rsidRPr="00640980">
        <w:rPr>
          <w:rFonts w:asciiTheme="minorHAnsi" w:hAnsiTheme="minorHAnsi"/>
          <w:sz w:val="20"/>
          <w:szCs w:val="20"/>
          <w:lang w:eastAsia="en-AU"/>
        </w:rPr>
        <w:t xml:space="preserve">Indigenous </w:t>
      </w:r>
      <w:r>
        <w:rPr>
          <w:rFonts w:asciiTheme="minorHAnsi" w:hAnsiTheme="minorHAnsi"/>
          <w:sz w:val="20"/>
          <w:szCs w:val="20"/>
          <w:lang w:eastAsia="en-AU"/>
        </w:rPr>
        <w:t xml:space="preserve">people, </w:t>
      </w:r>
      <w:r w:rsidRPr="00640980">
        <w:rPr>
          <w:rFonts w:asciiTheme="minorHAnsi" w:hAnsiTheme="minorHAnsi"/>
          <w:sz w:val="20"/>
          <w:szCs w:val="20"/>
          <w:lang w:eastAsia="en-AU"/>
        </w:rPr>
        <w:t>communities and organisations</w:t>
      </w:r>
      <w:r>
        <w:rPr>
          <w:rFonts w:asciiTheme="minorHAnsi" w:hAnsiTheme="minorHAnsi"/>
          <w:sz w:val="20"/>
          <w:szCs w:val="20"/>
          <w:lang w:eastAsia="en-AU"/>
        </w:rPr>
        <w:t>; and</w:t>
      </w:r>
      <w:r w:rsidRPr="00640980">
        <w:rPr>
          <w:rFonts w:asciiTheme="minorHAnsi" w:hAnsiTheme="minorHAnsi"/>
          <w:sz w:val="20"/>
          <w:szCs w:val="20"/>
          <w:lang w:eastAsia="en-AU"/>
        </w:rPr>
        <w:t xml:space="preserve"> </w:t>
      </w:r>
    </w:p>
    <w:p w14:paraId="03A87FD0" w14:textId="77777777" w:rsidR="0022635A" w:rsidRPr="0022635A" w:rsidRDefault="0022635A" w:rsidP="0022635A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ind w:left="714" w:hanging="357"/>
        <w:rPr>
          <w:rFonts w:asciiTheme="minorHAnsi" w:hAnsiTheme="minorHAnsi"/>
          <w:sz w:val="20"/>
          <w:szCs w:val="20"/>
          <w:lang w:eastAsia="en-AU"/>
        </w:rPr>
      </w:pPr>
      <w:proofErr w:type="gramStart"/>
      <w:r w:rsidRPr="00640980">
        <w:rPr>
          <w:rFonts w:asciiTheme="minorHAnsi" w:hAnsiTheme="minorHAnsi"/>
          <w:sz w:val="20"/>
          <w:szCs w:val="20"/>
          <w:lang w:eastAsia="en-AU"/>
        </w:rPr>
        <w:t>individual</w:t>
      </w:r>
      <w:proofErr w:type="gramEnd"/>
      <w:r w:rsidRPr="00640980">
        <w:rPr>
          <w:rFonts w:asciiTheme="minorHAnsi" w:hAnsiTheme="minorHAnsi"/>
          <w:sz w:val="20"/>
          <w:szCs w:val="20"/>
          <w:lang w:eastAsia="en-AU"/>
        </w:rPr>
        <w:t xml:space="preserve"> land managers working in the </w:t>
      </w:r>
      <w:proofErr w:type="spellStart"/>
      <w:r w:rsidRPr="00640980">
        <w:rPr>
          <w:rFonts w:asciiTheme="minorHAnsi" w:hAnsiTheme="minorHAnsi"/>
          <w:sz w:val="20"/>
          <w:szCs w:val="20"/>
          <w:lang w:eastAsia="en-AU"/>
        </w:rPr>
        <w:t>landcare</w:t>
      </w:r>
      <w:proofErr w:type="spellEnd"/>
      <w:r w:rsidRPr="00640980">
        <w:rPr>
          <w:rFonts w:asciiTheme="minorHAnsi" w:hAnsiTheme="minorHAnsi"/>
          <w:sz w:val="20"/>
          <w:szCs w:val="20"/>
          <w:lang w:eastAsia="en-AU"/>
        </w:rPr>
        <w:t>/NRM sector.</w:t>
      </w:r>
    </w:p>
    <w:sectPr w:rsidR="0022635A" w:rsidRPr="0022635A" w:rsidSect="00F00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87FD3" w14:textId="77777777" w:rsidR="00473BD9" w:rsidRDefault="00473BD9" w:rsidP="00A60185">
      <w:pPr>
        <w:spacing w:after="0" w:line="240" w:lineRule="auto"/>
      </w:pPr>
      <w:r>
        <w:separator/>
      </w:r>
    </w:p>
  </w:endnote>
  <w:endnote w:type="continuationSeparator" w:id="0">
    <w:p w14:paraId="03A87FD4" w14:textId="77777777" w:rsidR="00473BD9" w:rsidRDefault="00473BD9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6569F" w14:textId="77777777" w:rsidR="00170F16" w:rsidRDefault="00170F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03A87FD6" w14:textId="1DA7381B" w:rsidR="00473BD9" w:rsidRDefault="00FE44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F16">
          <w:rPr>
            <w:noProof/>
          </w:rPr>
          <w:t>10</w:t>
        </w:r>
        <w:r>
          <w:rPr>
            <w:noProof/>
          </w:rPr>
          <w:fldChar w:fldCharType="end"/>
        </w:r>
        <w:r w:rsidR="00473BD9">
          <w:t>.</w:t>
        </w:r>
      </w:p>
      <w:p w14:paraId="03A87FD7" w14:textId="1246E542" w:rsidR="00473BD9" w:rsidRPr="007B0E88" w:rsidRDefault="00473BD9" w:rsidP="007B0E88">
        <w:pPr>
          <w:pStyle w:val="Footer"/>
          <w:jc w:val="right"/>
          <w:rPr>
            <w:rFonts w:asciiTheme="minorHAnsi" w:hAnsiTheme="minorHAnsi"/>
            <w:sz w:val="18"/>
            <w:szCs w:val="18"/>
          </w:rPr>
        </w:pPr>
        <w:r>
          <w:rPr>
            <w:rFonts w:asciiTheme="minorHAnsi" w:hAnsiTheme="minorHAnsi"/>
            <w:sz w:val="18"/>
            <w:szCs w:val="18"/>
          </w:rPr>
          <w:t xml:space="preserve">Version </w:t>
        </w:r>
        <w:r w:rsidR="00AF54DD">
          <w:rPr>
            <w:rFonts w:asciiTheme="minorHAnsi" w:hAnsiTheme="minorHAnsi"/>
            <w:sz w:val="18"/>
            <w:szCs w:val="18"/>
          </w:rPr>
          <w:t>1</w:t>
        </w:r>
        <w:r w:rsidR="003222B6">
          <w:rPr>
            <w:rFonts w:asciiTheme="minorHAnsi" w:hAnsiTheme="minorHAnsi"/>
            <w:sz w:val="18"/>
            <w:szCs w:val="18"/>
          </w:rPr>
          <w:t>.0</w:t>
        </w:r>
        <w:r>
          <w:rPr>
            <w:rFonts w:asciiTheme="minorHAnsi" w:hAnsiTheme="minorHAnsi"/>
            <w:sz w:val="18"/>
            <w:szCs w:val="18"/>
          </w:rPr>
          <w:t xml:space="preserve"> Final</w:t>
        </w:r>
        <w:r w:rsidRPr="007B0E88">
          <w:rPr>
            <w:rFonts w:asciiTheme="minorHAnsi" w:hAnsiTheme="minorHAnsi"/>
            <w:sz w:val="18"/>
            <w:szCs w:val="18"/>
          </w:rPr>
          <w:t xml:space="preserve"> </w:t>
        </w:r>
        <w:r>
          <w:rPr>
            <w:rFonts w:asciiTheme="minorHAnsi" w:hAnsiTheme="minorHAnsi"/>
            <w:sz w:val="18"/>
            <w:szCs w:val="18"/>
          </w:rPr>
          <w:t xml:space="preserve">- </w:t>
        </w:r>
        <w:r w:rsidR="00CB641A">
          <w:rPr>
            <w:rFonts w:asciiTheme="minorHAnsi" w:hAnsiTheme="minorHAnsi"/>
            <w:sz w:val="18"/>
            <w:szCs w:val="18"/>
          </w:rPr>
          <w:t>10</w:t>
        </w:r>
        <w:r w:rsidRPr="007B0E88">
          <w:rPr>
            <w:rFonts w:asciiTheme="minorHAnsi" w:hAnsiTheme="minorHAnsi"/>
            <w:sz w:val="18"/>
            <w:szCs w:val="18"/>
          </w:rPr>
          <w:t>/0</w:t>
        </w:r>
        <w:r w:rsidR="00AF54DD">
          <w:rPr>
            <w:rFonts w:asciiTheme="minorHAnsi" w:hAnsiTheme="minorHAnsi"/>
            <w:sz w:val="18"/>
            <w:szCs w:val="18"/>
          </w:rPr>
          <w:t>5</w:t>
        </w:r>
        <w:r w:rsidRPr="007B0E88">
          <w:rPr>
            <w:rFonts w:asciiTheme="minorHAnsi" w:hAnsiTheme="minorHAnsi"/>
            <w:sz w:val="18"/>
            <w:szCs w:val="18"/>
          </w:rPr>
          <w:t>/</w:t>
        </w:r>
        <w:r w:rsidR="00CB641A" w:rsidRPr="007B0E88">
          <w:rPr>
            <w:rFonts w:asciiTheme="minorHAnsi" w:hAnsiTheme="minorHAnsi"/>
            <w:sz w:val="18"/>
            <w:szCs w:val="18"/>
          </w:rPr>
          <w:t>1</w:t>
        </w:r>
        <w:r w:rsidR="00CB641A">
          <w:rPr>
            <w:rFonts w:asciiTheme="minorHAnsi" w:hAnsiTheme="minorHAnsi"/>
            <w:sz w:val="18"/>
            <w:szCs w:val="18"/>
          </w:rPr>
          <w:t>7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95459" w14:textId="77777777" w:rsidR="00170F16" w:rsidRDefault="00170F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87FD1" w14:textId="77777777" w:rsidR="00473BD9" w:rsidRDefault="00473BD9" w:rsidP="00A60185">
      <w:pPr>
        <w:spacing w:after="0" w:line="240" w:lineRule="auto"/>
      </w:pPr>
      <w:r>
        <w:separator/>
      </w:r>
    </w:p>
  </w:footnote>
  <w:footnote w:type="continuationSeparator" w:id="0">
    <w:p w14:paraId="03A87FD2" w14:textId="77777777" w:rsidR="00473BD9" w:rsidRDefault="00473BD9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87FD5" w14:textId="77777777" w:rsidR="00473BD9" w:rsidRDefault="005B24E1" w:rsidP="00E45765">
    <w:pPr>
      <w:pStyle w:val="Classification"/>
    </w:pPr>
    <w:r>
      <w:fldChar w:fldCharType="begin"/>
    </w:r>
    <w:r w:rsidR="00473BD9">
      <w:instrText xml:space="preserve"> DOCPROPERTY SecurityClassification \* MERGEFORMAT </w:instrText>
    </w:r>
    <w:r>
      <w:fldChar w:fldCharType="separate"/>
    </w:r>
    <w:r w:rsidR="00B53E96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44385" w14:textId="77777777" w:rsidR="00170F16" w:rsidRDefault="00170F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87FD8" w14:textId="77777777" w:rsidR="00EA45AC" w:rsidRDefault="00EA45AC" w:rsidP="00123C68">
    <w:pPr>
      <w:pStyle w:val="Header"/>
      <w:jc w:val="center"/>
      <w:rPr>
        <w:rFonts w:asciiTheme="minorHAnsi" w:hAnsiTheme="minorHAnsi"/>
        <w:b/>
        <w:i/>
        <w:sz w:val="28"/>
        <w:szCs w:val="28"/>
      </w:rPr>
    </w:pPr>
    <w:r w:rsidRPr="00EA45AC">
      <w:rPr>
        <w:rFonts w:asciiTheme="minorHAnsi" w:hAnsiTheme="minorHAnsi"/>
        <w:b/>
        <w:i/>
        <w:noProof/>
        <w:sz w:val="28"/>
        <w:szCs w:val="28"/>
        <w:lang w:eastAsia="en-AU"/>
      </w:rPr>
      <w:drawing>
        <wp:inline distT="0" distB="0" distL="0" distR="0" wp14:anchorId="03A87FDC" wp14:editId="03A87FDD">
          <wp:extent cx="2476500" cy="784225"/>
          <wp:effectExtent l="19050" t="0" r="0" b="0"/>
          <wp:docPr id="3" name="Picture 1" descr="NL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 descr="NL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922" cy="78467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inline>
      </w:drawing>
    </w:r>
  </w:p>
  <w:p w14:paraId="03A87FD9" w14:textId="6073C319" w:rsidR="00473BD9" w:rsidRDefault="00235E5D" w:rsidP="00123C68">
    <w:pPr>
      <w:pStyle w:val="Header"/>
      <w:jc w:val="center"/>
      <w:rPr>
        <w:rFonts w:asciiTheme="minorHAnsi" w:hAnsiTheme="minorHAnsi"/>
        <w:b/>
        <w:i/>
        <w:sz w:val="28"/>
        <w:szCs w:val="28"/>
      </w:rPr>
    </w:pPr>
    <w:r>
      <w:rPr>
        <w:rFonts w:asciiTheme="minorHAnsi" w:hAnsiTheme="minorHAnsi"/>
        <w:b/>
        <w:i/>
        <w:sz w:val="28"/>
        <w:szCs w:val="28"/>
      </w:rPr>
      <w:t xml:space="preserve">2017 </w:t>
    </w:r>
    <w:r w:rsidR="00473BD9" w:rsidRPr="00C6151D">
      <w:rPr>
        <w:rFonts w:asciiTheme="minorHAnsi" w:hAnsiTheme="minorHAnsi"/>
        <w:b/>
        <w:i/>
        <w:sz w:val="28"/>
        <w:szCs w:val="28"/>
      </w:rPr>
      <w:t>Performance Expectations for Regional NRM Organisations</w:t>
    </w:r>
  </w:p>
  <w:p w14:paraId="03A87FDA" w14:textId="77777777" w:rsidR="00473BD9" w:rsidRDefault="00473BD9" w:rsidP="00B04A3C">
    <w:pPr>
      <w:pStyle w:val="Header"/>
      <w:tabs>
        <w:tab w:val="clear" w:pos="9026"/>
      </w:tabs>
      <w:jc w:val="center"/>
      <w:rPr>
        <w:rFonts w:asciiTheme="minorHAnsi" w:hAnsiTheme="minorHAnsi"/>
        <w:b/>
        <w:i/>
        <w:sz w:val="28"/>
        <w:szCs w:val="28"/>
      </w:rPr>
    </w:pPr>
    <w:r>
      <w:rPr>
        <w:rFonts w:asciiTheme="minorHAnsi" w:hAnsiTheme="minorHAnsi"/>
        <w:b/>
        <w:i/>
        <w:sz w:val="28"/>
        <w:szCs w:val="28"/>
      </w:rPr>
      <w:t xml:space="preserve">Supporting evidence required </w:t>
    </w:r>
  </w:p>
  <w:p w14:paraId="03A87FDB" w14:textId="166E993A" w:rsidR="00473BD9" w:rsidRDefault="00235E5D" w:rsidP="007B0E88">
    <w:pPr>
      <w:pStyle w:val="Header"/>
      <w:tabs>
        <w:tab w:val="clear" w:pos="9026"/>
      </w:tabs>
      <w:spacing w:after="120"/>
      <w:jc w:val="center"/>
      <w:rPr>
        <w:rFonts w:asciiTheme="minorHAnsi" w:hAnsiTheme="minorHAnsi"/>
        <w:b/>
        <w:i/>
        <w:sz w:val="28"/>
        <w:szCs w:val="28"/>
      </w:rPr>
    </w:pPr>
    <w:r>
      <w:rPr>
        <w:rFonts w:asciiTheme="minorHAnsi" w:hAnsiTheme="minorHAnsi"/>
        <w:b/>
        <w:i/>
        <w:sz w:val="28"/>
        <w:szCs w:val="28"/>
      </w:rPr>
      <w:t>V</w:t>
    </w:r>
    <w:r w:rsidR="001A5867">
      <w:rPr>
        <w:rFonts w:asciiTheme="minorHAnsi" w:hAnsiTheme="minorHAnsi"/>
        <w:b/>
        <w:i/>
        <w:sz w:val="28"/>
        <w:szCs w:val="28"/>
      </w:rPr>
      <w:t>1</w:t>
    </w:r>
    <w:r w:rsidR="003222B6">
      <w:rPr>
        <w:rFonts w:asciiTheme="minorHAnsi" w:hAnsiTheme="minorHAnsi"/>
        <w:b/>
        <w:i/>
        <w:sz w:val="28"/>
        <w:szCs w:val="28"/>
      </w:rPr>
      <w:t>.0</w:t>
    </w:r>
    <w:r w:rsidR="00473BD9">
      <w:rPr>
        <w:rFonts w:asciiTheme="minorHAnsi" w:hAnsiTheme="minorHAnsi"/>
        <w:b/>
        <w:i/>
        <w:sz w:val="28"/>
        <w:szCs w:val="28"/>
      </w:rPr>
      <w:t xml:space="preserve"> - </w:t>
    </w:r>
    <w:r>
      <w:rPr>
        <w:rFonts w:asciiTheme="minorHAnsi" w:hAnsiTheme="minorHAnsi"/>
        <w:b/>
        <w:i/>
        <w:sz w:val="28"/>
        <w:szCs w:val="28"/>
      </w:rPr>
      <w:t>10/04/17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D30D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 w15:restartNumberingAfterBreak="0">
    <w:nsid w:val="07B13450"/>
    <w:multiLevelType w:val="hybridMultilevel"/>
    <w:tmpl w:val="5B7C0E0C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275F17F6"/>
    <w:multiLevelType w:val="hybridMultilevel"/>
    <w:tmpl w:val="E45641E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4C3722"/>
    <w:multiLevelType w:val="hybridMultilevel"/>
    <w:tmpl w:val="B02C2940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2407B17"/>
    <w:multiLevelType w:val="hybridMultilevel"/>
    <w:tmpl w:val="030669A4"/>
    <w:lvl w:ilvl="0" w:tplc="21FAB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CF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CE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A9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6C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8E5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44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EA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3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5456429"/>
    <w:multiLevelType w:val="multilevel"/>
    <w:tmpl w:val="E898CC72"/>
    <w:numStyleLink w:val="KeyPoints"/>
  </w:abstractNum>
  <w:abstractNum w:abstractNumId="10" w15:restartNumberingAfterBreak="0">
    <w:nsid w:val="6CC632A8"/>
    <w:multiLevelType w:val="hybridMultilevel"/>
    <w:tmpl w:val="1166C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2" w15:restartNumberingAfterBreak="0">
    <w:nsid w:val="7EA84B0B"/>
    <w:multiLevelType w:val="hybridMultilevel"/>
    <w:tmpl w:val="6A5E1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3"/>
  </w:num>
  <w:num w:numId="13">
    <w:abstractNumId w:val="6"/>
  </w:num>
  <w:num w:numId="14">
    <w:abstractNumId w:val="12"/>
  </w:num>
  <w:num w:numId="15">
    <w:abstractNumId w:val="6"/>
  </w:num>
  <w:num w:numId="16">
    <w:abstractNumId w:val="6"/>
  </w:num>
  <w:num w:numId="17">
    <w:abstractNumId w:val="6"/>
  </w:num>
  <w:num w:numId="18">
    <w:abstractNumId w:val="10"/>
  </w:num>
  <w:num w:numId="19">
    <w:abstractNumId w:val="6"/>
  </w:num>
  <w:num w:numId="20">
    <w:abstractNumId w:val="6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0"/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481255"/>
    <w:rsid w:val="00002C16"/>
    <w:rsid w:val="000034CD"/>
    <w:rsid w:val="00004AEE"/>
    <w:rsid w:val="00005CAA"/>
    <w:rsid w:val="00006E73"/>
    <w:rsid w:val="00010210"/>
    <w:rsid w:val="00011EF7"/>
    <w:rsid w:val="0001235B"/>
    <w:rsid w:val="00012D66"/>
    <w:rsid w:val="00013E5D"/>
    <w:rsid w:val="00015ADA"/>
    <w:rsid w:val="000179A1"/>
    <w:rsid w:val="00017DDD"/>
    <w:rsid w:val="00020C99"/>
    <w:rsid w:val="0002707B"/>
    <w:rsid w:val="00027425"/>
    <w:rsid w:val="0003369F"/>
    <w:rsid w:val="00036230"/>
    <w:rsid w:val="00047BCF"/>
    <w:rsid w:val="0005148E"/>
    <w:rsid w:val="000533BD"/>
    <w:rsid w:val="00054C3C"/>
    <w:rsid w:val="000565A0"/>
    <w:rsid w:val="000652D0"/>
    <w:rsid w:val="00065689"/>
    <w:rsid w:val="00066740"/>
    <w:rsid w:val="00067129"/>
    <w:rsid w:val="00072C5A"/>
    <w:rsid w:val="000759E5"/>
    <w:rsid w:val="00076C64"/>
    <w:rsid w:val="0007700E"/>
    <w:rsid w:val="00084AC6"/>
    <w:rsid w:val="00085394"/>
    <w:rsid w:val="00085EEA"/>
    <w:rsid w:val="00086544"/>
    <w:rsid w:val="00087218"/>
    <w:rsid w:val="00087D07"/>
    <w:rsid w:val="00091608"/>
    <w:rsid w:val="00092580"/>
    <w:rsid w:val="0009333C"/>
    <w:rsid w:val="00094253"/>
    <w:rsid w:val="0009489F"/>
    <w:rsid w:val="000969E3"/>
    <w:rsid w:val="00096A75"/>
    <w:rsid w:val="0009704F"/>
    <w:rsid w:val="000A0F11"/>
    <w:rsid w:val="000A125A"/>
    <w:rsid w:val="000A3E5D"/>
    <w:rsid w:val="000A425A"/>
    <w:rsid w:val="000A44DC"/>
    <w:rsid w:val="000A57CD"/>
    <w:rsid w:val="000A6FDB"/>
    <w:rsid w:val="000B3758"/>
    <w:rsid w:val="000B5305"/>
    <w:rsid w:val="000B7050"/>
    <w:rsid w:val="000B7681"/>
    <w:rsid w:val="000B7B42"/>
    <w:rsid w:val="000C02B7"/>
    <w:rsid w:val="000C5100"/>
    <w:rsid w:val="000C5342"/>
    <w:rsid w:val="000C706A"/>
    <w:rsid w:val="000C76D6"/>
    <w:rsid w:val="000D2887"/>
    <w:rsid w:val="000D6D63"/>
    <w:rsid w:val="000D732E"/>
    <w:rsid w:val="000E0081"/>
    <w:rsid w:val="000E07CF"/>
    <w:rsid w:val="000E1ADE"/>
    <w:rsid w:val="000E31C1"/>
    <w:rsid w:val="000E422A"/>
    <w:rsid w:val="000E4925"/>
    <w:rsid w:val="000E4D00"/>
    <w:rsid w:val="000E5623"/>
    <w:rsid w:val="000F2CF2"/>
    <w:rsid w:val="000F3B45"/>
    <w:rsid w:val="000F3BFD"/>
    <w:rsid w:val="000F5075"/>
    <w:rsid w:val="000F7FD0"/>
    <w:rsid w:val="00100BEF"/>
    <w:rsid w:val="001020F5"/>
    <w:rsid w:val="00104545"/>
    <w:rsid w:val="00106A2C"/>
    <w:rsid w:val="00111326"/>
    <w:rsid w:val="0011498E"/>
    <w:rsid w:val="00115EAA"/>
    <w:rsid w:val="00117556"/>
    <w:rsid w:val="00117A45"/>
    <w:rsid w:val="00117F28"/>
    <w:rsid w:val="00121BCC"/>
    <w:rsid w:val="001224AE"/>
    <w:rsid w:val="00123A4E"/>
    <w:rsid w:val="00123C68"/>
    <w:rsid w:val="00126229"/>
    <w:rsid w:val="0012697E"/>
    <w:rsid w:val="00131B4C"/>
    <w:rsid w:val="00133708"/>
    <w:rsid w:val="001337D4"/>
    <w:rsid w:val="00134201"/>
    <w:rsid w:val="00140F61"/>
    <w:rsid w:val="00141D36"/>
    <w:rsid w:val="0014793B"/>
    <w:rsid w:val="00147C12"/>
    <w:rsid w:val="001527A1"/>
    <w:rsid w:val="001530DC"/>
    <w:rsid w:val="00154666"/>
    <w:rsid w:val="00154989"/>
    <w:rsid w:val="00154B71"/>
    <w:rsid w:val="00155A9F"/>
    <w:rsid w:val="00160262"/>
    <w:rsid w:val="0016780A"/>
    <w:rsid w:val="00170F16"/>
    <w:rsid w:val="001713FA"/>
    <w:rsid w:val="001725C5"/>
    <w:rsid w:val="00173EBF"/>
    <w:rsid w:val="00175247"/>
    <w:rsid w:val="00175ED3"/>
    <w:rsid w:val="001840D2"/>
    <w:rsid w:val="001842A2"/>
    <w:rsid w:val="00184B5E"/>
    <w:rsid w:val="00184D98"/>
    <w:rsid w:val="00185F58"/>
    <w:rsid w:val="001870D6"/>
    <w:rsid w:val="00187A9E"/>
    <w:rsid w:val="00187FA8"/>
    <w:rsid w:val="00190BA6"/>
    <w:rsid w:val="00192F5E"/>
    <w:rsid w:val="001963BF"/>
    <w:rsid w:val="00197772"/>
    <w:rsid w:val="00197E39"/>
    <w:rsid w:val="001A12D9"/>
    <w:rsid w:val="001A2005"/>
    <w:rsid w:val="001A51C8"/>
    <w:rsid w:val="001A5867"/>
    <w:rsid w:val="001B2165"/>
    <w:rsid w:val="001B4CA8"/>
    <w:rsid w:val="001B5EA1"/>
    <w:rsid w:val="001B639B"/>
    <w:rsid w:val="001B678B"/>
    <w:rsid w:val="001B7030"/>
    <w:rsid w:val="001C4F3D"/>
    <w:rsid w:val="001C5E3E"/>
    <w:rsid w:val="001D01E5"/>
    <w:rsid w:val="001D0CDC"/>
    <w:rsid w:val="001D1D82"/>
    <w:rsid w:val="001D5AA6"/>
    <w:rsid w:val="001E1182"/>
    <w:rsid w:val="001E2678"/>
    <w:rsid w:val="001E4013"/>
    <w:rsid w:val="001F31CD"/>
    <w:rsid w:val="001F4CDB"/>
    <w:rsid w:val="00202C90"/>
    <w:rsid w:val="002069BA"/>
    <w:rsid w:val="00213DE8"/>
    <w:rsid w:val="00215828"/>
    <w:rsid w:val="0021594F"/>
    <w:rsid w:val="00216118"/>
    <w:rsid w:val="002209AB"/>
    <w:rsid w:val="002250EC"/>
    <w:rsid w:val="002251E3"/>
    <w:rsid w:val="0022635A"/>
    <w:rsid w:val="0022700A"/>
    <w:rsid w:val="00227A95"/>
    <w:rsid w:val="002316BD"/>
    <w:rsid w:val="00234DA4"/>
    <w:rsid w:val="00235E5D"/>
    <w:rsid w:val="002370E2"/>
    <w:rsid w:val="00240C9C"/>
    <w:rsid w:val="00241B4F"/>
    <w:rsid w:val="002473FC"/>
    <w:rsid w:val="00247C04"/>
    <w:rsid w:val="0025203F"/>
    <w:rsid w:val="00252E3C"/>
    <w:rsid w:val="00262198"/>
    <w:rsid w:val="002626BB"/>
    <w:rsid w:val="00262EEC"/>
    <w:rsid w:val="0026672B"/>
    <w:rsid w:val="00266E3D"/>
    <w:rsid w:val="00273C54"/>
    <w:rsid w:val="0027420F"/>
    <w:rsid w:val="002774BA"/>
    <w:rsid w:val="00280753"/>
    <w:rsid w:val="00280888"/>
    <w:rsid w:val="00280CFC"/>
    <w:rsid w:val="00285F1B"/>
    <w:rsid w:val="0029118A"/>
    <w:rsid w:val="00292B81"/>
    <w:rsid w:val="00293ADC"/>
    <w:rsid w:val="0029438B"/>
    <w:rsid w:val="00297276"/>
    <w:rsid w:val="002A09E6"/>
    <w:rsid w:val="002A3514"/>
    <w:rsid w:val="002A3F3B"/>
    <w:rsid w:val="002A4C50"/>
    <w:rsid w:val="002A64CD"/>
    <w:rsid w:val="002A721C"/>
    <w:rsid w:val="002A72F2"/>
    <w:rsid w:val="002A7FB9"/>
    <w:rsid w:val="002B18AE"/>
    <w:rsid w:val="002B41EF"/>
    <w:rsid w:val="002B4FA6"/>
    <w:rsid w:val="002B69F4"/>
    <w:rsid w:val="002B6A01"/>
    <w:rsid w:val="002C11D4"/>
    <w:rsid w:val="002C1AB8"/>
    <w:rsid w:val="002C1C93"/>
    <w:rsid w:val="002C5066"/>
    <w:rsid w:val="002C53E2"/>
    <w:rsid w:val="002C5813"/>
    <w:rsid w:val="002C6133"/>
    <w:rsid w:val="002D4AAC"/>
    <w:rsid w:val="002E5ED5"/>
    <w:rsid w:val="002E64D7"/>
    <w:rsid w:val="002E6B91"/>
    <w:rsid w:val="002F045A"/>
    <w:rsid w:val="002F2487"/>
    <w:rsid w:val="002F3203"/>
    <w:rsid w:val="002F327B"/>
    <w:rsid w:val="002F35E6"/>
    <w:rsid w:val="002F648C"/>
    <w:rsid w:val="0030039D"/>
    <w:rsid w:val="0030258D"/>
    <w:rsid w:val="0030326F"/>
    <w:rsid w:val="00304223"/>
    <w:rsid w:val="00304A88"/>
    <w:rsid w:val="00305129"/>
    <w:rsid w:val="003064F1"/>
    <w:rsid w:val="00307D9A"/>
    <w:rsid w:val="00310701"/>
    <w:rsid w:val="00311F8D"/>
    <w:rsid w:val="00315980"/>
    <w:rsid w:val="00316F7F"/>
    <w:rsid w:val="003218E8"/>
    <w:rsid w:val="003222B6"/>
    <w:rsid w:val="00322679"/>
    <w:rsid w:val="00323653"/>
    <w:rsid w:val="00325E34"/>
    <w:rsid w:val="00326DAD"/>
    <w:rsid w:val="00330DCE"/>
    <w:rsid w:val="00331E11"/>
    <w:rsid w:val="00333E12"/>
    <w:rsid w:val="00334761"/>
    <w:rsid w:val="00337EBC"/>
    <w:rsid w:val="00341DCD"/>
    <w:rsid w:val="0034563E"/>
    <w:rsid w:val="003467B2"/>
    <w:rsid w:val="003518D6"/>
    <w:rsid w:val="0035206E"/>
    <w:rsid w:val="00354307"/>
    <w:rsid w:val="0035460C"/>
    <w:rsid w:val="003556BD"/>
    <w:rsid w:val="0036003A"/>
    <w:rsid w:val="00364F3C"/>
    <w:rsid w:val="00365147"/>
    <w:rsid w:val="00367363"/>
    <w:rsid w:val="0037016E"/>
    <w:rsid w:val="003725AD"/>
    <w:rsid w:val="00372908"/>
    <w:rsid w:val="00373514"/>
    <w:rsid w:val="00374AE0"/>
    <w:rsid w:val="00375BBE"/>
    <w:rsid w:val="003802B6"/>
    <w:rsid w:val="00383020"/>
    <w:rsid w:val="003910F0"/>
    <w:rsid w:val="00392850"/>
    <w:rsid w:val="00394D7E"/>
    <w:rsid w:val="00395024"/>
    <w:rsid w:val="00396A08"/>
    <w:rsid w:val="003975FD"/>
    <w:rsid w:val="003A22C8"/>
    <w:rsid w:val="003A38A8"/>
    <w:rsid w:val="003A6EC3"/>
    <w:rsid w:val="003B057D"/>
    <w:rsid w:val="003B06C7"/>
    <w:rsid w:val="003B60CC"/>
    <w:rsid w:val="003B7EFD"/>
    <w:rsid w:val="003C033C"/>
    <w:rsid w:val="003C1488"/>
    <w:rsid w:val="003C1B25"/>
    <w:rsid w:val="003C2443"/>
    <w:rsid w:val="003C5DA3"/>
    <w:rsid w:val="003D4789"/>
    <w:rsid w:val="003D4BCD"/>
    <w:rsid w:val="003D4D41"/>
    <w:rsid w:val="003D6C2B"/>
    <w:rsid w:val="003D76EC"/>
    <w:rsid w:val="003E01D8"/>
    <w:rsid w:val="003E0539"/>
    <w:rsid w:val="003E2100"/>
    <w:rsid w:val="003E244F"/>
    <w:rsid w:val="003E2C70"/>
    <w:rsid w:val="003E448A"/>
    <w:rsid w:val="003E5D36"/>
    <w:rsid w:val="003E663A"/>
    <w:rsid w:val="003E77E8"/>
    <w:rsid w:val="003F11FC"/>
    <w:rsid w:val="003F6F5B"/>
    <w:rsid w:val="003F76A9"/>
    <w:rsid w:val="00401AB8"/>
    <w:rsid w:val="00403075"/>
    <w:rsid w:val="0040342D"/>
    <w:rsid w:val="00405882"/>
    <w:rsid w:val="00407F23"/>
    <w:rsid w:val="0041192D"/>
    <w:rsid w:val="00413EE1"/>
    <w:rsid w:val="0041715F"/>
    <w:rsid w:val="00420CE7"/>
    <w:rsid w:val="0042128E"/>
    <w:rsid w:val="0042173F"/>
    <w:rsid w:val="00425CD1"/>
    <w:rsid w:val="00431FE2"/>
    <w:rsid w:val="00432B60"/>
    <w:rsid w:val="00435B86"/>
    <w:rsid w:val="00440698"/>
    <w:rsid w:val="00444FB9"/>
    <w:rsid w:val="004540E2"/>
    <w:rsid w:val="00454454"/>
    <w:rsid w:val="004562CB"/>
    <w:rsid w:val="00457838"/>
    <w:rsid w:val="00457D35"/>
    <w:rsid w:val="00462FAB"/>
    <w:rsid w:val="00463384"/>
    <w:rsid w:val="00464E11"/>
    <w:rsid w:val="00466197"/>
    <w:rsid w:val="00467924"/>
    <w:rsid w:val="004712A5"/>
    <w:rsid w:val="00471422"/>
    <w:rsid w:val="0047266F"/>
    <w:rsid w:val="00473BD9"/>
    <w:rsid w:val="00476C81"/>
    <w:rsid w:val="00476D6B"/>
    <w:rsid w:val="00477412"/>
    <w:rsid w:val="00481255"/>
    <w:rsid w:val="004813DF"/>
    <w:rsid w:val="00482E8B"/>
    <w:rsid w:val="004871A7"/>
    <w:rsid w:val="00492C16"/>
    <w:rsid w:val="0049431A"/>
    <w:rsid w:val="00496FCA"/>
    <w:rsid w:val="004A0678"/>
    <w:rsid w:val="004A19AF"/>
    <w:rsid w:val="004A3A74"/>
    <w:rsid w:val="004A48A3"/>
    <w:rsid w:val="004B0D92"/>
    <w:rsid w:val="004B0EC0"/>
    <w:rsid w:val="004B1740"/>
    <w:rsid w:val="004B282A"/>
    <w:rsid w:val="004B66F1"/>
    <w:rsid w:val="004B6D78"/>
    <w:rsid w:val="004B7E04"/>
    <w:rsid w:val="004C3972"/>
    <w:rsid w:val="004C3EA0"/>
    <w:rsid w:val="004C4134"/>
    <w:rsid w:val="004D3F5F"/>
    <w:rsid w:val="004E0071"/>
    <w:rsid w:val="004E3241"/>
    <w:rsid w:val="004E750E"/>
    <w:rsid w:val="004F3B6B"/>
    <w:rsid w:val="004F469F"/>
    <w:rsid w:val="004F5166"/>
    <w:rsid w:val="004F7169"/>
    <w:rsid w:val="004F7495"/>
    <w:rsid w:val="004F799B"/>
    <w:rsid w:val="00500D66"/>
    <w:rsid w:val="00500DF1"/>
    <w:rsid w:val="005034E7"/>
    <w:rsid w:val="00503C2F"/>
    <w:rsid w:val="00506454"/>
    <w:rsid w:val="0051065C"/>
    <w:rsid w:val="0051344E"/>
    <w:rsid w:val="00514C8E"/>
    <w:rsid w:val="00524049"/>
    <w:rsid w:val="00526685"/>
    <w:rsid w:val="00531109"/>
    <w:rsid w:val="00531DBF"/>
    <w:rsid w:val="00532594"/>
    <w:rsid w:val="00532D0B"/>
    <w:rsid w:val="00536ADB"/>
    <w:rsid w:val="005372D9"/>
    <w:rsid w:val="00537365"/>
    <w:rsid w:val="005375D1"/>
    <w:rsid w:val="00545759"/>
    <w:rsid w:val="00545BE0"/>
    <w:rsid w:val="00546930"/>
    <w:rsid w:val="005539DB"/>
    <w:rsid w:val="0055455D"/>
    <w:rsid w:val="00554C6A"/>
    <w:rsid w:val="00557715"/>
    <w:rsid w:val="00562E85"/>
    <w:rsid w:val="0056332F"/>
    <w:rsid w:val="00563561"/>
    <w:rsid w:val="005649F7"/>
    <w:rsid w:val="00564FBB"/>
    <w:rsid w:val="00565C8B"/>
    <w:rsid w:val="00566DC8"/>
    <w:rsid w:val="005708C6"/>
    <w:rsid w:val="005719B3"/>
    <w:rsid w:val="0057295E"/>
    <w:rsid w:val="005734E3"/>
    <w:rsid w:val="00581C39"/>
    <w:rsid w:val="00584720"/>
    <w:rsid w:val="005869B9"/>
    <w:rsid w:val="005903B6"/>
    <w:rsid w:val="005A0247"/>
    <w:rsid w:val="005A126E"/>
    <w:rsid w:val="005A1395"/>
    <w:rsid w:val="005A251D"/>
    <w:rsid w:val="005A2553"/>
    <w:rsid w:val="005A452F"/>
    <w:rsid w:val="005A4EC1"/>
    <w:rsid w:val="005A624A"/>
    <w:rsid w:val="005A6C9A"/>
    <w:rsid w:val="005A7ECB"/>
    <w:rsid w:val="005B140D"/>
    <w:rsid w:val="005B24E1"/>
    <w:rsid w:val="005B392C"/>
    <w:rsid w:val="005B3A82"/>
    <w:rsid w:val="005B4814"/>
    <w:rsid w:val="005B66FE"/>
    <w:rsid w:val="005B6CE0"/>
    <w:rsid w:val="005C0457"/>
    <w:rsid w:val="005C1FEA"/>
    <w:rsid w:val="005C3495"/>
    <w:rsid w:val="005D0ADD"/>
    <w:rsid w:val="005D0DD8"/>
    <w:rsid w:val="005D7683"/>
    <w:rsid w:val="005E2845"/>
    <w:rsid w:val="005E36A1"/>
    <w:rsid w:val="005E36C1"/>
    <w:rsid w:val="005E3DFC"/>
    <w:rsid w:val="005E40C3"/>
    <w:rsid w:val="005E5942"/>
    <w:rsid w:val="005E60AF"/>
    <w:rsid w:val="005E67D1"/>
    <w:rsid w:val="005F17CA"/>
    <w:rsid w:val="005F1DEA"/>
    <w:rsid w:val="005F51AB"/>
    <w:rsid w:val="0060387F"/>
    <w:rsid w:val="006038DF"/>
    <w:rsid w:val="00605D8E"/>
    <w:rsid w:val="00607307"/>
    <w:rsid w:val="00607FC9"/>
    <w:rsid w:val="0061507D"/>
    <w:rsid w:val="00622FE1"/>
    <w:rsid w:val="00623ABC"/>
    <w:rsid w:val="00624387"/>
    <w:rsid w:val="0062521C"/>
    <w:rsid w:val="00626FFF"/>
    <w:rsid w:val="00630A2B"/>
    <w:rsid w:val="00632069"/>
    <w:rsid w:val="00632DC7"/>
    <w:rsid w:val="0063421A"/>
    <w:rsid w:val="006357FB"/>
    <w:rsid w:val="0063615F"/>
    <w:rsid w:val="006371A9"/>
    <w:rsid w:val="006375DC"/>
    <w:rsid w:val="006402E4"/>
    <w:rsid w:val="006406FC"/>
    <w:rsid w:val="00640E57"/>
    <w:rsid w:val="00641F64"/>
    <w:rsid w:val="006451B2"/>
    <w:rsid w:val="00646122"/>
    <w:rsid w:val="006471B8"/>
    <w:rsid w:val="006477FC"/>
    <w:rsid w:val="00653A32"/>
    <w:rsid w:val="00653E16"/>
    <w:rsid w:val="006551AF"/>
    <w:rsid w:val="006557ED"/>
    <w:rsid w:val="00657220"/>
    <w:rsid w:val="00657362"/>
    <w:rsid w:val="0066104B"/>
    <w:rsid w:val="00661CF7"/>
    <w:rsid w:val="006630F4"/>
    <w:rsid w:val="00664A1D"/>
    <w:rsid w:val="006655EE"/>
    <w:rsid w:val="00667C10"/>
    <w:rsid w:val="00667EF4"/>
    <w:rsid w:val="00676FCA"/>
    <w:rsid w:val="00677177"/>
    <w:rsid w:val="00677BDB"/>
    <w:rsid w:val="00681E62"/>
    <w:rsid w:val="00682363"/>
    <w:rsid w:val="006847B6"/>
    <w:rsid w:val="00685B1A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B365F"/>
    <w:rsid w:val="006B749B"/>
    <w:rsid w:val="006C0579"/>
    <w:rsid w:val="006C2569"/>
    <w:rsid w:val="006C415E"/>
    <w:rsid w:val="006C4A1A"/>
    <w:rsid w:val="006C5A97"/>
    <w:rsid w:val="006C5CD1"/>
    <w:rsid w:val="006D0393"/>
    <w:rsid w:val="006D0BD4"/>
    <w:rsid w:val="006D1127"/>
    <w:rsid w:val="006D1A83"/>
    <w:rsid w:val="006D2B35"/>
    <w:rsid w:val="006D511E"/>
    <w:rsid w:val="006D5806"/>
    <w:rsid w:val="006D6949"/>
    <w:rsid w:val="006E1CFE"/>
    <w:rsid w:val="006E20C7"/>
    <w:rsid w:val="006E59F9"/>
    <w:rsid w:val="006E689B"/>
    <w:rsid w:val="006E72D6"/>
    <w:rsid w:val="006F05C0"/>
    <w:rsid w:val="006F10C4"/>
    <w:rsid w:val="006F24E3"/>
    <w:rsid w:val="006F39E7"/>
    <w:rsid w:val="006F3D28"/>
    <w:rsid w:val="006F40E9"/>
    <w:rsid w:val="006F5603"/>
    <w:rsid w:val="006F6849"/>
    <w:rsid w:val="006F7B87"/>
    <w:rsid w:val="00701400"/>
    <w:rsid w:val="007025B1"/>
    <w:rsid w:val="007037CF"/>
    <w:rsid w:val="00704D02"/>
    <w:rsid w:val="00705A6D"/>
    <w:rsid w:val="00705B23"/>
    <w:rsid w:val="0070636C"/>
    <w:rsid w:val="0070795F"/>
    <w:rsid w:val="00712015"/>
    <w:rsid w:val="007167C0"/>
    <w:rsid w:val="00716C67"/>
    <w:rsid w:val="00720481"/>
    <w:rsid w:val="00720550"/>
    <w:rsid w:val="00721DA6"/>
    <w:rsid w:val="007239BB"/>
    <w:rsid w:val="0072492C"/>
    <w:rsid w:val="00727687"/>
    <w:rsid w:val="00733193"/>
    <w:rsid w:val="00744DDA"/>
    <w:rsid w:val="00745E03"/>
    <w:rsid w:val="0075602C"/>
    <w:rsid w:val="0075732A"/>
    <w:rsid w:val="007600F8"/>
    <w:rsid w:val="00760262"/>
    <w:rsid w:val="00760460"/>
    <w:rsid w:val="00761CE1"/>
    <w:rsid w:val="007625A2"/>
    <w:rsid w:val="0076292D"/>
    <w:rsid w:val="0076310C"/>
    <w:rsid w:val="00764BA6"/>
    <w:rsid w:val="00766CC4"/>
    <w:rsid w:val="0076744F"/>
    <w:rsid w:val="00767879"/>
    <w:rsid w:val="00767BCE"/>
    <w:rsid w:val="00767EFC"/>
    <w:rsid w:val="007707DE"/>
    <w:rsid w:val="00770930"/>
    <w:rsid w:val="00770B5D"/>
    <w:rsid w:val="00771FC1"/>
    <w:rsid w:val="00772AC1"/>
    <w:rsid w:val="00773349"/>
    <w:rsid w:val="007752F1"/>
    <w:rsid w:val="00775C38"/>
    <w:rsid w:val="00776768"/>
    <w:rsid w:val="00780F1C"/>
    <w:rsid w:val="0078187A"/>
    <w:rsid w:val="007831B2"/>
    <w:rsid w:val="00783C01"/>
    <w:rsid w:val="00784104"/>
    <w:rsid w:val="00786812"/>
    <w:rsid w:val="00787D26"/>
    <w:rsid w:val="007903FE"/>
    <w:rsid w:val="00793DC6"/>
    <w:rsid w:val="00793E8C"/>
    <w:rsid w:val="00794ED8"/>
    <w:rsid w:val="00795DBE"/>
    <w:rsid w:val="0079635A"/>
    <w:rsid w:val="00797249"/>
    <w:rsid w:val="007974A2"/>
    <w:rsid w:val="007A2573"/>
    <w:rsid w:val="007B0E88"/>
    <w:rsid w:val="007B106C"/>
    <w:rsid w:val="007B141C"/>
    <w:rsid w:val="007B1A4E"/>
    <w:rsid w:val="007B3D05"/>
    <w:rsid w:val="007B52B4"/>
    <w:rsid w:val="007B5503"/>
    <w:rsid w:val="007B5831"/>
    <w:rsid w:val="007B7AAB"/>
    <w:rsid w:val="007B7DF1"/>
    <w:rsid w:val="007C179C"/>
    <w:rsid w:val="007C2207"/>
    <w:rsid w:val="007C3FD7"/>
    <w:rsid w:val="007C4077"/>
    <w:rsid w:val="007C6BB3"/>
    <w:rsid w:val="007D14B4"/>
    <w:rsid w:val="007D2465"/>
    <w:rsid w:val="007D3AD7"/>
    <w:rsid w:val="007D4B88"/>
    <w:rsid w:val="007D53D5"/>
    <w:rsid w:val="007E1A28"/>
    <w:rsid w:val="007E24F6"/>
    <w:rsid w:val="007F4CB2"/>
    <w:rsid w:val="007F50B8"/>
    <w:rsid w:val="007F5BFB"/>
    <w:rsid w:val="00800F64"/>
    <w:rsid w:val="00801050"/>
    <w:rsid w:val="00801D3A"/>
    <w:rsid w:val="00802F0B"/>
    <w:rsid w:val="00803359"/>
    <w:rsid w:val="00805B36"/>
    <w:rsid w:val="00805E8D"/>
    <w:rsid w:val="00810A67"/>
    <w:rsid w:val="0081239E"/>
    <w:rsid w:val="0081420A"/>
    <w:rsid w:val="00814FE8"/>
    <w:rsid w:val="00821A67"/>
    <w:rsid w:val="00821EDC"/>
    <w:rsid w:val="00822D2E"/>
    <w:rsid w:val="00822E4A"/>
    <w:rsid w:val="00823A9A"/>
    <w:rsid w:val="00824D43"/>
    <w:rsid w:val="00824E55"/>
    <w:rsid w:val="0082615E"/>
    <w:rsid w:val="00827D36"/>
    <w:rsid w:val="00833A65"/>
    <w:rsid w:val="00833CF7"/>
    <w:rsid w:val="00834CDE"/>
    <w:rsid w:val="00835AFF"/>
    <w:rsid w:val="00836E28"/>
    <w:rsid w:val="008401F2"/>
    <w:rsid w:val="00840B4E"/>
    <w:rsid w:val="00842464"/>
    <w:rsid w:val="00845601"/>
    <w:rsid w:val="0085103B"/>
    <w:rsid w:val="00851D17"/>
    <w:rsid w:val="0085369F"/>
    <w:rsid w:val="00853778"/>
    <w:rsid w:val="00855C5C"/>
    <w:rsid w:val="00855FBC"/>
    <w:rsid w:val="0085775C"/>
    <w:rsid w:val="008647DD"/>
    <w:rsid w:val="00873A4D"/>
    <w:rsid w:val="00874239"/>
    <w:rsid w:val="00881D06"/>
    <w:rsid w:val="00882023"/>
    <w:rsid w:val="008831AC"/>
    <w:rsid w:val="00884253"/>
    <w:rsid w:val="0088793F"/>
    <w:rsid w:val="008915E6"/>
    <w:rsid w:val="00893811"/>
    <w:rsid w:val="0089412C"/>
    <w:rsid w:val="008A3C96"/>
    <w:rsid w:val="008A5645"/>
    <w:rsid w:val="008A6299"/>
    <w:rsid w:val="008A6C66"/>
    <w:rsid w:val="008B1A89"/>
    <w:rsid w:val="008B2077"/>
    <w:rsid w:val="008B3A19"/>
    <w:rsid w:val="008B4019"/>
    <w:rsid w:val="008B65C9"/>
    <w:rsid w:val="008B6AB9"/>
    <w:rsid w:val="008C2D4A"/>
    <w:rsid w:val="008C5F92"/>
    <w:rsid w:val="008D2F84"/>
    <w:rsid w:val="008D36F2"/>
    <w:rsid w:val="008D3900"/>
    <w:rsid w:val="008D6E1D"/>
    <w:rsid w:val="008E05E1"/>
    <w:rsid w:val="008E21E3"/>
    <w:rsid w:val="008E4814"/>
    <w:rsid w:val="008E6D31"/>
    <w:rsid w:val="008F0745"/>
    <w:rsid w:val="008F2799"/>
    <w:rsid w:val="008F39B4"/>
    <w:rsid w:val="008F4162"/>
    <w:rsid w:val="00902E73"/>
    <w:rsid w:val="00903B6D"/>
    <w:rsid w:val="00903E02"/>
    <w:rsid w:val="009051AD"/>
    <w:rsid w:val="009074E8"/>
    <w:rsid w:val="009112D5"/>
    <w:rsid w:val="00913175"/>
    <w:rsid w:val="00914608"/>
    <w:rsid w:val="00916EDB"/>
    <w:rsid w:val="00920861"/>
    <w:rsid w:val="00922891"/>
    <w:rsid w:val="00922B13"/>
    <w:rsid w:val="00923292"/>
    <w:rsid w:val="009242EF"/>
    <w:rsid w:val="00927149"/>
    <w:rsid w:val="00932291"/>
    <w:rsid w:val="00932861"/>
    <w:rsid w:val="0093380C"/>
    <w:rsid w:val="0093408E"/>
    <w:rsid w:val="00944190"/>
    <w:rsid w:val="009455DF"/>
    <w:rsid w:val="009468D6"/>
    <w:rsid w:val="00946A9F"/>
    <w:rsid w:val="00947A6A"/>
    <w:rsid w:val="00947BEF"/>
    <w:rsid w:val="00950D59"/>
    <w:rsid w:val="00952DDF"/>
    <w:rsid w:val="00954F8F"/>
    <w:rsid w:val="0095679C"/>
    <w:rsid w:val="00960D78"/>
    <w:rsid w:val="009610A3"/>
    <w:rsid w:val="00963B6A"/>
    <w:rsid w:val="00963D35"/>
    <w:rsid w:val="00970950"/>
    <w:rsid w:val="00976996"/>
    <w:rsid w:val="009812D4"/>
    <w:rsid w:val="00981C9B"/>
    <w:rsid w:val="0098568B"/>
    <w:rsid w:val="00987F6F"/>
    <w:rsid w:val="009920D8"/>
    <w:rsid w:val="009929D4"/>
    <w:rsid w:val="009952F5"/>
    <w:rsid w:val="00997731"/>
    <w:rsid w:val="009A509F"/>
    <w:rsid w:val="009B38BE"/>
    <w:rsid w:val="009B51D6"/>
    <w:rsid w:val="009B77FE"/>
    <w:rsid w:val="009B7F2F"/>
    <w:rsid w:val="009C18C2"/>
    <w:rsid w:val="009C3D0F"/>
    <w:rsid w:val="009C56A5"/>
    <w:rsid w:val="009C7DCA"/>
    <w:rsid w:val="009D244A"/>
    <w:rsid w:val="009D4505"/>
    <w:rsid w:val="009D61EA"/>
    <w:rsid w:val="009E02E1"/>
    <w:rsid w:val="009E103F"/>
    <w:rsid w:val="009E17F1"/>
    <w:rsid w:val="009E1B19"/>
    <w:rsid w:val="009E30B2"/>
    <w:rsid w:val="009E3A58"/>
    <w:rsid w:val="009E49D8"/>
    <w:rsid w:val="009E5F6F"/>
    <w:rsid w:val="009F0AA0"/>
    <w:rsid w:val="009F104D"/>
    <w:rsid w:val="009F2348"/>
    <w:rsid w:val="009F2FE1"/>
    <w:rsid w:val="009F35E2"/>
    <w:rsid w:val="009F4C76"/>
    <w:rsid w:val="009F65F9"/>
    <w:rsid w:val="009F68BA"/>
    <w:rsid w:val="009F7BD9"/>
    <w:rsid w:val="00A06277"/>
    <w:rsid w:val="00A079DC"/>
    <w:rsid w:val="00A111C2"/>
    <w:rsid w:val="00A12D98"/>
    <w:rsid w:val="00A21B0A"/>
    <w:rsid w:val="00A21D4B"/>
    <w:rsid w:val="00A2392B"/>
    <w:rsid w:val="00A31185"/>
    <w:rsid w:val="00A327AC"/>
    <w:rsid w:val="00A33731"/>
    <w:rsid w:val="00A338E7"/>
    <w:rsid w:val="00A35CAA"/>
    <w:rsid w:val="00A366A9"/>
    <w:rsid w:val="00A36E7F"/>
    <w:rsid w:val="00A41E65"/>
    <w:rsid w:val="00A43E0A"/>
    <w:rsid w:val="00A47141"/>
    <w:rsid w:val="00A473B7"/>
    <w:rsid w:val="00A516CC"/>
    <w:rsid w:val="00A5307D"/>
    <w:rsid w:val="00A530C7"/>
    <w:rsid w:val="00A53BFE"/>
    <w:rsid w:val="00A55F5B"/>
    <w:rsid w:val="00A60185"/>
    <w:rsid w:val="00A60269"/>
    <w:rsid w:val="00A661EA"/>
    <w:rsid w:val="00A73E49"/>
    <w:rsid w:val="00A741D7"/>
    <w:rsid w:val="00A830E5"/>
    <w:rsid w:val="00A838DD"/>
    <w:rsid w:val="00A87135"/>
    <w:rsid w:val="00A93280"/>
    <w:rsid w:val="00A951EA"/>
    <w:rsid w:val="00A96DD4"/>
    <w:rsid w:val="00AA2029"/>
    <w:rsid w:val="00AA2548"/>
    <w:rsid w:val="00AA58C4"/>
    <w:rsid w:val="00AA5AA0"/>
    <w:rsid w:val="00AA6255"/>
    <w:rsid w:val="00AA7003"/>
    <w:rsid w:val="00AA7320"/>
    <w:rsid w:val="00AB11C8"/>
    <w:rsid w:val="00AB164F"/>
    <w:rsid w:val="00AB27C7"/>
    <w:rsid w:val="00AC08A8"/>
    <w:rsid w:val="00AC3F38"/>
    <w:rsid w:val="00AD56C8"/>
    <w:rsid w:val="00AD58F2"/>
    <w:rsid w:val="00AE17A3"/>
    <w:rsid w:val="00AE5FE8"/>
    <w:rsid w:val="00AF54DD"/>
    <w:rsid w:val="00B00EFA"/>
    <w:rsid w:val="00B04A3C"/>
    <w:rsid w:val="00B0512A"/>
    <w:rsid w:val="00B0529F"/>
    <w:rsid w:val="00B07076"/>
    <w:rsid w:val="00B122EA"/>
    <w:rsid w:val="00B1399A"/>
    <w:rsid w:val="00B1418B"/>
    <w:rsid w:val="00B14A99"/>
    <w:rsid w:val="00B20FEE"/>
    <w:rsid w:val="00B21195"/>
    <w:rsid w:val="00B214E3"/>
    <w:rsid w:val="00B22F47"/>
    <w:rsid w:val="00B24B22"/>
    <w:rsid w:val="00B25310"/>
    <w:rsid w:val="00B26E4B"/>
    <w:rsid w:val="00B308C9"/>
    <w:rsid w:val="00B32F8F"/>
    <w:rsid w:val="00B3492A"/>
    <w:rsid w:val="00B35097"/>
    <w:rsid w:val="00B37131"/>
    <w:rsid w:val="00B42C2C"/>
    <w:rsid w:val="00B42ED3"/>
    <w:rsid w:val="00B46ABC"/>
    <w:rsid w:val="00B51B24"/>
    <w:rsid w:val="00B53E96"/>
    <w:rsid w:val="00B54535"/>
    <w:rsid w:val="00B54DE9"/>
    <w:rsid w:val="00B553EC"/>
    <w:rsid w:val="00B5555C"/>
    <w:rsid w:val="00B55E3F"/>
    <w:rsid w:val="00B57E95"/>
    <w:rsid w:val="00B63C1E"/>
    <w:rsid w:val="00B650ED"/>
    <w:rsid w:val="00B679FA"/>
    <w:rsid w:val="00B702E0"/>
    <w:rsid w:val="00B71422"/>
    <w:rsid w:val="00B76686"/>
    <w:rsid w:val="00B8457A"/>
    <w:rsid w:val="00B84EAF"/>
    <w:rsid w:val="00B8633B"/>
    <w:rsid w:val="00B86B92"/>
    <w:rsid w:val="00B93A1E"/>
    <w:rsid w:val="00B93DD0"/>
    <w:rsid w:val="00B956AD"/>
    <w:rsid w:val="00B9632D"/>
    <w:rsid w:val="00B97732"/>
    <w:rsid w:val="00BA1478"/>
    <w:rsid w:val="00BA23D3"/>
    <w:rsid w:val="00BA36D9"/>
    <w:rsid w:val="00BA3752"/>
    <w:rsid w:val="00BA415A"/>
    <w:rsid w:val="00BA508D"/>
    <w:rsid w:val="00BA5634"/>
    <w:rsid w:val="00BA5B1C"/>
    <w:rsid w:val="00BA65A8"/>
    <w:rsid w:val="00BA6D19"/>
    <w:rsid w:val="00BA7461"/>
    <w:rsid w:val="00BA75FD"/>
    <w:rsid w:val="00BA7DA9"/>
    <w:rsid w:val="00BA7F82"/>
    <w:rsid w:val="00BC4215"/>
    <w:rsid w:val="00BC42FB"/>
    <w:rsid w:val="00BD13D3"/>
    <w:rsid w:val="00BD1A6F"/>
    <w:rsid w:val="00BD48D0"/>
    <w:rsid w:val="00BD52E1"/>
    <w:rsid w:val="00BD5EE5"/>
    <w:rsid w:val="00BD7B43"/>
    <w:rsid w:val="00BE1F61"/>
    <w:rsid w:val="00BE6D3C"/>
    <w:rsid w:val="00BE7852"/>
    <w:rsid w:val="00BF1A92"/>
    <w:rsid w:val="00BF26F7"/>
    <w:rsid w:val="00BF31AE"/>
    <w:rsid w:val="00BF4DDC"/>
    <w:rsid w:val="00BF7250"/>
    <w:rsid w:val="00BF7CEE"/>
    <w:rsid w:val="00C01B89"/>
    <w:rsid w:val="00C03880"/>
    <w:rsid w:val="00C0418F"/>
    <w:rsid w:val="00C053AA"/>
    <w:rsid w:val="00C057D7"/>
    <w:rsid w:val="00C07E61"/>
    <w:rsid w:val="00C135CF"/>
    <w:rsid w:val="00C17972"/>
    <w:rsid w:val="00C22074"/>
    <w:rsid w:val="00C2683F"/>
    <w:rsid w:val="00C309AC"/>
    <w:rsid w:val="00C31791"/>
    <w:rsid w:val="00C3184D"/>
    <w:rsid w:val="00C3237C"/>
    <w:rsid w:val="00C33E39"/>
    <w:rsid w:val="00C3457E"/>
    <w:rsid w:val="00C34855"/>
    <w:rsid w:val="00C348F3"/>
    <w:rsid w:val="00C4501C"/>
    <w:rsid w:val="00C458DB"/>
    <w:rsid w:val="00C46F5A"/>
    <w:rsid w:val="00C4714E"/>
    <w:rsid w:val="00C50E7E"/>
    <w:rsid w:val="00C51C2F"/>
    <w:rsid w:val="00C51CCA"/>
    <w:rsid w:val="00C5504F"/>
    <w:rsid w:val="00C55E01"/>
    <w:rsid w:val="00C57B55"/>
    <w:rsid w:val="00C60D0A"/>
    <w:rsid w:val="00C63376"/>
    <w:rsid w:val="00C67565"/>
    <w:rsid w:val="00C7097D"/>
    <w:rsid w:val="00C73339"/>
    <w:rsid w:val="00C74F97"/>
    <w:rsid w:val="00C804AA"/>
    <w:rsid w:val="00C8276E"/>
    <w:rsid w:val="00C842AC"/>
    <w:rsid w:val="00C96688"/>
    <w:rsid w:val="00CA0723"/>
    <w:rsid w:val="00CA27AB"/>
    <w:rsid w:val="00CA556E"/>
    <w:rsid w:val="00CA56C4"/>
    <w:rsid w:val="00CA5EC3"/>
    <w:rsid w:val="00CB1690"/>
    <w:rsid w:val="00CB2EA7"/>
    <w:rsid w:val="00CB538C"/>
    <w:rsid w:val="00CB641A"/>
    <w:rsid w:val="00CC283C"/>
    <w:rsid w:val="00CC2A23"/>
    <w:rsid w:val="00CC4365"/>
    <w:rsid w:val="00CD1185"/>
    <w:rsid w:val="00CD11B0"/>
    <w:rsid w:val="00CD400C"/>
    <w:rsid w:val="00CD52C8"/>
    <w:rsid w:val="00CE1B68"/>
    <w:rsid w:val="00CE2E88"/>
    <w:rsid w:val="00CE4572"/>
    <w:rsid w:val="00CE4AD3"/>
    <w:rsid w:val="00CE630F"/>
    <w:rsid w:val="00CE71C2"/>
    <w:rsid w:val="00CE7732"/>
    <w:rsid w:val="00CF34E9"/>
    <w:rsid w:val="00CF377F"/>
    <w:rsid w:val="00CF42D5"/>
    <w:rsid w:val="00CF4EDA"/>
    <w:rsid w:val="00CF77DE"/>
    <w:rsid w:val="00CF7CB1"/>
    <w:rsid w:val="00D01C4F"/>
    <w:rsid w:val="00D021CB"/>
    <w:rsid w:val="00D05026"/>
    <w:rsid w:val="00D07243"/>
    <w:rsid w:val="00D07368"/>
    <w:rsid w:val="00D10387"/>
    <w:rsid w:val="00D10F1A"/>
    <w:rsid w:val="00D116F8"/>
    <w:rsid w:val="00D14FB8"/>
    <w:rsid w:val="00D17596"/>
    <w:rsid w:val="00D21D54"/>
    <w:rsid w:val="00D22640"/>
    <w:rsid w:val="00D241BF"/>
    <w:rsid w:val="00D259DF"/>
    <w:rsid w:val="00D26050"/>
    <w:rsid w:val="00D26D3A"/>
    <w:rsid w:val="00D35385"/>
    <w:rsid w:val="00D4527D"/>
    <w:rsid w:val="00D45C06"/>
    <w:rsid w:val="00D45EE3"/>
    <w:rsid w:val="00D503FE"/>
    <w:rsid w:val="00D50618"/>
    <w:rsid w:val="00D509E9"/>
    <w:rsid w:val="00D53B1C"/>
    <w:rsid w:val="00D547D9"/>
    <w:rsid w:val="00D54C02"/>
    <w:rsid w:val="00D553A4"/>
    <w:rsid w:val="00D560CA"/>
    <w:rsid w:val="00D565BA"/>
    <w:rsid w:val="00D5683F"/>
    <w:rsid w:val="00D57BC9"/>
    <w:rsid w:val="00D6340C"/>
    <w:rsid w:val="00D64429"/>
    <w:rsid w:val="00D644F5"/>
    <w:rsid w:val="00D7125B"/>
    <w:rsid w:val="00D71F9E"/>
    <w:rsid w:val="00D72288"/>
    <w:rsid w:val="00D74EC4"/>
    <w:rsid w:val="00D761DB"/>
    <w:rsid w:val="00D80E50"/>
    <w:rsid w:val="00D83ED9"/>
    <w:rsid w:val="00D84582"/>
    <w:rsid w:val="00D86290"/>
    <w:rsid w:val="00D93112"/>
    <w:rsid w:val="00D9340B"/>
    <w:rsid w:val="00D93F7E"/>
    <w:rsid w:val="00D966FC"/>
    <w:rsid w:val="00D968C3"/>
    <w:rsid w:val="00DA1B12"/>
    <w:rsid w:val="00DA54C9"/>
    <w:rsid w:val="00DA61BC"/>
    <w:rsid w:val="00DA6739"/>
    <w:rsid w:val="00DA6CAE"/>
    <w:rsid w:val="00DA73D1"/>
    <w:rsid w:val="00DA76D6"/>
    <w:rsid w:val="00DB1792"/>
    <w:rsid w:val="00DB1A9E"/>
    <w:rsid w:val="00DB31D6"/>
    <w:rsid w:val="00DB3BAE"/>
    <w:rsid w:val="00DB3C17"/>
    <w:rsid w:val="00DB4005"/>
    <w:rsid w:val="00DB5CEB"/>
    <w:rsid w:val="00DB6A6B"/>
    <w:rsid w:val="00DB7F37"/>
    <w:rsid w:val="00DC1CCA"/>
    <w:rsid w:val="00DC34EB"/>
    <w:rsid w:val="00DD09B8"/>
    <w:rsid w:val="00DD7AC6"/>
    <w:rsid w:val="00DE32DB"/>
    <w:rsid w:val="00DE4131"/>
    <w:rsid w:val="00DE5973"/>
    <w:rsid w:val="00DF02BF"/>
    <w:rsid w:val="00DF17BD"/>
    <w:rsid w:val="00DF1E5B"/>
    <w:rsid w:val="00DF2275"/>
    <w:rsid w:val="00DF287E"/>
    <w:rsid w:val="00DF3F5E"/>
    <w:rsid w:val="00DF5653"/>
    <w:rsid w:val="00E01D4C"/>
    <w:rsid w:val="00E0596E"/>
    <w:rsid w:val="00E05AE2"/>
    <w:rsid w:val="00E06F66"/>
    <w:rsid w:val="00E07D7C"/>
    <w:rsid w:val="00E128B3"/>
    <w:rsid w:val="00E13F43"/>
    <w:rsid w:val="00E1464E"/>
    <w:rsid w:val="00E1549A"/>
    <w:rsid w:val="00E2309F"/>
    <w:rsid w:val="00E2794A"/>
    <w:rsid w:val="00E32B8F"/>
    <w:rsid w:val="00E333A1"/>
    <w:rsid w:val="00E356E5"/>
    <w:rsid w:val="00E35ED5"/>
    <w:rsid w:val="00E36F81"/>
    <w:rsid w:val="00E422E3"/>
    <w:rsid w:val="00E43932"/>
    <w:rsid w:val="00E45765"/>
    <w:rsid w:val="00E463C8"/>
    <w:rsid w:val="00E5098C"/>
    <w:rsid w:val="00E561C0"/>
    <w:rsid w:val="00E575A6"/>
    <w:rsid w:val="00E57AA7"/>
    <w:rsid w:val="00E60213"/>
    <w:rsid w:val="00E61D07"/>
    <w:rsid w:val="00E661B2"/>
    <w:rsid w:val="00E663FC"/>
    <w:rsid w:val="00E676EF"/>
    <w:rsid w:val="00E70A3B"/>
    <w:rsid w:val="00E70B6F"/>
    <w:rsid w:val="00E70BCF"/>
    <w:rsid w:val="00E74D29"/>
    <w:rsid w:val="00E77217"/>
    <w:rsid w:val="00E81AB5"/>
    <w:rsid w:val="00E83C74"/>
    <w:rsid w:val="00E83CDC"/>
    <w:rsid w:val="00E83CEE"/>
    <w:rsid w:val="00E91F18"/>
    <w:rsid w:val="00E9226D"/>
    <w:rsid w:val="00E939AB"/>
    <w:rsid w:val="00EA096A"/>
    <w:rsid w:val="00EA416C"/>
    <w:rsid w:val="00EA45AC"/>
    <w:rsid w:val="00EA493D"/>
    <w:rsid w:val="00EA5941"/>
    <w:rsid w:val="00EA7F6D"/>
    <w:rsid w:val="00EB0F02"/>
    <w:rsid w:val="00EB2551"/>
    <w:rsid w:val="00EB2B72"/>
    <w:rsid w:val="00EB3587"/>
    <w:rsid w:val="00EB60CE"/>
    <w:rsid w:val="00EB7D53"/>
    <w:rsid w:val="00EC286D"/>
    <w:rsid w:val="00EC6490"/>
    <w:rsid w:val="00EC6E87"/>
    <w:rsid w:val="00EC7626"/>
    <w:rsid w:val="00EC7BFC"/>
    <w:rsid w:val="00ED5944"/>
    <w:rsid w:val="00EE231D"/>
    <w:rsid w:val="00EE2DEB"/>
    <w:rsid w:val="00EE3146"/>
    <w:rsid w:val="00EE6E98"/>
    <w:rsid w:val="00EF00CA"/>
    <w:rsid w:val="00EF50BB"/>
    <w:rsid w:val="00EF53FF"/>
    <w:rsid w:val="00EF5526"/>
    <w:rsid w:val="00EF5DB2"/>
    <w:rsid w:val="00F00192"/>
    <w:rsid w:val="00F0060C"/>
    <w:rsid w:val="00F01DF6"/>
    <w:rsid w:val="00F02E6B"/>
    <w:rsid w:val="00F0340D"/>
    <w:rsid w:val="00F046B6"/>
    <w:rsid w:val="00F059A6"/>
    <w:rsid w:val="00F21CBD"/>
    <w:rsid w:val="00F21F08"/>
    <w:rsid w:val="00F23756"/>
    <w:rsid w:val="00F2523A"/>
    <w:rsid w:val="00F25C60"/>
    <w:rsid w:val="00F25FFA"/>
    <w:rsid w:val="00F310D2"/>
    <w:rsid w:val="00F31C88"/>
    <w:rsid w:val="00F34275"/>
    <w:rsid w:val="00F3617A"/>
    <w:rsid w:val="00F36F3D"/>
    <w:rsid w:val="00F40B1B"/>
    <w:rsid w:val="00F4470A"/>
    <w:rsid w:val="00F45489"/>
    <w:rsid w:val="00F477BD"/>
    <w:rsid w:val="00F51A75"/>
    <w:rsid w:val="00F53491"/>
    <w:rsid w:val="00F54028"/>
    <w:rsid w:val="00F55D61"/>
    <w:rsid w:val="00F60F57"/>
    <w:rsid w:val="00F61C54"/>
    <w:rsid w:val="00F648BC"/>
    <w:rsid w:val="00F64A2F"/>
    <w:rsid w:val="00F65A1C"/>
    <w:rsid w:val="00F66CB5"/>
    <w:rsid w:val="00F66CC6"/>
    <w:rsid w:val="00F66F50"/>
    <w:rsid w:val="00F71531"/>
    <w:rsid w:val="00F74240"/>
    <w:rsid w:val="00F74B36"/>
    <w:rsid w:val="00F77E4A"/>
    <w:rsid w:val="00F8166C"/>
    <w:rsid w:val="00F82F40"/>
    <w:rsid w:val="00F82FF8"/>
    <w:rsid w:val="00F8330D"/>
    <w:rsid w:val="00F835E8"/>
    <w:rsid w:val="00F84305"/>
    <w:rsid w:val="00F8485C"/>
    <w:rsid w:val="00F87149"/>
    <w:rsid w:val="00F87FFE"/>
    <w:rsid w:val="00F920F7"/>
    <w:rsid w:val="00F926C9"/>
    <w:rsid w:val="00F93A43"/>
    <w:rsid w:val="00F954C9"/>
    <w:rsid w:val="00FA0BD4"/>
    <w:rsid w:val="00FA0CE8"/>
    <w:rsid w:val="00FA34E2"/>
    <w:rsid w:val="00FA4CF0"/>
    <w:rsid w:val="00FA61AA"/>
    <w:rsid w:val="00FA69A4"/>
    <w:rsid w:val="00FA78B4"/>
    <w:rsid w:val="00FB0A80"/>
    <w:rsid w:val="00FB0F19"/>
    <w:rsid w:val="00FB1279"/>
    <w:rsid w:val="00FB1495"/>
    <w:rsid w:val="00FB1E6C"/>
    <w:rsid w:val="00FB3135"/>
    <w:rsid w:val="00FB3664"/>
    <w:rsid w:val="00FC1535"/>
    <w:rsid w:val="00FC215B"/>
    <w:rsid w:val="00FC503F"/>
    <w:rsid w:val="00FC5395"/>
    <w:rsid w:val="00FD1694"/>
    <w:rsid w:val="00FD4493"/>
    <w:rsid w:val="00FD6BD8"/>
    <w:rsid w:val="00FD7636"/>
    <w:rsid w:val="00FE3229"/>
    <w:rsid w:val="00FE44AB"/>
    <w:rsid w:val="00FE74C3"/>
    <w:rsid w:val="00FF0F0D"/>
    <w:rsid w:val="00FF215C"/>
    <w:rsid w:val="00FF4982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A87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1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aliases w:val="NFP GP Bulleted List,List Paragraph1,Recommendation,List Paragraph11"/>
    <w:basedOn w:val="Normal"/>
    <w:link w:val="ListParagraphChar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customStyle="1" w:styleId="ListParagraphChar">
    <w:name w:val="List Paragraph Char"/>
    <w:aliases w:val="NFP GP Bulleted List Char,List Paragraph1 Char,Recommendation Char,List Paragraph11 Char"/>
    <w:basedOn w:val="DefaultParagraphFont"/>
    <w:link w:val="ListParagraph"/>
    <w:uiPriority w:val="34"/>
    <w:locked/>
    <w:rsid w:val="008E4814"/>
    <w:rPr>
      <w:sz w:val="22"/>
      <w:szCs w:val="22"/>
      <w:lang w:eastAsia="en-US"/>
    </w:rPr>
  </w:style>
  <w:style w:type="paragraph" w:customStyle="1" w:styleId="Default">
    <w:name w:val="Default"/>
    <w:rsid w:val="006371A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9C7DCA"/>
  </w:style>
  <w:style w:type="character" w:styleId="Emphasis">
    <w:name w:val="Emphasis"/>
    <w:basedOn w:val="DefaultParagraphFont"/>
    <w:uiPriority w:val="20"/>
    <w:qFormat/>
    <w:rsid w:val="009C7DCA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D25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9DF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52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247"/>
    <w:rPr>
      <w:b/>
      <w:bCs/>
      <w:lang w:eastAsia="en-US"/>
    </w:rPr>
  </w:style>
  <w:style w:type="paragraph" w:styleId="Revision">
    <w:name w:val="Revision"/>
    <w:hidden/>
    <w:uiPriority w:val="99"/>
    <w:semiHidden/>
    <w:rsid w:val="009769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94FB06C4-D011-4DBD-B8D9-59CC2E4612F5}"/>
</file>

<file path=customXml/itemProps2.xml><?xml version="1.0" encoding="utf-8"?>
<ds:datastoreItem xmlns:ds="http://schemas.openxmlformats.org/officeDocument/2006/customXml" ds:itemID="{6020212D-10BD-4040-9A4A-961AA7EDD5B5}"/>
</file>

<file path=customXml/itemProps3.xml><?xml version="1.0" encoding="utf-8"?>
<ds:datastoreItem xmlns:ds="http://schemas.openxmlformats.org/officeDocument/2006/customXml" ds:itemID="{177A089F-630A-4C54-85F5-54D3D5DB3004}"/>
</file>

<file path=docProps/app.xml><?xml version="1.0" encoding="utf-8"?>
<Properties xmlns="http://schemas.openxmlformats.org/officeDocument/2006/extended-properties" xmlns:vt="http://schemas.openxmlformats.org/officeDocument/2006/docPropsVTypes">
  <Template>9EE02E5F.dotm</Template>
  <TotalTime>0</TotalTime>
  <Pages>10</Pages>
  <Words>3965</Words>
  <Characters>22603</Characters>
  <Application>Microsoft Office Word</Application>
  <DocSecurity>4</DocSecurity>
  <Lines>188</Lines>
  <Paragraphs>53</Paragraphs>
  <ScaleCrop>false</ScaleCrop>
  <Company/>
  <LinksUpToDate>false</LinksUpToDate>
  <CharactersWithSpaces>26515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Expected Practices for Regional NRM Organisations - Supporting evidence required V1.0</dc:title>
  <dc:creator/>
  <cp:lastModifiedBy/>
  <cp:revision>1</cp:revision>
  <dcterms:created xsi:type="dcterms:W3CDTF">2017-05-23T03:05:00Z</dcterms:created>
  <dcterms:modified xsi:type="dcterms:W3CDTF">2017-05-23T03:05:00Z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