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A5739" w14:textId="77777777" w:rsidR="00BF38B2" w:rsidRPr="00BF38B2" w:rsidRDefault="00BF38B2" w:rsidP="00BF38B2">
      <w:pPr>
        <w:spacing w:after="0" w:line="240" w:lineRule="auto"/>
        <w:jc w:val="center"/>
        <w:rPr>
          <w:rFonts w:asciiTheme="minorHAnsi" w:hAnsiTheme="minorHAnsi"/>
          <w:i/>
          <w:sz w:val="24"/>
          <w:szCs w:val="24"/>
        </w:rPr>
      </w:pPr>
    </w:p>
    <w:p w14:paraId="278A573A" w14:textId="77777777" w:rsidR="00BF38B2" w:rsidRPr="00BF38B2" w:rsidRDefault="00BF38B2" w:rsidP="00872CD3">
      <w:pPr>
        <w:pBdr>
          <w:top w:val="single" w:sz="12" w:space="1" w:color="D6E3BC" w:themeColor="accent3" w:themeTint="66" w:shadow="1"/>
          <w:left w:val="single" w:sz="12" w:space="4" w:color="D6E3BC" w:themeColor="accent3" w:themeTint="66" w:shadow="1"/>
          <w:bottom w:val="single" w:sz="12" w:space="1" w:color="D6E3BC" w:themeColor="accent3" w:themeTint="66" w:shadow="1"/>
          <w:right w:val="single" w:sz="12" w:space="4" w:color="D6E3BC" w:themeColor="accent3" w:themeTint="66" w:shadow="1"/>
        </w:pBdr>
        <w:shd w:val="clear" w:color="auto" w:fill="C2D69B" w:themeFill="accent3" w:themeFillTint="99"/>
        <w:spacing w:after="0" w:line="240" w:lineRule="auto"/>
        <w:jc w:val="center"/>
        <w:rPr>
          <w:rFonts w:asciiTheme="minorHAnsi" w:hAnsiTheme="minorHAnsi"/>
          <w:i/>
          <w:sz w:val="24"/>
          <w:szCs w:val="24"/>
        </w:rPr>
      </w:pPr>
    </w:p>
    <w:p w14:paraId="278A573B" w14:textId="77777777" w:rsidR="00BF38B2" w:rsidRPr="00BF38B2" w:rsidRDefault="00BF38B2" w:rsidP="00872CD3">
      <w:pPr>
        <w:pBdr>
          <w:top w:val="single" w:sz="12" w:space="1" w:color="D6E3BC" w:themeColor="accent3" w:themeTint="66" w:shadow="1"/>
          <w:left w:val="single" w:sz="12" w:space="4" w:color="D6E3BC" w:themeColor="accent3" w:themeTint="66" w:shadow="1"/>
          <w:bottom w:val="single" w:sz="12" w:space="1" w:color="D6E3BC" w:themeColor="accent3" w:themeTint="66" w:shadow="1"/>
          <w:right w:val="single" w:sz="12" w:space="4" w:color="D6E3BC" w:themeColor="accent3" w:themeTint="66" w:shadow="1"/>
        </w:pBdr>
        <w:shd w:val="clear" w:color="auto" w:fill="C2D69B" w:themeFill="accent3" w:themeFillTint="99"/>
        <w:spacing w:after="120" w:line="240" w:lineRule="auto"/>
        <w:jc w:val="center"/>
        <w:rPr>
          <w:rFonts w:asciiTheme="minorHAnsi" w:hAnsiTheme="minorHAnsi"/>
          <w:i/>
          <w:sz w:val="40"/>
          <w:szCs w:val="40"/>
        </w:rPr>
      </w:pPr>
      <w:bookmarkStart w:id="0" w:name="_GoBack"/>
      <w:r w:rsidRPr="00BF38B2">
        <w:rPr>
          <w:rFonts w:asciiTheme="minorHAnsi" w:hAnsiTheme="minorHAnsi"/>
          <w:i/>
          <w:sz w:val="40"/>
          <w:szCs w:val="40"/>
        </w:rPr>
        <w:t xml:space="preserve">Australian Government Performance </w:t>
      </w:r>
      <w:r w:rsidR="00E80A42">
        <w:rPr>
          <w:rFonts w:asciiTheme="minorHAnsi" w:hAnsiTheme="minorHAnsi"/>
          <w:i/>
          <w:sz w:val="40"/>
          <w:szCs w:val="40"/>
        </w:rPr>
        <w:t>Framework</w:t>
      </w:r>
      <w:r w:rsidRPr="00BF38B2">
        <w:rPr>
          <w:rFonts w:asciiTheme="minorHAnsi" w:hAnsiTheme="minorHAnsi"/>
          <w:i/>
          <w:sz w:val="40"/>
          <w:szCs w:val="40"/>
        </w:rPr>
        <w:t xml:space="preserve"> for </w:t>
      </w:r>
    </w:p>
    <w:p w14:paraId="278A573C" w14:textId="77777777" w:rsidR="00BF38B2" w:rsidRPr="00BF38B2" w:rsidRDefault="00BF38B2" w:rsidP="00872CD3">
      <w:pPr>
        <w:pBdr>
          <w:top w:val="single" w:sz="12" w:space="1" w:color="D6E3BC" w:themeColor="accent3" w:themeTint="66" w:shadow="1"/>
          <w:left w:val="single" w:sz="12" w:space="4" w:color="D6E3BC" w:themeColor="accent3" w:themeTint="66" w:shadow="1"/>
          <w:bottom w:val="single" w:sz="12" w:space="1" w:color="D6E3BC" w:themeColor="accent3" w:themeTint="66" w:shadow="1"/>
          <w:right w:val="single" w:sz="12" w:space="4" w:color="D6E3BC" w:themeColor="accent3" w:themeTint="66" w:shadow="1"/>
        </w:pBdr>
        <w:shd w:val="clear" w:color="auto" w:fill="C2D69B" w:themeFill="accent3" w:themeFillTint="99"/>
        <w:spacing w:after="120" w:line="240" w:lineRule="auto"/>
        <w:jc w:val="center"/>
        <w:rPr>
          <w:rFonts w:asciiTheme="minorHAnsi" w:hAnsiTheme="minorHAnsi"/>
          <w:i/>
          <w:sz w:val="40"/>
          <w:szCs w:val="40"/>
        </w:rPr>
      </w:pPr>
      <w:r w:rsidRPr="00BF38B2">
        <w:rPr>
          <w:rFonts w:asciiTheme="minorHAnsi" w:hAnsiTheme="minorHAnsi"/>
          <w:i/>
          <w:sz w:val="40"/>
          <w:szCs w:val="40"/>
        </w:rPr>
        <w:t>Regional NRM Organisations</w:t>
      </w:r>
    </w:p>
    <w:p w14:paraId="278A573D" w14:textId="77777777" w:rsidR="00BF38B2" w:rsidRPr="00BF38B2" w:rsidRDefault="00BF38B2" w:rsidP="00872CD3">
      <w:pPr>
        <w:pBdr>
          <w:top w:val="single" w:sz="12" w:space="1" w:color="D6E3BC" w:themeColor="accent3" w:themeTint="66" w:shadow="1"/>
          <w:left w:val="single" w:sz="12" w:space="4" w:color="D6E3BC" w:themeColor="accent3" w:themeTint="66" w:shadow="1"/>
          <w:bottom w:val="single" w:sz="12" w:space="1" w:color="D6E3BC" w:themeColor="accent3" w:themeTint="66" w:shadow="1"/>
          <w:right w:val="single" w:sz="12" w:space="4" w:color="D6E3BC" w:themeColor="accent3" w:themeTint="66" w:shadow="1"/>
        </w:pBdr>
        <w:shd w:val="clear" w:color="auto" w:fill="C2D69B" w:themeFill="accent3" w:themeFillTint="99"/>
        <w:spacing w:after="0" w:line="240" w:lineRule="auto"/>
        <w:jc w:val="center"/>
        <w:rPr>
          <w:rFonts w:asciiTheme="minorHAnsi" w:hAnsiTheme="minorHAnsi"/>
          <w:i/>
          <w:sz w:val="24"/>
          <w:szCs w:val="24"/>
        </w:rPr>
      </w:pPr>
    </w:p>
    <w:p w14:paraId="278A573E" w14:textId="0EB9596E" w:rsidR="00BF38B2" w:rsidRPr="00BF38B2" w:rsidRDefault="00BC3525" w:rsidP="00872CD3">
      <w:pPr>
        <w:pBdr>
          <w:top w:val="single" w:sz="12" w:space="1" w:color="D6E3BC" w:themeColor="accent3" w:themeTint="66" w:shadow="1"/>
          <w:left w:val="single" w:sz="12" w:space="4" w:color="D6E3BC" w:themeColor="accent3" w:themeTint="66" w:shadow="1"/>
          <w:bottom w:val="single" w:sz="12" w:space="1" w:color="D6E3BC" w:themeColor="accent3" w:themeTint="66" w:shadow="1"/>
          <w:right w:val="single" w:sz="12" w:space="4" w:color="D6E3BC" w:themeColor="accent3" w:themeTint="66" w:shadow="1"/>
        </w:pBdr>
        <w:shd w:val="clear" w:color="auto" w:fill="C2D69B" w:themeFill="accent3" w:themeFillTint="99"/>
        <w:spacing w:after="0" w:line="240" w:lineRule="auto"/>
        <w:jc w:val="center"/>
        <w:rPr>
          <w:rFonts w:asciiTheme="minorHAnsi" w:hAnsiTheme="minorHAnsi"/>
          <w:i/>
          <w:sz w:val="40"/>
          <w:szCs w:val="40"/>
        </w:rPr>
      </w:pPr>
      <w:r>
        <w:rPr>
          <w:rFonts w:asciiTheme="minorHAnsi" w:hAnsiTheme="minorHAnsi"/>
          <w:i/>
          <w:sz w:val="40"/>
          <w:szCs w:val="40"/>
        </w:rPr>
        <w:t xml:space="preserve">2017 </w:t>
      </w:r>
      <w:r w:rsidR="00BF38B2" w:rsidRPr="00BF38B2">
        <w:rPr>
          <w:rFonts w:asciiTheme="minorHAnsi" w:hAnsiTheme="minorHAnsi"/>
          <w:i/>
          <w:sz w:val="40"/>
          <w:szCs w:val="40"/>
        </w:rPr>
        <w:t>Implementation Manual</w:t>
      </w:r>
      <w:r w:rsidR="000B4C9A">
        <w:rPr>
          <w:rFonts w:asciiTheme="minorHAnsi" w:hAnsiTheme="minorHAnsi"/>
          <w:i/>
          <w:sz w:val="40"/>
          <w:szCs w:val="40"/>
        </w:rPr>
        <w:t xml:space="preserve"> </w:t>
      </w:r>
      <w:r w:rsidR="00F042C0">
        <w:rPr>
          <w:rFonts w:asciiTheme="minorHAnsi" w:hAnsiTheme="minorHAnsi"/>
          <w:i/>
          <w:sz w:val="40"/>
          <w:szCs w:val="40"/>
        </w:rPr>
        <w:t>V</w:t>
      </w:r>
      <w:r>
        <w:rPr>
          <w:rFonts w:asciiTheme="minorHAnsi" w:hAnsiTheme="minorHAnsi"/>
          <w:i/>
          <w:sz w:val="40"/>
          <w:szCs w:val="40"/>
        </w:rPr>
        <w:t>1</w:t>
      </w:r>
      <w:r w:rsidR="000B4C9A">
        <w:rPr>
          <w:rFonts w:asciiTheme="minorHAnsi" w:hAnsiTheme="minorHAnsi"/>
          <w:i/>
          <w:sz w:val="40"/>
          <w:szCs w:val="40"/>
        </w:rPr>
        <w:t>.</w:t>
      </w:r>
      <w:r w:rsidR="005F1383">
        <w:rPr>
          <w:rFonts w:asciiTheme="minorHAnsi" w:hAnsiTheme="minorHAnsi"/>
          <w:i/>
          <w:sz w:val="40"/>
          <w:szCs w:val="40"/>
        </w:rPr>
        <w:t>0</w:t>
      </w:r>
    </w:p>
    <w:bookmarkEnd w:id="0"/>
    <w:p w14:paraId="278A573F" w14:textId="77777777" w:rsidR="00AF7611" w:rsidRPr="00BF38B2" w:rsidRDefault="00AF7611" w:rsidP="00872CD3">
      <w:pPr>
        <w:pBdr>
          <w:top w:val="single" w:sz="12" w:space="1" w:color="D6E3BC" w:themeColor="accent3" w:themeTint="66" w:shadow="1"/>
          <w:left w:val="single" w:sz="12" w:space="4" w:color="D6E3BC" w:themeColor="accent3" w:themeTint="66" w:shadow="1"/>
          <w:bottom w:val="single" w:sz="12" w:space="1" w:color="D6E3BC" w:themeColor="accent3" w:themeTint="66" w:shadow="1"/>
          <w:right w:val="single" w:sz="12" w:space="4" w:color="D6E3BC" w:themeColor="accent3" w:themeTint="66" w:shadow="1"/>
        </w:pBdr>
        <w:shd w:val="clear" w:color="auto" w:fill="C2D69B" w:themeFill="accent3" w:themeFillTint="99"/>
        <w:spacing w:after="0" w:line="240" w:lineRule="auto"/>
        <w:jc w:val="center"/>
        <w:rPr>
          <w:rFonts w:asciiTheme="minorHAnsi" w:hAnsiTheme="minorHAnsi"/>
          <w:i/>
          <w:sz w:val="24"/>
          <w:szCs w:val="24"/>
        </w:rPr>
      </w:pPr>
    </w:p>
    <w:p w14:paraId="278A5740" w14:textId="77777777" w:rsidR="00CA6BD0" w:rsidRPr="00AF7611" w:rsidRDefault="00CA6BD0" w:rsidP="00BF38B2">
      <w:pPr>
        <w:pStyle w:val="ListBullet"/>
        <w:numPr>
          <w:ilvl w:val="0"/>
          <w:numId w:val="0"/>
        </w:numPr>
        <w:spacing w:before="360" w:after="0" w:line="240" w:lineRule="auto"/>
        <w:rPr>
          <w:rFonts w:asciiTheme="minorHAnsi" w:hAnsiTheme="minorHAnsi"/>
        </w:rPr>
      </w:pPr>
      <w:r w:rsidRPr="00AF7611">
        <w:rPr>
          <w:rFonts w:asciiTheme="minorHAnsi" w:hAnsiTheme="minorHAnsi"/>
        </w:rPr>
        <w:t>Under the Regional stream of the National Landcare Programme (NLP), regional natural resource management (NRM) organisations have greater autonomy in decision making for NRM activities, including identifying the best ways to achieve local NRM priorities and deliver on the NLP Strategic Objectives and Outcomes.</w:t>
      </w:r>
    </w:p>
    <w:p w14:paraId="278A5741" w14:textId="77777777" w:rsidR="00B9386E" w:rsidRPr="00AF7611" w:rsidRDefault="00CA6BD0" w:rsidP="00B9386E">
      <w:pPr>
        <w:pStyle w:val="ListBullet"/>
        <w:numPr>
          <w:ilvl w:val="0"/>
          <w:numId w:val="0"/>
        </w:numPr>
        <w:spacing w:before="120" w:after="0" w:line="240" w:lineRule="auto"/>
        <w:rPr>
          <w:rFonts w:asciiTheme="minorHAnsi" w:hAnsiTheme="minorHAnsi"/>
        </w:rPr>
      </w:pPr>
      <w:r w:rsidRPr="00AF7611">
        <w:rPr>
          <w:rFonts w:asciiTheme="minorHAnsi" w:hAnsiTheme="minorHAnsi"/>
        </w:rPr>
        <w:t xml:space="preserve">Autonomy is balanced by accountability for NRM outcomes and community participation. Regional NRM organisations are expected to monitor their performance and governance, be accountable for and transparent in decision making, and identify measures to achieve continuous improvement in both the delivery of NRM outcomes and in organisational performance. </w:t>
      </w:r>
    </w:p>
    <w:p w14:paraId="278A5742" w14:textId="77777777" w:rsidR="00DF5FB4" w:rsidRPr="00AF7611" w:rsidRDefault="004A78F6" w:rsidP="00DF5FB4">
      <w:pPr>
        <w:pStyle w:val="ListBullet"/>
        <w:numPr>
          <w:ilvl w:val="0"/>
          <w:numId w:val="0"/>
        </w:numPr>
        <w:spacing w:before="120" w:after="0" w:line="240" w:lineRule="auto"/>
        <w:rPr>
          <w:rFonts w:asciiTheme="minorHAnsi" w:hAnsiTheme="minorHAnsi"/>
          <w:lang w:eastAsia="en-AU"/>
        </w:rPr>
      </w:pPr>
      <w:r w:rsidRPr="00AF7611">
        <w:rPr>
          <w:rFonts w:asciiTheme="minorHAnsi" w:hAnsiTheme="minorHAnsi"/>
          <w:lang w:eastAsia="en-AU"/>
        </w:rPr>
        <w:t>In 2014, the Australian Government developed t</w:t>
      </w:r>
      <w:r w:rsidR="00DF5FB4" w:rsidRPr="00AF7611">
        <w:rPr>
          <w:rFonts w:asciiTheme="minorHAnsi" w:hAnsiTheme="minorHAnsi"/>
          <w:lang w:eastAsia="en-AU"/>
        </w:rPr>
        <w:t xml:space="preserve">he </w:t>
      </w:r>
      <w:r w:rsidRPr="00AF7611">
        <w:rPr>
          <w:rFonts w:asciiTheme="minorHAnsi" w:hAnsiTheme="minorHAnsi"/>
          <w:i/>
          <w:lang w:eastAsia="en-AU"/>
        </w:rPr>
        <w:t>Performance Framework for Regional NRM Organisations</w:t>
      </w:r>
      <w:r w:rsidR="008D546C">
        <w:rPr>
          <w:rFonts w:asciiTheme="minorHAnsi" w:hAnsiTheme="minorHAnsi"/>
          <w:i/>
          <w:lang w:eastAsia="en-AU"/>
        </w:rPr>
        <w:t xml:space="preserve"> </w:t>
      </w:r>
      <w:r w:rsidR="008D546C">
        <w:rPr>
          <w:rFonts w:asciiTheme="minorHAnsi" w:hAnsiTheme="minorHAnsi"/>
          <w:lang w:eastAsia="en-AU"/>
        </w:rPr>
        <w:t>(Performance F</w:t>
      </w:r>
      <w:r w:rsidR="008D546C" w:rsidRPr="008D546C">
        <w:rPr>
          <w:rFonts w:asciiTheme="minorHAnsi" w:hAnsiTheme="minorHAnsi"/>
          <w:lang w:eastAsia="en-AU"/>
        </w:rPr>
        <w:t>ramework)</w:t>
      </w:r>
      <w:r w:rsidR="008D546C">
        <w:rPr>
          <w:rFonts w:asciiTheme="minorHAnsi" w:hAnsiTheme="minorHAnsi"/>
          <w:lang w:eastAsia="en-AU"/>
        </w:rPr>
        <w:t>,</w:t>
      </w:r>
      <w:r w:rsidR="008D546C" w:rsidRPr="008D546C">
        <w:rPr>
          <w:rFonts w:asciiTheme="minorHAnsi" w:hAnsiTheme="minorHAnsi"/>
          <w:lang w:eastAsia="en-AU"/>
        </w:rPr>
        <w:t xml:space="preserve"> </w:t>
      </w:r>
      <w:r w:rsidRPr="00AF7611">
        <w:rPr>
          <w:rFonts w:asciiTheme="minorHAnsi" w:hAnsiTheme="minorHAnsi"/>
          <w:lang w:eastAsia="en-AU"/>
        </w:rPr>
        <w:t xml:space="preserve">which </w:t>
      </w:r>
      <w:r w:rsidR="00841633">
        <w:rPr>
          <w:rFonts w:asciiTheme="minorHAnsi" w:hAnsiTheme="minorHAnsi"/>
          <w:lang w:eastAsia="en-AU"/>
        </w:rPr>
        <w:t>was</w:t>
      </w:r>
      <w:r w:rsidR="00DF5FB4" w:rsidRPr="00AF7611">
        <w:rPr>
          <w:rFonts w:asciiTheme="minorHAnsi" w:hAnsiTheme="minorHAnsi"/>
          <w:lang w:eastAsia="en-AU"/>
        </w:rPr>
        <w:t xml:space="preserve"> intended to enable a move to a more mature, third sector delivery model where the Australian Government moves away from detailed contract management towards performance and capacity monitoring. The aim of th</w:t>
      </w:r>
      <w:r w:rsidRPr="00AF7611">
        <w:rPr>
          <w:rFonts w:asciiTheme="minorHAnsi" w:hAnsiTheme="minorHAnsi"/>
          <w:lang w:eastAsia="en-AU"/>
        </w:rPr>
        <w:t>is</w:t>
      </w:r>
      <w:r w:rsidR="00DF5FB4" w:rsidRPr="00AF7611">
        <w:rPr>
          <w:rFonts w:asciiTheme="minorHAnsi" w:hAnsiTheme="minorHAnsi"/>
          <w:lang w:eastAsia="en-AU"/>
        </w:rPr>
        <w:t xml:space="preserve"> approach is:</w:t>
      </w:r>
    </w:p>
    <w:p w14:paraId="278A5743" w14:textId="77777777" w:rsidR="00DF5FB4" w:rsidRPr="00AF7611" w:rsidRDefault="00DF5FB4" w:rsidP="00DF5FB4">
      <w:pPr>
        <w:pStyle w:val="ListBullet"/>
        <w:spacing w:before="60" w:after="60" w:line="240" w:lineRule="auto"/>
        <w:ind w:left="567"/>
        <w:rPr>
          <w:rFonts w:asciiTheme="minorHAnsi" w:hAnsiTheme="minorHAnsi"/>
        </w:rPr>
      </w:pPr>
      <w:r w:rsidRPr="00AF7611">
        <w:rPr>
          <w:rFonts w:asciiTheme="minorHAnsi" w:hAnsiTheme="minorHAnsi"/>
        </w:rPr>
        <w:t xml:space="preserve">to make it simple for regional NRM </w:t>
      </w:r>
      <w:r w:rsidR="00C5341A">
        <w:rPr>
          <w:rFonts w:asciiTheme="minorHAnsi" w:hAnsiTheme="minorHAnsi"/>
        </w:rPr>
        <w:t>organisations</w:t>
      </w:r>
      <w:r w:rsidRPr="00AF7611">
        <w:rPr>
          <w:rFonts w:asciiTheme="minorHAnsi" w:hAnsiTheme="minorHAnsi"/>
        </w:rPr>
        <w:t xml:space="preserve"> to meet their funding agreement obligations;</w:t>
      </w:r>
    </w:p>
    <w:p w14:paraId="278A5744" w14:textId="77777777" w:rsidR="00DF5FB4" w:rsidRPr="00AF7611" w:rsidRDefault="00DF5FB4" w:rsidP="00DF5FB4">
      <w:pPr>
        <w:pStyle w:val="ListBullet"/>
        <w:spacing w:before="60" w:after="60" w:line="240" w:lineRule="auto"/>
        <w:ind w:left="567"/>
        <w:rPr>
          <w:rFonts w:asciiTheme="minorHAnsi" w:hAnsiTheme="minorHAnsi"/>
        </w:rPr>
      </w:pPr>
      <w:r w:rsidRPr="00AF7611">
        <w:rPr>
          <w:rFonts w:asciiTheme="minorHAnsi" w:hAnsiTheme="minorHAnsi"/>
        </w:rPr>
        <w:t xml:space="preserve">to encourage regional NRM </w:t>
      </w:r>
      <w:r w:rsidR="00C5341A">
        <w:rPr>
          <w:rFonts w:asciiTheme="minorHAnsi" w:hAnsiTheme="minorHAnsi"/>
        </w:rPr>
        <w:t>organisations</w:t>
      </w:r>
      <w:r w:rsidRPr="00AF7611">
        <w:rPr>
          <w:rFonts w:asciiTheme="minorHAnsi" w:hAnsiTheme="minorHAnsi"/>
        </w:rPr>
        <w:t xml:space="preserve"> to identify improvements in their capacity to </w:t>
      </w:r>
      <w:r w:rsidR="00841633">
        <w:rPr>
          <w:rFonts w:asciiTheme="minorHAnsi" w:hAnsiTheme="minorHAnsi"/>
        </w:rPr>
        <w:t>compl</w:t>
      </w:r>
      <w:r w:rsidR="00FB60FA">
        <w:rPr>
          <w:rFonts w:asciiTheme="minorHAnsi" w:hAnsiTheme="minorHAnsi"/>
        </w:rPr>
        <w:t>y</w:t>
      </w:r>
      <w:r w:rsidR="00841633">
        <w:rPr>
          <w:rFonts w:asciiTheme="minorHAnsi" w:hAnsiTheme="minorHAnsi"/>
        </w:rPr>
        <w:t xml:space="preserve"> with funding agreement obligations</w:t>
      </w:r>
      <w:r w:rsidRPr="00AF7611">
        <w:rPr>
          <w:rFonts w:asciiTheme="minorHAnsi" w:hAnsiTheme="minorHAnsi"/>
        </w:rPr>
        <w:t>; and</w:t>
      </w:r>
    </w:p>
    <w:p w14:paraId="278A5745" w14:textId="77777777" w:rsidR="00DF5FB4" w:rsidRPr="00AF7611" w:rsidRDefault="00DF5FB4" w:rsidP="00DF5FB4">
      <w:pPr>
        <w:pStyle w:val="ListBullet"/>
        <w:spacing w:before="60" w:after="60" w:line="240" w:lineRule="auto"/>
        <w:ind w:left="567"/>
        <w:rPr>
          <w:rFonts w:asciiTheme="minorHAnsi" w:hAnsiTheme="minorHAnsi"/>
        </w:rPr>
      </w:pPr>
      <w:proofErr w:type="gramStart"/>
      <w:r w:rsidRPr="00AF7611">
        <w:rPr>
          <w:rFonts w:asciiTheme="minorHAnsi" w:hAnsiTheme="minorHAnsi"/>
        </w:rPr>
        <w:t>to</w:t>
      </w:r>
      <w:proofErr w:type="gramEnd"/>
      <w:r w:rsidRPr="00AF7611">
        <w:rPr>
          <w:rFonts w:asciiTheme="minorHAnsi" w:hAnsiTheme="minorHAnsi"/>
        </w:rPr>
        <w:t xml:space="preserve"> </w:t>
      </w:r>
      <w:r w:rsidR="00C5341A">
        <w:rPr>
          <w:rFonts w:asciiTheme="minorHAnsi" w:hAnsiTheme="minorHAnsi"/>
        </w:rPr>
        <w:t>encourage</w:t>
      </w:r>
      <w:r w:rsidRPr="00AF7611">
        <w:rPr>
          <w:rFonts w:asciiTheme="minorHAnsi" w:hAnsiTheme="minorHAnsi"/>
        </w:rPr>
        <w:t xml:space="preserve"> regional NRM </w:t>
      </w:r>
      <w:r w:rsidR="00C5341A">
        <w:rPr>
          <w:rFonts w:asciiTheme="minorHAnsi" w:hAnsiTheme="minorHAnsi"/>
        </w:rPr>
        <w:t>organisations to identify performance strengths and promote these to other regional NRM organisations</w:t>
      </w:r>
      <w:r w:rsidRPr="00AF7611">
        <w:rPr>
          <w:rFonts w:asciiTheme="minorHAnsi" w:hAnsiTheme="minorHAnsi"/>
        </w:rPr>
        <w:t>.</w:t>
      </w:r>
    </w:p>
    <w:p w14:paraId="278A5746" w14:textId="5E8CF6CD" w:rsidR="00B9386E" w:rsidRPr="00AF7611" w:rsidRDefault="004A78F6" w:rsidP="00B9386E">
      <w:pPr>
        <w:pStyle w:val="ListBullet"/>
        <w:numPr>
          <w:ilvl w:val="0"/>
          <w:numId w:val="0"/>
        </w:numPr>
        <w:spacing w:before="120" w:after="0" w:line="240" w:lineRule="auto"/>
        <w:rPr>
          <w:rFonts w:asciiTheme="minorHAnsi" w:hAnsiTheme="minorHAnsi"/>
          <w:lang w:eastAsia="en-AU"/>
        </w:rPr>
      </w:pPr>
      <w:r w:rsidRPr="00AF7611">
        <w:rPr>
          <w:rFonts w:asciiTheme="minorHAnsi" w:hAnsiTheme="minorHAnsi"/>
          <w:lang w:eastAsia="en-AU"/>
        </w:rPr>
        <w:t>As a part of</w:t>
      </w:r>
      <w:r w:rsidR="008D546C">
        <w:rPr>
          <w:rFonts w:asciiTheme="minorHAnsi" w:hAnsiTheme="minorHAnsi"/>
          <w:lang w:eastAsia="en-AU"/>
        </w:rPr>
        <w:t xml:space="preserve"> the Performance F</w:t>
      </w:r>
      <w:r w:rsidRPr="00AF7611">
        <w:rPr>
          <w:rFonts w:asciiTheme="minorHAnsi" w:hAnsiTheme="minorHAnsi"/>
          <w:lang w:eastAsia="en-AU"/>
        </w:rPr>
        <w:t>ramework</w:t>
      </w:r>
      <w:r w:rsidR="00E55ADF" w:rsidRPr="00AF7611">
        <w:rPr>
          <w:rFonts w:asciiTheme="minorHAnsi" w:hAnsiTheme="minorHAnsi"/>
          <w:lang w:eastAsia="en-AU"/>
        </w:rPr>
        <w:t>, the Australian Government introduced five performance expectations</w:t>
      </w:r>
      <w:r w:rsidR="008D546C">
        <w:rPr>
          <w:rFonts w:asciiTheme="minorHAnsi" w:hAnsiTheme="minorHAnsi"/>
          <w:lang w:eastAsia="en-AU"/>
        </w:rPr>
        <w:t>,</w:t>
      </w:r>
      <w:r w:rsidR="00E55ADF" w:rsidRPr="00AF7611">
        <w:rPr>
          <w:rFonts w:asciiTheme="minorHAnsi" w:hAnsiTheme="minorHAnsi"/>
          <w:lang w:eastAsia="en-AU"/>
        </w:rPr>
        <w:t xml:space="preserve"> </w:t>
      </w:r>
      <w:r w:rsidR="00583466" w:rsidRPr="00AF7611">
        <w:rPr>
          <w:rFonts w:asciiTheme="minorHAnsi" w:hAnsiTheme="minorHAnsi"/>
          <w:lang w:eastAsia="en-AU"/>
        </w:rPr>
        <w:t>allowing the Australian Government to monitor the performance and capacity of regional NRM organisations, suppor</w:t>
      </w:r>
      <w:r w:rsidR="009E6119">
        <w:rPr>
          <w:rFonts w:asciiTheme="minorHAnsi" w:hAnsiTheme="minorHAnsi"/>
          <w:lang w:eastAsia="en-AU"/>
        </w:rPr>
        <w:t xml:space="preserve">t them to continuously improve </w:t>
      </w:r>
      <w:r w:rsidR="00583466" w:rsidRPr="00AF7611">
        <w:rPr>
          <w:rFonts w:asciiTheme="minorHAnsi" w:hAnsiTheme="minorHAnsi"/>
          <w:lang w:eastAsia="en-AU"/>
        </w:rPr>
        <w:t>and engage in peer learning with other regional NRM organisations to improve the overall performance of the sector.</w:t>
      </w:r>
      <w:r w:rsidR="00E55ADF" w:rsidRPr="00AF7611">
        <w:rPr>
          <w:rFonts w:asciiTheme="minorHAnsi" w:hAnsiTheme="minorHAnsi"/>
          <w:lang w:eastAsia="en-AU"/>
        </w:rPr>
        <w:t xml:space="preserve"> </w:t>
      </w:r>
      <w:r w:rsidR="00E55ADF" w:rsidRPr="00AF7611" w:rsidDel="00F4613B">
        <w:rPr>
          <w:rFonts w:asciiTheme="minorHAnsi" w:hAnsiTheme="minorHAnsi"/>
          <w:lang w:eastAsia="en-AU"/>
        </w:rPr>
        <w:t xml:space="preserve">The Australian Government </w:t>
      </w:r>
      <w:r w:rsidR="00BC3525">
        <w:rPr>
          <w:rFonts w:asciiTheme="minorHAnsi" w:hAnsiTheme="minorHAnsi"/>
          <w:lang w:eastAsia="en-AU"/>
        </w:rPr>
        <w:t>undertook</w:t>
      </w:r>
      <w:r w:rsidR="00E55ADF" w:rsidRPr="00AF7611">
        <w:rPr>
          <w:rFonts w:asciiTheme="minorHAnsi" w:hAnsiTheme="minorHAnsi"/>
          <w:lang w:eastAsia="en-AU"/>
        </w:rPr>
        <w:t xml:space="preserve"> </w:t>
      </w:r>
      <w:r w:rsidR="00E55ADF" w:rsidRPr="00C7404E">
        <w:rPr>
          <w:rFonts w:asciiTheme="minorHAnsi" w:hAnsiTheme="minorHAnsi"/>
          <w:lang w:eastAsia="en-AU"/>
        </w:rPr>
        <w:t>a revision of the</w:t>
      </w:r>
      <w:r w:rsidR="00E55ADF" w:rsidRPr="00C7404E" w:rsidDel="00F4613B">
        <w:rPr>
          <w:rFonts w:asciiTheme="minorHAnsi" w:hAnsiTheme="minorHAnsi"/>
          <w:lang w:eastAsia="en-AU"/>
        </w:rPr>
        <w:t xml:space="preserve"> </w:t>
      </w:r>
      <w:r w:rsidR="00E55ADF" w:rsidRPr="00C7404E">
        <w:rPr>
          <w:rFonts w:asciiTheme="minorHAnsi" w:hAnsiTheme="minorHAnsi"/>
          <w:lang w:eastAsia="en-AU"/>
        </w:rPr>
        <w:t xml:space="preserve">2014 </w:t>
      </w:r>
      <w:r w:rsidR="008D546C" w:rsidRPr="00C7404E">
        <w:rPr>
          <w:rFonts w:asciiTheme="minorHAnsi" w:hAnsiTheme="minorHAnsi"/>
          <w:lang w:eastAsia="en-AU"/>
        </w:rPr>
        <w:t>Performance Framework</w:t>
      </w:r>
      <w:r w:rsidR="00BC3525" w:rsidRPr="00C7404E">
        <w:rPr>
          <w:rFonts w:asciiTheme="minorHAnsi" w:hAnsiTheme="minorHAnsi"/>
          <w:lang w:eastAsia="en-AU"/>
        </w:rPr>
        <w:t xml:space="preserve"> a</w:t>
      </w:r>
      <w:r w:rsidR="00BC3525">
        <w:rPr>
          <w:rFonts w:asciiTheme="minorHAnsi" w:hAnsiTheme="minorHAnsi"/>
          <w:lang w:eastAsia="en-AU"/>
        </w:rPr>
        <w:t xml:space="preserve">nd the </w:t>
      </w:r>
      <w:r w:rsidR="00F042C0" w:rsidRPr="00A56EB1">
        <w:rPr>
          <w:rFonts w:asciiTheme="minorHAnsi" w:hAnsiTheme="minorHAnsi"/>
        </w:rPr>
        <w:t>201</w:t>
      </w:r>
      <w:r w:rsidR="00BC3525">
        <w:rPr>
          <w:rFonts w:asciiTheme="minorHAnsi" w:hAnsiTheme="minorHAnsi"/>
        </w:rPr>
        <w:t>6</w:t>
      </w:r>
      <w:r w:rsidR="00F042C0" w:rsidRPr="00A56EB1">
        <w:rPr>
          <w:rFonts w:asciiTheme="minorHAnsi" w:hAnsiTheme="minorHAnsi"/>
        </w:rPr>
        <w:t xml:space="preserve"> </w:t>
      </w:r>
      <w:r w:rsidR="00985098" w:rsidRPr="00A56EB1">
        <w:rPr>
          <w:rFonts w:asciiTheme="minorHAnsi" w:hAnsiTheme="minorHAnsi"/>
        </w:rPr>
        <w:t xml:space="preserve">revised </w:t>
      </w:r>
      <w:r w:rsidR="00985098" w:rsidRPr="00A56EB1" w:rsidDel="00F4613B">
        <w:rPr>
          <w:rFonts w:asciiTheme="minorHAnsi" w:hAnsiTheme="minorHAnsi"/>
        </w:rPr>
        <w:t>performance expectations</w:t>
      </w:r>
      <w:r w:rsidR="00985098" w:rsidRPr="00A56EB1">
        <w:rPr>
          <w:rFonts w:asciiTheme="minorHAnsi" w:hAnsiTheme="minorHAnsi"/>
        </w:rPr>
        <w:t xml:space="preserve"> and their expected practices, </w:t>
      </w:r>
      <w:r w:rsidR="00985098" w:rsidRPr="00A56EB1">
        <w:rPr>
          <w:rFonts w:asciiTheme="minorHAnsi" w:hAnsiTheme="minorHAnsi"/>
          <w:lang w:eastAsia="en-AU"/>
        </w:rPr>
        <w:t>developed in consultation with the NRM sector,</w:t>
      </w:r>
      <w:r w:rsidR="00985098" w:rsidRPr="00A56EB1">
        <w:rPr>
          <w:rFonts w:asciiTheme="minorHAnsi" w:hAnsiTheme="minorHAnsi"/>
        </w:rPr>
        <w:t xml:space="preserve"> </w:t>
      </w:r>
      <w:r w:rsidR="00EB0A8D">
        <w:rPr>
          <w:rFonts w:asciiTheme="minorHAnsi" w:hAnsiTheme="minorHAnsi"/>
        </w:rPr>
        <w:t xml:space="preserve">these </w:t>
      </w:r>
      <w:r w:rsidR="00985098" w:rsidRPr="00A56EB1">
        <w:rPr>
          <w:rFonts w:asciiTheme="minorHAnsi" w:hAnsiTheme="minorHAnsi"/>
        </w:rPr>
        <w:t xml:space="preserve">are </w:t>
      </w:r>
      <w:r w:rsidR="00FB60FA">
        <w:rPr>
          <w:rFonts w:asciiTheme="minorHAnsi" w:hAnsiTheme="minorHAnsi"/>
        </w:rPr>
        <w:t xml:space="preserve">available at </w:t>
      </w:r>
      <w:hyperlink r:id="rId7" w:history="1">
        <w:r w:rsidR="00FB60FA" w:rsidRPr="00B231E5">
          <w:rPr>
            <w:rStyle w:val="Hyperlink"/>
            <w:rFonts w:asciiTheme="minorHAnsi" w:hAnsiTheme="minorHAnsi"/>
          </w:rPr>
          <w:t>http://www.nrm.gov.au/regional/regional-funding</w:t>
        </w:r>
      </w:hyperlink>
      <w:r w:rsidR="00FB60FA" w:rsidRPr="00B231E5">
        <w:rPr>
          <w:rFonts w:asciiTheme="minorHAnsi" w:hAnsiTheme="minorHAnsi"/>
        </w:rPr>
        <w:t>.</w:t>
      </w:r>
    </w:p>
    <w:p w14:paraId="278A5747" w14:textId="51D767CE" w:rsidR="009F74C4" w:rsidRPr="00AF7611" w:rsidRDefault="00661DD5" w:rsidP="009F74C4">
      <w:pPr>
        <w:pStyle w:val="ListBullet"/>
        <w:numPr>
          <w:ilvl w:val="0"/>
          <w:numId w:val="0"/>
        </w:numPr>
        <w:spacing w:before="60" w:after="0" w:line="240" w:lineRule="auto"/>
        <w:rPr>
          <w:rFonts w:asciiTheme="minorHAnsi" w:hAnsiTheme="minorHAnsi"/>
        </w:rPr>
      </w:pPr>
      <w:r w:rsidRPr="00AF7611">
        <w:rPr>
          <w:rFonts w:asciiTheme="minorHAnsi" w:hAnsiTheme="minorHAnsi"/>
        </w:rPr>
        <w:t xml:space="preserve">This </w:t>
      </w:r>
      <w:r w:rsidR="009F74C4" w:rsidRPr="00AF7611">
        <w:rPr>
          <w:rFonts w:asciiTheme="minorHAnsi" w:hAnsiTheme="minorHAnsi"/>
          <w:i/>
        </w:rPr>
        <w:t>Implementation Manual</w:t>
      </w:r>
      <w:r w:rsidRPr="00AF7611">
        <w:rPr>
          <w:rFonts w:asciiTheme="minorHAnsi" w:hAnsiTheme="minorHAnsi"/>
        </w:rPr>
        <w:t xml:space="preserve"> </w:t>
      </w:r>
      <w:r w:rsidR="005F334F" w:rsidRPr="00AF7611">
        <w:rPr>
          <w:rFonts w:asciiTheme="minorHAnsi" w:hAnsiTheme="minorHAnsi"/>
        </w:rPr>
        <w:t xml:space="preserve">is a companion to the </w:t>
      </w:r>
      <w:r w:rsidR="00E55ADF" w:rsidRPr="00AF7611">
        <w:rPr>
          <w:rFonts w:asciiTheme="minorHAnsi" w:hAnsiTheme="minorHAnsi"/>
          <w:i/>
          <w:lang w:eastAsia="en-AU"/>
        </w:rPr>
        <w:t xml:space="preserve">Performance Framework for Regional NRM Organisations - </w:t>
      </w:r>
      <w:r w:rsidR="0048222B" w:rsidRPr="00AF7611">
        <w:rPr>
          <w:rFonts w:asciiTheme="minorHAnsi" w:hAnsiTheme="minorHAnsi"/>
          <w:i/>
          <w:lang w:eastAsia="en-AU"/>
        </w:rPr>
        <w:t>201</w:t>
      </w:r>
      <w:r w:rsidR="0062339B">
        <w:rPr>
          <w:rFonts w:asciiTheme="minorHAnsi" w:hAnsiTheme="minorHAnsi"/>
          <w:i/>
          <w:lang w:eastAsia="en-AU"/>
        </w:rPr>
        <w:t>6</w:t>
      </w:r>
      <w:r w:rsidR="0048222B" w:rsidRPr="00AF7611">
        <w:rPr>
          <w:rFonts w:asciiTheme="minorHAnsi" w:hAnsiTheme="minorHAnsi"/>
          <w:i/>
          <w:lang w:eastAsia="en-AU"/>
        </w:rPr>
        <w:t xml:space="preserve"> </w:t>
      </w:r>
      <w:r w:rsidR="00E55ADF" w:rsidRPr="00AF7611">
        <w:rPr>
          <w:rFonts w:asciiTheme="minorHAnsi" w:hAnsiTheme="minorHAnsi"/>
          <w:i/>
          <w:lang w:eastAsia="en-AU"/>
        </w:rPr>
        <w:t>Revision</w:t>
      </w:r>
      <w:r w:rsidR="00E55ADF" w:rsidRPr="00AF7611">
        <w:rPr>
          <w:rFonts w:asciiTheme="minorHAnsi" w:hAnsiTheme="minorHAnsi"/>
        </w:rPr>
        <w:t xml:space="preserve"> </w:t>
      </w:r>
      <w:r w:rsidR="005F334F" w:rsidRPr="00AF7611">
        <w:rPr>
          <w:rFonts w:asciiTheme="minorHAnsi" w:hAnsiTheme="minorHAnsi"/>
        </w:rPr>
        <w:t xml:space="preserve">and </w:t>
      </w:r>
      <w:r w:rsidRPr="00AF7611">
        <w:rPr>
          <w:rFonts w:asciiTheme="minorHAnsi" w:hAnsiTheme="minorHAnsi"/>
        </w:rPr>
        <w:t xml:space="preserve">provides guidance to regional NRM organisations </w:t>
      </w:r>
      <w:r w:rsidR="00056893" w:rsidRPr="00AF7611">
        <w:rPr>
          <w:rFonts w:asciiTheme="minorHAnsi" w:hAnsiTheme="minorHAnsi"/>
        </w:rPr>
        <w:t>and the Australian Government on</w:t>
      </w:r>
      <w:r w:rsidR="009F74C4" w:rsidRPr="00AF7611">
        <w:rPr>
          <w:rFonts w:asciiTheme="minorHAnsi" w:hAnsiTheme="minorHAnsi"/>
        </w:rPr>
        <w:t>:</w:t>
      </w:r>
      <w:r w:rsidR="00056893" w:rsidRPr="00AF7611">
        <w:rPr>
          <w:rFonts w:asciiTheme="minorHAnsi" w:hAnsiTheme="minorHAnsi"/>
        </w:rPr>
        <w:t xml:space="preserve"> </w:t>
      </w:r>
    </w:p>
    <w:p w14:paraId="278A5748" w14:textId="77777777" w:rsidR="00686486" w:rsidRPr="00AF7611" w:rsidRDefault="00686486" w:rsidP="00B9386E">
      <w:pPr>
        <w:pStyle w:val="ListBullet"/>
        <w:spacing w:before="60" w:after="60" w:line="240" w:lineRule="auto"/>
        <w:ind w:left="567"/>
        <w:rPr>
          <w:rFonts w:asciiTheme="minorHAnsi" w:hAnsiTheme="minorHAnsi"/>
        </w:rPr>
      </w:pPr>
      <w:r w:rsidRPr="00AF7611">
        <w:rPr>
          <w:rFonts w:asciiTheme="minorHAnsi" w:hAnsiTheme="minorHAnsi"/>
        </w:rPr>
        <w:t xml:space="preserve">what the performance expectations are and the types of supporting evidence that </w:t>
      </w:r>
      <w:r w:rsidRPr="009E6119">
        <w:rPr>
          <w:rFonts w:asciiTheme="minorHAnsi" w:hAnsiTheme="minorHAnsi"/>
          <w:u w:val="single"/>
        </w:rPr>
        <w:t>may</w:t>
      </w:r>
      <w:r w:rsidRPr="00AF7611">
        <w:rPr>
          <w:rFonts w:asciiTheme="minorHAnsi" w:hAnsiTheme="minorHAnsi"/>
        </w:rPr>
        <w:t xml:space="preserve"> be requested to show how an expected practice has been met</w:t>
      </w:r>
      <w:r w:rsidR="006B689C">
        <w:rPr>
          <w:rFonts w:asciiTheme="minorHAnsi" w:hAnsiTheme="minorHAnsi"/>
        </w:rPr>
        <w:t>;</w:t>
      </w:r>
    </w:p>
    <w:p w14:paraId="278A5749" w14:textId="56A7953C" w:rsidR="00351034" w:rsidRPr="00AF7611" w:rsidRDefault="00056893" w:rsidP="00B9386E">
      <w:pPr>
        <w:pStyle w:val="ListBullet"/>
        <w:spacing w:before="60" w:after="60" w:line="240" w:lineRule="auto"/>
        <w:ind w:left="567"/>
        <w:rPr>
          <w:rFonts w:asciiTheme="minorHAnsi" w:hAnsiTheme="minorHAnsi"/>
        </w:rPr>
      </w:pPr>
      <w:r w:rsidRPr="00AF7611">
        <w:rPr>
          <w:rFonts w:asciiTheme="minorHAnsi" w:hAnsiTheme="minorHAnsi"/>
        </w:rPr>
        <w:t xml:space="preserve">the </w:t>
      </w:r>
      <w:r w:rsidR="00661DD5" w:rsidRPr="00AF7611">
        <w:rPr>
          <w:rFonts w:asciiTheme="minorHAnsi" w:hAnsiTheme="minorHAnsi"/>
        </w:rPr>
        <w:t xml:space="preserve">annual </w:t>
      </w:r>
      <w:r w:rsidR="00223412" w:rsidRPr="00AF7611">
        <w:rPr>
          <w:rFonts w:asciiTheme="minorHAnsi" w:hAnsiTheme="minorHAnsi"/>
        </w:rPr>
        <w:t>sel</w:t>
      </w:r>
      <w:r w:rsidR="00223412">
        <w:rPr>
          <w:rFonts w:asciiTheme="minorHAnsi" w:hAnsiTheme="minorHAnsi"/>
        </w:rPr>
        <w:t>f-</w:t>
      </w:r>
      <w:r w:rsidR="00351034" w:rsidRPr="00AF7611">
        <w:rPr>
          <w:rFonts w:asciiTheme="minorHAnsi" w:hAnsiTheme="minorHAnsi"/>
        </w:rPr>
        <w:t xml:space="preserve">assessment </w:t>
      </w:r>
      <w:r w:rsidR="00661DD5" w:rsidRPr="00AF7611">
        <w:rPr>
          <w:rFonts w:asciiTheme="minorHAnsi" w:hAnsiTheme="minorHAnsi"/>
        </w:rPr>
        <w:t xml:space="preserve">process </w:t>
      </w:r>
      <w:r w:rsidR="00245FDA" w:rsidRPr="00AF7611">
        <w:rPr>
          <w:rFonts w:asciiTheme="minorHAnsi" w:hAnsiTheme="minorHAnsi"/>
        </w:rPr>
        <w:t>on governance</w:t>
      </w:r>
      <w:r w:rsidR="009E6119">
        <w:rPr>
          <w:rFonts w:asciiTheme="minorHAnsi" w:hAnsiTheme="minorHAnsi"/>
        </w:rPr>
        <w:t>,</w:t>
      </w:r>
      <w:r w:rsidR="00BC2448" w:rsidRPr="00AF7611">
        <w:rPr>
          <w:rFonts w:asciiTheme="minorHAnsi" w:hAnsiTheme="minorHAnsi"/>
        </w:rPr>
        <w:t xml:space="preserve"> </w:t>
      </w:r>
      <w:r w:rsidR="009E6119">
        <w:rPr>
          <w:rFonts w:asciiTheme="minorHAnsi" w:hAnsiTheme="minorHAnsi"/>
        </w:rPr>
        <w:t>project</w:t>
      </w:r>
      <w:r w:rsidR="00BC2448" w:rsidRPr="00AF7611">
        <w:rPr>
          <w:rFonts w:asciiTheme="minorHAnsi" w:hAnsiTheme="minorHAnsi"/>
        </w:rPr>
        <w:t xml:space="preserve"> delivery </w:t>
      </w:r>
      <w:r w:rsidR="00245FDA" w:rsidRPr="00AF7611">
        <w:rPr>
          <w:rFonts w:asciiTheme="minorHAnsi" w:hAnsiTheme="minorHAnsi"/>
        </w:rPr>
        <w:t>performance and compliance</w:t>
      </w:r>
      <w:r w:rsidR="009E6119">
        <w:rPr>
          <w:rFonts w:asciiTheme="minorHAnsi" w:hAnsiTheme="minorHAnsi"/>
        </w:rPr>
        <w:t xml:space="preserve"> with funding agreements</w:t>
      </w:r>
      <w:r w:rsidR="00245FDA" w:rsidRPr="00AF7611">
        <w:rPr>
          <w:rFonts w:asciiTheme="minorHAnsi" w:hAnsiTheme="minorHAnsi"/>
        </w:rPr>
        <w:t xml:space="preserve">, including </w:t>
      </w:r>
      <w:r w:rsidR="00BC2448" w:rsidRPr="00AF7611">
        <w:rPr>
          <w:rFonts w:asciiTheme="minorHAnsi" w:hAnsiTheme="minorHAnsi"/>
        </w:rPr>
        <w:t>identifying</w:t>
      </w:r>
      <w:r w:rsidR="00245FDA" w:rsidRPr="00AF7611">
        <w:rPr>
          <w:rFonts w:asciiTheme="minorHAnsi" w:hAnsiTheme="minorHAnsi"/>
        </w:rPr>
        <w:t xml:space="preserve"> any predicted or emerging gaps and risks to be addressed</w:t>
      </w:r>
      <w:r w:rsidR="009F74C4" w:rsidRPr="00AF7611">
        <w:rPr>
          <w:rFonts w:asciiTheme="minorHAnsi" w:hAnsiTheme="minorHAnsi"/>
        </w:rPr>
        <w:t xml:space="preserve">; and </w:t>
      </w:r>
    </w:p>
    <w:p w14:paraId="278A574A" w14:textId="77777777" w:rsidR="009F74C4" w:rsidRDefault="009F74C4" w:rsidP="00B9386E">
      <w:pPr>
        <w:pStyle w:val="ListBullet"/>
        <w:spacing w:before="60" w:after="60" w:line="240" w:lineRule="auto"/>
        <w:ind w:left="567"/>
        <w:rPr>
          <w:rFonts w:asciiTheme="minorHAnsi" w:hAnsiTheme="minorHAnsi"/>
        </w:rPr>
      </w:pPr>
      <w:proofErr w:type="gramStart"/>
      <w:r w:rsidRPr="00AF7611">
        <w:rPr>
          <w:rFonts w:asciiTheme="minorHAnsi" w:hAnsiTheme="minorHAnsi"/>
        </w:rPr>
        <w:t>the</w:t>
      </w:r>
      <w:proofErr w:type="gramEnd"/>
      <w:r w:rsidRPr="00AF7611">
        <w:rPr>
          <w:rFonts w:asciiTheme="minorHAnsi" w:hAnsiTheme="minorHAnsi"/>
        </w:rPr>
        <w:t xml:space="preserve"> performance review</w:t>
      </w:r>
      <w:r w:rsidR="00794A43">
        <w:rPr>
          <w:rFonts w:asciiTheme="minorHAnsi" w:hAnsiTheme="minorHAnsi"/>
        </w:rPr>
        <w:t xml:space="preserve"> </w:t>
      </w:r>
      <w:r w:rsidR="00AA2728">
        <w:rPr>
          <w:rFonts w:asciiTheme="minorHAnsi" w:hAnsiTheme="minorHAnsi"/>
        </w:rPr>
        <w:t xml:space="preserve">and audit </w:t>
      </w:r>
      <w:r w:rsidR="00794A43">
        <w:rPr>
          <w:rFonts w:asciiTheme="minorHAnsi" w:hAnsiTheme="minorHAnsi"/>
        </w:rPr>
        <w:t>process</w:t>
      </w:r>
      <w:r w:rsidRPr="00AF7611">
        <w:rPr>
          <w:rFonts w:asciiTheme="minorHAnsi" w:hAnsiTheme="minorHAnsi"/>
        </w:rPr>
        <w:t xml:space="preserve"> by the Australian Government.</w:t>
      </w:r>
    </w:p>
    <w:p w14:paraId="278A574B" w14:textId="77777777" w:rsidR="009E6119" w:rsidRDefault="009E6119">
      <w:pPr>
        <w:spacing w:after="0" w:line="240" w:lineRule="auto"/>
        <w:rPr>
          <w:rFonts w:asciiTheme="minorHAnsi" w:hAnsiTheme="minorHAnsi"/>
        </w:rPr>
      </w:pPr>
      <w:r>
        <w:rPr>
          <w:rFonts w:asciiTheme="minorHAnsi" w:hAnsiTheme="minorHAnsi"/>
        </w:rPr>
        <w:br w:type="page"/>
      </w:r>
    </w:p>
    <w:p w14:paraId="278A574C" w14:textId="77777777" w:rsidR="00162CA7" w:rsidRPr="00963D1C" w:rsidRDefault="00162CA7" w:rsidP="00F00E56">
      <w:pPr>
        <w:pStyle w:val="ListBullet"/>
        <w:numPr>
          <w:ilvl w:val="0"/>
          <w:numId w:val="0"/>
        </w:numPr>
        <w:shd w:val="clear" w:color="auto" w:fill="C2D69B" w:themeFill="accent3" w:themeFillTint="99"/>
        <w:spacing w:before="360" w:after="0" w:line="240" w:lineRule="auto"/>
        <w:rPr>
          <w:rFonts w:asciiTheme="minorHAnsi" w:hAnsiTheme="minorHAnsi"/>
          <w:sz w:val="8"/>
          <w:szCs w:val="8"/>
        </w:rPr>
      </w:pPr>
    </w:p>
    <w:p w14:paraId="278A574D" w14:textId="77777777" w:rsidR="00162CA7" w:rsidRPr="00B612A6" w:rsidRDefault="00162CA7" w:rsidP="00F00E56">
      <w:pPr>
        <w:pStyle w:val="ListBullet"/>
        <w:numPr>
          <w:ilvl w:val="0"/>
          <w:numId w:val="0"/>
        </w:numPr>
        <w:shd w:val="clear" w:color="auto" w:fill="C2D69B" w:themeFill="accent3" w:themeFillTint="99"/>
        <w:spacing w:after="0" w:line="240" w:lineRule="auto"/>
        <w:rPr>
          <w:rFonts w:asciiTheme="minorHAnsi" w:hAnsiTheme="minorHAnsi"/>
          <w:b/>
          <w:i/>
          <w:color w:val="FFFFFF" w:themeColor="background1"/>
          <w:sz w:val="28"/>
          <w:szCs w:val="28"/>
          <w:lang w:eastAsia="en-AU"/>
        </w:rPr>
      </w:pPr>
      <w:r w:rsidRPr="00F00E56">
        <w:rPr>
          <w:rFonts w:asciiTheme="minorHAnsi" w:hAnsiTheme="minorHAnsi"/>
          <w:i/>
          <w:color w:val="4F6228" w:themeColor="accent3" w:themeShade="80"/>
          <w:sz w:val="28"/>
          <w:szCs w:val="28"/>
          <w:lang w:eastAsia="en-AU"/>
        </w:rPr>
        <w:t>Contents</w:t>
      </w:r>
    </w:p>
    <w:p w14:paraId="278A574E" w14:textId="77777777" w:rsidR="00162CA7" w:rsidRPr="00963D1C" w:rsidRDefault="00162CA7" w:rsidP="00872CD3">
      <w:pPr>
        <w:pStyle w:val="ListBullet"/>
        <w:numPr>
          <w:ilvl w:val="0"/>
          <w:numId w:val="0"/>
        </w:numPr>
        <w:shd w:val="clear" w:color="auto" w:fill="C2D69B" w:themeFill="accent3" w:themeFillTint="99"/>
        <w:spacing w:after="240" w:line="240" w:lineRule="auto"/>
        <w:rPr>
          <w:rFonts w:asciiTheme="minorHAnsi" w:hAnsiTheme="minorHAnsi"/>
          <w:b/>
          <w:color w:val="FFFFFF" w:themeColor="background1"/>
          <w:sz w:val="8"/>
          <w:szCs w:val="8"/>
        </w:rPr>
      </w:pPr>
    </w:p>
    <w:p w14:paraId="278A574F" w14:textId="77777777" w:rsidR="00A55BBF" w:rsidRPr="00A56EB1" w:rsidRDefault="006C085F" w:rsidP="009F74C4">
      <w:pPr>
        <w:pStyle w:val="ListBullet"/>
        <w:numPr>
          <w:ilvl w:val="0"/>
          <w:numId w:val="0"/>
        </w:numPr>
        <w:spacing w:after="60" w:line="240" w:lineRule="auto"/>
        <w:rPr>
          <w:rFonts w:asciiTheme="minorHAnsi" w:hAnsiTheme="minorHAnsi"/>
          <w:lang w:eastAsia="en-AU"/>
        </w:rPr>
      </w:pPr>
      <w:r w:rsidRPr="00A56EB1">
        <w:rPr>
          <w:rFonts w:asciiTheme="minorHAnsi" w:hAnsiTheme="minorHAnsi"/>
          <w:lang w:eastAsia="en-AU"/>
        </w:rPr>
        <w:t>1</w:t>
      </w:r>
      <w:r w:rsidR="00D12215" w:rsidRPr="00A56EB1">
        <w:rPr>
          <w:rFonts w:asciiTheme="minorHAnsi" w:hAnsiTheme="minorHAnsi"/>
          <w:lang w:eastAsia="en-AU"/>
        </w:rPr>
        <w:t>.</w:t>
      </w:r>
      <w:r w:rsidR="00D12215" w:rsidRPr="00A56EB1">
        <w:rPr>
          <w:rFonts w:asciiTheme="minorHAnsi" w:hAnsiTheme="minorHAnsi"/>
          <w:lang w:eastAsia="en-AU"/>
        </w:rPr>
        <w:tab/>
      </w:r>
      <w:r w:rsidR="009505DF" w:rsidRPr="00A56EB1">
        <w:rPr>
          <w:rFonts w:asciiTheme="minorHAnsi" w:hAnsiTheme="minorHAnsi"/>
          <w:lang w:eastAsia="en-AU"/>
        </w:rPr>
        <w:t>The performance expectations</w:t>
      </w:r>
      <w:r w:rsidR="00A55BBF" w:rsidRPr="00A56EB1">
        <w:rPr>
          <w:rFonts w:asciiTheme="minorHAnsi" w:hAnsiTheme="minorHAnsi"/>
          <w:lang w:eastAsia="en-AU"/>
        </w:rPr>
        <w:t xml:space="preserve"> </w:t>
      </w:r>
    </w:p>
    <w:p w14:paraId="278A5750" w14:textId="77777777" w:rsidR="00A55BBF" w:rsidRPr="00A56EB1" w:rsidRDefault="006C085F" w:rsidP="009F74C4">
      <w:pPr>
        <w:pStyle w:val="ListBullet"/>
        <w:numPr>
          <w:ilvl w:val="0"/>
          <w:numId w:val="0"/>
        </w:numPr>
        <w:spacing w:after="60" w:line="240" w:lineRule="auto"/>
        <w:rPr>
          <w:rFonts w:asciiTheme="minorHAnsi" w:hAnsiTheme="minorHAnsi"/>
          <w:lang w:eastAsia="en-AU"/>
        </w:rPr>
      </w:pPr>
      <w:r w:rsidRPr="00A56EB1">
        <w:rPr>
          <w:rFonts w:asciiTheme="minorHAnsi" w:hAnsiTheme="minorHAnsi"/>
          <w:lang w:eastAsia="en-AU"/>
        </w:rPr>
        <w:t>2</w:t>
      </w:r>
      <w:r w:rsidR="00A55BBF" w:rsidRPr="00A56EB1">
        <w:rPr>
          <w:rFonts w:asciiTheme="minorHAnsi" w:hAnsiTheme="minorHAnsi"/>
          <w:lang w:eastAsia="en-AU"/>
        </w:rPr>
        <w:t>.</w:t>
      </w:r>
      <w:r w:rsidR="00A55BBF" w:rsidRPr="00A56EB1">
        <w:rPr>
          <w:rFonts w:asciiTheme="minorHAnsi" w:hAnsiTheme="minorHAnsi"/>
          <w:lang w:eastAsia="en-AU"/>
        </w:rPr>
        <w:tab/>
        <w:t>Evidence required to support the expected practices</w:t>
      </w:r>
    </w:p>
    <w:p w14:paraId="278A5751" w14:textId="77777777" w:rsidR="003A0702" w:rsidRPr="00A56EB1" w:rsidRDefault="006C085F" w:rsidP="009F74C4">
      <w:pPr>
        <w:pStyle w:val="ListBullet"/>
        <w:numPr>
          <w:ilvl w:val="0"/>
          <w:numId w:val="0"/>
        </w:numPr>
        <w:spacing w:after="60" w:line="240" w:lineRule="auto"/>
        <w:rPr>
          <w:rFonts w:asciiTheme="minorHAnsi" w:hAnsiTheme="minorHAnsi"/>
          <w:lang w:eastAsia="en-AU"/>
        </w:rPr>
      </w:pPr>
      <w:r w:rsidRPr="00A56EB1">
        <w:rPr>
          <w:rFonts w:asciiTheme="minorHAnsi" w:hAnsiTheme="minorHAnsi"/>
          <w:lang w:eastAsia="en-AU"/>
        </w:rPr>
        <w:t>3</w:t>
      </w:r>
      <w:r w:rsidR="00BE427D" w:rsidRPr="00A56EB1">
        <w:rPr>
          <w:rFonts w:asciiTheme="minorHAnsi" w:hAnsiTheme="minorHAnsi"/>
          <w:lang w:eastAsia="en-AU"/>
        </w:rPr>
        <w:t>.</w:t>
      </w:r>
      <w:r w:rsidR="00BE427D" w:rsidRPr="00A56EB1">
        <w:rPr>
          <w:rFonts w:asciiTheme="minorHAnsi" w:hAnsiTheme="minorHAnsi"/>
          <w:lang w:eastAsia="en-AU"/>
        </w:rPr>
        <w:tab/>
      </w:r>
      <w:r w:rsidR="003A0702" w:rsidRPr="00A56EB1">
        <w:rPr>
          <w:rFonts w:asciiTheme="minorHAnsi" w:hAnsiTheme="minorHAnsi"/>
          <w:lang w:eastAsia="en-AU"/>
        </w:rPr>
        <w:t>What is the local community?</w:t>
      </w:r>
    </w:p>
    <w:p w14:paraId="278A5752" w14:textId="7615061F" w:rsidR="00197112" w:rsidRPr="00A56EB1" w:rsidRDefault="006C085F" w:rsidP="009F74C4">
      <w:pPr>
        <w:pStyle w:val="ListBullet"/>
        <w:numPr>
          <w:ilvl w:val="0"/>
          <w:numId w:val="0"/>
        </w:numPr>
        <w:spacing w:after="60" w:line="240" w:lineRule="auto"/>
        <w:rPr>
          <w:rFonts w:asciiTheme="minorHAnsi" w:hAnsiTheme="minorHAnsi"/>
          <w:lang w:eastAsia="en-AU"/>
        </w:rPr>
      </w:pPr>
      <w:r w:rsidRPr="00A56EB1">
        <w:rPr>
          <w:rFonts w:asciiTheme="minorHAnsi" w:hAnsiTheme="minorHAnsi"/>
          <w:lang w:eastAsia="en-AU"/>
        </w:rPr>
        <w:t>4</w:t>
      </w:r>
      <w:r w:rsidR="00D12215" w:rsidRPr="00A56EB1">
        <w:rPr>
          <w:rFonts w:asciiTheme="minorHAnsi" w:hAnsiTheme="minorHAnsi"/>
          <w:lang w:eastAsia="en-AU"/>
        </w:rPr>
        <w:t>.</w:t>
      </w:r>
      <w:r w:rsidR="00D12215" w:rsidRPr="00A56EB1">
        <w:rPr>
          <w:rFonts w:asciiTheme="minorHAnsi" w:hAnsiTheme="minorHAnsi"/>
          <w:lang w:eastAsia="en-AU"/>
        </w:rPr>
        <w:tab/>
      </w:r>
      <w:r w:rsidR="00B612A6" w:rsidRPr="00A56EB1">
        <w:rPr>
          <w:rFonts w:asciiTheme="minorHAnsi" w:hAnsiTheme="minorHAnsi"/>
          <w:lang w:eastAsia="en-AU"/>
        </w:rPr>
        <w:t xml:space="preserve">Regional NRM organisation annual </w:t>
      </w:r>
      <w:r w:rsidR="00223412" w:rsidRPr="00A56EB1">
        <w:rPr>
          <w:rFonts w:asciiTheme="minorHAnsi" w:hAnsiTheme="minorHAnsi"/>
          <w:lang w:eastAsia="en-AU"/>
        </w:rPr>
        <w:t>self</w:t>
      </w:r>
      <w:r w:rsidR="00223412">
        <w:rPr>
          <w:rFonts w:asciiTheme="minorHAnsi" w:hAnsiTheme="minorHAnsi"/>
          <w:lang w:eastAsia="en-AU"/>
        </w:rPr>
        <w:t>-</w:t>
      </w:r>
      <w:r w:rsidR="00B612A6" w:rsidRPr="00A56EB1">
        <w:rPr>
          <w:rFonts w:asciiTheme="minorHAnsi" w:hAnsiTheme="minorHAnsi"/>
          <w:lang w:eastAsia="en-AU"/>
        </w:rPr>
        <w:t>assessment</w:t>
      </w:r>
    </w:p>
    <w:p w14:paraId="278A5753" w14:textId="1F98BF9C" w:rsidR="00A437B4" w:rsidRPr="00A56EB1" w:rsidRDefault="006C085F" w:rsidP="009F74C4">
      <w:pPr>
        <w:pStyle w:val="ListBullet"/>
        <w:numPr>
          <w:ilvl w:val="0"/>
          <w:numId w:val="0"/>
        </w:numPr>
        <w:spacing w:after="60" w:line="240" w:lineRule="auto"/>
        <w:rPr>
          <w:rFonts w:asciiTheme="minorHAnsi" w:hAnsiTheme="minorHAnsi"/>
          <w:lang w:eastAsia="en-AU"/>
        </w:rPr>
      </w:pPr>
      <w:r w:rsidRPr="00A56EB1">
        <w:rPr>
          <w:rFonts w:asciiTheme="minorHAnsi" w:hAnsiTheme="minorHAnsi"/>
          <w:lang w:eastAsia="en-AU"/>
        </w:rPr>
        <w:t>5</w:t>
      </w:r>
      <w:r w:rsidR="00D12215" w:rsidRPr="00A56EB1">
        <w:rPr>
          <w:rFonts w:asciiTheme="minorHAnsi" w:hAnsiTheme="minorHAnsi"/>
          <w:lang w:eastAsia="en-AU"/>
        </w:rPr>
        <w:t>.</w:t>
      </w:r>
      <w:r w:rsidR="00D12215" w:rsidRPr="00A56EB1">
        <w:rPr>
          <w:rFonts w:asciiTheme="minorHAnsi" w:hAnsiTheme="minorHAnsi"/>
          <w:lang w:eastAsia="en-AU"/>
        </w:rPr>
        <w:tab/>
      </w:r>
      <w:r w:rsidR="00AC1C09" w:rsidRPr="00A56EB1">
        <w:rPr>
          <w:rFonts w:asciiTheme="minorHAnsi" w:hAnsiTheme="minorHAnsi"/>
          <w:lang w:eastAsia="en-AU"/>
        </w:rPr>
        <w:t xml:space="preserve">Using the </w:t>
      </w:r>
      <w:r w:rsidR="00223412" w:rsidRPr="00A56EB1">
        <w:rPr>
          <w:rFonts w:asciiTheme="minorHAnsi" w:hAnsiTheme="minorHAnsi"/>
          <w:lang w:eastAsia="en-AU"/>
        </w:rPr>
        <w:t>self</w:t>
      </w:r>
      <w:r w:rsidR="00223412">
        <w:rPr>
          <w:rFonts w:asciiTheme="minorHAnsi" w:hAnsiTheme="minorHAnsi"/>
          <w:lang w:eastAsia="en-AU"/>
        </w:rPr>
        <w:t>-</w:t>
      </w:r>
      <w:r w:rsidR="00AC1C09" w:rsidRPr="00A56EB1">
        <w:rPr>
          <w:rFonts w:asciiTheme="minorHAnsi" w:hAnsiTheme="minorHAnsi"/>
          <w:lang w:eastAsia="en-AU"/>
        </w:rPr>
        <w:t>assessment form in MERIT</w:t>
      </w:r>
    </w:p>
    <w:p w14:paraId="278A5754" w14:textId="77777777" w:rsidR="00162CA7" w:rsidRPr="00A56EB1" w:rsidRDefault="00F30005" w:rsidP="009F74C4">
      <w:pPr>
        <w:pStyle w:val="ListBullet"/>
        <w:numPr>
          <w:ilvl w:val="0"/>
          <w:numId w:val="0"/>
        </w:numPr>
        <w:spacing w:after="60" w:line="240" w:lineRule="auto"/>
        <w:rPr>
          <w:rFonts w:asciiTheme="minorHAnsi" w:hAnsiTheme="minorHAnsi"/>
          <w:lang w:eastAsia="en-AU"/>
        </w:rPr>
      </w:pPr>
      <w:r>
        <w:rPr>
          <w:rFonts w:asciiTheme="minorHAnsi" w:hAnsiTheme="minorHAnsi"/>
          <w:lang w:eastAsia="en-AU"/>
        </w:rPr>
        <w:t>6</w:t>
      </w:r>
      <w:r w:rsidR="00CA6BD0" w:rsidRPr="00A56EB1">
        <w:rPr>
          <w:rFonts w:asciiTheme="minorHAnsi" w:hAnsiTheme="minorHAnsi"/>
          <w:lang w:eastAsia="en-AU"/>
        </w:rPr>
        <w:t>.</w:t>
      </w:r>
      <w:r w:rsidR="00CA6BD0" w:rsidRPr="00A56EB1">
        <w:rPr>
          <w:rFonts w:asciiTheme="minorHAnsi" w:hAnsiTheme="minorHAnsi"/>
          <w:lang w:eastAsia="en-AU"/>
        </w:rPr>
        <w:tab/>
      </w:r>
      <w:r w:rsidR="00BE427D" w:rsidRPr="00A56EB1">
        <w:rPr>
          <w:rFonts w:asciiTheme="minorHAnsi" w:hAnsiTheme="minorHAnsi"/>
          <w:lang w:eastAsia="en-AU"/>
        </w:rPr>
        <w:t>Performance Reviews</w:t>
      </w:r>
      <w:r w:rsidR="00B648BC">
        <w:rPr>
          <w:rFonts w:asciiTheme="minorHAnsi" w:hAnsiTheme="minorHAnsi"/>
          <w:lang w:eastAsia="en-AU"/>
        </w:rPr>
        <w:t xml:space="preserve"> and Audits</w:t>
      </w:r>
    </w:p>
    <w:p w14:paraId="278A5755" w14:textId="77777777" w:rsidR="002E7F60" w:rsidRPr="00A56EB1" w:rsidRDefault="00F30005" w:rsidP="009F74C4">
      <w:pPr>
        <w:pStyle w:val="ListBullet"/>
        <w:numPr>
          <w:ilvl w:val="0"/>
          <w:numId w:val="0"/>
        </w:numPr>
        <w:spacing w:after="60" w:line="240" w:lineRule="auto"/>
        <w:rPr>
          <w:rFonts w:asciiTheme="minorHAnsi" w:hAnsiTheme="minorHAnsi"/>
          <w:lang w:eastAsia="en-AU"/>
        </w:rPr>
      </w:pPr>
      <w:r>
        <w:rPr>
          <w:rFonts w:asciiTheme="minorHAnsi" w:hAnsiTheme="minorHAnsi"/>
          <w:lang w:eastAsia="en-AU"/>
        </w:rPr>
        <w:t>7</w:t>
      </w:r>
      <w:r w:rsidR="00CA6BD0" w:rsidRPr="00A56EB1">
        <w:rPr>
          <w:rFonts w:asciiTheme="minorHAnsi" w:hAnsiTheme="minorHAnsi"/>
          <w:lang w:eastAsia="en-AU"/>
        </w:rPr>
        <w:t>.</w:t>
      </w:r>
      <w:r w:rsidR="00CA6BD0" w:rsidRPr="00A56EB1">
        <w:rPr>
          <w:rFonts w:asciiTheme="minorHAnsi" w:hAnsiTheme="minorHAnsi"/>
          <w:lang w:eastAsia="en-AU"/>
        </w:rPr>
        <w:tab/>
      </w:r>
      <w:r w:rsidR="006C0640" w:rsidRPr="006C0640">
        <w:rPr>
          <w:rFonts w:asciiTheme="minorHAnsi" w:hAnsiTheme="minorHAnsi"/>
          <w:lang w:eastAsia="en-AU"/>
        </w:rPr>
        <w:t>Annual reporting arrangements</w:t>
      </w:r>
    </w:p>
    <w:p w14:paraId="278A5756" w14:textId="77777777" w:rsidR="00AC1C09" w:rsidRPr="00A56EB1" w:rsidRDefault="00F30005" w:rsidP="009F74C4">
      <w:pPr>
        <w:pStyle w:val="ListBullet"/>
        <w:numPr>
          <w:ilvl w:val="0"/>
          <w:numId w:val="0"/>
        </w:numPr>
        <w:spacing w:after="60" w:line="240" w:lineRule="auto"/>
        <w:rPr>
          <w:rFonts w:asciiTheme="minorHAnsi" w:hAnsiTheme="minorHAnsi"/>
          <w:lang w:eastAsia="en-AU"/>
        </w:rPr>
      </w:pPr>
      <w:r>
        <w:rPr>
          <w:rFonts w:asciiTheme="minorHAnsi" w:hAnsiTheme="minorHAnsi"/>
          <w:lang w:eastAsia="en-AU"/>
        </w:rPr>
        <w:t>8</w:t>
      </w:r>
      <w:r w:rsidR="00CA6BD0" w:rsidRPr="00A56EB1">
        <w:rPr>
          <w:rFonts w:asciiTheme="minorHAnsi" w:hAnsiTheme="minorHAnsi"/>
          <w:lang w:eastAsia="en-AU"/>
        </w:rPr>
        <w:t>.</w:t>
      </w:r>
      <w:r w:rsidR="00CA6BD0" w:rsidRPr="00A56EB1">
        <w:rPr>
          <w:rFonts w:asciiTheme="minorHAnsi" w:hAnsiTheme="minorHAnsi"/>
          <w:lang w:eastAsia="en-AU"/>
        </w:rPr>
        <w:tab/>
      </w:r>
      <w:r w:rsidR="006C0640" w:rsidRPr="006C0640">
        <w:rPr>
          <w:rFonts w:asciiTheme="minorHAnsi" w:hAnsiTheme="minorHAnsi"/>
          <w:lang w:eastAsia="en-AU"/>
        </w:rPr>
        <w:t>Maintaining annual reporting arrangements</w:t>
      </w:r>
    </w:p>
    <w:p w14:paraId="278A5757" w14:textId="77777777" w:rsidR="00BE427D" w:rsidRPr="00963D1C" w:rsidRDefault="00BE427D" w:rsidP="00872CD3">
      <w:pPr>
        <w:pStyle w:val="ListBullet"/>
        <w:numPr>
          <w:ilvl w:val="0"/>
          <w:numId w:val="0"/>
        </w:numPr>
        <w:shd w:val="clear" w:color="auto" w:fill="C2D69B" w:themeFill="accent3" w:themeFillTint="99"/>
        <w:spacing w:before="240" w:after="0" w:line="240" w:lineRule="auto"/>
        <w:rPr>
          <w:rFonts w:asciiTheme="minorHAnsi" w:hAnsiTheme="minorHAnsi"/>
          <w:sz w:val="8"/>
          <w:szCs w:val="8"/>
        </w:rPr>
      </w:pPr>
    </w:p>
    <w:p w14:paraId="278A5758" w14:textId="77777777" w:rsidR="00BE427D" w:rsidRPr="00F00E56" w:rsidRDefault="006C085F" w:rsidP="00A55BBF">
      <w:pPr>
        <w:pStyle w:val="ListBullet"/>
        <w:numPr>
          <w:ilvl w:val="0"/>
          <w:numId w:val="0"/>
        </w:numPr>
        <w:shd w:val="clear" w:color="auto" w:fill="C2D69B" w:themeFill="accent3" w:themeFillTint="99"/>
        <w:spacing w:after="0" w:line="240" w:lineRule="auto"/>
        <w:ind w:left="567" w:hanging="567"/>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1</w:t>
      </w:r>
      <w:r w:rsidR="00BE427D">
        <w:rPr>
          <w:rFonts w:asciiTheme="minorHAnsi" w:hAnsiTheme="minorHAnsi"/>
          <w:i/>
          <w:color w:val="4F6228" w:themeColor="accent3" w:themeShade="80"/>
          <w:sz w:val="28"/>
          <w:szCs w:val="28"/>
          <w:lang w:eastAsia="en-AU"/>
        </w:rPr>
        <w:t>.</w:t>
      </w:r>
      <w:r w:rsidR="00BE427D">
        <w:rPr>
          <w:rFonts w:asciiTheme="minorHAnsi" w:hAnsiTheme="minorHAnsi"/>
          <w:i/>
          <w:color w:val="4F6228" w:themeColor="accent3" w:themeShade="80"/>
          <w:sz w:val="28"/>
          <w:szCs w:val="28"/>
          <w:lang w:eastAsia="en-AU"/>
        </w:rPr>
        <w:tab/>
        <w:t>The performance expectations</w:t>
      </w:r>
    </w:p>
    <w:p w14:paraId="278A5759" w14:textId="77777777" w:rsidR="00BE427D" w:rsidRPr="00963D1C" w:rsidRDefault="00BE427D" w:rsidP="00872CD3">
      <w:pPr>
        <w:pStyle w:val="ListBullet"/>
        <w:numPr>
          <w:ilvl w:val="0"/>
          <w:numId w:val="0"/>
        </w:numPr>
        <w:shd w:val="clear" w:color="auto" w:fill="C2D69B" w:themeFill="accent3" w:themeFillTint="99"/>
        <w:spacing w:after="240" w:line="240" w:lineRule="auto"/>
        <w:rPr>
          <w:rFonts w:asciiTheme="minorHAnsi" w:hAnsiTheme="minorHAnsi"/>
          <w:b/>
          <w:color w:val="FFFFFF" w:themeColor="background1"/>
          <w:sz w:val="8"/>
          <w:szCs w:val="8"/>
        </w:rPr>
      </w:pPr>
    </w:p>
    <w:p w14:paraId="278A575A" w14:textId="77777777" w:rsidR="00AD25E1" w:rsidRPr="00A56EB1" w:rsidRDefault="00AD25E1" w:rsidP="00AD25E1">
      <w:pPr>
        <w:pStyle w:val="ListBullet"/>
        <w:numPr>
          <w:ilvl w:val="0"/>
          <w:numId w:val="0"/>
        </w:numPr>
        <w:spacing w:before="60" w:after="0" w:line="240" w:lineRule="auto"/>
        <w:rPr>
          <w:rFonts w:asciiTheme="minorHAnsi" w:hAnsiTheme="minorHAnsi"/>
        </w:rPr>
      </w:pPr>
      <w:r w:rsidRPr="00A56EB1">
        <w:rPr>
          <w:rFonts w:asciiTheme="minorHAnsi" w:hAnsiTheme="minorHAnsi"/>
        </w:rPr>
        <w:t>The five performance expectations and their related expected practices outline standards of organisational and programme delivery performance that is expected of regional NRM organisations. The purpose of the performance expectations is fourfold:</w:t>
      </w:r>
    </w:p>
    <w:p w14:paraId="278A575B" w14:textId="77777777" w:rsidR="00AD25E1" w:rsidRPr="00A56EB1" w:rsidRDefault="00AD25E1" w:rsidP="009F10CE">
      <w:pPr>
        <w:pStyle w:val="ListBullet"/>
        <w:spacing w:before="60" w:after="0" w:line="240" w:lineRule="auto"/>
        <w:ind w:left="567"/>
        <w:rPr>
          <w:rFonts w:asciiTheme="minorHAnsi" w:hAnsiTheme="minorHAnsi"/>
        </w:rPr>
      </w:pPr>
      <w:r w:rsidRPr="00A56EB1">
        <w:rPr>
          <w:rFonts w:asciiTheme="minorHAnsi" w:hAnsiTheme="minorHAnsi"/>
        </w:rPr>
        <w:t xml:space="preserve">to provide assurance to the Australian Government that its expectations are being met with respect to </w:t>
      </w:r>
      <w:r w:rsidR="00742BB0">
        <w:rPr>
          <w:rFonts w:asciiTheme="minorHAnsi" w:hAnsiTheme="minorHAnsi"/>
        </w:rPr>
        <w:t>how regional NRM organisations</w:t>
      </w:r>
      <w:r w:rsidRPr="00A56EB1">
        <w:rPr>
          <w:rFonts w:asciiTheme="minorHAnsi" w:hAnsiTheme="minorHAnsi"/>
        </w:rPr>
        <w:t xml:space="preserve"> operate;</w:t>
      </w:r>
    </w:p>
    <w:p w14:paraId="278A575C" w14:textId="77777777" w:rsidR="00AD25E1" w:rsidRPr="00A56EB1" w:rsidRDefault="00AD25E1" w:rsidP="009F10CE">
      <w:pPr>
        <w:pStyle w:val="ListBullet"/>
        <w:spacing w:after="0" w:line="240" w:lineRule="auto"/>
        <w:ind w:left="567"/>
        <w:rPr>
          <w:rFonts w:asciiTheme="minorHAnsi" w:hAnsiTheme="minorHAnsi"/>
        </w:rPr>
      </w:pPr>
      <w:r w:rsidRPr="00A56EB1">
        <w:rPr>
          <w:rFonts w:asciiTheme="minorHAnsi" w:hAnsiTheme="minorHAnsi"/>
        </w:rPr>
        <w:t>to ensure regional communities are appropriately involved in the delivery of NRM outcomes in their regions;</w:t>
      </w:r>
    </w:p>
    <w:p w14:paraId="278A575D" w14:textId="77777777" w:rsidR="00AD25E1" w:rsidRPr="00A56EB1" w:rsidRDefault="00AD25E1" w:rsidP="009F10CE">
      <w:pPr>
        <w:pStyle w:val="ListBullet"/>
        <w:spacing w:after="0" w:line="240" w:lineRule="auto"/>
        <w:ind w:left="567"/>
        <w:rPr>
          <w:rFonts w:asciiTheme="minorHAnsi" w:hAnsiTheme="minorHAnsi"/>
        </w:rPr>
      </w:pPr>
      <w:r w:rsidRPr="00A56EB1">
        <w:rPr>
          <w:rFonts w:asciiTheme="minorHAnsi" w:hAnsiTheme="minorHAnsi"/>
        </w:rPr>
        <w:t>to engender continuous improvement in organisational performance; and</w:t>
      </w:r>
    </w:p>
    <w:p w14:paraId="278A575E" w14:textId="77777777" w:rsidR="00AD25E1" w:rsidRPr="00A56EB1" w:rsidRDefault="00AD25E1" w:rsidP="009F10CE">
      <w:pPr>
        <w:pStyle w:val="ListBullet"/>
        <w:spacing w:after="60" w:line="240" w:lineRule="auto"/>
        <w:ind w:left="567"/>
        <w:rPr>
          <w:rFonts w:asciiTheme="minorHAnsi" w:hAnsiTheme="minorHAnsi"/>
        </w:rPr>
      </w:pPr>
      <w:proofErr w:type="gramStart"/>
      <w:r w:rsidRPr="00A56EB1">
        <w:rPr>
          <w:rFonts w:asciiTheme="minorHAnsi" w:hAnsiTheme="minorHAnsi"/>
        </w:rPr>
        <w:t>to</w:t>
      </w:r>
      <w:proofErr w:type="gramEnd"/>
      <w:r w:rsidRPr="00A56EB1">
        <w:rPr>
          <w:rFonts w:asciiTheme="minorHAnsi" w:hAnsiTheme="minorHAnsi"/>
        </w:rPr>
        <w:t xml:space="preserve"> allow responsiveness to emerging issues.</w:t>
      </w:r>
    </w:p>
    <w:p w14:paraId="278A575F" w14:textId="77777777" w:rsidR="006C085F" w:rsidRPr="00A56EB1" w:rsidRDefault="006C085F" w:rsidP="006C085F">
      <w:pPr>
        <w:pStyle w:val="ListBullet"/>
        <w:numPr>
          <w:ilvl w:val="0"/>
          <w:numId w:val="0"/>
        </w:numPr>
        <w:spacing w:before="60" w:after="0" w:line="240" w:lineRule="auto"/>
        <w:rPr>
          <w:rFonts w:asciiTheme="minorHAnsi" w:hAnsiTheme="minorHAnsi"/>
        </w:rPr>
      </w:pPr>
      <w:r w:rsidRPr="00A56EB1">
        <w:rPr>
          <w:rFonts w:asciiTheme="minorHAnsi" w:hAnsiTheme="minorHAnsi"/>
        </w:rPr>
        <w:t xml:space="preserve">They are intended to complement and draw on existing governance requirements </w:t>
      </w:r>
      <w:r w:rsidR="00742BB0">
        <w:rPr>
          <w:rFonts w:asciiTheme="minorHAnsi" w:hAnsiTheme="minorHAnsi"/>
        </w:rPr>
        <w:t xml:space="preserve">and performance frameworks, </w:t>
      </w:r>
      <w:r w:rsidRPr="00A56EB1">
        <w:rPr>
          <w:rFonts w:asciiTheme="minorHAnsi" w:hAnsiTheme="minorHAnsi"/>
        </w:rPr>
        <w:t xml:space="preserve">including statutory and contractual obligations as well as voluntary governance review processes. </w:t>
      </w:r>
      <w:r w:rsidR="00742BB0">
        <w:rPr>
          <w:rFonts w:asciiTheme="minorHAnsi" w:hAnsiTheme="minorHAnsi"/>
        </w:rPr>
        <w:t>I</w:t>
      </w:r>
      <w:r w:rsidRPr="00A56EB1">
        <w:rPr>
          <w:rFonts w:asciiTheme="minorHAnsi" w:hAnsiTheme="minorHAnsi"/>
        </w:rPr>
        <w:t xml:space="preserve">f applicable and appropriate, a regional NRM organisation may choose to use an existing governance and performance review mechanism that has already been undertaken and is still current (e.g. the Organisational Performance Excellence Framework) as a source of evidence in demonstrating performance against the </w:t>
      </w:r>
      <w:r w:rsidR="006512A4">
        <w:rPr>
          <w:rFonts w:asciiTheme="minorHAnsi" w:hAnsiTheme="minorHAnsi"/>
        </w:rPr>
        <w:t>relevant</w:t>
      </w:r>
      <w:r w:rsidRPr="00A56EB1">
        <w:rPr>
          <w:rFonts w:asciiTheme="minorHAnsi" w:hAnsiTheme="minorHAnsi"/>
        </w:rPr>
        <w:t xml:space="preserve"> performance expectations.</w:t>
      </w:r>
    </w:p>
    <w:p w14:paraId="278A5760" w14:textId="77777777" w:rsidR="006C085F" w:rsidRPr="00A56EB1" w:rsidRDefault="006C085F" w:rsidP="006C085F">
      <w:pPr>
        <w:pStyle w:val="ListBullet"/>
        <w:numPr>
          <w:ilvl w:val="0"/>
          <w:numId w:val="0"/>
        </w:numPr>
        <w:spacing w:before="60" w:after="0" w:line="240" w:lineRule="auto"/>
        <w:rPr>
          <w:rFonts w:asciiTheme="minorHAnsi" w:hAnsiTheme="minorHAnsi"/>
        </w:rPr>
      </w:pPr>
      <w:r w:rsidRPr="00A56EB1">
        <w:rPr>
          <w:rFonts w:asciiTheme="minorHAnsi" w:hAnsiTheme="minorHAnsi"/>
        </w:rPr>
        <w:t xml:space="preserve">The </w:t>
      </w:r>
      <w:r w:rsidR="00E80A42">
        <w:rPr>
          <w:rFonts w:asciiTheme="minorHAnsi" w:hAnsiTheme="minorHAnsi"/>
        </w:rPr>
        <w:t xml:space="preserve">purpose of the </w:t>
      </w:r>
      <w:r w:rsidRPr="00A56EB1">
        <w:rPr>
          <w:rFonts w:asciiTheme="minorHAnsi" w:hAnsiTheme="minorHAnsi"/>
        </w:rPr>
        <w:t xml:space="preserve">five performance expectations are: </w:t>
      </w:r>
    </w:p>
    <w:p w14:paraId="278A5761" w14:textId="77777777" w:rsidR="006C085F" w:rsidRPr="00A56EB1" w:rsidRDefault="008955A1" w:rsidP="00D45A8A">
      <w:pPr>
        <w:pStyle w:val="ListBullet"/>
        <w:numPr>
          <w:ilvl w:val="0"/>
          <w:numId w:val="8"/>
        </w:numPr>
        <w:spacing w:before="60" w:after="0" w:line="240" w:lineRule="auto"/>
        <w:ind w:left="567" w:hanging="207"/>
        <w:rPr>
          <w:rFonts w:asciiTheme="minorHAnsi" w:hAnsiTheme="minorHAnsi"/>
          <w:i/>
          <w:lang w:eastAsia="en-AU"/>
        </w:rPr>
      </w:pPr>
      <w:r w:rsidRPr="00A56EB1">
        <w:rPr>
          <w:rFonts w:asciiTheme="minorHAnsi" w:hAnsiTheme="minorHAnsi"/>
          <w:i/>
          <w:lang w:eastAsia="en-AU"/>
        </w:rPr>
        <w:t xml:space="preserve">Performance Expectation 1 - </w:t>
      </w:r>
      <w:r w:rsidR="006C085F" w:rsidRPr="00A56EB1">
        <w:rPr>
          <w:rFonts w:asciiTheme="minorHAnsi" w:hAnsiTheme="minorHAnsi"/>
          <w:i/>
          <w:lang w:eastAsia="en-AU"/>
        </w:rPr>
        <w:t xml:space="preserve">Organisational governance; </w:t>
      </w:r>
    </w:p>
    <w:p w14:paraId="278A5762" w14:textId="77777777" w:rsidR="008955A1" w:rsidRPr="00A56EB1" w:rsidRDefault="008955A1" w:rsidP="00A56EB1">
      <w:pPr>
        <w:pStyle w:val="ListBullet"/>
        <w:numPr>
          <w:ilvl w:val="0"/>
          <w:numId w:val="0"/>
        </w:numPr>
        <w:spacing w:before="60" w:after="0" w:line="240" w:lineRule="auto"/>
        <w:ind w:left="1134" w:right="566"/>
        <w:rPr>
          <w:rFonts w:asciiTheme="minorHAnsi" w:hAnsiTheme="minorHAnsi"/>
          <w:sz w:val="20"/>
          <w:szCs w:val="20"/>
          <w:lang w:eastAsia="en-AU"/>
        </w:rPr>
      </w:pPr>
      <w:r w:rsidRPr="00A56EB1">
        <w:rPr>
          <w:rFonts w:asciiTheme="minorHAnsi" w:hAnsiTheme="minorHAnsi"/>
          <w:sz w:val="20"/>
          <w:szCs w:val="20"/>
          <w:lang w:eastAsia="en-AU"/>
        </w:rPr>
        <w:t>Strong organisational governance is fundamental to sound decision-making and managing and using resources efficiently to ensure that the highest possible level of performance is achieved, including how risk is monitored and assessed. It allows the Australian Government to be confident that its NRM investment is being delivered by highly capable organisations.</w:t>
      </w:r>
    </w:p>
    <w:p w14:paraId="278A5763" w14:textId="77777777" w:rsidR="006C085F" w:rsidRPr="00A56EB1" w:rsidRDefault="008955A1" w:rsidP="00D45A8A">
      <w:pPr>
        <w:pStyle w:val="ListBullet"/>
        <w:numPr>
          <w:ilvl w:val="0"/>
          <w:numId w:val="8"/>
        </w:numPr>
        <w:spacing w:after="0" w:line="240" w:lineRule="auto"/>
        <w:ind w:left="567" w:hanging="207"/>
        <w:rPr>
          <w:rFonts w:asciiTheme="minorHAnsi" w:hAnsiTheme="minorHAnsi" w:cs="Arial"/>
          <w:i/>
        </w:rPr>
      </w:pPr>
      <w:r w:rsidRPr="00A56EB1">
        <w:rPr>
          <w:rFonts w:asciiTheme="minorHAnsi" w:hAnsiTheme="minorHAnsi"/>
          <w:i/>
          <w:lang w:eastAsia="en-AU"/>
        </w:rPr>
        <w:t>Performance Expectation 2 – Financial governance</w:t>
      </w:r>
      <w:r w:rsidR="006C085F" w:rsidRPr="00A56EB1">
        <w:rPr>
          <w:rFonts w:asciiTheme="minorHAnsi" w:hAnsiTheme="minorHAnsi" w:cs="Arial"/>
          <w:i/>
        </w:rPr>
        <w:t>;</w:t>
      </w:r>
    </w:p>
    <w:p w14:paraId="278A5764" w14:textId="77777777" w:rsidR="008955A1" w:rsidRPr="00A56EB1" w:rsidRDefault="008955A1" w:rsidP="00A56EB1">
      <w:pPr>
        <w:pStyle w:val="ListBullet"/>
        <w:numPr>
          <w:ilvl w:val="0"/>
          <w:numId w:val="0"/>
        </w:numPr>
        <w:spacing w:before="60" w:after="0" w:line="240" w:lineRule="auto"/>
        <w:ind w:left="1134" w:right="566"/>
        <w:rPr>
          <w:rFonts w:asciiTheme="minorHAnsi" w:hAnsiTheme="minorHAnsi" w:cs="Arial"/>
          <w:sz w:val="20"/>
          <w:szCs w:val="20"/>
        </w:rPr>
      </w:pPr>
      <w:r w:rsidRPr="00A56EB1">
        <w:rPr>
          <w:rFonts w:asciiTheme="minorHAnsi" w:hAnsiTheme="minorHAnsi"/>
          <w:sz w:val="20"/>
          <w:szCs w:val="20"/>
          <w:lang w:eastAsia="en-AU"/>
        </w:rPr>
        <w:t>Strong financial governance is important for good governance and financial stability. It allows the Australian Government to be confident that its NRM investment is being delivered by a financially competent and capable organisation.</w:t>
      </w:r>
    </w:p>
    <w:p w14:paraId="278A5765" w14:textId="77777777" w:rsidR="006C085F" w:rsidRPr="00A56EB1" w:rsidRDefault="00A56EB1" w:rsidP="00D45A8A">
      <w:pPr>
        <w:pStyle w:val="ListBullet"/>
        <w:numPr>
          <w:ilvl w:val="0"/>
          <w:numId w:val="8"/>
        </w:numPr>
        <w:spacing w:after="0" w:line="240" w:lineRule="auto"/>
        <w:ind w:left="567" w:hanging="207"/>
        <w:rPr>
          <w:rFonts w:asciiTheme="minorHAnsi" w:hAnsiTheme="minorHAnsi"/>
          <w:i/>
          <w:lang w:eastAsia="en-AU"/>
        </w:rPr>
      </w:pPr>
      <w:r w:rsidRPr="00A56EB1">
        <w:rPr>
          <w:rFonts w:asciiTheme="minorHAnsi" w:hAnsiTheme="minorHAnsi"/>
          <w:i/>
          <w:lang w:eastAsia="en-AU"/>
        </w:rPr>
        <w:t>Performance Expectation 3 – Regional NRM plans</w:t>
      </w:r>
      <w:r w:rsidR="006C085F" w:rsidRPr="00A56EB1">
        <w:rPr>
          <w:rFonts w:asciiTheme="minorHAnsi" w:hAnsiTheme="minorHAnsi"/>
          <w:i/>
          <w:lang w:eastAsia="en-AU"/>
        </w:rPr>
        <w:t>;</w:t>
      </w:r>
    </w:p>
    <w:p w14:paraId="278A5766" w14:textId="77777777" w:rsidR="00A56EB1" w:rsidRPr="00A56EB1" w:rsidRDefault="00A56EB1" w:rsidP="00A56EB1">
      <w:pPr>
        <w:pStyle w:val="ListBullet"/>
        <w:numPr>
          <w:ilvl w:val="0"/>
          <w:numId w:val="0"/>
        </w:numPr>
        <w:spacing w:before="60" w:after="0" w:line="240" w:lineRule="auto"/>
        <w:ind w:left="1134" w:right="566"/>
        <w:rPr>
          <w:rFonts w:asciiTheme="minorHAnsi" w:hAnsiTheme="minorHAnsi"/>
          <w:sz w:val="20"/>
          <w:szCs w:val="20"/>
          <w:lang w:eastAsia="en-AU"/>
        </w:rPr>
      </w:pPr>
      <w:r w:rsidRPr="00A56EB1">
        <w:rPr>
          <w:rFonts w:asciiTheme="minorHAnsi" w:hAnsiTheme="minorHAnsi"/>
          <w:sz w:val="20"/>
          <w:szCs w:val="20"/>
          <w:lang w:eastAsia="en-AU"/>
        </w:rPr>
        <w:t>A comprehensive regional NRM plan has an important role in aligning national, state and regional NRM priorities while also providing linkages to other regional priorities, including the priorities of local communities. It allows the Australian Government to be confident that its NRM investment and priorities are being appropriately and strategically delivered. Comprehensive regional NRM plans are strategic, based on best available scientific, economic and social information and provide a blueprint for future NRM activity.</w:t>
      </w:r>
    </w:p>
    <w:p w14:paraId="278A5767" w14:textId="77777777" w:rsidR="006C085F" w:rsidRDefault="00A56EB1" w:rsidP="00D45A8A">
      <w:pPr>
        <w:pStyle w:val="ListBullet"/>
        <w:numPr>
          <w:ilvl w:val="0"/>
          <w:numId w:val="8"/>
        </w:numPr>
        <w:spacing w:after="0" w:line="240" w:lineRule="auto"/>
        <w:ind w:left="567" w:hanging="207"/>
        <w:rPr>
          <w:rFonts w:asciiTheme="minorHAnsi" w:hAnsiTheme="minorHAnsi"/>
          <w:lang w:eastAsia="en-AU"/>
        </w:rPr>
      </w:pPr>
      <w:r w:rsidRPr="00A56EB1">
        <w:rPr>
          <w:rFonts w:asciiTheme="minorHAnsi" w:hAnsiTheme="minorHAnsi"/>
          <w:lang w:eastAsia="en-AU"/>
        </w:rPr>
        <w:t>Performance Expectation 4 –Local community participation and engagement</w:t>
      </w:r>
      <w:r>
        <w:rPr>
          <w:rFonts w:asciiTheme="minorHAnsi" w:hAnsiTheme="minorHAnsi"/>
          <w:lang w:eastAsia="en-AU"/>
        </w:rPr>
        <w:t>;</w:t>
      </w:r>
    </w:p>
    <w:p w14:paraId="278A5768" w14:textId="77777777" w:rsidR="00A56EB1" w:rsidRPr="00A56EB1" w:rsidRDefault="00A56EB1" w:rsidP="00A56EB1">
      <w:pPr>
        <w:pStyle w:val="ListBullet"/>
        <w:numPr>
          <w:ilvl w:val="0"/>
          <w:numId w:val="0"/>
        </w:numPr>
        <w:spacing w:before="60" w:after="0" w:line="240" w:lineRule="auto"/>
        <w:ind w:left="1134" w:right="566"/>
        <w:rPr>
          <w:rFonts w:asciiTheme="minorHAnsi" w:hAnsiTheme="minorHAnsi"/>
          <w:sz w:val="20"/>
          <w:szCs w:val="20"/>
          <w:lang w:eastAsia="en-AU"/>
        </w:rPr>
      </w:pPr>
      <w:r w:rsidRPr="00A56EB1">
        <w:rPr>
          <w:rFonts w:asciiTheme="minorHAnsi" w:hAnsiTheme="minorHAnsi"/>
          <w:sz w:val="20"/>
          <w:szCs w:val="20"/>
          <w:lang w:eastAsia="en-AU"/>
        </w:rPr>
        <w:t xml:space="preserve">Regional NRM organisations play an important role in engaging and supporting their local community in prioritising and delivering NRM activities across their NRM region, including assisting them through partnerships and cooperative arrangements. It allows the Australian Government to be confident that the local community, including the Indigenous community, is participating in the </w:t>
      </w:r>
      <w:r w:rsidRPr="00A56EB1">
        <w:rPr>
          <w:rFonts w:asciiTheme="minorHAnsi" w:hAnsiTheme="minorHAnsi"/>
          <w:sz w:val="20"/>
          <w:szCs w:val="20"/>
          <w:lang w:eastAsia="en-AU"/>
        </w:rPr>
        <w:lastRenderedPageBreak/>
        <w:t>planning and delivery of priority NRM and sustainable agricultural activities and contributing to wider social and economic benefits.</w:t>
      </w:r>
    </w:p>
    <w:p w14:paraId="278A5769" w14:textId="77777777" w:rsidR="006C085F" w:rsidRDefault="00A56EB1" w:rsidP="00D45A8A">
      <w:pPr>
        <w:pStyle w:val="ListBullet"/>
        <w:numPr>
          <w:ilvl w:val="0"/>
          <w:numId w:val="8"/>
        </w:numPr>
        <w:spacing w:after="0" w:line="240" w:lineRule="auto"/>
        <w:ind w:left="567" w:hanging="207"/>
        <w:rPr>
          <w:rFonts w:asciiTheme="minorHAnsi" w:hAnsiTheme="minorHAnsi"/>
          <w:lang w:eastAsia="en-AU"/>
        </w:rPr>
      </w:pPr>
      <w:r w:rsidRPr="00A56EB1">
        <w:rPr>
          <w:rFonts w:asciiTheme="minorHAnsi" w:hAnsiTheme="minorHAnsi"/>
          <w:lang w:eastAsia="en-AU"/>
        </w:rPr>
        <w:t>Performance Expectation 5 – Monitoring, Evaluation, Reporting and Improvement</w:t>
      </w:r>
      <w:r>
        <w:rPr>
          <w:rFonts w:asciiTheme="minorHAnsi" w:hAnsiTheme="minorHAnsi"/>
          <w:lang w:eastAsia="en-AU"/>
        </w:rPr>
        <w:t>.</w:t>
      </w:r>
    </w:p>
    <w:p w14:paraId="278A576A" w14:textId="77777777" w:rsidR="00A56EB1" w:rsidRPr="00A56EB1" w:rsidRDefault="00A56EB1" w:rsidP="00A56EB1">
      <w:pPr>
        <w:pStyle w:val="ListBullet"/>
        <w:numPr>
          <w:ilvl w:val="0"/>
          <w:numId w:val="0"/>
        </w:numPr>
        <w:spacing w:before="60" w:after="0" w:line="240" w:lineRule="auto"/>
        <w:ind w:left="1134" w:right="566"/>
        <w:rPr>
          <w:rFonts w:asciiTheme="minorHAnsi" w:hAnsiTheme="minorHAnsi"/>
          <w:sz w:val="20"/>
          <w:szCs w:val="20"/>
          <w:lang w:eastAsia="en-AU"/>
        </w:rPr>
      </w:pPr>
      <w:r w:rsidRPr="00A56EB1">
        <w:rPr>
          <w:rFonts w:asciiTheme="minorHAnsi" w:hAnsiTheme="minorHAnsi"/>
          <w:sz w:val="20"/>
          <w:szCs w:val="20"/>
          <w:lang w:eastAsia="en-AU"/>
        </w:rPr>
        <w:t>The Australian Government is committed to accountability and demonstrating that its NRM investments achieve desired NRM outcomes. Regional NRM organisations are expected to manage projects consistent with the principles of Monitoring, Evaluation, Reporting and Improvement (MERI). MERI provides a model for designing outcomes based projects and assessing progress with project delivery, program performance and the change over time in resource condition against stated outcomes. It provides opportunities to adaptively improve program and project design and delivery and to reorient investment at key decision points.</w:t>
      </w:r>
    </w:p>
    <w:p w14:paraId="278A576B" w14:textId="285667DE" w:rsidR="00FA46D7" w:rsidRPr="00FA46D7" w:rsidRDefault="00FA46D7" w:rsidP="00623C4D">
      <w:pPr>
        <w:pStyle w:val="ListBullet"/>
        <w:numPr>
          <w:ilvl w:val="0"/>
          <w:numId w:val="0"/>
        </w:numPr>
        <w:spacing w:before="60" w:after="0" w:line="240" w:lineRule="auto"/>
        <w:rPr>
          <w:rFonts w:asciiTheme="minorHAnsi" w:hAnsiTheme="minorHAnsi"/>
        </w:rPr>
      </w:pPr>
      <w:r>
        <w:rPr>
          <w:rFonts w:asciiTheme="minorHAnsi" w:hAnsiTheme="minorHAnsi"/>
        </w:rPr>
        <w:t xml:space="preserve">Each performance expectation has a number of expected practices </w:t>
      </w:r>
      <w:r w:rsidRPr="00FA46D7">
        <w:rPr>
          <w:rFonts w:asciiTheme="minorHAnsi" w:hAnsiTheme="minorHAnsi"/>
        </w:rPr>
        <w:t>that all regional NRM organisations are expected to be demonstrating or have strategies in place to meet the expected practice.</w:t>
      </w:r>
      <w:r>
        <w:rPr>
          <w:rFonts w:asciiTheme="minorHAnsi" w:hAnsiTheme="minorHAnsi"/>
        </w:rPr>
        <w:t xml:space="preserve"> </w:t>
      </w:r>
      <w:r w:rsidR="00623C4D">
        <w:rPr>
          <w:rFonts w:asciiTheme="minorHAnsi" w:hAnsiTheme="minorHAnsi"/>
        </w:rPr>
        <w:t>Regional NRM organisations may also have additional practices in place, which may include c</w:t>
      </w:r>
      <w:r w:rsidR="00623C4D" w:rsidRPr="00623C4D">
        <w:rPr>
          <w:rFonts w:asciiTheme="minorHAnsi" w:hAnsiTheme="minorHAnsi"/>
        </w:rPr>
        <w:t>ompliance with industry accepted standards that are over and above statutory/incorporation, legal and financial obligations.</w:t>
      </w:r>
      <w:r>
        <w:rPr>
          <w:rFonts w:asciiTheme="minorHAnsi" w:hAnsiTheme="minorHAnsi"/>
        </w:rPr>
        <w:t xml:space="preserve"> </w:t>
      </w:r>
      <w:r w:rsidR="00623C4D">
        <w:rPr>
          <w:rFonts w:asciiTheme="minorHAnsi" w:hAnsiTheme="minorHAnsi"/>
        </w:rPr>
        <w:t>Where this is the case, the additional practice</w:t>
      </w:r>
      <w:r w:rsidR="00A7616B">
        <w:rPr>
          <w:rFonts w:asciiTheme="minorHAnsi" w:hAnsiTheme="minorHAnsi"/>
        </w:rPr>
        <w:t>s</w:t>
      </w:r>
      <w:r w:rsidR="00623C4D">
        <w:rPr>
          <w:rFonts w:asciiTheme="minorHAnsi" w:hAnsiTheme="minorHAnsi"/>
        </w:rPr>
        <w:t xml:space="preserve"> </w:t>
      </w:r>
      <w:r w:rsidR="003F0272">
        <w:rPr>
          <w:rFonts w:asciiTheme="minorHAnsi" w:hAnsiTheme="minorHAnsi"/>
        </w:rPr>
        <w:t xml:space="preserve">are to be </w:t>
      </w:r>
      <w:r w:rsidR="003F0272" w:rsidRPr="003F0272">
        <w:rPr>
          <w:rFonts w:asciiTheme="minorHAnsi" w:hAnsiTheme="minorHAnsi"/>
        </w:rPr>
        <w:t>of benefit to the organisation and the Australian Government</w:t>
      </w:r>
      <w:r w:rsidR="00F17F80">
        <w:rPr>
          <w:rFonts w:asciiTheme="minorHAnsi" w:hAnsiTheme="minorHAnsi"/>
        </w:rPr>
        <w:t xml:space="preserve"> and cannot be considered ‘business as usual’</w:t>
      </w:r>
      <w:r w:rsidR="003F0272">
        <w:rPr>
          <w:rFonts w:asciiTheme="minorHAnsi" w:hAnsiTheme="minorHAnsi"/>
        </w:rPr>
        <w:t>.</w:t>
      </w:r>
    </w:p>
    <w:p w14:paraId="278A576C" w14:textId="77777777" w:rsidR="00A55BBF" w:rsidRPr="00F00E56" w:rsidRDefault="00A55BBF" w:rsidP="002543C9">
      <w:pPr>
        <w:pStyle w:val="ListBullet"/>
        <w:numPr>
          <w:ilvl w:val="0"/>
          <w:numId w:val="0"/>
        </w:numPr>
        <w:shd w:val="clear" w:color="auto" w:fill="C2D69B" w:themeFill="accent3" w:themeFillTint="99"/>
        <w:spacing w:before="240" w:after="0" w:line="240" w:lineRule="auto"/>
        <w:rPr>
          <w:rFonts w:asciiTheme="minorHAnsi" w:hAnsiTheme="minorHAnsi"/>
          <w:color w:val="4F6228" w:themeColor="accent3" w:themeShade="80"/>
          <w:sz w:val="8"/>
          <w:szCs w:val="8"/>
        </w:rPr>
      </w:pPr>
    </w:p>
    <w:p w14:paraId="278A576D" w14:textId="77777777" w:rsidR="00A55BBF" w:rsidRPr="00F00E56" w:rsidRDefault="002543C9" w:rsidP="00A55BBF">
      <w:pPr>
        <w:pStyle w:val="ListBullet"/>
        <w:numPr>
          <w:ilvl w:val="0"/>
          <w:numId w:val="0"/>
        </w:numPr>
        <w:shd w:val="clear" w:color="auto" w:fill="C2D69B" w:themeFill="accent3" w:themeFillTint="99"/>
        <w:spacing w:after="0" w:line="240" w:lineRule="auto"/>
        <w:ind w:left="567" w:hanging="567"/>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2</w:t>
      </w:r>
      <w:r w:rsidR="00A55BBF">
        <w:rPr>
          <w:rFonts w:asciiTheme="minorHAnsi" w:hAnsiTheme="minorHAnsi"/>
          <w:i/>
          <w:color w:val="4F6228" w:themeColor="accent3" w:themeShade="80"/>
          <w:sz w:val="28"/>
          <w:szCs w:val="28"/>
          <w:lang w:eastAsia="en-AU"/>
        </w:rPr>
        <w:t>.</w:t>
      </w:r>
      <w:r w:rsidR="00A55BBF">
        <w:rPr>
          <w:rFonts w:asciiTheme="minorHAnsi" w:hAnsiTheme="minorHAnsi"/>
          <w:i/>
          <w:color w:val="4F6228" w:themeColor="accent3" w:themeShade="80"/>
          <w:sz w:val="28"/>
          <w:szCs w:val="28"/>
          <w:lang w:eastAsia="en-AU"/>
        </w:rPr>
        <w:tab/>
      </w:r>
      <w:r w:rsidR="00A55BBF" w:rsidRPr="00F00E56">
        <w:rPr>
          <w:rFonts w:asciiTheme="minorHAnsi" w:hAnsiTheme="minorHAnsi"/>
          <w:i/>
          <w:color w:val="4F6228" w:themeColor="accent3" w:themeShade="80"/>
          <w:sz w:val="28"/>
          <w:szCs w:val="28"/>
          <w:lang w:eastAsia="en-AU"/>
        </w:rPr>
        <w:t>Evidence required to support expected practices</w:t>
      </w:r>
    </w:p>
    <w:p w14:paraId="278A576E" w14:textId="77777777" w:rsidR="00A55BBF" w:rsidRPr="00F00E56" w:rsidRDefault="00A55BBF" w:rsidP="00F1277D">
      <w:pPr>
        <w:pStyle w:val="ListBullet"/>
        <w:numPr>
          <w:ilvl w:val="0"/>
          <w:numId w:val="0"/>
        </w:numPr>
        <w:shd w:val="clear" w:color="auto" w:fill="C2D69B" w:themeFill="accent3" w:themeFillTint="99"/>
        <w:spacing w:after="240" w:line="240" w:lineRule="auto"/>
        <w:rPr>
          <w:rFonts w:asciiTheme="minorHAnsi" w:hAnsiTheme="minorHAnsi"/>
          <w:b/>
          <w:color w:val="4F6228" w:themeColor="accent3" w:themeShade="80"/>
          <w:sz w:val="8"/>
          <w:szCs w:val="8"/>
        </w:rPr>
      </w:pPr>
    </w:p>
    <w:p w14:paraId="278A576F" w14:textId="2B0122F9" w:rsidR="00F1277D" w:rsidRDefault="00F1277D" w:rsidP="00F1277D">
      <w:pPr>
        <w:pStyle w:val="ListBullet"/>
        <w:numPr>
          <w:ilvl w:val="0"/>
          <w:numId w:val="0"/>
        </w:numPr>
        <w:spacing w:before="60" w:after="0" w:line="240" w:lineRule="auto"/>
        <w:rPr>
          <w:rFonts w:asciiTheme="minorHAnsi" w:hAnsiTheme="minorHAnsi"/>
        </w:rPr>
      </w:pPr>
      <w:r>
        <w:rPr>
          <w:rFonts w:asciiTheme="minorHAnsi" w:hAnsiTheme="minorHAnsi"/>
        </w:rPr>
        <w:t xml:space="preserve">To assist </w:t>
      </w:r>
      <w:r w:rsidRPr="008B0195">
        <w:rPr>
          <w:rFonts w:asciiTheme="minorHAnsi" w:hAnsiTheme="minorHAnsi"/>
        </w:rPr>
        <w:t xml:space="preserve">regional NRM organisations make an assessment </w:t>
      </w:r>
      <w:r>
        <w:rPr>
          <w:rFonts w:asciiTheme="minorHAnsi" w:hAnsiTheme="minorHAnsi"/>
        </w:rPr>
        <w:t>on how they meet</w:t>
      </w:r>
      <w:r w:rsidRPr="008B0195">
        <w:rPr>
          <w:rFonts w:asciiTheme="minorHAnsi" w:hAnsiTheme="minorHAnsi"/>
        </w:rPr>
        <w:t xml:space="preserve"> each expected practice</w:t>
      </w:r>
      <w:r>
        <w:rPr>
          <w:rFonts w:asciiTheme="minorHAnsi" w:hAnsiTheme="minorHAnsi"/>
        </w:rPr>
        <w:t>,</w:t>
      </w:r>
      <w:r w:rsidRPr="008B0195">
        <w:rPr>
          <w:rFonts w:asciiTheme="minorHAnsi" w:hAnsiTheme="minorHAnsi"/>
        </w:rPr>
        <w:t xml:space="preserve"> </w:t>
      </w:r>
      <w:r w:rsidR="00817AC1">
        <w:rPr>
          <w:rFonts w:asciiTheme="minorHAnsi" w:hAnsiTheme="minorHAnsi"/>
        </w:rPr>
        <w:t xml:space="preserve">the </w:t>
      </w:r>
      <w:r w:rsidR="00223412" w:rsidRPr="00817AC1">
        <w:rPr>
          <w:rFonts w:asciiTheme="minorHAnsi" w:hAnsiTheme="minorHAnsi"/>
          <w:i/>
        </w:rPr>
        <w:t>201</w:t>
      </w:r>
      <w:r w:rsidR="00223412">
        <w:rPr>
          <w:rFonts w:asciiTheme="minorHAnsi" w:hAnsiTheme="minorHAnsi"/>
          <w:i/>
        </w:rPr>
        <w:t xml:space="preserve">7 </w:t>
      </w:r>
      <w:r w:rsidR="00817AC1" w:rsidRPr="00817AC1">
        <w:rPr>
          <w:rFonts w:asciiTheme="minorHAnsi" w:hAnsiTheme="minorHAnsi"/>
          <w:i/>
        </w:rPr>
        <w:t xml:space="preserve">Performance Expectations for Regional NRM Organisations - Supporting evidence required </w:t>
      </w:r>
      <w:r w:rsidR="00BC3525" w:rsidRPr="005F1383">
        <w:rPr>
          <w:rFonts w:asciiTheme="minorHAnsi" w:hAnsiTheme="minorHAnsi"/>
          <w:i/>
        </w:rPr>
        <w:t>V</w:t>
      </w:r>
      <w:r w:rsidR="00BC3525">
        <w:rPr>
          <w:rFonts w:asciiTheme="minorHAnsi" w:hAnsiTheme="minorHAnsi"/>
          <w:i/>
        </w:rPr>
        <w:t>1</w:t>
      </w:r>
      <w:r w:rsidR="005F1383" w:rsidRPr="005F1383">
        <w:rPr>
          <w:rFonts w:asciiTheme="minorHAnsi" w:hAnsiTheme="minorHAnsi"/>
          <w:i/>
        </w:rPr>
        <w:t>.</w:t>
      </w:r>
      <w:r w:rsidR="005F1383">
        <w:rPr>
          <w:rFonts w:asciiTheme="minorHAnsi" w:hAnsiTheme="minorHAnsi"/>
          <w:i/>
        </w:rPr>
        <w:t>0</w:t>
      </w:r>
      <w:r w:rsidR="00817AC1">
        <w:rPr>
          <w:rFonts w:asciiTheme="minorHAnsi" w:hAnsiTheme="minorHAnsi"/>
        </w:rPr>
        <w:t xml:space="preserve"> document </w:t>
      </w:r>
      <w:r w:rsidRPr="002543C9">
        <w:rPr>
          <w:rFonts w:asciiTheme="minorHAnsi" w:hAnsiTheme="minorHAnsi"/>
        </w:rPr>
        <w:t>has been developed</w:t>
      </w:r>
      <w:r>
        <w:rPr>
          <w:rFonts w:asciiTheme="minorHAnsi" w:hAnsiTheme="minorHAnsi"/>
        </w:rPr>
        <w:t xml:space="preserve"> t</w:t>
      </w:r>
      <w:r w:rsidRPr="002543C9">
        <w:rPr>
          <w:rFonts w:asciiTheme="minorHAnsi" w:hAnsiTheme="minorHAnsi"/>
        </w:rPr>
        <w:t xml:space="preserve">o provide guidance </w:t>
      </w:r>
      <w:r w:rsidR="00EC79D2">
        <w:rPr>
          <w:rFonts w:asciiTheme="minorHAnsi" w:hAnsiTheme="minorHAnsi"/>
        </w:rPr>
        <w:t xml:space="preserve">and clarity </w:t>
      </w:r>
      <w:r w:rsidRPr="002543C9">
        <w:rPr>
          <w:rFonts w:asciiTheme="minorHAnsi" w:hAnsiTheme="minorHAnsi"/>
        </w:rPr>
        <w:t xml:space="preserve">on why each </w:t>
      </w:r>
      <w:r>
        <w:rPr>
          <w:rFonts w:asciiTheme="minorHAnsi" w:hAnsiTheme="minorHAnsi"/>
        </w:rPr>
        <w:t>expected practice</w:t>
      </w:r>
      <w:r w:rsidRPr="002543C9">
        <w:rPr>
          <w:rFonts w:asciiTheme="minorHAnsi" w:hAnsiTheme="minorHAnsi"/>
        </w:rPr>
        <w:t xml:space="preserve"> is important and the types of </w:t>
      </w:r>
      <w:r w:rsidRPr="00AF7611">
        <w:rPr>
          <w:rFonts w:asciiTheme="minorHAnsi" w:hAnsiTheme="minorHAnsi"/>
        </w:rPr>
        <w:t xml:space="preserve">supporting evidence </w:t>
      </w:r>
      <w:r w:rsidR="00EC79D2">
        <w:rPr>
          <w:rFonts w:asciiTheme="minorHAnsi" w:hAnsiTheme="minorHAnsi"/>
        </w:rPr>
        <w:t xml:space="preserve">that </w:t>
      </w:r>
      <w:r w:rsidRPr="00AF7611">
        <w:rPr>
          <w:rFonts w:asciiTheme="minorHAnsi" w:hAnsiTheme="minorHAnsi"/>
        </w:rPr>
        <w:t xml:space="preserve">may be </w:t>
      </w:r>
      <w:r w:rsidR="00EC79D2">
        <w:rPr>
          <w:rFonts w:asciiTheme="minorHAnsi" w:hAnsiTheme="minorHAnsi"/>
        </w:rPr>
        <w:t>required</w:t>
      </w:r>
      <w:r w:rsidRPr="00AF7611">
        <w:rPr>
          <w:rFonts w:asciiTheme="minorHAnsi" w:hAnsiTheme="minorHAnsi"/>
        </w:rPr>
        <w:t xml:space="preserve"> to </w:t>
      </w:r>
      <w:r w:rsidR="006512A4">
        <w:rPr>
          <w:rFonts w:asciiTheme="minorHAnsi" w:hAnsiTheme="minorHAnsi"/>
        </w:rPr>
        <w:t>demonstrate</w:t>
      </w:r>
      <w:r w:rsidRPr="00AF7611">
        <w:rPr>
          <w:rFonts w:asciiTheme="minorHAnsi" w:hAnsiTheme="minorHAnsi"/>
        </w:rPr>
        <w:t xml:space="preserve"> how </w:t>
      </w:r>
      <w:r w:rsidR="00DD3A30">
        <w:rPr>
          <w:rFonts w:asciiTheme="minorHAnsi" w:hAnsiTheme="minorHAnsi"/>
        </w:rPr>
        <w:t>it</w:t>
      </w:r>
      <w:r w:rsidRPr="00AF7611">
        <w:rPr>
          <w:rFonts w:asciiTheme="minorHAnsi" w:hAnsiTheme="minorHAnsi"/>
        </w:rPr>
        <w:t xml:space="preserve"> has been met</w:t>
      </w:r>
      <w:r>
        <w:rPr>
          <w:rFonts w:asciiTheme="minorHAnsi" w:hAnsiTheme="minorHAnsi"/>
        </w:rPr>
        <w:t>.</w:t>
      </w:r>
      <w:r w:rsidR="00817AC1">
        <w:rPr>
          <w:rFonts w:asciiTheme="minorHAnsi" w:hAnsiTheme="minorHAnsi"/>
        </w:rPr>
        <w:t xml:space="preserve"> The document </w:t>
      </w:r>
      <w:r w:rsidR="00817AC1" w:rsidRPr="00B231E5">
        <w:rPr>
          <w:rFonts w:asciiTheme="minorHAnsi" w:hAnsiTheme="minorHAnsi"/>
        </w:rPr>
        <w:t xml:space="preserve">is available at </w:t>
      </w:r>
      <w:hyperlink r:id="rId8" w:history="1">
        <w:r w:rsidR="00817AC1" w:rsidRPr="00B231E5">
          <w:rPr>
            <w:rStyle w:val="Hyperlink"/>
            <w:rFonts w:asciiTheme="minorHAnsi" w:hAnsiTheme="minorHAnsi"/>
          </w:rPr>
          <w:t>http://www.nrm.gov.au/regional/regional-funding</w:t>
        </w:r>
      </w:hyperlink>
      <w:r w:rsidR="00817AC1" w:rsidRPr="00B231E5">
        <w:rPr>
          <w:rFonts w:asciiTheme="minorHAnsi" w:hAnsiTheme="minorHAnsi"/>
        </w:rPr>
        <w:t>.</w:t>
      </w:r>
    </w:p>
    <w:p w14:paraId="278A5770" w14:textId="77777777" w:rsidR="00EC79D2" w:rsidRDefault="00925CFA" w:rsidP="006E1119">
      <w:pPr>
        <w:pStyle w:val="ListBullet"/>
        <w:numPr>
          <w:ilvl w:val="0"/>
          <w:numId w:val="0"/>
        </w:numPr>
        <w:spacing w:before="60" w:after="0" w:line="240" w:lineRule="auto"/>
        <w:rPr>
          <w:rFonts w:asciiTheme="minorHAnsi" w:hAnsiTheme="minorHAnsi"/>
        </w:rPr>
      </w:pPr>
      <w:r>
        <w:rPr>
          <w:rFonts w:asciiTheme="minorHAnsi" w:hAnsiTheme="minorHAnsi"/>
        </w:rPr>
        <w:t xml:space="preserve">The supporting evidence covers a range of </w:t>
      </w:r>
      <w:r w:rsidR="00EC79D2">
        <w:rPr>
          <w:rFonts w:asciiTheme="minorHAnsi" w:hAnsiTheme="minorHAnsi"/>
        </w:rPr>
        <w:t xml:space="preserve">reporting, </w:t>
      </w:r>
      <w:r>
        <w:rPr>
          <w:rFonts w:asciiTheme="minorHAnsi" w:hAnsiTheme="minorHAnsi"/>
        </w:rPr>
        <w:t xml:space="preserve">documentation and compliance </w:t>
      </w:r>
      <w:r w:rsidR="00EC79D2">
        <w:rPr>
          <w:rFonts w:asciiTheme="minorHAnsi" w:hAnsiTheme="minorHAnsi"/>
        </w:rPr>
        <w:t xml:space="preserve">areas. </w:t>
      </w:r>
      <w:r w:rsidR="006E1119" w:rsidRPr="006E1119">
        <w:rPr>
          <w:rFonts w:asciiTheme="minorHAnsi" w:hAnsiTheme="minorHAnsi"/>
        </w:rPr>
        <w:t>Utilising its various reporting mechanisms, the Australian Government will be able to provide some of the suggested evidence</w:t>
      </w:r>
      <w:r w:rsidR="005B291B">
        <w:rPr>
          <w:rFonts w:asciiTheme="minorHAnsi" w:hAnsiTheme="minorHAnsi"/>
        </w:rPr>
        <w:t xml:space="preserve">, such as </w:t>
      </w:r>
      <w:r w:rsidR="005B291B" w:rsidRPr="005B291B">
        <w:rPr>
          <w:rFonts w:asciiTheme="minorHAnsi" w:hAnsiTheme="minorHAnsi"/>
        </w:rPr>
        <w:t>evidence of regular input of project data into MERIT as projects progress</w:t>
      </w:r>
      <w:r w:rsidR="006E1119" w:rsidRPr="006E1119">
        <w:rPr>
          <w:rFonts w:asciiTheme="minorHAnsi" w:hAnsiTheme="minorHAnsi"/>
        </w:rPr>
        <w:t xml:space="preserve">. However, on the whole, it is the responsibility of the regional NRM organisation to provide any </w:t>
      </w:r>
      <w:r w:rsidR="00EC79D2">
        <w:rPr>
          <w:rFonts w:asciiTheme="minorHAnsi" w:hAnsiTheme="minorHAnsi"/>
        </w:rPr>
        <w:t xml:space="preserve">supporting </w:t>
      </w:r>
      <w:r w:rsidR="006E1119" w:rsidRPr="006E1119">
        <w:rPr>
          <w:rFonts w:asciiTheme="minorHAnsi" w:hAnsiTheme="minorHAnsi"/>
        </w:rPr>
        <w:t xml:space="preserve">evidence when requested. </w:t>
      </w:r>
    </w:p>
    <w:p w14:paraId="278A5771" w14:textId="77777777" w:rsidR="006E1119" w:rsidRDefault="00EC79D2" w:rsidP="006E1119">
      <w:pPr>
        <w:pStyle w:val="ListBullet"/>
        <w:numPr>
          <w:ilvl w:val="0"/>
          <w:numId w:val="0"/>
        </w:numPr>
        <w:spacing w:before="60" w:after="0" w:line="240" w:lineRule="auto"/>
        <w:rPr>
          <w:rFonts w:asciiTheme="minorHAnsi" w:hAnsiTheme="minorHAnsi"/>
        </w:rPr>
      </w:pPr>
      <w:r>
        <w:rPr>
          <w:rFonts w:asciiTheme="minorHAnsi" w:hAnsiTheme="minorHAnsi"/>
        </w:rPr>
        <w:t xml:space="preserve">The following provides some supporting information to further clarify </w:t>
      </w:r>
      <w:r w:rsidR="00A55740">
        <w:rPr>
          <w:rFonts w:asciiTheme="minorHAnsi" w:hAnsiTheme="minorHAnsi"/>
        </w:rPr>
        <w:t>what may be required by supporting evidence:</w:t>
      </w:r>
    </w:p>
    <w:p w14:paraId="278A5772" w14:textId="77777777" w:rsidR="00AA2CDA" w:rsidRPr="00612088" w:rsidRDefault="00FB4BFA" w:rsidP="006E1119">
      <w:pPr>
        <w:pStyle w:val="ListBullet"/>
        <w:numPr>
          <w:ilvl w:val="0"/>
          <w:numId w:val="0"/>
        </w:numPr>
        <w:spacing w:before="60" w:after="0" w:line="240" w:lineRule="auto"/>
        <w:rPr>
          <w:rFonts w:asciiTheme="minorHAnsi" w:hAnsiTheme="minorHAnsi"/>
          <w:i/>
        </w:rPr>
      </w:pPr>
      <w:r>
        <w:rPr>
          <w:rFonts w:asciiTheme="minorHAnsi" w:hAnsiTheme="minorHAnsi"/>
          <w:i/>
        </w:rPr>
        <w:t>General</w:t>
      </w:r>
    </w:p>
    <w:p w14:paraId="278A5773" w14:textId="77777777" w:rsidR="00F671A7" w:rsidRPr="000D5711" w:rsidRDefault="00F671A7" w:rsidP="00F671A7">
      <w:pPr>
        <w:pStyle w:val="ListBullet"/>
        <w:spacing w:before="60" w:after="60" w:line="240" w:lineRule="auto"/>
        <w:ind w:left="567"/>
        <w:rPr>
          <w:rFonts w:asciiTheme="minorHAnsi" w:hAnsiTheme="minorHAnsi"/>
          <w:lang w:eastAsia="en-AU"/>
        </w:rPr>
      </w:pPr>
      <w:r w:rsidRPr="000D5711">
        <w:rPr>
          <w:rFonts w:asciiTheme="minorHAnsi" w:hAnsiTheme="minorHAnsi"/>
          <w:lang w:eastAsia="en-AU"/>
        </w:rPr>
        <w:t>In recognition of the jurisdictional, geographical and organisational differences across the many regional NRM organisations, where a regional NRM organisation</w:t>
      </w:r>
      <w:r w:rsidR="00B956C1">
        <w:rPr>
          <w:rFonts w:asciiTheme="minorHAnsi" w:hAnsiTheme="minorHAnsi"/>
          <w:lang w:eastAsia="en-AU"/>
        </w:rPr>
        <w:t>’</w:t>
      </w:r>
      <w:r w:rsidRPr="000D5711">
        <w:rPr>
          <w:rFonts w:asciiTheme="minorHAnsi" w:hAnsiTheme="minorHAnsi"/>
          <w:lang w:eastAsia="en-AU"/>
        </w:rPr>
        <w:t xml:space="preserve">s policies and practices differ from the </w:t>
      </w:r>
      <w:r w:rsidR="00DD3A30">
        <w:rPr>
          <w:rFonts w:asciiTheme="minorHAnsi" w:hAnsiTheme="minorHAnsi"/>
          <w:lang w:eastAsia="en-AU"/>
        </w:rPr>
        <w:t xml:space="preserve">listed </w:t>
      </w:r>
      <w:r w:rsidRPr="000D5711">
        <w:rPr>
          <w:rFonts w:asciiTheme="minorHAnsi" w:hAnsiTheme="minorHAnsi"/>
          <w:lang w:eastAsia="en-AU"/>
        </w:rPr>
        <w:t xml:space="preserve">supporting evidence, </w:t>
      </w:r>
      <w:r>
        <w:rPr>
          <w:rFonts w:asciiTheme="minorHAnsi" w:hAnsiTheme="minorHAnsi"/>
          <w:lang w:eastAsia="en-AU"/>
        </w:rPr>
        <w:t>the regional NRM organisation should describe how their specific policies and practices meet the requirements of the expected practice.</w:t>
      </w:r>
      <w:r w:rsidRPr="000D5711">
        <w:rPr>
          <w:rFonts w:asciiTheme="minorHAnsi" w:hAnsiTheme="minorHAnsi"/>
          <w:lang w:eastAsia="en-AU"/>
        </w:rPr>
        <w:t xml:space="preserve"> </w:t>
      </w:r>
    </w:p>
    <w:p w14:paraId="278A5774" w14:textId="77777777" w:rsidR="00612088" w:rsidRDefault="00612088" w:rsidP="00612088">
      <w:pPr>
        <w:pStyle w:val="ListBullet"/>
        <w:spacing w:before="60" w:after="60" w:line="240" w:lineRule="auto"/>
        <w:ind w:left="567"/>
        <w:rPr>
          <w:rFonts w:asciiTheme="minorHAnsi" w:hAnsiTheme="minorHAnsi"/>
          <w:lang w:eastAsia="en-AU"/>
        </w:rPr>
      </w:pPr>
      <w:r w:rsidRPr="00B76DD0">
        <w:rPr>
          <w:rFonts w:asciiTheme="minorHAnsi" w:hAnsiTheme="minorHAnsi"/>
        </w:rPr>
        <w:t>Exception</w:t>
      </w:r>
      <w:r w:rsidRPr="00B76DD0">
        <w:rPr>
          <w:rFonts w:asciiTheme="minorHAnsi" w:hAnsiTheme="minorHAnsi"/>
          <w:lang w:eastAsia="en-AU"/>
        </w:rPr>
        <w:t xml:space="preserve"> to the rule</w:t>
      </w:r>
      <w:r w:rsidR="000D5711">
        <w:rPr>
          <w:rFonts w:asciiTheme="minorHAnsi" w:hAnsiTheme="minorHAnsi"/>
          <w:lang w:eastAsia="en-AU"/>
        </w:rPr>
        <w:t xml:space="preserve"> – there may be cases where a regional NRM organisation is not able to meet an expected practice or provide the supporting evidence. Where a regional NRM organisation believes this is the case, the </w:t>
      </w:r>
      <w:bookmarkStart w:id="1" w:name="OLE_LINK5"/>
      <w:bookmarkStart w:id="2" w:name="OLE_LINK6"/>
      <w:r w:rsidR="001B38FC">
        <w:rPr>
          <w:rFonts w:asciiTheme="minorHAnsi" w:hAnsiTheme="minorHAnsi"/>
          <w:lang w:eastAsia="en-AU"/>
        </w:rPr>
        <w:t xml:space="preserve">regional NRM </w:t>
      </w:r>
      <w:r w:rsidR="000D5711">
        <w:rPr>
          <w:rFonts w:asciiTheme="minorHAnsi" w:hAnsiTheme="minorHAnsi"/>
          <w:lang w:eastAsia="en-AU"/>
        </w:rPr>
        <w:t>organisation should provide a description justifying why the expected practice cannot, or will not be met.</w:t>
      </w:r>
      <w:bookmarkEnd w:id="1"/>
      <w:bookmarkEnd w:id="2"/>
      <w:r w:rsidR="000D5711">
        <w:rPr>
          <w:rFonts w:asciiTheme="minorHAnsi" w:hAnsiTheme="minorHAnsi"/>
          <w:lang w:eastAsia="en-AU"/>
        </w:rPr>
        <w:t xml:space="preserve"> An example of this is Kangaroo Island</w:t>
      </w:r>
      <w:r w:rsidR="00F671A7">
        <w:rPr>
          <w:rFonts w:asciiTheme="minorHAnsi" w:hAnsiTheme="minorHAnsi"/>
          <w:lang w:eastAsia="en-AU"/>
        </w:rPr>
        <w:t>, where there has not been any Aboriginal occupation for 6,000 years, so the organisation can justify why they cannot meet any Indigenous related expected practices.</w:t>
      </w:r>
    </w:p>
    <w:p w14:paraId="278A5775" w14:textId="77777777" w:rsidR="00F671A7" w:rsidRDefault="002C3B91" w:rsidP="00612088">
      <w:pPr>
        <w:pStyle w:val="ListBullet"/>
        <w:spacing w:before="60" w:after="60" w:line="240" w:lineRule="auto"/>
        <w:ind w:left="567"/>
        <w:rPr>
          <w:rFonts w:asciiTheme="minorHAnsi" w:hAnsiTheme="minorHAnsi"/>
          <w:lang w:eastAsia="en-AU"/>
        </w:rPr>
      </w:pPr>
      <w:r>
        <w:rPr>
          <w:rFonts w:asciiTheme="minorHAnsi" w:hAnsiTheme="minorHAnsi"/>
          <w:lang w:eastAsia="en-AU"/>
        </w:rPr>
        <w:t>M</w:t>
      </w:r>
      <w:r w:rsidR="00B956C1">
        <w:rPr>
          <w:rFonts w:asciiTheme="minorHAnsi" w:hAnsiTheme="minorHAnsi"/>
          <w:lang w:eastAsia="en-AU"/>
        </w:rPr>
        <w:t>any regional NRM organisation</w:t>
      </w:r>
      <w:r>
        <w:rPr>
          <w:rFonts w:asciiTheme="minorHAnsi" w:hAnsiTheme="minorHAnsi"/>
          <w:lang w:eastAsia="en-AU"/>
        </w:rPr>
        <w:t>s</w:t>
      </w:r>
      <w:r w:rsidR="00B956C1">
        <w:rPr>
          <w:rFonts w:asciiTheme="minorHAnsi" w:hAnsiTheme="minorHAnsi"/>
          <w:lang w:eastAsia="en-AU"/>
        </w:rPr>
        <w:t xml:space="preserve"> undertake </w:t>
      </w:r>
      <w:r w:rsidR="00DC09C9" w:rsidRPr="008B0195">
        <w:rPr>
          <w:rFonts w:asciiTheme="minorHAnsi" w:hAnsiTheme="minorHAnsi"/>
        </w:rPr>
        <w:t>voluntary governance review processes</w:t>
      </w:r>
      <w:r>
        <w:rPr>
          <w:rFonts w:asciiTheme="minorHAnsi" w:hAnsiTheme="minorHAnsi"/>
          <w:lang w:eastAsia="en-AU"/>
        </w:rPr>
        <w:t xml:space="preserve">, usually related to their organisational and financial performance. Where these have been undertaken </w:t>
      </w:r>
      <w:r w:rsidR="006942C9">
        <w:rPr>
          <w:rFonts w:asciiTheme="minorHAnsi" w:hAnsiTheme="minorHAnsi"/>
          <w:lang w:eastAsia="en-AU"/>
        </w:rPr>
        <w:t>and are still current</w:t>
      </w:r>
      <w:r w:rsidR="006942C9" w:rsidRPr="008B0195">
        <w:rPr>
          <w:rFonts w:asciiTheme="minorHAnsi" w:hAnsiTheme="minorHAnsi"/>
          <w:lang w:eastAsia="en-AU"/>
        </w:rPr>
        <w:t xml:space="preserve">, a regional NRM organisation </w:t>
      </w:r>
      <w:r w:rsidR="006942C9">
        <w:rPr>
          <w:rFonts w:asciiTheme="minorHAnsi" w:hAnsiTheme="minorHAnsi"/>
          <w:lang w:eastAsia="en-AU"/>
        </w:rPr>
        <w:t>can</w:t>
      </w:r>
      <w:r w:rsidR="006942C9" w:rsidRPr="008B0195">
        <w:rPr>
          <w:rFonts w:asciiTheme="minorHAnsi" w:hAnsiTheme="minorHAnsi"/>
          <w:lang w:eastAsia="en-AU"/>
        </w:rPr>
        <w:t xml:space="preserve"> use </w:t>
      </w:r>
      <w:r w:rsidR="006942C9">
        <w:rPr>
          <w:rFonts w:asciiTheme="minorHAnsi" w:hAnsiTheme="minorHAnsi"/>
          <w:lang w:eastAsia="en-AU"/>
        </w:rPr>
        <w:t>the</w:t>
      </w:r>
      <w:r w:rsidR="006942C9" w:rsidRPr="008B0195">
        <w:rPr>
          <w:rFonts w:asciiTheme="minorHAnsi" w:hAnsiTheme="minorHAnsi"/>
          <w:lang w:eastAsia="en-AU"/>
        </w:rPr>
        <w:t xml:space="preserve"> review as a source of evidence in demonstrating performance against </w:t>
      </w:r>
      <w:r w:rsidR="006942C9">
        <w:rPr>
          <w:rFonts w:asciiTheme="minorHAnsi" w:hAnsiTheme="minorHAnsi"/>
          <w:lang w:eastAsia="en-AU"/>
        </w:rPr>
        <w:t xml:space="preserve">one or more of </w:t>
      </w:r>
      <w:r w:rsidR="006942C9" w:rsidRPr="008B0195">
        <w:rPr>
          <w:rFonts w:asciiTheme="minorHAnsi" w:hAnsiTheme="minorHAnsi"/>
          <w:lang w:eastAsia="en-AU"/>
        </w:rPr>
        <w:t>the performance expectations</w:t>
      </w:r>
      <w:r w:rsidR="006942C9">
        <w:rPr>
          <w:rFonts w:asciiTheme="minorHAnsi" w:hAnsiTheme="minorHAnsi"/>
          <w:lang w:eastAsia="en-AU"/>
        </w:rPr>
        <w:t>.</w:t>
      </w:r>
      <w:r w:rsidR="001B38FC">
        <w:rPr>
          <w:rFonts w:asciiTheme="minorHAnsi" w:hAnsiTheme="minorHAnsi"/>
          <w:lang w:eastAsia="en-AU"/>
        </w:rPr>
        <w:t xml:space="preserve"> The regional NRM organisation should describe how </w:t>
      </w:r>
      <w:r w:rsidR="001B38FC" w:rsidRPr="001B38FC">
        <w:rPr>
          <w:rFonts w:asciiTheme="minorHAnsi" w:hAnsiTheme="minorHAnsi"/>
          <w:lang w:eastAsia="en-AU"/>
        </w:rPr>
        <w:t>the findings from the review are relevant to meeting an expected practice</w:t>
      </w:r>
      <w:r w:rsidR="00D45A8A">
        <w:rPr>
          <w:rFonts w:asciiTheme="minorHAnsi" w:hAnsiTheme="minorHAnsi"/>
          <w:lang w:eastAsia="en-AU"/>
        </w:rPr>
        <w:t>. F</w:t>
      </w:r>
      <w:r w:rsidR="001B38FC" w:rsidRPr="001B38FC">
        <w:rPr>
          <w:rFonts w:asciiTheme="minorHAnsi" w:hAnsiTheme="minorHAnsi"/>
          <w:lang w:eastAsia="en-AU"/>
        </w:rPr>
        <w:t xml:space="preserve">or example </w:t>
      </w:r>
      <w:r w:rsidR="001B38FC" w:rsidRPr="00D45A8A">
        <w:rPr>
          <w:rFonts w:asciiTheme="minorHAnsi" w:hAnsiTheme="minorHAnsi"/>
          <w:i/>
          <w:lang w:eastAsia="en-AU"/>
        </w:rPr>
        <w:t>the review focused on financial governance mechanisms and noted that the organisation is complying with financial responsibilities according to its statutory and legal obligations</w:t>
      </w:r>
      <w:r w:rsidR="001B38FC" w:rsidRPr="001B38FC">
        <w:rPr>
          <w:rFonts w:asciiTheme="minorHAnsi" w:hAnsiTheme="minorHAnsi"/>
          <w:lang w:eastAsia="en-AU"/>
        </w:rPr>
        <w:t>.</w:t>
      </w:r>
    </w:p>
    <w:p w14:paraId="278A5776" w14:textId="77777777" w:rsidR="00AA2CDA" w:rsidRPr="001C2AB7" w:rsidRDefault="006942C9" w:rsidP="001C2AB7">
      <w:pPr>
        <w:pStyle w:val="ListBullet"/>
        <w:spacing w:before="60" w:after="60" w:line="240" w:lineRule="auto"/>
        <w:ind w:left="567"/>
        <w:rPr>
          <w:rFonts w:asciiTheme="minorHAnsi" w:hAnsiTheme="minorHAnsi"/>
        </w:rPr>
      </w:pPr>
      <w:r w:rsidRPr="001C2AB7">
        <w:rPr>
          <w:rFonts w:asciiTheme="minorHAnsi" w:hAnsiTheme="minorHAnsi"/>
          <w:lang w:eastAsia="en-AU"/>
        </w:rPr>
        <w:t>Where</w:t>
      </w:r>
      <w:r w:rsidR="00DC09C9" w:rsidRPr="001C2AB7">
        <w:rPr>
          <w:rFonts w:asciiTheme="minorHAnsi" w:hAnsiTheme="minorHAnsi"/>
        </w:rPr>
        <w:t xml:space="preserve"> existing governance requirements, including statutory and contractual obligations</w:t>
      </w:r>
      <w:r w:rsidR="001C2AB7" w:rsidRPr="001C2AB7">
        <w:rPr>
          <w:rFonts w:asciiTheme="minorHAnsi" w:hAnsiTheme="minorHAnsi"/>
        </w:rPr>
        <w:t xml:space="preserve">, are being reported on and met, </w:t>
      </w:r>
      <w:r w:rsidR="001C2AB7" w:rsidRPr="001C2AB7">
        <w:rPr>
          <w:rFonts w:asciiTheme="minorHAnsi" w:hAnsiTheme="minorHAnsi"/>
          <w:lang w:eastAsia="en-AU"/>
        </w:rPr>
        <w:t>a regional NRM organisation can use th</w:t>
      </w:r>
      <w:r w:rsidR="00FB4BFA">
        <w:rPr>
          <w:rFonts w:asciiTheme="minorHAnsi" w:hAnsiTheme="minorHAnsi"/>
          <w:lang w:eastAsia="en-AU"/>
        </w:rPr>
        <w:t>is</w:t>
      </w:r>
      <w:r w:rsidR="001C2AB7" w:rsidRPr="001C2AB7">
        <w:rPr>
          <w:rFonts w:asciiTheme="minorHAnsi" w:hAnsiTheme="minorHAnsi"/>
          <w:lang w:eastAsia="en-AU"/>
        </w:rPr>
        <w:t xml:space="preserve"> as a source of evidence in demonstrating performance against one or more of the performance expectations.</w:t>
      </w:r>
    </w:p>
    <w:p w14:paraId="278A5777" w14:textId="77777777" w:rsidR="00AA2CDA" w:rsidRPr="00612088" w:rsidRDefault="00AA2CDA" w:rsidP="006E1119">
      <w:pPr>
        <w:pStyle w:val="ListBullet"/>
        <w:numPr>
          <w:ilvl w:val="0"/>
          <w:numId w:val="0"/>
        </w:numPr>
        <w:spacing w:before="60" w:after="0" w:line="240" w:lineRule="auto"/>
        <w:rPr>
          <w:rFonts w:asciiTheme="minorHAnsi" w:hAnsiTheme="minorHAnsi"/>
          <w:i/>
        </w:rPr>
      </w:pPr>
      <w:r w:rsidRPr="00612088">
        <w:rPr>
          <w:rFonts w:asciiTheme="minorHAnsi" w:hAnsiTheme="minorHAnsi"/>
          <w:i/>
        </w:rPr>
        <w:lastRenderedPageBreak/>
        <w:t>Organisational governance</w:t>
      </w:r>
    </w:p>
    <w:p w14:paraId="278A5778" w14:textId="77777777" w:rsidR="006E1119" w:rsidRPr="006E1119" w:rsidRDefault="006E1119" w:rsidP="00D92086">
      <w:pPr>
        <w:pStyle w:val="ListBullet"/>
        <w:spacing w:before="60" w:after="60" w:line="240" w:lineRule="auto"/>
        <w:ind w:left="567"/>
        <w:rPr>
          <w:rFonts w:asciiTheme="minorHAnsi" w:hAnsiTheme="minorHAnsi"/>
        </w:rPr>
      </w:pPr>
      <w:r w:rsidRPr="006E1119">
        <w:rPr>
          <w:rFonts w:asciiTheme="minorHAnsi" w:hAnsiTheme="minorHAnsi"/>
        </w:rPr>
        <w:t xml:space="preserve">When a regional NRM organisation is required to publically report on its operations and decisions, the Australian Government </w:t>
      </w:r>
      <w:r w:rsidR="00FB4BFA">
        <w:rPr>
          <w:rFonts w:asciiTheme="minorHAnsi" w:hAnsiTheme="minorHAnsi"/>
        </w:rPr>
        <w:t>will ensure</w:t>
      </w:r>
      <w:r w:rsidRPr="006E1119">
        <w:rPr>
          <w:rFonts w:asciiTheme="minorHAnsi" w:hAnsiTheme="minorHAnsi"/>
        </w:rPr>
        <w:t xml:space="preserve"> that findings of all performance reviews or audits, and reporting on progress with addressing these, are made public in a manner which does not compromise a regional NRM organisation’s confidentiality requirements and commitments.</w:t>
      </w:r>
    </w:p>
    <w:p w14:paraId="278A5779" w14:textId="77777777" w:rsidR="006E1119" w:rsidRDefault="006E1119" w:rsidP="00D92086">
      <w:pPr>
        <w:pStyle w:val="ListBullet"/>
        <w:spacing w:before="60" w:after="60" w:line="240" w:lineRule="auto"/>
        <w:ind w:left="567"/>
        <w:rPr>
          <w:rFonts w:asciiTheme="minorHAnsi" w:hAnsiTheme="minorHAnsi"/>
        </w:rPr>
      </w:pPr>
      <w:r w:rsidRPr="006E1119">
        <w:rPr>
          <w:rFonts w:asciiTheme="minorHAnsi" w:hAnsiTheme="minorHAnsi"/>
        </w:rPr>
        <w:t xml:space="preserve">Where regional NRM organisations </w:t>
      </w:r>
      <w:r w:rsidR="00FB4BFA">
        <w:rPr>
          <w:rFonts w:asciiTheme="minorHAnsi" w:hAnsiTheme="minorHAnsi"/>
        </w:rPr>
        <w:t>has</w:t>
      </w:r>
      <w:r w:rsidRPr="006E1119">
        <w:rPr>
          <w:rFonts w:asciiTheme="minorHAnsi" w:hAnsiTheme="minorHAnsi"/>
        </w:rPr>
        <w:t xml:space="preserve"> met legislative annual compliance obligations at the jurisdictional level, the Australian Government will accept this evidence.</w:t>
      </w:r>
    </w:p>
    <w:p w14:paraId="278A577A" w14:textId="77777777" w:rsidR="00AA2CDA" w:rsidRPr="00612088" w:rsidRDefault="00AA2CDA" w:rsidP="00AA2CDA">
      <w:pPr>
        <w:pStyle w:val="ListBullet"/>
        <w:numPr>
          <w:ilvl w:val="0"/>
          <w:numId w:val="0"/>
        </w:numPr>
        <w:spacing w:before="60" w:after="60" w:line="240" w:lineRule="auto"/>
        <w:ind w:left="369" w:hanging="369"/>
        <w:rPr>
          <w:rFonts w:asciiTheme="minorHAnsi" w:hAnsiTheme="minorHAnsi"/>
          <w:i/>
          <w:lang w:eastAsia="en-AU"/>
        </w:rPr>
      </w:pPr>
      <w:r w:rsidRPr="00612088">
        <w:rPr>
          <w:rFonts w:asciiTheme="minorHAnsi" w:hAnsiTheme="minorHAnsi"/>
          <w:i/>
          <w:lang w:eastAsia="en-AU"/>
        </w:rPr>
        <w:t>R</w:t>
      </w:r>
      <w:r w:rsidR="00612088" w:rsidRPr="00612088">
        <w:rPr>
          <w:rFonts w:asciiTheme="minorHAnsi" w:hAnsiTheme="minorHAnsi"/>
          <w:i/>
          <w:lang w:eastAsia="en-AU"/>
        </w:rPr>
        <w:t>egional NRM plans</w:t>
      </w:r>
    </w:p>
    <w:p w14:paraId="278A577B" w14:textId="25764799" w:rsidR="00612088" w:rsidRDefault="00612088" w:rsidP="00AA2CDA">
      <w:pPr>
        <w:pStyle w:val="ListBullet"/>
        <w:spacing w:before="60" w:after="60" w:line="240" w:lineRule="auto"/>
        <w:ind w:left="567"/>
        <w:rPr>
          <w:rFonts w:asciiTheme="minorHAnsi" w:hAnsiTheme="minorHAnsi"/>
          <w:lang w:eastAsia="en-AU"/>
        </w:rPr>
      </w:pPr>
      <w:r>
        <w:rPr>
          <w:rFonts w:asciiTheme="minorHAnsi" w:hAnsiTheme="minorHAnsi"/>
        </w:rPr>
        <w:t>An</w:t>
      </w:r>
      <w:r w:rsidRPr="00EC79D2">
        <w:rPr>
          <w:rFonts w:asciiTheme="minorHAnsi" w:hAnsiTheme="minorHAnsi"/>
        </w:rPr>
        <w:t xml:space="preserve"> NRM plan should be updated within the timeframe identified either in the plan or in organisational policies. Supporting information could include: description of how experts</w:t>
      </w:r>
      <w:r>
        <w:rPr>
          <w:rFonts w:asciiTheme="minorHAnsi" w:hAnsiTheme="minorHAnsi"/>
        </w:rPr>
        <w:t xml:space="preserve"> or peers</w:t>
      </w:r>
      <w:r w:rsidRPr="00EC79D2">
        <w:rPr>
          <w:rFonts w:asciiTheme="minorHAnsi" w:hAnsiTheme="minorHAnsi"/>
        </w:rPr>
        <w:t xml:space="preserve"> were involved in developing the scientific, economic and/or social aspects of the plan; and the appropriateness of the model used for the plan (e</w:t>
      </w:r>
      <w:r w:rsidR="00F17F80">
        <w:rPr>
          <w:rFonts w:asciiTheme="minorHAnsi" w:hAnsiTheme="minorHAnsi"/>
        </w:rPr>
        <w:t>.</w:t>
      </w:r>
      <w:r w:rsidRPr="00EC79D2">
        <w:rPr>
          <w:rFonts w:asciiTheme="minorHAnsi" w:hAnsiTheme="minorHAnsi"/>
        </w:rPr>
        <w:t>g</w:t>
      </w:r>
      <w:r w:rsidR="00F17F80">
        <w:rPr>
          <w:rFonts w:asciiTheme="minorHAnsi" w:hAnsiTheme="minorHAnsi"/>
        </w:rPr>
        <w:t>.</w:t>
      </w:r>
      <w:r w:rsidRPr="00EC79D2">
        <w:rPr>
          <w:rFonts w:asciiTheme="minorHAnsi" w:hAnsiTheme="minorHAnsi"/>
        </w:rPr>
        <w:t xml:space="preserve"> asset based approach, system based approach).</w:t>
      </w:r>
    </w:p>
    <w:p w14:paraId="278A577C" w14:textId="77777777" w:rsidR="00AA2CDA" w:rsidRDefault="00AA2CDA" w:rsidP="00AA2CDA">
      <w:pPr>
        <w:pStyle w:val="ListBullet"/>
        <w:spacing w:before="60" w:after="60" w:line="240" w:lineRule="auto"/>
        <w:ind w:left="567"/>
        <w:rPr>
          <w:rFonts w:asciiTheme="minorHAnsi" w:hAnsiTheme="minorHAnsi"/>
          <w:lang w:eastAsia="en-AU"/>
        </w:rPr>
      </w:pPr>
      <w:r>
        <w:rPr>
          <w:rFonts w:asciiTheme="minorHAnsi" w:hAnsiTheme="minorHAnsi"/>
          <w:lang w:eastAsia="en-AU"/>
        </w:rPr>
        <w:t>In some cases, a regional NRM organisation may have frameworks or strategies that form a part of the regional NRM</w:t>
      </w:r>
      <w:r w:rsidR="00BC0FAB">
        <w:rPr>
          <w:rFonts w:asciiTheme="minorHAnsi" w:hAnsiTheme="minorHAnsi"/>
          <w:lang w:eastAsia="en-AU"/>
        </w:rPr>
        <w:t xml:space="preserve"> </w:t>
      </w:r>
      <w:r w:rsidR="00E16F87">
        <w:rPr>
          <w:rFonts w:asciiTheme="minorHAnsi" w:hAnsiTheme="minorHAnsi"/>
          <w:lang w:eastAsia="en-AU"/>
        </w:rPr>
        <w:t>plan</w:t>
      </w:r>
      <w:r>
        <w:rPr>
          <w:rFonts w:asciiTheme="minorHAnsi" w:hAnsiTheme="minorHAnsi"/>
          <w:lang w:eastAsia="en-AU"/>
        </w:rPr>
        <w:t xml:space="preserve"> but are not included within the plan itself. Where this is the case, the regional NRM organisation should describe the relationship between the various documents and how this relationship meets the requirements of the expected practice.</w:t>
      </w:r>
    </w:p>
    <w:p w14:paraId="278A577D" w14:textId="77777777" w:rsidR="00F671A7" w:rsidRPr="00F671A7" w:rsidRDefault="00F671A7" w:rsidP="00F671A7">
      <w:pPr>
        <w:pStyle w:val="ListBullet"/>
        <w:numPr>
          <w:ilvl w:val="0"/>
          <w:numId w:val="0"/>
        </w:numPr>
        <w:spacing w:before="60" w:after="60" w:line="240" w:lineRule="auto"/>
        <w:ind w:left="369" w:hanging="369"/>
        <w:rPr>
          <w:rFonts w:asciiTheme="minorHAnsi" w:hAnsiTheme="minorHAnsi"/>
          <w:i/>
          <w:lang w:eastAsia="en-AU"/>
        </w:rPr>
      </w:pPr>
      <w:r w:rsidRPr="00F671A7">
        <w:rPr>
          <w:rFonts w:asciiTheme="minorHAnsi" w:hAnsiTheme="minorHAnsi"/>
          <w:i/>
          <w:lang w:eastAsia="en-AU"/>
        </w:rPr>
        <w:t>Local community participation and engagement</w:t>
      </w:r>
    </w:p>
    <w:p w14:paraId="278A577E" w14:textId="77777777" w:rsidR="00AA2CDA" w:rsidRDefault="00F671A7" w:rsidP="00F671A7">
      <w:pPr>
        <w:pStyle w:val="ListBullet"/>
        <w:spacing w:before="60" w:after="60" w:line="240" w:lineRule="auto"/>
        <w:ind w:left="567"/>
        <w:rPr>
          <w:rFonts w:asciiTheme="minorHAnsi" w:hAnsiTheme="minorHAnsi"/>
          <w:lang w:eastAsia="en-AU"/>
        </w:rPr>
      </w:pPr>
      <w:r>
        <w:rPr>
          <w:rFonts w:asciiTheme="minorHAnsi" w:hAnsiTheme="minorHAnsi"/>
          <w:lang w:eastAsia="en-AU"/>
        </w:rPr>
        <w:t xml:space="preserve">There may be cases where the local community, including the Indigenous community, have provided feedback or advice to the regional NRM organisation that results in the organisation not being able to meet an expected practice or supporting evidence. </w:t>
      </w:r>
      <w:r w:rsidR="002C3B91">
        <w:rPr>
          <w:rFonts w:asciiTheme="minorHAnsi" w:hAnsiTheme="minorHAnsi"/>
          <w:lang w:eastAsia="en-AU"/>
        </w:rPr>
        <w:t xml:space="preserve">For example, the local Indigenous community may advise the regional NRM organisation that </w:t>
      </w:r>
      <w:r w:rsidR="00DC09C9">
        <w:rPr>
          <w:rFonts w:asciiTheme="minorHAnsi" w:hAnsiTheme="minorHAnsi"/>
          <w:lang w:eastAsia="en-AU"/>
        </w:rPr>
        <w:t xml:space="preserve">an Indigenous Reference Group is not required. </w:t>
      </w:r>
      <w:r>
        <w:rPr>
          <w:rFonts w:asciiTheme="minorHAnsi" w:hAnsiTheme="minorHAnsi"/>
          <w:lang w:eastAsia="en-AU"/>
        </w:rPr>
        <w:t>Where this is the case, the organisation should provide a description justifying why the expected practice cannot, or will not be met.</w:t>
      </w:r>
      <w:r w:rsidR="00083EBF">
        <w:rPr>
          <w:rFonts w:asciiTheme="minorHAnsi" w:hAnsiTheme="minorHAnsi"/>
          <w:lang w:eastAsia="en-AU"/>
        </w:rPr>
        <w:t xml:space="preserve"> </w:t>
      </w:r>
      <w:r w:rsidR="00083EBF" w:rsidRPr="00C7404E">
        <w:rPr>
          <w:rFonts w:asciiTheme="minorHAnsi" w:hAnsiTheme="minorHAnsi"/>
          <w:u w:val="single"/>
          <w:lang w:eastAsia="en-AU"/>
        </w:rPr>
        <w:t>Note</w:t>
      </w:r>
      <w:r w:rsidR="00083EBF">
        <w:rPr>
          <w:rFonts w:asciiTheme="minorHAnsi" w:hAnsiTheme="minorHAnsi"/>
          <w:lang w:eastAsia="en-AU"/>
        </w:rPr>
        <w:t xml:space="preserve"> – supporting evidence of the justification may be required on request.</w:t>
      </w:r>
    </w:p>
    <w:p w14:paraId="278A577F" w14:textId="77777777" w:rsidR="003A0702" w:rsidRPr="00963D1C" w:rsidRDefault="003A0702" w:rsidP="009E777C">
      <w:pPr>
        <w:pStyle w:val="ListBullet"/>
        <w:numPr>
          <w:ilvl w:val="0"/>
          <w:numId w:val="0"/>
        </w:numPr>
        <w:shd w:val="clear" w:color="auto" w:fill="C2D69B" w:themeFill="accent3" w:themeFillTint="99"/>
        <w:spacing w:before="240" w:after="0" w:line="240" w:lineRule="auto"/>
        <w:rPr>
          <w:rFonts w:asciiTheme="minorHAnsi" w:hAnsiTheme="minorHAnsi"/>
          <w:sz w:val="8"/>
          <w:szCs w:val="8"/>
        </w:rPr>
      </w:pPr>
    </w:p>
    <w:p w14:paraId="278A5780" w14:textId="77777777" w:rsidR="003A0702" w:rsidRPr="00F00E56" w:rsidRDefault="009E777C" w:rsidP="00F00E56">
      <w:pPr>
        <w:pStyle w:val="ListBullet"/>
        <w:numPr>
          <w:ilvl w:val="0"/>
          <w:numId w:val="0"/>
        </w:numPr>
        <w:shd w:val="clear" w:color="auto" w:fill="C2D69B" w:themeFill="accent3" w:themeFillTint="99"/>
        <w:spacing w:after="0" w:line="240" w:lineRule="auto"/>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3</w:t>
      </w:r>
      <w:r w:rsidR="00D12215">
        <w:rPr>
          <w:rFonts w:asciiTheme="minorHAnsi" w:hAnsiTheme="minorHAnsi"/>
          <w:i/>
          <w:color w:val="4F6228" w:themeColor="accent3" w:themeShade="80"/>
          <w:sz w:val="28"/>
          <w:szCs w:val="28"/>
          <w:lang w:eastAsia="en-AU"/>
        </w:rPr>
        <w:t>.</w:t>
      </w:r>
      <w:r w:rsidR="00D12215">
        <w:rPr>
          <w:rFonts w:asciiTheme="minorHAnsi" w:hAnsiTheme="minorHAnsi"/>
          <w:i/>
          <w:color w:val="4F6228" w:themeColor="accent3" w:themeShade="80"/>
          <w:sz w:val="28"/>
          <w:szCs w:val="28"/>
          <w:lang w:eastAsia="en-AU"/>
        </w:rPr>
        <w:tab/>
      </w:r>
      <w:r w:rsidR="003A0702" w:rsidRPr="00F00E56">
        <w:rPr>
          <w:rFonts w:asciiTheme="minorHAnsi" w:hAnsiTheme="minorHAnsi"/>
          <w:i/>
          <w:color w:val="4F6228" w:themeColor="accent3" w:themeShade="80"/>
          <w:sz w:val="28"/>
          <w:szCs w:val="28"/>
          <w:lang w:eastAsia="en-AU"/>
        </w:rPr>
        <w:t>What is the local community?</w:t>
      </w:r>
    </w:p>
    <w:p w14:paraId="278A5781" w14:textId="77777777" w:rsidR="003A0702" w:rsidRPr="00963D1C" w:rsidRDefault="003A0702" w:rsidP="001B69E7">
      <w:pPr>
        <w:pStyle w:val="ListBullet"/>
        <w:numPr>
          <w:ilvl w:val="0"/>
          <w:numId w:val="0"/>
        </w:numPr>
        <w:shd w:val="clear" w:color="auto" w:fill="C2D69B" w:themeFill="accent3" w:themeFillTint="99"/>
        <w:spacing w:after="240" w:line="240" w:lineRule="auto"/>
        <w:rPr>
          <w:rFonts w:asciiTheme="minorHAnsi" w:hAnsiTheme="minorHAnsi"/>
          <w:b/>
          <w:color w:val="FFFFFF" w:themeColor="background1"/>
          <w:sz w:val="8"/>
          <w:szCs w:val="8"/>
        </w:rPr>
      </w:pPr>
    </w:p>
    <w:p w14:paraId="278A5782" w14:textId="77777777" w:rsidR="003A0702" w:rsidRPr="009E777C" w:rsidRDefault="000C1951" w:rsidP="009E777C">
      <w:pPr>
        <w:pStyle w:val="ListBullet"/>
        <w:numPr>
          <w:ilvl w:val="0"/>
          <w:numId w:val="0"/>
        </w:numPr>
        <w:spacing w:before="60" w:after="0" w:line="240" w:lineRule="auto"/>
        <w:rPr>
          <w:rFonts w:asciiTheme="minorHAnsi" w:hAnsiTheme="minorHAnsi"/>
        </w:rPr>
      </w:pPr>
      <w:r w:rsidRPr="009E777C">
        <w:rPr>
          <w:rFonts w:asciiTheme="minorHAnsi" w:hAnsiTheme="minorHAnsi"/>
        </w:rPr>
        <w:t xml:space="preserve">There are a number of expected practices that include the local community. </w:t>
      </w:r>
      <w:r w:rsidR="003A0702" w:rsidRPr="009E777C">
        <w:rPr>
          <w:rFonts w:asciiTheme="minorHAnsi" w:hAnsiTheme="minorHAnsi"/>
        </w:rPr>
        <w:t xml:space="preserve">In the context of the National Landcare Programme and these performance expectations, it is recognised that the composition of the local community will likely differ between NRM regions. Depending on the NRM region, this might include stakeholders such as: </w:t>
      </w:r>
    </w:p>
    <w:p w14:paraId="278A5783" w14:textId="77C540A1" w:rsidR="003A0702" w:rsidRPr="009E777C" w:rsidRDefault="003A0702" w:rsidP="00D45A8A">
      <w:pPr>
        <w:pStyle w:val="ListBullet"/>
        <w:numPr>
          <w:ilvl w:val="0"/>
          <w:numId w:val="8"/>
        </w:numPr>
        <w:spacing w:after="0" w:line="240" w:lineRule="auto"/>
        <w:ind w:left="567" w:hanging="207"/>
        <w:rPr>
          <w:rFonts w:asciiTheme="minorHAnsi" w:hAnsiTheme="minorHAnsi"/>
          <w:lang w:eastAsia="en-AU"/>
        </w:rPr>
      </w:pPr>
      <w:r w:rsidRPr="009E777C">
        <w:rPr>
          <w:rFonts w:asciiTheme="minorHAnsi" w:hAnsiTheme="minorHAnsi"/>
          <w:lang w:eastAsia="en-AU"/>
        </w:rPr>
        <w:t xml:space="preserve">identified </w:t>
      </w:r>
      <w:proofErr w:type="spellStart"/>
      <w:r w:rsidRPr="009E777C">
        <w:rPr>
          <w:rFonts w:asciiTheme="minorHAnsi" w:hAnsiTheme="minorHAnsi"/>
          <w:lang w:eastAsia="en-AU"/>
        </w:rPr>
        <w:t>landcare</w:t>
      </w:r>
      <w:proofErr w:type="spellEnd"/>
      <w:r w:rsidRPr="009E777C">
        <w:rPr>
          <w:rFonts w:asciiTheme="minorHAnsi" w:hAnsiTheme="minorHAnsi"/>
          <w:lang w:eastAsia="en-AU"/>
        </w:rPr>
        <w:t xml:space="preserve"> groups and other ‘care’ groups such as </w:t>
      </w:r>
      <w:proofErr w:type="spellStart"/>
      <w:r w:rsidRPr="009E777C">
        <w:rPr>
          <w:rFonts w:asciiTheme="minorHAnsi" w:hAnsiTheme="minorHAnsi"/>
          <w:lang w:eastAsia="en-AU"/>
        </w:rPr>
        <w:t>bushcare</w:t>
      </w:r>
      <w:proofErr w:type="spellEnd"/>
      <w:r w:rsidRPr="009E777C">
        <w:rPr>
          <w:rFonts w:asciiTheme="minorHAnsi" w:hAnsiTheme="minorHAnsi"/>
          <w:lang w:eastAsia="en-AU"/>
        </w:rPr>
        <w:t xml:space="preserve">, </w:t>
      </w:r>
      <w:proofErr w:type="spellStart"/>
      <w:r w:rsidRPr="009E777C">
        <w:rPr>
          <w:rFonts w:asciiTheme="minorHAnsi" w:hAnsiTheme="minorHAnsi"/>
          <w:lang w:eastAsia="en-AU"/>
        </w:rPr>
        <w:t>coastcare</w:t>
      </w:r>
      <w:proofErr w:type="spellEnd"/>
      <w:r w:rsidRPr="009E777C">
        <w:rPr>
          <w:rFonts w:asciiTheme="minorHAnsi" w:hAnsiTheme="minorHAnsi"/>
          <w:lang w:eastAsia="en-AU"/>
        </w:rPr>
        <w:t xml:space="preserve">, </w:t>
      </w:r>
      <w:proofErr w:type="spellStart"/>
      <w:r w:rsidRPr="009E777C">
        <w:rPr>
          <w:rFonts w:asciiTheme="minorHAnsi" w:hAnsiTheme="minorHAnsi"/>
          <w:lang w:eastAsia="en-AU"/>
        </w:rPr>
        <w:t>rivercare</w:t>
      </w:r>
      <w:proofErr w:type="spellEnd"/>
      <w:r w:rsidRPr="009E777C">
        <w:rPr>
          <w:rFonts w:asciiTheme="minorHAnsi" w:hAnsiTheme="minorHAnsi"/>
          <w:lang w:eastAsia="en-AU"/>
        </w:rPr>
        <w:t xml:space="preserve"> etc</w:t>
      </w:r>
      <w:r w:rsidR="00B231E5">
        <w:rPr>
          <w:rFonts w:asciiTheme="minorHAnsi" w:hAnsiTheme="minorHAnsi"/>
          <w:lang w:eastAsia="en-AU"/>
        </w:rPr>
        <w:t>.</w:t>
      </w:r>
      <w:r w:rsidRPr="009E777C">
        <w:rPr>
          <w:rFonts w:asciiTheme="minorHAnsi" w:hAnsiTheme="minorHAnsi"/>
          <w:lang w:eastAsia="en-AU"/>
        </w:rPr>
        <w:t xml:space="preserve">; </w:t>
      </w:r>
    </w:p>
    <w:p w14:paraId="278A5784" w14:textId="77777777" w:rsidR="003A0702" w:rsidRPr="009E777C" w:rsidRDefault="003A0702" w:rsidP="00D45A8A">
      <w:pPr>
        <w:pStyle w:val="ListBullet"/>
        <w:numPr>
          <w:ilvl w:val="0"/>
          <w:numId w:val="8"/>
        </w:numPr>
        <w:spacing w:after="0" w:line="240" w:lineRule="auto"/>
        <w:ind w:left="567" w:hanging="207"/>
        <w:rPr>
          <w:rFonts w:asciiTheme="minorHAnsi" w:hAnsiTheme="minorHAnsi"/>
          <w:lang w:eastAsia="en-AU"/>
        </w:rPr>
      </w:pPr>
      <w:r w:rsidRPr="009E777C">
        <w:rPr>
          <w:rFonts w:asciiTheme="minorHAnsi" w:hAnsiTheme="minorHAnsi"/>
          <w:lang w:eastAsia="en-AU"/>
        </w:rPr>
        <w:t>‘friends of’ groups and other community environment groups;</w:t>
      </w:r>
    </w:p>
    <w:p w14:paraId="278A5785" w14:textId="77777777" w:rsidR="003A0702" w:rsidRPr="009E777C" w:rsidRDefault="003A0702" w:rsidP="00D45A8A">
      <w:pPr>
        <w:pStyle w:val="ListBullet"/>
        <w:numPr>
          <w:ilvl w:val="0"/>
          <w:numId w:val="8"/>
        </w:numPr>
        <w:spacing w:after="0" w:line="240" w:lineRule="auto"/>
        <w:ind w:left="567" w:hanging="207"/>
        <w:rPr>
          <w:rFonts w:asciiTheme="minorHAnsi" w:hAnsiTheme="minorHAnsi"/>
          <w:lang w:eastAsia="en-AU"/>
        </w:rPr>
      </w:pPr>
      <w:r w:rsidRPr="009E777C">
        <w:rPr>
          <w:rFonts w:asciiTheme="minorHAnsi" w:hAnsiTheme="minorHAnsi"/>
          <w:lang w:eastAsia="en-AU"/>
        </w:rPr>
        <w:t>farmer/producer groups and individuals;</w:t>
      </w:r>
    </w:p>
    <w:p w14:paraId="278A5786" w14:textId="77777777" w:rsidR="003A0702" w:rsidRPr="009E777C" w:rsidRDefault="003A0702" w:rsidP="00D45A8A">
      <w:pPr>
        <w:pStyle w:val="ListBullet"/>
        <w:numPr>
          <w:ilvl w:val="0"/>
          <w:numId w:val="8"/>
        </w:numPr>
        <w:spacing w:after="0" w:line="240" w:lineRule="auto"/>
        <w:ind w:left="567" w:hanging="207"/>
        <w:rPr>
          <w:rFonts w:asciiTheme="minorHAnsi" w:hAnsiTheme="minorHAnsi"/>
          <w:lang w:eastAsia="en-AU"/>
        </w:rPr>
      </w:pPr>
      <w:r w:rsidRPr="009E777C">
        <w:rPr>
          <w:rFonts w:asciiTheme="minorHAnsi" w:hAnsiTheme="minorHAnsi"/>
          <w:lang w:eastAsia="en-AU"/>
        </w:rPr>
        <w:t xml:space="preserve">Indigenous people, communities and organisations; and </w:t>
      </w:r>
    </w:p>
    <w:p w14:paraId="278A5787" w14:textId="77777777" w:rsidR="00AC1C09" w:rsidRDefault="003A0702" w:rsidP="00D45A8A">
      <w:pPr>
        <w:pStyle w:val="ListBullet"/>
        <w:numPr>
          <w:ilvl w:val="0"/>
          <w:numId w:val="8"/>
        </w:numPr>
        <w:spacing w:after="0" w:line="240" w:lineRule="auto"/>
        <w:ind w:left="567" w:hanging="207"/>
        <w:rPr>
          <w:rFonts w:asciiTheme="minorHAnsi" w:hAnsiTheme="minorHAnsi"/>
          <w:lang w:eastAsia="en-AU"/>
        </w:rPr>
      </w:pPr>
      <w:proofErr w:type="gramStart"/>
      <w:r w:rsidRPr="009E777C">
        <w:rPr>
          <w:rFonts w:asciiTheme="minorHAnsi" w:hAnsiTheme="minorHAnsi"/>
          <w:lang w:eastAsia="en-AU"/>
        </w:rPr>
        <w:t>individual</w:t>
      </w:r>
      <w:proofErr w:type="gramEnd"/>
      <w:r w:rsidRPr="009E777C">
        <w:rPr>
          <w:rFonts w:asciiTheme="minorHAnsi" w:hAnsiTheme="minorHAnsi"/>
          <w:lang w:eastAsia="en-AU"/>
        </w:rPr>
        <w:t xml:space="preserve"> land managers working in the </w:t>
      </w:r>
      <w:proofErr w:type="spellStart"/>
      <w:r w:rsidRPr="009E777C">
        <w:rPr>
          <w:rFonts w:asciiTheme="minorHAnsi" w:hAnsiTheme="minorHAnsi"/>
          <w:lang w:eastAsia="en-AU"/>
        </w:rPr>
        <w:t>landcare</w:t>
      </w:r>
      <w:proofErr w:type="spellEnd"/>
      <w:r w:rsidRPr="009E777C">
        <w:rPr>
          <w:rFonts w:asciiTheme="minorHAnsi" w:hAnsiTheme="minorHAnsi"/>
          <w:lang w:eastAsia="en-AU"/>
        </w:rPr>
        <w:t>/NRM sector.</w:t>
      </w:r>
    </w:p>
    <w:p w14:paraId="278A5788" w14:textId="77777777" w:rsidR="00AC1C09" w:rsidRPr="00963D1C" w:rsidRDefault="00AC1C09" w:rsidP="001B69E7">
      <w:pPr>
        <w:pStyle w:val="ListBullet"/>
        <w:numPr>
          <w:ilvl w:val="0"/>
          <w:numId w:val="0"/>
        </w:numPr>
        <w:shd w:val="clear" w:color="auto" w:fill="C2D69B" w:themeFill="accent3" w:themeFillTint="99"/>
        <w:spacing w:before="240" w:after="0" w:line="240" w:lineRule="auto"/>
        <w:rPr>
          <w:rFonts w:asciiTheme="minorHAnsi" w:hAnsiTheme="minorHAnsi"/>
          <w:sz w:val="8"/>
          <w:szCs w:val="8"/>
        </w:rPr>
      </w:pPr>
    </w:p>
    <w:p w14:paraId="278A5789" w14:textId="65A7838B" w:rsidR="00AC1C09" w:rsidRPr="00F00E56" w:rsidRDefault="009E777C" w:rsidP="00F00E56">
      <w:pPr>
        <w:pStyle w:val="ListBullet"/>
        <w:numPr>
          <w:ilvl w:val="0"/>
          <w:numId w:val="0"/>
        </w:numPr>
        <w:shd w:val="clear" w:color="auto" w:fill="C2D69B" w:themeFill="accent3" w:themeFillTint="99"/>
        <w:spacing w:after="0" w:line="240" w:lineRule="auto"/>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4.</w:t>
      </w:r>
      <w:r>
        <w:rPr>
          <w:rFonts w:asciiTheme="minorHAnsi" w:hAnsiTheme="minorHAnsi"/>
          <w:i/>
          <w:color w:val="4F6228" w:themeColor="accent3" w:themeShade="80"/>
          <w:sz w:val="28"/>
          <w:szCs w:val="28"/>
          <w:lang w:eastAsia="en-AU"/>
        </w:rPr>
        <w:tab/>
      </w:r>
      <w:r w:rsidR="00AC1C09" w:rsidRPr="00F00E56">
        <w:rPr>
          <w:rFonts w:asciiTheme="minorHAnsi" w:hAnsiTheme="minorHAnsi"/>
          <w:i/>
          <w:color w:val="4F6228" w:themeColor="accent3" w:themeShade="80"/>
          <w:sz w:val="28"/>
          <w:szCs w:val="28"/>
          <w:lang w:eastAsia="en-AU"/>
        </w:rPr>
        <w:t xml:space="preserve">Regional NRM organisation annual </w:t>
      </w:r>
      <w:r w:rsidR="00FC4139" w:rsidRPr="00F00E56">
        <w:rPr>
          <w:rFonts w:asciiTheme="minorHAnsi" w:hAnsiTheme="minorHAnsi"/>
          <w:i/>
          <w:color w:val="4F6228" w:themeColor="accent3" w:themeShade="80"/>
          <w:sz w:val="28"/>
          <w:szCs w:val="28"/>
          <w:lang w:eastAsia="en-AU"/>
        </w:rPr>
        <w:t>self</w:t>
      </w:r>
      <w:r w:rsidR="00FC4139">
        <w:rPr>
          <w:rFonts w:asciiTheme="minorHAnsi" w:hAnsiTheme="minorHAnsi"/>
          <w:i/>
          <w:color w:val="4F6228" w:themeColor="accent3" w:themeShade="80"/>
          <w:sz w:val="28"/>
          <w:szCs w:val="28"/>
          <w:lang w:eastAsia="en-AU"/>
        </w:rPr>
        <w:t>-</w:t>
      </w:r>
      <w:r w:rsidR="00AC1C09" w:rsidRPr="00F00E56">
        <w:rPr>
          <w:rFonts w:asciiTheme="minorHAnsi" w:hAnsiTheme="minorHAnsi"/>
          <w:i/>
          <w:color w:val="4F6228" w:themeColor="accent3" w:themeShade="80"/>
          <w:sz w:val="28"/>
          <w:szCs w:val="28"/>
          <w:lang w:eastAsia="en-AU"/>
        </w:rPr>
        <w:t>assessment</w:t>
      </w:r>
    </w:p>
    <w:p w14:paraId="278A578A" w14:textId="77777777" w:rsidR="00AC1C09" w:rsidRPr="00963D1C" w:rsidRDefault="00AC1C09" w:rsidP="001B69E7">
      <w:pPr>
        <w:pStyle w:val="ListBullet"/>
        <w:numPr>
          <w:ilvl w:val="0"/>
          <w:numId w:val="0"/>
        </w:numPr>
        <w:shd w:val="clear" w:color="auto" w:fill="C2D69B" w:themeFill="accent3" w:themeFillTint="99"/>
        <w:spacing w:after="240" w:line="240" w:lineRule="auto"/>
        <w:rPr>
          <w:rFonts w:asciiTheme="minorHAnsi" w:hAnsiTheme="minorHAnsi"/>
          <w:b/>
          <w:color w:val="FFFFFF" w:themeColor="background1"/>
          <w:sz w:val="8"/>
          <w:szCs w:val="8"/>
        </w:rPr>
      </w:pPr>
    </w:p>
    <w:p w14:paraId="278A578B" w14:textId="37D1153A" w:rsidR="004F04E2" w:rsidRDefault="000D5B2F" w:rsidP="000D5B2F">
      <w:pPr>
        <w:pStyle w:val="ListBullet"/>
        <w:numPr>
          <w:ilvl w:val="0"/>
          <w:numId w:val="0"/>
        </w:numPr>
        <w:spacing w:before="60" w:after="0" w:line="240" w:lineRule="auto"/>
        <w:rPr>
          <w:rFonts w:asciiTheme="minorHAnsi" w:hAnsiTheme="minorHAnsi"/>
        </w:rPr>
      </w:pPr>
      <w:r w:rsidRPr="008B0195">
        <w:rPr>
          <w:rFonts w:asciiTheme="minorHAnsi" w:hAnsiTheme="minorHAnsi"/>
        </w:rPr>
        <w:t xml:space="preserve">Regional NRM organisations are required to complete an annual </w:t>
      </w:r>
      <w:r w:rsidR="00FC4139" w:rsidRPr="008B0195">
        <w:rPr>
          <w:rFonts w:asciiTheme="minorHAnsi" w:hAnsiTheme="minorHAnsi"/>
        </w:rPr>
        <w:t>self</w:t>
      </w:r>
      <w:r w:rsidR="00FC4139">
        <w:rPr>
          <w:rFonts w:asciiTheme="minorHAnsi" w:hAnsiTheme="minorHAnsi"/>
        </w:rPr>
        <w:t>-</w:t>
      </w:r>
      <w:r w:rsidRPr="008B0195">
        <w:rPr>
          <w:rFonts w:asciiTheme="minorHAnsi" w:hAnsiTheme="minorHAnsi"/>
        </w:rPr>
        <w:t xml:space="preserve">assessment of </w:t>
      </w:r>
      <w:r w:rsidRPr="00C7404E">
        <w:rPr>
          <w:rFonts w:asciiTheme="minorHAnsi" w:hAnsiTheme="minorHAnsi"/>
        </w:rPr>
        <w:t xml:space="preserve">their performance against the </w:t>
      </w:r>
      <w:r w:rsidR="00C7404E" w:rsidRPr="00C7404E">
        <w:rPr>
          <w:rFonts w:asciiTheme="minorHAnsi" w:hAnsiTheme="minorHAnsi"/>
        </w:rPr>
        <w:t>expect</w:t>
      </w:r>
      <w:r w:rsidR="00BC3525" w:rsidRPr="00C7404E">
        <w:rPr>
          <w:rFonts w:asciiTheme="minorHAnsi" w:hAnsiTheme="minorHAnsi"/>
        </w:rPr>
        <w:t xml:space="preserve">ed practices </w:t>
      </w:r>
      <w:r w:rsidRPr="00C7404E">
        <w:rPr>
          <w:rFonts w:asciiTheme="minorHAnsi" w:hAnsiTheme="minorHAnsi"/>
        </w:rPr>
        <w:t xml:space="preserve">to </w:t>
      </w:r>
      <w:r w:rsidR="004F04E2" w:rsidRPr="00C7404E">
        <w:rPr>
          <w:rFonts w:asciiTheme="minorHAnsi" w:hAnsiTheme="minorHAnsi"/>
        </w:rPr>
        <w:t>allow regional NRM organisations to monitor and reflect on their own performance</w:t>
      </w:r>
      <w:r w:rsidR="004F04E2" w:rsidRPr="00E354BE">
        <w:rPr>
          <w:rFonts w:asciiTheme="minorHAnsi" w:hAnsiTheme="minorHAnsi"/>
        </w:rPr>
        <w:t xml:space="preserve"> and identify strengths and opportunities for improvement.</w:t>
      </w:r>
      <w:r w:rsidR="004F04E2">
        <w:rPr>
          <w:rFonts w:asciiTheme="minorHAnsi" w:hAnsiTheme="minorHAnsi"/>
        </w:rPr>
        <w:t xml:space="preserve"> The </w:t>
      </w:r>
      <w:r w:rsidR="00FC4139">
        <w:rPr>
          <w:rFonts w:asciiTheme="minorHAnsi" w:hAnsiTheme="minorHAnsi"/>
        </w:rPr>
        <w:t>self-</w:t>
      </w:r>
      <w:r w:rsidR="004F04E2">
        <w:rPr>
          <w:rFonts w:asciiTheme="minorHAnsi" w:hAnsiTheme="minorHAnsi"/>
        </w:rPr>
        <w:t xml:space="preserve">assessment also </w:t>
      </w:r>
      <w:r w:rsidRPr="008B0195">
        <w:rPr>
          <w:rFonts w:asciiTheme="minorHAnsi" w:hAnsiTheme="minorHAnsi"/>
        </w:rPr>
        <w:t>allow</w:t>
      </w:r>
      <w:r w:rsidR="004F04E2">
        <w:rPr>
          <w:rFonts w:asciiTheme="minorHAnsi" w:hAnsiTheme="minorHAnsi"/>
        </w:rPr>
        <w:t>s</w:t>
      </w:r>
      <w:r w:rsidRPr="008B0195">
        <w:rPr>
          <w:rFonts w:asciiTheme="minorHAnsi" w:hAnsiTheme="minorHAnsi"/>
        </w:rPr>
        <w:t xml:space="preserve"> the collection of comparative data over time and to promote continuous improvement. </w:t>
      </w:r>
    </w:p>
    <w:p w14:paraId="278A578C" w14:textId="2819759B" w:rsidR="009641EC" w:rsidRDefault="000D5B2F" w:rsidP="000D5B2F">
      <w:pPr>
        <w:pStyle w:val="ListBullet"/>
        <w:numPr>
          <w:ilvl w:val="0"/>
          <w:numId w:val="0"/>
        </w:numPr>
        <w:spacing w:before="60" w:after="0" w:line="240" w:lineRule="auto"/>
        <w:rPr>
          <w:rFonts w:asciiTheme="minorHAnsi" w:hAnsiTheme="minorHAnsi"/>
        </w:rPr>
      </w:pPr>
      <w:r w:rsidRPr="008B0195">
        <w:rPr>
          <w:rFonts w:asciiTheme="minorHAnsi" w:hAnsiTheme="minorHAnsi"/>
        </w:rPr>
        <w:t xml:space="preserve">The self-assessment requires regional NRM organisations </w:t>
      </w:r>
      <w:r w:rsidR="00E878C7" w:rsidRPr="008B0195">
        <w:rPr>
          <w:rFonts w:asciiTheme="minorHAnsi" w:hAnsiTheme="minorHAnsi"/>
        </w:rPr>
        <w:t xml:space="preserve">to make an </w:t>
      </w:r>
      <w:r w:rsidR="00E878C7" w:rsidRPr="00C7404E">
        <w:rPr>
          <w:rFonts w:asciiTheme="minorHAnsi" w:hAnsiTheme="minorHAnsi"/>
        </w:rPr>
        <w:t>assessment as to whether</w:t>
      </w:r>
      <w:r w:rsidR="00E878C7">
        <w:rPr>
          <w:rFonts w:asciiTheme="minorHAnsi" w:hAnsiTheme="minorHAnsi"/>
        </w:rPr>
        <w:t xml:space="preserve"> each expected practice has </w:t>
      </w:r>
      <w:r w:rsidR="006D523A">
        <w:rPr>
          <w:rFonts w:asciiTheme="minorHAnsi" w:hAnsiTheme="minorHAnsi"/>
        </w:rPr>
        <w:t xml:space="preserve">or has not </w:t>
      </w:r>
      <w:r w:rsidR="00E878C7">
        <w:rPr>
          <w:rFonts w:asciiTheme="minorHAnsi" w:hAnsiTheme="minorHAnsi"/>
        </w:rPr>
        <w:t>been met and to provide a short description on how and why th</w:t>
      </w:r>
      <w:r w:rsidR="00C7404E">
        <w:rPr>
          <w:rFonts w:asciiTheme="minorHAnsi" w:hAnsiTheme="minorHAnsi"/>
        </w:rPr>
        <w:t>is</w:t>
      </w:r>
      <w:r w:rsidR="00E878C7">
        <w:rPr>
          <w:rFonts w:asciiTheme="minorHAnsi" w:hAnsiTheme="minorHAnsi"/>
        </w:rPr>
        <w:t xml:space="preserve"> </w:t>
      </w:r>
      <w:r w:rsidR="001E05CB" w:rsidRPr="00C7404E">
        <w:rPr>
          <w:rFonts w:asciiTheme="minorHAnsi" w:hAnsiTheme="minorHAnsi"/>
        </w:rPr>
        <w:t>assessment has been reached. I</w:t>
      </w:r>
      <w:r w:rsidR="009641EC" w:rsidRPr="00C7404E">
        <w:rPr>
          <w:rFonts w:asciiTheme="minorHAnsi" w:hAnsiTheme="minorHAnsi"/>
        </w:rPr>
        <w:t>t</w:t>
      </w:r>
      <w:r w:rsidR="009641EC">
        <w:rPr>
          <w:rFonts w:asciiTheme="minorHAnsi" w:hAnsiTheme="minorHAnsi"/>
        </w:rPr>
        <w:t xml:space="preserve"> is important to take into account whether </w:t>
      </w:r>
      <w:r w:rsidR="009641EC" w:rsidRPr="00AF7611">
        <w:rPr>
          <w:rFonts w:asciiTheme="minorHAnsi" w:hAnsiTheme="minorHAnsi"/>
        </w:rPr>
        <w:t>supporting evidence</w:t>
      </w:r>
      <w:r w:rsidR="00C7404E">
        <w:rPr>
          <w:rFonts w:asciiTheme="minorHAnsi" w:hAnsiTheme="minorHAnsi"/>
        </w:rPr>
        <w:t xml:space="preserve"> </w:t>
      </w:r>
      <w:r w:rsidR="00FC4139">
        <w:rPr>
          <w:rFonts w:asciiTheme="minorHAnsi" w:hAnsiTheme="minorHAnsi"/>
        </w:rPr>
        <w:t>validates</w:t>
      </w:r>
      <w:r w:rsidR="001E05CB">
        <w:rPr>
          <w:rFonts w:asciiTheme="minorHAnsi" w:hAnsiTheme="minorHAnsi"/>
        </w:rPr>
        <w:t xml:space="preserve"> the assessment and is available on request</w:t>
      </w:r>
      <w:r w:rsidR="009641EC">
        <w:rPr>
          <w:rFonts w:asciiTheme="minorHAnsi" w:hAnsiTheme="minorHAnsi"/>
        </w:rPr>
        <w:t>.</w:t>
      </w:r>
      <w:r w:rsidR="00757ABC">
        <w:rPr>
          <w:rFonts w:asciiTheme="minorHAnsi" w:hAnsiTheme="minorHAnsi"/>
        </w:rPr>
        <w:t xml:space="preserve"> It is important to note that any supporting documents are </w:t>
      </w:r>
      <w:r w:rsidR="00757ABC" w:rsidRPr="00757ABC">
        <w:rPr>
          <w:rFonts w:asciiTheme="minorHAnsi" w:hAnsiTheme="minorHAnsi"/>
          <w:u w:val="single"/>
        </w:rPr>
        <w:t>not</w:t>
      </w:r>
      <w:r w:rsidR="00757ABC">
        <w:rPr>
          <w:rFonts w:asciiTheme="minorHAnsi" w:hAnsiTheme="minorHAnsi"/>
        </w:rPr>
        <w:t xml:space="preserve"> required to be provided at this stage and </w:t>
      </w:r>
      <w:r w:rsidR="00CC6935">
        <w:rPr>
          <w:rFonts w:asciiTheme="minorHAnsi" w:hAnsiTheme="minorHAnsi"/>
        </w:rPr>
        <w:t>cannot</w:t>
      </w:r>
      <w:r w:rsidR="00757ABC">
        <w:rPr>
          <w:rFonts w:asciiTheme="minorHAnsi" w:hAnsiTheme="minorHAnsi"/>
        </w:rPr>
        <w:t xml:space="preserve"> be attached to the </w:t>
      </w:r>
      <w:r w:rsidR="00FC4139">
        <w:rPr>
          <w:rFonts w:asciiTheme="minorHAnsi" w:hAnsiTheme="minorHAnsi"/>
        </w:rPr>
        <w:t>self-</w:t>
      </w:r>
      <w:r w:rsidR="00757ABC">
        <w:rPr>
          <w:rFonts w:asciiTheme="minorHAnsi" w:hAnsiTheme="minorHAnsi"/>
        </w:rPr>
        <w:t>assessment.</w:t>
      </w:r>
    </w:p>
    <w:p w14:paraId="278A578D" w14:textId="060B251D" w:rsidR="000A31D7" w:rsidRPr="001214C6" w:rsidRDefault="00B5593D" w:rsidP="000D5B2F">
      <w:pPr>
        <w:pStyle w:val="ListBullet"/>
        <w:numPr>
          <w:ilvl w:val="0"/>
          <w:numId w:val="0"/>
        </w:numPr>
        <w:spacing w:before="60" w:after="0" w:line="240" w:lineRule="auto"/>
        <w:rPr>
          <w:rFonts w:asciiTheme="minorHAnsi" w:hAnsiTheme="minorHAnsi"/>
        </w:rPr>
      </w:pPr>
      <w:r>
        <w:rPr>
          <w:rFonts w:asciiTheme="minorHAnsi" w:hAnsiTheme="minorHAnsi"/>
        </w:rPr>
        <w:t xml:space="preserve">Once the assessment against each expected practice has been </w:t>
      </w:r>
      <w:r w:rsidR="00FC4139">
        <w:rPr>
          <w:rFonts w:asciiTheme="minorHAnsi" w:hAnsiTheme="minorHAnsi"/>
        </w:rPr>
        <w:t xml:space="preserve">satisfactorily </w:t>
      </w:r>
      <w:r>
        <w:rPr>
          <w:rFonts w:asciiTheme="minorHAnsi" w:hAnsiTheme="minorHAnsi"/>
        </w:rPr>
        <w:t xml:space="preserve">completed, an overall assessment </w:t>
      </w:r>
      <w:r w:rsidR="00D84A11">
        <w:rPr>
          <w:rFonts w:asciiTheme="minorHAnsi" w:hAnsiTheme="minorHAnsi"/>
        </w:rPr>
        <w:t xml:space="preserve">of each performance expectation </w:t>
      </w:r>
      <w:r>
        <w:rPr>
          <w:rFonts w:asciiTheme="minorHAnsi" w:hAnsiTheme="minorHAnsi"/>
        </w:rPr>
        <w:t xml:space="preserve">will be </w:t>
      </w:r>
      <w:r w:rsidR="00E07E7D">
        <w:rPr>
          <w:rFonts w:asciiTheme="minorHAnsi" w:hAnsiTheme="minorHAnsi"/>
        </w:rPr>
        <w:t>calculated</w:t>
      </w:r>
      <w:r>
        <w:rPr>
          <w:rFonts w:asciiTheme="minorHAnsi" w:hAnsiTheme="minorHAnsi"/>
        </w:rPr>
        <w:t xml:space="preserve"> </w:t>
      </w:r>
      <w:r w:rsidR="000D5B2F" w:rsidRPr="008B0195">
        <w:rPr>
          <w:rFonts w:asciiTheme="minorHAnsi" w:hAnsiTheme="minorHAnsi"/>
        </w:rPr>
        <w:t>using the following scale:</w:t>
      </w:r>
    </w:p>
    <w:p w14:paraId="278A578E" w14:textId="77777777" w:rsidR="000A31D7" w:rsidRPr="001214C6" w:rsidRDefault="000A31D7" w:rsidP="00D45A8A">
      <w:pPr>
        <w:pStyle w:val="ListBullet"/>
        <w:numPr>
          <w:ilvl w:val="0"/>
          <w:numId w:val="8"/>
        </w:numPr>
        <w:spacing w:before="60" w:after="0" w:line="240" w:lineRule="auto"/>
        <w:ind w:left="567" w:hanging="210"/>
        <w:rPr>
          <w:rFonts w:asciiTheme="minorHAnsi" w:hAnsiTheme="minorHAnsi"/>
          <w:lang w:eastAsia="en-AU"/>
        </w:rPr>
      </w:pPr>
      <w:r w:rsidRPr="001214C6">
        <w:rPr>
          <w:rFonts w:asciiTheme="minorHAnsi" w:hAnsiTheme="minorHAnsi"/>
          <w:lang w:eastAsia="en-AU"/>
        </w:rPr>
        <w:lastRenderedPageBreak/>
        <w:t>Still to meet all expected practices</w:t>
      </w:r>
    </w:p>
    <w:p w14:paraId="278A578F" w14:textId="77777777" w:rsidR="000A31D7" w:rsidRPr="001214C6" w:rsidRDefault="000A31D7" w:rsidP="00D45A8A">
      <w:pPr>
        <w:pStyle w:val="ListBullet"/>
        <w:numPr>
          <w:ilvl w:val="0"/>
          <w:numId w:val="8"/>
        </w:numPr>
        <w:spacing w:after="0" w:line="240" w:lineRule="auto"/>
        <w:ind w:left="567" w:hanging="207"/>
        <w:rPr>
          <w:rFonts w:asciiTheme="minorHAnsi" w:hAnsiTheme="minorHAnsi"/>
          <w:lang w:eastAsia="en-AU"/>
        </w:rPr>
      </w:pPr>
      <w:r w:rsidRPr="001214C6">
        <w:rPr>
          <w:rFonts w:asciiTheme="minorHAnsi" w:hAnsiTheme="minorHAnsi"/>
          <w:lang w:eastAsia="en-AU"/>
        </w:rPr>
        <w:t>Meets all expected practices; and</w:t>
      </w:r>
    </w:p>
    <w:p w14:paraId="278A5790" w14:textId="77777777" w:rsidR="000A31D7" w:rsidRPr="001214C6" w:rsidRDefault="000A31D7" w:rsidP="00D45A8A">
      <w:pPr>
        <w:pStyle w:val="ListBullet"/>
        <w:numPr>
          <w:ilvl w:val="0"/>
          <w:numId w:val="8"/>
        </w:numPr>
        <w:spacing w:after="0" w:line="240" w:lineRule="auto"/>
        <w:ind w:left="567" w:hanging="207"/>
        <w:rPr>
          <w:rFonts w:asciiTheme="minorHAnsi" w:hAnsiTheme="minorHAnsi"/>
          <w:lang w:eastAsia="en-AU"/>
        </w:rPr>
      </w:pPr>
      <w:r w:rsidRPr="001214C6">
        <w:rPr>
          <w:rFonts w:asciiTheme="minorHAnsi" w:hAnsiTheme="minorHAnsi"/>
          <w:lang w:eastAsia="en-AU"/>
        </w:rPr>
        <w:t xml:space="preserve">Meets all expected practices and has </w:t>
      </w:r>
      <w:r w:rsidR="00E07E7D">
        <w:rPr>
          <w:rFonts w:asciiTheme="minorHAnsi" w:hAnsiTheme="minorHAnsi"/>
          <w:lang w:eastAsia="en-AU"/>
        </w:rPr>
        <w:t>additional</w:t>
      </w:r>
      <w:r w:rsidRPr="001214C6">
        <w:rPr>
          <w:rFonts w:asciiTheme="minorHAnsi" w:hAnsiTheme="minorHAnsi"/>
          <w:lang w:eastAsia="en-AU"/>
        </w:rPr>
        <w:t xml:space="preserve"> practices. </w:t>
      </w:r>
    </w:p>
    <w:p w14:paraId="278A57AF" w14:textId="77777777" w:rsidR="001B69E7" w:rsidRDefault="001B69E7" w:rsidP="009C1DEB">
      <w:pPr>
        <w:pStyle w:val="ListBullet"/>
        <w:numPr>
          <w:ilvl w:val="0"/>
          <w:numId w:val="0"/>
        </w:numPr>
        <w:spacing w:before="120" w:after="0" w:line="240" w:lineRule="auto"/>
        <w:rPr>
          <w:rFonts w:asciiTheme="minorHAnsi" w:hAnsiTheme="minorHAnsi"/>
        </w:rPr>
      </w:pPr>
      <w:r>
        <w:rPr>
          <w:rFonts w:asciiTheme="minorHAnsi" w:hAnsiTheme="minorHAnsi"/>
        </w:rPr>
        <w:t>R</w:t>
      </w:r>
      <w:r w:rsidRPr="008B0195">
        <w:rPr>
          <w:rFonts w:asciiTheme="minorHAnsi" w:hAnsiTheme="minorHAnsi"/>
        </w:rPr>
        <w:t xml:space="preserve">egional NRM organisations are encouraged to consult with their </w:t>
      </w:r>
      <w:r w:rsidR="00257D40">
        <w:rPr>
          <w:rFonts w:asciiTheme="minorHAnsi" w:hAnsiTheme="minorHAnsi"/>
        </w:rPr>
        <w:t>local community</w:t>
      </w:r>
      <w:r w:rsidRPr="008B0195">
        <w:rPr>
          <w:rFonts w:asciiTheme="minorHAnsi" w:hAnsiTheme="minorHAnsi"/>
        </w:rPr>
        <w:t xml:space="preserve"> in undertaking</w:t>
      </w:r>
      <w:r w:rsidR="00FB60FA">
        <w:rPr>
          <w:rFonts w:asciiTheme="minorHAnsi" w:hAnsiTheme="minorHAnsi"/>
        </w:rPr>
        <w:t xml:space="preserve"> relevant areas in</w:t>
      </w:r>
      <w:r w:rsidRPr="008B0195">
        <w:rPr>
          <w:rFonts w:asciiTheme="minorHAnsi" w:hAnsiTheme="minorHAnsi"/>
        </w:rPr>
        <w:t xml:space="preserve"> the self-assessment. Best practice would be to consult widely in completing the self-assessment.</w:t>
      </w:r>
      <w:r>
        <w:rPr>
          <w:rFonts w:asciiTheme="minorHAnsi" w:hAnsiTheme="minorHAnsi"/>
        </w:rPr>
        <w:t xml:space="preserve"> </w:t>
      </w:r>
    </w:p>
    <w:p w14:paraId="278A57B0" w14:textId="54BF334D" w:rsidR="000D5B2F" w:rsidRPr="008B0195" w:rsidRDefault="000D5B2F" w:rsidP="000D5B2F">
      <w:pPr>
        <w:pStyle w:val="ListBullet"/>
        <w:numPr>
          <w:ilvl w:val="0"/>
          <w:numId w:val="0"/>
        </w:numPr>
        <w:spacing w:before="60" w:after="0" w:line="240" w:lineRule="auto"/>
        <w:rPr>
          <w:rFonts w:asciiTheme="minorHAnsi" w:hAnsiTheme="minorHAnsi"/>
        </w:rPr>
      </w:pPr>
      <w:r w:rsidRPr="008B0195">
        <w:rPr>
          <w:rFonts w:asciiTheme="minorHAnsi" w:hAnsiTheme="minorHAnsi"/>
        </w:rPr>
        <w:t>It is recognised that with the</w:t>
      </w:r>
      <w:r w:rsidR="009C1DEB">
        <w:rPr>
          <w:rFonts w:asciiTheme="minorHAnsi" w:hAnsiTheme="minorHAnsi"/>
        </w:rPr>
        <w:t xml:space="preserve"> </w:t>
      </w:r>
      <w:r w:rsidR="00FC4139">
        <w:rPr>
          <w:rFonts w:asciiTheme="minorHAnsi" w:hAnsiTheme="minorHAnsi"/>
        </w:rPr>
        <w:t>2017</w:t>
      </w:r>
      <w:r w:rsidR="00FC4139" w:rsidRPr="008B0195">
        <w:rPr>
          <w:rFonts w:asciiTheme="minorHAnsi" w:hAnsiTheme="minorHAnsi"/>
        </w:rPr>
        <w:t xml:space="preserve"> </w:t>
      </w:r>
      <w:r w:rsidRPr="008B0195">
        <w:rPr>
          <w:rFonts w:asciiTheme="minorHAnsi" w:hAnsiTheme="minorHAnsi"/>
        </w:rPr>
        <w:t xml:space="preserve">revised performance expectations, </w:t>
      </w:r>
      <w:r w:rsidR="00FC4139">
        <w:rPr>
          <w:rFonts w:asciiTheme="minorHAnsi" w:hAnsiTheme="minorHAnsi"/>
        </w:rPr>
        <w:t xml:space="preserve">perhaps </w:t>
      </w:r>
      <w:r w:rsidRPr="008B0195">
        <w:rPr>
          <w:rFonts w:asciiTheme="minorHAnsi" w:hAnsiTheme="minorHAnsi"/>
        </w:rPr>
        <w:t xml:space="preserve">not all regions will meet the expected practices in their </w:t>
      </w:r>
      <w:r w:rsidR="00FC4139" w:rsidRPr="008B0195">
        <w:rPr>
          <w:rFonts w:asciiTheme="minorHAnsi" w:hAnsiTheme="minorHAnsi"/>
        </w:rPr>
        <w:t>201</w:t>
      </w:r>
      <w:r w:rsidR="00FC4139">
        <w:rPr>
          <w:rFonts w:asciiTheme="minorHAnsi" w:hAnsiTheme="minorHAnsi"/>
        </w:rPr>
        <w:t>7</w:t>
      </w:r>
      <w:r w:rsidR="00FC4139" w:rsidRPr="008B0195">
        <w:rPr>
          <w:rFonts w:asciiTheme="minorHAnsi" w:hAnsiTheme="minorHAnsi"/>
        </w:rPr>
        <w:t xml:space="preserve"> self</w:t>
      </w:r>
      <w:r w:rsidR="00FC4139">
        <w:rPr>
          <w:rFonts w:asciiTheme="minorHAnsi" w:hAnsiTheme="minorHAnsi"/>
        </w:rPr>
        <w:t>-</w:t>
      </w:r>
      <w:r w:rsidRPr="008B0195">
        <w:rPr>
          <w:rFonts w:asciiTheme="minorHAnsi" w:hAnsiTheme="minorHAnsi"/>
        </w:rPr>
        <w:t xml:space="preserve">assessment. Regional NRM organisations are encouraged to identify these areas in the </w:t>
      </w:r>
      <w:r w:rsidR="00FC4139" w:rsidRPr="008B0195">
        <w:rPr>
          <w:rFonts w:asciiTheme="minorHAnsi" w:hAnsiTheme="minorHAnsi"/>
        </w:rPr>
        <w:t>201</w:t>
      </w:r>
      <w:r w:rsidR="00FC4139">
        <w:rPr>
          <w:rFonts w:asciiTheme="minorHAnsi" w:hAnsiTheme="minorHAnsi"/>
        </w:rPr>
        <w:t>7</w:t>
      </w:r>
      <w:r w:rsidR="00FC4139" w:rsidRPr="008B0195">
        <w:rPr>
          <w:rFonts w:asciiTheme="minorHAnsi" w:hAnsiTheme="minorHAnsi"/>
        </w:rPr>
        <w:t xml:space="preserve"> self</w:t>
      </w:r>
      <w:r w:rsidR="00FC4139">
        <w:rPr>
          <w:rFonts w:asciiTheme="minorHAnsi" w:hAnsiTheme="minorHAnsi"/>
        </w:rPr>
        <w:t>-</w:t>
      </w:r>
      <w:r w:rsidRPr="008B0195">
        <w:rPr>
          <w:rFonts w:asciiTheme="minorHAnsi" w:hAnsiTheme="minorHAnsi"/>
        </w:rPr>
        <w:t xml:space="preserve">assessment as a demonstration of commitment to continuous improvement. </w:t>
      </w:r>
    </w:p>
    <w:p w14:paraId="278A57B1" w14:textId="77777777" w:rsidR="00CA10F7" w:rsidRPr="00963D1C" w:rsidRDefault="00CA10F7" w:rsidP="00757ABC">
      <w:pPr>
        <w:pStyle w:val="ListBullet"/>
        <w:numPr>
          <w:ilvl w:val="0"/>
          <w:numId w:val="0"/>
        </w:numPr>
        <w:shd w:val="clear" w:color="auto" w:fill="C2D69B" w:themeFill="accent3" w:themeFillTint="99"/>
        <w:spacing w:before="240" w:after="0" w:line="240" w:lineRule="auto"/>
        <w:rPr>
          <w:rFonts w:asciiTheme="minorHAnsi" w:hAnsiTheme="minorHAnsi"/>
          <w:sz w:val="8"/>
          <w:szCs w:val="8"/>
        </w:rPr>
      </w:pPr>
    </w:p>
    <w:p w14:paraId="278A57B2" w14:textId="461FF514" w:rsidR="00CA10F7" w:rsidRPr="00F00E56" w:rsidRDefault="006C0640" w:rsidP="00F00E56">
      <w:pPr>
        <w:pStyle w:val="ListBullet"/>
        <w:numPr>
          <w:ilvl w:val="0"/>
          <w:numId w:val="0"/>
        </w:numPr>
        <w:shd w:val="clear" w:color="auto" w:fill="C2D69B" w:themeFill="accent3" w:themeFillTint="99"/>
        <w:spacing w:after="0" w:line="240" w:lineRule="auto"/>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5.</w:t>
      </w:r>
      <w:r>
        <w:rPr>
          <w:rFonts w:asciiTheme="minorHAnsi" w:hAnsiTheme="minorHAnsi"/>
          <w:i/>
          <w:color w:val="4F6228" w:themeColor="accent3" w:themeShade="80"/>
          <w:sz w:val="28"/>
          <w:szCs w:val="28"/>
          <w:lang w:eastAsia="en-AU"/>
        </w:rPr>
        <w:tab/>
      </w:r>
      <w:r w:rsidR="00CA10F7" w:rsidRPr="00F00E56">
        <w:rPr>
          <w:rFonts w:asciiTheme="minorHAnsi" w:hAnsiTheme="minorHAnsi"/>
          <w:i/>
          <w:color w:val="4F6228" w:themeColor="accent3" w:themeShade="80"/>
          <w:sz w:val="28"/>
          <w:szCs w:val="28"/>
          <w:lang w:eastAsia="en-AU"/>
        </w:rPr>
        <w:t xml:space="preserve">Using the </w:t>
      </w:r>
      <w:r w:rsidR="00FC4139" w:rsidRPr="00F00E56">
        <w:rPr>
          <w:rFonts w:asciiTheme="minorHAnsi" w:hAnsiTheme="minorHAnsi"/>
          <w:i/>
          <w:color w:val="4F6228" w:themeColor="accent3" w:themeShade="80"/>
          <w:sz w:val="28"/>
          <w:szCs w:val="28"/>
          <w:lang w:eastAsia="en-AU"/>
        </w:rPr>
        <w:t>self</w:t>
      </w:r>
      <w:r w:rsidR="00FC4139">
        <w:rPr>
          <w:rFonts w:asciiTheme="minorHAnsi" w:hAnsiTheme="minorHAnsi"/>
          <w:i/>
          <w:color w:val="4F6228" w:themeColor="accent3" w:themeShade="80"/>
          <w:sz w:val="28"/>
          <w:szCs w:val="28"/>
          <w:lang w:eastAsia="en-AU"/>
        </w:rPr>
        <w:t>-</w:t>
      </w:r>
      <w:r w:rsidR="00CA10F7" w:rsidRPr="00F00E56">
        <w:rPr>
          <w:rFonts w:asciiTheme="minorHAnsi" w:hAnsiTheme="minorHAnsi"/>
          <w:i/>
          <w:color w:val="4F6228" w:themeColor="accent3" w:themeShade="80"/>
          <w:sz w:val="28"/>
          <w:szCs w:val="28"/>
          <w:lang w:eastAsia="en-AU"/>
        </w:rPr>
        <w:t>assessment form in MERIT</w:t>
      </w:r>
    </w:p>
    <w:p w14:paraId="278A57B3" w14:textId="77777777" w:rsidR="00CA10F7" w:rsidRPr="00963D1C" w:rsidRDefault="00CA10F7" w:rsidP="00757ABC">
      <w:pPr>
        <w:pStyle w:val="ListBullet"/>
        <w:numPr>
          <w:ilvl w:val="0"/>
          <w:numId w:val="0"/>
        </w:numPr>
        <w:shd w:val="clear" w:color="auto" w:fill="C2D69B" w:themeFill="accent3" w:themeFillTint="99"/>
        <w:spacing w:after="240" w:line="240" w:lineRule="auto"/>
        <w:rPr>
          <w:rFonts w:asciiTheme="minorHAnsi" w:hAnsiTheme="minorHAnsi"/>
          <w:b/>
          <w:color w:val="FFFFFF" w:themeColor="background1"/>
          <w:sz w:val="8"/>
          <w:szCs w:val="8"/>
        </w:rPr>
      </w:pPr>
    </w:p>
    <w:p w14:paraId="278A57B4" w14:textId="31863D71" w:rsidR="00873244" w:rsidRPr="00656FC5" w:rsidRDefault="00873244" w:rsidP="00873244">
      <w:pPr>
        <w:pStyle w:val="ListBullet"/>
        <w:numPr>
          <w:ilvl w:val="0"/>
          <w:numId w:val="0"/>
        </w:numPr>
        <w:spacing w:before="60" w:after="0" w:line="240" w:lineRule="auto"/>
        <w:rPr>
          <w:rFonts w:asciiTheme="minorHAnsi" w:hAnsiTheme="minorHAnsi"/>
        </w:rPr>
      </w:pPr>
      <w:r w:rsidRPr="00656FC5">
        <w:rPr>
          <w:rFonts w:asciiTheme="minorHAnsi" w:hAnsiTheme="minorHAnsi"/>
        </w:rPr>
        <w:t xml:space="preserve">The annual </w:t>
      </w:r>
      <w:r w:rsidR="00FC4139" w:rsidRPr="00656FC5">
        <w:rPr>
          <w:rFonts w:asciiTheme="minorHAnsi" w:hAnsiTheme="minorHAnsi"/>
        </w:rPr>
        <w:t>self</w:t>
      </w:r>
      <w:r w:rsidR="00FC4139">
        <w:rPr>
          <w:rFonts w:asciiTheme="minorHAnsi" w:hAnsiTheme="minorHAnsi"/>
        </w:rPr>
        <w:t>-</w:t>
      </w:r>
      <w:r w:rsidRPr="00656FC5">
        <w:rPr>
          <w:rFonts w:asciiTheme="minorHAnsi" w:hAnsiTheme="minorHAnsi"/>
        </w:rPr>
        <w:t xml:space="preserve">assessment will </w:t>
      </w:r>
      <w:r>
        <w:rPr>
          <w:rFonts w:asciiTheme="minorHAnsi" w:hAnsiTheme="minorHAnsi"/>
        </w:rPr>
        <w:t xml:space="preserve">be </w:t>
      </w:r>
      <w:r w:rsidR="00257D40">
        <w:rPr>
          <w:rFonts w:asciiTheme="minorHAnsi" w:hAnsiTheme="minorHAnsi"/>
        </w:rPr>
        <w:t xml:space="preserve">available under </w:t>
      </w:r>
      <w:r>
        <w:rPr>
          <w:rFonts w:asciiTheme="minorHAnsi" w:hAnsiTheme="minorHAnsi"/>
        </w:rPr>
        <w:t xml:space="preserve">each regions </w:t>
      </w:r>
      <w:r w:rsidRPr="00C7404E">
        <w:rPr>
          <w:rFonts w:asciiTheme="minorHAnsi" w:hAnsiTheme="minorHAnsi"/>
          <w:i/>
        </w:rPr>
        <w:t>‘Organisation page’</w:t>
      </w:r>
      <w:r>
        <w:rPr>
          <w:rFonts w:asciiTheme="minorHAnsi" w:hAnsiTheme="minorHAnsi"/>
        </w:rPr>
        <w:t xml:space="preserve"> in</w:t>
      </w:r>
      <w:r w:rsidRPr="00656FC5">
        <w:rPr>
          <w:rFonts w:asciiTheme="minorHAnsi" w:hAnsiTheme="minorHAnsi"/>
        </w:rPr>
        <w:t xml:space="preserve"> MERIT.</w:t>
      </w:r>
      <w:r>
        <w:rPr>
          <w:rFonts w:asciiTheme="minorHAnsi" w:hAnsiTheme="minorHAnsi"/>
        </w:rPr>
        <w:t xml:space="preserve"> To access the p</w:t>
      </w:r>
      <w:r w:rsidRPr="00656FC5">
        <w:rPr>
          <w:rFonts w:asciiTheme="minorHAnsi" w:hAnsiTheme="minorHAnsi"/>
        </w:rPr>
        <w:t xml:space="preserve">age the authorised person completing the </w:t>
      </w:r>
      <w:r w:rsidR="00FC4139" w:rsidRPr="00656FC5">
        <w:rPr>
          <w:rFonts w:asciiTheme="minorHAnsi" w:hAnsiTheme="minorHAnsi"/>
        </w:rPr>
        <w:t>self</w:t>
      </w:r>
      <w:r w:rsidR="00FC4139">
        <w:rPr>
          <w:rFonts w:asciiTheme="minorHAnsi" w:hAnsiTheme="minorHAnsi"/>
        </w:rPr>
        <w:t>-</w:t>
      </w:r>
      <w:r w:rsidRPr="00656FC5">
        <w:rPr>
          <w:rFonts w:asciiTheme="minorHAnsi" w:hAnsiTheme="minorHAnsi"/>
        </w:rPr>
        <w:t>assessment will need to be registered as a</w:t>
      </w:r>
      <w:r>
        <w:rPr>
          <w:rFonts w:asciiTheme="minorHAnsi" w:hAnsiTheme="minorHAnsi"/>
        </w:rPr>
        <w:t xml:space="preserve"> page</w:t>
      </w:r>
      <w:r w:rsidRPr="00656FC5">
        <w:rPr>
          <w:rFonts w:asciiTheme="minorHAnsi" w:hAnsiTheme="minorHAnsi"/>
        </w:rPr>
        <w:t xml:space="preserve"> Administrator. To check</w:t>
      </w:r>
      <w:r>
        <w:rPr>
          <w:rFonts w:asciiTheme="minorHAnsi" w:hAnsiTheme="minorHAnsi"/>
        </w:rPr>
        <w:t xml:space="preserve"> if you have appropriate access</w:t>
      </w:r>
      <w:r w:rsidRPr="00656FC5">
        <w:rPr>
          <w:rFonts w:asciiTheme="minorHAnsi" w:hAnsiTheme="minorHAnsi"/>
        </w:rPr>
        <w:t xml:space="preserve"> select the “My </w:t>
      </w:r>
      <w:r w:rsidR="00FC4139">
        <w:rPr>
          <w:rFonts w:asciiTheme="minorHAnsi" w:hAnsiTheme="minorHAnsi"/>
        </w:rPr>
        <w:t>O</w:t>
      </w:r>
      <w:r w:rsidR="00FC4139" w:rsidRPr="00656FC5">
        <w:rPr>
          <w:rFonts w:asciiTheme="minorHAnsi" w:hAnsiTheme="minorHAnsi"/>
        </w:rPr>
        <w:t>rganisation</w:t>
      </w:r>
      <w:r w:rsidRPr="00656FC5">
        <w:rPr>
          <w:rFonts w:asciiTheme="minorHAnsi" w:hAnsiTheme="minorHAnsi"/>
        </w:rPr>
        <w:t>” button on the MERIT toolbar. If no organisation is listed</w:t>
      </w:r>
      <w:r>
        <w:rPr>
          <w:rFonts w:asciiTheme="minorHAnsi" w:hAnsiTheme="minorHAnsi"/>
        </w:rPr>
        <w:t>, see example below,</w:t>
      </w:r>
      <w:r w:rsidRPr="00656FC5">
        <w:rPr>
          <w:rFonts w:asciiTheme="minorHAnsi" w:hAnsiTheme="minorHAnsi"/>
        </w:rPr>
        <w:t xml:space="preserve"> please contact </w:t>
      </w:r>
      <w:hyperlink r:id="rId9" w:history="1">
        <w:r w:rsidRPr="004D3636">
          <w:rPr>
            <w:rStyle w:val="Hyperlink"/>
            <w:rFonts w:asciiTheme="minorHAnsi" w:hAnsiTheme="minorHAnsi"/>
          </w:rPr>
          <w:t>MERIT@environment.gov.au</w:t>
        </w:r>
      </w:hyperlink>
      <w:r>
        <w:rPr>
          <w:rFonts w:asciiTheme="minorHAnsi" w:hAnsiTheme="minorHAnsi"/>
        </w:rPr>
        <w:t xml:space="preserve"> </w:t>
      </w:r>
      <w:r w:rsidRPr="00656FC5">
        <w:rPr>
          <w:rFonts w:asciiTheme="minorHAnsi" w:hAnsiTheme="minorHAnsi"/>
        </w:rPr>
        <w:t>to be provided access.</w:t>
      </w:r>
    </w:p>
    <w:p w14:paraId="278A57B5" w14:textId="77777777" w:rsidR="00873244" w:rsidRPr="0000691A" w:rsidRDefault="00873244" w:rsidP="00873244">
      <w:pPr>
        <w:pStyle w:val="ListBullet"/>
        <w:numPr>
          <w:ilvl w:val="0"/>
          <w:numId w:val="0"/>
        </w:numPr>
        <w:spacing w:before="60" w:after="0" w:line="240" w:lineRule="auto"/>
        <w:jc w:val="center"/>
        <w:rPr>
          <w:rFonts w:asciiTheme="minorHAnsi" w:hAnsiTheme="minorHAnsi"/>
          <w:color w:val="FF0000"/>
        </w:rPr>
      </w:pPr>
      <w:r>
        <w:rPr>
          <w:rFonts w:asciiTheme="minorHAnsi" w:hAnsiTheme="minorHAnsi"/>
          <w:noProof/>
          <w:color w:val="FF0000"/>
          <w:lang w:eastAsia="en-AU"/>
        </w:rPr>
        <w:drawing>
          <wp:inline distT="0" distB="0" distL="0" distR="0" wp14:anchorId="278A5804" wp14:editId="278A5805">
            <wp:extent cx="2084070" cy="14249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84070" cy="1424940"/>
                    </a:xfrm>
                    <a:prstGeom prst="rect">
                      <a:avLst/>
                    </a:prstGeom>
                    <a:noFill/>
                    <a:ln w="9525">
                      <a:noFill/>
                      <a:miter lim="800000"/>
                      <a:headEnd/>
                      <a:tailEnd/>
                    </a:ln>
                  </pic:spPr>
                </pic:pic>
              </a:graphicData>
            </a:graphic>
          </wp:inline>
        </w:drawing>
      </w:r>
    </w:p>
    <w:p w14:paraId="278A57B6" w14:textId="05EFF411" w:rsidR="00873244" w:rsidRPr="00873244" w:rsidRDefault="00873244" w:rsidP="00873244">
      <w:pPr>
        <w:pStyle w:val="ListBullet"/>
        <w:numPr>
          <w:ilvl w:val="0"/>
          <w:numId w:val="0"/>
        </w:numPr>
        <w:spacing w:before="240" w:after="120" w:line="240" w:lineRule="auto"/>
        <w:rPr>
          <w:rFonts w:asciiTheme="minorHAnsi" w:hAnsiTheme="minorHAnsi"/>
          <w:b/>
          <w:i/>
          <w:color w:val="76923C" w:themeColor="accent3" w:themeShade="BF"/>
          <w:sz w:val="24"/>
          <w:szCs w:val="24"/>
        </w:rPr>
      </w:pPr>
      <w:r>
        <w:rPr>
          <w:rFonts w:asciiTheme="minorHAnsi" w:hAnsiTheme="minorHAnsi"/>
          <w:b/>
          <w:i/>
          <w:color w:val="76923C" w:themeColor="accent3" w:themeShade="BF"/>
          <w:sz w:val="24"/>
          <w:szCs w:val="24"/>
        </w:rPr>
        <w:t>5.1</w:t>
      </w:r>
      <w:r>
        <w:rPr>
          <w:rFonts w:asciiTheme="minorHAnsi" w:hAnsiTheme="minorHAnsi"/>
          <w:b/>
          <w:i/>
          <w:color w:val="76923C" w:themeColor="accent3" w:themeShade="BF"/>
          <w:sz w:val="24"/>
          <w:szCs w:val="24"/>
        </w:rPr>
        <w:tab/>
      </w:r>
      <w:r w:rsidRPr="00873244">
        <w:rPr>
          <w:rFonts w:asciiTheme="minorHAnsi" w:hAnsiTheme="minorHAnsi"/>
          <w:b/>
          <w:i/>
          <w:color w:val="76923C" w:themeColor="accent3" w:themeShade="BF"/>
          <w:sz w:val="24"/>
          <w:szCs w:val="24"/>
        </w:rPr>
        <w:t xml:space="preserve">Accessing your </w:t>
      </w:r>
      <w:r w:rsidR="00FC4139" w:rsidRPr="00873244">
        <w:rPr>
          <w:rFonts w:asciiTheme="minorHAnsi" w:hAnsiTheme="minorHAnsi"/>
          <w:b/>
          <w:i/>
          <w:color w:val="76923C" w:themeColor="accent3" w:themeShade="BF"/>
          <w:sz w:val="24"/>
          <w:szCs w:val="24"/>
        </w:rPr>
        <w:t>Self</w:t>
      </w:r>
      <w:r w:rsidR="00FC4139">
        <w:rPr>
          <w:rFonts w:asciiTheme="minorHAnsi" w:hAnsiTheme="minorHAnsi"/>
          <w:b/>
          <w:i/>
          <w:color w:val="76923C" w:themeColor="accent3" w:themeShade="BF"/>
          <w:sz w:val="24"/>
          <w:szCs w:val="24"/>
        </w:rPr>
        <w:t>-</w:t>
      </w:r>
      <w:r w:rsidRPr="00873244">
        <w:rPr>
          <w:rFonts w:asciiTheme="minorHAnsi" w:hAnsiTheme="minorHAnsi"/>
          <w:b/>
          <w:i/>
          <w:color w:val="76923C" w:themeColor="accent3" w:themeShade="BF"/>
          <w:sz w:val="24"/>
          <w:szCs w:val="24"/>
        </w:rPr>
        <w:t>assessment form</w:t>
      </w:r>
    </w:p>
    <w:p w14:paraId="278A57B7" w14:textId="0FE4CBB9" w:rsidR="00873244" w:rsidRPr="00BF39E1" w:rsidRDefault="00873244" w:rsidP="00873244">
      <w:pPr>
        <w:pStyle w:val="ListBullet"/>
        <w:numPr>
          <w:ilvl w:val="0"/>
          <w:numId w:val="0"/>
        </w:numPr>
        <w:spacing w:before="60" w:after="0" w:line="240" w:lineRule="auto"/>
        <w:rPr>
          <w:rFonts w:asciiTheme="minorHAnsi" w:hAnsiTheme="minorHAnsi"/>
        </w:rPr>
      </w:pPr>
      <w:r>
        <w:rPr>
          <w:rFonts w:asciiTheme="minorHAnsi" w:hAnsiTheme="minorHAnsi"/>
        </w:rPr>
        <w:t>Once you have accessed the O</w:t>
      </w:r>
      <w:r w:rsidRPr="00BF39E1">
        <w:rPr>
          <w:rFonts w:asciiTheme="minorHAnsi" w:hAnsiTheme="minorHAnsi"/>
        </w:rPr>
        <w:t>rganisation</w:t>
      </w:r>
      <w:r>
        <w:rPr>
          <w:rFonts w:asciiTheme="minorHAnsi" w:hAnsiTheme="minorHAnsi"/>
        </w:rPr>
        <w:t xml:space="preserve"> page</w:t>
      </w:r>
      <w:r w:rsidRPr="00BF39E1">
        <w:rPr>
          <w:rFonts w:asciiTheme="minorHAnsi" w:hAnsiTheme="minorHAnsi"/>
        </w:rPr>
        <w:t xml:space="preserve"> the </w:t>
      </w:r>
      <w:r w:rsidR="00FC4139" w:rsidRPr="00BF39E1">
        <w:rPr>
          <w:rFonts w:asciiTheme="minorHAnsi" w:hAnsiTheme="minorHAnsi"/>
        </w:rPr>
        <w:t>self</w:t>
      </w:r>
      <w:r w:rsidR="00FC4139">
        <w:rPr>
          <w:rFonts w:asciiTheme="minorHAnsi" w:hAnsiTheme="minorHAnsi"/>
        </w:rPr>
        <w:t>-</w:t>
      </w:r>
      <w:r w:rsidRPr="00BF39E1">
        <w:rPr>
          <w:rFonts w:asciiTheme="minorHAnsi" w:hAnsiTheme="minorHAnsi"/>
        </w:rPr>
        <w:t xml:space="preserve">assessment form can be found on the reporting tab, see below. The reporting tab will be populated with 3 </w:t>
      </w:r>
      <w:r w:rsidR="00FC4139" w:rsidRPr="00BF39E1">
        <w:rPr>
          <w:rFonts w:asciiTheme="minorHAnsi" w:hAnsiTheme="minorHAnsi"/>
        </w:rPr>
        <w:t>self</w:t>
      </w:r>
      <w:r w:rsidR="00FC4139">
        <w:rPr>
          <w:rFonts w:asciiTheme="minorHAnsi" w:hAnsiTheme="minorHAnsi"/>
        </w:rPr>
        <w:t>-</w:t>
      </w:r>
      <w:r w:rsidRPr="00BF39E1">
        <w:rPr>
          <w:rFonts w:asciiTheme="minorHAnsi" w:hAnsiTheme="minorHAnsi"/>
        </w:rPr>
        <w:t>assessment forms for the periods:</w:t>
      </w:r>
    </w:p>
    <w:p w14:paraId="278A57B8" w14:textId="77777777" w:rsidR="00873244" w:rsidRPr="00BF39E1" w:rsidRDefault="00873244" w:rsidP="00950BEC">
      <w:pPr>
        <w:pStyle w:val="ListBullet"/>
        <w:numPr>
          <w:ilvl w:val="0"/>
          <w:numId w:val="8"/>
        </w:numPr>
        <w:spacing w:before="60" w:after="0" w:line="240" w:lineRule="auto"/>
        <w:ind w:left="567" w:hanging="210"/>
        <w:rPr>
          <w:rFonts w:asciiTheme="minorHAnsi" w:hAnsiTheme="minorHAnsi"/>
          <w:lang w:eastAsia="en-AU"/>
        </w:rPr>
      </w:pPr>
      <w:r w:rsidRPr="00BF39E1">
        <w:rPr>
          <w:rFonts w:asciiTheme="minorHAnsi" w:hAnsiTheme="minorHAnsi"/>
          <w:lang w:eastAsia="en-AU"/>
        </w:rPr>
        <w:t>2015-16</w:t>
      </w:r>
    </w:p>
    <w:p w14:paraId="278A57B9" w14:textId="77777777" w:rsidR="00873244" w:rsidRPr="00BF39E1" w:rsidRDefault="00873244" w:rsidP="00873244">
      <w:pPr>
        <w:pStyle w:val="ListBullet"/>
        <w:numPr>
          <w:ilvl w:val="0"/>
          <w:numId w:val="8"/>
        </w:numPr>
        <w:spacing w:after="0" w:line="240" w:lineRule="auto"/>
        <w:ind w:left="567" w:hanging="207"/>
        <w:rPr>
          <w:rFonts w:asciiTheme="minorHAnsi" w:hAnsiTheme="minorHAnsi"/>
          <w:lang w:eastAsia="en-AU"/>
        </w:rPr>
      </w:pPr>
      <w:r w:rsidRPr="00BF39E1">
        <w:rPr>
          <w:rFonts w:asciiTheme="minorHAnsi" w:hAnsiTheme="minorHAnsi"/>
          <w:lang w:eastAsia="en-AU"/>
        </w:rPr>
        <w:t>2016-17</w:t>
      </w:r>
    </w:p>
    <w:p w14:paraId="278A57BA" w14:textId="77777777" w:rsidR="00873244" w:rsidRDefault="00873244" w:rsidP="00873244">
      <w:pPr>
        <w:pStyle w:val="ListBullet"/>
        <w:numPr>
          <w:ilvl w:val="0"/>
          <w:numId w:val="8"/>
        </w:numPr>
        <w:spacing w:after="0" w:line="240" w:lineRule="auto"/>
        <w:ind w:left="567" w:hanging="207"/>
        <w:rPr>
          <w:rFonts w:asciiTheme="minorHAnsi" w:hAnsiTheme="minorHAnsi"/>
          <w:lang w:eastAsia="en-AU"/>
        </w:rPr>
      </w:pPr>
      <w:r w:rsidRPr="00BF39E1">
        <w:rPr>
          <w:rFonts w:asciiTheme="minorHAnsi" w:hAnsiTheme="minorHAnsi"/>
          <w:lang w:eastAsia="en-AU"/>
        </w:rPr>
        <w:t>2017-18</w:t>
      </w:r>
    </w:p>
    <w:p w14:paraId="278A57BB" w14:textId="77777777" w:rsidR="00413552" w:rsidRDefault="00413552" w:rsidP="00CA032B">
      <w:pPr>
        <w:pStyle w:val="ListBullet"/>
        <w:numPr>
          <w:ilvl w:val="0"/>
          <w:numId w:val="0"/>
        </w:numPr>
        <w:spacing w:before="60" w:after="120" w:line="240" w:lineRule="auto"/>
        <w:ind w:left="369" w:hanging="369"/>
        <w:rPr>
          <w:rFonts w:asciiTheme="minorHAnsi" w:hAnsiTheme="minorHAnsi"/>
        </w:rPr>
      </w:pPr>
    </w:p>
    <w:p w14:paraId="278A57BC" w14:textId="77777777" w:rsidR="00873244" w:rsidRDefault="00873244" w:rsidP="00CA032B">
      <w:pPr>
        <w:pStyle w:val="ListBullet"/>
        <w:numPr>
          <w:ilvl w:val="0"/>
          <w:numId w:val="0"/>
        </w:numPr>
        <w:spacing w:before="60" w:after="120" w:line="240" w:lineRule="auto"/>
        <w:ind w:left="369" w:hanging="369"/>
        <w:rPr>
          <w:rFonts w:asciiTheme="minorHAnsi" w:hAnsiTheme="minorHAnsi"/>
        </w:rPr>
      </w:pPr>
      <w:r w:rsidRPr="00BF39E1">
        <w:rPr>
          <w:rFonts w:asciiTheme="minorHAnsi" w:hAnsiTheme="minorHAnsi"/>
        </w:rPr>
        <w:t>To access the relevant report, click the hyperlink under the ‘Report’ heading, see red arrow below.</w:t>
      </w:r>
    </w:p>
    <w:p w14:paraId="63C8BC92" w14:textId="2BD1FC9D" w:rsidR="00DF0849" w:rsidRDefault="00DF0849" w:rsidP="00DF0849">
      <w:pPr>
        <w:pStyle w:val="ListBullet"/>
        <w:numPr>
          <w:ilvl w:val="0"/>
          <w:numId w:val="0"/>
        </w:numPr>
        <w:spacing w:before="60" w:after="120" w:line="240" w:lineRule="auto"/>
        <w:rPr>
          <w:rFonts w:asciiTheme="minorHAnsi" w:hAnsiTheme="minorHAnsi"/>
        </w:rPr>
      </w:pPr>
      <w:r>
        <w:rPr>
          <w:rFonts w:asciiTheme="minorHAnsi" w:hAnsiTheme="minorHAnsi"/>
        </w:rPr>
        <w:t xml:space="preserve">Please note that future reports and approved reports are hidden by default. If you wish to see them, deselect the ticks under </w:t>
      </w:r>
      <w:r w:rsidRPr="00DF0849">
        <w:rPr>
          <w:rFonts w:asciiTheme="minorHAnsi" w:hAnsiTheme="minorHAnsi"/>
          <w:i/>
        </w:rPr>
        <w:t>Date Due</w:t>
      </w:r>
      <w:r>
        <w:rPr>
          <w:rFonts w:asciiTheme="minorHAnsi" w:hAnsiTheme="minorHAnsi"/>
        </w:rPr>
        <w:t xml:space="preserve"> and </w:t>
      </w:r>
      <w:r w:rsidRPr="00DF0849">
        <w:rPr>
          <w:rFonts w:asciiTheme="minorHAnsi" w:hAnsiTheme="minorHAnsi"/>
          <w:i/>
        </w:rPr>
        <w:t>Status</w:t>
      </w:r>
      <w:r>
        <w:rPr>
          <w:rFonts w:asciiTheme="minorHAnsi" w:hAnsiTheme="minorHAnsi"/>
        </w:rPr>
        <w:t>.</w:t>
      </w:r>
    </w:p>
    <w:p w14:paraId="07D36CC7" w14:textId="77777777" w:rsidR="00DF0849" w:rsidRPr="00BF39E1" w:rsidRDefault="00DF0849" w:rsidP="00DF0849">
      <w:pPr>
        <w:pStyle w:val="ListBullet"/>
        <w:numPr>
          <w:ilvl w:val="0"/>
          <w:numId w:val="0"/>
        </w:numPr>
        <w:spacing w:before="60" w:after="120" w:line="240" w:lineRule="auto"/>
        <w:rPr>
          <w:rFonts w:asciiTheme="minorHAnsi" w:hAnsiTheme="minorHAnsi"/>
        </w:rPr>
      </w:pPr>
    </w:p>
    <w:p w14:paraId="278A57BD" w14:textId="77777777" w:rsidR="00873244" w:rsidRPr="00BF39E1" w:rsidRDefault="00873244" w:rsidP="00873244">
      <w:pPr>
        <w:pStyle w:val="ListBullet"/>
        <w:numPr>
          <w:ilvl w:val="0"/>
          <w:numId w:val="0"/>
        </w:numPr>
        <w:spacing w:before="60" w:after="0" w:line="240" w:lineRule="auto"/>
        <w:ind w:left="369" w:hanging="369"/>
        <w:rPr>
          <w:rFonts w:asciiTheme="minorHAnsi" w:hAnsiTheme="minorHAnsi"/>
        </w:rPr>
      </w:pPr>
      <w:r w:rsidRPr="00BF39E1">
        <w:rPr>
          <w:rFonts w:asciiTheme="minorHAnsi" w:hAnsiTheme="minorHAnsi"/>
          <w:noProof/>
          <w:lang w:eastAsia="en-AU"/>
        </w:rPr>
        <w:drawing>
          <wp:inline distT="0" distB="0" distL="0" distR="0" wp14:anchorId="278A5806" wp14:editId="278A5807">
            <wp:extent cx="6113780" cy="1467485"/>
            <wp:effectExtent l="19050" t="0" r="127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6113780" cy="1467485"/>
                    </a:xfrm>
                    <a:prstGeom prst="rect">
                      <a:avLst/>
                    </a:prstGeom>
                    <a:noFill/>
                    <a:ln w="9525">
                      <a:noFill/>
                      <a:miter lim="800000"/>
                      <a:headEnd/>
                      <a:tailEnd/>
                    </a:ln>
                  </pic:spPr>
                </pic:pic>
              </a:graphicData>
            </a:graphic>
          </wp:inline>
        </w:drawing>
      </w:r>
    </w:p>
    <w:p w14:paraId="278A57BE" w14:textId="77777777" w:rsidR="00873244" w:rsidRDefault="00873244" w:rsidP="00873244">
      <w:pPr>
        <w:pStyle w:val="ListBullet"/>
        <w:numPr>
          <w:ilvl w:val="0"/>
          <w:numId w:val="0"/>
        </w:numPr>
        <w:spacing w:before="60" w:after="0" w:line="240" w:lineRule="auto"/>
        <w:ind w:left="369" w:hanging="369"/>
        <w:rPr>
          <w:rFonts w:asciiTheme="minorHAnsi" w:hAnsiTheme="minorHAnsi"/>
        </w:rPr>
      </w:pPr>
      <w:r w:rsidRPr="00BF39E1">
        <w:rPr>
          <w:rFonts w:asciiTheme="minorHAnsi" w:hAnsiTheme="minorHAnsi"/>
        </w:rPr>
        <w:t xml:space="preserve">Further reports can be added in the future by selecting the </w:t>
      </w:r>
      <w:r w:rsidRPr="00BF39E1">
        <w:rPr>
          <w:rFonts w:asciiTheme="minorHAnsi" w:hAnsiTheme="minorHAnsi"/>
          <w:noProof/>
          <w:lang w:eastAsia="en-AU"/>
        </w:rPr>
        <w:drawing>
          <wp:inline distT="0" distB="0" distL="0" distR="0" wp14:anchorId="278A5808" wp14:editId="278A5809">
            <wp:extent cx="991043" cy="33054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991834" cy="330811"/>
                    </a:xfrm>
                    <a:prstGeom prst="rect">
                      <a:avLst/>
                    </a:prstGeom>
                    <a:noFill/>
                    <a:ln w="9525">
                      <a:noFill/>
                      <a:miter lim="800000"/>
                      <a:headEnd/>
                      <a:tailEnd/>
                    </a:ln>
                  </pic:spPr>
                </pic:pic>
              </a:graphicData>
            </a:graphic>
          </wp:inline>
        </w:drawing>
      </w:r>
      <w:r w:rsidRPr="00BF39E1">
        <w:rPr>
          <w:rFonts w:asciiTheme="minorHAnsi" w:hAnsiTheme="minorHAnsi"/>
        </w:rPr>
        <w:t xml:space="preserve"> button.</w:t>
      </w:r>
    </w:p>
    <w:p w14:paraId="31D4D2CD" w14:textId="77777777" w:rsidR="00DF0849" w:rsidRPr="00BF39E1" w:rsidRDefault="00DF0849" w:rsidP="00873244">
      <w:pPr>
        <w:pStyle w:val="ListBullet"/>
        <w:numPr>
          <w:ilvl w:val="0"/>
          <w:numId w:val="0"/>
        </w:numPr>
        <w:spacing w:before="60" w:after="0" w:line="240" w:lineRule="auto"/>
        <w:ind w:left="369" w:hanging="369"/>
        <w:rPr>
          <w:rFonts w:asciiTheme="minorHAnsi" w:hAnsiTheme="minorHAnsi"/>
        </w:rPr>
      </w:pPr>
    </w:p>
    <w:p w14:paraId="278A57BF" w14:textId="57682AEF" w:rsidR="00873244" w:rsidRPr="00CA032B" w:rsidRDefault="00CA032B" w:rsidP="00CA032B">
      <w:pPr>
        <w:pStyle w:val="ListBullet"/>
        <w:numPr>
          <w:ilvl w:val="0"/>
          <w:numId w:val="0"/>
        </w:numPr>
        <w:spacing w:before="240" w:after="120" w:line="240" w:lineRule="auto"/>
        <w:rPr>
          <w:rFonts w:asciiTheme="minorHAnsi" w:hAnsiTheme="minorHAnsi"/>
          <w:b/>
          <w:i/>
          <w:color w:val="76923C" w:themeColor="accent3" w:themeShade="BF"/>
          <w:sz w:val="24"/>
          <w:szCs w:val="24"/>
        </w:rPr>
      </w:pPr>
      <w:r>
        <w:rPr>
          <w:rFonts w:asciiTheme="minorHAnsi" w:hAnsiTheme="minorHAnsi"/>
          <w:b/>
          <w:i/>
          <w:color w:val="76923C" w:themeColor="accent3" w:themeShade="BF"/>
          <w:sz w:val="24"/>
          <w:szCs w:val="24"/>
        </w:rPr>
        <w:lastRenderedPageBreak/>
        <w:t>5.2</w:t>
      </w:r>
      <w:r>
        <w:rPr>
          <w:rFonts w:asciiTheme="minorHAnsi" w:hAnsiTheme="minorHAnsi"/>
          <w:b/>
          <w:i/>
          <w:color w:val="76923C" w:themeColor="accent3" w:themeShade="BF"/>
          <w:sz w:val="24"/>
          <w:szCs w:val="24"/>
        </w:rPr>
        <w:tab/>
      </w:r>
      <w:r w:rsidR="00873244" w:rsidRPr="00CA032B">
        <w:rPr>
          <w:rFonts w:asciiTheme="minorHAnsi" w:hAnsiTheme="minorHAnsi"/>
          <w:b/>
          <w:i/>
          <w:color w:val="76923C" w:themeColor="accent3" w:themeShade="BF"/>
          <w:sz w:val="24"/>
          <w:szCs w:val="24"/>
        </w:rPr>
        <w:t>Com</w:t>
      </w:r>
      <w:r>
        <w:rPr>
          <w:rFonts w:asciiTheme="minorHAnsi" w:hAnsiTheme="minorHAnsi"/>
          <w:b/>
          <w:i/>
          <w:color w:val="76923C" w:themeColor="accent3" w:themeShade="BF"/>
          <w:sz w:val="24"/>
          <w:szCs w:val="24"/>
        </w:rPr>
        <w:t>pleting</w:t>
      </w:r>
      <w:r w:rsidR="00873244" w:rsidRPr="00CA032B">
        <w:rPr>
          <w:rFonts w:asciiTheme="minorHAnsi" w:hAnsiTheme="minorHAnsi"/>
          <w:b/>
          <w:i/>
          <w:color w:val="76923C" w:themeColor="accent3" w:themeShade="BF"/>
          <w:sz w:val="24"/>
          <w:szCs w:val="24"/>
        </w:rPr>
        <w:t xml:space="preserve"> your </w:t>
      </w:r>
      <w:r w:rsidR="00FC4139" w:rsidRPr="00CA032B">
        <w:rPr>
          <w:rFonts w:asciiTheme="minorHAnsi" w:hAnsiTheme="minorHAnsi"/>
          <w:b/>
          <w:i/>
          <w:color w:val="76923C" w:themeColor="accent3" w:themeShade="BF"/>
          <w:sz w:val="24"/>
          <w:szCs w:val="24"/>
        </w:rPr>
        <w:t>Self</w:t>
      </w:r>
      <w:r w:rsidR="00FC4139">
        <w:rPr>
          <w:rFonts w:asciiTheme="minorHAnsi" w:hAnsiTheme="minorHAnsi"/>
          <w:b/>
          <w:i/>
          <w:color w:val="76923C" w:themeColor="accent3" w:themeShade="BF"/>
          <w:sz w:val="24"/>
          <w:szCs w:val="24"/>
        </w:rPr>
        <w:t>-</w:t>
      </w:r>
      <w:r w:rsidR="00873244" w:rsidRPr="00CA032B">
        <w:rPr>
          <w:rFonts w:asciiTheme="minorHAnsi" w:hAnsiTheme="minorHAnsi"/>
          <w:b/>
          <w:i/>
          <w:color w:val="76923C" w:themeColor="accent3" w:themeShade="BF"/>
          <w:sz w:val="24"/>
          <w:szCs w:val="24"/>
        </w:rPr>
        <w:t>assessment form</w:t>
      </w:r>
    </w:p>
    <w:p w14:paraId="594BF179" w14:textId="7CF1E270" w:rsidR="00860C79" w:rsidRPr="00C7404E" w:rsidRDefault="00860C79" w:rsidP="00C7404E">
      <w:pPr>
        <w:pStyle w:val="ListParagraph"/>
        <w:numPr>
          <w:ilvl w:val="0"/>
          <w:numId w:val="32"/>
        </w:numPr>
        <w:spacing w:before="60" w:after="0"/>
        <w:rPr>
          <w:rFonts w:asciiTheme="minorHAnsi" w:hAnsiTheme="minorHAnsi"/>
        </w:rPr>
      </w:pPr>
      <w:r w:rsidRPr="00C7404E">
        <w:rPr>
          <w:rFonts w:asciiTheme="minorHAnsi" w:hAnsiTheme="minorHAnsi"/>
        </w:rPr>
        <w:t xml:space="preserve">As word limits apply to each performance expectation response </w:t>
      </w:r>
      <w:r w:rsidR="00BC3525" w:rsidRPr="00C7404E">
        <w:rPr>
          <w:rFonts w:asciiTheme="minorHAnsi" w:hAnsiTheme="minorHAnsi"/>
          <w:i/>
        </w:rPr>
        <w:t xml:space="preserve">(up to 2,000 </w:t>
      </w:r>
      <w:r w:rsidRPr="00C7404E">
        <w:rPr>
          <w:rFonts w:asciiTheme="minorHAnsi" w:hAnsiTheme="minorHAnsi"/>
          <w:i/>
        </w:rPr>
        <w:t>characters</w:t>
      </w:r>
      <w:r w:rsidR="00BC3525" w:rsidRPr="00C7404E">
        <w:rPr>
          <w:rFonts w:asciiTheme="minorHAnsi" w:hAnsiTheme="minorHAnsi"/>
          <w:i/>
        </w:rPr>
        <w:t xml:space="preserve"> including spaces</w:t>
      </w:r>
      <w:r w:rsidRPr="00C7404E">
        <w:rPr>
          <w:rFonts w:asciiTheme="minorHAnsi" w:hAnsiTheme="minorHAnsi"/>
          <w:i/>
        </w:rPr>
        <w:t>)</w:t>
      </w:r>
      <w:r w:rsidRPr="00C7404E">
        <w:rPr>
          <w:rFonts w:asciiTheme="minorHAnsi" w:hAnsiTheme="minorHAnsi"/>
        </w:rPr>
        <w:t xml:space="preserve"> please keep you statements brief and where possible list evidence by dot points.</w:t>
      </w:r>
    </w:p>
    <w:p w14:paraId="278A57C0" w14:textId="17B159CC" w:rsidR="00873244" w:rsidRPr="00C608FF" w:rsidRDefault="00873244" w:rsidP="00C7404E">
      <w:pPr>
        <w:pStyle w:val="ListBullet"/>
        <w:numPr>
          <w:ilvl w:val="0"/>
          <w:numId w:val="32"/>
        </w:numPr>
        <w:spacing w:before="60" w:after="0" w:line="240" w:lineRule="auto"/>
        <w:rPr>
          <w:rFonts w:asciiTheme="minorHAnsi" w:hAnsiTheme="minorHAnsi"/>
        </w:rPr>
      </w:pPr>
      <w:r w:rsidRPr="00860C79">
        <w:rPr>
          <w:rFonts w:asciiTheme="minorHAnsi" w:hAnsiTheme="minorHAnsi"/>
        </w:rPr>
        <w:t xml:space="preserve">All </w:t>
      </w:r>
      <w:r w:rsidRPr="00C608FF">
        <w:rPr>
          <w:rFonts w:asciiTheme="minorHAnsi" w:hAnsiTheme="minorHAnsi"/>
        </w:rPr>
        <w:t>dropdown</w:t>
      </w:r>
      <w:r w:rsidR="00C608FF">
        <w:rPr>
          <w:rFonts w:asciiTheme="minorHAnsi" w:hAnsiTheme="minorHAnsi"/>
        </w:rPr>
        <w:t xml:space="preserve"> cell</w:t>
      </w:r>
      <w:r w:rsidRPr="00C608FF">
        <w:rPr>
          <w:rFonts w:asciiTheme="minorHAnsi" w:hAnsiTheme="minorHAnsi"/>
        </w:rPr>
        <w:t xml:space="preserve">s must have </w:t>
      </w:r>
      <w:proofErr w:type="gramStart"/>
      <w:r w:rsidRPr="00C608FF">
        <w:rPr>
          <w:rFonts w:asciiTheme="minorHAnsi" w:hAnsiTheme="minorHAnsi"/>
        </w:rPr>
        <w:t>either ‘</w:t>
      </w:r>
      <w:r w:rsidR="00C608FF">
        <w:rPr>
          <w:rFonts w:asciiTheme="minorHAnsi" w:hAnsiTheme="minorHAnsi"/>
        </w:rPr>
        <w:t>YES</w:t>
      </w:r>
      <w:r w:rsidR="00C608FF" w:rsidRPr="00C608FF">
        <w:rPr>
          <w:rFonts w:asciiTheme="minorHAnsi" w:hAnsiTheme="minorHAnsi"/>
        </w:rPr>
        <w:t xml:space="preserve">’ </w:t>
      </w:r>
      <w:r w:rsidR="00E07E7D" w:rsidRPr="00C608FF">
        <w:rPr>
          <w:rFonts w:asciiTheme="minorHAnsi" w:hAnsiTheme="minorHAnsi"/>
        </w:rPr>
        <w:t>or</w:t>
      </w:r>
      <w:r w:rsidRPr="00C608FF">
        <w:rPr>
          <w:rFonts w:asciiTheme="minorHAnsi" w:hAnsiTheme="minorHAnsi"/>
        </w:rPr>
        <w:t xml:space="preserve"> ‘</w:t>
      </w:r>
      <w:r w:rsidR="00C608FF">
        <w:rPr>
          <w:rFonts w:asciiTheme="minorHAnsi" w:hAnsiTheme="minorHAnsi"/>
        </w:rPr>
        <w:t>NO</w:t>
      </w:r>
      <w:r w:rsidR="00C608FF" w:rsidRPr="00C608FF">
        <w:rPr>
          <w:rFonts w:asciiTheme="minorHAnsi" w:hAnsiTheme="minorHAnsi"/>
        </w:rPr>
        <w:t xml:space="preserve">’ </w:t>
      </w:r>
      <w:r w:rsidRPr="00C608FF">
        <w:rPr>
          <w:rFonts w:asciiTheme="minorHAnsi" w:hAnsiTheme="minorHAnsi"/>
        </w:rPr>
        <w:t>selected and</w:t>
      </w:r>
      <w:proofErr w:type="gramEnd"/>
      <w:r w:rsidRPr="00C608FF">
        <w:rPr>
          <w:rFonts w:asciiTheme="minorHAnsi" w:hAnsiTheme="minorHAnsi"/>
        </w:rPr>
        <w:t xml:space="preserve"> all text boxes must contain information in order to submit the assessment. </w:t>
      </w:r>
      <w:r w:rsidR="00BC3525">
        <w:rPr>
          <w:rFonts w:asciiTheme="minorHAnsi" w:hAnsiTheme="minorHAnsi"/>
        </w:rPr>
        <w:t xml:space="preserve">The only </w:t>
      </w:r>
      <w:r w:rsidR="00E07E7D" w:rsidRPr="00C608FF">
        <w:rPr>
          <w:rFonts w:asciiTheme="minorHAnsi" w:hAnsiTheme="minorHAnsi"/>
        </w:rPr>
        <w:t xml:space="preserve">instance </w:t>
      </w:r>
      <w:r w:rsidR="002D1243" w:rsidRPr="00C608FF">
        <w:rPr>
          <w:rFonts w:asciiTheme="minorHAnsi" w:hAnsiTheme="minorHAnsi"/>
        </w:rPr>
        <w:t>‘NA’ is available for selection</w:t>
      </w:r>
      <w:r w:rsidR="00CA032B" w:rsidRPr="00860C79">
        <w:rPr>
          <w:rFonts w:asciiTheme="minorHAnsi" w:hAnsiTheme="minorHAnsi"/>
        </w:rPr>
        <w:t xml:space="preserve">, </w:t>
      </w:r>
      <w:r w:rsidR="00BC3525">
        <w:rPr>
          <w:rFonts w:asciiTheme="minorHAnsi" w:hAnsiTheme="minorHAnsi"/>
        </w:rPr>
        <w:t xml:space="preserve">is for </w:t>
      </w:r>
      <w:r w:rsidR="00CA032B" w:rsidRPr="00860C79">
        <w:rPr>
          <w:rFonts w:asciiTheme="minorHAnsi" w:hAnsiTheme="minorHAnsi"/>
        </w:rPr>
        <w:t xml:space="preserve">Kangaroo Island </w:t>
      </w:r>
      <w:r w:rsidR="00BC3525">
        <w:rPr>
          <w:rFonts w:asciiTheme="minorHAnsi" w:hAnsiTheme="minorHAnsi"/>
        </w:rPr>
        <w:t>who are</w:t>
      </w:r>
      <w:r w:rsidR="00BC3525" w:rsidRPr="00860C79">
        <w:rPr>
          <w:rFonts w:asciiTheme="minorHAnsi" w:hAnsiTheme="minorHAnsi"/>
        </w:rPr>
        <w:t xml:space="preserve"> </w:t>
      </w:r>
      <w:r w:rsidR="00CA032B" w:rsidRPr="00860C79">
        <w:rPr>
          <w:rFonts w:asciiTheme="minorHAnsi" w:hAnsiTheme="minorHAnsi"/>
        </w:rPr>
        <w:t xml:space="preserve">not required to meet any expected practices relating to Indigenous participation. </w:t>
      </w:r>
    </w:p>
    <w:p w14:paraId="278A57C1" w14:textId="49BB993C" w:rsidR="00434D72" w:rsidRPr="00B231E5" w:rsidRDefault="00873244" w:rsidP="00C7404E">
      <w:pPr>
        <w:pStyle w:val="ListBullet"/>
        <w:numPr>
          <w:ilvl w:val="0"/>
          <w:numId w:val="32"/>
        </w:numPr>
        <w:spacing w:before="60" w:after="0" w:line="240" w:lineRule="auto"/>
        <w:rPr>
          <w:rFonts w:asciiTheme="minorHAnsi" w:hAnsiTheme="minorHAnsi"/>
          <w:i/>
        </w:rPr>
      </w:pPr>
      <w:r w:rsidRPr="00860C79">
        <w:rPr>
          <w:rFonts w:asciiTheme="minorHAnsi" w:hAnsiTheme="minorHAnsi"/>
        </w:rPr>
        <w:t xml:space="preserve">Ensure adequate </w:t>
      </w:r>
      <w:r w:rsidR="00434D72" w:rsidRPr="00860C79">
        <w:rPr>
          <w:rFonts w:asciiTheme="minorHAnsi" w:hAnsiTheme="minorHAnsi"/>
        </w:rPr>
        <w:t xml:space="preserve">supporting </w:t>
      </w:r>
      <w:r w:rsidRPr="00860C79">
        <w:rPr>
          <w:rFonts w:asciiTheme="minorHAnsi" w:hAnsiTheme="minorHAnsi"/>
        </w:rPr>
        <w:t xml:space="preserve">evidence of your regions alignment to each practice </w:t>
      </w:r>
      <w:r w:rsidR="00434D72" w:rsidRPr="00860C79">
        <w:rPr>
          <w:rFonts w:asciiTheme="minorHAnsi" w:hAnsiTheme="minorHAnsi"/>
        </w:rPr>
        <w:t>is</w:t>
      </w:r>
      <w:r w:rsidRPr="00860C79">
        <w:rPr>
          <w:rFonts w:asciiTheme="minorHAnsi" w:hAnsiTheme="minorHAnsi"/>
        </w:rPr>
        <w:t xml:space="preserve"> cited to avoid repeat submissions being required. </w:t>
      </w:r>
      <w:r w:rsidR="00434D72" w:rsidRPr="00860C79">
        <w:rPr>
          <w:rFonts w:asciiTheme="minorHAnsi" w:hAnsiTheme="minorHAnsi"/>
        </w:rPr>
        <w:t>S</w:t>
      </w:r>
      <w:r w:rsidR="00CA032B" w:rsidRPr="00860C79">
        <w:rPr>
          <w:rFonts w:asciiTheme="minorHAnsi" w:hAnsiTheme="minorHAnsi"/>
        </w:rPr>
        <w:t xml:space="preserve">upporting evidence covers a range of reporting, documentation </w:t>
      </w:r>
      <w:r w:rsidR="00CA032B" w:rsidRPr="00B231E5">
        <w:rPr>
          <w:rFonts w:asciiTheme="minorHAnsi" w:hAnsiTheme="minorHAnsi"/>
        </w:rPr>
        <w:t>and compliance areas</w:t>
      </w:r>
      <w:r w:rsidR="00434D72" w:rsidRPr="00B231E5">
        <w:rPr>
          <w:rFonts w:asciiTheme="minorHAnsi" w:hAnsiTheme="minorHAnsi"/>
        </w:rPr>
        <w:t xml:space="preserve"> and examples </w:t>
      </w:r>
      <w:r w:rsidR="00B231E5" w:rsidRPr="00B231E5">
        <w:rPr>
          <w:rFonts w:asciiTheme="minorHAnsi" w:hAnsiTheme="minorHAnsi"/>
        </w:rPr>
        <w:t>can be found in the</w:t>
      </w:r>
      <w:r w:rsidR="00C86F94" w:rsidRPr="00B231E5">
        <w:rPr>
          <w:rFonts w:asciiTheme="minorHAnsi" w:hAnsiTheme="minorHAnsi"/>
        </w:rPr>
        <w:t xml:space="preserve"> </w:t>
      </w:r>
      <w:r w:rsidR="00B231E5" w:rsidRPr="00B231E5">
        <w:rPr>
          <w:rFonts w:asciiTheme="minorHAnsi" w:hAnsiTheme="minorHAnsi"/>
        </w:rPr>
        <w:t>document</w:t>
      </w:r>
      <w:r w:rsidR="00B231E5">
        <w:rPr>
          <w:rFonts w:asciiTheme="minorHAnsi" w:hAnsiTheme="minorHAnsi"/>
          <w:i/>
        </w:rPr>
        <w:t xml:space="preserve"> “</w:t>
      </w:r>
      <w:r w:rsidR="00B231E5" w:rsidRPr="00B231E5">
        <w:rPr>
          <w:rFonts w:asciiTheme="minorHAnsi" w:hAnsiTheme="minorHAnsi"/>
          <w:i/>
        </w:rPr>
        <w:t>2017 Expected Practices for Regional NRM Organisations - Supporting evidence required V1.0</w:t>
      </w:r>
      <w:r w:rsidR="00B231E5">
        <w:rPr>
          <w:rFonts w:asciiTheme="minorHAnsi" w:hAnsiTheme="minorHAnsi"/>
          <w:i/>
        </w:rPr>
        <w:t>”</w:t>
      </w:r>
      <w:r w:rsidR="00C86F94" w:rsidRPr="00B231E5">
        <w:rPr>
          <w:rFonts w:asciiTheme="minorHAnsi" w:hAnsiTheme="minorHAnsi"/>
          <w:i/>
        </w:rPr>
        <w:t>.</w:t>
      </w:r>
    </w:p>
    <w:p w14:paraId="278A57C2" w14:textId="48C2C9B7" w:rsidR="00873244" w:rsidRPr="00860C79" w:rsidRDefault="00873244" w:rsidP="00C7404E">
      <w:pPr>
        <w:pStyle w:val="ListBullet"/>
        <w:numPr>
          <w:ilvl w:val="0"/>
          <w:numId w:val="32"/>
        </w:numPr>
        <w:spacing w:before="60" w:after="0" w:line="240" w:lineRule="auto"/>
        <w:rPr>
          <w:rFonts w:asciiTheme="minorHAnsi" w:hAnsiTheme="minorHAnsi"/>
        </w:rPr>
      </w:pPr>
      <w:r w:rsidRPr="00860C79">
        <w:rPr>
          <w:rFonts w:asciiTheme="minorHAnsi" w:hAnsiTheme="minorHAnsi"/>
        </w:rPr>
        <w:t xml:space="preserve">It is recommended </w:t>
      </w:r>
      <w:r w:rsidR="001310B7">
        <w:rPr>
          <w:rFonts w:asciiTheme="minorHAnsi" w:hAnsiTheme="minorHAnsi"/>
        </w:rPr>
        <w:t>you</w:t>
      </w:r>
      <w:r w:rsidR="001310B7" w:rsidRPr="00860C79">
        <w:rPr>
          <w:rFonts w:asciiTheme="minorHAnsi" w:hAnsiTheme="minorHAnsi"/>
        </w:rPr>
        <w:t xml:space="preserve"> </w:t>
      </w:r>
      <w:r w:rsidRPr="00860C79">
        <w:rPr>
          <w:rFonts w:asciiTheme="minorHAnsi" w:hAnsiTheme="minorHAnsi"/>
        </w:rPr>
        <w:t>save regularly to avoid data loss should your internet connection temporarily go off line</w:t>
      </w:r>
      <w:r w:rsidR="00C86F94">
        <w:rPr>
          <w:rFonts w:asciiTheme="minorHAnsi" w:hAnsiTheme="minorHAnsi"/>
        </w:rPr>
        <w:t>.</w:t>
      </w:r>
    </w:p>
    <w:p w14:paraId="247AD2FB" w14:textId="7DAB67DE" w:rsidR="00CF1902" w:rsidRPr="00C7404E" w:rsidRDefault="00B3769C" w:rsidP="00C7404E">
      <w:pPr>
        <w:pStyle w:val="ListParagraph"/>
        <w:numPr>
          <w:ilvl w:val="0"/>
          <w:numId w:val="32"/>
        </w:numPr>
        <w:spacing w:before="60" w:after="0"/>
        <w:rPr>
          <w:rFonts w:asciiTheme="minorHAnsi" w:hAnsiTheme="minorHAnsi"/>
        </w:rPr>
      </w:pPr>
      <w:r w:rsidRPr="00C7404E">
        <w:rPr>
          <w:rFonts w:asciiTheme="minorHAnsi" w:hAnsiTheme="minorHAnsi"/>
        </w:rPr>
        <w:t>If your region has</w:t>
      </w:r>
      <w:r w:rsidR="00CF1902" w:rsidRPr="00C7404E">
        <w:rPr>
          <w:rFonts w:asciiTheme="minorHAnsi" w:hAnsiTheme="minorHAnsi"/>
        </w:rPr>
        <w:t xml:space="preserve"> completed a performance audit in the last 12 months</w:t>
      </w:r>
      <w:r w:rsidR="00CF1902" w:rsidRPr="00C47D11">
        <w:rPr>
          <w:rFonts w:asciiTheme="minorHAnsi" w:hAnsiTheme="minorHAnsi"/>
        </w:rPr>
        <w:t xml:space="preserve">, you </w:t>
      </w:r>
      <w:r w:rsidRPr="00C47D11">
        <w:rPr>
          <w:rFonts w:asciiTheme="minorHAnsi" w:hAnsiTheme="minorHAnsi"/>
        </w:rPr>
        <w:t>can</w:t>
      </w:r>
      <w:r w:rsidR="00CF1902" w:rsidRPr="00C7404E">
        <w:rPr>
          <w:rFonts w:asciiTheme="minorHAnsi" w:hAnsiTheme="minorHAnsi"/>
        </w:rPr>
        <w:t xml:space="preserve"> refer to the audit findings for each of the expected practices that were audited, including how any non-compliances or auditor observations are being addressed. All other expected practices will need to be addressed by detailing the </w:t>
      </w:r>
      <w:r w:rsidR="001310B7">
        <w:rPr>
          <w:rFonts w:asciiTheme="minorHAnsi" w:hAnsiTheme="minorHAnsi"/>
        </w:rPr>
        <w:t xml:space="preserve">activities and </w:t>
      </w:r>
      <w:r w:rsidR="00CF1902" w:rsidRPr="00C7404E">
        <w:rPr>
          <w:rFonts w:asciiTheme="minorHAnsi" w:hAnsiTheme="minorHAnsi"/>
        </w:rPr>
        <w:t>range of evidence that validates the self-assessment</w:t>
      </w:r>
      <w:r w:rsidR="001310B7">
        <w:rPr>
          <w:rFonts w:asciiTheme="minorHAnsi" w:hAnsiTheme="minorHAnsi"/>
        </w:rPr>
        <w:t xml:space="preserve"> rating</w:t>
      </w:r>
      <w:r w:rsidR="00CF1902" w:rsidRPr="00C7404E">
        <w:rPr>
          <w:rFonts w:asciiTheme="minorHAnsi" w:hAnsiTheme="minorHAnsi"/>
        </w:rPr>
        <w:t xml:space="preserve">. </w:t>
      </w:r>
    </w:p>
    <w:p w14:paraId="3B8287DD" w14:textId="75DC98A4" w:rsidR="00860C79" w:rsidRPr="00C7404E" w:rsidRDefault="00B3769C" w:rsidP="00C7404E">
      <w:pPr>
        <w:pStyle w:val="ListParagraph"/>
        <w:numPr>
          <w:ilvl w:val="0"/>
          <w:numId w:val="32"/>
        </w:numPr>
        <w:spacing w:before="60" w:after="0"/>
        <w:rPr>
          <w:rFonts w:asciiTheme="minorHAnsi" w:hAnsiTheme="minorHAnsi"/>
        </w:rPr>
      </w:pPr>
      <w:r w:rsidRPr="00C7404E">
        <w:rPr>
          <w:rFonts w:asciiTheme="minorHAnsi" w:hAnsiTheme="minorHAnsi"/>
        </w:rPr>
        <w:t>Where</w:t>
      </w:r>
      <w:r w:rsidR="00860C79" w:rsidRPr="00C7404E">
        <w:rPr>
          <w:rFonts w:asciiTheme="minorHAnsi" w:hAnsiTheme="minorHAnsi"/>
        </w:rPr>
        <w:t xml:space="preserve"> the previous 2016 response </w:t>
      </w:r>
      <w:r w:rsidR="00C608FF">
        <w:rPr>
          <w:rFonts w:asciiTheme="minorHAnsi" w:hAnsiTheme="minorHAnsi"/>
        </w:rPr>
        <w:t>in your self-assessment</w:t>
      </w:r>
      <w:r w:rsidR="00860C79" w:rsidRPr="00C7404E">
        <w:rPr>
          <w:rFonts w:asciiTheme="minorHAnsi" w:hAnsiTheme="minorHAnsi"/>
        </w:rPr>
        <w:t xml:space="preserve"> was considered acceptable by the State Team Grant Manager and there has been </w:t>
      </w:r>
      <w:r w:rsidR="00860C79" w:rsidRPr="00C7404E">
        <w:rPr>
          <w:rFonts w:asciiTheme="minorHAnsi" w:hAnsiTheme="minorHAnsi"/>
          <w:b/>
        </w:rPr>
        <w:t>no changes</w:t>
      </w:r>
      <w:r w:rsidR="00860C79" w:rsidRPr="00C7404E">
        <w:rPr>
          <w:rFonts w:asciiTheme="minorHAnsi" w:hAnsiTheme="minorHAnsi"/>
        </w:rPr>
        <w:t xml:space="preserve"> since then, simply reply with ‘No Change’ and </w:t>
      </w:r>
      <w:r w:rsidR="001310B7">
        <w:rPr>
          <w:rFonts w:asciiTheme="minorHAnsi" w:hAnsiTheme="minorHAnsi"/>
        </w:rPr>
        <w:t>rate the practice as</w:t>
      </w:r>
      <w:r w:rsidR="00860C79" w:rsidRPr="00C7404E">
        <w:rPr>
          <w:rFonts w:asciiTheme="minorHAnsi" w:hAnsiTheme="minorHAnsi"/>
        </w:rPr>
        <w:t xml:space="preserve"> </w:t>
      </w:r>
      <w:r w:rsidR="001310B7">
        <w:rPr>
          <w:rFonts w:asciiTheme="minorHAnsi" w:hAnsiTheme="minorHAnsi"/>
        </w:rPr>
        <w:t>‘</w:t>
      </w:r>
      <w:r w:rsidR="00860C79" w:rsidRPr="00C7404E">
        <w:rPr>
          <w:rFonts w:asciiTheme="minorHAnsi" w:hAnsiTheme="minorHAnsi"/>
        </w:rPr>
        <w:t>YES</w:t>
      </w:r>
      <w:r w:rsidR="001310B7">
        <w:rPr>
          <w:rFonts w:asciiTheme="minorHAnsi" w:hAnsiTheme="minorHAnsi"/>
        </w:rPr>
        <w:t>’</w:t>
      </w:r>
      <w:r w:rsidR="00860C79" w:rsidRPr="00C7404E">
        <w:rPr>
          <w:rFonts w:asciiTheme="minorHAnsi" w:hAnsiTheme="minorHAnsi"/>
        </w:rPr>
        <w:t xml:space="preserve">. </w:t>
      </w:r>
    </w:p>
    <w:p w14:paraId="57F856A0" w14:textId="7175DAAB" w:rsidR="00B3769C" w:rsidRPr="00C7404E" w:rsidRDefault="00860C79" w:rsidP="00C7404E">
      <w:pPr>
        <w:pStyle w:val="ListParagraph"/>
        <w:numPr>
          <w:ilvl w:val="0"/>
          <w:numId w:val="32"/>
        </w:numPr>
        <w:spacing w:before="60" w:after="0"/>
        <w:rPr>
          <w:rFonts w:asciiTheme="minorHAnsi" w:hAnsiTheme="minorHAnsi"/>
        </w:rPr>
      </w:pPr>
      <w:r w:rsidRPr="00C7404E">
        <w:rPr>
          <w:rFonts w:asciiTheme="minorHAnsi" w:hAnsiTheme="minorHAnsi"/>
        </w:rPr>
        <w:t xml:space="preserve">There is no need to copy </w:t>
      </w:r>
      <w:r w:rsidR="00F8023B">
        <w:rPr>
          <w:rFonts w:asciiTheme="minorHAnsi" w:hAnsiTheme="minorHAnsi"/>
        </w:rPr>
        <w:t xml:space="preserve">and paste </w:t>
      </w:r>
      <w:r w:rsidRPr="00C7404E">
        <w:rPr>
          <w:rFonts w:asciiTheme="minorHAnsi" w:hAnsiTheme="minorHAnsi"/>
        </w:rPr>
        <w:t>information from your 2016 self-assessment. Just</w:t>
      </w:r>
      <w:r w:rsidR="00F8023B">
        <w:rPr>
          <w:rFonts w:asciiTheme="minorHAnsi" w:hAnsiTheme="minorHAnsi"/>
        </w:rPr>
        <w:t xml:space="preserve"> respond with ‘As Per 2016 Response</w:t>
      </w:r>
      <w:r w:rsidR="001310B7">
        <w:rPr>
          <w:rFonts w:asciiTheme="minorHAnsi" w:hAnsiTheme="minorHAnsi"/>
        </w:rPr>
        <w:t xml:space="preserve"> plus…</w:t>
      </w:r>
      <w:r w:rsidR="00F8023B">
        <w:rPr>
          <w:rFonts w:asciiTheme="minorHAnsi" w:hAnsiTheme="minorHAnsi"/>
        </w:rPr>
        <w:t>’ and</w:t>
      </w:r>
      <w:r w:rsidRPr="00C7404E">
        <w:rPr>
          <w:rFonts w:asciiTheme="minorHAnsi" w:hAnsiTheme="minorHAnsi"/>
        </w:rPr>
        <w:t xml:space="preserve"> report any extra activities that demonstrate you meet the </w:t>
      </w:r>
      <w:r w:rsidR="00F8023B">
        <w:rPr>
          <w:rFonts w:asciiTheme="minorHAnsi" w:hAnsiTheme="minorHAnsi"/>
        </w:rPr>
        <w:t xml:space="preserve">expected </w:t>
      </w:r>
      <w:r w:rsidRPr="00C7404E">
        <w:rPr>
          <w:rFonts w:asciiTheme="minorHAnsi" w:hAnsiTheme="minorHAnsi"/>
        </w:rPr>
        <w:t xml:space="preserve">practice and list </w:t>
      </w:r>
      <w:r w:rsidR="00F8023B">
        <w:rPr>
          <w:rFonts w:asciiTheme="minorHAnsi" w:hAnsiTheme="minorHAnsi"/>
        </w:rPr>
        <w:t xml:space="preserve">any </w:t>
      </w:r>
      <w:r w:rsidR="00632BF5">
        <w:rPr>
          <w:rFonts w:asciiTheme="minorHAnsi" w:hAnsiTheme="minorHAnsi"/>
        </w:rPr>
        <w:t xml:space="preserve">new or </w:t>
      </w:r>
      <w:r w:rsidRPr="00C7404E">
        <w:rPr>
          <w:rFonts w:asciiTheme="minorHAnsi" w:hAnsiTheme="minorHAnsi"/>
        </w:rPr>
        <w:t>updated evidence in the 2017 self-assessment response.</w:t>
      </w:r>
    </w:p>
    <w:p w14:paraId="278A57C3" w14:textId="73FBA944" w:rsidR="00873244" w:rsidRPr="00CA032B" w:rsidRDefault="00CA032B" w:rsidP="00CA032B">
      <w:pPr>
        <w:pStyle w:val="ListBullet"/>
        <w:numPr>
          <w:ilvl w:val="0"/>
          <w:numId w:val="0"/>
        </w:numPr>
        <w:spacing w:before="240" w:after="120" w:line="240" w:lineRule="auto"/>
        <w:rPr>
          <w:rFonts w:asciiTheme="minorHAnsi" w:hAnsiTheme="minorHAnsi"/>
          <w:b/>
          <w:i/>
          <w:color w:val="76923C" w:themeColor="accent3" w:themeShade="BF"/>
          <w:sz w:val="24"/>
          <w:szCs w:val="24"/>
        </w:rPr>
      </w:pPr>
      <w:r>
        <w:rPr>
          <w:rFonts w:asciiTheme="minorHAnsi" w:hAnsiTheme="minorHAnsi"/>
          <w:b/>
          <w:i/>
          <w:color w:val="76923C" w:themeColor="accent3" w:themeShade="BF"/>
          <w:sz w:val="24"/>
          <w:szCs w:val="24"/>
        </w:rPr>
        <w:t>5.3</w:t>
      </w:r>
      <w:r>
        <w:rPr>
          <w:rFonts w:asciiTheme="minorHAnsi" w:hAnsiTheme="minorHAnsi"/>
          <w:b/>
          <w:i/>
          <w:color w:val="76923C" w:themeColor="accent3" w:themeShade="BF"/>
          <w:sz w:val="24"/>
          <w:szCs w:val="24"/>
        </w:rPr>
        <w:tab/>
      </w:r>
      <w:r w:rsidR="00873244" w:rsidRPr="00CA032B">
        <w:rPr>
          <w:rFonts w:asciiTheme="minorHAnsi" w:hAnsiTheme="minorHAnsi"/>
          <w:b/>
          <w:i/>
          <w:color w:val="76923C" w:themeColor="accent3" w:themeShade="BF"/>
          <w:sz w:val="24"/>
          <w:szCs w:val="24"/>
        </w:rPr>
        <w:t xml:space="preserve">Submit your </w:t>
      </w:r>
      <w:r w:rsidR="00FC4139" w:rsidRPr="00CA032B">
        <w:rPr>
          <w:rFonts w:asciiTheme="minorHAnsi" w:hAnsiTheme="minorHAnsi"/>
          <w:b/>
          <w:i/>
          <w:color w:val="76923C" w:themeColor="accent3" w:themeShade="BF"/>
          <w:sz w:val="24"/>
          <w:szCs w:val="24"/>
        </w:rPr>
        <w:t>Self</w:t>
      </w:r>
      <w:r w:rsidR="00FC4139">
        <w:rPr>
          <w:rFonts w:asciiTheme="minorHAnsi" w:hAnsiTheme="minorHAnsi"/>
          <w:b/>
          <w:i/>
          <w:color w:val="76923C" w:themeColor="accent3" w:themeShade="BF"/>
          <w:sz w:val="24"/>
          <w:szCs w:val="24"/>
        </w:rPr>
        <w:t>-</w:t>
      </w:r>
      <w:r w:rsidR="00873244" w:rsidRPr="00CA032B">
        <w:rPr>
          <w:rFonts w:asciiTheme="minorHAnsi" w:hAnsiTheme="minorHAnsi"/>
          <w:b/>
          <w:i/>
          <w:color w:val="76923C" w:themeColor="accent3" w:themeShade="BF"/>
          <w:sz w:val="24"/>
          <w:szCs w:val="24"/>
        </w:rPr>
        <w:t>assessment form</w:t>
      </w:r>
    </w:p>
    <w:p w14:paraId="278A57C4" w14:textId="53D71C88" w:rsidR="00873244" w:rsidRPr="00B231E5" w:rsidRDefault="00873244" w:rsidP="00873244">
      <w:pPr>
        <w:pStyle w:val="ListBullet"/>
        <w:numPr>
          <w:ilvl w:val="0"/>
          <w:numId w:val="0"/>
        </w:numPr>
        <w:spacing w:before="60" w:after="0" w:line="240" w:lineRule="auto"/>
        <w:rPr>
          <w:rFonts w:asciiTheme="minorHAnsi" w:hAnsiTheme="minorHAnsi"/>
        </w:rPr>
      </w:pPr>
      <w:r w:rsidRPr="00BF39E1">
        <w:rPr>
          <w:rFonts w:asciiTheme="minorHAnsi" w:hAnsiTheme="minorHAnsi"/>
        </w:rPr>
        <w:t>Submission of the form</w:t>
      </w:r>
      <w:r>
        <w:rPr>
          <w:rFonts w:asciiTheme="minorHAnsi" w:hAnsiTheme="minorHAnsi"/>
        </w:rPr>
        <w:t xml:space="preserve"> to the Department</w:t>
      </w:r>
      <w:r w:rsidRPr="00BF39E1">
        <w:rPr>
          <w:rFonts w:asciiTheme="minorHAnsi" w:hAnsiTheme="minorHAnsi"/>
        </w:rPr>
        <w:t xml:space="preserve"> is done via the Reporting tab. Submissions can only be made after the opening of </w:t>
      </w:r>
      <w:r w:rsidRPr="00B231E5">
        <w:rPr>
          <w:rFonts w:asciiTheme="minorHAnsi" w:hAnsiTheme="minorHAnsi"/>
        </w:rPr>
        <w:t>the reporting win</w:t>
      </w:r>
      <w:r w:rsidR="00434D72" w:rsidRPr="00B231E5">
        <w:rPr>
          <w:rFonts w:asciiTheme="minorHAnsi" w:hAnsiTheme="minorHAnsi"/>
        </w:rPr>
        <w:t xml:space="preserve">dow on the </w:t>
      </w:r>
      <w:r w:rsidR="00F8023B" w:rsidRPr="00B231E5">
        <w:rPr>
          <w:rFonts w:asciiTheme="minorHAnsi" w:hAnsiTheme="minorHAnsi"/>
        </w:rPr>
        <w:t>15 June 2017</w:t>
      </w:r>
      <w:r w:rsidR="00434D72" w:rsidRPr="00B231E5">
        <w:rPr>
          <w:rFonts w:asciiTheme="minorHAnsi" w:hAnsiTheme="minorHAnsi"/>
        </w:rPr>
        <w:t xml:space="preserve">. </w:t>
      </w:r>
    </w:p>
    <w:p w14:paraId="278A57C5" w14:textId="7E6E739B" w:rsidR="00873244" w:rsidRPr="00434D72" w:rsidRDefault="00434D72" w:rsidP="00434D72">
      <w:pPr>
        <w:pStyle w:val="ListBullet"/>
        <w:numPr>
          <w:ilvl w:val="0"/>
          <w:numId w:val="0"/>
        </w:numPr>
        <w:spacing w:before="240" w:after="120" w:line="240" w:lineRule="auto"/>
        <w:rPr>
          <w:rFonts w:asciiTheme="minorHAnsi" w:hAnsiTheme="minorHAnsi"/>
          <w:b/>
          <w:i/>
          <w:color w:val="76923C" w:themeColor="accent3" w:themeShade="BF"/>
          <w:sz w:val="24"/>
          <w:szCs w:val="24"/>
        </w:rPr>
      </w:pPr>
      <w:r w:rsidRPr="00B231E5">
        <w:rPr>
          <w:rFonts w:asciiTheme="minorHAnsi" w:hAnsiTheme="minorHAnsi"/>
          <w:b/>
          <w:i/>
          <w:color w:val="76923C" w:themeColor="accent3" w:themeShade="BF"/>
          <w:sz w:val="24"/>
          <w:szCs w:val="24"/>
        </w:rPr>
        <w:t>5.4</w:t>
      </w:r>
      <w:r w:rsidRPr="00B231E5">
        <w:rPr>
          <w:rFonts w:asciiTheme="minorHAnsi" w:hAnsiTheme="minorHAnsi"/>
          <w:b/>
          <w:i/>
          <w:color w:val="76923C" w:themeColor="accent3" w:themeShade="BF"/>
          <w:sz w:val="24"/>
          <w:szCs w:val="24"/>
        </w:rPr>
        <w:tab/>
      </w:r>
      <w:r w:rsidR="00873244" w:rsidRPr="00B231E5">
        <w:rPr>
          <w:rFonts w:asciiTheme="minorHAnsi" w:hAnsiTheme="minorHAnsi"/>
          <w:b/>
          <w:i/>
          <w:color w:val="76923C" w:themeColor="accent3" w:themeShade="BF"/>
          <w:sz w:val="24"/>
          <w:szCs w:val="24"/>
        </w:rPr>
        <w:t xml:space="preserve">Confirmation of your </w:t>
      </w:r>
      <w:r w:rsidR="00F8023B" w:rsidRPr="00B231E5">
        <w:rPr>
          <w:rFonts w:asciiTheme="minorHAnsi" w:hAnsiTheme="minorHAnsi"/>
          <w:b/>
          <w:i/>
          <w:color w:val="76923C" w:themeColor="accent3" w:themeShade="BF"/>
          <w:sz w:val="24"/>
          <w:szCs w:val="24"/>
        </w:rPr>
        <w:t>Self-</w:t>
      </w:r>
      <w:r w:rsidR="00873244" w:rsidRPr="00B231E5">
        <w:rPr>
          <w:rFonts w:asciiTheme="minorHAnsi" w:hAnsiTheme="minorHAnsi"/>
          <w:b/>
          <w:i/>
          <w:color w:val="76923C" w:themeColor="accent3" w:themeShade="BF"/>
          <w:sz w:val="24"/>
          <w:szCs w:val="24"/>
        </w:rPr>
        <w:t>assessment form</w:t>
      </w:r>
    </w:p>
    <w:p w14:paraId="278A57C6" w14:textId="3C1E093C" w:rsidR="00E71E7C" w:rsidRDefault="0072652F" w:rsidP="00E71E7C">
      <w:pPr>
        <w:pStyle w:val="ListBullet"/>
        <w:numPr>
          <w:ilvl w:val="0"/>
          <w:numId w:val="0"/>
        </w:numPr>
        <w:spacing w:before="60" w:after="0" w:line="240" w:lineRule="auto"/>
        <w:rPr>
          <w:rFonts w:asciiTheme="minorHAnsi" w:hAnsiTheme="minorHAnsi"/>
        </w:rPr>
      </w:pPr>
      <w:r>
        <w:rPr>
          <w:rFonts w:asciiTheme="minorHAnsi" w:hAnsiTheme="minorHAnsi"/>
        </w:rPr>
        <w:t>T</w:t>
      </w:r>
      <w:r w:rsidR="00E71E7C">
        <w:rPr>
          <w:rFonts w:asciiTheme="minorHAnsi" w:hAnsiTheme="minorHAnsi"/>
        </w:rPr>
        <w:t xml:space="preserve">he </w:t>
      </w:r>
      <w:r>
        <w:rPr>
          <w:rFonts w:asciiTheme="minorHAnsi" w:hAnsiTheme="minorHAnsi"/>
        </w:rPr>
        <w:t>Department</w:t>
      </w:r>
      <w:r w:rsidR="00E71E7C">
        <w:rPr>
          <w:rFonts w:asciiTheme="minorHAnsi" w:hAnsiTheme="minorHAnsi"/>
        </w:rPr>
        <w:t xml:space="preserve"> will undertake a</w:t>
      </w:r>
      <w:r w:rsidR="00E71E7C" w:rsidRPr="009956EA">
        <w:rPr>
          <w:rFonts w:asciiTheme="minorHAnsi" w:hAnsiTheme="minorHAnsi"/>
        </w:rPr>
        <w:t xml:space="preserve"> review of the </w:t>
      </w:r>
      <w:r w:rsidR="00FB60FA">
        <w:rPr>
          <w:rFonts w:asciiTheme="minorHAnsi" w:hAnsiTheme="minorHAnsi"/>
        </w:rPr>
        <w:t>submitted</w:t>
      </w:r>
      <w:r w:rsidR="00E71E7C">
        <w:rPr>
          <w:rFonts w:asciiTheme="minorHAnsi" w:hAnsiTheme="minorHAnsi"/>
        </w:rPr>
        <w:t xml:space="preserve"> </w:t>
      </w:r>
      <w:r w:rsidR="00F8023B" w:rsidRPr="009956EA">
        <w:rPr>
          <w:rFonts w:asciiTheme="minorHAnsi" w:hAnsiTheme="minorHAnsi"/>
        </w:rPr>
        <w:t>self</w:t>
      </w:r>
      <w:r w:rsidR="00F8023B">
        <w:rPr>
          <w:rFonts w:asciiTheme="minorHAnsi" w:hAnsiTheme="minorHAnsi"/>
        </w:rPr>
        <w:t>-</w:t>
      </w:r>
      <w:r w:rsidR="00E71E7C" w:rsidRPr="009D7F6B">
        <w:rPr>
          <w:rFonts w:asciiTheme="minorHAnsi" w:hAnsiTheme="minorHAnsi"/>
        </w:rPr>
        <w:t xml:space="preserve">assessments </w:t>
      </w:r>
      <w:r w:rsidR="00E71E7C">
        <w:rPr>
          <w:rFonts w:asciiTheme="minorHAnsi" w:hAnsiTheme="minorHAnsi"/>
        </w:rPr>
        <w:t xml:space="preserve">to ensure they have been </w:t>
      </w:r>
      <w:r w:rsidR="00F8023B">
        <w:rPr>
          <w:rFonts w:asciiTheme="minorHAnsi" w:hAnsiTheme="minorHAnsi"/>
        </w:rPr>
        <w:t xml:space="preserve">satisfactorily </w:t>
      </w:r>
      <w:r w:rsidR="00E71E7C">
        <w:rPr>
          <w:rFonts w:asciiTheme="minorHAnsi" w:hAnsiTheme="minorHAnsi"/>
        </w:rPr>
        <w:t xml:space="preserve">completed and whether further information is </w:t>
      </w:r>
      <w:r w:rsidR="00FB60FA">
        <w:rPr>
          <w:rFonts w:asciiTheme="minorHAnsi" w:hAnsiTheme="minorHAnsi"/>
        </w:rPr>
        <w:t xml:space="preserve">required. This review will be based on </w:t>
      </w:r>
      <w:r w:rsidR="00E71E7C">
        <w:rPr>
          <w:rFonts w:asciiTheme="minorHAnsi" w:hAnsiTheme="minorHAnsi"/>
        </w:rPr>
        <w:t xml:space="preserve">the </w:t>
      </w:r>
      <w:r>
        <w:rPr>
          <w:rFonts w:asciiTheme="minorHAnsi" w:hAnsiTheme="minorHAnsi"/>
        </w:rPr>
        <w:t>Department’s</w:t>
      </w:r>
      <w:r w:rsidR="00E71E7C">
        <w:rPr>
          <w:rFonts w:asciiTheme="minorHAnsi" w:hAnsiTheme="minorHAnsi"/>
        </w:rPr>
        <w:t xml:space="preserve"> understanding of the regional NRM organisation</w:t>
      </w:r>
      <w:r>
        <w:rPr>
          <w:rFonts w:asciiTheme="minorHAnsi" w:hAnsiTheme="minorHAnsi"/>
        </w:rPr>
        <w:t xml:space="preserve"> and </w:t>
      </w:r>
      <w:r w:rsidR="00FB60FA">
        <w:rPr>
          <w:rFonts w:asciiTheme="minorHAnsi" w:hAnsiTheme="minorHAnsi"/>
        </w:rPr>
        <w:t>the evidence</w:t>
      </w:r>
      <w:r w:rsidRPr="0072652F">
        <w:rPr>
          <w:rFonts w:asciiTheme="minorHAnsi" w:hAnsiTheme="minorHAnsi"/>
        </w:rPr>
        <w:t xml:space="preserve"> </w:t>
      </w:r>
      <w:r>
        <w:rPr>
          <w:rFonts w:asciiTheme="minorHAnsi" w:hAnsiTheme="minorHAnsi"/>
        </w:rPr>
        <w:t xml:space="preserve">cited </w:t>
      </w:r>
      <w:r w:rsidR="00FB60FA">
        <w:rPr>
          <w:rFonts w:asciiTheme="minorHAnsi" w:hAnsiTheme="minorHAnsi"/>
        </w:rPr>
        <w:t>to</w:t>
      </w:r>
      <w:r>
        <w:rPr>
          <w:rFonts w:asciiTheme="minorHAnsi" w:hAnsiTheme="minorHAnsi"/>
        </w:rPr>
        <w:t xml:space="preserve"> </w:t>
      </w:r>
      <w:r w:rsidRPr="008756F9">
        <w:rPr>
          <w:rFonts w:asciiTheme="minorHAnsi" w:hAnsiTheme="minorHAnsi"/>
        </w:rPr>
        <w:t xml:space="preserve">support each </w:t>
      </w:r>
      <w:r w:rsidR="00F8023B">
        <w:rPr>
          <w:rFonts w:asciiTheme="minorHAnsi" w:hAnsiTheme="minorHAnsi"/>
        </w:rPr>
        <w:t>self-</w:t>
      </w:r>
      <w:r w:rsidRPr="008756F9">
        <w:rPr>
          <w:rFonts w:asciiTheme="minorHAnsi" w:hAnsiTheme="minorHAnsi"/>
        </w:rPr>
        <w:t>assessment rating</w:t>
      </w:r>
      <w:r>
        <w:rPr>
          <w:rFonts w:asciiTheme="minorHAnsi" w:hAnsiTheme="minorHAnsi"/>
        </w:rPr>
        <w:t>.</w:t>
      </w:r>
    </w:p>
    <w:p w14:paraId="278A57C7" w14:textId="67550BDA" w:rsidR="00873244" w:rsidRDefault="00E71E7C" w:rsidP="00873244">
      <w:pPr>
        <w:pStyle w:val="ListBullet"/>
        <w:numPr>
          <w:ilvl w:val="0"/>
          <w:numId w:val="0"/>
        </w:numPr>
        <w:spacing w:before="60" w:after="0" w:line="240" w:lineRule="auto"/>
        <w:rPr>
          <w:rFonts w:asciiTheme="minorHAnsi" w:hAnsiTheme="minorHAnsi"/>
        </w:rPr>
      </w:pPr>
      <w:r w:rsidRPr="00BF39E1">
        <w:rPr>
          <w:rFonts w:asciiTheme="minorHAnsi" w:hAnsiTheme="minorHAnsi"/>
        </w:rPr>
        <w:t xml:space="preserve">Once reviewed by the Department </w:t>
      </w:r>
      <w:r w:rsidR="00BB62D6">
        <w:rPr>
          <w:rFonts w:asciiTheme="minorHAnsi" w:hAnsiTheme="minorHAnsi"/>
        </w:rPr>
        <w:t xml:space="preserve">regional NRM organisations </w:t>
      </w:r>
      <w:r w:rsidRPr="00BF39E1">
        <w:rPr>
          <w:rFonts w:asciiTheme="minorHAnsi" w:hAnsiTheme="minorHAnsi"/>
        </w:rPr>
        <w:t xml:space="preserve">will receive an email from MERIT notifying you that the </w:t>
      </w:r>
      <w:r w:rsidR="00632BF5" w:rsidRPr="00BF39E1">
        <w:rPr>
          <w:rFonts w:asciiTheme="minorHAnsi" w:hAnsiTheme="minorHAnsi"/>
        </w:rPr>
        <w:t>self</w:t>
      </w:r>
      <w:r w:rsidR="00632BF5">
        <w:rPr>
          <w:rFonts w:asciiTheme="minorHAnsi" w:hAnsiTheme="minorHAnsi"/>
        </w:rPr>
        <w:t>-</w:t>
      </w:r>
      <w:r w:rsidRPr="00BF39E1">
        <w:rPr>
          <w:rFonts w:asciiTheme="minorHAnsi" w:hAnsiTheme="minorHAnsi"/>
        </w:rPr>
        <w:t>assessment rankings have been ‘confirmed’ or</w:t>
      </w:r>
      <w:r>
        <w:rPr>
          <w:rFonts w:asciiTheme="minorHAnsi" w:hAnsiTheme="minorHAnsi"/>
        </w:rPr>
        <w:t>,</w:t>
      </w:r>
      <w:r w:rsidRPr="00BF39E1">
        <w:rPr>
          <w:rFonts w:asciiTheme="minorHAnsi" w:hAnsiTheme="minorHAnsi"/>
        </w:rPr>
        <w:t xml:space="preserve"> that ‘more information’ is required to allow confirmation.</w:t>
      </w:r>
    </w:p>
    <w:p w14:paraId="278A57C8" w14:textId="44B487DB" w:rsidR="008D6DD2" w:rsidRDefault="008D6DD2" w:rsidP="00873244">
      <w:pPr>
        <w:pStyle w:val="ListBullet"/>
        <w:numPr>
          <w:ilvl w:val="0"/>
          <w:numId w:val="0"/>
        </w:numPr>
        <w:spacing w:before="60" w:after="0" w:line="240" w:lineRule="auto"/>
        <w:rPr>
          <w:rFonts w:asciiTheme="minorHAnsi" w:hAnsiTheme="minorHAnsi"/>
        </w:rPr>
      </w:pPr>
      <w:r>
        <w:rPr>
          <w:rFonts w:asciiTheme="minorHAnsi" w:hAnsiTheme="minorHAnsi"/>
        </w:rPr>
        <w:t xml:space="preserve">Note that the </w:t>
      </w:r>
      <w:r w:rsidR="00632BF5">
        <w:rPr>
          <w:rFonts w:asciiTheme="minorHAnsi" w:hAnsiTheme="minorHAnsi"/>
        </w:rPr>
        <w:t>self-</w:t>
      </w:r>
      <w:r>
        <w:rPr>
          <w:rFonts w:asciiTheme="minorHAnsi" w:hAnsiTheme="minorHAnsi"/>
        </w:rPr>
        <w:t>assessments have not been verified by the Australian Government and may be amended after a performance audit. Further details on performance audits is available in Section 6.</w:t>
      </w:r>
    </w:p>
    <w:p w14:paraId="278A57D9" w14:textId="77777777" w:rsidR="00AC1C09" w:rsidRPr="00F00E56" w:rsidRDefault="00AC1C09" w:rsidP="00757ABC">
      <w:pPr>
        <w:pStyle w:val="ListBullet"/>
        <w:numPr>
          <w:ilvl w:val="0"/>
          <w:numId w:val="0"/>
        </w:numPr>
        <w:shd w:val="clear" w:color="auto" w:fill="C2D69B" w:themeFill="accent3" w:themeFillTint="99"/>
        <w:spacing w:before="240" w:after="0" w:line="240" w:lineRule="auto"/>
        <w:rPr>
          <w:rFonts w:asciiTheme="minorHAnsi" w:hAnsiTheme="minorHAnsi"/>
          <w:color w:val="4F6228" w:themeColor="accent3" w:themeShade="80"/>
          <w:sz w:val="8"/>
          <w:szCs w:val="8"/>
        </w:rPr>
      </w:pPr>
    </w:p>
    <w:p w14:paraId="278A57DA" w14:textId="77777777" w:rsidR="00F30005" w:rsidRPr="00F00E56" w:rsidRDefault="00F30005" w:rsidP="00F30005">
      <w:pPr>
        <w:pStyle w:val="ListBullet"/>
        <w:numPr>
          <w:ilvl w:val="0"/>
          <w:numId w:val="0"/>
        </w:numPr>
        <w:shd w:val="clear" w:color="auto" w:fill="C2D69B" w:themeFill="accent3" w:themeFillTint="99"/>
        <w:spacing w:after="0" w:line="240" w:lineRule="auto"/>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6.</w:t>
      </w:r>
      <w:r>
        <w:rPr>
          <w:rFonts w:asciiTheme="minorHAnsi" w:hAnsiTheme="minorHAnsi"/>
          <w:i/>
          <w:color w:val="4F6228" w:themeColor="accent3" w:themeShade="80"/>
          <w:sz w:val="28"/>
          <w:szCs w:val="28"/>
          <w:lang w:eastAsia="en-AU"/>
        </w:rPr>
        <w:tab/>
        <w:t>Performance Audits</w:t>
      </w:r>
    </w:p>
    <w:p w14:paraId="278A57DB" w14:textId="77777777" w:rsidR="00AC1C09" w:rsidRPr="00F00E56" w:rsidRDefault="00AC1C09" w:rsidP="00757ABC">
      <w:pPr>
        <w:pStyle w:val="ListBullet"/>
        <w:numPr>
          <w:ilvl w:val="0"/>
          <w:numId w:val="0"/>
        </w:numPr>
        <w:shd w:val="clear" w:color="auto" w:fill="C2D69B" w:themeFill="accent3" w:themeFillTint="99"/>
        <w:spacing w:after="240" w:line="240" w:lineRule="auto"/>
        <w:rPr>
          <w:rFonts w:asciiTheme="minorHAnsi" w:hAnsiTheme="minorHAnsi"/>
          <w:b/>
          <w:color w:val="4F6228" w:themeColor="accent3" w:themeShade="80"/>
          <w:sz w:val="8"/>
          <w:szCs w:val="8"/>
        </w:rPr>
      </w:pPr>
    </w:p>
    <w:p w14:paraId="278A57DC" w14:textId="3BBF6B91" w:rsidR="00601F44" w:rsidRDefault="009111D0" w:rsidP="009111D0">
      <w:pPr>
        <w:pStyle w:val="ListBullet"/>
        <w:numPr>
          <w:ilvl w:val="0"/>
          <w:numId w:val="0"/>
        </w:numPr>
        <w:spacing w:before="60" w:after="0" w:line="240" w:lineRule="auto"/>
        <w:rPr>
          <w:rFonts w:asciiTheme="minorHAnsi" w:hAnsiTheme="minorHAnsi"/>
        </w:rPr>
      </w:pPr>
      <w:r>
        <w:rPr>
          <w:rFonts w:asciiTheme="minorHAnsi" w:hAnsiTheme="minorHAnsi"/>
        </w:rPr>
        <w:t>P</w:t>
      </w:r>
      <w:r w:rsidR="00C70BF2" w:rsidRPr="009D7F6B">
        <w:rPr>
          <w:rFonts w:asciiTheme="minorHAnsi" w:hAnsiTheme="minorHAnsi"/>
        </w:rPr>
        <w:t xml:space="preserve">erformance </w:t>
      </w:r>
      <w:r w:rsidR="00B648BC">
        <w:rPr>
          <w:rFonts w:asciiTheme="minorHAnsi" w:hAnsiTheme="minorHAnsi"/>
        </w:rPr>
        <w:t xml:space="preserve">audits </w:t>
      </w:r>
      <w:r w:rsidR="00C70BF2" w:rsidRPr="009D7F6B">
        <w:rPr>
          <w:rFonts w:asciiTheme="minorHAnsi" w:hAnsiTheme="minorHAnsi"/>
        </w:rPr>
        <w:t xml:space="preserve">will be conducted </w:t>
      </w:r>
      <w:r>
        <w:rPr>
          <w:rFonts w:asciiTheme="minorHAnsi" w:hAnsiTheme="minorHAnsi"/>
        </w:rPr>
        <w:t xml:space="preserve">annually </w:t>
      </w:r>
      <w:r w:rsidR="00C70BF2" w:rsidRPr="009D7F6B">
        <w:rPr>
          <w:rFonts w:asciiTheme="minorHAnsi" w:hAnsiTheme="minorHAnsi"/>
        </w:rPr>
        <w:t xml:space="preserve">by the </w:t>
      </w:r>
      <w:r>
        <w:rPr>
          <w:rFonts w:asciiTheme="minorHAnsi" w:hAnsiTheme="minorHAnsi"/>
        </w:rPr>
        <w:t>Australian Government</w:t>
      </w:r>
      <w:r w:rsidR="00C70BF2" w:rsidRPr="009D7F6B">
        <w:rPr>
          <w:rFonts w:asciiTheme="minorHAnsi" w:hAnsiTheme="minorHAnsi"/>
        </w:rPr>
        <w:t xml:space="preserve"> for a sample group of regional NRM organisations</w:t>
      </w:r>
      <w:r w:rsidR="00B648BC">
        <w:rPr>
          <w:rFonts w:asciiTheme="minorHAnsi" w:hAnsiTheme="minorHAnsi"/>
        </w:rPr>
        <w:t>. These will</w:t>
      </w:r>
      <w:r w:rsidR="00C70BF2" w:rsidRPr="009D7F6B">
        <w:rPr>
          <w:rFonts w:asciiTheme="minorHAnsi" w:hAnsiTheme="minorHAnsi"/>
        </w:rPr>
        <w:t xml:space="preserve"> validate </w:t>
      </w:r>
      <w:r>
        <w:rPr>
          <w:rFonts w:asciiTheme="minorHAnsi" w:hAnsiTheme="minorHAnsi"/>
        </w:rPr>
        <w:t xml:space="preserve">a </w:t>
      </w:r>
      <w:r w:rsidR="00C70BF2" w:rsidRPr="009D7F6B">
        <w:rPr>
          <w:rFonts w:asciiTheme="minorHAnsi" w:hAnsiTheme="minorHAnsi"/>
        </w:rPr>
        <w:t xml:space="preserve">regional NRM organisations’ </w:t>
      </w:r>
      <w:r w:rsidR="00C70BF2">
        <w:rPr>
          <w:rFonts w:asciiTheme="minorHAnsi" w:hAnsiTheme="minorHAnsi"/>
        </w:rPr>
        <w:t>s</w:t>
      </w:r>
      <w:r w:rsidR="00C70BF2" w:rsidRPr="009D7F6B">
        <w:rPr>
          <w:rFonts w:asciiTheme="minorHAnsi" w:hAnsiTheme="minorHAnsi"/>
        </w:rPr>
        <w:t>elf-</w:t>
      </w:r>
      <w:r w:rsidR="00C70BF2">
        <w:rPr>
          <w:rFonts w:asciiTheme="minorHAnsi" w:hAnsiTheme="minorHAnsi"/>
        </w:rPr>
        <w:t>a</w:t>
      </w:r>
      <w:r w:rsidR="00C70BF2" w:rsidRPr="009D7F6B">
        <w:rPr>
          <w:rFonts w:asciiTheme="minorHAnsi" w:hAnsiTheme="minorHAnsi"/>
        </w:rPr>
        <w:t>ssessment</w:t>
      </w:r>
      <w:r w:rsidR="003D73B4">
        <w:rPr>
          <w:rFonts w:asciiTheme="minorHAnsi" w:hAnsiTheme="minorHAnsi"/>
        </w:rPr>
        <w:t xml:space="preserve"> and </w:t>
      </w:r>
      <w:r w:rsidRPr="009D7F6B">
        <w:rPr>
          <w:rFonts w:asciiTheme="minorHAnsi" w:hAnsiTheme="minorHAnsi"/>
        </w:rPr>
        <w:t>help the A</w:t>
      </w:r>
      <w:r>
        <w:rPr>
          <w:rFonts w:asciiTheme="minorHAnsi" w:hAnsiTheme="minorHAnsi"/>
        </w:rPr>
        <w:t xml:space="preserve">ustralian </w:t>
      </w:r>
      <w:r w:rsidRPr="009D7F6B">
        <w:rPr>
          <w:rFonts w:asciiTheme="minorHAnsi" w:hAnsiTheme="minorHAnsi"/>
        </w:rPr>
        <w:t>G</w:t>
      </w:r>
      <w:r>
        <w:rPr>
          <w:rFonts w:asciiTheme="minorHAnsi" w:hAnsiTheme="minorHAnsi"/>
        </w:rPr>
        <w:t>overnment</w:t>
      </w:r>
      <w:r w:rsidRPr="009D7F6B">
        <w:rPr>
          <w:rFonts w:asciiTheme="minorHAnsi" w:hAnsiTheme="minorHAnsi"/>
        </w:rPr>
        <w:t xml:space="preserve"> to identify key learnings from high performing regional NRM </w:t>
      </w:r>
      <w:r w:rsidR="003D73B4">
        <w:rPr>
          <w:rFonts w:asciiTheme="minorHAnsi" w:hAnsiTheme="minorHAnsi"/>
        </w:rPr>
        <w:t>organisations</w:t>
      </w:r>
      <w:r w:rsidRPr="009D7F6B">
        <w:rPr>
          <w:rFonts w:asciiTheme="minorHAnsi" w:hAnsiTheme="minorHAnsi"/>
        </w:rPr>
        <w:t xml:space="preserve"> that could be shared to assist other regional NRM </w:t>
      </w:r>
      <w:r w:rsidR="0094273A">
        <w:rPr>
          <w:rFonts w:asciiTheme="minorHAnsi" w:hAnsiTheme="minorHAnsi"/>
        </w:rPr>
        <w:t>organisations</w:t>
      </w:r>
      <w:r w:rsidRPr="009D7F6B">
        <w:rPr>
          <w:rFonts w:asciiTheme="minorHAnsi" w:hAnsiTheme="minorHAnsi"/>
        </w:rPr>
        <w:t xml:space="preserve"> to improve. To </w:t>
      </w:r>
      <w:r w:rsidR="003D73B4">
        <w:rPr>
          <w:rFonts w:asciiTheme="minorHAnsi" w:hAnsiTheme="minorHAnsi"/>
        </w:rPr>
        <w:t>assist</w:t>
      </w:r>
      <w:r w:rsidRPr="009D7F6B">
        <w:rPr>
          <w:rFonts w:asciiTheme="minorHAnsi" w:hAnsiTheme="minorHAnsi"/>
        </w:rPr>
        <w:t xml:space="preserve"> this, reviews </w:t>
      </w:r>
      <w:r w:rsidR="00B648BC">
        <w:rPr>
          <w:rFonts w:asciiTheme="minorHAnsi" w:hAnsiTheme="minorHAnsi"/>
        </w:rPr>
        <w:t xml:space="preserve">and audits </w:t>
      </w:r>
      <w:r w:rsidRPr="009D7F6B">
        <w:rPr>
          <w:rFonts w:asciiTheme="minorHAnsi" w:hAnsiTheme="minorHAnsi"/>
        </w:rPr>
        <w:t xml:space="preserve">will include both high performing regional NRM </w:t>
      </w:r>
      <w:r>
        <w:rPr>
          <w:rFonts w:asciiTheme="minorHAnsi" w:hAnsiTheme="minorHAnsi"/>
        </w:rPr>
        <w:t>organisations</w:t>
      </w:r>
      <w:r w:rsidR="00ED4506">
        <w:rPr>
          <w:rFonts w:asciiTheme="minorHAnsi" w:hAnsiTheme="minorHAnsi"/>
        </w:rPr>
        <w:t xml:space="preserve"> and those who have identified </w:t>
      </w:r>
      <w:r w:rsidR="00704B5B">
        <w:rPr>
          <w:rFonts w:asciiTheme="minorHAnsi" w:hAnsiTheme="minorHAnsi"/>
        </w:rPr>
        <w:t>that they require assistance</w:t>
      </w:r>
      <w:r w:rsidRPr="009D7F6B">
        <w:rPr>
          <w:rFonts w:asciiTheme="minorHAnsi" w:hAnsiTheme="minorHAnsi"/>
        </w:rPr>
        <w:t>.</w:t>
      </w:r>
      <w:r>
        <w:rPr>
          <w:rFonts w:asciiTheme="minorHAnsi" w:hAnsiTheme="minorHAnsi"/>
        </w:rPr>
        <w:t xml:space="preserve"> </w:t>
      </w:r>
      <w:r w:rsidR="00601F44">
        <w:rPr>
          <w:rFonts w:asciiTheme="minorHAnsi" w:hAnsiTheme="minorHAnsi"/>
        </w:rPr>
        <w:t>A</w:t>
      </w:r>
      <w:r w:rsidR="00632BF5">
        <w:rPr>
          <w:rFonts w:asciiTheme="minorHAnsi" w:hAnsiTheme="minorHAnsi"/>
        </w:rPr>
        <w:t>n</w:t>
      </w:r>
      <w:r>
        <w:rPr>
          <w:rFonts w:asciiTheme="minorHAnsi" w:hAnsiTheme="minorHAnsi"/>
        </w:rPr>
        <w:t xml:space="preserve"> </w:t>
      </w:r>
      <w:r w:rsidR="00B648BC">
        <w:rPr>
          <w:rFonts w:asciiTheme="minorHAnsi" w:hAnsiTheme="minorHAnsi"/>
        </w:rPr>
        <w:t xml:space="preserve">audit </w:t>
      </w:r>
      <w:r w:rsidRPr="009D7F6B">
        <w:rPr>
          <w:rFonts w:asciiTheme="minorHAnsi" w:hAnsiTheme="minorHAnsi"/>
        </w:rPr>
        <w:t>will be undertaken by a team comprising Australian Government officers and may include a regional NRM officer nominated by NRM Regions Australia</w:t>
      </w:r>
      <w:r w:rsidR="00B648BC">
        <w:rPr>
          <w:rFonts w:asciiTheme="minorHAnsi" w:hAnsiTheme="minorHAnsi"/>
        </w:rPr>
        <w:t xml:space="preserve"> as an observer</w:t>
      </w:r>
      <w:r w:rsidRPr="009D7F6B">
        <w:rPr>
          <w:rFonts w:asciiTheme="minorHAnsi" w:hAnsiTheme="minorHAnsi"/>
        </w:rPr>
        <w:t xml:space="preserve">. </w:t>
      </w:r>
    </w:p>
    <w:p w14:paraId="278A57DD" w14:textId="4194E151" w:rsidR="00601F44" w:rsidRPr="009D7F6B" w:rsidRDefault="00E61284" w:rsidP="00601F44">
      <w:pPr>
        <w:pStyle w:val="ListBullet"/>
        <w:numPr>
          <w:ilvl w:val="0"/>
          <w:numId w:val="0"/>
        </w:numPr>
        <w:spacing w:before="60" w:after="0" w:line="240" w:lineRule="auto"/>
        <w:rPr>
          <w:rFonts w:asciiTheme="minorHAnsi" w:hAnsiTheme="minorHAnsi"/>
        </w:rPr>
      </w:pPr>
      <w:r>
        <w:rPr>
          <w:rFonts w:asciiTheme="minorHAnsi" w:hAnsiTheme="minorHAnsi"/>
        </w:rPr>
        <w:lastRenderedPageBreak/>
        <w:t xml:space="preserve">A </w:t>
      </w:r>
      <w:r w:rsidR="00D142C1">
        <w:rPr>
          <w:rFonts w:asciiTheme="minorHAnsi" w:hAnsiTheme="minorHAnsi"/>
        </w:rPr>
        <w:t xml:space="preserve">rolling </w:t>
      </w:r>
      <w:r>
        <w:rPr>
          <w:rFonts w:asciiTheme="minorHAnsi" w:hAnsiTheme="minorHAnsi"/>
        </w:rPr>
        <w:t xml:space="preserve">schedule for </w:t>
      </w:r>
      <w:r w:rsidR="00D142C1">
        <w:rPr>
          <w:rFonts w:asciiTheme="minorHAnsi" w:hAnsiTheme="minorHAnsi"/>
        </w:rPr>
        <w:t xml:space="preserve">performance </w:t>
      </w:r>
      <w:r w:rsidR="00B648BC">
        <w:rPr>
          <w:rFonts w:asciiTheme="minorHAnsi" w:hAnsiTheme="minorHAnsi"/>
        </w:rPr>
        <w:t xml:space="preserve">audits </w:t>
      </w:r>
      <w:r>
        <w:rPr>
          <w:rFonts w:asciiTheme="minorHAnsi" w:hAnsiTheme="minorHAnsi"/>
        </w:rPr>
        <w:t xml:space="preserve">will be developed and communicated to regional NRM organisations. </w:t>
      </w:r>
      <w:r w:rsidR="00601F44" w:rsidRPr="009D7F6B">
        <w:rPr>
          <w:rFonts w:asciiTheme="minorHAnsi" w:hAnsiTheme="minorHAnsi"/>
        </w:rPr>
        <w:t>The schedule will be determined using information including but not limited to:</w:t>
      </w:r>
    </w:p>
    <w:p w14:paraId="278A57DE" w14:textId="0794B8D8" w:rsidR="00031E40" w:rsidRPr="001068E5" w:rsidRDefault="00E61284" w:rsidP="001068E5">
      <w:pPr>
        <w:pStyle w:val="ListBullet"/>
        <w:numPr>
          <w:ilvl w:val="0"/>
          <w:numId w:val="8"/>
        </w:numPr>
        <w:spacing w:after="0" w:line="240" w:lineRule="auto"/>
        <w:ind w:left="709" w:hanging="349"/>
        <w:rPr>
          <w:rFonts w:asciiTheme="minorHAnsi" w:hAnsiTheme="minorHAnsi"/>
          <w:lang w:eastAsia="en-AU"/>
        </w:rPr>
      </w:pPr>
      <w:r w:rsidRPr="001068E5">
        <w:rPr>
          <w:rFonts w:asciiTheme="minorHAnsi" w:hAnsiTheme="minorHAnsi"/>
          <w:lang w:eastAsia="en-AU"/>
        </w:rPr>
        <w:t>the</w:t>
      </w:r>
      <w:r w:rsidR="00031E40" w:rsidRPr="001068E5">
        <w:rPr>
          <w:rFonts w:asciiTheme="minorHAnsi" w:hAnsiTheme="minorHAnsi"/>
          <w:lang w:eastAsia="en-AU"/>
        </w:rPr>
        <w:t xml:space="preserve"> annual self</w:t>
      </w:r>
      <w:r w:rsidR="00632BF5">
        <w:rPr>
          <w:rFonts w:asciiTheme="minorHAnsi" w:hAnsiTheme="minorHAnsi"/>
          <w:lang w:eastAsia="en-AU"/>
        </w:rPr>
        <w:t>-</w:t>
      </w:r>
      <w:r w:rsidR="00031E40" w:rsidRPr="001068E5">
        <w:rPr>
          <w:rFonts w:asciiTheme="minorHAnsi" w:hAnsiTheme="minorHAnsi"/>
          <w:lang w:eastAsia="en-AU"/>
        </w:rPr>
        <w:t>assessment of performance/compliance against the performance expectations;</w:t>
      </w:r>
    </w:p>
    <w:p w14:paraId="278A57DF" w14:textId="77777777" w:rsidR="00601F44" w:rsidRPr="001068E5" w:rsidRDefault="00E61284" w:rsidP="001068E5">
      <w:pPr>
        <w:pStyle w:val="ListBullet"/>
        <w:numPr>
          <w:ilvl w:val="0"/>
          <w:numId w:val="8"/>
        </w:numPr>
        <w:spacing w:after="0" w:line="240" w:lineRule="auto"/>
        <w:ind w:left="709" w:hanging="349"/>
        <w:rPr>
          <w:rFonts w:asciiTheme="minorHAnsi" w:hAnsiTheme="minorHAnsi"/>
          <w:lang w:eastAsia="en-AU"/>
        </w:rPr>
      </w:pPr>
      <w:r w:rsidRPr="001068E5">
        <w:rPr>
          <w:rFonts w:asciiTheme="minorHAnsi" w:hAnsiTheme="minorHAnsi"/>
          <w:lang w:eastAsia="en-AU"/>
        </w:rPr>
        <w:t xml:space="preserve">a </w:t>
      </w:r>
      <w:r w:rsidR="00601F44" w:rsidRPr="001068E5">
        <w:rPr>
          <w:rFonts w:asciiTheme="minorHAnsi" w:hAnsiTheme="minorHAnsi"/>
          <w:lang w:eastAsia="en-AU"/>
        </w:rPr>
        <w:t xml:space="preserve">regional NRM </w:t>
      </w:r>
      <w:r w:rsidRPr="001068E5">
        <w:rPr>
          <w:rFonts w:asciiTheme="minorHAnsi" w:hAnsiTheme="minorHAnsi"/>
          <w:lang w:eastAsia="en-AU"/>
        </w:rPr>
        <w:t>organisations’</w:t>
      </w:r>
      <w:r w:rsidR="00601F44" w:rsidRPr="001068E5">
        <w:rPr>
          <w:rFonts w:asciiTheme="minorHAnsi" w:hAnsiTheme="minorHAnsi"/>
          <w:lang w:eastAsia="en-AU"/>
        </w:rPr>
        <w:t xml:space="preserve"> compliance performance to date, including the timeliness and quality of reports;</w:t>
      </w:r>
    </w:p>
    <w:p w14:paraId="278A57E0" w14:textId="77777777" w:rsidR="00601F44" w:rsidRPr="001068E5" w:rsidRDefault="00031E40" w:rsidP="001068E5">
      <w:pPr>
        <w:pStyle w:val="ListBullet"/>
        <w:numPr>
          <w:ilvl w:val="0"/>
          <w:numId w:val="8"/>
        </w:numPr>
        <w:spacing w:after="0" w:line="240" w:lineRule="auto"/>
        <w:ind w:left="709" w:hanging="349"/>
        <w:rPr>
          <w:rFonts w:asciiTheme="minorHAnsi" w:hAnsiTheme="minorHAnsi"/>
          <w:lang w:eastAsia="en-AU"/>
        </w:rPr>
      </w:pPr>
      <w:r w:rsidRPr="009D7F6B">
        <w:rPr>
          <w:rFonts w:asciiTheme="minorHAnsi" w:hAnsiTheme="minorHAnsi"/>
          <w:lang w:eastAsia="en-AU"/>
        </w:rPr>
        <w:t xml:space="preserve">the Australian Government’s </w:t>
      </w:r>
      <w:r>
        <w:rPr>
          <w:rFonts w:asciiTheme="minorHAnsi" w:hAnsiTheme="minorHAnsi"/>
          <w:lang w:eastAsia="en-AU"/>
        </w:rPr>
        <w:t xml:space="preserve">annual </w:t>
      </w:r>
      <w:r w:rsidRPr="009D7F6B">
        <w:rPr>
          <w:rFonts w:asciiTheme="minorHAnsi" w:hAnsiTheme="minorHAnsi"/>
          <w:lang w:eastAsia="en-AU"/>
        </w:rPr>
        <w:t>risk assessment of regional NRM organisations Regional stream delivery</w:t>
      </w:r>
      <w:r w:rsidRPr="001068E5">
        <w:rPr>
          <w:rFonts w:asciiTheme="minorHAnsi" w:hAnsiTheme="minorHAnsi"/>
          <w:lang w:eastAsia="en-AU"/>
        </w:rPr>
        <w:t xml:space="preserve"> </w:t>
      </w:r>
      <w:r w:rsidR="00601F44" w:rsidRPr="001068E5">
        <w:rPr>
          <w:rFonts w:asciiTheme="minorHAnsi" w:hAnsiTheme="minorHAnsi"/>
          <w:lang w:eastAsia="en-AU"/>
        </w:rPr>
        <w:t>;</w:t>
      </w:r>
    </w:p>
    <w:p w14:paraId="278A57E1" w14:textId="77777777" w:rsidR="00601F44" w:rsidRPr="001068E5" w:rsidRDefault="00031E40" w:rsidP="001068E5">
      <w:pPr>
        <w:pStyle w:val="ListBullet"/>
        <w:numPr>
          <w:ilvl w:val="0"/>
          <w:numId w:val="8"/>
        </w:numPr>
        <w:spacing w:after="0" w:line="240" w:lineRule="auto"/>
        <w:ind w:left="709" w:hanging="349"/>
        <w:rPr>
          <w:rFonts w:asciiTheme="minorHAnsi" w:hAnsiTheme="minorHAnsi"/>
          <w:lang w:eastAsia="en-AU"/>
        </w:rPr>
      </w:pPr>
      <w:r w:rsidRPr="009D7F6B">
        <w:rPr>
          <w:rFonts w:asciiTheme="minorHAnsi" w:hAnsiTheme="minorHAnsi"/>
          <w:lang w:eastAsia="en-AU"/>
        </w:rPr>
        <w:t xml:space="preserve">relevant information about </w:t>
      </w:r>
      <w:r w:rsidR="00E61284">
        <w:rPr>
          <w:rFonts w:asciiTheme="minorHAnsi" w:hAnsiTheme="minorHAnsi"/>
          <w:lang w:eastAsia="en-AU"/>
        </w:rPr>
        <w:t xml:space="preserve">a </w:t>
      </w:r>
      <w:r w:rsidRPr="009D7F6B">
        <w:rPr>
          <w:rFonts w:asciiTheme="minorHAnsi" w:hAnsiTheme="minorHAnsi"/>
          <w:lang w:eastAsia="en-AU"/>
        </w:rPr>
        <w:t>regional NRM organisation</w:t>
      </w:r>
      <w:r w:rsidR="00E61284">
        <w:rPr>
          <w:rFonts w:asciiTheme="minorHAnsi" w:hAnsiTheme="minorHAnsi"/>
          <w:lang w:eastAsia="en-AU"/>
        </w:rPr>
        <w:t>’</w:t>
      </w:r>
      <w:r w:rsidRPr="009D7F6B">
        <w:rPr>
          <w:rFonts w:asciiTheme="minorHAnsi" w:hAnsiTheme="minorHAnsi"/>
          <w:lang w:eastAsia="en-AU"/>
        </w:rPr>
        <w:t>s delivery of Regional stream funding, such as third party stakeholder feedback where this can be verified as credible and relevant</w:t>
      </w:r>
      <w:r w:rsidR="00601F44" w:rsidRPr="001068E5">
        <w:rPr>
          <w:rFonts w:asciiTheme="minorHAnsi" w:hAnsiTheme="minorHAnsi"/>
          <w:lang w:eastAsia="en-AU"/>
        </w:rPr>
        <w:t>; and</w:t>
      </w:r>
    </w:p>
    <w:p w14:paraId="278A57E2" w14:textId="77777777" w:rsidR="00601F44" w:rsidRPr="001068E5" w:rsidRDefault="00601F44" w:rsidP="001068E5">
      <w:pPr>
        <w:pStyle w:val="ListBullet"/>
        <w:numPr>
          <w:ilvl w:val="0"/>
          <w:numId w:val="8"/>
        </w:numPr>
        <w:spacing w:after="0" w:line="240" w:lineRule="auto"/>
        <w:ind w:left="709" w:hanging="349"/>
        <w:rPr>
          <w:rFonts w:asciiTheme="minorHAnsi" w:hAnsiTheme="minorHAnsi"/>
          <w:lang w:eastAsia="en-AU"/>
        </w:rPr>
      </w:pPr>
      <w:proofErr w:type="gramStart"/>
      <w:r w:rsidRPr="001068E5">
        <w:rPr>
          <w:rFonts w:asciiTheme="minorHAnsi" w:hAnsiTheme="minorHAnsi"/>
          <w:lang w:eastAsia="en-AU"/>
        </w:rPr>
        <w:t>regional</w:t>
      </w:r>
      <w:proofErr w:type="gramEnd"/>
      <w:r w:rsidRPr="001068E5">
        <w:rPr>
          <w:rFonts w:asciiTheme="minorHAnsi" w:hAnsiTheme="minorHAnsi"/>
          <w:lang w:eastAsia="en-AU"/>
        </w:rPr>
        <w:t xml:space="preserve"> NRM </w:t>
      </w:r>
      <w:r w:rsidR="00E61284" w:rsidRPr="001068E5">
        <w:rPr>
          <w:rFonts w:asciiTheme="minorHAnsi" w:hAnsiTheme="minorHAnsi"/>
          <w:lang w:eastAsia="en-AU"/>
        </w:rPr>
        <w:t>organisations</w:t>
      </w:r>
      <w:r w:rsidRPr="001068E5">
        <w:rPr>
          <w:rFonts w:asciiTheme="minorHAnsi" w:hAnsiTheme="minorHAnsi"/>
          <w:lang w:eastAsia="en-AU"/>
        </w:rPr>
        <w:t xml:space="preserve"> reporting a high level </w:t>
      </w:r>
      <w:r w:rsidR="001068E5">
        <w:rPr>
          <w:rFonts w:asciiTheme="minorHAnsi" w:hAnsiTheme="minorHAnsi"/>
          <w:lang w:eastAsia="en-AU"/>
        </w:rPr>
        <w:t>of success on an ongoing basis.</w:t>
      </w:r>
    </w:p>
    <w:p w14:paraId="278A57E3" w14:textId="77777777" w:rsidR="00601F44" w:rsidRPr="00C70BF2" w:rsidRDefault="00601F44" w:rsidP="00601F44">
      <w:pPr>
        <w:pStyle w:val="ListBullet"/>
        <w:numPr>
          <w:ilvl w:val="0"/>
          <w:numId w:val="0"/>
        </w:numPr>
        <w:spacing w:before="60" w:after="0" w:line="240" w:lineRule="auto"/>
        <w:rPr>
          <w:rFonts w:asciiTheme="minorHAnsi" w:hAnsiTheme="minorHAnsi"/>
          <w:lang w:eastAsia="en-AU"/>
        </w:rPr>
      </w:pPr>
      <w:r w:rsidRPr="00C70BF2">
        <w:rPr>
          <w:rFonts w:asciiTheme="minorHAnsi" w:hAnsiTheme="minorHAnsi"/>
          <w:lang w:eastAsia="en-AU"/>
        </w:rPr>
        <w:t xml:space="preserve">Regional NRM </w:t>
      </w:r>
      <w:r w:rsidR="0094273A">
        <w:rPr>
          <w:rFonts w:asciiTheme="minorHAnsi" w:hAnsiTheme="minorHAnsi"/>
          <w:lang w:eastAsia="en-AU"/>
        </w:rPr>
        <w:t>organisations</w:t>
      </w:r>
      <w:r w:rsidR="00BB62D6">
        <w:rPr>
          <w:rFonts w:asciiTheme="minorHAnsi" w:hAnsiTheme="minorHAnsi"/>
          <w:lang w:eastAsia="en-AU"/>
        </w:rPr>
        <w:t xml:space="preserve"> may also express </w:t>
      </w:r>
      <w:r w:rsidRPr="00C70BF2">
        <w:rPr>
          <w:rFonts w:asciiTheme="minorHAnsi" w:hAnsiTheme="minorHAnsi"/>
          <w:lang w:eastAsia="en-AU"/>
        </w:rPr>
        <w:t xml:space="preserve">a desire to be </w:t>
      </w:r>
      <w:r w:rsidR="00111104">
        <w:rPr>
          <w:rFonts w:asciiTheme="minorHAnsi" w:hAnsiTheme="minorHAnsi"/>
          <w:lang w:eastAsia="en-AU"/>
        </w:rPr>
        <w:t>audited</w:t>
      </w:r>
      <w:r w:rsidRPr="00C70BF2">
        <w:rPr>
          <w:rFonts w:asciiTheme="minorHAnsi" w:hAnsiTheme="minorHAnsi"/>
          <w:lang w:eastAsia="en-AU"/>
        </w:rPr>
        <w:t>.</w:t>
      </w:r>
    </w:p>
    <w:p w14:paraId="47DA3E42" w14:textId="77777777" w:rsidR="00632BF5" w:rsidRDefault="00632BF5" w:rsidP="009D7F6B">
      <w:pPr>
        <w:pStyle w:val="ListBullet"/>
        <w:numPr>
          <w:ilvl w:val="0"/>
          <w:numId w:val="0"/>
        </w:numPr>
        <w:spacing w:before="60" w:after="0" w:line="240" w:lineRule="auto"/>
        <w:rPr>
          <w:rFonts w:asciiTheme="minorHAnsi" w:hAnsiTheme="minorHAnsi"/>
        </w:rPr>
      </w:pPr>
    </w:p>
    <w:p w14:paraId="278A57E4" w14:textId="77777777" w:rsidR="007469FF" w:rsidRDefault="007469FF" w:rsidP="009D7F6B">
      <w:pPr>
        <w:pStyle w:val="ListBullet"/>
        <w:numPr>
          <w:ilvl w:val="0"/>
          <w:numId w:val="0"/>
        </w:numPr>
        <w:spacing w:before="60" w:after="0" w:line="240" w:lineRule="auto"/>
        <w:rPr>
          <w:rFonts w:asciiTheme="minorHAnsi" w:hAnsiTheme="minorHAnsi"/>
        </w:rPr>
      </w:pPr>
      <w:r>
        <w:rPr>
          <w:rFonts w:asciiTheme="minorHAnsi" w:hAnsiTheme="minorHAnsi"/>
        </w:rPr>
        <w:t xml:space="preserve">There will be </w:t>
      </w:r>
      <w:r w:rsidR="00ED4506">
        <w:rPr>
          <w:rFonts w:asciiTheme="minorHAnsi" w:hAnsiTheme="minorHAnsi"/>
        </w:rPr>
        <w:t>two</w:t>
      </w:r>
      <w:r>
        <w:rPr>
          <w:rFonts w:asciiTheme="minorHAnsi" w:hAnsiTheme="minorHAnsi"/>
        </w:rPr>
        <w:t xml:space="preserve"> types of </w:t>
      </w:r>
      <w:r w:rsidR="00111104">
        <w:rPr>
          <w:rFonts w:asciiTheme="minorHAnsi" w:hAnsiTheme="minorHAnsi"/>
        </w:rPr>
        <w:t xml:space="preserve">audits </w:t>
      </w:r>
      <w:r>
        <w:rPr>
          <w:rFonts w:asciiTheme="minorHAnsi" w:hAnsiTheme="minorHAnsi"/>
        </w:rPr>
        <w:t>undertaken each year. These are:</w:t>
      </w:r>
    </w:p>
    <w:p w14:paraId="278A57E5" w14:textId="34A12458" w:rsidR="007469FF" w:rsidRPr="000310D7" w:rsidRDefault="001B38FC" w:rsidP="000310D7">
      <w:pPr>
        <w:pStyle w:val="ListBullet"/>
        <w:spacing w:before="60" w:after="0" w:line="240" w:lineRule="auto"/>
        <w:rPr>
          <w:rFonts w:asciiTheme="minorHAnsi" w:hAnsiTheme="minorHAnsi"/>
          <w:i/>
          <w:color w:val="76923C" w:themeColor="accent3" w:themeShade="BF"/>
        </w:rPr>
      </w:pPr>
      <w:r w:rsidRPr="000310D7">
        <w:rPr>
          <w:rFonts w:asciiTheme="minorHAnsi" w:hAnsiTheme="minorHAnsi"/>
          <w:i/>
          <w:color w:val="76923C" w:themeColor="accent3" w:themeShade="BF"/>
        </w:rPr>
        <w:t xml:space="preserve">Desktop </w:t>
      </w:r>
      <w:r w:rsidR="002F79EB">
        <w:rPr>
          <w:rFonts w:asciiTheme="minorHAnsi" w:hAnsiTheme="minorHAnsi"/>
          <w:i/>
          <w:color w:val="76923C" w:themeColor="accent3" w:themeShade="BF"/>
        </w:rPr>
        <w:t>audit</w:t>
      </w:r>
      <w:r w:rsidR="001068E5" w:rsidRPr="000310D7">
        <w:rPr>
          <w:rFonts w:asciiTheme="minorHAnsi" w:hAnsiTheme="minorHAnsi"/>
          <w:i/>
          <w:color w:val="76923C" w:themeColor="accent3" w:themeShade="BF"/>
        </w:rPr>
        <w:t xml:space="preserve">; and </w:t>
      </w:r>
    </w:p>
    <w:p w14:paraId="278A57E6" w14:textId="24FC0B3A" w:rsidR="001B38FC" w:rsidRDefault="002F79EB" w:rsidP="000310D7">
      <w:pPr>
        <w:pStyle w:val="ListBullet"/>
        <w:spacing w:before="60" w:after="0" w:line="240" w:lineRule="auto"/>
        <w:rPr>
          <w:rFonts w:asciiTheme="minorHAnsi" w:hAnsiTheme="minorHAnsi"/>
          <w:i/>
          <w:color w:val="76923C" w:themeColor="accent3" w:themeShade="BF"/>
        </w:rPr>
      </w:pPr>
      <w:r>
        <w:rPr>
          <w:rFonts w:asciiTheme="minorHAnsi" w:hAnsiTheme="minorHAnsi"/>
          <w:i/>
          <w:color w:val="76923C" w:themeColor="accent3" w:themeShade="BF"/>
        </w:rPr>
        <w:t>O</w:t>
      </w:r>
      <w:r w:rsidR="00632BF5">
        <w:rPr>
          <w:rFonts w:asciiTheme="minorHAnsi" w:hAnsiTheme="minorHAnsi"/>
          <w:i/>
          <w:color w:val="76923C" w:themeColor="accent3" w:themeShade="BF"/>
        </w:rPr>
        <w:t xml:space="preserve">nsite </w:t>
      </w:r>
      <w:r w:rsidR="00B648BC">
        <w:rPr>
          <w:rFonts w:asciiTheme="minorHAnsi" w:hAnsiTheme="minorHAnsi"/>
          <w:i/>
          <w:color w:val="76923C" w:themeColor="accent3" w:themeShade="BF"/>
        </w:rPr>
        <w:t>audit</w:t>
      </w:r>
      <w:r w:rsidR="001068E5" w:rsidRPr="000310D7">
        <w:rPr>
          <w:rFonts w:asciiTheme="minorHAnsi" w:hAnsiTheme="minorHAnsi"/>
          <w:i/>
          <w:color w:val="76923C" w:themeColor="accent3" w:themeShade="BF"/>
        </w:rPr>
        <w:t>.</w:t>
      </w:r>
    </w:p>
    <w:p w14:paraId="278A57E7" w14:textId="77777777" w:rsidR="005A6F23" w:rsidRDefault="005A6F23" w:rsidP="005A6F23">
      <w:pPr>
        <w:pStyle w:val="ListBullet"/>
        <w:numPr>
          <w:ilvl w:val="0"/>
          <w:numId w:val="0"/>
        </w:numPr>
        <w:spacing w:before="60" w:after="0" w:line="240" w:lineRule="auto"/>
        <w:ind w:left="369" w:hanging="369"/>
        <w:rPr>
          <w:rFonts w:asciiTheme="minorHAnsi" w:hAnsiTheme="minorHAnsi"/>
          <w:i/>
          <w:color w:val="76923C" w:themeColor="accent3" w:themeShade="BF"/>
        </w:rPr>
      </w:pPr>
    </w:p>
    <w:p w14:paraId="278A57E9" w14:textId="5D920A9B" w:rsidR="009B56D4" w:rsidRPr="00EB1B03" w:rsidRDefault="00A13EEC" w:rsidP="009B56D4">
      <w:pPr>
        <w:pStyle w:val="ListBullet"/>
        <w:numPr>
          <w:ilvl w:val="0"/>
          <w:numId w:val="0"/>
        </w:numPr>
        <w:spacing w:before="240" w:after="120" w:line="240" w:lineRule="auto"/>
        <w:rPr>
          <w:rFonts w:asciiTheme="minorHAnsi" w:hAnsiTheme="minorHAnsi"/>
          <w:b/>
          <w:i/>
          <w:color w:val="76923C" w:themeColor="accent3" w:themeShade="BF"/>
          <w:sz w:val="24"/>
          <w:szCs w:val="24"/>
        </w:rPr>
      </w:pPr>
      <w:r>
        <w:rPr>
          <w:rFonts w:asciiTheme="minorHAnsi" w:hAnsiTheme="minorHAnsi"/>
          <w:b/>
          <w:i/>
          <w:color w:val="76923C" w:themeColor="accent3" w:themeShade="BF"/>
          <w:sz w:val="24"/>
          <w:szCs w:val="24"/>
        </w:rPr>
        <w:t>6</w:t>
      </w:r>
      <w:r w:rsidR="000310D7">
        <w:rPr>
          <w:rFonts w:asciiTheme="minorHAnsi" w:hAnsiTheme="minorHAnsi"/>
          <w:b/>
          <w:i/>
          <w:color w:val="76923C" w:themeColor="accent3" w:themeShade="BF"/>
          <w:sz w:val="24"/>
          <w:szCs w:val="24"/>
        </w:rPr>
        <w:t>.</w:t>
      </w:r>
      <w:r w:rsidR="00A96BC0">
        <w:rPr>
          <w:rFonts w:asciiTheme="minorHAnsi" w:hAnsiTheme="minorHAnsi"/>
          <w:b/>
          <w:i/>
          <w:color w:val="76923C" w:themeColor="accent3" w:themeShade="BF"/>
          <w:sz w:val="24"/>
          <w:szCs w:val="24"/>
        </w:rPr>
        <w:t>1</w:t>
      </w:r>
      <w:r w:rsidR="000310D7">
        <w:rPr>
          <w:rFonts w:asciiTheme="minorHAnsi" w:hAnsiTheme="minorHAnsi"/>
          <w:b/>
          <w:i/>
          <w:color w:val="76923C" w:themeColor="accent3" w:themeShade="BF"/>
          <w:sz w:val="24"/>
          <w:szCs w:val="24"/>
        </w:rPr>
        <w:tab/>
      </w:r>
      <w:r w:rsidR="009B56D4" w:rsidRPr="00EB1B03">
        <w:rPr>
          <w:rFonts w:asciiTheme="minorHAnsi" w:hAnsiTheme="minorHAnsi"/>
          <w:b/>
          <w:i/>
          <w:color w:val="76923C" w:themeColor="accent3" w:themeShade="BF"/>
          <w:sz w:val="24"/>
          <w:szCs w:val="24"/>
        </w:rPr>
        <w:t>D</w:t>
      </w:r>
      <w:r w:rsidR="009B56D4">
        <w:rPr>
          <w:rFonts w:asciiTheme="minorHAnsi" w:hAnsiTheme="minorHAnsi"/>
          <w:b/>
          <w:i/>
          <w:color w:val="76923C" w:themeColor="accent3" w:themeShade="BF"/>
          <w:sz w:val="24"/>
          <w:szCs w:val="24"/>
        </w:rPr>
        <w:t xml:space="preserve">esktop </w:t>
      </w:r>
      <w:r w:rsidR="002F79EB">
        <w:rPr>
          <w:rFonts w:asciiTheme="minorHAnsi" w:hAnsiTheme="minorHAnsi"/>
          <w:b/>
          <w:i/>
          <w:color w:val="76923C" w:themeColor="accent3" w:themeShade="BF"/>
          <w:sz w:val="24"/>
          <w:szCs w:val="24"/>
        </w:rPr>
        <w:t>Audit</w:t>
      </w:r>
    </w:p>
    <w:p w14:paraId="278A57EA" w14:textId="5B8DB01A" w:rsidR="001B38FC" w:rsidRDefault="00E77FF2" w:rsidP="009D7F6B">
      <w:pPr>
        <w:pStyle w:val="ListBullet"/>
        <w:numPr>
          <w:ilvl w:val="0"/>
          <w:numId w:val="0"/>
        </w:numPr>
        <w:spacing w:before="60" w:after="0" w:line="240" w:lineRule="auto"/>
        <w:rPr>
          <w:rFonts w:asciiTheme="minorHAnsi" w:hAnsiTheme="minorHAnsi"/>
        </w:rPr>
      </w:pPr>
      <w:r>
        <w:rPr>
          <w:rFonts w:asciiTheme="minorHAnsi" w:hAnsiTheme="minorHAnsi"/>
        </w:rPr>
        <w:t xml:space="preserve">A desktop </w:t>
      </w:r>
      <w:r w:rsidR="002F79EB">
        <w:rPr>
          <w:rFonts w:asciiTheme="minorHAnsi" w:hAnsiTheme="minorHAnsi"/>
        </w:rPr>
        <w:t>audit</w:t>
      </w:r>
      <w:r>
        <w:rPr>
          <w:rFonts w:asciiTheme="minorHAnsi" w:hAnsiTheme="minorHAnsi"/>
        </w:rPr>
        <w:t xml:space="preserve"> aims to confirm a </w:t>
      </w:r>
      <w:r w:rsidR="00632BF5">
        <w:rPr>
          <w:rFonts w:asciiTheme="minorHAnsi" w:hAnsiTheme="minorHAnsi"/>
        </w:rPr>
        <w:t>self-</w:t>
      </w:r>
      <w:r>
        <w:rPr>
          <w:rFonts w:asciiTheme="minorHAnsi" w:hAnsiTheme="minorHAnsi"/>
        </w:rPr>
        <w:t>assessment by reviewing a sample of cited supporting evidence and publically available documents</w:t>
      </w:r>
      <w:r w:rsidR="007B1E7F">
        <w:rPr>
          <w:rFonts w:asciiTheme="minorHAnsi" w:hAnsiTheme="minorHAnsi"/>
        </w:rPr>
        <w:t xml:space="preserve"> for at least </w:t>
      </w:r>
      <w:r w:rsidR="00A13EEC">
        <w:rPr>
          <w:rFonts w:asciiTheme="minorHAnsi" w:hAnsiTheme="minorHAnsi"/>
        </w:rPr>
        <w:t xml:space="preserve">ONE </w:t>
      </w:r>
      <w:r w:rsidR="007B1E7F">
        <w:rPr>
          <w:rFonts w:asciiTheme="minorHAnsi" w:hAnsiTheme="minorHAnsi"/>
        </w:rPr>
        <w:t>expected practices in each performance expectation category</w:t>
      </w:r>
      <w:r w:rsidR="00A13EEC">
        <w:rPr>
          <w:rFonts w:asciiTheme="minorHAnsi" w:hAnsiTheme="minorHAnsi"/>
        </w:rPr>
        <w:t xml:space="preserve"> for all regional NRM organisations, and up to FIVE randomly selected expected practices across all performance expectations</w:t>
      </w:r>
      <w:r>
        <w:rPr>
          <w:rFonts w:asciiTheme="minorHAnsi" w:hAnsiTheme="minorHAnsi"/>
        </w:rPr>
        <w:t xml:space="preserve">. </w:t>
      </w:r>
      <w:r w:rsidR="00147959">
        <w:rPr>
          <w:rFonts w:asciiTheme="minorHAnsi" w:hAnsiTheme="minorHAnsi"/>
        </w:rPr>
        <w:t>Wh</w:t>
      </w:r>
      <w:r>
        <w:rPr>
          <w:rFonts w:asciiTheme="minorHAnsi" w:hAnsiTheme="minorHAnsi"/>
        </w:rPr>
        <w:t>i</w:t>
      </w:r>
      <w:r w:rsidR="00147959">
        <w:rPr>
          <w:rFonts w:asciiTheme="minorHAnsi" w:hAnsiTheme="minorHAnsi"/>
        </w:rPr>
        <w:t xml:space="preserve">le a desktop </w:t>
      </w:r>
      <w:r w:rsidR="002F79EB">
        <w:rPr>
          <w:rFonts w:asciiTheme="minorHAnsi" w:hAnsiTheme="minorHAnsi"/>
        </w:rPr>
        <w:t xml:space="preserve">audit </w:t>
      </w:r>
      <w:r w:rsidR="00147959">
        <w:rPr>
          <w:rFonts w:asciiTheme="minorHAnsi" w:hAnsiTheme="minorHAnsi"/>
        </w:rPr>
        <w:t xml:space="preserve">cannot replace the depth and </w:t>
      </w:r>
      <w:r>
        <w:rPr>
          <w:rFonts w:asciiTheme="minorHAnsi" w:hAnsiTheme="minorHAnsi"/>
        </w:rPr>
        <w:t xml:space="preserve">robustness of </w:t>
      </w:r>
      <w:r w:rsidR="00147959">
        <w:rPr>
          <w:rFonts w:asciiTheme="minorHAnsi" w:hAnsiTheme="minorHAnsi"/>
        </w:rPr>
        <w:t xml:space="preserve">an </w:t>
      </w:r>
      <w:r w:rsidR="00A13EEC">
        <w:rPr>
          <w:rFonts w:asciiTheme="minorHAnsi" w:hAnsiTheme="minorHAnsi"/>
        </w:rPr>
        <w:t xml:space="preserve">onsite </w:t>
      </w:r>
      <w:r w:rsidR="00BB62D6">
        <w:rPr>
          <w:rFonts w:asciiTheme="minorHAnsi" w:hAnsiTheme="minorHAnsi"/>
        </w:rPr>
        <w:t>audit</w:t>
      </w:r>
      <w:r w:rsidR="00147959">
        <w:rPr>
          <w:rFonts w:asciiTheme="minorHAnsi" w:hAnsiTheme="minorHAnsi"/>
        </w:rPr>
        <w:t xml:space="preserve">, </w:t>
      </w:r>
      <w:r w:rsidR="00530A76">
        <w:rPr>
          <w:rFonts w:asciiTheme="minorHAnsi" w:hAnsiTheme="minorHAnsi"/>
        </w:rPr>
        <w:t xml:space="preserve">it aims to provide the Australian Government with a </w:t>
      </w:r>
      <w:r w:rsidR="00530A76" w:rsidRPr="00DC469D">
        <w:rPr>
          <w:rFonts w:asciiTheme="minorHAnsi" w:hAnsiTheme="minorHAnsi"/>
          <w:u w:val="single"/>
        </w:rPr>
        <w:t>level</w:t>
      </w:r>
      <w:r w:rsidR="00530A76">
        <w:rPr>
          <w:rFonts w:asciiTheme="minorHAnsi" w:hAnsiTheme="minorHAnsi"/>
        </w:rPr>
        <w:t xml:space="preserve"> of confidence that a regional NRM or</w:t>
      </w:r>
      <w:r w:rsidR="00DC469D">
        <w:rPr>
          <w:rFonts w:asciiTheme="minorHAnsi" w:hAnsiTheme="minorHAnsi"/>
        </w:rPr>
        <w:t xml:space="preserve">ganisation’s </w:t>
      </w:r>
      <w:r w:rsidR="00A13EEC">
        <w:rPr>
          <w:rFonts w:asciiTheme="minorHAnsi" w:hAnsiTheme="minorHAnsi"/>
        </w:rPr>
        <w:t>self-</w:t>
      </w:r>
      <w:r w:rsidR="00DC469D">
        <w:rPr>
          <w:rFonts w:asciiTheme="minorHAnsi" w:hAnsiTheme="minorHAnsi"/>
        </w:rPr>
        <w:t>assessment is a true reflection of the regional NRM organisation’s capability.</w:t>
      </w:r>
    </w:p>
    <w:p w14:paraId="278A57EB" w14:textId="7B31A96A" w:rsidR="00147959" w:rsidRDefault="00147959" w:rsidP="009D7F6B">
      <w:pPr>
        <w:pStyle w:val="ListBullet"/>
        <w:numPr>
          <w:ilvl w:val="0"/>
          <w:numId w:val="0"/>
        </w:numPr>
        <w:spacing w:before="60" w:after="0" w:line="240" w:lineRule="auto"/>
        <w:rPr>
          <w:rFonts w:asciiTheme="minorHAnsi" w:hAnsiTheme="minorHAnsi"/>
        </w:rPr>
      </w:pPr>
      <w:r>
        <w:rPr>
          <w:rFonts w:asciiTheme="minorHAnsi" w:hAnsiTheme="minorHAnsi"/>
        </w:rPr>
        <w:t>A desktop</w:t>
      </w:r>
      <w:r w:rsidR="00BB62D6">
        <w:rPr>
          <w:rFonts w:asciiTheme="minorHAnsi" w:hAnsiTheme="minorHAnsi"/>
        </w:rPr>
        <w:t xml:space="preserve"> </w:t>
      </w:r>
      <w:r w:rsidR="002F79EB">
        <w:rPr>
          <w:rFonts w:asciiTheme="minorHAnsi" w:hAnsiTheme="minorHAnsi"/>
        </w:rPr>
        <w:t>audit</w:t>
      </w:r>
      <w:r>
        <w:rPr>
          <w:rFonts w:asciiTheme="minorHAnsi" w:hAnsiTheme="minorHAnsi"/>
        </w:rPr>
        <w:t xml:space="preserve"> may be a precursor to an </w:t>
      </w:r>
      <w:r w:rsidR="00A13EEC">
        <w:rPr>
          <w:rFonts w:asciiTheme="minorHAnsi" w:hAnsiTheme="minorHAnsi"/>
        </w:rPr>
        <w:t xml:space="preserve">onsite </w:t>
      </w:r>
      <w:r w:rsidR="00DC469D">
        <w:rPr>
          <w:rFonts w:asciiTheme="minorHAnsi" w:hAnsiTheme="minorHAnsi"/>
        </w:rPr>
        <w:t>audit</w:t>
      </w:r>
      <w:r>
        <w:rPr>
          <w:rFonts w:asciiTheme="minorHAnsi" w:hAnsiTheme="minorHAnsi"/>
        </w:rPr>
        <w:t xml:space="preserve"> or to seek further information where a regional NRM organisation has identified that it has </w:t>
      </w:r>
      <w:r w:rsidR="00A574E1">
        <w:rPr>
          <w:rFonts w:asciiTheme="minorHAnsi" w:hAnsiTheme="minorHAnsi"/>
        </w:rPr>
        <w:t>additional</w:t>
      </w:r>
      <w:r>
        <w:rPr>
          <w:rFonts w:asciiTheme="minorHAnsi" w:hAnsiTheme="minorHAnsi"/>
        </w:rPr>
        <w:t xml:space="preserve"> practices.</w:t>
      </w:r>
    </w:p>
    <w:p w14:paraId="278A57EC" w14:textId="00B63F8E" w:rsidR="009B56D4" w:rsidRPr="00EB1B03" w:rsidRDefault="00A13EEC" w:rsidP="009B56D4">
      <w:pPr>
        <w:pStyle w:val="ListBullet"/>
        <w:numPr>
          <w:ilvl w:val="0"/>
          <w:numId w:val="0"/>
        </w:numPr>
        <w:spacing w:before="240" w:after="120" w:line="240" w:lineRule="auto"/>
        <w:rPr>
          <w:rFonts w:asciiTheme="minorHAnsi" w:hAnsiTheme="minorHAnsi"/>
          <w:b/>
          <w:i/>
          <w:color w:val="76923C" w:themeColor="accent3" w:themeShade="BF"/>
          <w:sz w:val="24"/>
          <w:szCs w:val="24"/>
        </w:rPr>
      </w:pPr>
      <w:r>
        <w:rPr>
          <w:rFonts w:asciiTheme="minorHAnsi" w:hAnsiTheme="minorHAnsi"/>
          <w:b/>
          <w:i/>
          <w:color w:val="76923C" w:themeColor="accent3" w:themeShade="BF"/>
          <w:sz w:val="24"/>
          <w:szCs w:val="24"/>
        </w:rPr>
        <w:t>6</w:t>
      </w:r>
      <w:r w:rsidR="000310D7">
        <w:rPr>
          <w:rFonts w:asciiTheme="minorHAnsi" w:hAnsiTheme="minorHAnsi"/>
          <w:b/>
          <w:i/>
          <w:color w:val="76923C" w:themeColor="accent3" w:themeShade="BF"/>
          <w:sz w:val="24"/>
          <w:szCs w:val="24"/>
        </w:rPr>
        <w:t>.</w:t>
      </w:r>
      <w:r w:rsidR="00A96BC0">
        <w:rPr>
          <w:rFonts w:asciiTheme="minorHAnsi" w:hAnsiTheme="minorHAnsi"/>
          <w:b/>
          <w:i/>
          <w:color w:val="76923C" w:themeColor="accent3" w:themeShade="BF"/>
          <w:sz w:val="24"/>
          <w:szCs w:val="24"/>
        </w:rPr>
        <w:t>2</w:t>
      </w:r>
      <w:r w:rsidR="000310D7">
        <w:rPr>
          <w:rFonts w:asciiTheme="minorHAnsi" w:hAnsiTheme="minorHAnsi"/>
          <w:b/>
          <w:i/>
          <w:color w:val="76923C" w:themeColor="accent3" w:themeShade="BF"/>
          <w:sz w:val="24"/>
          <w:szCs w:val="24"/>
        </w:rPr>
        <w:tab/>
      </w:r>
      <w:r w:rsidR="002F79EB">
        <w:rPr>
          <w:rFonts w:asciiTheme="minorHAnsi" w:hAnsiTheme="minorHAnsi"/>
          <w:b/>
          <w:i/>
          <w:color w:val="76923C" w:themeColor="accent3" w:themeShade="BF"/>
          <w:sz w:val="24"/>
          <w:szCs w:val="24"/>
        </w:rPr>
        <w:t>O</w:t>
      </w:r>
      <w:r>
        <w:rPr>
          <w:rFonts w:asciiTheme="minorHAnsi" w:hAnsiTheme="minorHAnsi"/>
          <w:b/>
          <w:i/>
          <w:color w:val="76923C" w:themeColor="accent3" w:themeShade="BF"/>
          <w:sz w:val="24"/>
          <w:szCs w:val="24"/>
        </w:rPr>
        <w:t xml:space="preserve">nsite </w:t>
      </w:r>
      <w:r w:rsidR="002F79EB">
        <w:rPr>
          <w:rFonts w:asciiTheme="minorHAnsi" w:hAnsiTheme="minorHAnsi"/>
          <w:b/>
          <w:i/>
          <w:color w:val="76923C" w:themeColor="accent3" w:themeShade="BF"/>
          <w:sz w:val="24"/>
          <w:szCs w:val="24"/>
        </w:rPr>
        <w:t>Audit</w:t>
      </w:r>
    </w:p>
    <w:p w14:paraId="278A57ED" w14:textId="019557AE" w:rsidR="0099449F" w:rsidRDefault="0099449F" w:rsidP="0099449F">
      <w:pPr>
        <w:pStyle w:val="ListBullet"/>
        <w:numPr>
          <w:ilvl w:val="0"/>
          <w:numId w:val="0"/>
        </w:numPr>
        <w:spacing w:before="60" w:after="0" w:line="240" w:lineRule="auto"/>
        <w:rPr>
          <w:rFonts w:asciiTheme="minorHAnsi" w:hAnsiTheme="minorHAnsi"/>
        </w:rPr>
      </w:pPr>
      <w:r>
        <w:rPr>
          <w:rFonts w:asciiTheme="minorHAnsi" w:hAnsiTheme="minorHAnsi"/>
        </w:rPr>
        <w:t xml:space="preserve">The Australian Government will contact the regional NRM organisation at least </w:t>
      </w:r>
      <w:r w:rsidR="00A13EEC">
        <w:rPr>
          <w:rFonts w:asciiTheme="minorHAnsi" w:hAnsiTheme="minorHAnsi"/>
        </w:rPr>
        <w:t xml:space="preserve">20 business </w:t>
      </w:r>
      <w:r w:rsidR="00BA6574">
        <w:rPr>
          <w:rFonts w:asciiTheme="minorHAnsi" w:hAnsiTheme="minorHAnsi"/>
        </w:rPr>
        <w:t>days</w:t>
      </w:r>
      <w:r>
        <w:rPr>
          <w:rFonts w:asciiTheme="minorHAnsi" w:hAnsiTheme="minorHAnsi"/>
        </w:rPr>
        <w:t xml:space="preserve"> prior to the planned </w:t>
      </w:r>
      <w:r w:rsidR="002F79EB">
        <w:rPr>
          <w:rFonts w:asciiTheme="minorHAnsi" w:hAnsiTheme="minorHAnsi"/>
        </w:rPr>
        <w:t xml:space="preserve">audit </w:t>
      </w:r>
      <w:r>
        <w:rPr>
          <w:rFonts w:asciiTheme="minorHAnsi" w:hAnsiTheme="minorHAnsi"/>
        </w:rPr>
        <w:t xml:space="preserve">date to confirm arrangements and who will be attending. </w:t>
      </w:r>
      <w:r w:rsidRPr="00C70BF2">
        <w:rPr>
          <w:rFonts w:asciiTheme="minorHAnsi" w:hAnsiTheme="minorHAnsi"/>
        </w:rPr>
        <w:t xml:space="preserve">This will </w:t>
      </w:r>
      <w:r>
        <w:rPr>
          <w:rFonts w:asciiTheme="minorHAnsi" w:hAnsiTheme="minorHAnsi"/>
        </w:rPr>
        <w:t xml:space="preserve">also allow </w:t>
      </w:r>
      <w:r w:rsidRPr="00C70BF2">
        <w:rPr>
          <w:rFonts w:asciiTheme="minorHAnsi" w:hAnsiTheme="minorHAnsi"/>
        </w:rPr>
        <w:t xml:space="preserve">the </w:t>
      </w:r>
      <w:r>
        <w:rPr>
          <w:rFonts w:asciiTheme="minorHAnsi" w:hAnsiTheme="minorHAnsi"/>
        </w:rPr>
        <w:t>regional NRM organisation</w:t>
      </w:r>
      <w:r w:rsidRPr="00C70BF2">
        <w:rPr>
          <w:rFonts w:asciiTheme="minorHAnsi" w:hAnsiTheme="minorHAnsi"/>
        </w:rPr>
        <w:t xml:space="preserve"> </w:t>
      </w:r>
      <w:r>
        <w:rPr>
          <w:rFonts w:asciiTheme="minorHAnsi" w:hAnsiTheme="minorHAnsi"/>
        </w:rPr>
        <w:t xml:space="preserve">time </w:t>
      </w:r>
      <w:r w:rsidRPr="00C70BF2">
        <w:rPr>
          <w:rFonts w:asciiTheme="minorHAnsi" w:hAnsiTheme="minorHAnsi"/>
        </w:rPr>
        <w:t xml:space="preserve">to ensure they have all the information available at the time of the </w:t>
      </w:r>
      <w:r w:rsidR="002F79EB">
        <w:rPr>
          <w:rFonts w:asciiTheme="minorHAnsi" w:hAnsiTheme="minorHAnsi"/>
        </w:rPr>
        <w:t>audit</w:t>
      </w:r>
      <w:r>
        <w:rPr>
          <w:rFonts w:asciiTheme="minorHAnsi" w:hAnsiTheme="minorHAnsi"/>
        </w:rPr>
        <w:t>.</w:t>
      </w:r>
      <w:r w:rsidRPr="009125B4">
        <w:rPr>
          <w:rFonts w:asciiTheme="minorHAnsi" w:hAnsiTheme="minorHAnsi"/>
        </w:rPr>
        <w:t xml:space="preserve"> </w:t>
      </w:r>
      <w:r w:rsidR="00A144A7">
        <w:rPr>
          <w:rFonts w:asciiTheme="minorHAnsi" w:hAnsiTheme="minorHAnsi"/>
        </w:rPr>
        <w:t>I</w:t>
      </w:r>
      <w:r>
        <w:rPr>
          <w:rFonts w:asciiTheme="minorHAnsi" w:hAnsiTheme="minorHAnsi"/>
        </w:rPr>
        <w:t xml:space="preserve">t is anticipated that an </w:t>
      </w:r>
      <w:r w:rsidR="00A13EEC">
        <w:rPr>
          <w:rFonts w:asciiTheme="minorHAnsi" w:hAnsiTheme="minorHAnsi"/>
        </w:rPr>
        <w:t xml:space="preserve">onsite </w:t>
      </w:r>
      <w:r w:rsidR="00D84BC4">
        <w:rPr>
          <w:rFonts w:asciiTheme="minorHAnsi" w:hAnsiTheme="minorHAnsi"/>
        </w:rPr>
        <w:t>audit</w:t>
      </w:r>
      <w:r w:rsidRPr="0037672D">
        <w:rPr>
          <w:rFonts w:asciiTheme="minorHAnsi" w:hAnsiTheme="minorHAnsi"/>
        </w:rPr>
        <w:t xml:space="preserve"> </w:t>
      </w:r>
      <w:r>
        <w:rPr>
          <w:rFonts w:asciiTheme="minorHAnsi" w:hAnsiTheme="minorHAnsi"/>
        </w:rPr>
        <w:t xml:space="preserve">will take </w:t>
      </w:r>
      <w:r w:rsidR="00BB62D6">
        <w:rPr>
          <w:rFonts w:asciiTheme="minorHAnsi" w:hAnsiTheme="minorHAnsi"/>
        </w:rPr>
        <w:t xml:space="preserve">1-3 days depending on the scope of the audit. </w:t>
      </w:r>
    </w:p>
    <w:p w14:paraId="278A57EE" w14:textId="77777777" w:rsidR="00640063" w:rsidRDefault="00640063" w:rsidP="0099449F">
      <w:pPr>
        <w:pStyle w:val="ListBullet"/>
        <w:numPr>
          <w:ilvl w:val="0"/>
          <w:numId w:val="0"/>
        </w:numPr>
        <w:spacing w:before="60" w:after="0" w:line="240" w:lineRule="auto"/>
        <w:rPr>
          <w:rFonts w:asciiTheme="minorHAnsi" w:hAnsiTheme="minorHAnsi"/>
          <w:lang w:eastAsia="en-AU"/>
        </w:rPr>
      </w:pPr>
      <w:r>
        <w:rPr>
          <w:rFonts w:asciiTheme="minorHAnsi" w:hAnsiTheme="minorHAnsi"/>
        </w:rPr>
        <w:t xml:space="preserve">Where a regional NRM organisation is undertaking a similar </w:t>
      </w:r>
      <w:r w:rsidR="006D5792">
        <w:rPr>
          <w:rFonts w:asciiTheme="minorHAnsi" w:hAnsiTheme="minorHAnsi"/>
        </w:rPr>
        <w:t xml:space="preserve">independent </w:t>
      </w:r>
      <w:r>
        <w:rPr>
          <w:rFonts w:asciiTheme="minorHAnsi" w:hAnsiTheme="minorHAnsi"/>
        </w:rPr>
        <w:t>review</w:t>
      </w:r>
      <w:r w:rsidR="00D84BC4">
        <w:rPr>
          <w:rFonts w:asciiTheme="minorHAnsi" w:hAnsiTheme="minorHAnsi"/>
        </w:rPr>
        <w:t xml:space="preserve"> or audit</w:t>
      </w:r>
      <w:r>
        <w:rPr>
          <w:rFonts w:asciiTheme="minorHAnsi" w:hAnsiTheme="minorHAnsi"/>
        </w:rPr>
        <w:t xml:space="preserve">, such as an </w:t>
      </w:r>
      <w:r w:rsidRPr="008B0195">
        <w:rPr>
          <w:rFonts w:asciiTheme="minorHAnsi" w:hAnsiTheme="minorHAnsi"/>
          <w:lang w:eastAsia="en-AU"/>
        </w:rPr>
        <w:t>Organisational Performance Excellence</w:t>
      </w:r>
      <w:r>
        <w:rPr>
          <w:rFonts w:asciiTheme="minorHAnsi" w:hAnsiTheme="minorHAnsi"/>
          <w:lang w:eastAsia="en-AU"/>
        </w:rPr>
        <w:t xml:space="preserve"> review or a NSW Natural Resource Commission </w:t>
      </w:r>
      <w:r w:rsidR="00D84BC4">
        <w:rPr>
          <w:rFonts w:asciiTheme="minorHAnsi" w:hAnsiTheme="minorHAnsi"/>
          <w:lang w:eastAsia="en-AU"/>
        </w:rPr>
        <w:t>audit</w:t>
      </w:r>
      <w:r>
        <w:rPr>
          <w:rFonts w:asciiTheme="minorHAnsi" w:hAnsiTheme="minorHAnsi"/>
          <w:lang w:eastAsia="en-AU"/>
        </w:rPr>
        <w:t xml:space="preserve">, the Australian Government will </w:t>
      </w:r>
      <w:r w:rsidR="006D5792">
        <w:rPr>
          <w:rFonts w:asciiTheme="minorHAnsi" w:hAnsiTheme="minorHAnsi"/>
          <w:lang w:eastAsia="en-AU"/>
        </w:rPr>
        <w:t xml:space="preserve">seek to undertake its </w:t>
      </w:r>
      <w:r w:rsidR="00D84BC4">
        <w:rPr>
          <w:rFonts w:asciiTheme="minorHAnsi" w:hAnsiTheme="minorHAnsi"/>
          <w:lang w:eastAsia="en-AU"/>
        </w:rPr>
        <w:t>audit</w:t>
      </w:r>
      <w:r w:rsidR="006D5792">
        <w:rPr>
          <w:rFonts w:asciiTheme="minorHAnsi" w:hAnsiTheme="minorHAnsi"/>
          <w:lang w:eastAsia="en-AU"/>
        </w:rPr>
        <w:t xml:space="preserve"> at the same time to take advantage of evidence document</w:t>
      </w:r>
      <w:r w:rsidR="00D84BC4">
        <w:rPr>
          <w:rFonts w:asciiTheme="minorHAnsi" w:hAnsiTheme="minorHAnsi"/>
          <w:lang w:eastAsia="en-AU"/>
        </w:rPr>
        <w:t>s</w:t>
      </w:r>
      <w:r w:rsidR="006D5792">
        <w:rPr>
          <w:rFonts w:asciiTheme="minorHAnsi" w:hAnsiTheme="minorHAnsi"/>
          <w:lang w:eastAsia="en-AU"/>
        </w:rPr>
        <w:t xml:space="preserve"> being available. </w:t>
      </w:r>
    </w:p>
    <w:p w14:paraId="278A57F1" w14:textId="77777777" w:rsidR="009754A4" w:rsidRPr="009754A4" w:rsidRDefault="009754A4" w:rsidP="009754A4">
      <w:pPr>
        <w:pStyle w:val="ListBullet"/>
        <w:numPr>
          <w:ilvl w:val="0"/>
          <w:numId w:val="0"/>
        </w:numPr>
        <w:shd w:val="clear" w:color="auto" w:fill="C2D69B" w:themeFill="accent3" w:themeFillTint="99"/>
        <w:spacing w:before="240" w:after="0" w:line="240" w:lineRule="auto"/>
        <w:rPr>
          <w:rFonts w:asciiTheme="minorHAnsi" w:hAnsiTheme="minorHAnsi"/>
          <w:color w:val="4F6228" w:themeColor="accent3" w:themeShade="80"/>
          <w:sz w:val="8"/>
          <w:szCs w:val="8"/>
        </w:rPr>
      </w:pPr>
    </w:p>
    <w:p w14:paraId="278A57F2" w14:textId="77777777" w:rsidR="00B65238" w:rsidRDefault="00F30005" w:rsidP="00B65238">
      <w:pPr>
        <w:pStyle w:val="ListBullet"/>
        <w:numPr>
          <w:ilvl w:val="0"/>
          <w:numId w:val="0"/>
        </w:numPr>
        <w:shd w:val="clear" w:color="auto" w:fill="C2D69B" w:themeFill="accent3" w:themeFillTint="99"/>
        <w:spacing w:after="0" w:line="240" w:lineRule="auto"/>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7</w:t>
      </w:r>
      <w:r w:rsidR="006C0640">
        <w:rPr>
          <w:rFonts w:asciiTheme="minorHAnsi" w:hAnsiTheme="minorHAnsi"/>
          <w:i/>
          <w:color w:val="4F6228" w:themeColor="accent3" w:themeShade="80"/>
          <w:sz w:val="28"/>
          <w:szCs w:val="28"/>
          <w:lang w:eastAsia="en-AU"/>
        </w:rPr>
        <w:t>.</w:t>
      </w:r>
      <w:r w:rsidR="006C0640">
        <w:rPr>
          <w:rFonts w:asciiTheme="minorHAnsi" w:hAnsiTheme="minorHAnsi"/>
          <w:i/>
          <w:color w:val="4F6228" w:themeColor="accent3" w:themeShade="80"/>
          <w:sz w:val="28"/>
          <w:szCs w:val="28"/>
          <w:lang w:eastAsia="en-AU"/>
        </w:rPr>
        <w:tab/>
      </w:r>
      <w:r w:rsidR="009754A4">
        <w:rPr>
          <w:rFonts w:asciiTheme="minorHAnsi" w:hAnsiTheme="minorHAnsi"/>
          <w:i/>
          <w:color w:val="4F6228" w:themeColor="accent3" w:themeShade="80"/>
          <w:sz w:val="28"/>
          <w:szCs w:val="28"/>
          <w:lang w:eastAsia="en-AU"/>
        </w:rPr>
        <w:t>Annual reporting arrangements</w:t>
      </w:r>
    </w:p>
    <w:p w14:paraId="278A57F3" w14:textId="77777777" w:rsidR="009754A4" w:rsidRPr="009754A4" w:rsidRDefault="009754A4" w:rsidP="009754A4">
      <w:pPr>
        <w:pStyle w:val="ListBullet"/>
        <w:numPr>
          <w:ilvl w:val="0"/>
          <w:numId w:val="0"/>
        </w:numPr>
        <w:shd w:val="clear" w:color="auto" w:fill="C2D69B" w:themeFill="accent3" w:themeFillTint="99"/>
        <w:spacing w:after="240" w:line="240" w:lineRule="auto"/>
        <w:rPr>
          <w:rFonts w:asciiTheme="minorHAnsi" w:hAnsiTheme="minorHAnsi"/>
          <w:b/>
          <w:color w:val="4F6228" w:themeColor="accent3" w:themeShade="80"/>
          <w:sz w:val="8"/>
          <w:szCs w:val="8"/>
        </w:rPr>
      </w:pPr>
    </w:p>
    <w:p w14:paraId="278A57F4" w14:textId="4D786597" w:rsidR="009428B1" w:rsidRPr="009428B1" w:rsidRDefault="009428B1" w:rsidP="009428B1">
      <w:pPr>
        <w:pStyle w:val="ListBullet"/>
        <w:numPr>
          <w:ilvl w:val="0"/>
          <w:numId w:val="0"/>
        </w:numPr>
        <w:spacing w:before="60" w:after="0" w:line="240" w:lineRule="auto"/>
        <w:rPr>
          <w:rFonts w:asciiTheme="minorHAnsi" w:hAnsiTheme="minorHAnsi"/>
        </w:rPr>
      </w:pPr>
      <w:r w:rsidRPr="009754A4">
        <w:rPr>
          <w:rFonts w:asciiTheme="minorHAnsi" w:hAnsiTheme="minorHAnsi"/>
        </w:rPr>
        <w:t>As</w:t>
      </w:r>
      <w:r w:rsidR="00BB62D6">
        <w:rPr>
          <w:rFonts w:asciiTheme="minorHAnsi" w:hAnsiTheme="minorHAnsi"/>
        </w:rPr>
        <w:t xml:space="preserve"> a component of </w:t>
      </w:r>
      <w:r w:rsidRPr="009754A4">
        <w:rPr>
          <w:rFonts w:asciiTheme="minorHAnsi" w:hAnsiTheme="minorHAnsi"/>
        </w:rPr>
        <w:t xml:space="preserve">the performance framework the Department </w:t>
      </w:r>
      <w:r>
        <w:rPr>
          <w:rFonts w:asciiTheme="minorHAnsi" w:hAnsiTheme="minorHAnsi"/>
        </w:rPr>
        <w:t>has</w:t>
      </w:r>
      <w:r w:rsidRPr="009754A4">
        <w:rPr>
          <w:rFonts w:asciiTheme="minorHAnsi" w:hAnsiTheme="minorHAnsi"/>
        </w:rPr>
        <w:t xml:space="preserve"> </w:t>
      </w:r>
      <w:r>
        <w:rPr>
          <w:rFonts w:asciiTheme="minorHAnsi" w:hAnsiTheme="minorHAnsi"/>
        </w:rPr>
        <w:t>introduced</w:t>
      </w:r>
      <w:r w:rsidRPr="009754A4">
        <w:rPr>
          <w:rFonts w:asciiTheme="minorHAnsi" w:hAnsiTheme="minorHAnsi"/>
        </w:rPr>
        <w:t xml:space="preserve"> changes to reporting arrangements for high performing </w:t>
      </w:r>
      <w:r w:rsidR="00292088">
        <w:rPr>
          <w:rFonts w:asciiTheme="minorHAnsi" w:hAnsiTheme="minorHAnsi"/>
        </w:rPr>
        <w:t>regional NRM organisations</w:t>
      </w:r>
      <w:r w:rsidRPr="009754A4">
        <w:rPr>
          <w:rFonts w:asciiTheme="minorHAnsi" w:hAnsiTheme="minorHAnsi"/>
        </w:rPr>
        <w:t xml:space="preserve"> that reflect the proportionality principle set out in </w:t>
      </w:r>
      <w:r>
        <w:rPr>
          <w:rFonts w:asciiTheme="minorHAnsi" w:hAnsiTheme="minorHAnsi"/>
        </w:rPr>
        <w:t>section 9.4 of the</w:t>
      </w:r>
      <w:r w:rsidRPr="009754A4">
        <w:rPr>
          <w:rFonts w:asciiTheme="minorHAnsi" w:hAnsiTheme="minorHAnsi"/>
        </w:rPr>
        <w:t xml:space="preserve"> </w:t>
      </w:r>
      <w:r w:rsidRPr="00791A79">
        <w:rPr>
          <w:rFonts w:asciiTheme="minorHAnsi" w:hAnsiTheme="minorHAnsi"/>
          <w:i/>
        </w:rPr>
        <w:t>Commonwealth Grant Guidelines</w:t>
      </w:r>
      <w:r w:rsidRPr="009754A4">
        <w:rPr>
          <w:rFonts w:asciiTheme="minorHAnsi" w:hAnsiTheme="minorHAnsi"/>
        </w:rPr>
        <w:t>.</w:t>
      </w:r>
      <w:r>
        <w:rPr>
          <w:rFonts w:asciiTheme="minorHAnsi" w:hAnsiTheme="minorHAnsi"/>
        </w:rPr>
        <w:t xml:space="preserve"> </w:t>
      </w:r>
      <w:r w:rsidR="00791A79">
        <w:rPr>
          <w:rFonts w:asciiTheme="minorHAnsi" w:hAnsiTheme="minorHAnsi"/>
        </w:rPr>
        <w:t>Under these changes</w:t>
      </w:r>
      <w:r w:rsidR="00292088">
        <w:rPr>
          <w:rFonts w:asciiTheme="minorHAnsi" w:hAnsiTheme="minorHAnsi"/>
        </w:rPr>
        <w:t xml:space="preserve">, a regional NRM organisation </w:t>
      </w:r>
      <w:r w:rsidR="00791A79">
        <w:rPr>
          <w:rFonts w:asciiTheme="minorHAnsi" w:hAnsiTheme="minorHAnsi"/>
        </w:rPr>
        <w:t xml:space="preserve">may be eligible </w:t>
      </w:r>
      <w:r w:rsidR="00292088">
        <w:rPr>
          <w:rFonts w:asciiTheme="minorHAnsi" w:hAnsiTheme="minorHAnsi"/>
        </w:rPr>
        <w:t>to take advantage of</w:t>
      </w:r>
      <w:r w:rsidR="00602DC9">
        <w:rPr>
          <w:rFonts w:asciiTheme="minorHAnsi" w:hAnsiTheme="minorHAnsi"/>
        </w:rPr>
        <w:t xml:space="preserve"> a </w:t>
      </w:r>
      <w:r w:rsidR="00791A79">
        <w:rPr>
          <w:rFonts w:asciiTheme="minorHAnsi" w:hAnsiTheme="minorHAnsi"/>
        </w:rPr>
        <w:t>change</w:t>
      </w:r>
      <w:r w:rsidR="00602DC9">
        <w:rPr>
          <w:rFonts w:asciiTheme="minorHAnsi" w:hAnsiTheme="minorHAnsi"/>
        </w:rPr>
        <w:t xml:space="preserve"> in</w:t>
      </w:r>
      <w:r w:rsidRPr="009428B1">
        <w:rPr>
          <w:rFonts w:asciiTheme="minorHAnsi" w:hAnsiTheme="minorHAnsi"/>
        </w:rPr>
        <w:t xml:space="preserve"> the current reporting arrangement </w:t>
      </w:r>
      <w:r w:rsidR="00602DC9">
        <w:rPr>
          <w:rFonts w:asciiTheme="minorHAnsi" w:hAnsiTheme="minorHAnsi"/>
        </w:rPr>
        <w:t>of</w:t>
      </w:r>
      <w:r w:rsidRPr="009428B1">
        <w:rPr>
          <w:rFonts w:asciiTheme="minorHAnsi" w:hAnsiTheme="minorHAnsi"/>
        </w:rPr>
        <w:t xml:space="preserve"> two detailed reports at 6</w:t>
      </w:r>
      <w:r w:rsidR="00602DC9">
        <w:rPr>
          <w:rFonts w:asciiTheme="minorHAnsi" w:hAnsiTheme="minorHAnsi"/>
        </w:rPr>
        <w:t xml:space="preserve"> </w:t>
      </w:r>
      <w:r w:rsidRPr="009428B1">
        <w:rPr>
          <w:rFonts w:asciiTheme="minorHAnsi" w:hAnsiTheme="minorHAnsi"/>
        </w:rPr>
        <w:t xml:space="preserve">month intervals to a single </w:t>
      </w:r>
      <w:r w:rsidR="00602DC9">
        <w:rPr>
          <w:rFonts w:asciiTheme="minorHAnsi" w:hAnsiTheme="minorHAnsi"/>
        </w:rPr>
        <w:t>annual</w:t>
      </w:r>
      <w:r w:rsidRPr="009428B1">
        <w:rPr>
          <w:rFonts w:asciiTheme="minorHAnsi" w:hAnsiTheme="minorHAnsi"/>
        </w:rPr>
        <w:t xml:space="preserve"> detailed report (including supporting evidence) and a small progress update at the mid-point of this annual report</w:t>
      </w:r>
      <w:r w:rsidR="00602DC9">
        <w:rPr>
          <w:rFonts w:asciiTheme="minorHAnsi" w:hAnsiTheme="minorHAnsi"/>
        </w:rPr>
        <w:t xml:space="preserve">. This will be </w:t>
      </w:r>
      <w:r w:rsidRPr="009428B1">
        <w:rPr>
          <w:rFonts w:asciiTheme="minorHAnsi" w:hAnsiTheme="minorHAnsi"/>
        </w:rPr>
        <w:t xml:space="preserve">done through </w:t>
      </w:r>
      <w:r w:rsidR="00F200D3">
        <w:rPr>
          <w:rFonts w:asciiTheme="minorHAnsi" w:hAnsiTheme="minorHAnsi"/>
        </w:rPr>
        <w:t>a streamlined stage report</w:t>
      </w:r>
      <w:r w:rsidRPr="009428B1">
        <w:rPr>
          <w:rFonts w:asciiTheme="minorHAnsi" w:hAnsiTheme="minorHAnsi"/>
        </w:rPr>
        <w:t xml:space="preserve"> in MERIT. </w:t>
      </w:r>
    </w:p>
    <w:p w14:paraId="278A57F5" w14:textId="77777777" w:rsidR="009428B1" w:rsidRPr="009428B1" w:rsidRDefault="009428B1" w:rsidP="009428B1">
      <w:pPr>
        <w:spacing w:before="60" w:after="0" w:line="240" w:lineRule="auto"/>
        <w:rPr>
          <w:rFonts w:asciiTheme="minorHAnsi" w:hAnsiTheme="minorHAnsi"/>
        </w:rPr>
      </w:pPr>
      <w:r w:rsidRPr="009428B1">
        <w:rPr>
          <w:rFonts w:asciiTheme="minorHAnsi" w:hAnsiTheme="minorHAnsi"/>
        </w:rPr>
        <w:t>In order for a region</w:t>
      </w:r>
      <w:r w:rsidR="00292088">
        <w:rPr>
          <w:rFonts w:asciiTheme="minorHAnsi" w:hAnsiTheme="minorHAnsi"/>
        </w:rPr>
        <w:t>al NRM organisation</w:t>
      </w:r>
      <w:r w:rsidRPr="009428B1">
        <w:rPr>
          <w:rFonts w:asciiTheme="minorHAnsi" w:hAnsiTheme="minorHAnsi"/>
        </w:rPr>
        <w:t xml:space="preserve"> to qualify for</w:t>
      </w:r>
      <w:r w:rsidR="00791A79">
        <w:rPr>
          <w:rFonts w:asciiTheme="minorHAnsi" w:hAnsiTheme="minorHAnsi"/>
        </w:rPr>
        <w:t xml:space="preserve"> this</w:t>
      </w:r>
      <w:r w:rsidRPr="009428B1">
        <w:rPr>
          <w:rFonts w:asciiTheme="minorHAnsi" w:hAnsiTheme="minorHAnsi"/>
        </w:rPr>
        <w:t xml:space="preserve"> </w:t>
      </w:r>
      <w:r w:rsidR="00904D0D">
        <w:rPr>
          <w:rFonts w:asciiTheme="minorHAnsi" w:hAnsiTheme="minorHAnsi"/>
        </w:rPr>
        <w:t>a</w:t>
      </w:r>
      <w:r w:rsidR="00791A79">
        <w:rPr>
          <w:rFonts w:asciiTheme="minorHAnsi" w:hAnsiTheme="minorHAnsi"/>
        </w:rPr>
        <w:t>nnual</w:t>
      </w:r>
      <w:r w:rsidR="00904D0D" w:rsidRPr="009428B1">
        <w:rPr>
          <w:rFonts w:asciiTheme="minorHAnsi" w:hAnsiTheme="minorHAnsi"/>
        </w:rPr>
        <w:t xml:space="preserve"> reporting arrangement</w:t>
      </w:r>
      <w:r w:rsidR="00791A79">
        <w:rPr>
          <w:rFonts w:asciiTheme="minorHAnsi" w:hAnsiTheme="minorHAnsi"/>
        </w:rPr>
        <w:t>s</w:t>
      </w:r>
      <w:r w:rsidR="00292088">
        <w:rPr>
          <w:rFonts w:asciiTheme="minorHAnsi" w:hAnsiTheme="minorHAnsi"/>
        </w:rPr>
        <w:t>,</w:t>
      </w:r>
      <w:r w:rsidRPr="009428B1">
        <w:rPr>
          <w:rFonts w:asciiTheme="minorHAnsi" w:hAnsiTheme="minorHAnsi"/>
        </w:rPr>
        <w:t xml:space="preserve"> they will need to meet the following conditions:</w:t>
      </w:r>
    </w:p>
    <w:p w14:paraId="278A57F6" w14:textId="77777777" w:rsidR="009428B1" w:rsidRPr="00292088" w:rsidRDefault="009428B1" w:rsidP="00D45A8A">
      <w:pPr>
        <w:pStyle w:val="ListBullet"/>
        <w:numPr>
          <w:ilvl w:val="0"/>
          <w:numId w:val="8"/>
        </w:numPr>
        <w:spacing w:after="0" w:line="240" w:lineRule="auto"/>
        <w:ind w:left="709" w:hanging="349"/>
        <w:rPr>
          <w:rFonts w:asciiTheme="minorHAnsi" w:hAnsiTheme="minorHAnsi"/>
          <w:lang w:eastAsia="en-AU"/>
        </w:rPr>
      </w:pPr>
      <w:r w:rsidRPr="00292088">
        <w:rPr>
          <w:rFonts w:asciiTheme="minorHAnsi" w:hAnsiTheme="minorHAnsi"/>
          <w:lang w:eastAsia="en-AU"/>
        </w:rPr>
        <w:t xml:space="preserve">Are able to demonstrate that they are meeting all of the expected practices against </w:t>
      </w:r>
      <w:r w:rsidRPr="00292088">
        <w:rPr>
          <w:rFonts w:asciiTheme="minorHAnsi" w:hAnsiTheme="minorHAnsi"/>
          <w:u w:val="single"/>
          <w:lang w:eastAsia="en-AU"/>
        </w:rPr>
        <w:t>all</w:t>
      </w:r>
      <w:r w:rsidR="005B5348">
        <w:rPr>
          <w:rFonts w:asciiTheme="minorHAnsi" w:hAnsiTheme="minorHAnsi"/>
          <w:lang w:eastAsia="en-AU"/>
        </w:rPr>
        <w:t xml:space="preserve"> five performance expectations;</w:t>
      </w:r>
    </w:p>
    <w:p w14:paraId="278A57F7" w14:textId="1D1AEFB3" w:rsidR="009428B1" w:rsidRPr="005B5348" w:rsidRDefault="009428B1" w:rsidP="005B5348">
      <w:pPr>
        <w:pStyle w:val="ListBullet"/>
        <w:numPr>
          <w:ilvl w:val="0"/>
          <w:numId w:val="8"/>
        </w:numPr>
        <w:spacing w:after="0" w:line="240" w:lineRule="auto"/>
        <w:ind w:left="709" w:hanging="349"/>
        <w:rPr>
          <w:rFonts w:asciiTheme="minorHAnsi" w:hAnsiTheme="minorHAnsi"/>
          <w:lang w:eastAsia="en-AU"/>
        </w:rPr>
      </w:pPr>
      <w:r w:rsidRPr="005B5348">
        <w:rPr>
          <w:rFonts w:asciiTheme="minorHAnsi" w:hAnsiTheme="minorHAnsi"/>
          <w:lang w:eastAsia="en-AU"/>
        </w:rPr>
        <w:lastRenderedPageBreak/>
        <w:t xml:space="preserve">Do not have overdue reports to the Australian Government for any </w:t>
      </w:r>
      <w:r w:rsidR="00904D0D" w:rsidRPr="005B5348">
        <w:rPr>
          <w:rFonts w:asciiTheme="minorHAnsi" w:hAnsiTheme="minorHAnsi"/>
          <w:lang w:eastAsia="en-AU"/>
        </w:rPr>
        <w:t xml:space="preserve">NRM </w:t>
      </w:r>
      <w:r w:rsidRPr="005B5348">
        <w:rPr>
          <w:rFonts w:asciiTheme="minorHAnsi" w:hAnsiTheme="minorHAnsi"/>
          <w:lang w:eastAsia="en-AU"/>
        </w:rPr>
        <w:t>projects being managed by their organisation (in</w:t>
      </w:r>
      <w:r w:rsidR="00292088" w:rsidRPr="005B5348">
        <w:rPr>
          <w:rFonts w:asciiTheme="minorHAnsi" w:hAnsiTheme="minorHAnsi"/>
          <w:lang w:eastAsia="en-AU"/>
        </w:rPr>
        <w:t>cluding Biodiversity Fund, NRM Planning for Climate C</w:t>
      </w:r>
      <w:r w:rsidRPr="005B5348">
        <w:rPr>
          <w:rFonts w:asciiTheme="minorHAnsi" w:hAnsiTheme="minorHAnsi"/>
          <w:lang w:eastAsia="en-AU"/>
        </w:rPr>
        <w:t>hange</w:t>
      </w:r>
      <w:r w:rsidR="00904D0D" w:rsidRPr="005B5348">
        <w:rPr>
          <w:rFonts w:asciiTheme="minorHAnsi" w:hAnsiTheme="minorHAnsi"/>
          <w:lang w:eastAsia="en-AU"/>
        </w:rPr>
        <w:t>, Local programmes,</w:t>
      </w:r>
      <w:r w:rsidRPr="005B5348">
        <w:rPr>
          <w:rFonts w:asciiTheme="minorHAnsi" w:hAnsiTheme="minorHAnsi"/>
          <w:lang w:eastAsia="en-AU"/>
        </w:rPr>
        <w:t xml:space="preserve"> </w:t>
      </w:r>
      <w:r w:rsidR="00904D0D" w:rsidRPr="005B5348">
        <w:rPr>
          <w:rFonts w:asciiTheme="minorHAnsi" w:hAnsiTheme="minorHAnsi"/>
          <w:lang w:eastAsia="en-AU"/>
        </w:rPr>
        <w:t>20 Million Trees, 25th</w:t>
      </w:r>
      <w:r w:rsidR="005B5348" w:rsidRPr="005B5348">
        <w:rPr>
          <w:rFonts w:asciiTheme="minorHAnsi" w:hAnsiTheme="minorHAnsi"/>
          <w:lang w:eastAsia="en-AU"/>
        </w:rPr>
        <w:t xml:space="preserve"> Anniversary Landcare Grants 2014-15, Sustainable Agriculture Small Grants </w:t>
      </w:r>
      <w:r w:rsidRPr="005B5348">
        <w:rPr>
          <w:rFonts w:asciiTheme="minorHAnsi" w:hAnsiTheme="minorHAnsi"/>
          <w:lang w:eastAsia="en-AU"/>
        </w:rPr>
        <w:t>etc</w:t>
      </w:r>
      <w:r w:rsidR="00A13EEC">
        <w:rPr>
          <w:rFonts w:asciiTheme="minorHAnsi" w:hAnsiTheme="minorHAnsi"/>
          <w:lang w:eastAsia="en-AU"/>
        </w:rPr>
        <w:t>.</w:t>
      </w:r>
      <w:r w:rsidRPr="005B5348">
        <w:rPr>
          <w:rFonts w:asciiTheme="minorHAnsi" w:hAnsiTheme="minorHAnsi"/>
          <w:lang w:eastAsia="en-AU"/>
        </w:rPr>
        <w:t>)</w:t>
      </w:r>
      <w:r w:rsidR="005B5348">
        <w:rPr>
          <w:rFonts w:asciiTheme="minorHAnsi" w:hAnsiTheme="minorHAnsi"/>
          <w:lang w:eastAsia="en-AU"/>
        </w:rPr>
        <w:t>; and</w:t>
      </w:r>
    </w:p>
    <w:p w14:paraId="278A57F8" w14:textId="77777777" w:rsidR="009428B1" w:rsidRPr="00292088" w:rsidRDefault="00292088" w:rsidP="00D45A8A">
      <w:pPr>
        <w:pStyle w:val="ListBullet"/>
        <w:numPr>
          <w:ilvl w:val="0"/>
          <w:numId w:val="8"/>
        </w:numPr>
        <w:spacing w:after="0" w:line="240" w:lineRule="auto"/>
        <w:ind w:left="709" w:hanging="349"/>
        <w:rPr>
          <w:rFonts w:asciiTheme="minorHAnsi" w:hAnsiTheme="minorHAnsi"/>
          <w:lang w:eastAsia="en-AU"/>
        </w:rPr>
      </w:pPr>
      <w:r>
        <w:rPr>
          <w:rFonts w:asciiTheme="minorHAnsi" w:hAnsiTheme="minorHAnsi"/>
          <w:lang w:eastAsia="en-AU"/>
        </w:rPr>
        <w:t>Are a</w:t>
      </w:r>
      <w:r w:rsidR="009428B1" w:rsidRPr="00292088">
        <w:rPr>
          <w:rFonts w:asciiTheme="minorHAnsi" w:hAnsiTheme="minorHAnsi"/>
          <w:lang w:eastAsia="en-AU"/>
        </w:rPr>
        <w:t xml:space="preserve">ble to demonstrate a commitment to operate in the spirit of the arrangements of </w:t>
      </w:r>
      <w:r w:rsidR="00791A79">
        <w:rPr>
          <w:rFonts w:asciiTheme="minorHAnsi" w:hAnsiTheme="minorHAnsi"/>
          <w:lang w:eastAsia="en-AU"/>
        </w:rPr>
        <w:t>annual</w:t>
      </w:r>
      <w:r w:rsidR="009428B1" w:rsidRPr="00292088">
        <w:rPr>
          <w:rFonts w:asciiTheme="minorHAnsi" w:hAnsiTheme="minorHAnsi"/>
          <w:lang w:eastAsia="en-AU"/>
        </w:rPr>
        <w:t xml:space="preserve"> reporting by: </w:t>
      </w:r>
    </w:p>
    <w:p w14:paraId="278A57F9" w14:textId="77777777" w:rsidR="009428B1" w:rsidRPr="00292088" w:rsidRDefault="009428B1" w:rsidP="00D45A8A">
      <w:pPr>
        <w:pStyle w:val="ListBullet"/>
        <w:numPr>
          <w:ilvl w:val="0"/>
          <w:numId w:val="8"/>
        </w:numPr>
        <w:spacing w:after="0" w:line="240" w:lineRule="auto"/>
        <w:ind w:left="1134" w:hanging="349"/>
        <w:rPr>
          <w:rFonts w:asciiTheme="minorHAnsi" w:hAnsiTheme="minorHAnsi"/>
          <w:lang w:eastAsia="en-AU"/>
        </w:rPr>
      </w:pPr>
      <w:r w:rsidRPr="00292088">
        <w:rPr>
          <w:rFonts w:asciiTheme="minorHAnsi" w:hAnsiTheme="minorHAnsi"/>
          <w:lang w:eastAsia="en-AU"/>
        </w:rPr>
        <w:t>regularly entering data in MERIT throughout the calendar year (minimum of every six months)</w:t>
      </w:r>
      <w:r w:rsidR="00B249E4">
        <w:rPr>
          <w:rFonts w:asciiTheme="minorHAnsi" w:hAnsiTheme="minorHAnsi"/>
          <w:lang w:eastAsia="en-AU"/>
        </w:rPr>
        <w:t>;</w:t>
      </w:r>
    </w:p>
    <w:p w14:paraId="278A57FA" w14:textId="7580C36D" w:rsidR="009428B1" w:rsidRPr="00292088" w:rsidRDefault="009428B1" w:rsidP="00D45A8A">
      <w:pPr>
        <w:pStyle w:val="ListBullet"/>
        <w:numPr>
          <w:ilvl w:val="0"/>
          <w:numId w:val="8"/>
        </w:numPr>
        <w:spacing w:after="0" w:line="240" w:lineRule="auto"/>
        <w:ind w:left="1134" w:hanging="349"/>
        <w:rPr>
          <w:rFonts w:asciiTheme="minorHAnsi" w:hAnsiTheme="minorHAnsi"/>
          <w:lang w:eastAsia="en-AU"/>
        </w:rPr>
      </w:pPr>
      <w:r w:rsidRPr="00292088">
        <w:rPr>
          <w:rFonts w:asciiTheme="minorHAnsi" w:hAnsiTheme="minorHAnsi"/>
          <w:lang w:eastAsia="en-AU"/>
        </w:rPr>
        <w:t>maintain</w:t>
      </w:r>
      <w:r w:rsidR="00B249E4">
        <w:rPr>
          <w:rFonts w:asciiTheme="minorHAnsi" w:hAnsiTheme="minorHAnsi"/>
          <w:lang w:eastAsia="en-AU"/>
        </w:rPr>
        <w:t>ing regular contact with their D</w:t>
      </w:r>
      <w:r w:rsidRPr="00292088">
        <w:rPr>
          <w:rFonts w:asciiTheme="minorHAnsi" w:hAnsiTheme="minorHAnsi"/>
          <w:lang w:eastAsia="en-AU"/>
        </w:rPr>
        <w:t xml:space="preserve">epartmental </w:t>
      </w:r>
      <w:r w:rsidR="00A13EEC">
        <w:rPr>
          <w:rFonts w:asciiTheme="minorHAnsi" w:hAnsiTheme="minorHAnsi"/>
          <w:lang w:eastAsia="en-AU"/>
        </w:rPr>
        <w:t>G</w:t>
      </w:r>
      <w:r w:rsidR="00A13EEC" w:rsidRPr="00292088">
        <w:rPr>
          <w:rFonts w:asciiTheme="minorHAnsi" w:hAnsiTheme="minorHAnsi"/>
          <w:lang w:eastAsia="en-AU"/>
        </w:rPr>
        <w:t xml:space="preserve">rant </w:t>
      </w:r>
      <w:r w:rsidR="00A13EEC">
        <w:rPr>
          <w:rFonts w:asciiTheme="minorHAnsi" w:hAnsiTheme="minorHAnsi"/>
          <w:lang w:eastAsia="en-AU"/>
        </w:rPr>
        <w:t>M</w:t>
      </w:r>
      <w:r w:rsidRPr="00292088">
        <w:rPr>
          <w:rFonts w:asciiTheme="minorHAnsi" w:hAnsiTheme="minorHAnsi"/>
          <w:lang w:eastAsia="en-AU"/>
        </w:rPr>
        <w:t>anager to ensure that the detailed annual report</w:t>
      </w:r>
      <w:r w:rsidR="00B249E4">
        <w:rPr>
          <w:rFonts w:asciiTheme="minorHAnsi" w:hAnsiTheme="minorHAnsi"/>
          <w:lang w:eastAsia="en-AU"/>
        </w:rPr>
        <w:t>s</w:t>
      </w:r>
      <w:r w:rsidRPr="00292088">
        <w:rPr>
          <w:rFonts w:asciiTheme="minorHAnsi" w:hAnsiTheme="minorHAnsi"/>
          <w:lang w:eastAsia="en-AU"/>
        </w:rPr>
        <w:t xml:space="preserve"> are comprehensive, accurate, supported by evidence, on-time and do not require signif</w:t>
      </w:r>
      <w:r w:rsidR="00B249E4">
        <w:rPr>
          <w:rFonts w:asciiTheme="minorHAnsi" w:hAnsiTheme="minorHAnsi"/>
          <w:lang w:eastAsia="en-AU"/>
        </w:rPr>
        <w:t>icant revision and resubmission; and</w:t>
      </w:r>
    </w:p>
    <w:p w14:paraId="278A57FB" w14:textId="77777777" w:rsidR="009428B1" w:rsidRPr="00292088" w:rsidRDefault="00B249E4" w:rsidP="00D45A8A">
      <w:pPr>
        <w:pStyle w:val="ListBullet"/>
        <w:numPr>
          <w:ilvl w:val="0"/>
          <w:numId w:val="8"/>
        </w:numPr>
        <w:spacing w:after="0" w:line="240" w:lineRule="auto"/>
        <w:ind w:left="1134" w:hanging="349"/>
        <w:rPr>
          <w:rFonts w:asciiTheme="minorHAnsi" w:hAnsiTheme="minorHAnsi"/>
          <w:lang w:eastAsia="en-AU"/>
        </w:rPr>
      </w:pPr>
      <w:proofErr w:type="gramStart"/>
      <w:r>
        <w:rPr>
          <w:rFonts w:asciiTheme="minorHAnsi" w:hAnsiTheme="minorHAnsi"/>
          <w:lang w:eastAsia="en-AU"/>
        </w:rPr>
        <w:t>l</w:t>
      </w:r>
      <w:r w:rsidR="009428B1" w:rsidRPr="00292088">
        <w:rPr>
          <w:rFonts w:asciiTheme="minorHAnsi" w:hAnsiTheme="minorHAnsi"/>
          <w:lang w:eastAsia="en-AU"/>
        </w:rPr>
        <w:t>inking</w:t>
      </w:r>
      <w:proofErr w:type="gramEnd"/>
      <w:r w:rsidR="009428B1" w:rsidRPr="00292088">
        <w:rPr>
          <w:rFonts w:asciiTheme="minorHAnsi" w:hAnsiTheme="minorHAnsi"/>
          <w:lang w:eastAsia="en-AU"/>
        </w:rPr>
        <w:t xml:space="preserve"> sites to ac</w:t>
      </w:r>
      <w:r>
        <w:rPr>
          <w:rFonts w:asciiTheme="minorHAnsi" w:hAnsiTheme="minorHAnsi"/>
          <w:lang w:eastAsia="en-AU"/>
        </w:rPr>
        <w:t>tivities, in turn allowing the D</w:t>
      </w:r>
      <w:r w:rsidR="009428B1" w:rsidRPr="00292088">
        <w:rPr>
          <w:rFonts w:asciiTheme="minorHAnsi" w:hAnsiTheme="minorHAnsi"/>
          <w:lang w:eastAsia="en-AU"/>
        </w:rPr>
        <w:t xml:space="preserve">epartment to </w:t>
      </w:r>
      <w:r w:rsidR="00791A79">
        <w:rPr>
          <w:rFonts w:asciiTheme="minorHAnsi" w:hAnsiTheme="minorHAnsi"/>
          <w:lang w:eastAsia="en-AU"/>
        </w:rPr>
        <w:t>better</w:t>
      </w:r>
      <w:r w:rsidR="009428B1" w:rsidRPr="00292088">
        <w:rPr>
          <w:rFonts w:asciiTheme="minorHAnsi" w:hAnsiTheme="minorHAnsi"/>
          <w:lang w:eastAsia="en-AU"/>
        </w:rPr>
        <w:t xml:space="preserve"> understand where investment is being directed and outcomes are being achieved.</w:t>
      </w:r>
    </w:p>
    <w:p w14:paraId="278A57FC" w14:textId="67D62B00" w:rsidR="009A68CD" w:rsidRDefault="009A68CD" w:rsidP="009428B1">
      <w:pPr>
        <w:pStyle w:val="ListNumber2"/>
        <w:numPr>
          <w:ilvl w:val="0"/>
          <w:numId w:val="0"/>
        </w:numPr>
        <w:spacing w:before="60" w:after="0" w:line="240" w:lineRule="auto"/>
        <w:rPr>
          <w:rFonts w:asciiTheme="minorHAnsi" w:hAnsiTheme="minorHAnsi"/>
        </w:rPr>
      </w:pPr>
      <w:r w:rsidRPr="007469FF">
        <w:rPr>
          <w:rFonts w:asciiTheme="minorHAnsi" w:hAnsiTheme="minorHAnsi"/>
        </w:rPr>
        <w:t xml:space="preserve">The implementation of this arrangement </w:t>
      </w:r>
      <w:r>
        <w:rPr>
          <w:rFonts w:asciiTheme="minorHAnsi" w:hAnsiTheme="minorHAnsi"/>
        </w:rPr>
        <w:t>carries a number of risks</w:t>
      </w:r>
      <w:r w:rsidR="00A13EEC">
        <w:rPr>
          <w:rFonts w:asciiTheme="minorHAnsi" w:hAnsiTheme="minorHAnsi"/>
        </w:rPr>
        <w:t>, so</w:t>
      </w:r>
      <w:r>
        <w:rPr>
          <w:rFonts w:asciiTheme="minorHAnsi" w:hAnsiTheme="minorHAnsi"/>
        </w:rPr>
        <w:t xml:space="preserve"> for the Australian Government</w:t>
      </w:r>
      <w:r w:rsidRPr="007469FF">
        <w:rPr>
          <w:rFonts w:asciiTheme="minorHAnsi" w:hAnsiTheme="minorHAnsi"/>
        </w:rPr>
        <w:t xml:space="preserve"> to effectively mitigate these risks and realise the benefits and efficiencies</w:t>
      </w:r>
      <w:r>
        <w:rPr>
          <w:rFonts w:asciiTheme="minorHAnsi" w:hAnsiTheme="minorHAnsi"/>
        </w:rPr>
        <w:t>,</w:t>
      </w:r>
      <w:r w:rsidRPr="007469FF">
        <w:rPr>
          <w:rFonts w:asciiTheme="minorHAnsi" w:hAnsiTheme="minorHAnsi"/>
        </w:rPr>
        <w:t xml:space="preserve"> region</w:t>
      </w:r>
      <w:r>
        <w:rPr>
          <w:rFonts w:asciiTheme="minorHAnsi" w:hAnsiTheme="minorHAnsi"/>
        </w:rPr>
        <w:t>al NRM organisation</w:t>
      </w:r>
      <w:r w:rsidRPr="007469FF">
        <w:rPr>
          <w:rFonts w:asciiTheme="minorHAnsi" w:hAnsiTheme="minorHAnsi"/>
        </w:rPr>
        <w:t xml:space="preserve">s will be required to operate in the spirit of </w:t>
      </w:r>
      <w:r w:rsidR="00791A79">
        <w:rPr>
          <w:rFonts w:asciiTheme="minorHAnsi" w:hAnsiTheme="minorHAnsi"/>
        </w:rPr>
        <w:t>annual</w:t>
      </w:r>
      <w:r w:rsidRPr="007469FF">
        <w:rPr>
          <w:rFonts w:asciiTheme="minorHAnsi" w:hAnsiTheme="minorHAnsi"/>
        </w:rPr>
        <w:t xml:space="preserve"> reporting as set out above to ensure reporting is high quality, comprehensive, and on time. </w:t>
      </w:r>
    </w:p>
    <w:p w14:paraId="278A57FD" w14:textId="77777777" w:rsidR="009428B1" w:rsidRPr="009428B1" w:rsidRDefault="00791A79" w:rsidP="009428B1">
      <w:pPr>
        <w:pStyle w:val="ListNumber2"/>
        <w:numPr>
          <w:ilvl w:val="0"/>
          <w:numId w:val="0"/>
        </w:numPr>
        <w:spacing w:before="60" w:after="0" w:line="240" w:lineRule="auto"/>
        <w:rPr>
          <w:rFonts w:asciiTheme="minorHAnsi" w:hAnsiTheme="minorHAnsi"/>
        </w:rPr>
      </w:pPr>
      <w:r>
        <w:rPr>
          <w:rFonts w:asciiTheme="minorHAnsi" w:hAnsiTheme="minorHAnsi"/>
        </w:rPr>
        <w:t xml:space="preserve">Annual </w:t>
      </w:r>
      <w:r w:rsidR="009428B1" w:rsidRPr="009428B1">
        <w:rPr>
          <w:rFonts w:asciiTheme="minorHAnsi" w:hAnsiTheme="minorHAnsi"/>
        </w:rPr>
        <w:t xml:space="preserve">reporting is a privilege, not a right, and the </w:t>
      </w:r>
      <w:r w:rsidR="009A68CD">
        <w:rPr>
          <w:rFonts w:asciiTheme="minorHAnsi" w:hAnsiTheme="minorHAnsi"/>
        </w:rPr>
        <w:t>Australian Government</w:t>
      </w:r>
      <w:r w:rsidR="009428B1" w:rsidRPr="009428B1">
        <w:rPr>
          <w:rFonts w:asciiTheme="minorHAnsi" w:hAnsiTheme="minorHAnsi"/>
        </w:rPr>
        <w:t xml:space="preserve"> reserves the right to determine which regional NRM organisations are eligible to participate in the arrangements. </w:t>
      </w:r>
    </w:p>
    <w:p w14:paraId="278A57FE" w14:textId="77777777" w:rsidR="009754A4" w:rsidRPr="009754A4" w:rsidRDefault="009754A4" w:rsidP="009754A4">
      <w:pPr>
        <w:pStyle w:val="ListBullet"/>
        <w:numPr>
          <w:ilvl w:val="0"/>
          <w:numId w:val="0"/>
        </w:numPr>
        <w:shd w:val="clear" w:color="auto" w:fill="C2D69B" w:themeFill="accent3" w:themeFillTint="99"/>
        <w:spacing w:before="240" w:after="0" w:line="240" w:lineRule="auto"/>
        <w:rPr>
          <w:rFonts w:asciiTheme="minorHAnsi" w:hAnsiTheme="minorHAnsi"/>
          <w:color w:val="4F6228" w:themeColor="accent3" w:themeShade="80"/>
          <w:sz w:val="8"/>
          <w:szCs w:val="8"/>
        </w:rPr>
      </w:pPr>
    </w:p>
    <w:p w14:paraId="278A57FF" w14:textId="77777777" w:rsidR="009754A4" w:rsidRDefault="00F30005" w:rsidP="009754A4">
      <w:pPr>
        <w:pStyle w:val="ListBullet"/>
        <w:numPr>
          <w:ilvl w:val="0"/>
          <w:numId w:val="0"/>
        </w:numPr>
        <w:shd w:val="clear" w:color="auto" w:fill="C2D69B" w:themeFill="accent3" w:themeFillTint="99"/>
        <w:spacing w:after="0" w:line="240" w:lineRule="auto"/>
        <w:rPr>
          <w:rFonts w:asciiTheme="minorHAnsi" w:hAnsiTheme="minorHAnsi"/>
          <w:i/>
          <w:color w:val="4F6228" w:themeColor="accent3" w:themeShade="80"/>
          <w:sz w:val="28"/>
          <w:szCs w:val="28"/>
          <w:lang w:eastAsia="en-AU"/>
        </w:rPr>
      </w:pPr>
      <w:r>
        <w:rPr>
          <w:rFonts w:asciiTheme="minorHAnsi" w:hAnsiTheme="minorHAnsi"/>
          <w:i/>
          <w:color w:val="4F6228" w:themeColor="accent3" w:themeShade="80"/>
          <w:sz w:val="28"/>
          <w:szCs w:val="28"/>
          <w:lang w:eastAsia="en-AU"/>
        </w:rPr>
        <w:t>8</w:t>
      </w:r>
      <w:r w:rsidR="006C0640">
        <w:rPr>
          <w:rFonts w:asciiTheme="minorHAnsi" w:hAnsiTheme="minorHAnsi"/>
          <w:i/>
          <w:color w:val="4F6228" w:themeColor="accent3" w:themeShade="80"/>
          <w:sz w:val="28"/>
          <w:szCs w:val="28"/>
          <w:lang w:eastAsia="en-AU"/>
        </w:rPr>
        <w:t>.</w:t>
      </w:r>
      <w:r w:rsidR="006C0640">
        <w:rPr>
          <w:rFonts w:asciiTheme="minorHAnsi" w:hAnsiTheme="minorHAnsi"/>
          <w:i/>
          <w:color w:val="4F6228" w:themeColor="accent3" w:themeShade="80"/>
          <w:sz w:val="28"/>
          <w:szCs w:val="28"/>
          <w:lang w:eastAsia="en-AU"/>
        </w:rPr>
        <w:tab/>
      </w:r>
      <w:r w:rsidR="009754A4">
        <w:rPr>
          <w:rFonts w:asciiTheme="minorHAnsi" w:hAnsiTheme="minorHAnsi"/>
          <w:i/>
          <w:color w:val="4F6228" w:themeColor="accent3" w:themeShade="80"/>
          <w:sz w:val="28"/>
          <w:szCs w:val="28"/>
          <w:lang w:eastAsia="en-AU"/>
        </w:rPr>
        <w:t>Maintaining annual reporting arrangements</w:t>
      </w:r>
    </w:p>
    <w:p w14:paraId="278A5800" w14:textId="77777777" w:rsidR="009754A4" w:rsidRPr="009754A4" w:rsidRDefault="009754A4" w:rsidP="009754A4">
      <w:pPr>
        <w:pStyle w:val="ListBullet"/>
        <w:numPr>
          <w:ilvl w:val="0"/>
          <w:numId w:val="0"/>
        </w:numPr>
        <w:shd w:val="clear" w:color="auto" w:fill="C2D69B" w:themeFill="accent3" w:themeFillTint="99"/>
        <w:spacing w:after="240" w:line="240" w:lineRule="auto"/>
        <w:rPr>
          <w:rFonts w:asciiTheme="minorHAnsi" w:hAnsiTheme="minorHAnsi"/>
          <w:b/>
          <w:color w:val="4F6228" w:themeColor="accent3" w:themeShade="80"/>
          <w:sz w:val="8"/>
          <w:szCs w:val="8"/>
        </w:rPr>
      </w:pPr>
    </w:p>
    <w:p w14:paraId="278A5801" w14:textId="77777777" w:rsidR="00B65238" w:rsidRPr="007469FF" w:rsidRDefault="00575298" w:rsidP="007469FF">
      <w:pPr>
        <w:pStyle w:val="ListNumber2"/>
        <w:numPr>
          <w:ilvl w:val="0"/>
          <w:numId w:val="0"/>
        </w:numPr>
        <w:spacing w:before="60" w:after="0" w:line="240" w:lineRule="auto"/>
        <w:rPr>
          <w:rFonts w:asciiTheme="minorHAnsi" w:hAnsiTheme="minorHAnsi"/>
        </w:rPr>
      </w:pPr>
      <w:r>
        <w:rPr>
          <w:rFonts w:asciiTheme="minorHAnsi" w:hAnsiTheme="minorHAnsi"/>
        </w:rPr>
        <w:t xml:space="preserve">In order to maintain </w:t>
      </w:r>
      <w:r w:rsidR="00791A79">
        <w:rPr>
          <w:rFonts w:asciiTheme="minorHAnsi" w:hAnsiTheme="minorHAnsi"/>
        </w:rPr>
        <w:t>annual</w:t>
      </w:r>
      <w:r w:rsidRPr="009428B1">
        <w:rPr>
          <w:rFonts w:asciiTheme="minorHAnsi" w:hAnsiTheme="minorHAnsi"/>
        </w:rPr>
        <w:t xml:space="preserve"> reporting arrangement</w:t>
      </w:r>
      <w:r>
        <w:rPr>
          <w:rFonts w:asciiTheme="minorHAnsi" w:hAnsiTheme="minorHAnsi"/>
        </w:rPr>
        <w:t>s a</w:t>
      </w:r>
      <w:r w:rsidRPr="009428B1">
        <w:rPr>
          <w:rFonts w:asciiTheme="minorHAnsi" w:hAnsiTheme="minorHAnsi"/>
        </w:rPr>
        <w:t xml:space="preserve"> </w:t>
      </w:r>
      <w:r>
        <w:rPr>
          <w:rFonts w:asciiTheme="minorHAnsi" w:hAnsiTheme="minorHAnsi"/>
        </w:rPr>
        <w:t>r</w:t>
      </w:r>
      <w:r w:rsidR="00B65238" w:rsidRPr="007469FF">
        <w:rPr>
          <w:rFonts w:asciiTheme="minorHAnsi" w:hAnsiTheme="minorHAnsi"/>
        </w:rPr>
        <w:t>egion</w:t>
      </w:r>
      <w:r>
        <w:rPr>
          <w:rFonts w:asciiTheme="minorHAnsi" w:hAnsiTheme="minorHAnsi"/>
        </w:rPr>
        <w:t>al NRM organisation</w:t>
      </w:r>
      <w:r w:rsidR="00B65238" w:rsidRPr="007469FF">
        <w:rPr>
          <w:rFonts w:asciiTheme="minorHAnsi" w:hAnsiTheme="minorHAnsi"/>
        </w:rPr>
        <w:t xml:space="preserve"> </w:t>
      </w:r>
      <w:r>
        <w:rPr>
          <w:rFonts w:asciiTheme="minorHAnsi" w:hAnsiTheme="minorHAnsi"/>
        </w:rPr>
        <w:t>will be required</w:t>
      </w:r>
      <w:r w:rsidR="00B65238" w:rsidRPr="007469FF">
        <w:rPr>
          <w:rFonts w:asciiTheme="minorHAnsi" w:hAnsiTheme="minorHAnsi"/>
        </w:rPr>
        <w:t xml:space="preserve"> to demonstrate maintenance of the conditions set out above</w:t>
      </w:r>
      <w:r>
        <w:rPr>
          <w:rFonts w:asciiTheme="minorHAnsi" w:hAnsiTheme="minorHAnsi"/>
        </w:rPr>
        <w:t>.</w:t>
      </w:r>
      <w:r w:rsidR="00B65238" w:rsidRPr="007469FF">
        <w:rPr>
          <w:rFonts w:asciiTheme="minorHAnsi" w:hAnsiTheme="minorHAnsi"/>
        </w:rPr>
        <w:t xml:space="preserve"> </w:t>
      </w:r>
    </w:p>
    <w:p w14:paraId="278A5802" w14:textId="1E3C8953" w:rsidR="00AF1652" w:rsidRDefault="00575298" w:rsidP="007469FF">
      <w:pPr>
        <w:pStyle w:val="ListNumber2"/>
        <w:numPr>
          <w:ilvl w:val="0"/>
          <w:numId w:val="0"/>
        </w:numPr>
        <w:spacing w:before="60" w:after="0" w:line="240" w:lineRule="auto"/>
        <w:rPr>
          <w:rFonts w:asciiTheme="minorHAnsi" w:hAnsiTheme="minorHAnsi"/>
        </w:rPr>
      </w:pPr>
      <w:r>
        <w:rPr>
          <w:rFonts w:asciiTheme="minorHAnsi" w:hAnsiTheme="minorHAnsi"/>
        </w:rPr>
        <w:t>Where a regional NRM organisation fails to maintain</w:t>
      </w:r>
      <w:r w:rsidR="000A0CF3">
        <w:rPr>
          <w:rFonts w:asciiTheme="minorHAnsi" w:hAnsiTheme="minorHAnsi"/>
        </w:rPr>
        <w:t xml:space="preserve"> the required conditions for </w:t>
      </w:r>
      <w:r w:rsidR="00791A79">
        <w:rPr>
          <w:rFonts w:asciiTheme="minorHAnsi" w:hAnsiTheme="minorHAnsi"/>
        </w:rPr>
        <w:t>annual</w:t>
      </w:r>
      <w:r w:rsidR="000A0CF3">
        <w:rPr>
          <w:rFonts w:asciiTheme="minorHAnsi" w:hAnsiTheme="minorHAnsi"/>
        </w:rPr>
        <w:t xml:space="preserve"> reporting arrangements, </w:t>
      </w:r>
      <w:r w:rsidR="000A0CF3" w:rsidRPr="007469FF">
        <w:rPr>
          <w:rFonts w:asciiTheme="minorHAnsi" w:hAnsiTheme="minorHAnsi"/>
        </w:rPr>
        <w:t>the region</w:t>
      </w:r>
      <w:r w:rsidR="000A0CF3">
        <w:rPr>
          <w:rFonts w:asciiTheme="minorHAnsi" w:hAnsiTheme="minorHAnsi"/>
        </w:rPr>
        <w:t>al NRM organisation</w:t>
      </w:r>
      <w:r w:rsidR="000A0CF3" w:rsidRPr="007469FF">
        <w:rPr>
          <w:rFonts w:asciiTheme="minorHAnsi" w:hAnsiTheme="minorHAnsi"/>
        </w:rPr>
        <w:t xml:space="preserve"> </w:t>
      </w:r>
      <w:r w:rsidR="000A0CF3">
        <w:rPr>
          <w:rFonts w:asciiTheme="minorHAnsi" w:hAnsiTheme="minorHAnsi"/>
        </w:rPr>
        <w:t>will</w:t>
      </w:r>
      <w:r w:rsidR="000A0CF3" w:rsidRPr="007469FF">
        <w:rPr>
          <w:rFonts w:asciiTheme="minorHAnsi" w:hAnsiTheme="minorHAnsi"/>
        </w:rPr>
        <w:t xml:space="preserve"> be notified of the </w:t>
      </w:r>
      <w:r w:rsidR="000A0CF3">
        <w:rPr>
          <w:rFonts w:asciiTheme="minorHAnsi" w:hAnsiTheme="minorHAnsi"/>
        </w:rPr>
        <w:t>Australian Government’s</w:t>
      </w:r>
      <w:r w:rsidR="000A0CF3" w:rsidRPr="007469FF">
        <w:rPr>
          <w:rFonts w:asciiTheme="minorHAnsi" w:hAnsiTheme="minorHAnsi"/>
        </w:rPr>
        <w:t xml:space="preserve"> concerns and the </w:t>
      </w:r>
      <w:r w:rsidR="000A0CF3">
        <w:rPr>
          <w:rFonts w:asciiTheme="minorHAnsi" w:hAnsiTheme="minorHAnsi"/>
        </w:rPr>
        <w:t>regional NRM organisation</w:t>
      </w:r>
      <w:r w:rsidR="000A0CF3" w:rsidRPr="007469FF">
        <w:rPr>
          <w:rFonts w:asciiTheme="minorHAnsi" w:hAnsiTheme="minorHAnsi"/>
        </w:rPr>
        <w:t xml:space="preserve"> </w:t>
      </w:r>
      <w:r w:rsidR="000A0CF3">
        <w:rPr>
          <w:rFonts w:asciiTheme="minorHAnsi" w:hAnsiTheme="minorHAnsi"/>
        </w:rPr>
        <w:t>will</w:t>
      </w:r>
      <w:r w:rsidR="000A0CF3" w:rsidRPr="007469FF">
        <w:rPr>
          <w:rFonts w:asciiTheme="minorHAnsi" w:hAnsiTheme="minorHAnsi"/>
        </w:rPr>
        <w:t xml:space="preserve"> be given the opportunity to explain</w:t>
      </w:r>
      <w:r w:rsidR="00AF1652">
        <w:rPr>
          <w:rFonts w:asciiTheme="minorHAnsi" w:hAnsiTheme="minorHAnsi"/>
        </w:rPr>
        <w:t xml:space="preserve"> any mitigating circumstances and provide </w:t>
      </w:r>
      <w:r w:rsidR="00AF1652" w:rsidRPr="009754A4">
        <w:rPr>
          <w:rFonts w:asciiTheme="minorHAnsi" w:hAnsiTheme="minorHAnsi"/>
        </w:rPr>
        <w:t xml:space="preserve">a plan to the </w:t>
      </w:r>
      <w:r w:rsidR="00AF1652">
        <w:rPr>
          <w:rFonts w:asciiTheme="minorHAnsi" w:hAnsiTheme="minorHAnsi"/>
        </w:rPr>
        <w:t>Australian Government</w:t>
      </w:r>
      <w:r w:rsidR="003E6030">
        <w:rPr>
          <w:rFonts w:asciiTheme="minorHAnsi" w:hAnsiTheme="minorHAnsi"/>
        </w:rPr>
        <w:t xml:space="preserve">, within </w:t>
      </w:r>
      <w:r w:rsidR="00A13EEC">
        <w:rPr>
          <w:rFonts w:asciiTheme="minorHAnsi" w:hAnsiTheme="minorHAnsi"/>
        </w:rPr>
        <w:t xml:space="preserve">20 business </w:t>
      </w:r>
      <w:r w:rsidR="003E6030">
        <w:rPr>
          <w:rFonts w:asciiTheme="minorHAnsi" w:hAnsiTheme="minorHAnsi"/>
        </w:rPr>
        <w:t>days,</w:t>
      </w:r>
      <w:r w:rsidR="00AF1652" w:rsidRPr="009754A4">
        <w:rPr>
          <w:rFonts w:asciiTheme="minorHAnsi" w:hAnsiTheme="minorHAnsi"/>
        </w:rPr>
        <w:t xml:space="preserve"> outlining how they will address any issues</w:t>
      </w:r>
      <w:r w:rsidR="00AF1652">
        <w:rPr>
          <w:rFonts w:asciiTheme="minorHAnsi" w:hAnsiTheme="minorHAnsi"/>
        </w:rPr>
        <w:t xml:space="preserve"> and return to meeting the conditions within a six month timeframe</w:t>
      </w:r>
      <w:r w:rsidR="000A0CF3" w:rsidRPr="007469FF">
        <w:rPr>
          <w:rFonts w:asciiTheme="minorHAnsi" w:hAnsiTheme="minorHAnsi"/>
        </w:rPr>
        <w:t xml:space="preserve">. </w:t>
      </w:r>
    </w:p>
    <w:p w14:paraId="278A5803" w14:textId="77777777" w:rsidR="00B65238" w:rsidRDefault="00B65238" w:rsidP="007469FF">
      <w:pPr>
        <w:pStyle w:val="ListNumber2"/>
        <w:numPr>
          <w:ilvl w:val="0"/>
          <w:numId w:val="0"/>
        </w:numPr>
        <w:spacing w:before="60" w:after="0" w:line="240" w:lineRule="auto"/>
        <w:rPr>
          <w:rFonts w:asciiTheme="minorHAnsi" w:hAnsiTheme="minorHAnsi"/>
        </w:rPr>
      </w:pPr>
      <w:r w:rsidRPr="007469FF">
        <w:rPr>
          <w:rFonts w:asciiTheme="minorHAnsi" w:hAnsiTheme="minorHAnsi"/>
        </w:rPr>
        <w:t xml:space="preserve">Should </w:t>
      </w:r>
      <w:r w:rsidR="00AF1652">
        <w:rPr>
          <w:rFonts w:asciiTheme="minorHAnsi" w:hAnsiTheme="minorHAnsi"/>
        </w:rPr>
        <w:t xml:space="preserve">a regional NRM organisation not provide a </w:t>
      </w:r>
      <w:r w:rsidR="00B648BC">
        <w:rPr>
          <w:rFonts w:asciiTheme="minorHAnsi" w:hAnsiTheme="minorHAnsi"/>
        </w:rPr>
        <w:t xml:space="preserve">suitable </w:t>
      </w:r>
      <w:r w:rsidR="00AF1652">
        <w:rPr>
          <w:rFonts w:asciiTheme="minorHAnsi" w:hAnsiTheme="minorHAnsi"/>
        </w:rPr>
        <w:t>rea</w:t>
      </w:r>
      <w:r w:rsidR="004307B0">
        <w:rPr>
          <w:rFonts w:asciiTheme="minorHAnsi" w:hAnsiTheme="minorHAnsi"/>
        </w:rPr>
        <w:t>son or plan, or the Australian G</w:t>
      </w:r>
      <w:r w:rsidR="00AF1652">
        <w:rPr>
          <w:rFonts w:asciiTheme="minorHAnsi" w:hAnsiTheme="minorHAnsi"/>
        </w:rPr>
        <w:t>overnment has reason to believe the regional NRM organisation cannot meet the conditions, the regional NRM organisation will</w:t>
      </w:r>
      <w:r w:rsidRPr="007469FF">
        <w:rPr>
          <w:rFonts w:asciiTheme="minorHAnsi" w:hAnsiTheme="minorHAnsi"/>
        </w:rPr>
        <w:t xml:space="preserve"> return to </w:t>
      </w:r>
      <w:r w:rsidR="00BD4B9E">
        <w:rPr>
          <w:rFonts w:asciiTheme="minorHAnsi" w:hAnsiTheme="minorHAnsi"/>
        </w:rPr>
        <w:t>full six</w:t>
      </w:r>
      <w:r w:rsidRPr="007469FF">
        <w:rPr>
          <w:rFonts w:asciiTheme="minorHAnsi" w:hAnsiTheme="minorHAnsi"/>
        </w:rPr>
        <w:t xml:space="preserve"> monthly reporting </w:t>
      </w:r>
      <w:r w:rsidR="00AF1652">
        <w:rPr>
          <w:rFonts w:asciiTheme="minorHAnsi" w:hAnsiTheme="minorHAnsi"/>
        </w:rPr>
        <w:t>until such a time it meets the conditions for a minimum 12 month period.</w:t>
      </w:r>
    </w:p>
    <w:sectPr w:rsidR="00B65238" w:rsidSect="0098509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1134"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A5812" w14:textId="77777777" w:rsidR="00AA2728" w:rsidRDefault="00AA2728" w:rsidP="00A60185">
      <w:pPr>
        <w:spacing w:after="0" w:line="240" w:lineRule="auto"/>
      </w:pPr>
      <w:r>
        <w:separator/>
      </w:r>
    </w:p>
  </w:endnote>
  <w:endnote w:type="continuationSeparator" w:id="0">
    <w:p w14:paraId="278A5813" w14:textId="77777777" w:rsidR="00AA2728" w:rsidRDefault="00AA2728"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5818" w14:textId="77777777" w:rsidR="00AA2728" w:rsidRDefault="006870C9" w:rsidP="00DA32BC">
    <w:pPr>
      <w:pStyle w:val="Footerclassification"/>
    </w:pPr>
    <w:fldSimple w:instr=" DOCPROPERTY DLM \* MERGEFORMAT ">
      <w:r>
        <w:t>For Official Use Only</w:t>
      </w:r>
    </w:fldSimple>
    <w:r w:rsidR="00AA2728">
      <w:fldChar w:fldCharType="begin"/>
    </w:r>
    <w:r w:rsidR="00AA2728">
      <w:instrText xml:space="preserve"> DOCPROPERTY Spacer \* MERGEFORMAT </w:instrText>
    </w:r>
    <w:r w:rsidR="00AA2728">
      <w:fldChar w:fldCharType="end"/>
    </w:r>
    <w:r w:rsidR="00AA2728">
      <w:fldChar w:fldCharType="begin"/>
    </w:r>
    <w:r w:rsidR="00AA2728">
      <w:instrText xml:space="preserve"> DOCPROPERTY SecurityClassification \* MERGEFORMAT </w:instrText>
    </w:r>
    <w:r w:rsidR="00AA272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5819" w14:textId="77777777" w:rsidR="00AA2728" w:rsidRDefault="003E3316">
    <w:pPr>
      <w:pStyle w:val="Footer"/>
      <w:jc w:val="center"/>
    </w:pPr>
    <w:sdt>
      <w:sdtPr>
        <w:id w:val="9243830"/>
        <w:docPartObj>
          <w:docPartGallery w:val="Page Numbers (Bottom of Page)"/>
          <w:docPartUnique/>
        </w:docPartObj>
      </w:sdtPr>
      <w:sdtEndPr/>
      <w:sdtContent>
        <w:r w:rsidR="00CF1902">
          <w:fldChar w:fldCharType="begin"/>
        </w:r>
        <w:r w:rsidR="00CF1902">
          <w:instrText xml:space="preserve"> PAGE   \* MERGEFORMAT </w:instrText>
        </w:r>
        <w:r w:rsidR="00CF1902">
          <w:fldChar w:fldCharType="separate"/>
        </w:r>
        <w:r>
          <w:rPr>
            <w:noProof/>
          </w:rPr>
          <w:t>8</w:t>
        </w:r>
        <w:r w:rsidR="00CF1902">
          <w:rPr>
            <w:noProof/>
          </w:rPr>
          <w:fldChar w:fldCharType="end"/>
        </w:r>
      </w:sdtContent>
    </w:sdt>
    <w:r w:rsidR="00AA272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7BF38" w14:textId="77777777" w:rsidR="003E3316" w:rsidRDefault="003E3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A5810" w14:textId="77777777" w:rsidR="00AA2728" w:rsidRDefault="00AA2728" w:rsidP="00A60185">
      <w:pPr>
        <w:spacing w:after="0" w:line="240" w:lineRule="auto"/>
      </w:pPr>
      <w:r>
        <w:separator/>
      </w:r>
    </w:p>
  </w:footnote>
  <w:footnote w:type="continuationSeparator" w:id="0">
    <w:p w14:paraId="278A5811" w14:textId="77777777" w:rsidR="00AA2728" w:rsidRDefault="00AA2728"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5814" w14:textId="77777777" w:rsidR="00AA2728" w:rsidRDefault="00AA2728" w:rsidP="00DA32BC">
    <w:pPr>
      <w:pStyle w:val="Classification"/>
    </w:pPr>
    <w:r>
      <w:fldChar w:fldCharType="begin"/>
    </w:r>
    <w:r>
      <w:instrText xml:space="preserve"> DOCPROPERTY SecurityClassification \* MERGEFORMAT </w:instrText>
    </w:r>
    <w:r>
      <w:fldChar w:fldCharType="end"/>
    </w:r>
    <w:r>
      <w:fldChar w:fldCharType="begin"/>
    </w:r>
    <w:r>
      <w:instrText xml:space="preserve"> DOCPROPERTY Spacer \* MERGEFORMAT </w:instrText>
    </w:r>
    <w:r>
      <w:fldChar w:fldCharType="end"/>
    </w:r>
    <w:fldSimple w:instr=" DOCPROPERTY DLM \* MERGEFORMAT ">
      <w:r w:rsidR="006870C9">
        <w:t>For Official Use Only</w:t>
      </w:r>
    </w:fldSimple>
  </w:p>
  <w:p w14:paraId="278A5815" w14:textId="77777777" w:rsidR="00AA2728" w:rsidRDefault="00AA2728" w:rsidP="00E45765">
    <w:pPr>
      <w:pStyle w:val="Classification"/>
    </w:pPr>
    <w:r>
      <w:fldChar w:fldCharType="begin"/>
    </w:r>
    <w:r>
      <w:instrText xml:space="preserve"> DOCPROPERTY SecurityClassification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5816" w14:textId="77777777" w:rsidR="00AA2728" w:rsidRDefault="00AA2728" w:rsidP="00872CD3">
    <w:pPr>
      <w:spacing w:after="120" w:line="240" w:lineRule="auto"/>
      <w:jc w:val="right"/>
      <w:rPr>
        <w:rFonts w:asciiTheme="minorHAnsi" w:hAnsiTheme="minorHAnsi"/>
        <w:i/>
      </w:rPr>
    </w:pPr>
    <w:r w:rsidRPr="00872CD3">
      <w:rPr>
        <w:rFonts w:asciiTheme="minorHAnsi" w:hAnsiTheme="minorHAnsi"/>
        <w:i/>
      </w:rPr>
      <w:t>Australian Government Performance Expectations for Regional NRM Organisations</w:t>
    </w:r>
  </w:p>
  <w:p w14:paraId="278A5817" w14:textId="587228A1" w:rsidR="00AA2728" w:rsidRPr="00872CD3" w:rsidRDefault="00BC3525" w:rsidP="00872CD3">
    <w:pPr>
      <w:spacing w:after="120" w:line="240" w:lineRule="auto"/>
      <w:jc w:val="right"/>
    </w:pPr>
    <w:r>
      <w:rPr>
        <w:rFonts w:asciiTheme="minorHAnsi" w:hAnsiTheme="minorHAnsi"/>
        <w:i/>
      </w:rPr>
      <w:t xml:space="preserve">2017 </w:t>
    </w:r>
    <w:r w:rsidR="00AA2728">
      <w:rPr>
        <w:rFonts w:asciiTheme="minorHAnsi" w:hAnsiTheme="minorHAnsi"/>
        <w:i/>
      </w:rPr>
      <w:t xml:space="preserve">Implementation Manual </w:t>
    </w:r>
    <w:r w:rsidR="0048222B" w:rsidRPr="005F1383">
      <w:rPr>
        <w:rFonts w:asciiTheme="minorHAnsi" w:hAnsiTheme="minorHAnsi"/>
        <w:i/>
      </w:rPr>
      <w:t>V</w:t>
    </w:r>
    <w:r>
      <w:rPr>
        <w:rFonts w:asciiTheme="minorHAnsi" w:hAnsiTheme="minorHAnsi"/>
        <w:i/>
      </w:rPr>
      <w:t>1</w:t>
    </w:r>
    <w:r w:rsidR="00AA2728">
      <w:rPr>
        <w:rFonts w:asciiTheme="minorHAnsi" w:hAnsiTheme="minorHAnsi"/>
        <w:i/>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581A" w14:textId="77777777" w:rsidR="00AA2728" w:rsidRDefault="003E3316" w:rsidP="00056893">
    <w:pPr>
      <w:pStyle w:val="Classification"/>
      <w:tabs>
        <w:tab w:val="clear" w:pos="4536"/>
        <w:tab w:val="clear" w:pos="4819"/>
        <w:tab w:val="clear" w:pos="9356"/>
      </w:tabs>
      <w:spacing w:after="0"/>
    </w:pPr>
    <w:sdt>
      <w:sdtPr>
        <w:id w:val="26485394"/>
        <w:docPartObj>
          <w:docPartGallery w:val="Watermarks"/>
          <w:docPartUnique/>
        </w:docPartObj>
      </w:sdtPr>
      <w:sdtEndPr/>
      <w:sdtContent/>
    </w:sdt>
    <w:r w:rsidR="00AA2728" w:rsidRPr="00CC0378">
      <w:rPr>
        <w:noProof/>
      </w:rPr>
      <w:drawing>
        <wp:inline distT="0" distB="0" distL="0" distR="0" wp14:anchorId="278A581B" wp14:editId="278A581C">
          <wp:extent cx="2476500" cy="784225"/>
          <wp:effectExtent l="19050" t="0" r="0" b="0"/>
          <wp:docPr id="3" name="Picture 1" descr="NLP"/>
          <wp:cNvGraphicFramePr/>
          <a:graphic xmlns:a="http://schemas.openxmlformats.org/drawingml/2006/main">
            <a:graphicData uri="http://schemas.openxmlformats.org/drawingml/2006/picture">
              <pic:pic xmlns:pic="http://schemas.openxmlformats.org/drawingml/2006/picture">
                <pic:nvPicPr>
                  <pic:cNvPr id="7" name="Picture 3" descr="NLP"/>
                  <pic:cNvPicPr>
                    <a:picLocks noChangeAspect="1" noChangeArrowheads="1"/>
                  </pic:cNvPicPr>
                </pic:nvPicPr>
                <pic:blipFill>
                  <a:blip r:embed="rId1" cstate="print"/>
                  <a:srcRect/>
                  <a:stretch>
                    <a:fillRect/>
                  </a:stretch>
                </pic:blipFill>
                <pic:spPr bwMode="auto">
                  <a:xfrm>
                    <a:off x="0" y="0"/>
                    <a:ext cx="2477922" cy="784675"/>
                  </a:xfrm>
                  <a:prstGeom prst="rect">
                    <a:avLst/>
                  </a:prstGeom>
                  <a:solidFill>
                    <a:schemeClr val="bg1"/>
                  </a:solid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FD6A4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FE3CB8"/>
    <w:multiLevelType w:val="hybridMultilevel"/>
    <w:tmpl w:val="5D22347A"/>
    <w:lvl w:ilvl="0" w:tplc="3C2E26AA">
      <w:start w:val="1"/>
      <w:numFmt w:val="bullet"/>
      <w:lvlText w:val=""/>
      <w:lvlJc w:val="left"/>
      <w:pPr>
        <w:ind w:left="720" w:hanging="360"/>
      </w:pPr>
      <w:rPr>
        <w:rFonts w:ascii="Wingdings" w:hAnsi="Wingdings" w:hint="default"/>
        <w:color w:val="76923C" w:themeColor="accent3" w:themeShade="BF"/>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56DC8"/>
    <w:multiLevelType w:val="hybridMultilevel"/>
    <w:tmpl w:val="E5D013E0"/>
    <w:lvl w:ilvl="0" w:tplc="2C5417AC">
      <w:start w:val="1"/>
      <w:numFmt w:val="bullet"/>
      <w:lvlText w:val=""/>
      <w:lvlJc w:val="left"/>
      <w:pPr>
        <w:ind w:left="720" w:hanging="360"/>
      </w:pPr>
      <w:rPr>
        <w:rFonts w:ascii="Wingdings" w:hAnsi="Wingdings" w:hint="default"/>
        <w:color w:val="76923C" w:themeColor="accent3" w:themeShade="BF"/>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13450"/>
    <w:multiLevelType w:val="hybridMultilevel"/>
    <w:tmpl w:val="5B7C0E0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147054"/>
    <w:multiLevelType w:val="hybridMultilevel"/>
    <w:tmpl w:val="38AA1DE2"/>
    <w:lvl w:ilvl="0" w:tplc="F9EC9F48">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70234BE"/>
    <w:multiLevelType w:val="hybridMultilevel"/>
    <w:tmpl w:val="F7F4D600"/>
    <w:lvl w:ilvl="0" w:tplc="7896AA46">
      <w:start w:val="1"/>
      <w:numFmt w:val="bullet"/>
      <w:pStyle w:val="ListBullet1a"/>
      <w:lvlText w:val=""/>
      <w:lvlJc w:val="left"/>
      <w:pPr>
        <w:tabs>
          <w:tab w:val="num" w:pos="227"/>
        </w:tabs>
        <w:ind w:left="454" w:hanging="227"/>
      </w:pPr>
      <w:rPr>
        <w:rFonts w:ascii="Symbol" w:hAnsi="Symbol" w:hint="default"/>
        <w:color w:val="auto"/>
      </w:rPr>
    </w:lvl>
    <w:lvl w:ilvl="1" w:tplc="ECC858E0">
      <w:start w:val="1"/>
      <w:numFmt w:val="decimal"/>
      <w:lvlText w:val="%2."/>
      <w:lvlJc w:val="left"/>
      <w:pPr>
        <w:ind w:left="1440" w:hanging="360"/>
      </w:pPr>
      <w:rPr>
        <w:rFonts w:hint="default"/>
      </w:rPr>
    </w:lvl>
    <w:lvl w:ilvl="2" w:tplc="1F3A3804" w:tentative="1">
      <w:start w:val="1"/>
      <w:numFmt w:val="bullet"/>
      <w:lvlText w:val=""/>
      <w:lvlJc w:val="left"/>
      <w:pPr>
        <w:ind w:left="2160" w:hanging="360"/>
      </w:pPr>
      <w:rPr>
        <w:rFonts w:ascii="Wingdings" w:hAnsi="Wingdings" w:hint="default"/>
      </w:rPr>
    </w:lvl>
    <w:lvl w:ilvl="3" w:tplc="747C18D8" w:tentative="1">
      <w:start w:val="1"/>
      <w:numFmt w:val="bullet"/>
      <w:lvlText w:val=""/>
      <w:lvlJc w:val="left"/>
      <w:pPr>
        <w:ind w:left="2880" w:hanging="360"/>
      </w:pPr>
      <w:rPr>
        <w:rFonts w:ascii="Symbol" w:hAnsi="Symbol" w:hint="default"/>
      </w:rPr>
    </w:lvl>
    <w:lvl w:ilvl="4" w:tplc="9D0A0E92" w:tentative="1">
      <w:start w:val="1"/>
      <w:numFmt w:val="bullet"/>
      <w:lvlText w:val="o"/>
      <w:lvlJc w:val="left"/>
      <w:pPr>
        <w:ind w:left="3600" w:hanging="360"/>
      </w:pPr>
      <w:rPr>
        <w:rFonts w:ascii="Courier New" w:hAnsi="Courier New" w:cs="Courier New" w:hint="default"/>
      </w:rPr>
    </w:lvl>
    <w:lvl w:ilvl="5" w:tplc="3222D2EC" w:tentative="1">
      <w:start w:val="1"/>
      <w:numFmt w:val="bullet"/>
      <w:lvlText w:val=""/>
      <w:lvlJc w:val="left"/>
      <w:pPr>
        <w:ind w:left="4320" w:hanging="360"/>
      </w:pPr>
      <w:rPr>
        <w:rFonts w:ascii="Wingdings" w:hAnsi="Wingdings" w:hint="default"/>
      </w:rPr>
    </w:lvl>
    <w:lvl w:ilvl="6" w:tplc="4A8407BC" w:tentative="1">
      <w:start w:val="1"/>
      <w:numFmt w:val="bullet"/>
      <w:lvlText w:val=""/>
      <w:lvlJc w:val="left"/>
      <w:pPr>
        <w:ind w:left="5040" w:hanging="360"/>
      </w:pPr>
      <w:rPr>
        <w:rFonts w:ascii="Symbol" w:hAnsi="Symbol" w:hint="default"/>
      </w:rPr>
    </w:lvl>
    <w:lvl w:ilvl="7" w:tplc="32649E10" w:tentative="1">
      <w:start w:val="1"/>
      <w:numFmt w:val="bullet"/>
      <w:lvlText w:val="o"/>
      <w:lvlJc w:val="left"/>
      <w:pPr>
        <w:ind w:left="5760" w:hanging="360"/>
      </w:pPr>
      <w:rPr>
        <w:rFonts w:ascii="Courier New" w:hAnsi="Courier New" w:cs="Courier New" w:hint="default"/>
      </w:rPr>
    </w:lvl>
    <w:lvl w:ilvl="8" w:tplc="57F81EE4" w:tentative="1">
      <w:start w:val="1"/>
      <w:numFmt w:val="bullet"/>
      <w:lvlText w:val=""/>
      <w:lvlJc w:val="left"/>
      <w:pPr>
        <w:ind w:left="6480" w:hanging="360"/>
      </w:pPr>
      <w:rPr>
        <w:rFonts w:ascii="Wingdings" w:hAnsi="Wingdings" w:hint="default"/>
      </w:rPr>
    </w:lvl>
  </w:abstractNum>
  <w:abstractNum w:abstractNumId="8" w15:restartNumberingAfterBreak="0">
    <w:nsid w:val="2B4C3722"/>
    <w:multiLevelType w:val="hybridMultilevel"/>
    <w:tmpl w:val="B02C2940"/>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407B17"/>
    <w:multiLevelType w:val="hybridMultilevel"/>
    <w:tmpl w:val="030669A4"/>
    <w:lvl w:ilvl="0" w:tplc="21FAB9B4">
      <w:start w:val="1"/>
      <w:numFmt w:val="bullet"/>
      <w:lvlText w:val=""/>
      <w:lvlJc w:val="left"/>
      <w:pPr>
        <w:ind w:left="720" w:hanging="360"/>
      </w:pPr>
      <w:rPr>
        <w:rFonts w:ascii="Symbol" w:hAnsi="Symbol" w:hint="default"/>
      </w:rPr>
    </w:lvl>
    <w:lvl w:ilvl="1" w:tplc="D3CCF36A" w:tentative="1">
      <w:start w:val="1"/>
      <w:numFmt w:val="bullet"/>
      <w:lvlText w:val="o"/>
      <w:lvlJc w:val="left"/>
      <w:pPr>
        <w:ind w:left="1440" w:hanging="360"/>
      </w:pPr>
      <w:rPr>
        <w:rFonts w:ascii="Courier New" w:hAnsi="Courier New" w:cs="Courier New" w:hint="default"/>
      </w:rPr>
    </w:lvl>
    <w:lvl w:ilvl="2" w:tplc="DCECE966" w:tentative="1">
      <w:start w:val="1"/>
      <w:numFmt w:val="bullet"/>
      <w:lvlText w:val=""/>
      <w:lvlJc w:val="left"/>
      <w:pPr>
        <w:ind w:left="2160" w:hanging="360"/>
      </w:pPr>
      <w:rPr>
        <w:rFonts w:ascii="Wingdings" w:hAnsi="Wingdings" w:hint="default"/>
      </w:rPr>
    </w:lvl>
    <w:lvl w:ilvl="3" w:tplc="85DA9378" w:tentative="1">
      <w:start w:val="1"/>
      <w:numFmt w:val="bullet"/>
      <w:lvlText w:val=""/>
      <w:lvlJc w:val="left"/>
      <w:pPr>
        <w:ind w:left="2880" w:hanging="360"/>
      </w:pPr>
      <w:rPr>
        <w:rFonts w:ascii="Symbol" w:hAnsi="Symbol" w:hint="default"/>
      </w:rPr>
    </w:lvl>
    <w:lvl w:ilvl="4" w:tplc="DA56CE40" w:tentative="1">
      <w:start w:val="1"/>
      <w:numFmt w:val="bullet"/>
      <w:lvlText w:val="o"/>
      <w:lvlJc w:val="left"/>
      <w:pPr>
        <w:ind w:left="3600" w:hanging="360"/>
      </w:pPr>
      <w:rPr>
        <w:rFonts w:ascii="Courier New" w:hAnsi="Courier New" w:cs="Courier New" w:hint="default"/>
      </w:rPr>
    </w:lvl>
    <w:lvl w:ilvl="5" w:tplc="EE8E5E9E" w:tentative="1">
      <w:start w:val="1"/>
      <w:numFmt w:val="bullet"/>
      <w:lvlText w:val=""/>
      <w:lvlJc w:val="left"/>
      <w:pPr>
        <w:ind w:left="4320" w:hanging="360"/>
      </w:pPr>
      <w:rPr>
        <w:rFonts w:ascii="Wingdings" w:hAnsi="Wingdings" w:hint="default"/>
      </w:rPr>
    </w:lvl>
    <w:lvl w:ilvl="6" w:tplc="31E44B2E" w:tentative="1">
      <w:start w:val="1"/>
      <w:numFmt w:val="bullet"/>
      <w:lvlText w:val=""/>
      <w:lvlJc w:val="left"/>
      <w:pPr>
        <w:ind w:left="5040" w:hanging="360"/>
      </w:pPr>
      <w:rPr>
        <w:rFonts w:ascii="Symbol" w:hAnsi="Symbol" w:hint="default"/>
      </w:rPr>
    </w:lvl>
    <w:lvl w:ilvl="7" w:tplc="AB0EAA50" w:tentative="1">
      <w:start w:val="1"/>
      <w:numFmt w:val="bullet"/>
      <w:lvlText w:val="o"/>
      <w:lvlJc w:val="left"/>
      <w:pPr>
        <w:ind w:left="5760" w:hanging="360"/>
      </w:pPr>
      <w:rPr>
        <w:rFonts w:ascii="Courier New" w:hAnsi="Courier New" w:cs="Courier New" w:hint="default"/>
      </w:rPr>
    </w:lvl>
    <w:lvl w:ilvl="8" w:tplc="390E39F0"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553776"/>
    <w:multiLevelType w:val="hybridMultilevel"/>
    <w:tmpl w:val="80E8B1EC"/>
    <w:lvl w:ilvl="0" w:tplc="3C2E26AA">
      <w:start w:val="1"/>
      <w:numFmt w:val="bullet"/>
      <w:lvlText w:val=""/>
      <w:lvlJc w:val="left"/>
      <w:pPr>
        <w:ind w:left="720" w:hanging="360"/>
      </w:pPr>
      <w:rPr>
        <w:rFonts w:ascii="Wingdings" w:hAnsi="Wingdings" w:hint="default"/>
        <w:color w:val="76923C" w:themeColor="accent3" w:themeShade="BF"/>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E898CC72"/>
    <w:numStyleLink w:val="KeyPoints"/>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1"/>
  </w:num>
  <w:num w:numId="3">
    <w:abstractNumId w:val="11"/>
  </w:num>
  <w:num w:numId="4">
    <w:abstractNumId w:val="9"/>
  </w:num>
  <w:num w:numId="5">
    <w:abstractNumId w:val="13"/>
  </w:num>
  <w:num w:numId="6">
    <w:abstractNumId w:val="6"/>
  </w:num>
  <w:num w:numId="7">
    <w:abstractNumId w:val="1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3"/>
  </w:num>
  <w:num w:numId="13">
    <w:abstractNumId w:val="4"/>
  </w:num>
  <w:num w:numId="14">
    <w:abstractNumId w:val="8"/>
  </w:num>
  <w:num w:numId="15">
    <w:abstractNumId w:val="6"/>
  </w:num>
  <w:num w:numId="16">
    <w:abstractNumId w:val="6"/>
  </w:num>
  <w:num w:numId="17">
    <w:abstractNumId w:val="6"/>
  </w:num>
  <w:num w:numId="18">
    <w:abstractNumId w:val="0"/>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21" fillcolor="#76923c" strokecolor="none [3041]">
      <v:fill color="#76923c" color2="fill darken(118)" rotate="t" method="linear sigma" focus="-50%" type="gradient"/>
      <v:stroke color="none [3041]" weight="3pt"/>
      <v:shadow on="t" type="perspective" color="none [1606]" opacity=".5" offset="1pt" offset2="-1pt"/>
      <o:colormru v:ext="edit" colors="#81a042"/>
      <o:colormenu v:ext="edit" fillcolor="#81a042" stroke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8303C5"/>
    <w:rsid w:val="000018A5"/>
    <w:rsid w:val="00001E8D"/>
    <w:rsid w:val="00004AEE"/>
    <w:rsid w:val="00005CAA"/>
    <w:rsid w:val="0000691A"/>
    <w:rsid w:val="00006F51"/>
    <w:rsid w:val="00010210"/>
    <w:rsid w:val="00012D66"/>
    <w:rsid w:val="00012EDD"/>
    <w:rsid w:val="0001361D"/>
    <w:rsid w:val="00014234"/>
    <w:rsid w:val="00015ADA"/>
    <w:rsid w:val="00015D00"/>
    <w:rsid w:val="000170EA"/>
    <w:rsid w:val="00020C99"/>
    <w:rsid w:val="00021707"/>
    <w:rsid w:val="00023F01"/>
    <w:rsid w:val="0002707B"/>
    <w:rsid w:val="000309B3"/>
    <w:rsid w:val="00030ABF"/>
    <w:rsid w:val="000310D7"/>
    <w:rsid w:val="00031D2C"/>
    <w:rsid w:val="00031E40"/>
    <w:rsid w:val="0003229A"/>
    <w:rsid w:val="0004170B"/>
    <w:rsid w:val="00043A15"/>
    <w:rsid w:val="00044913"/>
    <w:rsid w:val="0005148E"/>
    <w:rsid w:val="00056893"/>
    <w:rsid w:val="00064FB2"/>
    <w:rsid w:val="00066FBD"/>
    <w:rsid w:val="00071AE5"/>
    <w:rsid w:val="00072C5A"/>
    <w:rsid w:val="000759E5"/>
    <w:rsid w:val="00082C7F"/>
    <w:rsid w:val="00083EBF"/>
    <w:rsid w:val="00084AC6"/>
    <w:rsid w:val="00091608"/>
    <w:rsid w:val="0009333C"/>
    <w:rsid w:val="00095F2F"/>
    <w:rsid w:val="0009704F"/>
    <w:rsid w:val="000A0CF3"/>
    <w:rsid w:val="000A0F11"/>
    <w:rsid w:val="000A125A"/>
    <w:rsid w:val="000A31D7"/>
    <w:rsid w:val="000A4391"/>
    <w:rsid w:val="000A57CD"/>
    <w:rsid w:val="000A62CE"/>
    <w:rsid w:val="000B3758"/>
    <w:rsid w:val="000B49E2"/>
    <w:rsid w:val="000B4C9A"/>
    <w:rsid w:val="000B6261"/>
    <w:rsid w:val="000B7681"/>
    <w:rsid w:val="000B7A9B"/>
    <w:rsid w:val="000B7B42"/>
    <w:rsid w:val="000C02B7"/>
    <w:rsid w:val="000C1951"/>
    <w:rsid w:val="000C2E9C"/>
    <w:rsid w:val="000C5100"/>
    <w:rsid w:val="000C5342"/>
    <w:rsid w:val="000C706A"/>
    <w:rsid w:val="000D2887"/>
    <w:rsid w:val="000D5711"/>
    <w:rsid w:val="000D5B2F"/>
    <w:rsid w:val="000D6D63"/>
    <w:rsid w:val="000D758F"/>
    <w:rsid w:val="000E0081"/>
    <w:rsid w:val="000E07CF"/>
    <w:rsid w:val="000E31C1"/>
    <w:rsid w:val="000E6061"/>
    <w:rsid w:val="000F2CF2"/>
    <w:rsid w:val="000F36EE"/>
    <w:rsid w:val="000F5E51"/>
    <w:rsid w:val="00100BEF"/>
    <w:rsid w:val="0010593F"/>
    <w:rsid w:val="00106607"/>
    <w:rsid w:val="001068E5"/>
    <w:rsid w:val="00111104"/>
    <w:rsid w:val="00111326"/>
    <w:rsid w:val="0011498E"/>
    <w:rsid w:val="00117A45"/>
    <w:rsid w:val="00121399"/>
    <w:rsid w:val="001214C6"/>
    <w:rsid w:val="0012176F"/>
    <w:rsid w:val="001224AE"/>
    <w:rsid w:val="00123B1F"/>
    <w:rsid w:val="00126587"/>
    <w:rsid w:val="001310B7"/>
    <w:rsid w:val="00132A69"/>
    <w:rsid w:val="001337D4"/>
    <w:rsid w:val="00135D58"/>
    <w:rsid w:val="00137A0B"/>
    <w:rsid w:val="0014157F"/>
    <w:rsid w:val="00143D6C"/>
    <w:rsid w:val="00147959"/>
    <w:rsid w:val="00147C12"/>
    <w:rsid w:val="001527A1"/>
    <w:rsid w:val="001530DC"/>
    <w:rsid w:val="00154989"/>
    <w:rsid w:val="00154F51"/>
    <w:rsid w:val="00155A9F"/>
    <w:rsid w:val="001560AB"/>
    <w:rsid w:val="00160262"/>
    <w:rsid w:val="00162CA7"/>
    <w:rsid w:val="001648A1"/>
    <w:rsid w:val="0016780A"/>
    <w:rsid w:val="001713FA"/>
    <w:rsid w:val="001728E3"/>
    <w:rsid w:val="00172F36"/>
    <w:rsid w:val="001738CD"/>
    <w:rsid w:val="00173EBF"/>
    <w:rsid w:val="00175ED3"/>
    <w:rsid w:val="001842A2"/>
    <w:rsid w:val="00187FA8"/>
    <w:rsid w:val="00192F5E"/>
    <w:rsid w:val="00197112"/>
    <w:rsid w:val="00197772"/>
    <w:rsid w:val="001A1A22"/>
    <w:rsid w:val="001A2D98"/>
    <w:rsid w:val="001A3900"/>
    <w:rsid w:val="001A51C8"/>
    <w:rsid w:val="001B3014"/>
    <w:rsid w:val="001B38FC"/>
    <w:rsid w:val="001B4CA8"/>
    <w:rsid w:val="001B51AF"/>
    <w:rsid w:val="001B5EA1"/>
    <w:rsid w:val="001B69E7"/>
    <w:rsid w:val="001C2AB7"/>
    <w:rsid w:val="001C3AA0"/>
    <w:rsid w:val="001C4A1B"/>
    <w:rsid w:val="001C4F3D"/>
    <w:rsid w:val="001D0CDC"/>
    <w:rsid w:val="001D0F91"/>
    <w:rsid w:val="001D1D82"/>
    <w:rsid w:val="001D5278"/>
    <w:rsid w:val="001D6520"/>
    <w:rsid w:val="001E05CB"/>
    <w:rsid w:val="001E1182"/>
    <w:rsid w:val="001E7412"/>
    <w:rsid w:val="001F065D"/>
    <w:rsid w:val="001F3C63"/>
    <w:rsid w:val="00202C90"/>
    <w:rsid w:val="00203FC5"/>
    <w:rsid w:val="00213DE8"/>
    <w:rsid w:val="00216118"/>
    <w:rsid w:val="002209AB"/>
    <w:rsid w:val="00223412"/>
    <w:rsid w:val="002251E3"/>
    <w:rsid w:val="00227A95"/>
    <w:rsid w:val="002316BD"/>
    <w:rsid w:val="00232491"/>
    <w:rsid w:val="0023450B"/>
    <w:rsid w:val="00245FDA"/>
    <w:rsid w:val="00246723"/>
    <w:rsid w:val="002473FC"/>
    <w:rsid w:val="002474F8"/>
    <w:rsid w:val="00252E3C"/>
    <w:rsid w:val="002543C9"/>
    <w:rsid w:val="00257D40"/>
    <w:rsid w:val="00262198"/>
    <w:rsid w:val="00271402"/>
    <w:rsid w:val="00271DD6"/>
    <w:rsid w:val="002750D6"/>
    <w:rsid w:val="00277576"/>
    <w:rsid w:val="00285F1B"/>
    <w:rsid w:val="00286D03"/>
    <w:rsid w:val="002877F1"/>
    <w:rsid w:val="00292088"/>
    <w:rsid w:val="00292B81"/>
    <w:rsid w:val="002B1369"/>
    <w:rsid w:val="002B18AE"/>
    <w:rsid w:val="002B2CAA"/>
    <w:rsid w:val="002B7507"/>
    <w:rsid w:val="002C027C"/>
    <w:rsid w:val="002C1C93"/>
    <w:rsid w:val="002C3B91"/>
    <w:rsid w:val="002C4991"/>
    <w:rsid w:val="002C4D7D"/>
    <w:rsid w:val="002C5066"/>
    <w:rsid w:val="002C5813"/>
    <w:rsid w:val="002C7463"/>
    <w:rsid w:val="002D112F"/>
    <w:rsid w:val="002D1243"/>
    <w:rsid w:val="002D3887"/>
    <w:rsid w:val="002D4AAC"/>
    <w:rsid w:val="002E6010"/>
    <w:rsid w:val="002E7F60"/>
    <w:rsid w:val="002F045A"/>
    <w:rsid w:val="002F1106"/>
    <w:rsid w:val="002F79EB"/>
    <w:rsid w:val="00300004"/>
    <w:rsid w:val="0030039D"/>
    <w:rsid w:val="00301711"/>
    <w:rsid w:val="0030326F"/>
    <w:rsid w:val="00303645"/>
    <w:rsid w:val="003055D7"/>
    <w:rsid w:val="00305BA0"/>
    <w:rsid w:val="00306343"/>
    <w:rsid w:val="00310701"/>
    <w:rsid w:val="00315980"/>
    <w:rsid w:val="003161F5"/>
    <w:rsid w:val="00316F7F"/>
    <w:rsid w:val="003218E8"/>
    <w:rsid w:val="00325619"/>
    <w:rsid w:val="00325E34"/>
    <w:rsid w:val="00330DCE"/>
    <w:rsid w:val="00331D4C"/>
    <w:rsid w:val="00331E11"/>
    <w:rsid w:val="0033231C"/>
    <w:rsid w:val="00334761"/>
    <w:rsid w:val="00337EBC"/>
    <w:rsid w:val="00340EB0"/>
    <w:rsid w:val="00341DCD"/>
    <w:rsid w:val="00343233"/>
    <w:rsid w:val="0034563E"/>
    <w:rsid w:val="00351034"/>
    <w:rsid w:val="003518D6"/>
    <w:rsid w:val="00352E81"/>
    <w:rsid w:val="0035460C"/>
    <w:rsid w:val="003556BD"/>
    <w:rsid w:val="00356697"/>
    <w:rsid w:val="00361A1F"/>
    <w:rsid w:val="00365147"/>
    <w:rsid w:val="003658CB"/>
    <w:rsid w:val="0037016E"/>
    <w:rsid w:val="003701D0"/>
    <w:rsid w:val="00372908"/>
    <w:rsid w:val="0037672D"/>
    <w:rsid w:val="00383020"/>
    <w:rsid w:val="00386CB3"/>
    <w:rsid w:val="003901BF"/>
    <w:rsid w:val="00391D68"/>
    <w:rsid w:val="00394D7E"/>
    <w:rsid w:val="00397377"/>
    <w:rsid w:val="003975FD"/>
    <w:rsid w:val="003A0702"/>
    <w:rsid w:val="003A4DBB"/>
    <w:rsid w:val="003A7949"/>
    <w:rsid w:val="003B057D"/>
    <w:rsid w:val="003B60CC"/>
    <w:rsid w:val="003B6396"/>
    <w:rsid w:val="003C1B25"/>
    <w:rsid w:val="003C2443"/>
    <w:rsid w:val="003C4B9E"/>
    <w:rsid w:val="003C5DA3"/>
    <w:rsid w:val="003D0F4F"/>
    <w:rsid w:val="003D1FE0"/>
    <w:rsid w:val="003D4BCD"/>
    <w:rsid w:val="003D6C2B"/>
    <w:rsid w:val="003D73B4"/>
    <w:rsid w:val="003E01D8"/>
    <w:rsid w:val="003E2100"/>
    <w:rsid w:val="003E3316"/>
    <w:rsid w:val="003E4343"/>
    <w:rsid w:val="003E5437"/>
    <w:rsid w:val="003E6030"/>
    <w:rsid w:val="003E7928"/>
    <w:rsid w:val="003F0272"/>
    <w:rsid w:val="003F4F7E"/>
    <w:rsid w:val="003F57BF"/>
    <w:rsid w:val="003F6E75"/>
    <w:rsid w:val="003F6F5B"/>
    <w:rsid w:val="0040342D"/>
    <w:rsid w:val="00405861"/>
    <w:rsid w:val="00407DBA"/>
    <w:rsid w:val="0041192D"/>
    <w:rsid w:val="00411B67"/>
    <w:rsid w:val="00413552"/>
    <w:rsid w:val="00413EE1"/>
    <w:rsid w:val="0042128E"/>
    <w:rsid w:val="004244DA"/>
    <w:rsid w:val="004248D7"/>
    <w:rsid w:val="00424BA5"/>
    <w:rsid w:val="0042537D"/>
    <w:rsid w:val="0042566A"/>
    <w:rsid w:val="004307B0"/>
    <w:rsid w:val="004309BE"/>
    <w:rsid w:val="00432B60"/>
    <w:rsid w:val="00434D72"/>
    <w:rsid w:val="00440698"/>
    <w:rsid w:val="00443B5F"/>
    <w:rsid w:val="00450A5A"/>
    <w:rsid w:val="00453774"/>
    <w:rsid w:val="004540E2"/>
    <w:rsid w:val="00454454"/>
    <w:rsid w:val="00460960"/>
    <w:rsid w:val="00460E83"/>
    <w:rsid w:val="0046353D"/>
    <w:rsid w:val="00463C8C"/>
    <w:rsid w:val="004649E0"/>
    <w:rsid w:val="00467924"/>
    <w:rsid w:val="004712A5"/>
    <w:rsid w:val="0047266F"/>
    <w:rsid w:val="00476D6B"/>
    <w:rsid w:val="0048222B"/>
    <w:rsid w:val="00492C16"/>
    <w:rsid w:val="004A0678"/>
    <w:rsid w:val="004A48A3"/>
    <w:rsid w:val="004A74F7"/>
    <w:rsid w:val="004A78F6"/>
    <w:rsid w:val="004B0D92"/>
    <w:rsid w:val="004B0EC0"/>
    <w:rsid w:val="004B2581"/>
    <w:rsid w:val="004B66F1"/>
    <w:rsid w:val="004C3EA0"/>
    <w:rsid w:val="004C5910"/>
    <w:rsid w:val="004C77EB"/>
    <w:rsid w:val="004C7A89"/>
    <w:rsid w:val="004D06A3"/>
    <w:rsid w:val="004D1055"/>
    <w:rsid w:val="004D1D59"/>
    <w:rsid w:val="004D67CF"/>
    <w:rsid w:val="004E3B08"/>
    <w:rsid w:val="004F0284"/>
    <w:rsid w:val="004F04E2"/>
    <w:rsid w:val="004F7169"/>
    <w:rsid w:val="00500D66"/>
    <w:rsid w:val="00502361"/>
    <w:rsid w:val="005046E5"/>
    <w:rsid w:val="005112A9"/>
    <w:rsid w:val="00514C8E"/>
    <w:rsid w:val="00517275"/>
    <w:rsid w:val="005257C8"/>
    <w:rsid w:val="0052698E"/>
    <w:rsid w:val="00530A76"/>
    <w:rsid w:val="00531DBF"/>
    <w:rsid w:val="005330D9"/>
    <w:rsid w:val="00544A1D"/>
    <w:rsid w:val="00545759"/>
    <w:rsid w:val="00545BE0"/>
    <w:rsid w:val="00545DF0"/>
    <w:rsid w:val="00546930"/>
    <w:rsid w:val="00547EDF"/>
    <w:rsid w:val="00554C6A"/>
    <w:rsid w:val="00562E85"/>
    <w:rsid w:val="0056332F"/>
    <w:rsid w:val="005646EA"/>
    <w:rsid w:val="005708F5"/>
    <w:rsid w:val="005719B3"/>
    <w:rsid w:val="0057295E"/>
    <w:rsid w:val="00573456"/>
    <w:rsid w:val="00574D03"/>
    <w:rsid w:val="00575298"/>
    <w:rsid w:val="00581C39"/>
    <w:rsid w:val="00583466"/>
    <w:rsid w:val="005903B6"/>
    <w:rsid w:val="0059771C"/>
    <w:rsid w:val="00597DC9"/>
    <w:rsid w:val="005A0247"/>
    <w:rsid w:val="005A126E"/>
    <w:rsid w:val="005A333A"/>
    <w:rsid w:val="005A452F"/>
    <w:rsid w:val="005A6F23"/>
    <w:rsid w:val="005A704C"/>
    <w:rsid w:val="005B140D"/>
    <w:rsid w:val="005B291B"/>
    <w:rsid w:val="005B4772"/>
    <w:rsid w:val="005B5348"/>
    <w:rsid w:val="005B65E1"/>
    <w:rsid w:val="005B7970"/>
    <w:rsid w:val="005B7E75"/>
    <w:rsid w:val="005C13BA"/>
    <w:rsid w:val="005C1FEA"/>
    <w:rsid w:val="005C3495"/>
    <w:rsid w:val="005C3629"/>
    <w:rsid w:val="005E1DA1"/>
    <w:rsid w:val="005E3DFC"/>
    <w:rsid w:val="005E472D"/>
    <w:rsid w:val="005E5942"/>
    <w:rsid w:val="005E5A77"/>
    <w:rsid w:val="005E60AF"/>
    <w:rsid w:val="005F1383"/>
    <w:rsid w:val="005F1DEA"/>
    <w:rsid w:val="005F2280"/>
    <w:rsid w:val="005F2882"/>
    <w:rsid w:val="005F334F"/>
    <w:rsid w:val="005F38B5"/>
    <w:rsid w:val="005F551A"/>
    <w:rsid w:val="00601F44"/>
    <w:rsid w:val="00602DC9"/>
    <w:rsid w:val="00604815"/>
    <w:rsid w:val="00607FC9"/>
    <w:rsid w:val="0061143B"/>
    <w:rsid w:val="00612088"/>
    <w:rsid w:val="006175B0"/>
    <w:rsid w:val="006208DD"/>
    <w:rsid w:val="00620D4B"/>
    <w:rsid w:val="00622FE1"/>
    <w:rsid w:val="0062339B"/>
    <w:rsid w:val="00623C4D"/>
    <w:rsid w:val="00623F52"/>
    <w:rsid w:val="00624F77"/>
    <w:rsid w:val="0062521C"/>
    <w:rsid w:val="0062539B"/>
    <w:rsid w:val="00630A2B"/>
    <w:rsid w:val="00632BF5"/>
    <w:rsid w:val="00632DC7"/>
    <w:rsid w:val="0063374C"/>
    <w:rsid w:val="00633770"/>
    <w:rsid w:val="00633D3F"/>
    <w:rsid w:val="0063490B"/>
    <w:rsid w:val="006357FB"/>
    <w:rsid w:val="00640063"/>
    <w:rsid w:val="006406FC"/>
    <w:rsid w:val="00640E57"/>
    <w:rsid w:val="00645111"/>
    <w:rsid w:val="00646122"/>
    <w:rsid w:val="006508B3"/>
    <w:rsid w:val="006512A4"/>
    <w:rsid w:val="00653E16"/>
    <w:rsid w:val="00655839"/>
    <w:rsid w:val="00657220"/>
    <w:rsid w:val="00657362"/>
    <w:rsid w:val="0066104B"/>
    <w:rsid w:val="00661DD5"/>
    <w:rsid w:val="00663E65"/>
    <w:rsid w:val="00663FE6"/>
    <w:rsid w:val="006655EE"/>
    <w:rsid w:val="00667C10"/>
    <w:rsid w:val="00667EF4"/>
    <w:rsid w:val="00671617"/>
    <w:rsid w:val="00676FCA"/>
    <w:rsid w:val="00677177"/>
    <w:rsid w:val="006854A7"/>
    <w:rsid w:val="0068612E"/>
    <w:rsid w:val="006862A1"/>
    <w:rsid w:val="00686486"/>
    <w:rsid w:val="006870C9"/>
    <w:rsid w:val="00687C92"/>
    <w:rsid w:val="00691D92"/>
    <w:rsid w:val="006942C9"/>
    <w:rsid w:val="0069534E"/>
    <w:rsid w:val="0069669C"/>
    <w:rsid w:val="006A0560"/>
    <w:rsid w:val="006A0889"/>
    <w:rsid w:val="006A1200"/>
    <w:rsid w:val="006A4F4E"/>
    <w:rsid w:val="006A6C23"/>
    <w:rsid w:val="006B14DB"/>
    <w:rsid w:val="006B21C4"/>
    <w:rsid w:val="006B3636"/>
    <w:rsid w:val="006B4589"/>
    <w:rsid w:val="006B689C"/>
    <w:rsid w:val="006B6E74"/>
    <w:rsid w:val="006C0640"/>
    <w:rsid w:val="006C085D"/>
    <w:rsid w:val="006C085F"/>
    <w:rsid w:val="006C0B73"/>
    <w:rsid w:val="006C46DD"/>
    <w:rsid w:val="006C4A1A"/>
    <w:rsid w:val="006C5060"/>
    <w:rsid w:val="006C6FE3"/>
    <w:rsid w:val="006D0393"/>
    <w:rsid w:val="006D1A83"/>
    <w:rsid w:val="006D523A"/>
    <w:rsid w:val="006D5792"/>
    <w:rsid w:val="006E10E3"/>
    <w:rsid w:val="006E1119"/>
    <w:rsid w:val="006E1CFE"/>
    <w:rsid w:val="006E2DA0"/>
    <w:rsid w:val="006E5899"/>
    <w:rsid w:val="006E63ED"/>
    <w:rsid w:val="006F10C4"/>
    <w:rsid w:val="006F2C23"/>
    <w:rsid w:val="006F36FC"/>
    <w:rsid w:val="006F40E9"/>
    <w:rsid w:val="006F4DF1"/>
    <w:rsid w:val="006F5603"/>
    <w:rsid w:val="006F7B87"/>
    <w:rsid w:val="00700D27"/>
    <w:rsid w:val="00700F61"/>
    <w:rsid w:val="00701400"/>
    <w:rsid w:val="007037CF"/>
    <w:rsid w:val="00704B5B"/>
    <w:rsid w:val="007167C0"/>
    <w:rsid w:val="00720481"/>
    <w:rsid w:val="00724459"/>
    <w:rsid w:val="00725F62"/>
    <w:rsid w:val="0072652F"/>
    <w:rsid w:val="00731F16"/>
    <w:rsid w:val="00733193"/>
    <w:rsid w:val="007410B7"/>
    <w:rsid w:val="0074158B"/>
    <w:rsid w:val="00741E40"/>
    <w:rsid w:val="00741F7C"/>
    <w:rsid w:val="00742BB0"/>
    <w:rsid w:val="00744DDA"/>
    <w:rsid w:val="00745E03"/>
    <w:rsid w:val="007469FF"/>
    <w:rsid w:val="00753C98"/>
    <w:rsid w:val="00755451"/>
    <w:rsid w:val="00756B04"/>
    <w:rsid w:val="0075732A"/>
    <w:rsid w:val="00757A20"/>
    <w:rsid w:val="00757A5E"/>
    <w:rsid w:val="00757ABC"/>
    <w:rsid w:val="007600F8"/>
    <w:rsid w:val="00760262"/>
    <w:rsid w:val="00762F72"/>
    <w:rsid w:val="0076310C"/>
    <w:rsid w:val="00764169"/>
    <w:rsid w:val="007643EB"/>
    <w:rsid w:val="00764966"/>
    <w:rsid w:val="00766575"/>
    <w:rsid w:val="007666DB"/>
    <w:rsid w:val="0076744F"/>
    <w:rsid w:val="00767BCE"/>
    <w:rsid w:val="00767EFC"/>
    <w:rsid w:val="007707DE"/>
    <w:rsid w:val="00770B5D"/>
    <w:rsid w:val="00773DC7"/>
    <w:rsid w:val="007752F1"/>
    <w:rsid w:val="007762E3"/>
    <w:rsid w:val="00776768"/>
    <w:rsid w:val="00776E5D"/>
    <w:rsid w:val="0078187A"/>
    <w:rsid w:val="00783722"/>
    <w:rsid w:val="00785895"/>
    <w:rsid w:val="00791A79"/>
    <w:rsid w:val="00794A43"/>
    <w:rsid w:val="00794ED8"/>
    <w:rsid w:val="007A2573"/>
    <w:rsid w:val="007B106C"/>
    <w:rsid w:val="007B1A4E"/>
    <w:rsid w:val="007B1E7F"/>
    <w:rsid w:val="007B24CC"/>
    <w:rsid w:val="007B3D05"/>
    <w:rsid w:val="007B4C01"/>
    <w:rsid w:val="007B5503"/>
    <w:rsid w:val="007C179C"/>
    <w:rsid w:val="007C2F7C"/>
    <w:rsid w:val="007C6BB3"/>
    <w:rsid w:val="007D14B4"/>
    <w:rsid w:val="007D3AD7"/>
    <w:rsid w:val="007D54C3"/>
    <w:rsid w:val="007E18FD"/>
    <w:rsid w:val="007E1EA4"/>
    <w:rsid w:val="007E24F6"/>
    <w:rsid w:val="008000A5"/>
    <w:rsid w:val="00800F64"/>
    <w:rsid w:val="00801050"/>
    <w:rsid w:val="0080202D"/>
    <w:rsid w:val="00802F0B"/>
    <w:rsid w:val="00810A67"/>
    <w:rsid w:val="00816F65"/>
    <w:rsid w:val="00817AC1"/>
    <w:rsid w:val="008247AC"/>
    <w:rsid w:val="008303C5"/>
    <w:rsid w:val="00833CF7"/>
    <w:rsid w:val="00834CDE"/>
    <w:rsid w:val="00841633"/>
    <w:rsid w:val="00841845"/>
    <w:rsid w:val="00842464"/>
    <w:rsid w:val="0084423C"/>
    <w:rsid w:val="00845270"/>
    <w:rsid w:val="00845601"/>
    <w:rsid w:val="0084747C"/>
    <w:rsid w:val="00855C5C"/>
    <w:rsid w:val="00856BA8"/>
    <w:rsid w:val="00860586"/>
    <w:rsid w:val="00860C79"/>
    <w:rsid w:val="00861B54"/>
    <w:rsid w:val="008662AA"/>
    <w:rsid w:val="00872CD3"/>
    <w:rsid w:val="00873244"/>
    <w:rsid w:val="008756F9"/>
    <w:rsid w:val="00877D66"/>
    <w:rsid w:val="0088014B"/>
    <w:rsid w:val="00880AE5"/>
    <w:rsid w:val="008955A1"/>
    <w:rsid w:val="00895703"/>
    <w:rsid w:val="00896635"/>
    <w:rsid w:val="008A376B"/>
    <w:rsid w:val="008A3C96"/>
    <w:rsid w:val="008A5007"/>
    <w:rsid w:val="008B4019"/>
    <w:rsid w:val="008B5584"/>
    <w:rsid w:val="008B5F19"/>
    <w:rsid w:val="008B65C9"/>
    <w:rsid w:val="008C01C9"/>
    <w:rsid w:val="008C2D4A"/>
    <w:rsid w:val="008C4C79"/>
    <w:rsid w:val="008D1B5C"/>
    <w:rsid w:val="008D3900"/>
    <w:rsid w:val="008D546C"/>
    <w:rsid w:val="008D5CC4"/>
    <w:rsid w:val="008D6DD2"/>
    <w:rsid w:val="008D6E1D"/>
    <w:rsid w:val="008E0F19"/>
    <w:rsid w:val="008E21D7"/>
    <w:rsid w:val="008E3A6D"/>
    <w:rsid w:val="008F39B4"/>
    <w:rsid w:val="008F4162"/>
    <w:rsid w:val="008F4FF9"/>
    <w:rsid w:val="008F5CE6"/>
    <w:rsid w:val="008F7F45"/>
    <w:rsid w:val="00900E4F"/>
    <w:rsid w:val="0090240A"/>
    <w:rsid w:val="00903E02"/>
    <w:rsid w:val="00904913"/>
    <w:rsid w:val="00904D0D"/>
    <w:rsid w:val="009073B1"/>
    <w:rsid w:val="009111D0"/>
    <w:rsid w:val="009125B4"/>
    <w:rsid w:val="00913175"/>
    <w:rsid w:val="00916EDB"/>
    <w:rsid w:val="00920861"/>
    <w:rsid w:val="00922B13"/>
    <w:rsid w:val="009242EF"/>
    <w:rsid w:val="00925CFA"/>
    <w:rsid w:val="00932291"/>
    <w:rsid w:val="00932861"/>
    <w:rsid w:val="0093408E"/>
    <w:rsid w:val="009359B6"/>
    <w:rsid w:val="0094273A"/>
    <w:rsid w:val="009428B1"/>
    <w:rsid w:val="00942FCB"/>
    <w:rsid w:val="0094511A"/>
    <w:rsid w:val="009505DF"/>
    <w:rsid w:val="00950BEC"/>
    <w:rsid w:val="00952DDF"/>
    <w:rsid w:val="009560EC"/>
    <w:rsid w:val="009610A3"/>
    <w:rsid w:val="009634A0"/>
    <w:rsid w:val="00963B6A"/>
    <w:rsid w:val="00963D1C"/>
    <w:rsid w:val="009641EC"/>
    <w:rsid w:val="00964445"/>
    <w:rsid w:val="00970950"/>
    <w:rsid w:val="00973250"/>
    <w:rsid w:val="00974345"/>
    <w:rsid w:val="00974795"/>
    <w:rsid w:val="009754A4"/>
    <w:rsid w:val="00976A26"/>
    <w:rsid w:val="009812D4"/>
    <w:rsid w:val="0098162C"/>
    <w:rsid w:val="00983D43"/>
    <w:rsid w:val="00985098"/>
    <w:rsid w:val="00985CA5"/>
    <w:rsid w:val="00985EA3"/>
    <w:rsid w:val="00987A61"/>
    <w:rsid w:val="00991ADE"/>
    <w:rsid w:val="009920D8"/>
    <w:rsid w:val="0099449F"/>
    <w:rsid w:val="009952F5"/>
    <w:rsid w:val="009956EA"/>
    <w:rsid w:val="009A68CD"/>
    <w:rsid w:val="009B38BE"/>
    <w:rsid w:val="009B56D4"/>
    <w:rsid w:val="009B6E86"/>
    <w:rsid w:val="009B71E6"/>
    <w:rsid w:val="009C1335"/>
    <w:rsid w:val="009C1DEB"/>
    <w:rsid w:val="009C3D0F"/>
    <w:rsid w:val="009D3DE0"/>
    <w:rsid w:val="009D5ECE"/>
    <w:rsid w:val="009D7A29"/>
    <w:rsid w:val="009D7F6B"/>
    <w:rsid w:val="009E1B19"/>
    <w:rsid w:val="009E59AC"/>
    <w:rsid w:val="009E6119"/>
    <w:rsid w:val="009E74E5"/>
    <w:rsid w:val="009E777C"/>
    <w:rsid w:val="009F10CE"/>
    <w:rsid w:val="009F291A"/>
    <w:rsid w:val="009F35E2"/>
    <w:rsid w:val="009F65F9"/>
    <w:rsid w:val="009F68BA"/>
    <w:rsid w:val="009F74C4"/>
    <w:rsid w:val="00A02C1A"/>
    <w:rsid w:val="00A03245"/>
    <w:rsid w:val="00A06277"/>
    <w:rsid w:val="00A079DC"/>
    <w:rsid w:val="00A10374"/>
    <w:rsid w:val="00A111C2"/>
    <w:rsid w:val="00A13EEC"/>
    <w:rsid w:val="00A144A7"/>
    <w:rsid w:val="00A24CA7"/>
    <w:rsid w:val="00A24CF9"/>
    <w:rsid w:val="00A2632B"/>
    <w:rsid w:val="00A338E7"/>
    <w:rsid w:val="00A35CAA"/>
    <w:rsid w:val="00A366E5"/>
    <w:rsid w:val="00A36E7F"/>
    <w:rsid w:val="00A41E65"/>
    <w:rsid w:val="00A42EEE"/>
    <w:rsid w:val="00A437B4"/>
    <w:rsid w:val="00A43E0A"/>
    <w:rsid w:val="00A46F11"/>
    <w:rsid w:val="00A478B1"/>
    <w:rsid w:val="00A50227"/>
    <w:rsid w:val="00A50E04"/>
    <w:rsid w:val="00A52C17"/>
    <w:rsid w:val="00A530C7"/>
    <w:rsid w:val="00A55224"/>
    <w:rsid w:val="00A55740"/>
    <w:rsid w:val="00A55BBF"/>
    <w:rsid w:val="00A55F5B"/>
    <w:rsid w:val="00A56EB1"/>
    <w:rsid w:val="00A574E1"/>
    <w:rsid w:val="00A60185"/>
    <w:rsid w:val="00A612B2"/>
    <w:rsid w:val="00A61386"/>
    <w:rsid w:val="00A64966"/>
    <w:rsid w:val="00A65FC6"/>
    <w:rsid w:val="00A661EA"/>
    <w:rsid w:val="00A66213"/>
    <w:rsid w:val="00A6634E"/>
    <w:rsid w:val="00A74AD4"/>
    <w:rsid w:val="00A74DE1"/>
    <w:rsid w:val="00A7616B"/>
    <w:rsid w:val="00A768E0"/>
    <w:rsid w:val="00A830E5"/>
    <w:rsid w:val="00A87135"/>
    <w:rsid w:val="00A93280"/>
    <w:rsid w:val="00A951EA"/>
    <w:rsid w:val="00A96BC0"/>
    <w:rsid w:val="00A9798D"/>
    <w:rsid w:val="00AA2548"/>
    <w:rsid w:val="00AA2728"/>
    <w:rsid w:val="00AA2CDA"/>
    <w:rsid w:val="00AA58C4"/>
    <w:rsid w:val="00AA5C7A"/>
    <w:rsid w:val="00AA5CEE"/>
    <w:rsid w:val="00AA7003"/>
    <w:rsid w:val="00AB11C8"/>
    <w:rsid w:val="00AC08A8"/>
    <w:rsid w:val="00AC1C09"/>
    <w:rsid w:val="00AC2C95"/>
    <w:rsid w:val="00AC533C"/>
    <w:rsid w:val="00AC74CA"/>
    <w:rsid w:val="00AD25E1"/>
    <w:rsid w:val="00AD56C8"/>
    <w:rsid w:val="00AD58F2"/>
    <w:rsid w:val="00AD6FD5"/>
    <w:rsid w:val="00AE4379"/>
    <w:rsid w:val="00AE6F98"/>
    <w:rsid w:val="00AF1652"/>
    <w:rsid w:val="00AF1762"/>
    <w:rsid w:val="00AF238F"/>
    <w:rsid w:val="00AF5ABD"/>
    <w:rsid w:val="00AF7611"/>
    <w:rsid w:val="00B0512A"/>
    <w:rsid w:val="00B0529F"/>
    <w:rsid w:val="00B071FC"/>
    <w:rsid w:val="00B07931"/>
    <w:rsid w:val="00B105B7"/>
    <w:rsid w:val="00B1418B"/>
    <w:rsid w:val="00B14A3B"/>
    <w:rsid w:val="00B21195"/>
    <w:rsid w:val="00B22F72"/>
    <w:rsid w:val="00B231E5"/>
    <w:rsid w:val="00B249E4"/>
    <w:rsid w:val="00B24B22"/>
    <w:rsid w:val="00B25310"/>
    <w:rsid w:val="00B32F8F"/>
    <w:rsid w:val="00B3492A"/>
    <w:rsid w:val="00B3769C"/>
    <w:rsid w:val="00B42E17"/>
    <w:rsid w:val="00B4300E"/>
    <w:rsid w:val="00B523EE"/>
    <w:rsid w:val="00B54DE9"/>
    <w:rsid w:val="00B553EC"/>
    <w:rsid w:val="00B5593D"/>
    <w:rsid w:val="00B55E3F"/>
    <w:rsid w:val="00B60B1B"/>
    <w:rsid w:val="00B612A6"/>
    <w:rsid w:val="00B63C1E"/>
    <w:rsid w:val="00B641B3"/>
    <w:rsid w:val="00B648BC"/>
    <w:rsid w:val="00B65238"/>
    <w:rsid w:val="00B66ED6"/>
    <w:rsid w:val="00B7237F"/>
    <w:rsid w:val="00B76DD0"/>
    <w:rsid w:val="00B8056C"/>
    <w:rsid w:val="00B80697"/>
    <w:rsid w:val="00B806CC"/>
    <w:rsid w:val="00B84864"/>
    <w:rsid w:val="00B857E9"/>
    <w:rsid w:val="00B9386E"/>
    <w:rsid w:val="00B93DD0"/>
    <w:rsid w:val="00B956C1"/>
    <w:rsid w:val="00B96DD9"/>
    <w:rsid w:val="00B97732"/>
    <w:rsid w:val="00BA31BE"/>
    <w:rsid w:val="00BA6574"/>
    <w:rsid w:val="00BA65A8"/>
    <w:rsid w:val="00BA6D19"/>
    <w:rsid w:val="00BA7461"/>
    <w:rsid w:val="00BA7DA9"/>
    <w:rsid w:val="00BB2531"/>
    <w:rsid w:val="00BB62D6"/>
    <w:rsid w:val="00BC0FAB"/>
    <w:rsid w:val="00BC2448"/>
    <w:rsid w:val="00BC3525"/>
    <w:rsid w:val="00BC4215"/>
    <w:rsid w:val="00BC5098"/>
    <w:rsid w:val="00BC7273"/>
    <w:rsid w:val="00BC7C1A"/>
    <w:rsid w:val="00BD1A6F"/>
    <w:rsid w:val="00BD4B9E"/>
    <w:rsid w:val="00BE00F9"/>
    <w:rsid w:val="00BE2D79"/>
    <w:rsid w:val="00BE427D"/>
    <w:rsid w:val="00BE464B"/>
    <w:rsid w:val="00BE6D3C"/>
    <w:rsid w:val="00BE7852"/>
    <w:rsid w:val="00BF2252"/>
    <w:rsid w:val="00BF2649"/>
    <w:rsid w:val="00BF38B2"/>
    <w:rsid w:val="00BF6986"/>
    <w:rsid w:val="00BF7CEE"/>
    <w:rsid w:val="00BF7F3F"/>
    <w:rsid w:val="00C03880"/>
    <w:rsid w:val="00C0553B"/>
    <w:rsid w:val="00C061A9"/>
    <w:rsid w:val="00C117CC"/>
    <w:rsid w:val="00C117F1"/>
    <w:rsid w:val="00C135CF"/>
    <w:rsid w:val="00C206F7"/>
    <w:rsid w:val="00C2683F"/>
    <w:rsid w:val="00C269DA"/>
    <w:rsid w:val="00C30CB5"/>
    <w:rsid w:val="00C3184D"/>
    <w:rsid w:val="00C319AE"/>
    <w:rsid w:val="00C37FF0"/>
    <w:rsid w:val="00C41AB7"/>
    <w:rsid w:val="00C4200E"/>
    <w:rsid w:val="00C44FB9"/>
    <w:rsid w:val="00C46B2E"/>
    <w:rsid w:val="00C46EFE"/>
    <w:rsid w:val="00C4714E"/>
    <w:rsid w:val="00C47D11"/>
    <w:rsid w:val="00C5044A"/>
    <w:rsid w:val="00C512EB"/>
    <w:rsid w:val="00C51CCA"/>
    <w:rsid w:val="00C5341A"/>
    <w:rsid w:val="00C5504F"/>
    <w:rsid w:val="00C57B55"/>
    <w:rsid w:val="00C57D83"/>
    <w:rsid w:val="00C608FF"/>
    <w:rsid w:val="00C6151D"/>
    <w:rsid w:val="00C63376"/>
    <w:rsid w:val="00C70BF2"/>
    <w:rsid w:val="00C7404E"/>
    <w:rsid w:val="00C74F97"/>
    <w:rsid w:val="00C8276E"/>
    <w:rsid w:val="00C8322C"/>
    <w:rsid w:val="00C842AC"/>
    <w:rsid w:val="00C86F94"/>
    <w:rsid w:val="00C96497"/>
    <w:rsid w:val="00C96688"/>
    <w:rsid w:val="00CA032B"/>
    <w:rsid w:val="00CA0723"/>
    <w:rsid w:val="00CA10F7"/>
    <w:rsid w:val="00CA12E1"/>
    <w:rsid w:val="00CA605E"/>
    <w:rsid w:val="00CA6BD0"/>
    <w:rsid w:val="00CB1690"/>
    <w:rsid w:val="00CC0378"/>
    <w:rsid w:val="00CC4365"/>
    <w:rsid w:val="00CC6935"/>
    <w:rsid w:val="00CC7BCA"/>
    <w:rsid w:val="00CD11B0"/>
    <w:rsid w:val="00CD4E49"/>
    <w:rsid w:val="00CD4EB7"/>
    <w:rsid w:val="00CD71F4"/>
    <w:rsid w:val="00CE71C2"/>
    <w:rsid w:val="00CF1902"/>
    <w:rsid w:val="00CF34E9"/>
    <w:rsid w:val="00CF4082"/>
    <w:rsid w:val="00CF42D5"/>
    <w:rsid w:val="00CF42E9"/>
    <w:rsid w:val="00CF4EDA"/>
    <w:rsid w:val="00CF7BA9"/>
    <w:rsid w:val="00D021CB"/>
    <w:rsid w:val="00D02871"/>
    <w:rsid w:val="00D0358C"/>
    <w:rsid w:val="00D03A15"/>
    <w:rsid w:val="00D10F1A"/>
    <w:rsid w:val="00D116F8"/>
    <w:rsid w:val="00D12215"/>
    <w:rsid w:val="00D142C1"/>
    <w:rsid w:val="00D17596"/>
    <w:rsid w:val="00D21D54"/>
    <w:rsid w:val="00D22640"/>
    <w:rsid w:val="00D2392B"/>
    <w:rsid w:val="00D26D3A"/>
    <w:rsid w:val="00D27DDF"/>
    <w:rsid w:val="00D40D97"/>
    <w:rsid w:val="00D45A8A"/>
    <w:rsid w:val="00D45EE3"/>
    <w:rsid w:val="00D50618"/>
    <w:rsid w:val="00D509E9"/>
    <w:rsid w:val="00D51454"/>
    <w:rsid w:val="00D51711"/>
    <w:rsid w:val="00D53B1C"/>
    <w:rsid w:val="00D66BE0"/>
    <w:rsid w:val="00D7478D"/>
    <w:rsid w:val="00D84A11"/>
    <w:rsid w:val="00D84BC4"/>
    <w:rsid w:val="00D84CB8"/>
    <w:rsid w:val="00D868AE"/>
    <w:rsid w:val="00D86962"/>
    <w:rsid w:val="00D92086"/>
    <w:rsid w:val="00D945A0"/>
    <w:rsid w:val="00DA174C"/>
    <w:rsid w:val="00DA1B12"/>
    <w:rsid w:val="00DA32BC"/>
    <w:rsid w:val="00DA4495"/>
    <w:rsid w:val="00DA54C9"/>
    <w:rsid w:val="00DA6739"/>
    <w:rsid w:val="00DA6CAE"/>
    <w:rsid w:val="00DB1A9E"/>
    <w:rsid w:val="00DB2C6F"/>
    <w:rsid w:val="00DB31D6"/>
    <w:rsid w:val="00DB4005"/>
    <w:rsid w:val="00DB4D84"/>
    <w:rsid w:val="00DB5A87"/>
    <w:rsid w:val="00DB66A0"/>
    <w:rsid w:val="00DC09C9"/>
    <w:rsid w:val="00DC2D4A"/>
    <w:rsid w:val="00DC2D50"/>
    <w:rsid w:val="00DC34EB"/>
    <w:rsid w:val="00DC469D"/>
    <w:rsid w:val="00DD02C2"/>
    <w:rsid w:val="00DD3A30"/>
    <w:rsid w:val="00DD65D7"/>
    <w:rsid w:val="00DD7791"/>
    <w:rsid w:val="00DE5AE5"/>
    <w:rsid w:val="00DF0849"/>
    <w:rsid w:val="00DF1E5B"/>
    <w:rsid w:val="00DF2275"/>
    <w:rsid w:val="00DF3F5E"/>
    <w:rsid w:val="00DF4C46"/>
    <w:rsid w:val="00DF5653"/>
    <w:rsid w:val="00DF5FB4"/>
    <w:rsid w:val="00E037E1"/>
    <w:rsid w:val="00E0596E"/>
    <w:rsid w:val="00E05BFD"/>
    <w:rsid w:val="00E06F66"/>
    <w:rsid w:val="00E07E7D"/>
    <w:rsid w:val="00E1658B"/>
    <w:rsid w:val="00E16F87"/>
    <w:rsid w:val="00E212DC"/>
    <w:rsid w:val="00E32FA0"/>
    <w:rsid w:val="00E332E3"/>
    <w:rsid w:val="00E354BE"/>
    <w:rsid w:val="00E356E5"/>
    <w:rsid w:val="00E36F81"/>
    <w:rsid w:val="00E41709"/>
    <w:rsid w:val="00E41CD8"/>
    <w:rsid w:val="00E432F5"/>
    <w:rsid w:val="00E45765"/>
    <w:rsid w:val="00E5098C"/>
    <w:rsid w:val="00E52E76"/>
    <w:rsid w:val="00E5352A"/>
    <w:rsid w:val="00E5444B"/>
    <w:rsid w:val="00E55ADF"/>
    <w:rsid w:val="00E60213"/>
    <w:rsid w:val="00E61284"/>
    <w:rsid w:val="00E61619"/>
    <w:rsid w:val="00E622E4"/>
    <w:rsid w:val="00E661B2"/>
    <w:rsid w:val="00E71E7C"/>
    <w:rsid w:val="00E74253"/>
    <w:rsid w:val="00E74D29"/>
    <w:rsid w:val="00E77FF2"/>
    <w:rsid w:val="00E80A42"/>
    <w:rsid w:val="00E83B4F"/>
    <w:rsid w:val="00E83C74"/>
    <w:rsid w:val="00E83CEE"/>
    <w:rsid w:val="00E8490D"/>
    <w:rsid w:val="00E878C7"/>
    <w:rsid w:val="00E91F18"/>
    <w:rsid w:val="00E9226D"/>
    <w:rsid w:val="00EA416C"/>
    <w:rsid w:val="00EA4CFE"/>
    <w:rsid w:val="00EA4FAF"/>
    <w:rsid w:val="00EA5941"/>
    <w:rsid w:val="00EB0A8D"/>
    <w:rsid w:val="00EB13F8"/>
    <w:rsid w:val="00EB1B03"/>
    <w:rsid w:val="00EB60CE"/>
    <w:rsid w:val="00EB7D53"/>
    <w:rsid w:val="00EC3CD9"/>
    <w:rsid w:val="00EC680F"/>
    <w:rsid w:val="00EC6D6B"/>
    <w:rsid w:val="00EC79D2"/>
    <w:rsid w:val="00ED0767"/>
    <w:rsid w:val="00ED4506"/>
    <w:rsid w:val="00ED5FAA"/>
    <w:rsid w:val="00EE3146"/>
    <w:rsid w:val="00EE5465"/>
    <w:rsid w:val="00EF50BB"/>
    <w:rsid w:val="00EF53FF"/>
    <w:rsid w:val="00EF614C"/>
    <w:rsid w:val="00F00192"/>
    <w:rsid w:val="00F00E56"/>
    <w:rsid w:val="00F01DF6"/>
    <w:rsid w:val="00F0340D"/>
    <w:rsid w:val="00F042C0"/>
    <w:rsid w:val="00F059A6"/>
    <w:rsid w:val="00F1277D"/>
    <w:rsid w:val="00F12D7C"/>
    <w:rsid w:val="00F14CD3"/>
    <w:rsid w:val="00F16C95"/>
    <w:rsid w:val="00F17F80"/>
    <w:rsid w:val="00F200D3"/>
    <w:rsid w:val="00F23756"/>
    <w:rsid w:val="00F241C4"/>
    <w:rsid w:val="00F2523A"/>
    <w:rsid w:val="00F25FFA"/>
    <w:rsid w:val="00F30005"/>
    <w:rsid w:val="00F310D2"/>
    <w:rsid w:val="00F31D7D"/>
    <w:rsid w:val="00F3354B"/>
    <w:rsid w:val="00F3665D"/>
    <w:rsid w:val="00F36F3D"/>
    <w:rsid w:val="00F37625"/>
    <w:rsid w:val="00F416E5"/>
    <w:rsid w:val="00F471D5"/>
    <w:rsid w:val="00F477BD"/>
    <w:rsid w:val="00F53103"/>
    <w:rsid w:val="00F53491"/>
    <w:rsid w:val="00F5366C"/>
    <w:rsid w:val="00F5455A"/>
    <w:rsid w:val="00F5736C"/>
    <w:rsid w:val="00F601CF"/>
    <w:rsid w:val="00F60A7E"/>
    <w:rsid w:val="00F61025"/>
    <w:rsid w:val="00F64170"/>
    <w:rsid w:val="00F65A1C"/>
    <w:rsid w:val="00F66F50"/>
    <w:rsid w:val="00F671A7"/>
    <w:rsid w:val="00F70812"/>
    <w:rsid w:val="00F708C6"/>
    <w:rsid w:val="00F76120"/>
    <w:rsid w:val="00F76891"/>
    <w:rsid w:val="00F80212"/>
    <w:rsid w:val="00F8023B"/>
    <w:rsid w:val="00F82FED"/>
    <w:rsid w:val="00F82FF8"/>
    <w:rsid w:val="00F8330D"/>
    <w:rsid w:val="00F84305"/>
    <w:rsid w:val="00F8485C"/>
    <w:rsid w:val="00F87149"/>
    <w:rsid w:val="00F87FFE"/>
    <w:rsid w:val="00F90CA8"/>
    <w:rsid w:val="00F92742"/>
    <w:rsid w:val="00F954C9"/>
    <w:rsid w:val="00FA41F4"/>
    <w:rsid w:val="00FA46D7"/>
    <w:rsid w:val="00FA48E9"/>
    <w:rsid w:val="00FA4CF0"/>
    <w:rsid w:val="00FA61AA"/>
    <w:rsid w:val="00FA634E"/>
    <w:rsid w:val="00FA69A4"/>
    <w:rsid w:val="00FB1279"/>
    <w:rsid w:val="00FB1495"/>
    <w:rsid w:val="00FB1A0F"/>
    <w:rsid w:val="00FB4BFA"/>
    <w:rsid w:val="00FB60FA"/>
    <w:rsid w:val="00FC2A87"/>
    <w:rsid w:val="00FC2CE1"/>
    <w:rsid w:val="00FC4139"/>
    <w:rsid w:val="00FC46F5"/>
    <w:rsid w:val="00FC50B8"/>
    <w:rsid w:val="00FC6509"/>
    <w:rsid w:val="00FD1694"/>
    <w:rsid w:val="00FD36E4"/>
    <w:rsid w:val="00FD7636"/>
    <w:rsid w:val="00FE3229"/>
    <w:rsid w:val="00FE5194"/>
    <w:rsid w:val="00FE74C3"/>
    <w:rsid w:val="00FF215C"/>
    <w:rsid w:val="00FF49E8"/>
    <w:rsid w:val="00FF672F"/>
    <w:rsid w:val="00FF7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fillcolor="#76923c" strokecolor="none [3041]">
      <v:fill color="#76923c" color2="fill darken(118)" rotate="t" method="linear sigma" focus="-50%" type="gradient"/>
      <v:stroke color="none [3041]" weight="3pt"/>
      <v:shadow on="t" type="perspective" color="none [1606]" opacity=".5" offset="1pt" offset2="-1pt"/>
      <o:colormru v:ext="edit" colors="#81a042"/>
      <o:colormenu v:ext="edit" fillcolor="#81a042" strokecolor="none [1305]"/>
    </o:shapedefaults>
    <o:shapelayout v:ext="edit">
      <o:idmap v:ext="edit" data="1"/>
    </o:shapelayout>
  </w:shapeDefaults>
  <w:decimalSymbol w:val="."/>
  <w:listSeparator w:val=","/>
  <w14:docId w14:val="278A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29"/>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unhideWhenUsed/>
    <w:rsid w:val="0004170B"/>
    <w:rPr>
      <w:sz w:val="16"/>
      <w:szCs w:val="16"/>
    </w:rPr>
  </w:style>
  <w:style w:type="paragraph" w:styleId="CommentText">
    <w:name w:val="annotation text"/>
    <w:basedOn w:val="Normal"/>
    <w:link w:val="CommentTextChar"/>
    <w:unhideWhenUsed/>
    <w:rsid w:val="0004170B"/>
    <w:pPr>
      <w:spacing w:line="240" w:lineRule="auto"/>
    </w:pPr>
    <w:rPr>
      <w:sz w:val="20"/>
      <w:szCs w:val="20"/>
    </w:rPr>
  </w:style>
  <w:style w:type="character" w:customStyle="1" w:styleId="CommentTextChar">
    <w:name w:val="Comment Text Char"/>
    <w:basedOn w:val="DefaultParagraphFont"/>
    <w:link w:val="CommentText"/>
    <w:rsid w:val="0004170B"/>
    <w:rPr>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331D4C"/>
    <w:rPr>
      <w:sz w:val="22"/>
      <w:szCs w:val="22"/>
      <w:lang w:eastAsia="en-US"/>
    </w:rPr>
  </w:style>
  <w:style w:type="paragraph" w:customStyle="1" w:styleId="Text">
    <w:name w:val="Text"/>
    <w:uiPriority w:val="99"/>
    <w:qFormat/>
    <w:rsid w:val="001A1A22"/>
    <w:pPr>
      <w:spacing w:before="120" w:after="120" w:line="360"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AC533C"/>
    <w:rPr>
      <w:b/>
      <w:bCs/>
    </w:rPr>
  </w:style>
  <w:style w:type="character" w:customStyle="1" w:styleId="CommentSubjectChar">
    <w:name w:val="Comment Subject Char"/>
    <w:basedOn w:val="CommentTextChar"/>
    <w:link w:val="CommentSubject"/>
    <w:uiPriority w:val="99"/>
    <w:semiHidden/>
    <w:rsid w:val="00AC533C"/>
    <w:rPr>
      <w:b/>
      <w:bCs/>
      <w:lang w:eastAsia="en-US"/>
    </w:rPr>
  </w:style>
  <w:style w:type="paragraph" w:styleId="NormalWeb">
    <w:name w:val="Normal (Web)"/>
    <w:basedOn w:val="Normal"/>
    <w:uiPriority w:val="99"/>
    <w:unhideWhenUsed/>
    <w:rsid w:val="00411B6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semiHidden/>
    <w:unhideWhenUsed/>
    <w:qFormat/>
    <w:rsid w:val="00B65238"/>
    <w:pPr>
      <w:keepLines/>
      <w:spacing w:before="480" w:after="0"/>
      <w:outlineLvl w:val="9"/>
    </w:pPr>
    <w:rPr>
      <w:rFonts w:asciiTheme="majorHAnsi" w:eastAsiaTheme="majorEastAsia" w:hAnsiTheme="majorHAnsi" w:cstheme="majorBidi"/>
      <w:bCs/>
      <w:caps w:val="0"/>
      <w:color w:val="365F91" w:themeColor="accent1" w:themeShade="BF"/>
      <w:sz w:val="28"/>
      <w:szCs w:val="28"/>
      <w:lang w:val="en-US"/>
    </w:rPr>
  </w:style>
  <w:style w:type="character" w:styleId="Hyperlink">
    <w:name w:val="Hyperlink"/>
    <w:basedOn w:val="DefaultParagraphFont"/>
    <w:uiPriority w:val="99"/>
    <w:unhideWhenUsed/>
    <w:rsid w:val="00755451"/>
    <w:rPr>
      <w:color w:val="0000FF" w:themeColor="hyperlink"/>
      <w:u w:val="single"/>
    </w:rPr>
  </w:style>
  <w:style w:type="paragraph" w:styleId="BodyText">
    <w:name w:val="Body Text"/>
    <w:basedOn w:val="Normal"/>
    <w:link w:val="BodyTextChar"/>
    <w:uiPriority w:val="99"/>
    <w:rsid w:val="007410B7"/>
    <w:rPr>
      <w:rFonts w:asciiTheme="majorHAnsi" w:eastAsiaTheme="majorEastAsia" w:hAnsiTheme="majorHAnsi" w:cstheme="majorBidi"/>
      <w:lang w:val="en-US" w:bidi="en-US"/>
    </w:rPr>
  </w:style>
  <w:style w:type="character" w:customStyle="1" w:styleId="BodyTextChar">
    <w:name w:val="Body Text Char"/>
    <w:basedOn w:val="DefaultParagraphFont"/>
    <w:link w:val="BodyText"/>
    <w:uiPriority w:val="99"/>
    <w:rsid w:val="007410B7"/>
    <w:rPr>
      <w:rFonts w:asciiTheme="majorHAnsi" w:eastAsiaTheme="majorEastAsia" w:hAnsiTheme="majorHAnsi" w:cstheme="majorBidi"/>
      <w:sz w:val="22"/>
      <w:szCs w:val="22"/>
      <w:lang w:val="en-US" w:eastAsia="en-US" w:bidi="en-US"/>
    </w:rPr>
  </w:style>
  <w:style w:type="paragraph" w:customStyle="1" w:styleId="ListBullet1a">
    <w:name w:val="List Bullet 1a"/>
    <w:basedOn w:val="Normal"/>
    <w:rsid w:val="007410B7"/>
    <w:pPr>
      <w:numPr>
        <w:numId w:val="10"/>
      </w:numPr>
    </w:pPr>
    <w:rPr>
      <w:rFonts w:asciiTheme="majorHAnsi" w:eastAsiaTheme="majorEastAsia" w:hAnsiTheme="majorHAnsi" w:cs="Arial"/>
      <w:lang w:val="en-US" w:bidi="en-US"/>
    </w:rPr>
  </w:style>
  <w:style w:type="paragraph" w:customStyle="1" w:styleId="Table8">
    <w:name w:val="Table 8"/>
    <w:rsid w:val="00C512EB"/>
    <w:pPr>
      <w:spacing w:before="100" w:after="100" w:line="200" w:lineRule="exact"/>
    </w:pPr>
    <w:rPr>
      <w:rFonts w:ascii="Arial Narrow" w:eastAsiaTheme="minorEastAsia" w:hAnsi="Arial Narrow" w:cstheme="minorBidi"/>
      <w:noProof/>
      <w:sz w:val="16"/>
      <w:szCs w:val="22"/>
      <w:lang w:val="en-US" w:eastAsia="en-US"/>
    </w:rPr>
  </w:style>
  <w:style w:type="paragraph" w:styleId="Title">
    <w:name w:val="Title"/>
    <w:basedOn w:val="Normal"/>
    <w:next w:val="Normal"/>
    <w:link w:val="TitleChar"/>
    <w:uiPriority w:val="10"/>
    <w:qFormat/>
    <w:rsid w:val="007762E3"/>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7762E3"/>
    <w:rPr>
      <w:rFonts w:asciiTheme="majorHAnsi" w:eastAsiaTheme="majorEastAsia" w:hAnsiTheme="majorHAnsi" w:cstheme="majorBidi"/>
      <w:spacing w:val="5"/>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531653">
      <w:bodyDiv w:val="1"/>
      <w:marLeft w:val="0"/>
      <w:marRight w:val="0"/>
      <w:marTop w:val="0"/>
      <w:marBottom w:val="0"/>
      <w:divBdr>
        <w:top w:val="none" w:sz="0" w:space="0" w:color="auto"/>
        <w:left w:val="none" w:sz="0" w:space="0" w:color="auto"/>
        <w:bottom w:val="none" w:sz="0" w:space="0" w:color="auto"/>
        <w:right w:val="none" w:sz="0" w:space="0" w:color="auto"/>
      </w:divBdr>
    </w:div>
    <w:div w:id="600457081">
      <w:bodyDiv w:val="1"/>
      <w:marLeft w:val="0"/>
      <w:marRight w:val="0"/>
      <w:marTop w:val="0"/>
      <w:marBottom w:val="0"/>
      <w:divBdr>
        <w:top w:val="none" w:sz="0" w:space="0" w:color="auto"/>
        <w:left w:val="none" w:sz="0" w:space="0" w:color="auto"/>
        <w:bottom w:val="none" w:sz="0" w:space="0" w:color="auto"/>
        <w:right w:val="none" w:sz="0" w:space="0" w:color="auto"/>
      </w:divBdr>
    </w:div>
    <w:div w:id="1122921335">
      <w:bodyDiv w:val="1"/>
      <w:marLeft w:val="0"/>
      <w:marRight w:val="0"/>
      <w:marTop w:val="0"/>
      <w:marBottom w:val="0"/>
      <w:divBdr>
        <w:top w:val="none" w:sz="0" w:space="0" w:color="auto"/>
        <w:left w:val="none" w:sz="0" w:space="0" w:color="auto"/>
        <w:bottom w:val="none" w:sz="0" w:space="0" w:color="auto"/>
        <w:right w:val="none" w:sz="0" w:space="0" w:color="auto"/>
      </w:divBdr>
    </w:div>
    <w:div w:id="1770858245">
      <w:bodyDiv w:val="1"/>
      <w:marLeft w:val="0"/>
      <w:marRight w:val="0"/>
      <w:marTop w:val="0"/>
      <w:marBottom w:val="0"/>
      <w:divBdr>
        <w:top w:val="none" w:sz="0" w:space="0" w:color="auto"/>
        <w:left w:val="none" w:sz="0" w:space="0" w:color="auto"/>
        <w:bottom w:val="none" w:sz="0" w:space="0" w:color="auto"/>
        <w:right w:val="none" w:sz="0" w:space="0" w:color="auto"/>
      </w:divBdr>
    </w:div>
    <w:div w:id="1957171812">
      <w:bodyDiv w:val="1"/>
      <w:marLeft w:val="0"/>
      <w:marRight w:val="0"/>
      <w:marTop w:val="0"/>
      <w:marBottom w:val="0"/>
      <w:divBdr>
        <w:top w:val="none" w:sz="0" w:space="0" w:color="auto"/>
        <w:left w:val="none" w:sz="0" w:space="0" w:color="auto"/>
        <w:bottom w:val="none" w:sz="0" w:space="0" w:color="auto"/>
        <w:right w:val="none" w:sz="0" w:space="0" w:color="auto"/>
      </w:divBdr>
    </w:div>
    <w:div w:id="2132048010">
      <w:bodyDiv w:val="1"/>
      <w:marLeft w:val="0"/>
      <w:marRight w:val="0"/>
      <w:marTop w:val="0"/>
      <w:marBottom w:val="0"/>
      <w:divBdr>
        <w:top w:val="none" w:sz="0" w:space="0" w:color="auto"/>
        <w:left w:val="none" w:sz="0" w:space="0" w:color="auto"/>
        <w:bottom w:val="none" w:sz="0" w:space="0" w:color="auto"/>
        <w:right w:val="none" w:sz="0" w:space="0" w:color="auto"/>
      </w:divBdr>
      <w:divsChild>
        <w:div w:id="314997414">
          <w:marLeft w:val="0"/>
          <w:marRight w:val="0"/>
          <w:marTop w:val="0"/>
          <w:marBottom w:val="0"/>
          <w:divBdr>
            <w:top w:val="none" w:sz="0" w:space="0" w:color="auto"/>
            <w:left w:val="none" w:sz="0" w:space="0" w:color="auto"/>
            <w:bottom w:val="none" w:sz="0" w:space="0" w:color="auto"/>
            <w:right w:val="none" w:sz="0" w:space="0" w:color="auto"/>
          </w:divBdr>
        </w:div>
        <w:div w:id="1536577758">
          <w:marLeft w:val="0"/>
          <w:marRight w:val="0"/>
          <w:marTop w:val="0"/>
          <w:marBottom w:val="0"/>
          <w:divBdr>
            <w:top w:val="none" w:sz="0" w:space="0" w:color="auto"/>
            <w:left w:val="none" w:sz="0" w:space="0" w:color="auto"/>
            <w:bottom w:val="none" w:sz="0" w:space="0" w:color="auto"/>
            <w:right w:val="none" w:sz="0" w:space="0" w:color="auto"/>
          </w:divBdr>
        </w:div>
        <w:div w:id="2078624024">
          <w:marLeft w:val="0"/>
          <w:marRight w:val="0"/>
          <w:marTop w:val="0"/>
          <w:marBottom w:val="0"/>
          <w:divBdr>
            <w:top w:val="none" w:sz="0" w:space="0" w:color="auto"/>
            <w:left w:val="none" w:sz="0" w:space="0" w:color="auto"/>
            <w:bottom w:val="none" w:sz="0" w:space="0" w:color="auto"/>
            <w:right w:val="none" w:sz="0" w:space="0" w:color="auto"/>
          </w:divBdr>
        </w:div>
        <w:div w:id="706301343">
          <w:marLeft w:val="0"/>
          <w:marRight w:val="0"/>
          <w:marTop w:val="0"/>
          <w:marBottom w:val="0"/>
          <w:divBdr>
            <w:top w:val="none" w:sz="0" w:space="0" w:color="auto"/>
            <w:left w:val="none" w:sz="0" w:space="0" w:color="auto"/>
            <w:bottom w:val="none" w:sz="0" w:space="0" w:color="auto"/>
            <w:right w:val="none" w:sz="0" w:space="0" w:color="auto"/>
          </w:divBdr>
        </w:div>
        <w:div w:id="204716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m.gov.au/regional/regional-fund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nrm.gov.au/regional/regional-funding"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RIT@environment.gov.au"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EC7D654A-97F2-49DD-9A50-2542932BF369}"/>
</file>

<file path=customXml/itemProps2.xml><?xml version="1.0" encoding="utf-8"?>
<ds:datastoreItem xmlns:ds="http://schemas.openxmlformats.org/officeDocument/2006/customXml" ds:itemID="{D1E35EC4-691B-44A1-9879-6BE7832D848C}"/>
</file>

<file path=customXml/itemProps3.xml><?xml version="1.0" encoding="utf-8"?>
<ds:datastoreItem xmlns:ds="http://schemas.openxmlformats.org/officeDocument/2006/customXml" ds:itemID="{D11C23BD-0DC5-4FC4-8F64-49EA3199F430}"/>
</file>

<file path=docProps/app.xml><?xml version="1.0" encoding="utf-8"?>
<Properties xmlns="http://schemas.openxmlformats.org/officeDocument/2006/extended-properties" xmlns:vt="http://schemas.openxmlformats.org/officeDocument/2006/docPropsVTypes">
  <Template>581F6330.dotm</Template>
  <TotalTime>0</TotalTime>
  <Pages>8</Pages>
  <Words>3810</Words>
  <Characters>21717</Characters>
  <Application>Microsoft Office Word</Application>
  <DocSecurity>4</DocSecurity>
  <Lines>180</Lines>
  <Paragraphs>50</Paragraphs>
  <ScaleCrop>false</ScaleCrop>
  <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Performance Framework for Regional NRM Organisations 2017 Implementation Manual V1.0</dc:title>
  <dc:creator/>
  <cp:lastModifiedBy/>
  <cp:revision>1</cp:revision>
  <dcterms:created xsi:type="dcterms:W3CDTF">2017-05-23T03:17:00Z</dcterms:created>
  <dcterms:modified xsi:type="dcterms:W3CDTF">2017-05-23T03:17:00Z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