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DDC8" w14:textId="08055DCC" w:rsidR="00F86B9C" w:rsidRDefault="00F86B9C" w:rsidP="00DA6D39">
      <w:pPr>
        <w:pStyle w:val="Heading1"/>
        <w:spacing w:before="2400"/>
      </w:pPr>
      <w:r w:rsidRPr="0059628C">
        <w:t>Pet Food Safety in Australia</w:t>
      </w:r>
      <w:r w:rsidR="00DA6D39">
        <w:t>:</w:t>
      </w:r>
      <w:r w:rsidR="00DA6D39" w:rsidRPr="00DA6D39">
        <w:t xml:space="preserve"> </w:t>
      </w:r>
      <w:r w:rsidR="00D74596">
        <w:t>r</w:t>
      </w:r>
      <w:r w:rsidR="00D74596" w:rsidRPr="00DA6D39">
        <w:t xml:space="preserve">eport </w:t>
      </w:r>
      <w:r w:rsidR="00D74596">
        <w:t xml:space="preserve">to </w:t>
      </w:r>
      <w:r w:rsidR="00DA6D39" w:rsidRPr="00DA6D39">
        <w:t>Agriculture Ministers</w:t>
      </w:r>
    </w:p>
    <w:p w14:paraId="30C97A18" w14:textId="0A429EDC" w:rsidR="00F86B9C" w:rsidRDefault="00F86B9C" w:rsidP="00F86B9C">
      <w:pPr>
        <w:pStyle w:val="Normalsmall"/>
      </w:pPr>
      <w:r>
        <w:br w:type="page"/>
      </w:r>
      <w:r w:rsidRPr="00D74596">
        <w:lastRenderedPageBreak/>
        <w:t>© Commonwealth of Australia 202</w:t>
      </w:r>
      <w:r w:rsidR="00D74596" w:rsidRPr="00D74596">
        <w:t>6</w:t>
      </w:r>
    </w:p>
    <w:p w14:paraId="3C5DB739" w14:textId="77777777" w:rsidR="00F86B9C" w:rsidRDefault="00F86B9C" w:rsidP="0037385C">
      <w:pPr>
        <w:pStyle w:val="Normalsmall"/>
        <w:spacing w:after="0"/>
        <w:rPr>
          <w:rStyle w:val="Strong"/>
        </w:rPr>
      </w:pPr>
      <w:r>
        <w:rPr>
          <w:rStyle w:val="Strong"/>
        </w:rPr>
        <w:t>Ownership of intellectual property rights</w:t>
      </w:r>
    </w:p>
    <w:p w14:paraId="724ACAA3" w14:textId="77777777" w:rsidR="00F86B9C" w:rsidRDefault="00F86B9C" w:rsidP="00F86B9C">
      <w:pPr>
        <w:pStyle w:val="Normalsmall"/>
      </w:pPr>
      <w:r>
        <w:t>Unless otherwise noted, copyright (and any other intellectual property rights) in this publication is owned by the Commonwealth of Australia (referred to as the Commonwealth).</w:t>
      </w:r>
    </w:p>
    <w:p w14:paraId="3A4CD39D" w14:textId="77777777" w:rsidR="00F86B9C" w:rsidRDefault="00F86B9C" w:rsidP="0037385C">
      <w:pPr>
        <w:pStyle w:val="Normalsmall"/>
        <w:spacing w:after="0"/>
        <w:rPr>
          <w:rStyle w:val="Strong"/>
        </w:rPr>
      </w:pPr>
      <w:r>
        <w:rPr>
          <w:rStyle w:val="Strong"/>
        </w:rPr>
        <w:t>Creative Commons licence</w:t>
      </w:r>
    </w:p>
    <w:p w14:paraId="305F0660" w14:textId="77777777" w:rsidR="00F86B9C" w:rsidRDefault="00F86B9C" w:rsidP="00F86B9C">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488470A2" w14:textId="77777777" w:rsidR="00F86B9C" w:rsidRPr="00364A4A" w:rsidRDefault="00F86B9C" w:rsidP="00F86B9C">
      <w:pPr>
        <w:pStyle w:val="Normalsmall"/>
      </w:pPr>
      <w:r w:rsidRPr="00364A4A">
        <w:rPr>
          <w:noProof/>
          <w:lang w:eastAsia="en-AU"/>
        </w:rPr>
        <w:drawing>
          <wp:inline distT="0" distB="0" distL="0" distR="0" wp14:anchorId="2E396214" wp14:editId="6A747487">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BE1D5F0" w14:textId="77777777" w:rsidR="00F86B9C" w:rsidRPr="00364A4A" w:rsidRDefault="00F86B9C" w:rsidP="0037385C">
      <w:pPr>
        <w:pStyle w:val="Normalsmall"/>
        <w:spacing w:after="0"/>
        <w:rPr>
          <w:rStyle w:val="Strong"/>
        </w:rPr>
      </w:pPr>
      <w:r w:rsidRPr="00364A4A">
        <w:rPr>
          <w:rStyle w:val="Strong"/>
        </w:rPr>
        <w:t>Cataloguing data</w:t>
      </w:r>
    </w:p>
    <w:p w14:paraId="41D91EEC" w14:textId="1CC79790" w:rsidR="00F86B9C" w:rsidRDefault="00F86B9C" w:rsidP="00F86B9C">
      <w:pPr>
        <w:pStyle w:val="Normalsmall"/>
      </w:pPr>
      <w:r w:rsidRPr="00364A4A">
        <w:t xml:space="preserve">This publication (and any material sourced from it) should be </w:t>
      </w:r>
      <w:r w:rsidRPr="00D74596">
        <w:t>attributed as: DAFF 202</w:t>
      </w:r>
      <w:r w:rsidR="00D74596" w:rsidRPr="00D74596">
        <w:t>6</w:t>
      </w:r>
      <w:r w:rsidRPr="00D74596">
        <w:t xml:space="preserve">, </w:t>
      </w:r>
      <w:r w:rsidRPr="00D74596">
        <w:rPr>
          <w:i/>
        </w:rPr>
        <w:t xml:space="preserve">Pet Food Safety in Australia: </w:t>
      </w:r>
      <w:r w:rsidR="00D74596">
        <w:rPr>
          <w:i/>
        </w:rPr>
        <w:t>r</w:t>
      </w:r>
      <w:r w:rsidR="00743848" w:rsidRPr="00D74596">
        <w:rPr>
          <w:i/>
        </w:rPr>
        <w:t>eport to Agriculture Ministers</w:t>
      </w:r>
      <w:r w:rsidRPr="00D74596">
        <w:t xml:space="preserve">, Department of Agriculture, Fisheries and Forestry, Canberra. </w:t>
      </w:r>
      <w:r w:rsidR="00821509" w:rsidRPr="00821509">
        <w:t>(</w:t>
      </w:r>
      <w:r w:rsidR="00821509">
        <w:t>Re</w:t>
      </w:r>
      <w:r w:rsidR="00821509" w:rsidRPr="00821509">
        <w:t xml:space="preserve">port </w:t>
      </w:r>
      <w:r w:rsidR="00821509">
        <w:t>prepared</w:t>
      </w:r>
      <w:r w:rsidR="00821509" w:rsidRPr="00821509">
        <w:t xml:space="preserve"> in 202</w:t>
      </w:r>
      <w:r w:rsidR="00821509">
        <w:t>4</w:t>
      </w:r>
      <w:r w:rsidR="00821509" w:rsidRPr="00821509">
        <w:t>.)</w:t>
      </w:r>
      <w:r w:rsidR="00821509">
        <w:t xml:space="preserve"> </w:t>
      </w:r>
      <w:r w:rsidRPr="00D74596">
        <w:t>CC BY 4.0.</w:t>
      </w:r>
    </w:p>
    <w:p w14:paraId="41840931" w14:textId="72471738" w:rsidR="00F86B9C" w:rsidRDefault="00F86B9C" w:rsidP="00F86B9C">
      <w:pPr>
        <w:pStyle w:val="Normalsmall"/>
      </w:pPr>
      <w:r w:rsidRPr="004A2B9E">
        <w:t>This publication is ava</w:t>
      </w:r>
      <w:r w:rsidR="00F00EEC">
        <w:t xml:space="preserve">ilable at - </w:t>
      </w:r>
      <w:hyperlink r:id="rId13" w:history="1">
        <w:r w:rsidR="00F00EEC" w:rsidRPr="007E26CB">
          <w:rPr>
            <w:rStyle w:val="Hyperlink"/>
          </w:rPr>
          <w:t>https://www.agriculture.gov.au/agriculture-land/animal/health/pet-food-safety</w:t>
        </w:r>
      </w:hyperlink>
      <w:r w:rsidR="00F00EEC">
        <w:t xml:space="preserve"> </w:t>
      </w:r>
    </w:p>
    <w:p w14:paraId="01618541" w14:textId="77777777" w:rsidR="00F86B9C" w:rsidRDefault="00F86B9C" w:rsidP="00F86B9C">
      <w:pPr>
        <w:pStyle w:val="Normalsmall"/>
        <w:spacing w:after="0"/>
      </w:pPr>
      <w:r w:rsidRPr="00DE0AAE">
        <w:t>Department of Agriculture, Fisheries and Forestry</w:t>
      </w:r>
    </w:p>
    <w:p w14:paraId="1541CA09" w14:textId="77777777" w:rsidR="00F86B9C" w:rsidRPr="00364A4A" w:rsidRDefault="00F86B9C" w:rsidP="00F86B9C">
      <w:pPr>
        <w:pStyle w:val="Normalsmall"/>
        <w:spacing w:after="0"/>
      </w:pPr>
      <w:r w:rsidRPr="00364A4A">
        <w:t>GPO Box 858 Canberra ACT 2601</w:t>
      </w:r>
    </w:p>
    <w:p w14:paraId="17F07053" w14:textId="77777777" w:rsidR="00F86B9C" w:rsidRPr="00364A4A" w:rsidRDefault="00F86B9C" w:rsidP="00F86B9C">
      <w:pPr>
        <w:pStyle w:val="Normalsmall"/>
        <w:spacing w:after="0"/>
      </w:pPr>
      <w:r w:rsidRPr="00364A4A">
        <w:t>Telephone 1800 900 090</w:t>
      </w:r>
    </w:p>
    <w:p w14:paraId="7E11CFD7" w14:textId="77777777" w:rsidR="00F86B9C" w:rsidRPr="00364A4A" w:rsidRDefault="00F86B9C" w:rsidP="00F86B9C">
      <w:pPr>
        <w:pStyle w:val="Normalsmall"/>
      </w:pPr>
      <w:r w:rsidRPr="00364A4A">
        <w:t xml:space="preserve">Web </w:t>
      </w:r>
      <w:hyperlink r:id="rId14" w:history="1">
        <w:r w:rsidRPr="00364A4A">
          <w:rPr>
            <w:rStyle w:val="Hyperlink"/>
          </w:rPr>
          <w:t>agriculture.gov.au</w:t>
        </w:r>
      </w:hyperlink>
    </w:p>
    <w:p w14:paraId="0C5F6FB2" w14:textId="77777777" w:rsidR="00F86B9C" w:rsidRDefault="00F86B9C" w:rsidP="0037385C">
      <w:pPr>
        <w:pStyle w:val="Normalsmall"/>
        <w:spacing w:after="0"/>
      </w:pPr>
      <w:r w:rsidRPr="00364A4A">
        <w:rPr>
          <w:rStyle w:val="Strong"/>
        </w:rPr>
        <w:t>Disclaimer</w:t>
      </w:r>
    </w:p>
    <w:p w14:paraId="444CAFD8" w14:textId="77777777" w:rsidR="00F86B9C" w:rsidRDefault="00F86B9C" w:rsidP="00F86B9C">
      <w:pPr>
        <w:pStyle w:val="Normalsmall"/>
      </w:pPr>
      <w:r>
        <w:t xml:space="preserve">The Australian Government acting through the </w:t>
      </w:r>
      <w:r w:rsidRPr="00DE0AAE">
        <w:t>Department of Agriculture, Fisheries and Forestry</w:t>
      </w:r>
      <w:r>
        <w:t xml:space="preserve"> has exercised due care and skill in preparing and compiling the information and data in this publication. Notwithstanding, the </w:t>
      </w:r>
      <w:r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D02C371" w14:textId="77777777" w:rsidR="00F86B9C" w:rsidRDefault="00F86B9C" w:rsidP="0037385C">
      <w:pPr>
        <w:pStyle w:val="Normalsmall"/>
        <w:spacing w:after="0"/>
      </w:pPr>
      <w:r>
        <w:rPr>
          <w:rStyle w:val="Strong"/>
        </w:rPr>
        <w:t>Acknowledgement of Country</w:t>
      </w:r>
    </w:p>
    <w:p w14:paraId="39566494" w14:textId="77777777" w:rsidR="00A66DD8" w:rsidRDefault="00A66DD8" w:rsidP="00A66DD8">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5D2F1261" w14:textId="77777777" w:rsidR="00F86B9C" w:rsidRDefault="00F86B9C" w:rsidP="00F86B9C">
      <w:pPr>
        <w:pStyle w:val="Normalsmall"/>
      </w:pPr>
      <w:r>
        <w:br w:type="page"/>
      </w:r>
    </w:p>
    <w:sdt>
      <w:sdtPr>
        <w:rPr>
          <w:rFonts w:ascii="Cambria" w:eastAsiaTheme="minorHAnsi" w:hAnsi="Cambria"/>
          <w:bCs w:val="0"/>
          <w:sz w:val="22"/>
          <w:szCs w:val="22"/>
          <w:lang w:eastAsia="en-US"/>
        </w:rPr>
        <w:id w:val="-760297017"/>
        <w:docPartObj>
          <w:docPartGallery w:val="Table of Contents"/>
          <w:docPartUnique/>
        </w:docPartObj>
      </w:sdtPr>
      <w:sdtEndPr>
        <w:rPr>
          <w:rFonts w:asciiTheme="minorHAnsi" w:hAnsiTheme="minorHAnsi"/>
          <w:b/>
          <w:noProof/>
        </w:rPr>
      </w:sdtEndPr>
      <w:sdtContent>
        <w:p w14:paraId="71E106DA" w14:textId="77777777" w:rsidR="00F86B9C" w:rsidRDefault="00F86B9C" w:rsidP="00F86B9C">
          <w:pPr>
            <w:pStyle w:val="TOCHeading"/>
          </w:pPr>
          <w:r>
            <w:t>Contents</w:t>
          </w:r>
        </w:p>
        <w:p w14:paraId="2FCC23B0" w14:textId="057AF238" w:rsidR="00C2112E" w:rsidRDefault="00F86B9C">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8966438" w:history="1">
            <w:r w:rsidR="00C2112E" w:rsidRPr="00547604">
              <w:rPr>
                <w:rStyle w:val="Hyperlink"/>
              </w:rPr>
              <w:t>1</w:t>
            </w:r>
            <w:r w:rsidR="00C2112E">
              <w:rPr>
                <w:rFonts w:eastAsiaTheme="minorEastAsia"/>
                <w:b w:val="0"/>
                <w:kern w:val="2"/>
                <w:sz w:val="24"/>
                <w:szCs w:val="24"/>
                <w:lang w:eastAsia="en-AU"/>
                <w14:ligatures w14:val="standardContextual"/>
              </w:rPr>
              <w:tab/>
            </w:r>
            <w:r w:rsidR="00C2112E" w:rsidRPr="00547604">
              <w:rPr>
                <w:rStyle w:val="Hyperlink"/>
              </w:rPr>
              <w:t>Recommendations and key findings</w:t>
            </w:r>
            <w:r w:rsidR="00C2112E">
              <w:rPr>
                <w:webHidden/>
              </w:rPr>
              <w:tab/>
            </w:r>
            <w:r w:rsidR="00C2112E">
              <w:rPr>
                <w:webHidden/>
              </w:rPr>
              <w:fldChar w:fldCharType="begin"/>
            </w:r>
            <w:r w:rsidR="00C2112E">
              <w:rPr>
                <w:webHidden/>
              </w:rPr>
              <w:instrText xml:space="preserve"> PAGEREF _Toc228966438 \h </w:instrText>
            </w:r>
            <w:r w:rsidR="00C2112E">
              <w:rPr>
                <w:webHidden/>
              </w:rPr>
            </w:r>
            <w:r w:rsidR="00C2112E">
              <w:rPr>
                <w:webHidden/>
              </w:rPr>
              <w:fldChar w:fldCharType="separate"/>
            </w:r>
            <w:r w:rsidR="007733C6">
              <w:rPr>
                <w:webHidden/>
              </w:rPr>
              <w:t>iv</w:t>
            </w:r>
            <w:r w:rsidR="00C2112E">
              <w:rPr>
                <w:webHidden/>
              </w:rPr>
              <w:fldChar w:fldCharType="end"/>
            </w:r>
          </w:hyperlink>
        </w:p>
        <w:p w14:paraId="4581E3F7" w14:textId="483DF23F" w:rsidR="00C2112E" w:rsidRDefault="00C2112E">
          <w:pPr>
            <w:pStyle w:val="TOC2"/>
            <w:tabs>
              <w:tab w:val="left" w:pos="1200"/>
            </w:tabs>
            <w:rPr>
              <w:rFonts w:eastAsiaTheme="minorEastAsia"/>
              <w:kern w:val="2"/>
              <w:sz w:val="24"/>
              <w:szCs w:val="24"/>
              <w:lang w:eastAsia="en-AU"/>
              <w14:ligatures w14:val="standardContextual"/>
            </w:rPr>
          </w:pPr>
          <w:hyperlink w:anchor="_Toc228966439" w:history="1">
            <w:r w:rsidRPr="00547604">
              <w:rPr>
                <w:rStyle w:val="Hyperlink"/>
              </w:rPr>
              <w:t>1.1</w:t>
            </w:r>
            <w:r>
              <w:rPr>
                <w:rFonts w:eastAsiaTheme="minorEastAsia"/>
                <w:kern w:val="2"/>
                <w:sz w:val="24"/>
                <w:szCs w:val="24"/>
                <w:lang w:eastAsia="en-AU"/>
                <w14:ligatures w14:val="standardContextual"/>
              </w:rPr>
              <w:tab/>
            </w:r>
            <w:r w:rsidRPr="00547604">
              <w:rPr>
                <w:rStyle w:val="Hyperlink"/>
              </w:rPr>
              <w:t>Key Findings</w:t>
            </w:r>
            <w:r>
              <w:rPr>
                <w:webHidden/>
              </w:rPr>
              <w:tab/>
            </w:r>
            <w:r>
              <w:rPr>
                <w:webHidden/>
              </w:rPr>
              <w:fldChar w:fldCharType="begin"/>
            </w:r>
            <w:r>
              <w:rPr>
                <w:webHidden/>
              </w:rPr>
              <w:instrText xml:space="preserve"> PAGEREF _Toc228966439 \h </w:instrText>
            </w:r>
            <w:r>
              <w:rPr>
                <w:webHidden/>
              </w:rPr>
            </w:r>
            <w:r>
              <w:rPr>
                <w:webHidden/>
              </w:rPr>
              <w:fldChar w:fldCharType="separate"/>
            </w:r>
            <w:r w:rsidR="007733C6">
              <w:rPr>
                <w:webHidden/>
              </w:rPr>
              <w:t>iv</w:t>
            </w:r>
            <w:r>
              <w:rPr>
                <w:webHidden/>
              </w:rPr>
              <w:fldChar w:fldCharType="end"/>
            </w:r>
          </w:hyperlink>
        </w:p>
        <w:p w14:paraId="23134A15" w14:textId="4534021A" w:rsidR="00C2112E" w:rsidRDefault="00C2112E">
          <w:pPr>
            <w:pStyle w:val="TOC2"/>
            <w:tabs>
              <w:tab w:val="left" w:pos="1200"/>
            </w:tabs>
            <w:rPr>
              <w:rFonts w:eastAsiaTheme="minorEastAsia"/>
              <w:kern w:val="2"/>
              <w:sz w:val="24"/>
              <w:szCs w:val="24"/>
              <w:lang w:eastAsia="en-AU"/>
              <w14:ligatures w14:val="standardContextual"/>
            </w:rPr>
          </w:pPr>
          <w:hyperlink w:anchor="_Toc228966440" w:history="1">
            <w:r w:rsidRPr="00547604">
              <w:rPr>
                <w:rStyle w:val="Hyperlink"/>
              </w:rPr>
              <w:t>1.2</w:t>
            </w:r>
            <w:r>
              <w:rPr>
                <w:rFonts w:eastAsiaTheme="minorEastAsia"/>
                <w:kern w:val="2"/>
                <w:sz w:val="24"/>
                <w:szCs w:val="24"/>
                <w:lang w:eastAsia="en-AU"/>
                <w14:ligatures w14:val="standardContextual"/>
              </w:rPr>
              <w:tab/>
            </w:r>
            <w:r w:rsidRPr="00547604">
              <w:rPr>
                <w:rStyle w:val="Hyperlink"/>
              </w:rPr>
              <w:t>Recommendations</w:t>
            </w:r>
            <w:r>
              <w:rPr>
                <w:webHidden/>
              </w:rPr>
              <w:tab/>
            </w:r>
            <w:r>
              <w:rPr>
                <w:webHidden/>
              </w:rPr>
              <w:fldChar w:fldCharType="begin"/>
            </w:r>
            <w:r>
              <w:rPr>
                <w:webHidden/>
              </w:rPr>
              <w:instrText xml:space="preserve"> PAGEREF _Toc228966440 \h </w:instrText>
            </w:r>
            <w:r>
              <w:rPr>
                <w:webHidden/>
              </w:rPr>
            </w:r>
            <w:r>
              <w:rPr>
                <w:webHidden/>
              </w:rPr>
              <w:fldChar w:fldCharType="separate"/>
            </w:r>
            <w:r w:rsidR="007733C6">
              <w:rPr>
                <w:webHidden/>
              </w:rPr>
              <w:t>v</w:t>
            </w:r>
            <w:r>
              <w:rPr>
                <w:webHidden/>
              </w:rPr>
              <w:fldChar w:fldCharType="end"/>
            </w:r>
          </w:hyperlink>
        </w:p>
        <w:p w14:paraId="360DC8D1" w14:textId="265AF13F" w:rsidR="00C2112E" w:rsidRDefault="00C2112E">
          <w:pPr>
            <w:pStyle w:val="TOC1"/>
            <w:rPr>
              <w:rFonts w:eastAsiaTheme="minorEastAsia"/>
              <w:b w:val="0"/>
              <w:kern w:val="2"/>
              <w:sz w:val="24"/>
              <w:szCs w:val="24"/>
              <w:lang w:eastAsia="en-AU"/>
              <w14:ligatures w14:val="standardContextual"/>
            </w:rPr>
          </w:pPr>
          <w:hyperlink w:anchor="_Toc228966441" w:history="1">
            <w:r w:rsidRPr="00547604">
              <w:rPr>
                <w:rStyle w:val="Hyperlink"/>
              </w:rPr>
              <w:t>2</w:t>
            </w:r>
            <w:r>
              <w:rPr>
                <w:rFonts w:eastAsiaTheme="minorEastAsia"/>
                <w:b w:val="0"/>
                <w:kern w:val="2"/>
                <w:sz w:val="24"/>
                <w:szCs w:val="24"/>
                <w:lang w:eastAsia="en-AU"/>
                <w14:ligatures w14:val="standardContextual"/>
              </w:rPr>
              <w:tab/>
            </w:r>
            <w:r w:rsidRPr="00547604">
              <w:rPr>
                <w:rStyle w:val="Hyperlink"/>
              </w:rPr>
              <w:t>Introduction</w:t>
            </w:r>
            <w:r>
              <w:rPr>
                <w:webHidden/>
              </w:rPr>
              <w:tab/>
            </w:r>
            <w:r>
              <w:rPr>
                <w:webHidden/>
              </w:rPr>
              <w:fldChar w:fldCharType="begin"/>
            </w:r>
            <w:r>
              <w:rPr>
                <w:webHidden/>
              </w:rPr>
              <w:instrText xml:space="preserve"> PAGEREF _Toc228966441 \h </w:instrText>
            </w:r>
            <w:r>
              <w:rPr>
                <w:webHidden/>
              </w:rPr>
            </w:r>
            <w:r>
              <w:rPr>
                <w:webHidden/>
              </w:rPr>
              <w:fldChar w:fldCharType="separate"/>
            </w:r>
            <w:r w:rsidR="007733C6">
              <w:rPr>
                <w:webHidden/>
              </w:rPr>
              <w:t>1</w:t>
            </w:r>
            <w:r>
              <w:rPr>
                <w:webHidden/>
              </w:rPr>
              <w:fldChar w:fldCharType="end"/>
            </w:r>
          </w:hyperlink>
        </w:p>
        <w:p w14:paraId="49DDD4D0" w14:textId="4C170B5A" w:rsidR="00C2112E" w:rsidRDefault="00C2112E">
          <w:pPr>
            <w:pStyle w:val="TOC1"/>
            <w:rPr>
              <w:rFonts w:eastAsiaTheme="minorEastAsia"/>
              <w:b w:val="0"/>
              <w:kern w:val="2"/>
              <w:sz w:val="24"/>
              <w:szCs w:val="24"/>
              <w:lang w:eastAsia="en-AU"/>
              <w14:ligatures w14:val="standardContextual"/>
            </w:rPr>
          </w:pPr>
          <w:hyperlink w:anchor="_Toc228966442" w:history="1">
            <w:r w:rsidRPr="00547604">
              <w:rPr>
                <w:rStyle w:val="Hyperlink"/>
              </w:rPr>
              <w:t>3</w:t>
            </w:r>
            <w:r>
              <w:rPr>
                <w:rFonts w:eastAsiaTheme="minorEastAsia"/>
                <w:b w:val="0"/>
                <w:kern w:val="2"/>
                <w:sz w:val="24"/>
                <w:szCs w:val="24"/>
                <w:lang w:eastAsia="en-AU"/>
                <w14:ligatures w14:val="standardContextual"/>
              </w:rPr>
              <w:tab/>
            </w:r>
            <w:r w:rsidRPr="00547604">
              <w:rPr>
                <w:rStyle w:val="Hyperlink"/>
              </w:rPr>
              <w:t>Pet food safety in Australia</w:t>
            </w:r>
            <w:r>
              <w:rPr>
                <w:webHidden/>
              </w:rPr>
              <w:tab/>
            </w:r>
            <w:r>
              <w:rPr>
                <w:webHidden/>
              </w:rPr>
              <w:fldChar w:fldCharType="begin"/>
            </w:r>
            <w:r>
              <w:rPr>
                <w:webHidden/>
              </w:rPr>
              <w:instrText xml:space="preserve"> PAGEREF _Toc228966442 \h </w:instrText>
            </w:r>
            <w:r>
              <w:rPr>
                <w:webHidden/>
              </w:rPr>
            </w:r>
            <w:r>
              <w:rPr>
                <w:webHidden/>
              </w:rPr>
              <w:fldChar w:fldCharType="separate"/>
            </w:r>
            <w:r w:rsidR="007733C6">
              <w:rPr>
                <w:webHidden/>
              </w:rPr>
              <w:t>3</w:t>
            </w:r>
            <w:r>
              <w:rPr>
                <w:webHidden/>
              </w:rPr>
              <w:fldChar w:fldCharType="end"/>
            </w:r>
          </w:hyperlink>
        </w:p>
        <w:p w14:paraId="5E3A1610" w14:textId="5508DF48" w:rsidR="00C2112E" w:rsidRDefault="00C2112E">
          <w:pPr>
            <w:pStyle w:val="TOC2"/>
            <w:tabs>
              <w:tab w:val="left" w:pos="1200"/>
            </w:tabs>
            <w:rPr>
              <w:rFonts w:eastAsiaTheme="minorEastAsia"/>
              <w:kern w:val="2"/>
              <w:sz w:val="24"/>
              <w:szCs w:val="24"/>
              <w:lang w:eastAsia="en-AU"/>
              <w14:ligatures w14:val="standardContextual"/>
            </w:rPr>
          </w:pPr>
          <w:hyperlink w:anchor="_Toc228966443" w:history="1">
            <w:r w:rsidRPr="00547604">
              <w:rPr>
                <w:rStyle w:val="Hyperlink"/>
              </w:rPr>
              <w:t>3.1</w:t>
            </w:r>
            <w:r>
              <w:rPr>
                <w:rFonts w:eastAsiaTheme="minorEastAsia"/>
                <w:kern w:val="2"/>
                <w:sz w:val="24"/>
                <w:szCs w:val="24"/>
                <w:lang w:eastAsia="en-AU"/>
                <w14:ligatures w14:val="standardContextual"/>
              </w:rPr>
              <w:tab/>
            </w:r>
            <w:r w:rsidRPr="00547604">
              <w:rPr>
                <w:rStyle w:val="Hyperlink"/>
              </w:rPr>
              <w:t>Current self-regulatory model</w:t>
            </w:r>
            <w:r>
              <w:rPr>
                <w:webHidden/>
              </w:rPr>
              <w:tab/>
            </w:r>
            <w:r>
              <w:rPr>
                <w:webHidden/>
              </w:rPr>
              <w:fldChar w:fldCharType="begin"/>
            </w:r>
            <w:r>
              <w:rPr>
                <w:webHidden/>
              </w:rPr>
              <w:instrText xml:space="preserve"> PAGEREF _Toc228966443 \h </w:instrText>
            </w:r>
            <w:r>
              <w:rPr>
                <w:webHidden/>
              </w:rPr>
            </w:r>
            <w:r>
              <w:rPr>
                <w:webHidden/>
              </w:rPr>
              <w:fldChar w:fldCharType="separate"/>
            </w:r>
            <w:r w:rsidR="007733C6">
              <w:rPr>
                <w:webHidden/>
              </w:rPr>
              <w:t>3</w:t>
            </w:r>
            <w:r>
              <w:rPr>
                <w:webHidden/>
              </w:rPr>
              <w:fldChar w:fldCharType="end"/>
            </w:r>
          </w:hyperlink>
        </w:p>
        <w:p w14:paraId="756D503B" w14:textId="290DB9DC" w:rsidR="00C2112E" w:rsidRDefault="00C2112E">
          <w:pPr>
            <w:pStyle w:val="TOC2"/>
            <w:tabs>
              <w:tab w:val="left" w:pos="1200"/>
            </w:tabs>
            <w:rPr>
              <w:rFonts w:eastAsiaTheme="minorEastAsia"/>
              <w:kern w:val="2"/>
              <w:sz w:val="24"/>
              <w:szCs w:val="24"/>
              <w:lang w:eastAsia="en-AU"/>
              <w14:ligatures w14:val="standardContextual"/>
            </w:rPr>
          </w:pPr>
          <w:hyperlink w:anchor="_Toc228966444" w:history="1">
            <w:r w:rsidRPr="00547604">
              <w:rPr>
                <w:rStyle w:val="Hyperlink"/>
              </w:rPr>
              <w:t>3.2</w:t>
            </w:r>
            <w:r>
              <w:rPr>
                <w:rFonts w:eastAsiaTheme="minorEastAsia"/>
                <w:kern w:val="2"/>
                <w:sz w:val="24"/>
                <w:szCs w:val="24"/>
                <w:lang w:eastAsia="en-AU"/>
                <w14:ligatures w14:val="standardContextual"/>
              </w:rPr>
              <w:tab/>
            </w:r>
            <w:r w:rsidRPr="00547604">
              <w:rPr>
                <w:rStyle w:val="Hyperlink"/>
              </w:rPr>
              <w:t>Key challenges</w:t>
            </w:r>
            <w:r>
              <w:rPr>
                <w:webHidden/>
              </w:rPr>
              <w:tab/>
            </w:r>
            <w:r>
              <w:rPr>
                <w:webHidden/>
              </w:rPr>
              <w:fldChar w:fldCharType="begin"/>
            </w:r>
            <w:r>
              <w:rPr>
                <w:webHidden/>
              </w:rPr>
              <w:instrText xml:space="preserve"> PAGEREF _Toc228966444 \h </w:instrText>
            </w:r>
            <w:r>
              <w:rPr>
                <w:webHidden/>
              </w:rPr>
            </w:r>
            <w:r>
              <w:rPr>
                <w:webHidden/>
              </w:rPr>
              <w:fldChar w:fldCharType="separate"/>
            </w:r>
            <w:r w:rsidR="007733C6">
              <w:rPr>
                <w:webHidden/>
              </w:rPr>
              <w:t>5</w:t>
            </w:r>
            <w:r>
              <w:rPr>
                <w:webHidden/>
              </w:rPr>
              <w:fldChar w:fldCharType="end"/>
            </w:r>
          </w:hyperlink>
        </w:p>
        <w:p w14:paraId="7DABE143" w14:textId="287BA331" w:rsidR="00C2112E" w:rsidRDefault="00C2112E">
          <w:pPr>
            <w:pStyle w:val="TOC1"/>
            <w:rPr>
              <w:rFonts w:eastAsiaTheme="minorEastAsia"/>
              <w:b w:val="0"/>
              <w:kern w:val="2"/>
              <w:sz w:val="24"/>
              <w:szCs w:val="24"/>
              <w:lang w:eastAsia="en-AU"/>
              <w14:ligatures w14:val="standardContextual"/>
            </w:rPr>
          </w:pPr>
          <w:hyperlink w:anchor="_Toc228966445" w:history="1">
            <w:r w:rsidRPr="00547604">
              <w:rPr>
                <w:rStyle w:val="Hyperlink"/>
              </w:rPr>
              <w:t>4</w:t>
            </w:r>
            <w:r>
              <w:rPr>
                <w:rFonts w:eastAsiaTheme="minorEastAsia"/>
                <w:b w:val="0"/>
                <w:kern w:val="2"/>
                <w:sz w:val="24"/>
                <w:szCs w:val="24"/>
                <w:lang w:eastAsia="en-AU"/>
                <w14:ligatures w14:val="standardContextual"/>
              </w:rPr>
              <w:tab/>
            </w:r>
            <w:r w:rsidRPr="00547604">
              <w:rPr>
                <w:rStyle w:val="Hyperlink"/>
              </w:rPr>
              <w:t>Is Government action needed?</w:t>
            </w:r>
            <w:r>
              <w:rPr>
                <w:webHidden/>
              </w:rPr>
              <w:tab/>
            </w:r>
            <w:r>
              <w:rPr>
                <w:webHidden/>
              </w:rPr>
              <w:fldChar w:fldCharType="begin"/>
            </w:r>
            <w:r>
              <w:rPr>
                <w:webHidden/>
              </w:rPr>
              <w:instrText xml:space="preserve"> PAGEREF _Toc228966445 \h </w:instrText>
            </w:r>
            <w:r>
              <w:rPr>
                <w:webHidden/>
              </w:rPr>
            </w:r>
            <w:r>
              <w:rPr>
                <w:webHidden/>
              </w:rPr>
              <w:fldChar w:fldCharType="separate"/>
            </w:r>
            <w:r w:rsidR="007733C6">
              <w:rPr>
                <w:webHidden/>
              </w:rPr>
              <w:t>10</w:t>
            </w:r>
            <w:r>
              <w:rPr>
                <w:webHidden/>
              </w:rPr>
              <w:fldChar w:fldCharType="end"/>
            </w:r>
          </w:hyperlink>
        </w:p>
        <w:p w14:paraId="45EDD507" w14:textId="1AEF5280" w:rsidR="00C2112E" w:rsidRDefault="00C2112E">
          <w:pPr>
            <w:pStyle w:val="TOC2"/>
            <w:tabs>
              <w:tab w:val="left" w:pos="1200"/>
            </w:tabs>
            <w:rPr>
              <w:rFonts w:eastAsiaTheme="minorEastAsia"/>
              <w:kern w:val="2"/>
              <w:sz w:val="24"/>
              <w:szCs w:val="24"/>
              <w:lang w:eastAsia="en-AU"/>
              <w14:ligatures w14:val="standardContextual"/>
            </w:rPr>
          </w:pPr>
          <w:hyperlink w:anchor="_Toc228966446" w:history="1">
            <w:r w:rsidRPr="00547604">
              <w:rPr>
                <w:rStyle w:val="Hyperlink"/>
              </w:rPr>
              <w:t>4.1</w:t>
            </w:r>
            <w:r>
              <w:rPr>
                <w:rFonts w:eastAsiaTheme="minorEastAsia"/>
                <w:kern w:val="2"/>
                <w:sz w:val="24"/>
                <w:szCs w:val="24"/>
                <w:lang w:eastAsia="en-AU"/>
                <w14:ligatures w14:val="standardContextual"/>
              </w:rPr>
              <w:tab/>
            </w:r>
            <w:r w:rsidRPr="00547604">
              <w:rPr>
                <w:rStyle w:val="Hyperlink"/>
              </w:rPr>
              <w:t>Scale of pet food safety incidents</w:t>
            </w:r>
            <w:r>
              <w:rPr>
                <w:webHidden/>
              </w:rPr>
              <w:tab/>
            </w:r>
            <w:r>
              <w:rPr>
                <w:webHidden/>
              </w:rPr>
              <w:fldChar w:fldCharType="begin"/>
            </w:r>
            <w:r>
              <w:rPr>
                <w:webHidden/>
              </w:rPr>
              <w:instrText xml:space="preserve"> PAGEREF _Toc228966446 \h </w:instrText>
            </w:r>
            <w:r>
              <w:rPr>
                <w:webHidden/>
              </w:rPr>
            </w:r>
            <w:r>
              <w:rPr>
                <w:webHidden/>
              </w:rPr>
              <w:fldChar w:fldCharType="separate"/>
            </w:r>
            <w:r w:rsidR="007733C6">
              <w:rPr>
                <w:webHidden/>
              </w:rPr>
              <w:t>10</w:t>
            </w:r>
            <w:r>
              <w:rPr>
                <w:webHidden/>
              </w:rPr>
              <w:fldChar w:fldCharType="end"/>
            </w:r>
          </w:hyperlink>
        </w:p>
        <w:p w14:paraId="501259F7" w14:textId="34312C68" w:rsidR="00C2112E" w:rsidRDefault="00C2112E">
          <w:pPr>
            <w:pStyle w:val="TOC2"/>
            <w:tabs>
              <w:tab w:val="left" w:pos="1200"/>
            </w:tabs>
            <w:rPr>
              <w:rFonts w:eastAsiaTheme="minorEastAsia"/>
              <w:kern w:val="2"/>
              <w:sz w:val="24"/>
              <w:szCs w:val="24"/>
              <w:lang w:eastAsia="en-AU"/>
              <w14:ligatures w14:val="standardContextual"/>
            </w:rPr>
          </w:pPr>
          <w:hyperlink w:anchor="_Toc228966447" w:history="1">
            <w:r w:rsidRPr="00547604">
              <w:rPr>
                <w:rStyle w:val="Hyperlink"/>
              </w:rPr>
              <w:t>4.2</w:t>
            </w:r>
            <w:r>
              <w:rPr>
                <w:rFonts w:eastAsiaTheme="minorEastAsia"/>
                <w:kern w:val="2"/>
                <w:sz w:val="24"/>
                <w:szCs w:val="24"/>
                <w:lang w:eastAsia="en-AU"/>
                <w14:ligatures w14:val="standardContextual"/>
              </w:rPr>
              <w:tab/>
            </w:r>
            <w:r w:rsidRPr="00547604">
              <w:rPr>
                <w:rStyle w:val="Hyperlink"/>
              </w:rPr>
              <w:t>Resourcing and time requirements</w:t>
            </w:r>
            <w:r>
              <w:rPr>
                <w:webHidden/>
              </w:rPr>
              <w:tab/>
            </w:r>
            <w:r>
              <w:rPr>
                <w:webHidden/>
              </w:rPr>
              <w:fldChar w:fldCharType="begin"/>
            </w:r>
            <w:r>
              <w:rPr>
                <w:webHidden/>
              </w:rPr>
              <w:instrText xml:space="preserve"> PAGEREF _Toc228966447 \h </w:instrText>
            </w:r>
            <w:r>
              <w:rPr>
                <w:webHidden/>
              </w:rPr>
            </w:r>
            <w:r>
              <w:rPr>
                <w:webHidden/>
              </w:rPr>
              <w:fldChar w:fldCharType="separate"/>
            </w:r>
            <w:r w:rsidR="007733C6">
              <w:rPr>
                <w:webHidden/>
              </w:rPr>
              <w:t>10</w:t>
            </w:r>
            <w:r>
              <w:rPr>
                <w:webHidden/>
              </w:rPr>
              <w:fldChar w:fldCharType="end"/>
            </w:r>
          </w:hyperlink>
        </w:p>
        <w:p w14:paraId="6B122C33" w14:textId="4971FFC7" w:rsidR="00C2112E" w:rsidRDefault="00C2112E">
          <w:pPr>
            <w:pStyle w:val="TOC2"/>
            <w:tabs>
              <w:tab w:val="left" w:pos="1200"/>
            </w:tabs>
            <w:rPr>
              <w:rFonts w:eastAsiaTheme="minorEastAsia"/>
              <w:kern w:val="2"/>
              <w:sz w:val="24"/>
              <w:szCs w:val="24"/>
              <w:lang w:eastAsia="en-AU"/>
              <w14:ligatures w14:val="standardContextual"/>
            </w:rPr>
          </w:pPr>
          <w:hyperlink w:anchor="_Toc228966448" w:history="1">
            <w:r w:rsidRPr="00547604">
              <w:rPr>
                <w:rStyle w:val="Hyperlink"/>
              </w:rPr>
              <w:t>4.3</w:t>
            </w:r>
            <w:r>
              <w:rPr>
                <w:rFonts w:eastAsiaTheme="minorEastAsia"/>
                <w:kern w:val="2"/>
                <w:sz w:val="24"/>
                <w:szCs w:val="24"/>
                <w:lang w:eastAsia="en-AU"/>
                <w14:ligatures w14:val="standardContextual"/>
              </w:rPr>
              <w:tab/>
            </w:r>
            <w:r w:rsidRPr="00547604">
              <w:rPr>
                <w:rStyle w:val="Hyperlink"/>
              </w:rPr>
              <w:t>Effectiveness of government action</w:t>
            </w:r>
            <w:r>
              <w:rPr>
                <w:webHidden/>
              </w:rPr>
              <w:tab/>
            </w:r>
            <w:r>
              <w:rPr>
                <w:webHidden/>
              </w:rPr>
              <w:fldChar w:fldCharType="begin"/>
            </w:r>
            <w:r>
              <w:rPr>
                <w:webHidden/>
              </w:rPr>
              <w:instrText xml:space="preserve"> PAGEREF _Toc228966448 \h </w:instrText>
            </w:r>
            <w:r>
              <w:rPr>
                <w:webHidden/>
              </w:rPr>
            </w:r>
            <w:r>
              <w:rPr>
                <w:webHidden/>
              </w:rPr>
              <w:fldChar w:fldCharType="separate"/>
            </w:r>
            <w:r w:rsidR="007733C6">
              <w:rPr>
                <w:webHidden/>
              </w:rPr>
              <w:t>11</w:t>
            </w:r>
            <w:r>
              <w:rPr>
                <w:webHidden/>
              </w:rPr>
              <w:fldChar w:fldCharType="end"/>
            </w:r>
          </w:hyperlink>
        </w:p>
        <w:p w14:paraId="333687B4" w14:textId="6490D501" w:rsidR="00C2112E" w:rsidRDefault="00C2112E">
          <w:pPr>
            <w:pStyle w:val="TOC1"/>
            <w:rPr>
              <w:rFonts w:eastAsiaTheme="minorEastAsia"/>
              <w:b w:val="0"/>
              <w:kern w:val="2"/>
              <w:sz w:val="24"/>
              <w:szCs w:val="24"/>
              <w:lang w:eastAsia="en-AU"/>
              <w14:ligatures w14:val="standardContextual"/>
            </w:rPr>
          </w:pPr>
          <w:hyperlink w:anchor="_Toc228966449" w:history="1">
            <w:r w:rsidRPr="00547604">
              <w:rPr>
                <w:rStyle w:val="Hyperlink"/>
              </w:rPr>
              <w:t>5</w:t>
            </w:r>
            <w:r>
              <w:rPr>
                <w:rFonts w:eastAsiaTheme="minorEastAsia"/>
                <w:b w:val="0"/>
                <w:kern w:val="2"/>
                <w:sz w:val="24"/>
                <w:szCs w:val="24"/>
                <w:lang w:eastAsia="en-AU"/>
                <w14:ligatures w14:val="standardContextual"/>
              </w:rPr>
              <w:tab/>
            </w:r>
            <w:r w:rsidRPr="00547604">
              <w:rPr>
                <w:rStyle w:val="Hyperlink"/>
              </w:rPr>
              <w:t>Cost benefit analysis</w:t>
            </w:r>
            <w:r>
              <w:rPr>
                <w:webHidden/>
              </w:rPr>
              <w:tab/>
            </w:r>
            <w:r>
              <w:rPr>
                <w:webHidden/>
              </w:rPr>
              <w:fldChar w:fldCharType="begin"/>
            </w:r>
            <w:r>
              <w:rPr>
                <w:webHidden/>
              </w:rPr>
              <w:instrText xml:space="preserve"> PAGEREF _Toc228966449 \h </w:instrText>
            </w:r>
            <w:r>
              <w:rPr>
                <w:webHidden/>
              </w:rPr>
            </w:r>
            <w:r>
              <w:rPr>
                <w:webHidden/>
              </w:rPr>
              <w:fldChar w:fldCharType="separate"/>
            </w:r>
            <w:r w:rsidR="007733C6">
              <w:rPr>
                <w:webHidden/>
              </w:rPr>
              <w:t>12</w:t>
            </w:r>
            <w:r>
              <w:rPr>
                <w:webHidden/>
              </w:rPr>
              <w:fldChar w:fldCharType="end"/>
            </w:r>
          </w:hyperlink>
        </w:p>
        <w:p w14:paraId="4E00E2E0" w14:textId="2CA8C3D6" w:rsidR="00C2112E" w:rsidRDefault="00C2112E">
          <w:pPr>
            <w:pStyle w:val="TOC2"/>
            <w:tabs>
              <w:tab w:val="left" w:pos="1200"/>
            </w:tabs>
            <w:rPr>
              <w:rFonts w:eastAsiaTheme="minorEastAsia"/>
              <w:kern w:val="2"/>
              <w:sz w:val="24"/>
              <w:szCs w:val="24"/>
              <w:lang w:eastAsia="en-AU"/>
              <w14:ligatures w14:val="standardContextual"/>
            </w:rPr>
          </w:pPr>
          <w:hyperlink w:anchor="_Toc228966450" w:history="1">
            <w:r w:rsidRPr="00547604">
              <w:rPr>
                <w:rStyle w:val="Hyperlink"/>
              </w:rPr>
              <w:t>5.1</w:t>
            </w:r>
            <w:r>
              <w:rPr>
                <w:rFonts w:eastAsiaTheme="minorEastAsia"/>
                <w:kern w:val="2"/>
                <w:sz w:val="24"/>
                <w:szCs w:val="24"/>
                <w:lang w:eastAsia="en-AU"/>
                <w14:ligatures w14:val="standardContextual"/>
              </w:rPr>
              <w:tab/>
            </w:r>
            <w:r w:rsidRPr="00547604">
              <w:rPr>
                <w:rStyle w:val="Hyperlink"/>
              </w:rPr>
              <w:t>Analysis methodology</w:t>
            </w:r>
            <w:r>
              <w:rPr>
                <w:webHidden/>
              </w:rPr>
              <w:tab/>
            </w:r>
            <w:r>
              <w:rPr>
                <w:webHidden/>
              </w:rPr>
              <w:fldChar w:fldCharType="begin"/>
            </w:r>
            <w:r>
              <w:rPr>
                <w:webHidden/>
              </w:rPr>
              <w:instrText xml:space="preserve"> PAGEREF _Toc228966450 \h </w:instrText>
            </w:r>
            <w:r>
              <w:rPr>
                <w:webHidden/>
              </w:rPr>
            </w:r>
            <w:r>
              <w:rPr>
                <w:webHidden/>
              </w:rPr>
              <w:fldChar w:fldCharType="separate"/>
            </w:r>
            <w:r w:rsidR="007733C6">
              <w:rPr>
                <w:webHidden/>
              </w:rPr>
              <w:t>12</w:t>
            </w:r>
            <w:r>
              <w:rPr>
                <w:webHidden/>
              </w:rPr>
              <w:fldChar w:fldCharType="end"/>
            </w:r>
          </w:hyperlink>
        </w:p>
        <w:p w14:paraId="130C8717" w14:textId="4A7863AE" w:rsidR="00C2112E" w:rsidRDefault="00C2112E">
          <w:pPr>
            <w:pStyle w:val="TOC2"/>
            <w:tabs>
              <w:tab w:val="left" w:pos="1200"/>
            </w:tabs>
            <w:rPr>
              <w:rFonts w:eastAsiaTheme="minorEastAsia"/>
              <w:kern w:val="2"/>
              <w:sz w:val="24"/>
              <w:szCs w:val="24"/>
              <w:lang w:eastAsia="en-AU"/>
              <w14:ligatures w14:val="standardContextual"/>
            </w:rPr>
          </w:pPr>
          <w:hyperlink w:anchor="_Toc228966451" w:history="1">
            <w:r w:rsidRPr="00547604">
              <w:rPr>
                <w:rStyle w:val="Hyperlink"/>
              </w:rPr>
              <w:t>5.2</w:t>
            </w:r>
            <w:r>
              <w:rPr>
                <w:rFonts w:eastAsiaTheme="minorEastAsia"/>
                <w:kern w:val="2"/>
                <w:sz w:val="24"/>
                <w:szCs w:val="24"/>
                <w:lang w:eastAsia="en-AU"/>
                <w14:ligatures w14:val="standardContextual"/>
              </w:rPr>
              <w:tab/>
            </w:r>
            <w:r w:rsidRPr="00547604">
              <w:rPr>
                <w:rStyle w:val="Hyperlink"/>
              </w:rPr>
              <w:t>Results</w:t>
            </w:r>
            <w:r>
              <w:rPr>
                <w:webHidden/>
              </w:rPr>
              <w:tab/>
            </w:r>
            <w:r>
              <w:rPr>
                <w:webHidden/>
              </w:rPr>
              <w:fldChar w:fldCharType="begin"/>
            </w:r>
            <w:r>
              <w:rPr>
                <w:webHidden/>
              </w:rPr>
              <w:instrText xml:space="preserve"> PAGEREF _Toc228966451 \h </w:instrText>
            </w:r>
            <w:r>
              <w:rPr>
                <w:webHidden/>
              </w:rPr>
            </w:r>
            <w:r>
              <w:rPr>
                <w:webHidden/>
              </w:rPr>
              <w:fldChar w:fldCharType="separate"/>
            </w:r>
            <w:r w:rsidR="007733C6">
              <w:rPr>
                <w:webHidden/>
              </w:rPr>
              <w:t>17</w:t>
            </w:r>
            <w:r>
              <w:rPr>
                <w:webHidden/>
              </w:rPr>
              <w:fldChar w:fldCharType="end"/>
            </w:r>
          </w:hyperlink>
        </w:p>
        <w:p w14:paraId="62A73D6B" w14:textId="77340A6D" w:rsidR="00C2112E" w:rsidRDefault="00C2112E">
          <w:pPr>
            <w:pStyle w:val="TOC1"/>
            <w:rPr>
              <w:rFonts w:eastAsiaTheme="minorEastAsia"/>
              <w:b w:val="0"/>
              <w:kern w:val="2"/>
              <w:sz w:val="24"/>
              <w:szCs w:val="24"/>
              <w:lang w:eastAsia="en-AU"/>
              <w14:ligatures w14:val="standardContextual"/>
            </w:rPr>
          </w:pPr>
          <w:hyperlink w:anchor="_Toc228966452" w:history="1">
            <w:r w:rsidRPr="00547604">
              <w:rPr>
                <w:rStyle w:val="Hyperlink"/>
              </w:rPr>
              <w:t>6</w:t>
            </w:r>
            <w:r>
              <w:rPr>
                <w:rFonts w:eastAsiaTheme="minorEastAsia"/>
                <w:b w:val="0"/>
                <w:kern w:val="2"/>
                <w:sz w:val="24"/>
                <w:szCs w:val="24"/>
                <w:lang w:eastAsia="en-AU"/>
                <w14:ligatures w14:val="standardContextual"/>
              </w:rPr>
              <w:tab/>
            </w:r>
            <w:r w:rsidRPr="00547604">
              <w:rPr>
                <w:rStyle w:val="Hyperlink"/>
              </w:rPr>
              <w:t>Findings</w:t>
            </w:r>
            <w:r>
              <w:rPr>
                <w:webHidden/>
              </w:rPr>
              <w:tab/>
            </w:r>
            <w:r>
              <w:rPr>
                <w:webHidden/>
              </w:rPr>
              <w:fldChar w:fldCharType="begin"/>
            </w:r>
            <w:r>
              <w:rPr>
                <w:webHidden/>
              </w:rPr>
              <w:instrText xml:space="preserve"> PAGEREF _Toc228966452 \h </w:instrText>
            </w:r>
            <w:r>
              <w:rPr>
                <w:webHidden/>
              </w:rPr>
            </w:r>
            <w:r>
              <w:rPr>
                <w:webHidden/>
              </w:rPr>
              <w:fldChar w:fldCharType="separate"/>
            </w:r>
            <w:r w:rsidR="007733C6">
              <w:rPr>
                <w:webHidden/>
              </w:rPr>
              <w:t>19</w:t>
            </w:r>
            <w:r>
              <w:rPr>
                <w:webHidden/>
              </w:rPr>
              <w:fldChar w:fldCharType="end"/>
            </w:r>
          </w:hyperlink>
        </w:p>
        <w:p w14:paraId="142E9B4F" w14:textId="44EC1753" w:rsidR="00F86B9C" w:rsidRDefault="00F86B9C" w:rsidP="00F86B9C">
          <w:r>
            <w:rPr>
              <w:b/>
              <w:noProof/>
            </w:rPr>
            <w:fldChar w:fldCharType="end"/>
          </w:r>
        </w:p>
      </w:sdtContent>
    </w:sdt>
    <w:p w14:paraId="5B08DCB2" w14:textId="77777777" w:rsidR="00F86B9C" w:rsidRDefault="00F86B9C" w:rsidP="008C4529">
      <w:pPr>
        <w:pStyle w:val="TOCHeading2"/>
        <w:rPr>
          <w:rStyle w:val="Strong"/>
          <w:b/>
          <w:bCs w:val="0"/>
        </w:rPr>
      </w:pPr>
      <w:r w:rsidRPr="008C4529">
        <w:rPr>
          <w:rStyle w:val="Strong"/>
          <w:b/>
          <w:bCs w:val="0"/>
        </w:rPr>
        <w:t>Tables</w:t>
      </w:r>
    </w:p>
    <w:p w14:paraId="2CC3BB80" w14:textId="37C331D2" w:rsidR="00C2112E" w:rsidRDefault="00D74596">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"Table" </w:instrText>
      </w:r>
      <w:r>
        <w:fldChar w:fldCharType="separate"/>
      </w:r>
      <w:hyperlink w:anchor="_Toc228966453" w:history="1">
        <w:r w:rsidR="00C2112E" w:rsidRPr="00170111">
          <w:rPr>
            <w:rStyle w:val="Hyperlink"/>
            <w:noProof/>
          </w:rPr>
          <w:t>Table 1 Net present value (NPV) incremental costs for each option as estimated at 2022, under a ‘central base case’ scenario and as cost ranges ($million, 7% discount rate).</w:t>
        </w:r>
        <w:r w:rsidR="00C2112E">
          <w:rPr>
            <w:noProof/>
            <w:webHidden/>
          </w:rPr>
          <w:tab/>
        </w:r>
        <w:r w:rsidR="00C2112E">
          <w:rPr>
            <w:noProof/>
            <w:webHidden/>
          </w:rPr>
          <w:fldChar w:fldCharType="begin"/>
        </w:r>
        <w:r w:rsidR="00C2112E">
          <w:rPr>
            <w:noProof/>
            <w:webHidden/>
          </w:rPr>
          <w:instrText xml:space="preserve"> PAGEREF _Toc228966453 \h </w:instrText>
        </w:r>
        <w:r w:rsidR="00C2112E">
          <w:rPr>
            <w:noProof/>
            <w:webHidden/>
          </w:rPr>
        </w:r>
        <w:r w:rsidR="00C2112E">
          <w:rPr>
            <w:noProof/>
            <w:webHidden/>
          </w:rPr>
          <w:fldChar w:fldCharType="separate"/>
        </w:r>
        <w:r w:rsidR="007733C6">
          <w:rPr>
            <w:noProof/>
            <w:webHidden/>
          </w:rPr>
          <w:t>17</w:t>
        </w:r>
        <w:r w:rsidR="00C2112E">
          <w:rPr>
            <w:noProof/>
            <w:webHidden/>
          </w:rPr>
          <w:fldChar w:fldCharType="end"/>
        </w:r>
      </w:hyperlink>
    </w:p>
    <w:p w14:paraId="6BFCEC06" w14:textId="00786A28" w:rsidR="00C2112E" w:rsidRDefault="00C2112E">
      <w:pPr>
        <w:pStyle w:val="TableofFigures"/>
        <w:tabs>
          <w:tab w:val="right" w:leader="dot" w:pos="9060"/>
        </w:tabs>
        <w:rPr>
          <w:rFonts w:eastAsiaTheme="minorEastAsia"/>
          <w:noProof/>
          <w:kern w:val="2"/>
          <w:sz w:val="24"/>
          <w:szCs w:val="24"/>
          <w:lang w:eastAsia="en-AU"/>
          <w14:ligatures w14:val="standardContextual"/>
        </w:rPr>
      </w:pPr>
      <w:hyperlink w:anchor="_Toc228966454" w:history="1">
        <w:r w:rsidRPr="00170111">
          <w:rPr>
            <w:rStyle w:val="Hyperlink"/>
            <w:noProof/>
          </w:rPr>
          <w:t>Table 2 Required reduction in pet deaths and illnesses from pet food (i.e. efficacy) to achieve a net economic benefit for each option, under a ‘central base case’ scenario and as a range.</w:t>
        </w:r>
        <w:r>
          <w:rPr>
            <w:noProof/>
            <w:webHidden/>
          </w:rPr>
          <w:tab/>
        </w:r>
        <w:r>
          <w:rPr>
            <w:noProof/>
            <w:webHidden/>
          </w:rPr>
          <w:fldChar w:fldCharType="begin"/>
        </w:r>
        <w:r>
          <w:rPr>
            <w:noProof/>
            <w:webHidden/>
          </w:rPr>
          <w:instrText xml:space="preserve"> PAGEREF _Toc228966454 \h </w:instrText>
        </w:r>
        <w:r>
          <w:rPr>
            <w:noProof/>
            <w:webHidden/>
          </w:rPr>
        </w:r>
        <w:r>
          <w:rPr>
            <w:noProof/>
            <w:webHidden/>
          </w:rPr>
          <w:fldChar w:fldCharType="separate"/>
        </w:r>
        <w:r w:rsidR="007733C6">
          <w:rPr>
            <w:noProof/>
            <w:webHidden/>
          </w:rPr>
          <w:t>18</w:t>
        </w:r>
        <w:r>
          <w:rPr>
            <w:noProof/>
            <w:webHidden/>
          </w:rPr>
          <w:fldChar w:fldCharType="end"/>
        </w:r>
      </w:hyperlink>
    </w:p>
    <w:p w14:paraId="6287FFC4" w14:textId="60F789CE" w:rsidR="008C4529" w:rsidRDefault="00D74596" w:rsidP="00D74596">
      <w:pPr>
        <w:pStyle w:val="TOCHeading2"/>
      </w:pPr>
      <w:r>
        <w:fldChar w:fldCharType="end"/>
      </w:r>
      <w:bookmarkStart w:id="0" w:name="_Toc430782149"/>
      <w:r w:rsidR="006D3839" w:rsidRPr="008C4529">
        <w:rPr>
          <w:rStyle w:val="Strong"/>
          <w:b/>
          <w:bCs w:val="0"/>
        </w:rPr>
        <w:t>Figures</w:t>
      </w:r>
    </w:p>
    <w:p w14:paraId="04F05173" w14:textId="116D29C6" w:rsidR="00C2112E" w:rsidRDefault="00D74596">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228966455" w:history="1">
        <w:r w:rsidR="00C2112E" w:rsidRPr="00001FAA">
          <w:rPr>
            <w:rStyle w:val="Hyperlink"/>
            <w:noProof/>
          </w:rPr>
          <w:t>Figure 1 NPV of each option based on efficacy values between 0 and 100%, under a ‘central base case’ scenario. A positive NPV indicates a net benefit whereas a negative NPV indicates a net cost.</w:t>
        </w:r>
        <w:r w:rsidR="00C2112E">
          <w:rPr>
            <w:noProof/>
            <w:webHidden/>
          </w:rPr>
          <w:tab/>
        </w:r>
        <w:r w:rsidR="00C2112E">
          <w:rPr>
            <w:noProof/>
            <w:webHidden/>
          </w:rPr>
          <w:fldChar w:fldCharType="begin"/>
        </w:r>
        <w:r w:rsidR="00C2112E">
          <w:rPr>
            <w:noProof/>
            <w:webHidden/>
          </w:rPr>
          <w:instrText xml:space="preserve"> PAGEREF _Toc228966455 \h </w:instrText>
        </w:r>
        <w:r w:rsidR="00C2112E">
          <w:rPr>
            <w:noProof/>
            <w:webHidden/>
          </w:rPr>
        </w:r>
        <w:r w:rsidR="00C2112E">
          <w:rPr>
            <w:noProof/>
            <w:webHidden/>
          </w:rPr>
          <w:fldChar w:fldCharType="separate"/>
        </w:r>
        <w:r w:rsidR="007733C6">
          <w:rPr>
            <w:noProof/>
            <w:webHidden/>
          </w:rPr>
          <w:t>18</w:t>
        </w:r>
        <w:r w:rsidR="00C2112E">
          <w:rPr>
            <w:noProof/>
            <w:webHidden/>
          </w:rPr>
          <w:fldChar w:fldCharType="end"/>
        </w:r>
      </w:hyperlink>
    </w:p>
    <w:p w14:paraId="1B481E36" w14:textId="127158BC" w:rsidR="00D74596" w:rsidRPr="008C4529" w:rsidRDefault="00D74596" w:rsidP="00D74596">
      <w:pPr>
        <w:pStyle w:val="TableofFigures"/>
        <w:tabs>
          <w:tab w:val="right" w:leader="dot" w:pos="9060"/>
        </w:tabs>
      </w:pPr>
      <w:r>
        <w:fldChar w:fldCharType="end"/>
      </w:r>
    </w:p>
    <w:p w14:paraId="71BB9401" w14:textId="59530F8A" w:rsidR="00642EE0" w:rsidRDefault="00642EE0">
      <w:pPr>
        <w:spacing w:after="0" w:line="240" w:lineRule="auto"/>
        <w:rPr>
          <w:bCs/>
          <w:sz w:val="20"/>
          <w:szCs w:val="24"/>
        </w:rPr>
      </w:pPr>
      <w:r>
        <w:rPr>
          <w:b/>
          <w:bCs/>
          <w:sz w:val="20"/>
          <w:szCs w:val="24"/>
        </w:rPr>
        <w:br w:type="page"/>
      </w:r>
    </w:p>
    <w:p w14:paraId="05185975" w14:textId="760AE502" w:rsidR="00C96EE9" w:rsidRDefault="00C96EE9" w:rsidP="0058304F">
      <w:pPr>
        <w:pStyle w:val="Heading2"/>
        <w:numPr>
          <w:ilvl w:val="0"/>
          <w:numId w:val="4"/>
        </w:numPr>
      </w:pPr>
      <w:bookmarkStart w:id="1" w:name="_Toc228966438"/>
      <w:r>
        <w:lastRenderedPageBreak/>
        <w:t>Recommendation</w:t>
      </w:r>
      <w:r w:rsidR="00F92AA1">
        <w:t>s</w:t>
      </w:r>
      <w:r w:rsidR="005961AB">
        <w:t xml:space="preserve"> and key findings</w:t>
      </w:r>
      <w:bookmarkEnd w:id="1"/>
    </w:p>
    <w:p w14:paraId="374692BD" w14:textId="4D81C453" w:rsidR="00A05504" w:rsidRDefault="00F44310" w:rsidP="00DB4D0F">
      <w:pPr>
        <w:rPr>
          <w:lang w:eastAsia="ja-JP"/>
        </w:rPr>
      </w:pPr>
      <w:r w:rsidRPr="00A05504">
        <w:rPr>
          <w:lang w:eastAsia="ja-JP"/>
        </w:rPr>
        <w:t xml:space="preserve">In accordance with the </w:t>
      </w:r>
      <w:r w:rsidR="00A05504" w:rsidRPr="00A05504">
        <w:rPr>
          <w:lang w:eastAsia="ja-JP"/>
        </w:rPr>
        <w:t xml:space="preserve">2022 </w:t>
      </w:r>
      <w:r w:rsidRPr="00A05504">
        <w:rPr>
          <w:lang w:eastAsia="ja-JP"/>
        </w:rPr>
        <w:t>Agriculture Minister</w:t>
      </w:r>
      <w:r w:rsidR="00A05504" w:rsidRPr="00A05504">
        <w:rPr>
          <w:lang w:eastAsia="ja-JP"/>
        </w:rPr>
        <w:t>s</w:t>
      </w:r>
      <w:r w:rsidRPr="00A05504">
        <w:rPr>
          <w:lang w:eastAsia="ja-JP"/>
        </w:rPr>
        <w:t xml:space="preserve"> Meeting decision on pet food</w:t>
      </w:r>
      <w:r>
        <w:rPr>
          <w:lang w:eastAsia="ja-JP"/>
        </w:rPr>
        <w:t xml:space="preserve"> safety</w:t>
      </w:r>
      <w:r w:rsidR="00A05504">
        <w:rPr>
          <w:lang w:eastAsia="ja-JP"/>
        </w:rPr>
        <w:t xml:space="preserve"> (AMM OOS 07)</w:t>
      </w:r>
      <w:r>
        <w:rPr>
          <w:lang w:eastAsia="ja-JP"/>
        </w:rPr>
        <w:t>, t</w:t>
      </w:r>
      <w:r w:rsidRPr="000721C1">
        <w:rPr>
          <w:lang w:eastAsia="ja-JP"/>
        </w:rPr>
        <w:t xml:space="preserve">he </w:t>
      </w:r>
      <w:r w:rsidR="00A05504">
        <w:rPr>
          <w:lang w:eastAsia="ja-JP"/>
        </w:rPr>
        <w:t xml:space="preserve">Agriculture Senior Officials Committee </w:t>
      </w:r>
      <w:r w:rsidRPr="000721C1">
        <w:rPr>
          <w:lang w:eastAsia="ja-JP"/>
        </w:rPr>
        <w:t>Pet Food Working Group (</w:t>
      </w:r>
      <w:r w:rsidRPr="000721C1">
        <w:rPr>
          <w:b/>
          <w:bCs/>
          <w:lang w:eastAsia="ja-JP"/>
        </w:rPr>
        <w:t>the working group</w:t>
      </w:r>
      <w:r w:rsidRPr="000721C1">
        <w:rPr>
          <w:lang w:eastAsia="ja-JP"/>
        </w:rPr>
        <w:t xml:space="preserve">) </w:t>
      </w:r>
      <w:r>
        <w:rPr>
          <w:lang w:eastAsia="ja-JP"/>
        </w:rPr>
        <w:t xml:space="preserve">have commissioned a cost benefit analysis </w:t>
      </w:r>
      <w:r w:rsidR="007B1FFD">
        <w:rPr>
          <w:lang w:eastAsia="ja-JP"/>
        </w:rPr>
        <w:t xml:space="preserve">(CBA) </w:t>
      </w:r>
      <w:r>
        <w:rPr>
          <w:lang w:eastAsia="ja-JP"/>
        </w:rPr>
        <w:t xml:space="preserve">of policy options to manage pet food safety in Australia. </w:t>
      </w:r>
      <w:r w:rsidR="00A05504">
        <w:rPr>
          <w:lang w:eastAsia="ja-JP"/>
        </w:rPr>
        <w:t xml:space="preserve">This </w:t>
      </w:r>
      <w:r w:rsidR="005C7FD7">
        <w:rPr>
          <w:lang w:eastAsia="ja-JP"/>
        </w:rPr>
        <w:t>CBA</w:t>
      </w:r>
      <w:r w:rsidR="00A05504">
        <w:rPr>
          <w:lang w:eastAsia="ja-JP"/>
        </w:rPr>
        <w:t xml:space="preserve"> was undertaken by an independent economic consultant, Marsden Jacob Associates and was informed by input from a broad range of government, industry and community stakeholders as well as previous </w:t>
      </w:r>
      <w:r w:rsidR="007B1FFD">
        <w:rPr>
          <w:lang w:eastAsia="ja-JP"/>
        </w:rPr>
        <w:t xml:space="preserve">reviews </w:t>
      </w:r>
      <w:r w:rsidR="00A05504">
        <w:rPr>
          <w:lang w:eastAsia="ja-JP"/>
        </w:rPr>
        <w:t>on pet food safety including t</w:t>
      </w:r>
      <w:r w:rsidR="00A05504" w:rsidRPr="000721C1">
        <w:rPr>
          <w:lang w:eastAsia="ja-JP"/>
        </w:rPr>
        <w:t xml:space="preserve">he 2018 Senate Rural and Regional Affairs and Transport References Committee Inquiry on </w:t>
      </w:r>
      <w:r w:rsidR="00A05504">
        <w:rPr>
          <w:lang w:eastAsia="ja-JP"/>
        </w:rPr>
        <w:t>‘</w:t>
      </w:r>
      <w:r w:rsidR="00A05504" w:rsidRPr="000721C1">
        <w:rPr>
          <w:lang w:eastAsia="ja-JP"/>
        </w:rPr>
        <w:t>Regulatory approaches to ensure the safety of pet food</w:t>
      </w:r>
      <w:r w:rsidR="00A05504">
        <w:rPr>
          <w:lang w:eastAsia="ja-JP"/>
        </w:rPr>
        <w:t>’ and t</w:t>
      </w:r>
      <w:r w:rsidR="00A05504" w:rsidRPr="000721C1">
        <w:rPr>
          <w:lang w:eastAsia="ja-JP"/>
        </w:rPr>
        <w:t>he 2021 report of the Pet Food Review Working Group</w:t>
      </w:r>
      <w:r w:rsidR="005C7FD7">
        <w:rPr>
          <w:lang w:eastAsia="ja-JP"/>
        </w:rPr>
        <w:t>.</w:t>
      </w:r>
    </w:p>
    <w:p w14:paraId="0FEAA411" w14:textId="5A40E468" w:rsidR="005C7FD7" w:rsidRDefault="005C7FD7" w:rsidP="00797E8E">
      <w:pPr>
        <w:pStyle w:val="Heading3"/>
      </w:pPr>
      <w:bookmarkStart w:id="2" w:name="_Toc228966439"/>
      <w:r>
        <w:t>Key Findings</w:t>
      </w:r>
      <w:bookmarkEnd w:id="2"/>
    </w:p>
    <w:p w14:paraId="3C2C0BF3" w14:textId="3B28892B" w:rsidR="00F44310" w:rsidRDefault="00A05504" w:rsidP="00DB4D0F">
      <w:pPr>
        <w:rPr>
          <w:lang w:eastAsia="ja-JP"/>
        </w:rPr>
      </w:pPr>
      <w:r>
        <w:rPr>
          <w:lang w:eastAsia="ja-JP"/>
        </w:rPr>
        <w:t xml:space="preserve">This report presents the </w:t>
      </w:r>
      <w:r w:rsidR="007B1FFD">
        <w:rPr>
          <w:lang w:eastAsia="ja-JP"/>
        </w:rPr>
        <w:t xml:space="preserve">outcomes </w:t>
      </w:r>
      <w:r>
        <w:rPr>
          <w:lang w:eastAsia="ja-JP"/>
        </w:rPr>
        <w:t>of th</w:t>
      </w:r>
      <w:r w:rsidR="007B1FFD">
        <w:rPr>
          <w:lang w:eastAsia="ja-JP"/>
        </w:rPr>
        <w:t>e</w:t>
      </w:r>
      <w:r>
        <w:rPr>
          <w:lang w:eastAsia="ja-JP"/>
        </w:rPr>
        <w:t xml:space="preserve"> </w:t>
      </w:r>
      <w:r w:rsidR="007B1FFD">
        <w:rPr>
          <w:lang w:eastAsia="ja-JP"/>
        </w:rPr>
        <w:t>CBA and the associated findings and recommendations of the working group informed by the CBA and previous reviews on pet food safety. The key findings of this report are summarised below.</w:t>
      </w:r>
    </w:p>
    <w:p w14:paraId="29440CD1" w14:textId="77777777" w:rsidR="005C7FD7" w:rsidRPr="00797E8E" w:rsidRDefault="005C7FD7" w:rsidP="00DB4D0F">
      <w:pPr>
        <w:pStyle w:val="ListBullet"/>
        <w:rPr>
          <w:lang w:eastAsia="ja-JP"/>
        </w:rPr>
      </w:pPr>
      <w:r w:rsidRPr="00797E8E">
        <w:rPr>
          <w:lang w:eastAsia="ja-JP"/>
        </w:rPr>
        <w:t>The management of pet food safety currently follows a self-regulation model. Pet food businesses are incentivised to produce safe and high-quality pet food products to avoid reputational and financial risks in a highly competitive operating environment.</w:t>
      </w:r>
    </w:p>
    <w:p w14:paraId="32AC71A9" w14:textId="77777777" w:rsidR="005C7FD7" w:rsidRPr="00797E8E" w:rsidRDefault="005C7FD7" w:rsidP="00DB4D0F">
      <w:pPr>
        <w:pStyle w:val="ListBullet"/>
        <w:rPr>
          <w:lang w:eastAsia="ja-JP"/>
        </w:rPr>
      </w:pPr>
      <w:r w:rsidRPr="00797E8E">
        <w:rPr>
          <w:lang w:eastAsia="ja-JP"/>
        </w:rPr>
        <w:t>Most pet food sold in Australia complies with the voluntary Australian Standard for Manufacturing and Marketing of Pet Food (AS5812).</w:t>
      </w:r>
    </w:p>
    <w:p w14:paraId="1C914207" w14:textId="77777777" w:rsidR="005C7FD7" w:rsidRPr="00797E8E" w:rsidRDefault="005C7FD7" w:rsidP="00DB4D0F">
      <w:pPr>
        <w:pStyle w:val="ListBullet"/>
        <w:rPr>
          <w:lang w:eastAsia="ja-JP"/>
        </w:rPr>
      </w:pPr>
      <w:r w:rsidRPr="00797E8E">
        <w:rPr>
          <w:lang w:eastAsia="ja-JP"/>
        </w:rPr>
        <w:t xml:space="preserve">While there have been pet food safety incidents in Australia, based on current data available pet illnesses and deaths from pet food affects an extremely small fraction of Australian pets. There is estimated to be 11.2 million cats and dogs in Australia with current data estimating approximately 37 pet deaths and 331 illnesses annually. However, data to estimate the number of affected pets is severely limited. It is also very difficult to link pet food as the definitive cause of illness or death. </w:t>
      </w:r>
    </w:p>
    <w:p w14:paraId="0B9ED406" w14:textId="6C574E7F" w:rsidR="005C7FD7" w:rsidRPr="00797E8E" w:rsidRDefault="005C7FD7" w:rsidP="00DB4D0F">
      <w:pPr>
        <w:pStyle w:val="ListBullet"/>
        <w:rPr>
          <w:lang w:eastAsia="ja-JP"/>
        </w:rPr>
      </w:pPr>
      <w:r w:rsidRPr="00797E8E">
        <w:rPr>
          <w:lang w:eastAsia="ja-JP"/>
        </w:rPr>
        <w:t>A CBA has been undertaken of five policy options to manage pet food safety in Australia, along with a base case (</w:t>
      </w:r>
      <w:r w:rsidR="00C72E11">
        <w:rPr>
          <w:lang w:eastAsia="ja-JP"/>
        </w:rPr>
        <w:t>continue as is</w:t>
      </w:r>
      <w:r w:rsidRPr="00797E8E">
        <w:rPr>
          <w:lang w:eastAsia="ja-JP"/>
        </w:rPr>
        <w:t>) option. The CBA found:</w:t>
      </w:r>
    </w:p>
    <w:p w14:paraId="6738969C" w14:textId="77777777" w:rsidR="005C7FD7" w:rsidRPr="00797E8E" w:rsidRDefault="005C7FD7" w:rsidP="005C7FD7">
      <w:pPr>
        <w:pStyle w:val="ListBullet2"/>
        <w:numPr>
          <w:ilvl w:val="1"/>
          <w:numId w:val="19"/>
        </w:numPr>
        <w:ind w:left="1014"/>
        <w:contextualSpacing w:val="0"/>
      </w:pPr>
      <w:r w:rsidRPr="00797E8E">
        <w:t>The cost of implementing policy options for managing pet food safety in Australia ranges from $5m to $33m over the 20-year analysis period.</w:t>
      </w:r>
    </w:p>
    <w:p w14:paraId="00F6D3DD" w14:textId="77777777" w:rsidR="005C7FD7" w:rsidRPr="00797E8E" w:rsidRDefault="005C7FD7" w:rsidP="005C7FD7">
      <w:pPr>
        <w:pStyle w:val="ListBullet2"/>
        <w:numPr>
          <w:ilvl w:val="1"/>
          <w:numId w:val="19"/>
        </w:numPr>
        <w:ind w:left="1014"/>
        <w:contextualSpacing w:val="0"/>
      </w:pPr>
      <w:r w:rsidRPr="00797E8E">
        <w:t>The policy options mandating a pet food safety standard would need to reduce pet food related pet deaths and illnesses by at least 23% to achieve a net benefit, with some options needing a reduction of over 50%.</w:t>
      </w:r>
    </w:p>
    <w:p w14:paraId="182A7C0F" w14:textId="77777777" w:rsidR="005C7FD7" w:rsidRPr="00797E8E" w:rsidRDefault="005C7FD7" w:rsidP="005C7FD7">
      <w:pPr>
        <w:pStyle w:val="ListBullet2"/>
        <w:numPr>
          <w:ilvl w:val="1"/>
          <w:numId w:val="19"/>
        </w:numPr>
        <w:ind w:left="1014"/>
        <w:contextualSpacing w:val="0"/>
      </w:pPr>
      <w:r w:rsidRPr="00797E8E">
        <w:t>Establishing a major or serious event response framework without a mandatory standard would need to reduce pet food related pet deaths and illnesses by at least 9% to achieve a net benefit.</w:t>
      </w:r>
    </w:p>
    <w:p w14:paraId="30E61CD3" w14:textId="77777777" w:rsidR="005C7FD7" w:rsidRPr="00797E8E" w:rsidRDefault="005C7FD7" w:rsidP="005C7FD7">
      <w:pPr>
        <w:pStyle w:val="ListBullet2"/>
        <w:numPr>
          <w:ilvl w:val="1"/>
          <w:numId w:val="19"/>
        </w:numPr>
        <w:ind w:left="1014"/>
        <w:contextualSpacing w:val="0"/>
      </w:pPr>
      <w:r w:rsidRPr="00797E8E">
        <w:t>Establishing a government incident reporting, complaints handling and investigation function without a mandatory standard would need to reduce pet food related pet deaths and illnesses by at least 31% to achieve a net economic benefit.</w:t>
      </w:r>
    </w:p>
    <w:p w14:paraId="06EC93AC" w14:textId="77777777" w:rsidR="005C7FD7" w:rsidRPr="00797E8E" w:rsidRDefault="005C7FD7" w:rsidP="00DB4D0F">
      <w:pPr>
        <w:pStyle w:val="ListBullet"/>
        <w:rPr>
          <w:lang w:eastAsia="ja-JP"/>
        </w:rPr>
      </w:pPr>
      <w:r w:rsidRPr="00797E8E">
        <w:rPr>
          <w:lang w:eastAsia="ja-JP"/>
        </w:rPr>
        <w:lastRenderedPageBreak/>
        <w:t>No analyses or studies could be found that could estimate a ’reasonable’ efficacy range for the policy options considered in the Australian context. The only research of relevance estimated a 1.8% to 24% reduction in the risk of pet illness and death from specific reforms to pet food safety in the US, although it relied on expert opinion rather than data.</w:t>
      </w:r>
    </w:p>
    <w:p w14:paraId="3CE9F47B" w14:textId="3D164847" w:rsidR="005C7FD7" w:rsidRPr="00797E8E" w:rsidRDefault="005C7FD7" w:rsidP="00DB4D0F">
      <w:pPr>
        <w:pStyle w:val="ListBullet"/>
        <w:rPr>
          <w:lang w:eastAsia="ja-JP"/>
        </w:rPr>
      </w:pPr>
      <w:r w:rsidRPr="00797E8E">
        <w:rPr>
          <w:lang w:eastAsia="ja-JP"/>
        </w:rPr>
        <w:t>There is little to no verifiable evidence on the impact of government action on reducing the number of pet food related pet deaths or illnesses</w:t>
      </w:r>
      <w:r w:rsidR="006C6029">
        <w:rPr>
          <w:lang w:eastAsia="ja-JP"/>
        </w:rPr>
        <w:t>, including international</w:t>
      </w:r>
      <w:r w:rsidR="00C72E11">
        <w:rPr>
          <w:lang w:eastAsia="ja-JP"/>
        </w:rPr>
        <w:t xml:space="preserve"> experiences</w:t>
      </w:r>
      <w:r w:rsidRPr="00797E8E">
        <w:rPr>
          <w:lang w:eastAsia="ja-JP"/>
        </w:rPr>
        <w:t>. The evidence of the current AS5812 standard having reduced pet food safety incidents in the past is inconclusive. Many previous pet food safety incidents in Australia have occurred in relation to products that comply with AS5812 or an equivalent international standard.</w:t>
      </w:r>
    </w:p>
    <w:p w14:paraId="7654DD59" w14:textId="71B6B664" w:rsidR="005C7FD7" w:rsidRPr="00797E8E" w:rsidRDefault="005C7FD7" w:rsidP="00DB4D0F">
      <w:pPr>
        <w:pStyle w:val="ListBullet"/>
        <w:rPr>
          <w:lang w:eastAsia="ja-JP"/>
        </w:rPr>
      </w:pPr>
      <w:r w:rsidRPr="00797E8E">
        <w:rPr>
          <w:lang w:eastAsia="ja-JP"/>
        </w:rPr>
        <w:t xml:space="preserve">Pet food businesses who are not part of the </w:t>
      </w:r>
      <w:r w:rsidR="006C6029">
        <w:rPr>
          <w:lang w:eastAsia="ja-JP"/>
        </w:rPr>
        <w:t>Pet Food Industry Association of Australia (</w:t>
      </w:r>
      <w:r w:rsidRPr="00797E8E">
        <w:rPr>
          <w:lang w:eastAsia="ja-JP"/>
        </w:rPr>
        <w:t>PFIAA</w:t>
      </w:r>
      <w:r w:rsidR="006C6029">
        <w:rPr>
          <w:lang w:eastAsia="ja-JP"/>
        </w:rPr>
        <w:t>)</w:t>
      </w:r>
      <w:r w:rsidRPr="00797E8E">
        <w:rPr>
          <w:lang w:eastAsia="ja-JP"/>
        </w:rPr>
        <w:t xml:space="preserve"> and do not undertake voluntary audits would be most financially impacted by the policy options 2, 3 and 4. These businesses include a significant number of small to medium pet food manufacturers and importers.</w:t>
      </w:r>
    </w:p>
    <w:p w14:paraId="30BC8C94" w14:textId="739F9AEB" w:rsidR="005C7FD7" w:rsidRPr="00797E8E" w:rsidRDefault="005C7FD7" w:rsidP="00DB4D0F">
      <w:pPr>
        <w:pStyle w:val="ListBullet"/>
        <w:rPr>
          <w:lang w:eastAsia="ja-JP"/>
        </w:rPr>
      </w:pPr>
      <w:r w:rsidRPr="00797E8E">
        <w:rPr>
          <w:lang w:eastAsia="ja-JP"/>
        </w:rPr>
        <w:t xml:space="preserve">Subject to any business support measures and funding mechanisms, the costs from the policy options </w:t>
      </w:r>
      <w:r w:rsidR="006C6029">
        <w:rPr>
          <w:lang w:eastAsia="ja-JP"/>
        </w:rPr>
        <w:t>are likely to</w:t>
      </w:r>
      <w:r w:rsidRPr="00797E8E">
        <w:rPr>
          <w:lang w:eastAsia="ja-JP"/>
        </w:rPr>
        <w:t xml:space="preserve"> the barriers to entry for new pet food businesses.</w:t>
      </w:r>
    </w:p>
    <w:p w14:paraId="59E59606" w14:textId="4C69DD4F" w:rsidR="00F44310" w:rsidRDefault="005C7FD7" w:rsidP="00DB4D0F">
      <w:pPr>
        <w:pStyle w:val="ListBullet"/>
        <w:rPr>
          <w:lang w:eastAsia="ja-JP"/>
        </w:rPr>
      </w:pPr>
      <w:r w:rsidRPr="00797E8E">
        <w:rPr>
          <w:lang w:eastAsia="ja-JP"/>
        </w:rPr>
        <w:t>It is unclear how the policy options would impact the price of pet food as this will depend on the implementation and funding mechanisms of the policy options. However, the price of pet food produced by PFIAA members (who produce 60-80% of pet food sold in Australia) would be unlikely to significantly increase.</w:t>
      </w:r>
    </w:p>
    <w:p w14:paraId="16B3E1B6" w14:textId="29A3E721" w:rsidR="00F44310" w:rsidRPr="00F44310" w:rsidRDefault="00F44310" w:rsidP="00F44310">
      <w:pPr>
        <w:pStyle w:val="Heading3"/>
      </w:pPr>
      <w:bookmarkStart w:id="3" w:name="_Toc228966440"/>
      <w:r>
        <w:t>Recommendations</w:t>
      </w:r>
      <w:bookmarkEnd w:id="3"/>
    </w:p>
    <w:p w14:paraId="6C75EC0F" w14:textId="464A0D77" w:rsidR="00BF7E28" w:rsidRDefault="00F44310" w:rsidP="00DB4D0F">
      <w:pPr>
        <w:rPr>
          <w:lang w:eastAsia="ja-JP"/>
        </w:rPr>
      </w:pPr>
      <w:r>
        <w:rPr>
          <w:lang w:eastAsia="ja-JP"/>
        </w:rPr>
        <w:t xml:space="preserve">Based on the </w:t>
      </w:r>
      <w:r w:rsidR="007B1FFD">
        <w:rPr>
          <w:lang w:eastAsia="ja-JP"/>
        </w:rPr>
        <w:t xml:space="preserve">report’s </w:t>
      </w:r>
      <w:r>
        <w:rPr>
          <w:lang w:eastAsia="ja-JP"/>
        </w:rPr>
        <w:t>key findings, t</w:t>
      </w:r>
      <w:r w:rsidR="00CD76D4" w:rsidRPr="00F44310">
        <w:rPr>
          <w:lang w:eastAsia="ja-JP"/>
        </w:rPr>
        <w:t xml:space="preserve">he working group </w:t>
      </w:r>
      <w:r w:rsidRPr="00F44310">
        <w:rPr>
          <w:lang w:eastAsia="ja-JP"/>
        </w:rPr>
        <w:t xml:space="preserve">recommends </w:t>
      </w:r>
      <w:r w:rsidR="00CD76D4" w:rsidRPr="00F44310">
        <w:rPr>
          <w:lang w:eastAsia="ja-JP"/>
        </w:rPr>
        <w:t>that</w:t>
      </w:r>
      <w:r w:rsidR="008645E6">
        <w:t xml:space="preserve"> </w:t>
      </w:r>
      <w:r w:rsidR="00356C5E">
        <w:t xml:space="preserve">the </w:t>
      </w:r>
      <w:r w:rsidR="00977338">
        <w:t xml:space="preserve">cost benefit analysis </w:t>
      </w:r>
      <w:r w:rsidR="00977338" w:rsidRPr="00977338">
        <w:t>of proposed policy options for pet food safety in Australia does not provide sufficient evidence to justify a regulatory approach to manage pet food safety in Australia at this time. Therefore, management of pet food safety should continue with current arrangements</w:t>
      </w:r>
      <w:r w:rsidR="007E1039">
        <w:t>.</w:t>
      </w:r>
    </w:p>
    <w:p w14:paraId="58C9B69B" w14:textId="77777777" w:rsidR="0037385C" w:rsidRDefault="00712A20" w:rsidP="00DB4D0F">
      <w:pPr>
        <w:rPr>
          <w:lang w:eastAsia="ja-JP"/>
        </w:rPr>
        <w:sectPr w:rsidR="0037385C" w:rsidSect="0037385C">
          <w:headerReference w:type="default" r:id="rId15"/>
          <w:footerReference w:type="default" r:id="rId16"/>
          <w:headerReference w:type="first" r:id="rId17"/>
          <w:pgSz w:w="11906" w:h="16838"/>
          <w:pgMar w:top="1418" w:right="1418" w:bottom="1418" w:left="1418" w:header="567" w:footer="283" w:gutter="0"/>
          <w:pgNumType w:fmt="lowerRoman"/>
          <w:cols w:space="708"/>
          <w:titlePg/>
          <w:docGrid w:linePitch="360"/>
        </w:sectPr>
      </w:pPr>
      <w:r w:rsidRPr="00712A20">
        <w:rPr>
          <w:lang w:eastAsia="ja-JP"/>
        </w:rPr>
        <w:t xml:space="preserve">The working group discussed potential non-regulatory activities that could aim to improve monitoring, data collection and consumer awareness regarding pet food manufacturing and marketing standards (such as government funded data collection and public communications). However, these activities </w:t>
      </w:r>
      <w:r>
        <w:t xml:space="preserve">would require additional dedicated </w:t>
      </w:r>
      <w:r w:rsidR="008E5295">
        <w:t>resourcing and funding because they may not be absorbed into or covered by existing programs or activities.</w:t>
      </w:r>
      <w:r>
        <w:t xml:space="preserve"> </w:t>
      </w:r>
      <w:r w:rsidR="0085466A">
        <w:rPr>
          <w:lang w:eastAsia="ja-JP"/>
        </w:rPr>
        <w:t>G</w:t>
      </w:r>
      <w:r w:rsidRPr="00712A20">
        <w:rPr>
          <w:lang w:eastAsia="ja-JP"/>
        </w:rPr>
        <w:t xml:space="preserve">iven the results of the CBA, </w:t>
      </w:r>
      <w:r w:rsidR="0085466A">
        <w:rPr>
          <w:lang w:eastAsia="ja-JP"/>
        </w:rPr>
        <w:t xml:space="preserve">the </w:t>
      </w:r>
      <w:r w:rsidRPr="00712A20">
        <w:rPr>
          <w:lang w:eastAsia="ja-JP"/>
        </w:rPr>
        <w:t xml:space="preserve">limited data on pet food </w:t>
      </w:r>
      <w:r w:rsidR="0085466A">
        <w:rPr>
          <w:lang w:eastAsia="ja-JP"/>
        </w:rPr>
        <w:t xml:space="preserve">safety </w:t>
      </w:r>
      <w:r w:rsidRPr="00712A20">
        <w:rPr>
          <w:lang w:eastAsia="ja-JP"/>
        </w:rPr>
        <w:t xml:space="preserve">incidents and </w:t>
      </w:r>
      <w:r w:rsidR="0085466A">
        <w:rPr>
          <w:lang w:eastAsia="ja-JP"/>
        </w:rPr>
        <w:t xml:space="preserve">the </w:t>
      </w:r>
      <w:r w:rsidRPr="00712A20">
        <w:rPr>
          <w:lang w:eastAsia="ja-JP"/>
        </w:rPr>
        <w:t xml:space="preserve">limited evidence that such activities would </w:t>
      </w:r>
      <w:r w:rsidR="0085466A">
        <w:rPr>
          <w:lang w:eastAsia="ja-JP"/>
        </w:rPr>
        <w:t xml:space="preserve">reduce </w:t>
      </w:r>
      <w:r w:rsidRPr="00712A20">
        <w:rPr>
          <w:lang w:eastAsia="ja-JP"/>
        </w:rPr>
        <w:t xml:space="preserve">the number or severity of pet food </w:t>
      </w:r>
      <w:r w:rsidR="0085466A">
        <w:rPr>
          <w:lang w:eastAsia="ja-JP"/>
        </w:rPr>
        <w:t xml:space="preserve">safety </w:t>
      </w:r>
      <w:r w:rsidRPr="00712A20">
        <w:rPr>
          <w:lang w:eastAsia="ja-JP"/>
        </w:rPr>
        <w:t>incidents</w:t>
      </w:r>
      <w:r w:rsidR="009062FF">
        <w:rPr>
          <w:lang w:eastAsia="ja-JP"/>
        </w:rPr>
        <w:t xml:space="preserve">, </w:t>
      </w:r>
      <w:r w:rsidR="0085466A">
        <w:t>the</w:t>
      </w:r>
      <w:r w:rsidR="0085466A" w:rsidRPr="00712A20">
        <w:rPr>
          <w:lang w:eastAsia="ja-JP"/>
        </w:rPr>
        <w:t xml:space="preserve">re </w:t>
      </w:r>
      <w:r w:rsidR="0085466A">
        <w:rPr>
          <w:lang w:eastAsia="ja-JP"/>
        </w:rPr>
        <w:t>i</w:t>
      </w:r>
      <w:r w:rsidR="0085466A" w:rsidRPr="00712A20">
        <w:rPr>
          <w:lang w:eastAsia="ja-JP"/>
        </w:rPr>
        <w:t>s insufficient evidence to recommend government lead these activities at this time</w:t>
      </w:r>
      <w:r w:rsidR="009062FF">
        <w:rPr>
          <w:lang w:eastAsia="ja-JP"/>
        </w:rPr>
        <w:t>.</w:t>
      </w:r>
    </w:p>
    <w:p w14:paraId="0824E9D5" w14:textId="7A114F33" w:rsidR="00F86B9C" w:rsidRDefault="00F86B9C" w:rsidP="0058304F">
      <w:pPr>
        <w:pStyle w:val="Heading2"/>
        <w:numPr>
          <w:ilvl w:val="0"/>
          <w:numId w:val="4"/>
        </w:numPr>
      </w:pPr>
      <w:bookmarkStart w:id="4" w:name="_Toc228966441"/>
      <w:r>
        <w:lastRenderedPageBreak/>
        <w:t>Introduction</w:t>
      </w:r>
      <w:bookmarkEnd w:id="4"/>
    </w:p>
    <w:p w14:paraId="0B2B511F" w14:textId="411F7E0B" w:rsidR="00F86B9C" w:rsidRDefault="00F86B9C" w:rsidP="00F86B9C">
      <w:r>
        <w:t xml:space="preserve">Most Australian households own at least one </w:t>
      </w:r>
      <w:r w:rsidR="00BD57EF">
        <w:t xml:space="preserve">pet </w:t>
      </w:r>
      <w:r>
        <w:t>cat or dog. In 2021, there were an estimated 11.2 million pet cats and dogs in Australia, with 47% of Australian households owning a dog and 30% owning a cat (Animal Medicines Australia, 2021). Purchasing pet food is an essential part of owning a pet and an integral element to ensuring pet health. On average, Australian pet owners spend approximately $1,800 on pet food for dogs and $1,500 on pet food for cats, which comprises the largest component of pet-related costs. Reflecting this, the wholesale value of the Australian pet food industry in 2021</w:t>
      </w:r>
      <w:r w:rsidR="00F07DCA">
        <w:t>-22</w:t>
      </w:r>
      <w:r>
        <w:t xml:space="preserve"> was $</w:t>
      </w:r>
      <w:r w:rsidR="00F07DCA">
        <w:t>3.0</w:t>
      </w:r>
      <w:r>
        <w:t xml:space="preserve"> billion and this is expected to grow year-on-year.</w:t>
      </w:r>
    </w:p>
    <w:p w14:paraId="17D3C358" w14:textId="7F235E6B" w:rsidR="00F86B9C" w:rsidRDefault="00F86B9C" w:rsidP="00F86B9C">
      <w:r>
        <w:t>The manufacture and import of pet food in Australia operates under a self-regulatory model with a voluntary industry standard that sets out manufacturing and labelling processes to ensure pet food safety – the Australian Standard for the Manufacturing and Marketing of pet food (AS5812). Although AS5812 is voluntary, the peak industry body, the Pet Food Industry Association Australia (PFIAA), requires manufacturing members to comply with it.</w:t>
      </w:r>
    </w:p>
    <w:p w14:paraId="555927DA" w14:textId="1CBB0D82" w:rsidR="00CC6398" w:rsidRDefault="00F86B9C" w:rsidP="00F86B9C">
      <w:r>
        <w:t xml:space="preserve">Over the past few decades, there have been </w:t>
      </w:r>
      <w:proofErr w:type="gramStart"/>
      <w:r>
        <w:t>a number of</w:t>
      </w:r>
      <w:proofErr w:type="gramEnd"/>
      <w:r>
        <w:t xml:space="preserve"> significant pet food safety incidents in Australia causing illness and death in cats and dogs. For example, in 2018, there were reports that over 100 dogs fed the same brand of</w:t>
      </w:r>
      <w:r w:rsidR="003A4932">
        <w:t xml:space="preserve"> AS5812 compliant</w:t>
      </w:r>
      <w:r>
        <w:t xml:space="preserve"> dog food had developed megaoesophagus, a serious and untreatable disease. </w:t>
      </w:r>
      <w:r w:rsidR="002127F6">
        <w:t>A</w:t>
      </w:r>
      <w:r w:rsidR="0007310D">
        <w:t xml:space="preserve"> study by the University of Melbourne confirmed the </w:t>
      </w:r>
      <w:r w:rsidR="00DC3899">
        <w:t xml:space="preserve">disease was associated with </w:t>
      </w:r>
      <w:r w:rsidR="0007310D">
        <w:t>the pet food brand</w:t>
      </w:r>
      <w:r w:rsidR="008B3FDF">
        <w:t xml:space="preserve"> although</w:t>
      </w:r>
      <w:r w:rsidR="0007310D">
        <w:t xml:space="preserve"> </w:t>
      </w:r>
      <w:r w:rsidR="00DC3899">
        <w:t xml:space="preserve">it could not </w:t>
      </w:r>
      <w:r w:rsidR="00C97B5E">
        <w:t xml:space="preserve">determine </w:t>
      </w:r>
      <w:r w:rsidR="002127F6">
        <w:t>the</w:t>
      </w:r>
      <w:r w:rsidR="00C97B5E">
        <w:t xml:space="preserve"> </w:t>
      </w:r>
      <w:r w:rsidR="0077752B">
        <w:t>primary cause of the disease</w:t>
      </w:r>
      <w:r w:rsidR="002127F6">
        <w:t>, which was likely to be</w:t>
      </w:r>
      <w:r w:rsidR="0077752B">
        <w:t xml:space="preserve"> </w:t>
      </w:r>
      <w:r w:rsidR="0091489C">
        <w:t>multifactorial</w:t>
      </w:r>
      <w:r w:rsidR="0058250C">
        <w:t xml:space="preserve">. </w:t>
      </w:r>
      <w:r w:rsidR="0007310D">
        <w:t xml:space="preserve"> </w:t>
      </w:r>
    </w:p>
    <w:p w14:paraId="0C073330" w14:textId="10D57687" w:rsidR="002707FE" w:rsidRPr="0008340B" w:rsidRDefault="002707FE" w:rsidP="00F86B9C">
      <w:pPr>
        <w:rPr>
          <w:b/>
          <w:bCs/>
          <w:i/>
          <w:iCs/>
        </w:rPr>
      </w:pPr>
      <w:r>
        <w:rPr>
          <w:b/>
          <w:bCs/>
          <w:i/>
          <w:iCs/>
        </w:rPr>
        <w:t xml:space="preserve">2018 Senate Inquiry and Pet Food </w:t>
      </w:r>
      <w:r w:rsidR="001D1575">
        <w:rPr>
          <w:b/>
          <w:bCs/>
          <w:i/>
          <w:iCs/>
        </w:rPr>
        <w:t>R</w:t>
      </w:r>
      <w:r>
        <w:rPr>
          <w:b/>
          <w:bCs/>
          <w:i/>
          <w:iCs/>
        </w:rPr>
        <w:t>eview</w:t>
      </w:r>
      <w:r w:rsidR="001D1575">
        <w:rPr>
          <w:b/>
          <w:bCs/>
          <w:i/>
          <w:iCs/>
        </w:rPr>
        <w:t xml:space="preserve"> Working Group report</w:t>
      </w:r>
    </w:p>
    <w:p w14:paraId="31F9B979" w14:textId="694A703D" w:rsidR="00F86B9C" w:rsidRPr="003F3D6C" w:rsidRDefault="00F86B9C" w:rsidP="00DB4D0F">
      <w:pPr>
        <w:rPr>
          <w:rFonts w:asciiTheme="majorHAnsi" w:hAnsiTheme="majorHAnsi"/>
        </w:rPr>
      </w:pPr>
      <w:r>
        <w:t xml:space="preserve">In response to the 2018 megaoesophagus outbreak, Commonwealth, state and territory Agriculture </w:t>
      </w:r>
      <w:r w:rsidR="0051039B">
        <w:t>m</w:t>
      </w:r>
      <w:r>
        <w:t xml:space="preserve">inisters </w:t>
      </w:r>
      <w:r w:rsidRPr="00DB4D0F">
        <w:t>established a Pet Food Review Working Group (PFRWG) comprising of industry, community and government representatives to review the health and safety of the current pet food system in Australia. At the same time, the Senate Rural and Regional Affairs and Transport References Committee undertook a public inquiry on regulatory approaches to ensure the safety of pet food.</w:t>
      </w:r>
    </w:p>
    <w:p w14:paraId="137EA176" w14:textId="4F01F171" w:rsidR="005915CE" w:rsidRDefault="00F86B9C" w:rsidP="00E07945">
      <w:r w:rsidRPr="003F3D6C">
        <w:t xml:space="preserve">The Senate inquiry received 151 public submissions </w:t>
      </w:r>
      <w:r w:rsidR="00A11296" w:rsidRPr="003F3D6C">
        <w:t xml:space="preserve">and </w:t>
      </w:r>
      <w:r w:rsidR="00A11296">
        <w:t>considered two petitions tabled in Parliament (</w:t>
      </w:r>
      <w:r w:rsidR="00A11296" w:rsidRPr="007328F5">
        <w:t>Petition No. 864</w:t>
      </w:r>
      <w:r w:rsidR="00A11296">
        <w:t xml:space="preserve">, which was coordinated by Mrs Christine Fry and Mr Peter Fry and </w:t>
      </w:r>
      <w:r w:rsidR="00A11296" w:rsidRPr="007328F5">
        <w:t>contained 81</w:t>
      </w:r>
      <w:r w:rsidR="00A11296">
        <w:t>,</w:t>
      </w:r>
      <w:r w:rsidR="00A11296" w:rsidRPr="007328F5">
        <w:t>021 signatures</w:t>
      </w:r>
      <w:r w:rsidR="00A11296">
        <w:t xml:space="preserve"> and Petition No. 865, which was collected by consumer group CHOICE and contained 14,500 signatures).</w:t>
      </w:r>
      <w:r w:rsidR="00A11296" w:rsidRPr="00E01925">
        <w:t xml:space="preserve"> </w:t>
      </w:r>
      <w:r w:rsidR="00A11296">
        <w:t xml:space="preserve">Based on these submissions and its findings, the Senate inquiry </w:t>
      </w:r>
      <w:r w:rsidRPr="003F3D6C">
        <w:t xml:space="preserve">made a range of recommendations centred around </w:t>
      </w:r>
      <w:r>
        <w:t>updating</w:t>
      </w:r>
      <w:r w:rsidRPr="003F3D6C">
        <w:t xml:space="preserve"> </w:t>
      </w:r>
      <w:r>
        <w:t xml:space="preserve">AS5812 </w:t>
      </w:r>
      <w:r w:rsidRPr="003F3D6C">
        <w:t xml:space="preserve">and making </w:t>
      </w:r>
      <w:r>
        <w:t xml:space="preserve">it </w:t>
      </w:r>
      <w:r w:rsidRPr="003F3D6C">
        <w:t xml:space="preserve">mandatory, improving labelling requirements and strengthening reporting, investigation and recall management. The Australian Government response to the Senate inquiry was released in 2021 which agreed to some but not </w:t>
      </w:r>
      <w:proofErr w:type="gramStart"/>
      <w:r w:rsidRPr="003F3D6C">
        <w:t>all of</w:t>
      </w:r>
      <w:proofErr w:type="gramEnd"/>
      <w:r w:rsidRPr="003F3D6C">
        <w:t xml:space="preserve"> the recommendations.</w:t>
      </w:r>
    </w:p>
    <w:p w14:paraId="544D1AC4" w14:textId="18986541" w:rsidR="00F86B9C" w:rsidRPr="003F3D6C" w:rsidRDefault="00F86B9C" w:rsidP="00E07945">
      <w:r w:rsidRPr="003F3D6C">
        <w:t xml:space="preserve">The PFRWG review drew on the Senate </w:t>
      </w:r>
      <w:r>
        <w:t>inquiry</w:t>
      </w:r>
      <w:r w:rsidRPr="003F3D6C">
        <w:t xml:space="preserve">’s findings and recommendations to identify a range of non-regulatory and regulatory options to </w:t>
      </w:r>
      <w:r>
        <w:t>manage</w:t>
      </w:r>
      <w:r w:rsidRPr="003F3D6C">
        <w:t xml:space="preserve"> pet food safety in Australia. However, it did not recommend a preferred option to </w:t>
      </w:r>
      <w:r>
        <w:t>manage</w:t>
      </w:r>
      <w:r w:rsidRPr="003F3D6C">
        <w:t xml:space="preserve"> pet food safety in Australia. </w:t>
      </w:r>
    </w:p>
    <w:p w14:paraId="54445E26" w14:textId="77777777" w:rsidR="0092247D" w:rsidRDefault="0092247D" w:rsidP="00F86B9C">
      <w:pPr>
        <w:rPr>
          <w:rFonts w:asciiTheme="majorHAnsi" w:hAnsiTheme="majorHAnsi"/>
          <w:b/>
          <w:bCs/>
          <w:i/>
          <w:iCs/>
        </w:rPr>
      </w:pPr>
      <w:r>
        <w:rPr>
          <w:rFonts w:asciiTheme="majorHAnsi" w:hAnsiTheme="majorHAnsi"/>
          <w:b/>
          <w:bCs/>
          <w:i/>
          <w:iCs/>
        </w:rPr>
        <w:br w:type="page"/>
      </w:r>
    </w:p>
    <w:p w14:paraId="5EF28DE8" w14:textId="67C0C0F4" w:rsidR="00D43A61" w:rsidRPr="00DB4D0F" w:rsidRDefault="00D43A61" w:rsidP="00DB4D0F">
      <w:pPr>
        <w:rPr>
          <w:rStyle w:val="Strong"/>
        </w:rPr>
      </w:pPr>
      <w:r w:rsidRPr="00DB4D0F">
        <w:rPr>
          <w:rStyle w:val="Strong"/>
        </w:rPr>
        <w:lastRenderedPageBreak/>
        <w:t xml:space="preserve">Cost benefit analysis and report to Agriculture </w:t>
      </w:r>
      <w:r w:rsidR="0051039B" w:rsidRPr="00DB4D0F">
        <w:rPr>
          <w:rStyle w:val="Strong"/>
        </w:rPr>
        <w:t>m</w:t>
      </w:r>
      <w:r w:rsidRPr="00DB4D0F">
        <w:rPr>
          <w:rStyle w:val="Strong"/>
        </w:rPr>
        <w:t>inisters</w:t>
      </w:r>
    </w:p>
    <w:p w14:paraId="2D08B9CE" w14:textId="5A29D136" w:rsidR="00F86B9C" w:rsidRPr="00DB4D0F" w:rsidRDefault="00F86B9C" w:rsidP="00DB4D0F">
      <w:r w:rsidRPr="00DB4D0F">
        <w:t xml:space="preserve">Upon consideration of the final report of the PFRWG review, Agriculture </w:t>
      </w:r>
      <w:r w:rsidR="0051039B" w:rsidRPr="00DB4D0F">
        <w:t>m</w:t>
      </w:r>
      <w:r w:rsidRPr="00DB4D0F">
        <w:t xml:space="preserve">inisters agreed that a cost benefit analysis of the policy options identified by the report was needed before a decision could be made on a way forward. This </w:t>
      </w:r>
      <w:r w:rsidR="00E04B1C" w:rsidRPr="00DB4D0F">
        <w:t xml:space="preserve">report </w:t>
      </w:r>
      <w:r w:rsidRPr="00DB4D0F">
        <w:t xml:space="preserve">incorporates this cost benefit analysis and </w:t>
      </w:r>
      <w:r w:rsidR="00566E51" w:rsidRPr="00DB4D0F">
        <w:t>presents the key findings from this analysis</w:t>
      </w:r>
      <w:r w:rsidR="002B53E3" w:rsidRPr="00DB4D0F">
        <w:t xml:space="preserve">, with the </w:t>
      </w:r>
      <w:r w:rsidRPr="00DB4D0F">
        <w:t>aim</w:t>
      </w:r>
      <w:r w:rsidR="002B53E3" w:rsidRPr="00DB4D0F">
        <w:t xml:space="preserve"> of</w:t>
      </w:r>
      <w:r w:rsidRPr="00DB4D0F">
        <w:t xml:space="preserve"> inform</w:t>
      </w:r>
      <w:r w:rsidR="002B53E3" w:rsidRPr="00DB4D0F">
        <w:t>ing</w:t>
      </w:r>
      <w:r w:rsidRPr="00DB4D0F">
        <w:t xml:space="preserve"> Agriculture </w:t>
      </w:r>
      <w:r w:rsidR="0051039B" w:rsidRPr="00DB4D0F">
        <w:t>m</w:t>
      </w:r>
      <w:r w:rsidRPr="00DB4D0F">
        <w:t>inisters in deciding on an approach to manage pet food safety in Australia.</w:t>
      </w:r>
    </w:p>
    <w:p w14:paraId="3B77797D" w14:textId="114BE4E7" w:rsidR="00310D42" w:rsidRPr="00627C84" w:rsidRDefault="002A5497" w:rsidP="00DB4D0F">
      <w:pPr>
        <w:rPr>
          <w:rStyle w:val="Hyperlink"/>
          <w:color w:val="auto"/>
          <w:u w:val="none"/>
        </w:rPr>
      </w:pPr>
      <w:r w:rsidRPr="00DB4D0F">
        <w:t>The Commonwealth Department of Agriculture, Fisheries and Forestry</w:t>
      </w:r>
      <w:r w:rsidR="00C94E9F" w:rsidRPr="00DB4D0F">
        <w:t xml:space="preserve"> (DAFF)</w:t>
      </w:r>
      <w:r w:rsidRPr="00DB4D0F">
        <w:t xml:space="preserve">, in consultation with relevant state and territory agencies, engaged Marsden Jacob Associates </w:t>
      </w:r>
      <w:r w:rsidR="00C94E9F" w:rsidRPr="00DB4D0F">
        <w:t xml:space="preserve">(MJA) </w:t>
      </w:r>
      <w:r w:rsidRPr="00DB4D0F">
        <w:t>to independently</w:t>
      </w:r>
      <w:r>
        <w:rPr>
          <w:rStyle w:val="Hyperlink"/>
          <w:color w:val="auto"/>
          <w:u w:val="none"/>
        </w:rPr>
        <w:t xml:space="preserve"> undertake the cost benefit analysis</w:t>
      </w:r>
      <w:r w:rsidR="00305314">
        <w:rPr>
          <w:rStyle w:val="Hyperlink"/>
          <w:color w:val="auto"/>
          <w:u w:val="none"/>
        </w:rPr>
        <w:t xml:space="preserve"> of policy options to manage pet food safety in Australia</w:t>
      </w:r>
      <w:r>
        <w:rPr>
          <w:rStyle w:val="Hyperlink"/>
          <w:color w:val="auto"/>
          <w:u w:val="none"/>
        </w:rPr>
        <w:t xml:space="preserve">. </w:t>
      </w:r>
      <w:r w:rsidR="00C94E9F">
        <w:rPr>
          <w:rStyle w:val="Hyperlink"/>
          <w:color w:val="auto"/>
          <w:u w:val="none"/>
        </w:rPr>
        <w:t xml:space="preserve">MJA worked closely with DAFF, </w:t>
      </w:r>
      <w:r w:rsidR="00D97459">
        <w:rPr>
          <w:rStyle w:val="Hyperlink"/>
          <w:color w:val="auto"/>
          <w:u w:val="none"/>
        </w:rPr>
        <w:t>states and territories, other relevant Commonwealth agencies, the Pet Food Industry Association, RSPCA and the Australian Veterinary Association to undertake the cost benefit analysis.</w:t>
      </w:r>
      <w:r w:rsidR="00981FBA">
        <w:rPr>
          <w:rStyle w:val="Hyperlink"/>
          <w:color w:val="auto"/>
          <w:u w:val="none"/>
        </w:rPr>
        <w:t xml:space="preserve"> </w:t>
      </w:r>
      <w:r w:rsidR="00305314">
        <w:rPr>
          <w:rStyle w:val="Hyperlink"/>
          <w:color w:val="auto"/>
          <w:u w:val="none"/>
        </w:rPr>
        <w:t xml:space="preserve">The final report of the cost benefit analysis </w:t>
      </w:r>
      <w:r w:rsidR="00627C84">
        <w:rPr>
          <w:rStyle w:val="Hyperlink"/>
          <w:color w:val="auto"/>
          <w:u w:val="none"/>
        </w:rPr>
        <w:t xml:space="preserve">is provided at </w:t>
      </w:r>
      <w:r w:rsidR="00111C5A" w:rsidRPr="001A6B22">
        <w:rPr>
          <w:rStyle w:val="Hyperlink"/>
          <w:b/>
          <w:bCs/>
          <w:color w:val="auto"/>
          <w:u w:val="none"/>
        </w:rPr>
        <w:t xml:space="preserve">Appendix </w:t>
      </w:r>
      <w:r w:rsidR="00641E88" w:rsidRPr="001A6B22">
        <w:rPr>
          <w:rStyle w:val="Hyperlink"/>
          <w:b/>
          <w:bCs/>
          <w:color w:val="auto"/>
          <w:u w:val="none"/>
        </w:rPr>
        <w:t>B</w:t>
      </w:r>
      <w:r w:rsidR="00627C84" w:rsidRPr="00641E88">
        <w:rPr>
          <w:rStyle w:val="Hyperlink"/>
          <w:color w:val="auto"/>
          <w:u w:val="none"/>
        </w:rPr>
        <w:t xml:space="preserve"> and is summarised in Section </w:t>
      </w:r>
      <w:r w:rsidR="006D3B76" w:rsidRPr="001A6B22">
        <w:rPr>
          <w:rStyle w:val="Hyperlink"/>
          <w:color w:val="auto"/>
          <w:u w:val="none"/>
        </w:rPr>
        <w:t>4</w:t>
      </w:r>
      <w:r w:rsidR="00627C84" w:rsidRPr="00641E88">
        <w:rPr>
          <w:rStyle w:val="Hyperlink"/>
          <w:color w:val="auto"/>
          <w:u w:val="none"/>
        </w:rPr>
        <w:t>.</w:t>
      </w:r>
    </w:p>
    <w:p w14:paraId="781FF3A3" w14:textId="383C3B03" w:rsidR="00BF4AF2" w:rsidRPr="00BF4AF2" w:rsidRDefault="00924040" w:rsidP="00BF4AF2">
      <w:r>
        <w:t>A</w:t>
      </w:r>
      <w:r w:rsidR="00E328FE">
        <w:t>lthough</w:t>
      </w:r>
      <w:r w:rsidR="00F86B9C">
        <w:t xml:space="preserve"> many Australian households own many types of pets including cats, dogs, birds, fish and reptiles, th</w:t>
      </w:r>
      <w:r w:rsidR="007660B5">
        <w:t>e cost benefit analysis and th</w:t>
      </w:r>
      <w:r w:rsidR="00F86B9C">
        <w:t xml:space="preserve">is </w:t>
      </w:r>
      <w:r w:rsidR="00E04B1C">
        <w:t xml:space="preserve">report </w:t>
      </w:r>
      <w:r w:rsidR="00F86B9C">
        <w:t>is focused on pet cats and dogs and as such, a ‘pet’ in th</w:t>
      </w:r>
      <w:r w:rsidR="00D32BEC">
        <w:t>e</w:t>
      </w:r>
      <w:r w:rsidR="00F86B9C">
        <w:t>s</w:t>
      </w:r>
      <w:r w:rsidR="00D32BEC">
        <w:t>e</w:t>
      </w:r>
      <w:r w:rsidR="00F86B9C">
        <w:t xml:space="preserve"> document</w:t>
      </w:r>
      <w:r w:rsidR="00D32BEC">
        <w:t>s</w:t>
      </w:r>
      <w:r w:rsidR="00F86B9C">
        <w:t xml:space="preserve"> refers to a pet cat or a dog. </w:t>
      </w:r>
      <w:r w:rsidR="0009161A">
        <w:t>In addition, ‘pet food’ in th</w:t>
      </w:r>
      <w:r w:rsidR="00D32BEC">
        <w:t>e</w:t>
      </w:r>
      <w:r w:rsidR="0009161A">
        <w:t>s</w:t>
      </w:r>
      <w:r w:rsidR="00D32BEC">
        <w:t>e</w:t>
      </w:r>
      <w:r w:rsidR="0009161A">
        <w:t xml:space="preserve"> </w:t>
      </w:r>
      <w:r w:rsidR="00D32BEC">
        <w:t xml:space="preserve">documents </w:t>
      </w:r>
      <w:r w:rsidR="0009161A">
        <w:t xml:space="preserve">is intended to refer to </w:t>
      </w:r>
      <w:r w:rsidR="00081721">
        <w:t>manufactur</w:t>
      </w:r>
      <w:r w:rsidR="00EF572D">
        <w:t xml:space="preserve">ed </w:t>
      </w:r>
      <w:r w:rsidR="00EC4A96">
        <w:t xml:space="preserve">ready-to-eat </w:t>
      </w:r>
      <w:r w:rsidR="0009161A">
        <w:t xml:space="preserve">food products sold for </w:t>
      </w:r>
      <w:r w:rsidR="005D7462">
        <w:t>cats and dogs</w:t>
      </w:r>
      <w:r w:rsidR="0009161A">
        <w:t xml:space="preserve"> and does not include </w:t>
      </w:r>
      <w:r w:rsidR="006922F8">
        <w:t>constituent ingredients</w:t>
      </w:r>
      <w:r w:rsidR="00F330BB">
        <w:t xml:space="preserve"> (e.g. raw meat)</w:t>
      </w:r>
      <w:r w:rsidR="0009161A">
        <w:t xml:space="preserve"> that </w:t>
      </w:r>
      <w:r w:rsidR="00FE0561">
        <w:t>are</w:t>
      </w:r>
      <w:r w:rsidR="0009161A">
        <w:t xml:space="preserve"> not </w:t>
      </w:r>
      <w:r w:rsidR="00603353">
        <w:t xml:space="preserve">sold </w:t>
      </w:r>
      <w:r w:rsidR="0009161A">
        <w:t>as ready-to-eat</w:t>
      </w:r>
      <w:r w:rsidR="00940830">
        <w:t>.</w:t>
      </w:r>
      <w:r w:rsidR="00BC4FEC">
        <w:t xml:space="preserve"> </w:t>
      </w:r>
    </w:p>
    <w:p w14:paraId="6761F59E" w14:textId="5EFD8FD0" w:rsidR="002D4A6C" w:rsidRDefault="00DE5B99" w:rsidP="0008340B">
      <w:pPr>
        <w:pStyle w:val="Heading2"/>
      </w:pPr>
      <w:bookmarkStart w:id="5" w:name="_Toc228966442"/>
      <w:r>
        <w:lastRenderedPageBreak/>
        <w:t>P</w:t>
      </w:r>
      <w:r w:rsidR="000B2AA3">
        <w:t>et food safety</w:t>
      </w:r>
      <w:r>
        <w:t xml:space="preserve"> in Australia</w:t>
      </w:r>
      <w:bookmarkEnd w:id="5"/>
    </w:p>
    <w:p w14:paraId="0E99631E" w14:textId="37C25DEE" w:rsidR="006553A3" w:rsidRDefault="002778DC" w:rsidP="00496F77">
      <w:r w:rsidRPr="009B6BC9">
        <w:t xml:space="preserve">According to the IBIS report </w:t>
      </w:r>
      <w:r w:rsidRPr="009B6BC9">
        <w:rPr>
          <w:i/>
          <w:iCs/>
        </w:rPr>
        <w:t>Pet food production in Australia</w:t>
      </w:r>
      <w:r w:rsidRPr="009B6BC9">
        <w:t xml:space="preserve"> from 2022, there are 140 domestic pet food production businesses</w:t>
      </w:r>
      <w:r w:rsidR="00876C65">
        <w:t xml:space="preserve"> operating in Australia</w:t>
      </w:r>
      <w:r w:rsidR="006D21A3">
        <w:t>, which together had revenue of $3.0bn in 2021-22</w:t>
      </w:r>
      <w:r w:rsidRPr="009B6BC9">
        <w:t xml:space="preserve">. </w:t>
      </w:r>
      <w:proofErr w:type="gramStart"/>
      <w:r w:rsidR="006D21A3">
        <w:t>The majority of</w:t>
      </w:r>
      <w:proofErr w:type="gramEnd"/>
      <w:r w:rsidR="006D21A3">
        <w:t xml:space="preserve"> pet food produced by these businesses are sold in Australia</w:t>
      </w:r>
      <w:r w:rsidR="00CC251D">
        <w:t xml:space="preserve"> through retailers, wholesalers and pet stores, with some products exported overseas.</w:t>
      </w:r>
      <w:r w:rsidR="00674184">
        <w:t xml:space="preserve"> Three large companies, each with accreditation to AS5812, account for </w:t>
      </w:r>
      <w:r w:rsidR="00916FE7">
        <w:t xml:space="preserve">approximately </w:t>
      </w:r>
      <w:r w:rsidR="00674184">
        <w:t>two-thirds of domestic pet food production.</w:t>
      </w:r>
      <w:r w:rsidR="00F84A49">
        <w:t xml:space="preserve"> </w:t>
      </w:r>
      <w:r>
        <w:t>In addition, t</w:t>
      </w:r>
      <w:r w:rsidRPr="009B6BC9">
        <w:t xml:space="preserve">here are approximately </w:t>
      </w:r>
      <w:r>
        <w:t>a further 131</w:t>
      </w:r>
      <w:r w:rsidRPr="009B6BC9">
        <w:t xml:space="preserve"> </w:t>
      </w:r>
      <w:r>
        <w:t xml:space="preserve">cat and dog </w:t>
      </w:r>
      <w:r w:rsidRPr="009B6BC9">
        <w:t>pet food importing businesses in Australia</w:t>
      </w:r>
      <w:r>
        <w:t>.</w:t>
      </w:r>
      <w:r w:rsidR="00773714">
        <w:t xml:space="preserve"> Imported pet food sold in Australia account</w:t>
      </w:r>
      <w:r w:rsidR="001C5DC7">
        <w:t>s</w:t>
      </w:r>
      <w:r w:rsidR="00773714">
        <w:t xml:space="preserve"> for approximately </w:t>
      </w:r>
      <w:r w:rsidR="001B3EB2">
        <w:t xml:space="preserve">17% of domestic demand </w:t>
      </w:r>
      <w:r w:rsidR="001C5DC7">
        <w:t xml:space="preserve">and this is </w:t>
      </w:r>
      <w:r w:rsidR="001B3EB2">
        <w:t>expected to increase into the future.</w:t>
      </w:r>
    </w:p>
    <w:p w14:paraId="4360C9BD" w14:textId="5F30B27A" w:rsidR="001C5DC7" w:rsidRDefault="00932391" w:rsidP="00496F77">
      <w:r>
        <w:t>The pet food industry in Australia is highly competit</w:t>
      </w:r>
      <w:r w:rsidR="00916FE7">
        <w:t>ive</w:t>
      </w:r>
      <w:r w:rsidR="00ED0FAC">
        <w:t xml:space="preserve">, with </w:t>
      </w:r>
      <w:r w:rsidR="00CA68F6">
        <w:t>competi</w:t>
      </w:r>
      <w:r w:rsidR="00C545F9">
        <w:t>tion</w:t>
      </w:r>
      <w:r w:rsidR="00CA68F6">
        <w:t xml:space="preserve"> based </w:t>
      </w:r>
      <w:r w:rsidR="001E73F0">
        <w:t xml:space="preserve">primarily </w:t>
      </w:r>
      <w:r w:rsidR="00CA68F6">
        <w:t>on price and quality</w:t>
      </w:r>
      <w:r w:rsidR="001E73F0">
        <w:t xml:space="preserve">. </w:t>
      </w:r>
      <w:r w:rsidR="00D256CF">
        <w:t xml:space="preserve">The level of competition in the industry is growing, with </w:t>
      </w:r>
      <w:r w:rsidR="00632864">
        <w:t xml:space="preserve">strong competition from imports (particularly low-priced private-labelled </w:t>
      </w:r>
      <w:r w:rsidR="00F861E2">
        <w:t>pet food sold in supermarkets</w:t>
      </w:r>
      <w:r w:rsidR="00632864">
        <w:t>)</w:t>
      </w:r>
      <w:r w:rsidR="00F861E2">
        <w:t xml:space="preserve"> and from owners preparing pet food at home. </w:t>
      </w:r>
      <w:r w:rsidR="001E73F0">
        <w:t>L</w:t>
      </w:r>
      <w:r w:rsidR="00ED0FAC">
        <w:t xml:space="preserve">arger pet food manufacturers </w:t>
      </w:r>
      <w:r w:rsidR="001E73F0">
        <w:t xml:space="preserve">are </w:t>
      </w:r>
      <w:r w:rsidR="00C545F9">
        <w:t xml:space="preserve">often </w:t>
      </w:r>
      <w:r w:rsidR="00ED0FAC">
        <w:t xml:space="preserve">able to </w:t>
      </w:r>
      <w:r w:rsidR="00CD27A1">
        <w:t>utilise economies of scale to increase their cost competitiveness.</w:t>
      </w:r>
      <w:r w:rsidR="006C603D">
        <w:t xml:space="preserve"> </w:t>
      </w:r>
      <w:r w:rsidR="00F84A49">
        <w:t xml:space="preserve">There are </w:t>
      </w:r>
      <w:r w:rsidR="009719DE">
        <w:t xml:space="preserve">substantial barriers </w:t>
      </w:r>
      <w:r w:rsidR="00C631C2">
        <w:t xml:space="preserve">to </w:t>
      </w:r>
      <w:r w:rsidR="009719DE">
        <w:t xml:space="preserve">entry for new businesses due to the high level of competition and </w:t>
      </w:r>
      <w:r w:rsidR="006E17FC">
        <w:t>the need to acquire</w:t>
      </w:r>
      <w:r w:rsidR="004359BC">
        <w:t xml:space="preserve"> industrial-grade food processing facilities and equipment that favours </w:t>
      </w:r>
      <w:r w:rsidR="00650086">
        <w:t>production at large scale</w:t>
      </w:r>
      <w:r w:rsidR="006B75DD">
        <w:t>.</w:t>
      </w:r>
      <w:r w:rsidR="00AB5D12">
        <w:t xml:space="preserve"> New businesses tend to focus on niche markets, </w:t>
      </w:r>
      <w:r w:rsidR="007856C4">
        <w:t>which target consumers who are willing to pay a premium for pet food.</w:t>
      </w:r>
    </w:p>
    <w:p w14:paraId="5F7B8292" w14:textId="24E21644" w:rsidR="003D2A31" w:rsidRDefault="00981337" w:rsidP="0051039B">
      <w:pPr>
        <w:pStyle w:val="Heading3"/>
      </w:pPr>
      <w:bookmarkStart w:id="6" w:name="_Toc228966443"/>
      <w:r>
        <w:t xml:space="preserve">Current </w:t>
      </w:r>
      <w:r w:rsidR="00664307" w:rsidRPr="006D3839">
        <w:t>self</w:t>
      </w:r>
      <w:r w:rsidR="00664307">
        <w:t>-</w:t>
      </w:r>
      <w:r>
        <w:t>r</w:t>
      </w:r>
      <w:r w:rsidR="00F30D2F">
        <w:t>egulat</w:t>
      </w:r>
      <w:r w:rsidR="0044037E">
        <w:t>ory</w:t>
      </w:r>
      <w:r>
        <w:t xml:space="preserve"> model</w:t>
      </w:r>
      <w:bookmarkEnd w:id="6"/>
    </w:p>
    <w:p w14:paraId="107ADD4F" w14:textId="3BF39944" w:rsidR="00496F77" w:rsidRDefault="002D4A6C" w:rsidP="00496F77">
      <w:r>
        <w:t>The management of pet food safety in Australia currently follows a self-regulation model</w:t>
      </w:r>
      <w:r w:rsidR="001A6C6F">
        <w:t xml:space="preserve"> </w:t>
      </w:r>
      <w:r w:rsidR="00EA51B8">
        <w:t xml:space="preserve">to </w:t>
      </w:r>
      <w:r>
        <w:t>ensure</w:t>
      </w:r>
      <w:r w:rsidR="00036C54">
        <w:t xml:space="preserve"> </w:t>
      </w:r>
      <w:r>
        <w:t xml:space="preserve">pet food </w:t>
      </w:r>
      <w:r w:rsidR="00036C54">
        <w:t xml:space="preserve">sold in Australia </w:t>
      </w:r>
      <w:r>
        <w:t>is safe for pets</w:t>
      </w:r>
      <w:r w:rsidR="00EA51B8">
        <w:t>.</w:t>
      </w:r>
    </w:p>
    <w:p w14:paraId="5C81A24B" w14:textId="0C7EC56E" w:rsidR="001A3836" w:rsidRDefault="0078448A" w:rsidP="00373825">
      <w:r>
        <w:t>Under t</w:t>
      </w:r>
      <w:r w:rsidR="00496F77">
        <w:t>h</w:t>
      </w:r>
      <w:r w:rsidR="004F6723">
        <w:t xml:space="preserve">is </w:t>
      </w:r>
      <w:r w:rsidR="00496F77">
        <w:t>model</w:t>
      </w:r>
      <w:r>
        <w:t>,</w:t>
      </w:r>
      <w:r w:rsidR="00496F77">
        <w:t xml:space="preserve"> </w:t>
      </w:r>
      <w:r w:rsidR="00DC33DF">
        <w:t>manufacture</w:t>
      </w:r>
      <w:r w:rsidR="00FB363A">
        <w:t>r</w:t>
      </w:r>
      <w:r w:rsidR="00DC33DF">
        <w:t xml:space="preserve">s </w:t>
      </w:r>
      <w:r>
        <w:t xml:space="preserve">and importers of pet food </w:t>
      </w:r>
      <w:r w:rsidR="009A2648">
        <w:t xml:space="preserve">are incentivised </w:t>
      </w:r>
      <w:r w:rsidR="00DC33DF">
        <w:t>to produce safe pet food products to avoid reputational and financial</w:t>
      </w:r>
      <w:r w:rsidR="00EB60F0">
        <w:t xml:space="preserve"> risks</w:t>
      </w:r>
      <w:r w:rsidR="00290444">
        <w:t xml:space="preserve"> in a </w:t>
      </w:r>
      <w:r w:rsidR="002C01B5">
        <w:t xml:space="preserve">highly </w:t>
      </w:r>
      <w:r w:rsidR="00EB60F0">
        <w:t>competitive</w:t>
      </w:r>
      <w:r w:rsidR="00C0587B">
        <w:t xml:space="preserve"> </w:t>
      </w:r>
      <w:r w:rsidR="00290444">
        <w:t xml:space="preserve">operating environment. </w:t>
      </w:r>
      <w:r w:rsidR="006B34E1">
        <w:t xml:space="preserve">Given </w:t>
      </w:r>
      <w:r w:rsidR="00DA238E">
        <w:t>pets are often treated as family members in many Australian households, c</w:t>
      </w:r>
      <w:r w:rsidR="006B34E1">
        <w:t>onsumers are highly sensitive t</w:t>
      </w:r>
      <w:r w:rsidR="00DA238E">
        <w:t xml:space="preserve">o any </w:t>
      </w:r>
      <w:r w:rsidR="00690B6F">
        <w:t xml:space="preserve">actual or perceived </w:t>
      </w:r>
      <w:r w:rsidR="00DA238E">
        <w:t>issues with the quality and safety of pet food.</w:t>
      </w:r>
      <w:r w:rsidR="00227F7D">
        <w:t xml:space="preserve"> </w:t>
      </w:r>
      <w:r w:rsidR="00EF0FFD">
        <w:t>Furthermore</w:t>
      </w:r>
      <w:r w:rsidR="00E970CB">
        <w:t xml:space="preserve">, </w:t>
      </w:r>
      <w:r w:rsidR="00394EA9">
        <w:t xml:space="preserve">consumers are </w:t>
      </w:r>
      <w:r w:rsidR="006A3A45">
        <w:t xml:space="preserve">generally </w:t>
      </w:r>
      <w:r w:rsidR="00394EA9">
        <w:t>able to change their pet food choices</w:t>
      </w:r>
      <w:r w:rsidR="006A3A45">
        <w:t xml:space="preserve"> relatively easily</w:t>
      </w:r>
      <w:r w:rsidR="00394EA9">
        <w:t xml:space="preserve">, with </w:t>
      </w:r>
      <w:r w:rsidR="00221E78">
        <w:t xml:space="preserve">a </w:t>
      </w:r>
      <w:r w:rsidR="00EF0FFD">
        <w:t xml:space="preserve">broad </w:t>
      </w:r>
      <w:r w:rsidR="00E970CB">
        <w:t xml:space="preserve">variety of </w:t>
      </w:r>
      <w:r w:rsidR="0035476E">
        <w:t xml:space="preserve">pet food </w:t>
      </w:r>
      <w:r w:rsidR="00E970CB">
        <w:t xml:space="preserve">brands and products </w:t>
      </w:r>
      <w:r w:rsidR="00EF0FFD">
        <w:t xml:space="preserve">sold </w:t>
      </w:r>
      <w:r w:rsidR="00E970CB">
        <w:t xml:space="preserve">in </w:t>
      </w:r>
      <w:r w:rsidR="00EF0FFD">
        <w:t>Australia</w:t>
      </w:r>
      <w:r w:rsidR="00AC4EF2">
        <w:t xml:space="preserve"> and most major retailers in Australia</w:t>
      </w:r>
      <w:r w:rsidR="00221E78">
        <w:t xml:space="preserve"> offer</w:t>
      </w:r>
      <w:r w:rsidR="00394EA9">
        <w:t>ing</w:t>
      </w:r>
      <w:r w:rsidR="00221E78">
        <w:t xml:space="preserve"> refunds to consumers </w:t>
      </w:r>
      <w:r w:rsidR="00501C14">
        <w:t xml:space="preserve">if they are unhappy with a pet food </w:t>
      </w:r>
      <w:r w:rsidR="0005548E">
        <w:t>purchase</w:t>
      </w:r>
      <w:r w:rsidR="00501C14">
        <w:t>.</w:t>
      </w:r>
      <w:r w:rsidR="00EF5ECA">
        <w:t xml:space="preserve"> </w:t>
      </w:r>
      <w:r w:rsidR="00227F7D">
        <w:t xml:space="preserve">As such, pet food businesses </w:t>
      </w:r>
      <w:r w:rsidR="00FA2365">
        <w:t xml:space="preserve">are </w:t>
      </w:r>
      <w:r w:rsidR="001B09FD">
        <w:t>sensitive to any threats to their reputation</w:t>
      </w:r>
      <w:r w:rsidR="00D32922">
        <w:t xml:space="preserve"> and </w:t>
      </w:r>
      <w:r w:rsidR="00D50ADA">
        <w:t xml:space="preserve">invest </w:t>
      </w:r>
      <w:r w:rsidR="008F067A">
        <w:t xml:space="preserve">in </w:t>
      </w:r>
      <w:r w:rsidR="00815F02">
        <w:t>processes</w:t>
      </w:r>
      <w:r w:rsidR="00784573">
        <w:t xml:space="preserve">, </w:t>
      </w:r>
      <w:r w:rsidR="00815F02">
        <w:t>systems</w:t>
      </w:r>
      <w:r w:rsidR="009D7EFF">
        <w:t xml:space="preserve"> </w:t>
      </w:r>
      <w:r w:rsidR="00784573">
        <w:t xml:space="preserve">and facilities </w:t>
      </w:r>
      <w:r w:rsidR="009D7EFF">
        <w:t xml:space="preserve">to ensure </w:t>
      </w:r>
      <w:r w:rsidR="003A6E3E">
        <w:t xml:space="preserve">their </w:t>
      </w:r>
      <w:r w:rsidR="00DD122F">
        <w:t xml:space="preserve">pet food products </w:t>
      </w:r>
      <w:r w:rsidR="003A6E3E">
        <w:t xml:space="preserve">are </w:t>
      </w:r>
      <w:r w:rsidR="00133108">
        <w:t>safe</w:t>
      </w:r>
      <w:r w:rsidR="00371DCE">
        <w:t>.</w:t>
      </w:r>
    </w:p>
    <w:p w14:paraId="6803BB7A" w14:textId="18EE08E5" w:rsidR="003B246C" w:rsidRDefault="009C44F6" w:rsidP="00807EB2">
      <w:r>
        <w:t xml:space="preserve">In addition, the </w:t>
      </w:r>
      <w:r w:rsidR="00405701">
        <w:t xml:space="preserve">Australian </w:t>
      </w:r>
      <w:r>
        <w:t xml:space="preserve">consumer </w:t>
      </w:r>
      <w:r w:rsidR="00405701">
        <w:t xml:space="preserve">protection framework </w:t>
      </w:r>
      <w:r w:rsidR="006172C1">
        <w:t xml:space="preserve">provides </w:t>
      </w:r>
      <w:r w:rsidR="00165109">
        <w:t>consumers of pet food products</w:t>
      </w:r>
      <w:r w:rsidR="006172C1">
        <w:t xml:space="preserve"> with further protections.</w:t>
      </w:r>
      <w:r w:rsidR="00A93953">
        <w:t xml:space="preserve"> Under </w:t>
      </w:r>
      <w:r w:rsidR="00807EB2">
        <w:rPr>
          <w:rStyle w:val="Emphasis"/>
          <w:i w:val="0"/>
          <w:iCs w:val="0"/>
        </w:rPr>
        <w:t>t</w:t>
      </w:r>
      <w:r w:rsidR="00807EB2" w:rsidRPr="00C04B17">
        <w:rPr>
          <w:rStyle w:val="Emphasis"/>
          <w:i w:val="0"/>
          <w:iCs w:val="0"/>
        </w:rPr>
        <w:t>he</w:t>
      </w:r>
      <w:r w:rsidR="00807EB2" w:rsidRPr="0068357F">
        <w:rPr>
          <w:rStyle w:val="Emphasis"/>
        </w:rPr>
        <w:t xml:space="preserve"> </w:t>
      </w:r>
      <w:r w:rsidR="00807EB2" w:rsidRPr="00F86B9C">
        <w:rPr>
          <w:rStyle w:val="Emphasis"/>
        </w:rPr>
        <w:t>Competition and Consumer Act 2010</w:t>
      </w:r>
      <w:r w:rsidR="00807EB2">
        <w:rPr>
          <w:rStyle w:val="Emphasis"/>
        </w:rPr>
        <w:t xml:space="preserve"> </w:t>
      </w:r>
      <w:r w:rsidR="00807EB2" w:rsidRPr="00A82F0F">
        <w:rPr>
          <w:rStyle w:val="Emphasis"/>
          <w:i w:val="0"/>
          <w:iCs w:val="0"/>
        </w:rPr>
        <w:t>(CCA)</w:t>
      </w:r>
      <w:r w:rsidR="00A93953">
        <w:rPr>
          <w:rStyle w:val="Emphasis"/>
          <w:i w:val="0"/>
          <w:iCs w:val="0"/>
        </w:rPr>
        <w:t>,</w:t>
      </w:r>
      <w:r w:rsidR="00807EB2">
        <w:t xml:space="preserve"> </w:t>
      </w:r>
      <w:r w:rsidR="00A93953">
        <w:t xml:space="preserve">pet food </w:t>
      </w:r>
      <w:r w:rsidR="00807EB2">
        <w:t xml:space="preserve">products </w:t>
      </w:r>
      <w:r w:rsidR="00A93953">
        <w:t xml:space="preserve">must </w:t>
      </w:r>
      <w:r w:rsidR="00807EB2">
        <w:t>meet certain consumer guarantees</w:t>
      </w:r>
      <w:r w:rsidR="000F2C2E">
        <w:t>.</w:t>
      </w:r>
      <w:r w:rsidR="00807EB2">
        <w:t xml:space="preserve"> </w:t>
      </w:r>
      <w:r w:rsidR="000F2C2E">
        <w:t xml:space="preserve">For example, the CCA </w:t>
      </w:r>
      <w:r w:rsidR="00807EB2">
        <w:t>prohibit</w:t>
      </w:r>
      <w:r w:rsidR="000F2C2E">
        <w:t>s</w:t>
      </w:r>
      <w:r w:rsidR="00807EB2">
        <w:t xml:space="preserve"> misleading and deceptive conduct and entitl</w:t>
      </w:r>
      <w:r w:rsidR="000F2C2E">
        <w:t>es</w:t>
      </w:r>
      <w:r w:rsidR="00807EB2">
        <w:t xml:space="preserve"> consumers to a remedy (e.g. a refund, repair or replacement). The CCA also has a product safety framework to ensure consumer products, including pet food, are safe for humans. The Australian Competition and Consumer Commission (ACCC) administers the CCA and manages any incidents through their consumer </w:t>
      </w:r>
      <w:proofErr w:type="gramStart"/>
      <w:r w:rsidR="00807EB2">
        <w:t>complaints</w:t>
      </w:r>
      <w:proofErr w:type="gramEnd"/>
      <w:r w:rsidR="00807EB2">
        <w:t xml:space="preserve"> function.</w:t>
      </w:r>
    </w:p>
    <w:p w14:paraId="65A44020" w14:textId="6730FE14" w:rsidR="00807EB2" w:rsidRDefault="003B246C" w:rsidP="00807EB2">
      <w:r>
        <w:t xml:space="preserve">For completeness, the Commonwealth, through DAFF, is also responsible for regulating the import and export of pet foods under the </w:t>
      </w:r>
      <w:r w:rsidRPr="00F86B9C">
        <w:rPr>
          <w:rStyle w:val="Emphasis"/>
        </w:rPr>
        <w:t>Biosecurity Act 2015</w:t>
      </w:r>
      <w:r w:rsidRPr="00FD0761">
        <w:rPr>
          <w:rStyle w:val="Emphasis"/>
        </w:rPr>
        <w:t xml:space="preserve"> </w:t>
      </w:r>
      <w:r>
        <w:rPr>
          <w:rStyle w:val="Emphasis"/>
          <w:i w:val="0"/>
          <w:iCs w:val="0"/>
        </w:rPr>
        <w:t xml:space="preserve">and </w:t>
      </w:r>
      <w:r w:rsidRPr="00F86B9C">
        <w:rPr>
          <w:rStyle w:val="Emphasis"/>
        </w:rPr>
        <w:t xml:space="preserve">Export Control Act </w:t>
      </w:r>
      <w:r w:rsidR="00066CFF">
        <w:rPr>
          <w:rStyle w:val="Emphasis"/>
        </w:rPr>
        <w:t>2020</w:t>
      </w:r>
      <w:r>
        <w:rPr>
          <w:rStyle w:val="Emphasis"/>
        </w:rPr>
        <w:t xml:space="preserve"> </w:t>
      </w:r>
      <w:r>
        <w:rPr>
          <w:rStyle w:val="Emphasis"/>
          <w:i w:val="0"/>
          <w:iCs w:val="0"/>
        </w:rPr>
        <w:t xml:space="preserve">respectively. However, </w:t>
      </w:r>
      <w:r>
        <w:t>t</w:t>
      </w:r>
      <w:r w:rsidRPr="009D775A">
        <w:t xml:space="preserve">hese responsibilities are </w:t>
      </w:r>
      <w:r>
        <w:t xml:space="preserve">limited to the management of biosecurity risks associated with </w:t>
      </w:r>
      <w:r>
        <w:lastRenderedPageBreak/>
        <w:t>imported products and providing certification for exporting products to meet importing country requirements. Where an importing country requires an Australian exporter to comply with AS5812, DAFF certifies compliance by overseeing a third-party accreditation system in partnership with the PFIAA.</w:t>
      </w:r>
      <w:r w:rsidR="00807EB2">
        <w:t xml:space="preserve"> </w:t>
      </w:r>
    </w:p>
    <w:p w14:paraId="321558BA" w14:textId="09E6E423" w:rsidR="002778DC" w:rsidRDefault="00A761C8" w:rsidP="00284A17">
      <w:pPr>
        <w:pStyle w:val="Heading4"/>
      </w:pPr>
      <w:r>
        <w:t>Australian Standard for Manufacturing and Marketing of Pet Food (AS5812)</w:t>
      </w:r>
    </w:p>
    <w:p w14:paraId="51A58FFA" w14:textId="52D74D46" w:rsidR="00F1322C" w:rsidRDefault="00E24950" w:rsidP="00C606EE">
      <w:r>
        <w:t>There is</w:t>
      </w:r>
      <w:r w:rsidR="002D4A6C">
        <w:t xml:space="preserve"> a voluntary </w:t>
      </w:r>
      <w:r w:rsidR="002D4A6C" w:rsidRPr="00C96DB7">
        <w:rPr>
          <w:rStyle w:val="Emphasis"/>
        </w:rPr>
        <w:t xml:space="preserve">Australian Standard for the Manufacturing and Marketing of </w:t>
      </w:r>
      <w:r w:rsidR="00752A19">
        <w:rPr>
          <w:rStyle w:val="Emphasis"/>
        </w:rPr>
        <w:t>P</w:t>
      </w:r>
      <w:r w:rsidR="002D4A6C" w:rsidRPr="00C96DB7">
        <w:rPr>
          <w:rStyle w:val="Emphasis"/>
        </w:rPr>
        <w:t xml:space="preserve">et </w:t>
      </w:r>
      <w:r w:rsidR="00752A19">
        <w:rPr>
          <w:rStyle w:val="Emphasis"/>
        </w:rPr>
        <w:t>F</w:t>
      </w:r>
      <w:r w:rsidR="002D4A6C" w:rsidRPr="00C96DB7">
        <w:rPr>
          <w:rStyle w:val="Emphasis"/>
        </w:rPr>
        <w:t xml:space="preserve">ood </w:t>
      </w:r>
      <w:r w:rsidR="002D4A6C" w:rsidRPr="00863860">
        <w:t>(AS5812)</w:t>
      </w:r>
      <w:r w:rsidR="00450D64">
        <w:t>, which was developed</w:t>
      </w:r>
      <w:r w:rsidR="006F0298">
        <w:t xml:space="preserve"> and has been subsequently updated</w:t>
      </w:r>
      <w:r w:rsidR="00450D64">
        <w:t xml:space="preserve"> through</w:t>
      </w:r>
      <w:r w:rsidR="00B815A3">
        <w:t xml:space="preserve"> </w:t>
      </w:r>
      <w:r w:rsidR="00450D64">
        <w:t xml:space="preserve">the </w:t>
      </w:r>
      <w:r w:rsidR="00B815A3">
        <w:t>Standards Australia</w:t>
      </w:r>
      <w:r w:rsidR="00450D64">
        <w:t xml:space="preserve"> review process</w:t>
      </w:r>
      <w:r w:rsidR="007D0E9D">
        <w:t xml:space="preserve"> (see below)</w:t>
      </w:r>
      <w:r w:rsidR="000910CD">
        <w:t>.</w:t>
      </w:r>
      <w:r w:rsidR="0013751D">
        <w:t xml:space="preserve"> </w:t>
      </w:r>
      <w:r w:rsidR="000910CD">
        <w:t xml:space="preserve">The Standard was developed </w:t>
      </w:r>
      <w:r w:rsidR="0013751D">
        <w:t xml:space="preserve">to enable </w:t>
      </w:r>
      <w:r w:rsidR="000910CD">
        <w:t xml:space="preserve">Australian </w:t>
      </w:r>
      <w:r w:rsidR="00DF18CC">
        <w:t xml:space="preserve">pet food </w:t>
      </w:r>
      <w:r w:rsidR="000910CD">
        <w:t xml:space="preserve">to be </w:t>
      </w:r>
      <w:r w:rsidR="00DF18CC">
        <w:t>export</w:t>
      </w:r>
      <w:r w:rsidR="000910CD">
        <w:t>ed</w:t>
      </w:r>
      <w:r w:rsidR="00DF18CC">
        <w:t xml:space="preserve"> to </w:t>
      </w:r>
      <w:r w:rsidR="00403DA0">
        <w:t>countries that require export certification</w:t>
      </w:r>
      <w:r w:rsidR="00F4513D">
        <w:t xml:space="preserve"> and as such, is equivalent to </w:t>
      </w:r>
      <w:r w:rsidR="00E12F36">
        <w:t xml:space="preserve">pet food safety standards in </w:t>
      </w:r>
      <w:r w:rsidR="00F4513D">
        <w:t xml:space="preserve">many </w:t>
      </w:r>
      <w:r w:rsidR="00E12F36">
        <w:t>other countries</w:t>
      </w:r>
      <w:r w:rsidR="002D4A6C">
        <w:t>. This standard sets out specific requirements for the production and supply of pet food, including the sourcing, receival and storage of ingredients, additives and preservatives, processing, heat treatment, labelling, and recall processes for pet food. The standard is intended to reduce the risk of pet food safety incidents and has been strengthened over time in response to pet food safety incidents, drawing on strong cooperation between key stakeholders including the PFIAA, RSPCA and AVA.</w:t>
      </w:r>
      <w:r w:rsidR="00DC0802">
        <w:t xml:space="preserve"> </w:t>
      </w:r>
    </w:p>
    <w:p w14:paraId="0B8DDCDB" w14:textId="28BC5EF5" w:rsidR="003B165E" w:rsidRDefault="009A10B4" w:rsidP="004F6723">
      <w:r>
        <w:t xml:space="preserve">Most pet food sold in Australia is compliant with AS5812. This is because </w:t>
      </w:r>
      <w:proofErr w:type="gramStart"/>
      <w:r w:rsidR="00946E9E">
        <w:t xml:space="preserve">all </w:t>
      </w:r>
      <w:r w:rsidR="007856F2">
        <w:t>of</w:t>
      </w:r>
      <w:proofErr w:type="gramEnd"/>
      <w:r w:rsidR="007856F2">
        <w:t xml:space="preserve"> </w:t>
      </w:r>
      <w:r w:rsidR="009032AD">
        <w:t xml:space="preserve">the </w:t>
      </w:r>
      <w:r w:rsidR="00C7076B">
        <w:t>PFIAA</w:t>
      </w:r>
      <w:r w:rsidR="00904306">
        <w:t>’s</w:t>
      </w:r>
      <w:r w:rsidR="00C7076B">
        <w:t xml:space="preserve"> members</w:t>
      </w:r>
      <w:r w:rsidR="00BA789F">
        <w:t xml:space="preserve"> are accredited as compliant with </w:t>
      </w:r>
      <w:r w:rsidR="00C7076B">
        <w:t>AS5812</w:t>
      </w:r>
      <w:r w:rsidR="00E8340C">
        <w:t>, and a</w:t>
      </w:r>
      <w:r w:rsidR="00BA789F">
        <w:t xml:space="preserve">lthough </w:t>
      </w:r>
      <w:r w:rsidR="00DD652D">
        <w:t xml:space="preserve">PFIAA members only make up </w:t>
      </w:r>
      <w:r w:rsidR="00AE2927">
        <w:t>11% of all business selling products in Australia, they</w:t>
      </w:r>
      <w:r w:rsidR="00904306">
        <w:t xml:space="preserve"> produce </w:t>
      </w:r>
      <w:r w:rsidR="00386E4F">
        <w:t xml:space="preserve">60-80% </w:t>
      </w:r>
      <w:r w:rsidR="00904306">
        <w:t>of the pet food sold in Australia by volume</w:t>
      </w:r>
      <w:r w:rsidR="00F70C97">
        <w:t>.</w:t>
      </w:r>
      <w:r w:rsidR="00ED3DE3">
        <w:t xml:space="preserve"> </w:t>
      </w:r>
    </w:p>
    <w:p w14:paraId="5EE48DF4" w14:textId="7C8AEC91" w:rsidR="002778DC" w:rsidRDefault="005637C0" w:rsidP="004F6723">
      <w:r>
        <w:t>C</w:t>
      </w:r>
      <w:r w:rsidR="003B165E">
        <w:t>op</w:t>
      </w:r>
      <w:r>
        <w:t>ies</w:t>
      </w:r>
      <w:r w:rsidR="003B165E">
        <w:t xml:space="preserve"> of </w:t>
      </w:r>
      <w:r w:rsidR="00ED3DE3">
        <w:t xml:space="preserve">AS5812 </w:t>
      </w:r>
      <w:r>
        <w:t>are</w:t>
      </w:r>
      <w:r w:rsidR="00ED3DE3">
        <w:t xml:space="preserve"> available</w:t>
      </w:r>
      <w:r w:rsidR="00E654E6">
        <w:t xml:space="preserve"> for download from Standards Australia</w:t>
      </w:r>
      <w:r w:rsidR="003B165E">
        <w:t>’s</w:t>
      </w:r>
      <w:r w:rsidR="00D142F4">
        <w:t xml:space="preserve"> </w:t>
      </w:r>
      <w:r w:rsidR="003B165E">
        <w:t xml:space="preserve">website </w:t>
      </w:r>
      <w:r w:rsidR="00D142F4">
        <w:t>for a fee</w:t>
      </w:r>
      <w:r w:rsidR="000638FA">
        <w:t xml:space="preserve">. Any </w:t>
      </w:r>
      <w:r w:rsidR="00CD59C9">
        <w:t xml:space="preserve">business </w:t>
      </w:r>
      <w:r w:rsidR="000638FA">
        <w:t>can download</w:t>
      </w:r>
      <w:r w:rsidR="00ED3DE3">
        <w:t xml:space="preserve"> and </w:t>
      </w:r>
      <w:r w:rsidR="00F66AAD">
        <w:t xml:space="preserve">arrange to </w:t>
      </w:r>
      <w:r w:rsidR="00ED3DE3">
        <w:t xml:space="preserve">be accredited </w:t>
      </w:r>
      <w:r w:rsidR="00F66AAD">
        <w:t xml:space="preserve">as compliant with </w:t>
      </w:r>
      <w:r w:rsidR="00ED3DE3">
        <w:t>the standard</w:t>
      </w:r>
      <w:r w:rsidR="006878AE">
        <w:t xml:space="preserve">. </w:t>
      </w:r>
      <w:r w:rsidR="006878AE" w:rsidRPr="006878AE">
        <w:t xml:space="preserve"> </w:t>
      </w:r>
      <w:r w:rsidR="006878AE">
        <w:t xml:space="preserve">Furthermore, any certification body accredited through the Joint Accreditation System of Australia &amp; New Zealand can undertake a certification and accreditation process to be able to accredit businesses as being compliant with AS5812. </w:t>
      </w:r>
      <w:r w:rsidR="00D845E0">
        <w:t xml:space="preserve">However, </w:t>
      </w:r>
      <w:r w:rsidR="00AD77E8">
        <w:t xml:space="preserve">given the voluntary nature of the Standard, </w:t>
      </w:r>
      <w:r>
        <w:t xml:space="preserve">we understand that </w:t>
      </w:r>
      <w:r w:rsidR="00AD77E8">
        <w:t>PFIAA</w:t>
      </w:r>
      <w:r w:rsidR="00B74236">
        <w:t xml:space="preserve"> members are </w:t>
      </w:r>
      <w:r>
        <w:t xml:space="preserve">currently </w:t>
      </w:r>
      <w:r w:rsidR="00B74236">
        <w:t xml:space="preserve">the only </w:t>
      </w:r>
      <w:r w:rsidR="00C26F65">
        <w:t xml:space="preserve">businesses </w:t>
      </w:r>
      <w:r w:rsidR="00B74236">
        <w:t xml:space="preserve">that </w:t>
      </w:r>
      <w:r>
        <w:t xml:space="preserve">have been </w:t>
      </w:r>
      <w:r w:rsidR="00B74236">
        <w:t>accredited</w:t>
      </w:r>
      <w:r w:rsidR="007A134F">
        <w:t xml:space="preserve"> and the PFIAA are </w:t>
      </w:r>
      <w:r w:rsidR="00F66AAD">
        <w:t xml:space="preserve">currently </w:t>
      </w:r>
      <w:r w:rsidR="007A134F">
        <w:t xml:space="preserve">the only entity </w:t>
      </w:r>
      <w:r w:rsidR="00F66AAD">
        <w:t xml:space="preserve">arranging </w:t>
      </w:r>
      <w:r w:rsidR="007A134F">
        <w:t>accredit</w:t>
      </w:r>
      <w:r w:rsidR="00F66AAD">
        <w:t>ation</w:t>
      </w:r>
      <w:r w:rsidR="007A134F">
        <w:t xml:space="preserve"> through a third party.</w:t>
      </w:r>
    </w:p>
    <w:p w14:paraId="5C3735EB" w14:textId="584E44EF" w:rsidR="00133F5B" w:rsidRPr="0008340B" w:rsidRDefault="00133F5B" w:rsidP="0008340B">
      <w:pPr>
        <w:pStyle w:val="BoxText"/>
        <w:rPr>
          <w:i/>
          <w:iCs/>
        </w:rPr>
      </w:pPr>
      <w:r w:rsidRPr="0008340B">
        <w:rPr>
          <w:i/>
          <w:iCs/>
          <w:sz w:val="22"/>
        </w:rPr>
        <w:t xml:space="preserve">Standards Australia process for </w:t>
      </w:r>
      <w:r w:rsidR="004B5175" w:rsidRPr="0008340B">
        <w:rPr>
          <w:i/>
          <w:iCs/>
          <w:sz w:val="22"/>
        </w:rPr>
        <w:t>developing</w:t>
      </w:r>
      <w:r w:rsidR="00071F60" w:rsidRPr="00962509">
        <w:rPr>
          <w:i/>
          <w:iCs/>
          <w:sz w:val="22"/>
        </w:rPr>
        <w:t xml:space="preserve"> and reviewing</w:t>
      </w:r>
      <w:r w:rsidR="004B5175" w:rsidRPr="0008340B">
        <w:rPr>
          <w:i/>
          <w:iCs/>
          <w:sz w:val="22"/>
        </w:rPr>
        <w:t xml:space="preserve"> </w:t>
      </w:r>
      <w:r w:rsidR="001536C3" w:rsidRPr="00962509">
        <w:rPr>
          <w:i/>
          <w:iCs/>
          <w:sz w:val="22"/>
        </w:rPr>
        <w:t xml:space="preserve">the AS5812 </w:t>
      </w:r>
      <w:r w:rsidR="001536C3" w:rsidRPr="0008340B">
        <w:rPr>
          <w:i/>
          <w:iCs/>
          <w:sz w:val="22"/>
        </w:rPr>
        <w:t>standard</w:t>
      </w:r>
    </w:p>
    <w:p w14:paraId="08635037" w14:textId="327327E9" w:rsidR="00133F5B" w:rsidRPr="00962509" w:rsidRDefault="007F7587" w:rsidP="0008340B">
      <w:pPr>
        <w:pStyle w:val="BoxText"/>
      </w:pPr>
      <w:r w:rsidRPr="00962509">
        <w:rPr>
          <w:sz w:val="22"/>
        </w:rPr>
        <w:t>Standards Australia</w:t>
      </w:r>
      <w:r w:rsidR="0088645B" w:rsidRPr="00962509">
        <w:rPr>
          <w:sz w:val="22"/>
        </w:rPr>
        <w:t xml:space="preserve"> </w:t>
      </w:r>
      <w:r w:rsidR="003A37EE" w:rsidRPr="00962509">
        <w:rPr>
          <w:sz w:val="22"/>
        </w:rPr>
        <w:t xml:space="preserve">has </w:t>
      </w:r>
      <w:r w:rsidR="0088645B" w:rsidRPr="00962509">
        <w:rPr>
          <w:sz w:val="22"/>
        </w:rPr>
        <w:t>work</w:t>
      </w:r>
      <w:r w:rsidR="003A37EE" w:rsidRPr="00962509">
        <w:rPr>
          <w:sz w:val="22"/>
        </w:rPr>
        <w:t>ed</w:t>
      </w:r>
      <w:r w:rsidR="0088645B" w:rsidRPr="00962509">
        <w:rPr>
          <w:sz w:val="22"/>
        </w:rPr>
        <w:t xml:space="preserve"> closely with the PFIAA to develop and </w:t>
      </w:r>
      <w:r w:rsidR="0000456C" w:rsidRPr="00962509">
        <w:rPr>
          <w:sz w:val="22"/>
        </w:rPr>
        <w:t xml:space="preserve">review </w:t>
      </w:r>
      <w:r w:rsidR="0088645B" w:rsidRPr="00962509">
        <w:rPr>
          <w:sz w:val="22"/>
        </w:rPr>
        <w:t xml:space="preserve">the AS5812 standard. </w:t>
      </w:r>
      <w:r w:rsidR="004E0DCF" w:rsidRPr="00962509">
        <w:rPr>
          <w:sz w:val="22"/>
        </w:rPr>
        <w:t xml:space="preserve">As Australia’s standards body, Standards Australia adheres to Standardisation Guides </w:t>
      </w:r>
      <w:r w:rsidR="00A90F52" w:rsidRPr="00962509">
        <w:rPr>
          <w:sz w:val="22"/>
        </w:rPr>
        <w:t xml:space="preserve">that </w:t>
      </w:r>
      <w:r w:rsidR="004E0DCF" w:rsidRPr="00962509">
        <w:rPr>
          <w:sz w:val="22"/>
        </w:rPr>
        <w:t>sets the framework for standards development</w:t>
      </w:r>
      <w:r w:rsidR="00A90F52" w:rsidRPr="00962509">
        <w:rPr>
          <w:sz w:val="22"/>
        </w:rPr>
        <w:t xml:space="preserve">, which </w:t>
      </w:r>
      <w:r w:rsidR="00455F55" w:rsidRPr="00962509">
        <w:rPr>
          <w:sz w:val="22"/>
        </w:rPr>
        <w:t xml:space="preserve">is </w:t>
      </w:r>
      <w:r w:rsidR="00E007CD" w:rsidRPr="00962509">
        <w:rPr>
          <w:sz w:val="22"/>
        </w:rPr>
        <w:t>based on three internationally recognised principles</w:t>
      </w:r>
      <w:r w:rsidR="005A584D" w:rsidRPr="00962509">
        <w:rPr>
          <w:sz w:val="22"/>
        </w:rPr>
        <w:t xml:space="preserve">: </w:t>
      </w:r>
      <w:r w:rsidR="00E007CD" w:rsidRPr="00962509">
        <w:rPr>
          <w:sz w:val="22"/>
        </w:rPr>
        <w:t xml:space="preserve">openness </w:t>
      </w:r>
      <w:r w:rsidR="00830FB4" w:rsidRPr="00962509">
        <w:rPr>
          <w:sz w:val="22"/>
        </w:rPr>
        <w:t xml:space="preserve">and </w:t>
      </w:r>
      <w:r w:rsidR="00E007CD" w:rsidRPr="00962509">
        <w:rPr>
          <w:sz w:val="22"/>
        </w:rPr>
        <w:t>transparen</w:t>
      </w:r>
      <w:r w:rsidR="00830FB4" w:rsidRPr="00962509">
        <w:rPr>
          <w:sz w:val="22"/>
        </w:rPr>
        <w:t xml:space="preserve">cy of process, </w:t>
      </w:r>
      <w:r w:rsidR="005A584D" w:rsidRPr="00962509">
        <w:rPr>
          <w:sz w:val="22"/>
        </w:rPr>
        <w:t xml:space="preserve">consensus and balance of representation. Information on the specific process for standards development </w:t>
      </w:r>
      <w:r w:rsidR="00133F5B" w:rsidRPr="00962509">
        <w:rPr>
          <w:sz w:val="22"/>
        </w:rPr>
        <w:t xml:space="preserve">can be found </w:t>
      </w:r>
      <w:hyperlink r:id="rId18" w:history="1">
        <w:r w:rsidR="00133F5B" w:rsidRPr="00962509">
          <w:rPr>
            <w:rStyle w:val="Hyperlink"/>
            <w:sz w:val="22"/>
          </w:rPr>
          <w:t>here</w:t>
        </w:r>
      </w:hyperlink>
      <w:r w:rsidR="003913A2" w:rsidRPr="00962509">
        <w:rPr>
          <w:sz w:val="22"/>
        </w:rPr>
        <w:t>.</w:t>
      </w:r>
    </w:p>
    <w:p w14:paraId="6221E892" w14:textId="12B2B716" w:rsidR="00EA3F07" w:rsidRPr="00962509" w:rsidRDefault="00EA3F07" w:rsidP="0008340B">
      <w:pPr>
        <w:pStyle w:val="BoxText"/>
      </w:pPr>
      <w:r w:rsidRPr="00962509">
        <w:rPr>
          <w:sz w:val="22"/>
        </w:rPr>
        <w:t xml:space="preserve">For the AS5812 standard, Standards Australia has convened a technical committee to oversee the development of the standard and any revisions. The committee has representation from a broad range of state, territory and federal government bodies (e.g. DAFF, APVMA, </w:t>
      </w:r>
      <w:proofErr w:type="spellStart"/>
      <w:r w:rsidRPr="00962509">
        <w:rPr>
          <w:sz w:val="22"/>
        </w:rPr>
        <w:t>PrimeSafe</w:t>
      </w:r>
      <w:proofErr w:type="spellEnd"/>
      <w:r w:rsidRPr="00962509">
        <w:rPr>
          <w:sz w:val="22"/>
        </w:rPr>
        <w:t xml:space="preserve"> Victoria, NSW Food Authority), as well as industry (e.g. PFIAA, National Retail Association Australia) and consumer groups (e.g. RSPCA, Consumers Federation of Australia, AVA).</w:t>
      </w:r>
    </w:p>
    <w:p w14:paraId="51FA0255" w14:textId="74BBCB5B" w:rsidR="00FD5986" w:rsidRPr="00962509" w:rsidRDefault="00FD5986" w:rsidP="0008340B">
      <w:pPr>
        <w:pStyle w:val="BoxText"/>
      </w:pPr>
      <w:r w:rsidRPr="00962509">
        <w:rPr>
          <w:sz w:val="22"/>
        </w:rPr>
        <w:t xml:space="preserve">The AS5812 standard is reviewed every </w:t>
      </w:r>
      <w:r w:rsidR="00641E88">
        <w:rPr>
          <w:sz w:val="22"/>
        </w:rPr>
        <w:t>five</w:t>
      </w:r>
      <w:r w:rsidRPr="00962509">
        <w:rPr>
          <w:sz w:val="22"/>
        </w:rPr>
        <w:t xml:space="preserve"> years to ensure it continues to be fit-for-purpose and addresses any emerging issues. These reviews have resulted in updates over time to address known </w:t>
      </w:r>
      <w:r w:rsidRPr="00962509">
        <w:rPr>
          <w:sz w:val="22"/>
        </w:rPr>
        <w:lastRenderedPageBreak/>
        <w:t xml:space="preserve">issues in the manufacturing and labelling of pet food in response to pet food safety incidents (for example, minimum thiamine levels in cat food in response to a 2017 pet food safety incident with at least 20 deaths). In this way, the AS5812 standard has enabled the adoption of improvements to manufacturing and labelling processes to address known pet food safety risks across multiple pet food manufacturers. </w:t>
      </w:r>
    </w:p>
    <w:p w14:paraId="7F385C7A" w14:textId="172E2E94" w:rsidR="00FD5986" w:rsidRPr="00962509" w:rsidRDefault="00FD5986" w:rsidP="0008340B">
      <w:pPr>
        <w:pStyle w:val="BoxText"/>
      </w:pPr>
      <w:r w:rsidRPr="00962509">
        <w:rPr>
          <w:sz w:val="22"/>
        </w:rPr>
        <w:t xml:space="preserve">The standard </w:t>
      </w:r>
      <w:r w:rsidR="006C6029">
        <w:rPr>
          <w:sz w:val="22"/>
        </w:rPr>
        <w:t>recently completed a review and a</w:t>
      </w:r>
      <w:r w:rsidRPr="00962509">
        <w:rPr>
          <w:sz w:val="22"/>
        </w:rPr>
        <w:t xml:space="preserve">s part of the review process, a draft of AS5812 </w:t>
      </w:r>
      <w:r w:rsidR="006C6029">
        <w:rPr>
          <w:sz w:val="22"/>
        </w:rPr>
        <w:t>was</w:t>
      </w:r>
      <w:r w:rsidRPr="00962509">
        <w:rPr>
          <w:sz w:val="22"/>
        </w:rPr>
        <w:t xml:space="preserve"> open to the public for comment between 8 May 2023 to 10 July 2023. This </w:t>
      </w:r>
      <w:r w:rsidR="006C6029" w:rsidRPr="00962509">
        <w:rPr>
          <w:sz w:val="22"/>
        </w:rPr>
        <w:t>allow</w:t>
      </w:r>
      <w:r w:rsidR="006C6029">
        <w:rPr>
          <w:sz w:val="22"/>
        </w:rPr>
        <w:t xml:space="preserve">ed </w:t>
      </w:r>
      <w:r w:rsidRPr="00962509">
        <w:rPr>
          <w:sz w:val="22"/>
        </w:rPr>
        <w:t xml:space="preserve">the public to put forward improvements for consideration. </w:t>
      </w:r>
    </w:p>
    <w:p w14:paraId="59615246" w14:textId="61BDA434" w:rsidR="002778DC" w:rsidRDefault="006C6029" w:rsidP="00284A17">
      <w:pPr>
        <w:pStyle w:val="Heading4"/>
      </w:pPr>
      <w:r>
        <w:t xml:space="preserve">Reporting mechanisms </w:t>
      </w:r>
    </w:p>
    <w:p w14:paraId="0348D6AD" w14:textId="1C86B6BF" w:rsidR="007E2514" w:rsidRDefault="002778DC" w:rsidP="002778DC">
      <w:r>
        <w:t>As part of th</w:t>
      </w:r>
      <w:r w:rsidR="003270AA">
        <w:t>e</w:t>
      </w:r>
      <w:r>
        <w:t xml:space="preserve"> self-regulatory model, there is a pet food safety incident reporting system in Australia, </w:t>
      </w:r>
      <w:r w:rsidRPr="00FD607F">
        <w:t>Pet Food Adverse Event System of Tracking (PetFAST)</w:t>
      </w:r>
      <w:r>
        <w:t xml:space="preserve">. PetFAST was set up in 2011 to detect pet food safety incidents and direct responses by the Australian Veterinary Association (AVA). </w:t>
      </w:r>
      <w:r w:rsidR="006C6029">
        <w:t xml:space="preserve">PetFAST </w:t>
      </w:r>
      <w:r>
        <w:t>is a voluntary system accessible to veterinarians to report pet illnesses and deaths suspected of being associated with pet food.</w:t>
      </w:r>
      <w:r w:rsidR="000A78D3" w:rsidRPr="000A78D3">
        <w:t xml:space="preserve"> </w:t>
      </w:r>
      <w:r w:rsidR="000A78D3">
        <w:t>Systematic recording of pet food safety incidents in a database (via PetFAST) was introduced in 2018.</w:t>
      </w:r>
    </w:p>
    <w:p w14:paraId="059E3B46" w14:textId="7DA3EDEA" w:rsidR="002778DC" w:rsidRDefault="003270AA" w:rsidP="002778DC">
      <w:r>
        <w:t>In addition, s</w:t>
      </w:r>
      <w:r w:rsidR="002778DC">
        <w:t>ome members of the public have used social media to create forums (</w:t>
      </w:r>
      <w:proofErr w:type="spellStart"/>
      <w:proofErr w:type="gramStart"/>
      <w:r w:rsidR="002778DC">
        <w:t>e,g</w:t>
      </w:r>
      <w:proofErr w:type="spellEnd"/>
      <w:proofErr w:type="gramEnd"/>
      <w:r w:rsidR="002778DC">
        <w:t>, Facebook) to share concerns or complaints about pet food safety incidents. Consumers can also directly report their pet food safety concerns to their retailer, manufacturer</w:t>
      </w:r>
      <w:r w:rsidR="00F72B7C">
        <w:t>, importer</w:t>
      </w:r>
      <w:r w:rsidR="002778DC">
        <w:t xml:space="preserve"> or the PFIAA. The PFIAA assists consumers in contacting pet food businesses as well as providing funds to support testing of pet food products suspected of causing pet food safety incidents. </w:t>
      </w:r>
      <w:r w:rsidR="007D5CA5">
        <w:t>T</w:t>
      </w:r>
      <w:r w:rsidR="002778DC">
        <w:t xml:space="preserve">hese mechanisms </w:t>
      </w:r>
      <w:r w:rsidR="00102CB4">
        <w:t>enable</w:t>
      </w:r>
      <w:r w:rsidR="002778DC">
        <w:t xml:space="preserve"> </w:t>
      </w:r>
      <w:r w:rsidR="00F72B7C">
        <w:t xml:space="preserve">businesses </w:t>
      </w:r>
      <w:r w:rsidR="002778DC">
        <w:t xml:space="preserve">to </w:t>
      </w:r>
      <w:r w:rsidR="00102CB4">
        <w:t xml:space="preserve">respond to </w:t>
      </w:r>
      <w:r w:rsidR="00CB7AC7">
        <w:t xml:space="preserve">potential </w:t>
      </w:r>
      <w:r w:rsidR="002778DC">
        <w:t xml:space="preserve">pet food </w:t>
      </w:r>
      <w:r w:rsidR="00102CB4">
        <w:t xml:space="preserve">safety </w:t>
      </w:r>
      <w:r w:rsidR="00CB7AC7">
        <w:t xml:space="preserve">issues </w:t>
      </w:r>
      <w:r w:rsidR="000F2567">
        <w:t xml:space="preserve">to </w:t>
      </w:r>
      <w:r w:rsidR="002778DC">
        <w:t xml:space="preserve">avoid reputational </w:t>
      </w:r>
      <w:r w:rsidR="00F80A29">
        <w:t xml:space="preserve">risks </w:t>
      </w:r>
      <w:r w:rsidR="002778DC">
        <w:t>associat</w:t>
      </w:r>
      <w:r w:rsidR="007D5CA5">
        <w:t>ed</w:t>
      </w:r>
      <w:r w:rsidR="002778DC">
        <w:t xml:space="preserve"> with a </w:t>
      </w:r>
      <w:r w:rsidR="000F2567">
        <w:t xml:space="preserve">safety </w:t>
      </w:r>
      <w:r w:rsidR="002778DC">
        <w:t xml:space="preserve">incident </w:t>
      </w:r>
      <w:r w:rsidR="00D143F9">
        <w:t xml:space="preserve">and manage </w:t>
      </w:r>
      <w:r w:rsidR="00F80A29">
        <w:t xml:space="preserve">potential </w:t>
      </w:r>
      <w:r w:rsidR="002778DC">
        <w:t xml:space="preserve">financial </w:t>
      </w:r>
      <w:r w:rsidR="00F80A29">
        <w:t xml:space="preserve">impacts </w:t>
      </w:r>
      <w:r w:rsidR="001C63C5">
        <w:t xml:space="preserve">from </w:t>
      </w:r>
      <w:r w:rsidR="002778DC">
        <w:t xml:space="preserve">products </w:t>
      </w:r>
      <w:r w:rsidR="00681EE3">
        <w:t xml:space="preserve">being </w:t>
      </w:r>
      <w:r w:rsidR="002778DC">
        <w:t>returned.</w:t>
      </w:r>
    </w:p>
    <w:p w14:paraId="484E73F9" w14:textId="187DE3EB" w:rsidR="00F86B9C" w:rsidRPr="002B638F" w:rsidRDefault="002B638F" w:rsidP="0051039B">
      <w:pPr>
        <w:pStyle w:val="Heading3"/>
      </w:pPr>
      <w:bookmarkStart w:id="7" w:name="_Toc139528353"/>
      <w:bookmarkStart w:id="8" w:name="_Toc139528615"/>
      <w:bookmarkStart w:id="9" w:name="_Toc138860677"/>
      <w:bookmarkStart w:id="10" w:name="_Toc228966444"/>
      <w:bookmarkEnd w:id="7"/>
      <w:bookmarkEnd w:id="8"/>
      <w:bookmarkEnd w:id="9"/>
      <w:r>
        <w:t>Key c</w:t>
      </w:r>
      <w:r w:rsidR="00D32BEC" w:rsidRPr="002B638F">
        <w:t>hallenges</w:t>
      </w:r>
      <w:bookmarkEnd w:id="10"/>
    </w:p>
    <w:p w14:paraId="7D885238" w14:textId="2F54C541" w:rsidR="00CB37C5" w:rsidRPr="0008340B" w:rsidRDefault="00CB37C5" w:rsidP="0008340B">
      <w:pPr>
        <w:pStyle w:val="Heading4"/>
      </w:pPr>
      <w:r w:rsidRPr="00284A17">
        <w:t>Pet food safety incidents</w:t>
      </w:r>
    </w:p>
    <w:p w14:paraId="72808A6E" w14:textId="58A3EE6D" w:rsidR="008F6FA9" w:rsidRDefault="00C97F38" w:rsidP="008F6FA9">
      <w:r>
        <w:rPr>
          <w:rStyle w:val="Emphasis"/>
          <w:i w:val="0"/>
          <w:iCs w:val="0"/>
        </w:rPr>
        <w:t>While m</w:t>
      </w:r>
      <w:r w:rsidR="002C508D">
        <w:rPr>
          <w:rStyle w:val="Emphasis"/>
          <w:i w:val="0"/>
          <w:iCs w:val="0"/>
        </w:rPr>
        <w:t>ost pet food sold in Australia</w:t>
      </w:r>
      <w:r>
        <w:rPr>
          <w:rStyle w:val="Emphasis"/>
          <w:i w:val="0"/>
          <w:iCs w:val="0"/>
        </w:rPr>
        <w:t xml:space="preserve"> is safe and </w:t>
      </w:r>
      <w:r w:rsidR="00C56F06">
        <w:rPr>
          <w:rStyle w:val="Emphasis"/>
          <w:i w:val="0"/>
          <w:iCs w:val="0"/>
        </w:rPr>
        <w:t xml:space="preserve">of high quality, </w:t>
      </w:r>
      <w:r w:rsidR="00C56F06">
        <w:t>o</w:t>
      </w:r>
      <w:r w:rsidR="00EF0AC4">
        <w:t>ver the past decade, t</w:t>
      </w:r>
      <w:r w:rsidR="00D9652A">
        <w:t xml:space="preserve">here have been </w:t>
      </w:r>
      <w:proofErr w:type="gramStart"/>
      <w:r w:rsidR="00D9652A">
        <w:t>a number of</w:t>
      </w:r>
      <w:proofErr w:type="gramEnd"/>
      <w:r w:rsidR="00D9652A">
        <w:t xml:space="preserve"> pet food safety </w:t>
      </w:r>
      <w:r w:rsidR="00B501FE">
        <w:t>incidents</w:t>
      </w:r>
      <w:r w:rsidR="00D9652A">
        <w:t xml:space="preserve">. </w:t>
      </w:r>
      <w:r w:rsidR="008F6FA9" w:rsidRPr="00DF2946">
        <w:t xml:space="preserve">The </w:t>
      </w:r>
      <w:r w:rsidR="008F6FA9">
        <w:t xml:space="preserve">PFRWG </w:t>
      </w:r>
      <w:r w:rsidR="008F6FA9" w:rsidRPr="00DF2946">
        <w:t xml:space="preserve">identified </w:t>
      </w:r>
      <w:r w:rsidR="008F6FA9">
        <w:t>17</w:t>
      </w:r>
      <w:r w:rsidR="008F6FA9" w:rsidRPr="00DF2946">
        <w:t xml:space="preserve"> incidents over </w:t>
      </w:r>
      <w:r w:rsidR="00EF0AC4">
        <w:t>this period</w:t>
      </w:r>
      <w:r w:rsidR="008F6FA9" w:rsidRPr="00DF2946">
        <w:t xml:space="preserve">, which were reported to the PFIAA and </w:t>
      </w:r>
      <w:r w:rsidR="008F6FA9">
        <w:t xml:space="preserve">in </w:t>
      </w:r>
      <w:r w:rsidR="008F6FA9" w:rsidRPr="00DF2946">
        <w:t xml:space="preserve">the media. </w:t>
      </w:r>
      <w:r w:rsidR="008F6FA9">
        <w:t>Major incidents include:</w:t>
      </w:r>
    </w:p>
    <w:p w14:paraId="484BA176" w14:textId="77777777" w:rsidR="008F6FA9" w:rsidRPr="00DB4D0F" w:rsidRDefault="008F6FA9" w:rsidP="00DB4D0F">
      <w:pPr>
        <w:pStyle w:val="ListBullet"/>
      </w:pPr>
      <w:r w:rsidRPr="00DB4D0F">
        <w:t>In 2017, there were 300 suspected cases of thiamine deficiency in cats linked to a brand of imported cat food.</w:t>
      </w:r>
    </w:p>
    <w:p w14:paraId="187DFD51" w14:textId="68208716" w:rsidR="008F6FA9" w:rsidRPr="00DB4D0F" w:rsidRDefault="008F6FA9" w:rsidP="00DB4D0F">
      <w:pPr>
        <w:pStyle w:val="ListBullet"/>
      </w:pPr>
      <w:r w:rsidRPr="00DB4D0F">
        <w:t>In 2018, over 100 dogs fed the same brand of Australian manufactured dog food developed megaoesophagus, a serious and untreatable disease. This product complied with AS5812.</w:t>
      </w:r>
    </w:p>
    <w:p w14:paraId="350BA484" w14:textId="77777777" w:rsidR="00914D91" w:rsidRDefault="00CD7833" w:rsidP="00924040">
      <w:r>
        <w:t xml:space="preserve">Since records of incidents were systematically kept by the PFIAA, </w:t>
      </w:r>
      <w:r w:rsidR="00DD400C">
        <w:t>the</w:t>
      </w:r>
      <w:r w:rsidR="00B9403D">
        <w:t xml:space="preserve">re were </w:t>
      </w:r>
      <w:r w:rsidR="00E74651">
        <w:t xml:space="preserve">approximately </w:t>
      </w:r>
      <w:r w:rsidR="00CE1B2E">
        <w:t xml:space="preserve">37 reports of pet food safety incidents made to </w:t>
      </w:r>
      <w:r>
        <w:t>the</w:t>
      </w:r>
      <w:r w:rsidR="00F258AB">
        <w:t xml:space="preserve"> PetFAST system </w:t>
      </w:r>
      <w:r w:rsidR="00160A2C">
        <w:t xml:space="preserve">on average </w:t>
      </w:r>
      <w:r w:rsidR="00E74651">
        <w:t xml:space="preserve">each year. </w:t>
      </w:r>
      <w:r w:rsidR="00A75AD3">
        <w:t xml:space="preserve">From these incidents, there were </w:t>
      </w:r>
      <w:r w:rsidR="00957936">
        <w:t xml:space="preserve">on average 3.7 pet deaths and 33.1 pet illnesses requiring </w:t>
      </w:r>
      <w:r w:rsidR="00957936" w:rsidRPr="00D650FB">
        <w:t>veterinary care every year</w:t>
      </w:r>
      <w:r w:rsidR="00957936">
        <w:t>.</w:t>
      </w:r>
    </w:p>
    <w:p w14:paraId="683ECC71" w14:textId="637554FF" w:rsidR="00135D6C" w:rsidRDefault="00412EB2" w:rsidP="00722AE2">
      <w:r w:rsidRPr="00536C93">
        <w:t xml:space="preserve">Given </w:t>
      </w:r>
      <w:r w:rsidR="000B420F" w:rsidRPr="00536C93">
        <w:t xml:space="preserve">the </w:t>
      </w:r>
      <w:r w:rsidR="007B7BDC" w:rsidRPr="00536C93">
        <w:t>nature of the current PetFAST system</w:t>
      </w:r>
      <w:r w:rsidRPr="00536C93">
        <w:t xml:space="preserve">, </w:t>
      </w:r>
      <w:r w:rsidR="009A2EA4" w:rsidRPr="00536C93">
        <w:t>the</w:t>
      </w:r>
      <w:r w:rsidRPr="00536C93">
        <w:t>re is</w:t>
      </w:r>
      <w:r w:rsidR="009A2EA4" w:rsidRPr="00536C93">
        <w:t xml:space="preserve"> likely </w:t>
      </w:r>
      <w:r w:rsidRPr="00536C93">
        <w:t xml:space="preserve">to be significant </w:t>
      </w:r>
      <w:r w:rsidR="009A2EA4" w:rsidRPr="00536C93">
        <w:t xml:space="preserve">underreporting of incidents </w:t>
      </w:r>
      <w:r w:rsidRPr="00536C93">
        <w:t>i</w:t>
      </w:r>
      <w:r w:rsidR="00C0646E" w:rsidRPr="00536C93">
        <w:t>n</w:t>
      </w:r>
      <w:r w:rsidR="009A2EA4" w:rsidRPr="00536C93">
        <w:t>to that syste</w:t>
      </w:r>
      <w:r w:rsidR="005E5FF7" w:rsidRPr="00536C93">
        <w:t>m</w:t>
      </w:r>
      <w:r w:rsidRPr="00536C93">
        <w:t xml:space="preserve"> (see Section </w:t>
      </w:r>
      <w:r w:rsidRPr="001A6B22">
        <w:t>2.2.</w:t>
      </w:r>
      <w:r w:rsidR="00536C93" w:rsidRPr="001A6B22">
        <w:t>2</w:t>
      </w:r>
      <w:r w:rsidRPr="00536C93">
        <w:t xml:space="preserve"> below</w:t>
      </w:r>
      <w:r>
        <w:t xml:space="preserve">). Assuming </w:t>
      </w:r>
      <w:r w:rsidR="00D80454">
        <w:t xml:space="preserve">the actual number of </w:t>
      </w:r>
      <w:r w:rsidR="007744AF">
        <w:t xml:space="preserve">pet food deaths and illness </w:t>
      </w:r>
      <w:r w:rsidR="00D80454">
        <w:t>recorded on PetFAST is underreported by 90%</w:t>
      </w:r>
      <w:r w:rsidR="007744AF">
        <w:t xml:space="preserve">, </w:t>
      </w:r>
      <w:r w:rsidR="00D47122">
        <w:t>it is</w:t>
      </w:r>
      <w:r w:rsidR="00D47122" w:rsidRPr="00D650FB">
        <w:t xml:space="preserve"> estimate</w:t>
      </w:r>
      <w:r w:rsidR="00D47122">
        <w:t xml:space="preserve">d that </w:t>
      </w:r>
      <w:r w:rsidR="00D47122" w:rsidRPr="00D650FB">
        <w:t xml:space="preserve">there </w:t>
      </w:r>
      <w:r w:rsidR="00295F20">
        <w:t xml:space="preserve">were </w:t>
      </w:r>
      <w:r w:rsidR="00D47122" w:rsidRPr="00D650FB">
        <w:t xml:space="preserve">37 pet deaths and 331 pet illnesses requiring veterinary care resulting from pet food safety incidents in </w:t>
      </w:r>
      <w:r w:rsidR="00D47122" w:rsidRPr="00D650FB">
        <w:lastRenderedPageBreak/>
        <w:t>Australia every year.</w:t>
      </w:r>
      <w:r w:rsidR="002F61F8">
        <w:t xml:space="preserve"> For completeness, it is noted that there is insufficient information available to </w:t>
      </w:r>
      <w:r w:rsidR="00D47122">
        <w:t>determine any trends in relation to pet food safety incidents in Australia over time.</w:t>
      </w:r>
    </w:p>
    <w:p w14:paraId="1D9E3A1C" w14:textId="1F30A1A4" w:rsidR="00722AE2" w:rsidRDefault="002F2137" w:rsidP="00722AE2">
      <w:r>
        <w:t xml:space="preserve">Pet food safety incidents can </w:t>
      </w:r>
      <w:r w:rsidR="00DB1A0F">
        <w:t xml:space="preserve">and have had </w:t>
      </w:r>
      <w:r>
        <w:t>serious impacts on pet owners</w:t>
      </w:r>
      <w:r w:rsidRPr="00A23AE5">
        <w:t xml:space="preserve"> </w:t>
      </w:r>
      <w:r>
        <w:t>and their households</w:t>
      </w:r>
      <w:r w:rsidR="003E45F2">
        <w:t xml:space="preserve">. These impacts can be exacerbated if the dogs affected are a class of working dogs such as assistance, biosecurity, farm or police dogs. </w:t>
      </w:r>
      <w:r>
        <w:t xml:space="preserve">The Senate Inquiry heard evidence of significant emotional distress by affected pet owners when their pets were sick or died due to a suspected pet food </w:t>
      </w:r>
      <w:r w:rsidR="00C53DDB">
        <w:t xml:space="preserve">safety </w:t>
      </w:r>
      <w:r>
        <w:t>incident. Other impacts on pet owner</w:t>
      </w:r>
      <w:r w:rsidR="00C53DDB">
        <w:t>s’</w:t>
      </w:r>
      <w:r>
        <w:t xml:space="preserve"> day-to-day lives include additional time and financial costs spent preparing food, monitoring their pet’s movements and visiting veterinarians. </w:t>
      </w:r>
      <w:r w:rsidR="00727984">
        <w:t>For example, o</w:t>
      </w:r>
      <w:r>
        <w:t>ne submitter to the Senate inquiry was taking his dog “daily to the vets to keep him hydrated, as he couldn’t keep down food or water”</w:t>
      </w:r>
      <w:r>
        <w:rPr>
          <w:rStyle w:val="FootnoteReference"/>
        </w:rPr>
        <w:footnoteReference w:id="2"/>
      </w:r>
      <w:r>
        <w:t xml:space="preserve"> after being diagnosed with megaoesophagus.</w:t>
      </w:r>
    </w:p>
    <w:p w14:paraId="09DBC70A" w14:textId="225AA253" w:rsidR="00722AE2" w:rsidRPr="00722AE2" w:rsidRDefault="00A749BD" w:rsidP="0008340B">
      <w:pPr>
        <w:pStyle w:val="Heading4"/>
      </w:pPr>
      <w:r>
        <w:t xml:space="preserve">Difficulties in </w:t>
      </w:r>
      <w:r w:rsidR="00903C5C">
        <w:t>determining the number and frequency of pet food safety incidents</w:t>
      </w:r>
      <w:r w:rsidR="00367E73">
        <w:t xml:space="preserve"> </w:t>
      </w:r>
      <w:r w:rsidR="00903C5C">
        <w:t>in Australia</w:t>
      </w:r>
    </w:p>
    <w:p w14:paraId="34AB8858" w14:textId="622B6CED" w:rsidR="00B10591" w:rsidRDefault="002473A2" w:rsidP="00C63FF9">
      <w:bookmarkStart w:id="11" w:name="_Ref445985062"/>
      <w:bookmarkStart w:id="12" w:name="_Toc409769199"/>
      <w:r>
        <w:t xml:space="preserve">As noted in </w:t>
      </w:r>
      <w:r w:rsidRPr="00536C93">
        <w:t xml:space="preserve">Section </w:t>
      </w:r>
      <w:r w:rsidRPr="001A6B22">
        <w:t>2.1.2</w:t>
      </w:r>
      <w:r w:rsidRPr="00536C93">
        <w:t xml:space="preserve">, </w:t>
      </w:r>
      <w:r w:rsidR="00563275" w:rsidRPr="00536C93">
        <w:t xml:space="preserve">the </w:t>
      </w:r>
      <w:r w:rsidR="008B556E" w:rsidRPr="00536C93">
        <w:t xml:space="preserve">current </w:t>
      </w:r>
      <w:r w:rsidR="00563275" w:rsidRPr="00536C93">
        <w:t>pet food safety incident reporting system</w:t>
      </w:r>
      <w:r w:rsidR="008B556E" w:rsidRPr="00536C93">
        <w:t xml:space="preserve"> in Australia</w:t>
      </w:r>
      <w:r w:rsidR="00563275" w:rsidRPr="00536C93">
        <w:t xml:space="preserve">, PetFAST, </w:t>
      </w:r>
      <w:r w:rsidR="008B556E" w:rsidRPr="00536C93">
        <w:t>enables veterinarians</w:t>
      </w:r>
      <w:r w:rsidR="008B556E">
        <w:t xml:space="preserve"> to report incidents</w:t>
      </w:r>
      <w:r w:rsidR="00B218E2">
        <w:t>, using their expertise to assess whether reports need to be made</w:t>
      </w:r>
      <w:r w:rsidR="008B556E">
        <w:t>.</w:t>
      </w:r>
      <w:r w:rsidR="00563275">
        <w:t xml:space="preserve"> </w:t>
      </w:r>
      <w:r w:rsidR="00670D96">
        <w:t xml:space="preserve">While pet food safety incidents reported to PetFAST </w:t>
      </w:r>
      <w:r w:rsidR="00507AD0">
        <w:t xml:space="preserve">are </w:t>
      </w:r>
      <w:r w:rsidR="00670D96">
        <w:t xml:space="preserve">systematically recorded, </w:t>
      </w:r>
      <w:r w:rsidR="00606E6E">
        <w:t>it is likely that PetFAST does not capture all pet food safety incidents that occur.</w:t>
      </w:r>
      <w:r w:rsidR="001A54B2">
        <w:t xml:space="preserve"> This is because:</w:t>
      </w:r>
    </w:p>
    <w:p w14:paraId="63F16075" w14:textId="0777318D" w:rsidR="007970E7" w:rsidRDefault="001A54B2" w:rsidP="00743848">
      <w:pPr>
        <w:pStyle w:val="ListBullet"/>
        <w:numPr>
          <w:ilvl w:val="0"/>
          <w:numId w:val="32"/>
        </w:numPr>
      </w:pPr>
      <w:r>
        <w:t>T</w:t>
      </w:r>
      <w:r w:rsidR="00ED0AF4">
        <w:t>here is limited awareness of the system among veterinarians</w:t>
      </w:r>
      <w:r w:rsidR="00393A5B">
        <w:t xml:space="preserve"> and pet owners</w:t>
      </w:r>
      <w:r w:rsidR="009E3F08">
        <w:t>, although the AVA and PFIAA have undertaken activities to promote and raise awareness of the system</w:t>
      </w:r>
      <w:r w:rsidR="00094743">
        <w:t>.</w:t>
      </w:r>
    </w:p>
    <w:p w14:paraId="424B180B" w14:textId="27B5D2E4" w:rsidR="00971A20" w:rsidRDefault="005B00FC" w:rsidP="00743848">
      <w:pPr>
        <w:pStyle w:val="ListBullet"/>
        <w:numPr>
          <w:ilvl w:val="0"/>
          <w:numId w:val="32"/>
        </w:numPr>
      </w:pPr>
      <w:r>
        <w:t xml:space="preserve">While </w:t>
      </w:r>
      <w:r w:rsidR="00A77B8B">
        <w:t xml:space="preserve">pet owners </w:t>
      </w:r>
      <w:r>
        <w:t xml:space="preserve">may </w:t>
      </w:r>
      <w:r w:rsidR="00EA04A9">
        <w:t xml:space="preserve">ask their veterinarian to </w:t>
      </w:r>
      <w:r w:rsidR="00A77B8B">
        <w:t xml:space="preserve">report </w:t>
      </w:r>
      <w:r w:rsidR="000967FB">
        <w:t xml:space="preserve">an incident </w:t>
      </w:r>
      <w:r w:rsidR="00F73332">
        <w:t>to PetFAST</w:t>
      </w:r>
      <w:r w:rsidR="00EA04A9">
        <w:t>, there are barriers to doing so</w:t>
      </w:r>
      <w:r w:rsidR="007E4D14">
        <w:t xml:space="preserve">. The system relies on pet owners raising </w:t>
      </w:r>
      <w:r w:rsidR="00BD375E">
        <w:t xml:space="preserve">pet food safety </w:t>
      </w:r>
      <w:r w:rsidR="007E4D14">
        <w:t>concerns with veterinarians</w:t>
      </w:r>
      <w:r w:rsidR="003E45F2">
        <w:t xml:space="preserve"> or veterinarians suspecting food as a cause in differential diagnosis </w:t>
      </w:r>
      <w:r w:rsidR="007E4D14">
        <w:t xml:space="preserve">and veterinarians choosing to report </w:t>
      </w:r>
      <w:r w:rsidR="00BD375E">
        <w:t xml:space="preserve">incidents on </w:t>
      </w:r>
      <w:r w:rsidR="007E4D14">
        <w:t>PetFAST.</w:t>
      </w:r>
    </w:p>
    <w:p w14:paraId="5B4809C0" w14:textId="3F69F3F1" w:rsidR="00484F01" w:rsidRDefault="003760BE" w:rsidP="0008340B">
      <w:pPr>
        <w:pStyle w:val="ListBullet2"/>
        <w:ind w:left="1418"/>
      </w:pPr>
      <w:r>
        <w:t xml:space="preserve">Pet owners cannot access PetFAST themselves. </w:t>
      </w:r>
      <w:r w:rsidR="000967FB">
        <w:t xml:space="preserve">If </w:t>
      </w:r>
      <w:r w:rsidR="00031492">
        <w:t xml:space="preserve">a pet owner </w:t>
      </w:r>
      <w:r w:rsidR="000967FB">
        <w:t xml:space="preserve">wants </w:t>
      </w:r>
      <w:r w:rsidR="00031492">
        <w:t xml:space="preserve">to </w:t>
      </w:r>
      <w:r w:rsidR="00A77B8B">
        <w:t xml:space="preserve">report a </w:t>
      </w:r>
      <w:r w:rsidR="000967FB">
        <w:t>pet food safety incident</w:t>
      </w:r>
      <w:r w:rsidR="00B465A1">
        <w:t xml:space="preserve"> to PetFAST</w:t>
      </w:r>
      <w:r w:rsidR="000967FB">
        <w:t xml:space="preserve">, they </w:t>
      </w:r>
      <w:r w:rsidR="00711F0E">
        <w:t xml:space="preserve">would need to </w:t>
      </w:r>
      <w:r w:rsidR="00BE6257">
        <w:t xml:space="preserve">visit </w:t>
      </w:r>
      <w:r w:rsidR="00711F0E">
        <w:t xml:space="preserve">a veterinarian </w:t>
      </w:r>
      <w:r w:rsidR="00C65936">
        <w:t xml:space="preserve">at their own cost </w:t>
      </w:r>
      <w:r w:rsidR="00711F0E">
        <w:t xml:space="preserve">and ask them to </w:t>
      </w:r>
      <w:r w:rsidR="00730873">
        <w:t>make a report on PetFAST.</w:t>
      </w:r>
      <w:r w:rsidR="00B465A1">
        <w:t xml:space="preserve"> </w:t>
      </w:r>
      <w:r w:rsidR="00BE6257">
        <w:t>These cost and time requirements are particularly relevant for mild pet food safety incidents</w:t>
      </w:r>
      <w:r w:rsidR="00A7355E">
        <w:t xml:space="preserve"> that may not require veterinary intervention</w:t>
      </w:r>
      <w:r w:rsidR="00BE6257">
        <w:t>.</w:t>
      </w:r>
    </w:p>
    <w:p w14:paraId="1F3A5797" w14:textId="20EC1228" w:rsidR="00242F6E" w:rsidRDefault="00242F6E" w:rsidP="0008340B">
      <w:pPr>
        <w:pStyle w:val="ListBullet2"/>
        <w:ind w:left="1418"/>
      </w:pPr>
      <w:r>
        <w:t>There are barriers for veterinarians to make a report on PetFAST including limited awareness of the system and the process for logging a report on PetFAST. For example, some submissions to the 2018 Senate inquiry</w:t>
      </w:r>
      <w:r>
        <w:rPr>
          <w:rStyle w:val="FootnoteReference"/>
        </w:rPr>
        <w:footnoteReference w:id="3"/>
      </w:r>
      <w:r>
        <w:t xml:space="preserve"> described the process of logging a report on PetFAST as ‘extremely onerous’ and that the potential costs and </w:t>
      </w:r>
      <w:r>
        <w:lastRenderedPageBreak/>
        <w:t>time associated with obtaining data required for the report was a barrier for some vets to lodge a report.</w:t>
      </w:r>
    </w:p>
    <w:p w14:paraId="590C8027" w14:textId="7D427DC3" w:rsidR="00702A98" w:rsidRDefault="009F1D49" w:rsidP="00743848">
      <w:pPr>
        <w:pStyle w:val="ListBullet"/>
        <w:numPr>
          <w:ilvl w:val="0"/>
          <w:numId w:val="31"/>
        </w:numPr>
      </w:pPr>
      <w:r>
        <w:t>W</w:t>
      </w:r>
      <w:r w:rsidR="00484F01">
        <w:t xml:space="preserve">hile consumers can engage directly with pet food businesses or social media forums to </w:t>
      </w:r>
      <w:r w:rsidR="00C45030">
        <w:t xml:space="preserve">report incidents and </w:t>
      </w:r>
      <w:r w:rsidR="00484F01">
        <w:t>raise concerns,</w:t>
      </w:r>
      <w:r w:rsidR="00702A98" w:rsidRPr="00702A98">
        <w:t xml:space="preserve"> </w:t>
      </w:r>
      <w:r w:rsidR="00702A98">
        <w:t xml:space="preserve">there is no mechanism to </w:t>
      </w:r>
      <w:r w:rsidR="003F3CA7">
        <w:t xml:space="preserve">systematically </w:t>
      </w:r>
      <w:r w:rsidR="00702A98">
        <w:t xml:space="preserve">collate </w:t>
      </w:r>
      <w:r w:rsidR="00C45030">
        <w:t xml:space="preserve">these </w:t>
      </w:r>
      <w:r w:rsidR="00702A98">
        <w:t>reports and interrogate their v</w:t>
      </w:r>
      <w:r w:rsidR="00066CFF">
        <w:t>e</w:t>
      </w:r>
      <w:r w:rsidR="00702A98">
        <w:t>racity.</w:t>
      </w:r>
    </w:p>
    <w:p w14:paraId="31D7CD8F" w14:textId="729586A9" w:rsidR="007C5C8C" w:rsidRDefault="00A7355E" w:rsidP="00743848">
      <w:pPr>
        <w:pStyle w:val="ListBullet"/>
        <w:numPr>
          <w:ilvl w:val="0"/>
          <w:numId w:val="31"/>
        </w:numPr>
      </w:pPr>
      <w:r>
        <w:t>T</w:t>
      </w:r>
      <w:r w:rsidR="00B8553D">
        <w:t>he</w:t>
      </w:r>
      <w:r>
        <w:t>re is</w:t>
      </w:r>
      <w:r w:rsidR="00B8553D">
        <w:t xml:space="preserve"> </w:t>
      </w:r>
      <w:r w:rsidR="0009511B">
        <w:t>d</w:t>
      </w:r>
      <w:r w:rsidR="0068635D">
        <w:t xml:space="preserve">ifficulty </w:t>
      </w:r>
      <w:r w:rsidR="00B8553D">
        <w:t xml:space="preserve">in </w:t>
      </w:r>
      <w:r w:rsidR="00BF126E">
        <w:t xml:space="preserve">identifying pet food safety incidents and </w:t>
      </w:r>
      <w:r w:rsidR="0068635D">
        <w:t>determining causal link</w:t>
      </w:r>
      <w:r w:rsidR="00E0628C">
        <w:t>s</w:t>
      </w:r>
      <w:r w:rsidR="00B8553D">
        <w:t xml:space="preserve"> or association</w:t>
      </w:r>
      <w:r w:rsidR="00E0628C">
        <w:t>s between pet food and pet deaths/illnesses.</w:t>
      </w:r>
    </w:p>
    <w:p w14:paraId="653B461E" w14:textId="0C31B839" w:rsidR="00A34611" w:rsidRDefault="003760BE" w:rsidP="00743848">
      <w:pPr>
        <w:pStyle w:val="ListBullet"/>
        <w:numPr>
          <w:ilvl w:val="0"/>
          <w:numId w:val="31"/>
        </w:numPr>
      </w:pPr>
      <w:r>
        <w:t>G</w:t>
      </w:r>
      <w:r w:rsidR="00A34611">
        <w:t xml:space="preserve">overnment </w:t>
      </w:r>
      <w:r>
        <w:t>does not currently have</w:t>
      </w:r>
      <w:r w:rsidR="00A34611">
        <w:t xml:space="preserve"> access or contribute to the PetFAST system.</w:t>
      </w:r>
    </w:p>
    <w:p w14:paraId="57CE5B0F" w14:textId="1AE6F95C" w:rsidR="0031259F" w:rsidRDefault="0031259F" w:rsidP="00D56A2C">
      <w:pPr>
        <w:pStyle w:val="ListBullet"/>
        <w:numPr>
          <w:ilvl w:val="0"/>
          <w:numId w:val="0"/>
        </w:numPr>
      </w:pPr>
      <w:r>
        <w:t xml:space="preserve">As a result, </w:t>
      </w:r>
      <w:r w:rsidR="00742BA6">
        <w:t xml:space="preserve">it is difficult to estimate the actual number and </w:t>
      </w:r>
      <w:r w:rsidR="00916FEF">
        <w:t xml:space="preserve">frequency </w:t>
      </w:r>
      <w:r w:rsidR="00742BA6">
        <w:t xml:space="preserve">of pet food safety incidents in Australia and analyse trends in incidents using the current incident reporting systems. This presents challenges to assessing </w:t>
      </w:r>
      <w:r w:rsidR="000D195C">
        <w:t xml:space="preserve">what, if any, </w:t>
      </w:r>
      <w:r w:rsidR="00654076">
        <w:t xml:space="preserve">government action </w:t>
      </w:r>
      <w:r w:rsidR="000D195C">
        <w:t>should be taken</w:t>
      </w:r>
      <w:r w:rsidR="00654076">
        <w:t xml:space="preserve"> in relation to pet food safety in Australia</w:t>
      </w:r>
      <w:r w:rsidR="000D195C">
        <w:t>.</w:t>
      </w:r>
    </w:p>
    <w:p w14:paraId="2AA613FA" w14:textId="4E7589F3" w:rsidR="00A8035C" w:rsidRDefault="00D33469" w:rsidP="0008340B">
      <w:pPr>
        <w:pStyle w:val="ListBullet"/>
        <w:numPr>
          <w:ilvl w:val="0"/>
          <w:numId w:val="0"/>
        </w:numPr>
      </w:pPr>
      <w:r>
        <w:t>In</w:t>
      </w:r>
      <w:r w:rsidR="00043F36">
        <w:t xml:space="preserve"> addition to the challenges noted above, </w:t>
      </w:r>
      <w:r w:rsidR="00A8035C">
        <w:t xml:space="preserve">the PFIAA and the AVA have indicated that the current </w:t>
      </w:r>
      <w:r w:rsidR="00DA7B1B">
        <w:t xml:space="preserve">PetFAST </w:t>
      </w:r>
      <w:r w:rsidR="00A8035C">
        <w:t>system</w:t>
      </w:r>
      <w:r w:rsidR="002227C1">
        <w:t xml:space="preserve"> is not sustainable because it is currently operated by veterinarians on a voluntary basis since 2011, and as such, is at risk of terminating or reducing its operating capacity. While the cost of some investigations is subsidised by PFIAA, the time of the veterinarians managing the scheme is not covered. </w:t>
      </w:r>
      <w:r w:rsidR="00A8035C">
        <w:t xml:space="preserve"> </w:t>
      </w:r>
    </w:p>
    <w:p w14:paraId="4DEB17BC" w14:textId="3795F310" w:rsidR="00F86B9C" w:rsidRDefault="009551ED" w:rsidP="0008340B">
      <w:pPr>
        <w:pStyle w:val="Heading4"/>
      </w:pPr>
      <w:bookmarkStart w:id="13" w:name="_Toc128384161"/>
      <w:bookmarkStart w:id="14" w:name="_Toc128384162"/>
      <w:bookmarkStart w:id="15" w:name="_Toc128384163"/>
      <w:bookmarkStart w:id="16" w:name="_Toc128384164"/>
      <w:bookmarkStart w:id="17" w:name="_Toc128384165"/>
      <w:bookmarkStart w:id="18" w:name="_Toc128384166"/>
      <w:bookmarkStart w:id="19" w:name="_Toc128384167"/>
      <w:bookmarkStart w:id="20" w:name="_Toc128384168"/>
      <w:bookmarkStart w:id="21" w:name="_Toc128384169"/>
      <w:bookmarkStart w:id="22" w:name="_Toc128384170"/>
      <w:bookmarkStart w:id="23" w:name="_Toc128384171"/>
      <w:bookmarkEnd w:id="11"/>
      <w:bookmarkEnd w:id="12"/>
      <w:bookmarkEnd w:id="13"/>
      <w:bookmarkEnd w:id="14"/>
      <w:bookmarkEnd w:id="15"/>
      <w:bookmarkEnd w:id="16"/>
      <w:bookmarkEnd w:id="17"/>
      <w:bookmarkEnd w:id="18"/>
      <w:bookmarkEnd w:id="19"/>
      <w:bookmarkEnd w:id="20"/>
      <w:bookmarkEnd w:id="21"/>
      <w:bookmarkEnd w:id="22"/>
      <w:bookmarkEnd w:id="23"/>
      <w:r>
        <w:t xml:space="preserve">Incentives for </w:t>
      </w:r>
      <w:r w:rsidR="001D12F2">
        <w:t>responding to</w:t>
      </w:r>
      <w:r w:rsidR="006732A2">
        <w:t xml:space="preserve"> </w:t>
      </w:r>
      <w:r>
        <w:t>pet food safety incidents</w:t>
      </w:r>
      <w:r w:rsidR="00597D14">
        <w:t xml:space="preserve"> rely </w:t>
      </w:r>
      <w:r w:rsidR="00FE724B">
        <w:t>on avoidance</w:t>
      </w:r>
      <w:r w:rsidR="00DB62F5">
        <w:t xml:space="preserve"> </w:t>
      </w:r>
      <w:r w:rsidR="008247A2">
        <w:t>of reputational damage</w:t>
      </w:r>
    </w:p>
    <w:p w14:paraId="5EF83644" w14:textId="7072DB1B" w:rsidR="00B77AA0" w:rsidRDefault="00F86B9C" w:rsidP="00F86B9C">
      <w:r>
        <w:t xml:space="preserve">Under the current self-regulatory system, </w:t>
      </w:r>
      <w:r w:rsidR="00FC6F4D">
        <w:t>the in</w:t>
      </w:r>
      <w:r w:rsidR="00CB6D65">
        <w:t>c</w:t>
      </w:r>
      <w:r w:rsidR="00FC6F4D">
        <w:t>entive</w:t>
      </w:r>
      <w:r w:rsidR="00745FFD">
        <w:t>s</w:t>
      </w:r>
      <w:r w:rsidR="00CB6D65">
        <w:t xml:space="preserve"> for pet food manufacturing and importing businesses</w:t>
      </w:r>
      <w:r w:rsidR="00B7728A">
        <w:t xml:space="preserve"> to </w:t>
      </w:r>
      <w:r w:rsidR="00EE37A8">
        <w:t xml:space="preserve">take a </w:t>
      </w:r>
      <w:r w:rsidR="00546131">
        <w:t xml:space="preserve">best practice </w:t>
      </w:r>
      <w:r w:rsidR="00EE37A8">
        <w:t xml:space="preserve">approach to </w:t>
      </w:r>
      <w:r w:rsidR="00A028CC">
        <w:t xml:space="preserve">respond to pet food safety incidents </w:t>
      </w:r>
      <w:r w:rsidR="00A85456">
        <w:t>rel</w:t>
      </w:r>
      <w:r w:rsidR="00DF56FC">
        <w:t>ies</w:t>
      </w:r>
      <w:r w:rsidR="00A85456">
        <w:t xml:space="preserve"> on </w:t>
      </w:r>
      <w:r w:rsidR="00195FFF">
        <w:t xml:space="preserve">the value </w:t>
      </w:r>
      <w:r w:rsidR="00A85456">
        <w:t>businesses</w:t>
      </w:r>
      <w:r w:rsidR="00017C2E">
        <w:t xml:space="preserve"> </w:t>
      </w:r>
      <w:r w:rsidR="00195FFF">
        <w:t xml:space="preserve">place on their </w:t>
      </w:r>
      <w:r w:rsidR="009D7A93">
        <w:t>reputation</w:t>
      </w:r>
      <w:r w:rsidR="00A028CC">
        <w:t>.</w:t>
      </w:r>
      <w:r w:rsidR="00B64B16">
        <w:t xml:space="preserve"> </w:t>
      </w:r>
      <w:r w:rsidR="00685465">
        <w:t>Outside of these incentives</w:t>
      </w:r>
      <w:r w:rsidR="00DE18AB">
        <w:t xml:space="preserve"> and the consumer guarantee requirements imposed by the CCA</w:t>
      </w:r>
      <w:r w:rsidR="00685465">
        <w:t xml:space="preserve">, </w:t>
      </w:r>
      <w:r w:rsidR="002D3A47">
        <w:t xml:space="preserve">pet food manufacturers and importers do not have any </w:t>
      </w:r>
      <w:r>
        <w:t xml:space="preserve">mandatory requirements to </w:t>
      </w:r>
      <w:r w:rsidR="002D3A47">
        <w:t xml:space="preserve">respond to a </w:t>
      </w:r>
      <w:r w:rsidR="00D63277">
        <w:t xml:space="preserve">report of </w:t>
      </w:r>
      <w:r>
        <w:t>pet food safety incident</w:t>
      </w:r>
      <w:r w:rsidR="00D63277">
        <w:t xml:space="preserve"> or a concern relating to pet food safety</w:t>
      </w:r>
      <w:r>
        <w:t xml:space="preserve">. </w:t>
      </w:r>
      <w:r w:rsidR="00B77AA0">
        <w:t>In this regard, it is noted that:</w:t>
      </w:r>
    </w:p>
    <w:p w14:paraId="625C719D" w14:textId="7B3B45EB" w:rsidR="001117E9" w:rsidRDefault="00DE18AB" w:rsidP="00743848">
      <w:pPr>
        <w:pStyle w:val="ListBullet"/>
        <w:numPr>
          <w:ilvl w:val="0"/>
          <w:numId w:val="30"/>
        </w:numPr>
      </w:pPr>
      <w:r>
        <w:t>As noted above, the CCA requires consumer products, including pet food products, to meet certain consumer guarantees, including that they are to an acceptable quality and are fit for purpose</w:t>
      </w:r>
      <w:r w:rsidR="001117E9">
        <w:t xml:space="preserve"> for the consumer. The CCA usually entitles consumers to a replacement or refund for a product that breaches a consumer guarantee but does not require the manufacturer to recall products. </w:t>
      </w:r>
    </w:p>
    <w:p w14:paraId="090166EC" w14:textId="5CB89369" w:rsidR="007D3AC3" w:rsidRDefault="007D3AC3" w:rsidP="007D3AC3">
      <w:pPr>
        <w:pStyle w:val="ListBullet"/>
        <w:numPr>
          <w:ilvl w:val="0"/>
          <w:numId w:val="30"/>
        </w:numPr>
      </w:pPr>
      <w:r>
        <w:t xml:space="preserve">The CCA also has a product safety framework to ensure consumer products, including pet food, are safe for humans and to mandate product recalls where breaches occur. However, this framework does not apply to </w:t>
      </w:r>
      <w:r w:rsidRPr="00004D82">
        <w:rPr>
          <w:i/>
          <w:iCs/>
        </w:rPr>
        <w:t>pet</w:t>
      </w:r>
      <w:r>
        <w:t xml:space="preserve"> safety from consumer products and therefore does not apply to pet food safety incidents.</w:t>
      </w:r>
    </w:p>
    <w:p w14:paraId="3D2FE919" w14:textId="3AE91332" w:rsidR="00CE66E6" w:rsidRDefault="00CE66E6" w:rsidP="00743848">
      <w:pPr>
        <w:pStyle w:val="ListBullet"/>
        <w:numPr>
          <w:ilvl w:val="0"/>
          <w:numId w:val="30"/>
        </w:numPr>
      </w:pPr>
      <w:r>
        <w:t>I</w:t>
      </w:r>
      <w:r w:rsidRPr="006F27C3">
        <w:t xml:space="preserve">n many cases where a pet food safety incident is reported, there is significant uncertainty regarding the relationship between a pet food product and a pet death or illness, particularly in the immediate days and weeks following the report. </w:t>
      </w:r>
      <w:r w:rsidR="00C32237">
        <w:t xml:space="preserve">This uncertainty may arise from </w:t>
      </w:r>
      <w:r w:rsidR="00F128C9">
        <w:t xml:space="preserve">difficulties in ascertaining the movements and activities of pets prior to </w:t>
      </w:r>
      <w:r w:rsidR="00A42E16">
        <w:t xml:space="preserve">their illness or death. </w:t>
      </w:r>
      <w:r w:rsidRPr="006F27C3">
        <w:t>There may be significant costs to pet food businesses with undertaking a voluntary recall of a product pre-</w:t>
      </w:r>
      <w:r w:rsidRPr="006F27C3">
        <w:lastRenderedPageBreak/>
        <w:t>emptively</w:t>
      </w:r>
      <w:r>
        <w:t xml:space="preserve">, </w:t>
      </w:r>
      <w:r w:rsidR="004E24D6">
        <w:t xml:space="preserve">particularly if no causal link or association </w:t>
      </w:r>
      <w:r w:rsidR="00602F25">
        <w:t xml:space="preserve">with the pet food product </w:t>
      </w:r>
      <w:r w:rsidR="004E24D6">
        <w:t>is established</w:t>
      </w:r>
      <w:r w:rsidR="00602F25">
        <w:t xml:space="preserve"> following investigations</w:t>
      </w:r>
      <w:r w:rsidR="004E24D6">
        <w:t>.</w:t>
      </w:r>
    </w:p>
    <w:p w14:paraId="62CC7AEA" w14:textId="6A750805" w:rsidR="007D3AC3" w:rsidDel="001117E9" w:rsidRDefault="007D3AC3" w:rsidP="007D3AC3">
      <w:pPr>
        <w:pStyle w:val="ListBullet"/>
        <w:numPr>
          <w:ilvl w:val="0"/>
          <w:numId w:val="30"/>
        </w:numPr>
      </w:pPr>
      <w:r w:rsidDel="001117E9">
        <w:t xml:space="preserve">Most major retailers of pet food in Australia offer refunds to consumers if they are unhappy with a pet food purchase as they value and seek to retain ongoing customers. However, some pet food businesses do not adopt the same approach, </w:t>
      </w:r>
      <w:r>
        <w:t>noting there is often significant uncertainty regarding the relationship between a pet food product and a pet death or illness</w:t>
      </w:r>
      <w:r w:rsidDel="001117E9">
        <w:t>.</w:t>
      </w:r>
    </w:p>
    <w:p w14:paraId="4EFA6136" w14:textId="5027064A" w:rsidR="00F86B9C" w:rsidRDefault="00F86B9C" w:rsidP="00743848">
      <w:pPr>
        <w:pStyle w:val="ListBullet"/>
        <w:numPr>
          <w:ilvl w:val="0"/>
          <w:numId w:val="30"/>
        </w:numPr>
      </w:pPr>
      <w:r>
        <w:t>While AS5812 has protocols for conducting a recall and some investigation and reporting requirements, it does not contain requirements to recall products in particular circumstances.</w:t>
      </w:r>
      <w:r w:rsidR="0041260E" w:rsidRPr="0041260E">
        <w:t xml:space="preserve"> </w:t>
      </w:r>
      <w:r w:rsidR="00865DF4">
        <w:t xml:space="preserve">Furthermore, </w:t>
      </w:r>
      <w:r w:rsidR="00705E62">
        <w:t xml:space="preserve">only </w:t>
      </w:r>
      <w:r w:rsidR="00C42496">
        <w:t xml:space="preserve">pet food manufacturers and importers </w:t>
      </w:r>
      <w:r w:rsidR="00705E62">
        <w:t xml:space="preserve">that are PFIAA members </w:t>
      </w:r>
      <w:r w:rsidR="00C42496">
        <w:t xml:space="preserve">comply with </w:t>
      </w:r>
      <w:r w:rsidR="00865DF4">
        <w:t>AS5812</w:t>
      </w:r>
      <w:r w:rsidR="00C42496">
        <w:t>.</w:t>
      </w:r>
    </w:p>
    <w:p w14:paraId="55F4BBE5" w14:textId="276A6F17" w:rsidR="003939C5" w:rsidRDefault="00B77AA0" w:rsidP="00743848">
      <w:pPr>
        <w:pStyle w:val="ListBullet"/>
        <w:numPr>
          <w:ilvl w:val="0"/>
          <w:numId w:val="30"/>
        </w:numPr>
      </w:pPr>
      <w:r>
        <w:t>W</w:t>
      </w:r>
      <w:r w:rsidR="00AA50B5">
        <w:t xml:space="preserve">hile </w:t>
      </w:r>
      <w:r w:rsidR="001378B6">
        <w:t xml:space="preserve">there are avenues </w:t>
      </w:r>
      <w:r w:rsidR="00F31146">
        <w:t xml:space="preserve">for </w:t>
      </w:r>
      <w:r w:rsidR="00AA50B5">
        <w:t xml:space="preserve">pet owners who </w:t>
      </w:r>
      <w:r w:rsidR="00EE5936">
        <w:t>are impacted by</w:t>
      </w:r>
      <w:r w:rsidR="001378B6">
        <w:t xml:space="preserve"> pet food safety incidents </w:t>
      </w:r>
      <w:r w:rsidR="00F31146">
        <w:t xml:space="preserve">to </w:t>
      </w:r>
      <w:r w:rsidR="001378B6">
        <w:t xml:space="preserve">pursue litigation against </w:t>
      </w:r>
      <w:r w:rsidR="00F31146">
        <w:t xml:space="preserve">pet food </w:t>
      </w:r>
      <w:r w:rsidR="001378B6">
        <w:t>businesses</w:t>
      </w:r>
      <w:r w:rsidR="00F31146">
        <w:t>, there are significant challenges with doing so</w:t>
      </w:r>
      <w:r w:rsidR="00EE5936">
        <w:t>. These challenges</w:t>
      </w:r>
      <w:r w:rsidR="00F84891">
        <w:t xml:space="preserve"> includ</w:t>
      </w:r>
      <w:r w:rsidR="00EE5936">
        <w:t>e</w:t>
      </w:r>
      <w:r w:rsidR="00F84891">
        <w:t xml:space="preserve"> </w:t>
      </w:r>
      <w:r w:rsidR="006A3E60">
        <w:t xml:space="preserve">the cost of </w:t>
      </w:r>
      <w:r w:rsidR="00D533BA">
        <w:t xml:space="preserve">litigation </w:t>
      </w:r>
      <w:r w:rsidR="006A3E60">
        <w:t xml:space="preserve">and </w:t>
      </w:r>
      <w:r w:rsidR="00F84891">
        <w:t>difficult</w:t>
      </w:r>
      <w:r w:rsidR="00BE5D83">
        <w:t>ies</w:t>
      </w:r>
      <w:r w:rsidR="00F84891">
        <w:t xml:space="preserve"> in establishing causal links between a pet food product and</w:t>
      </w:r>
      <w:r w:rsidR="00BE5D83">
        <w:t xml:space="preserve"> a </w:t>
      </w:r>
      <w:r w:rsidR="004303F0">
        <w:t xml:space="preserve">pet </w:t>
      </w:r>
      <w:r w:rsidR="00F84891">
        <w:t>illness</w:t>
      </w:r>
      <w:r w:rsidR="004303F0">
        <w:t xml:space="preserve"> or death</w:t>
      </w:r>
      <w:r w:rsidR="00B112B4">
        <w:t xml:space="preserve"> and </w:t>
      </w:r>
      <w:r w:rsidR="0085620D">
        <w:t xml:space="preserve">between a manufacturing process and a </w:t>
      </w:r>
      <w:r w:rsidR="00A8035C">
        <w:t xml:space="preserve">suspected </w:t>
      </w:r>
      <w:r w:rsidR="0085620D">
        <w:t>pet food safety incident</w:t>
      </w:r>
      <w:r w:rsidR="0061244E">
        <w:t>.</w:t>
      </w:r>
    </w:p>
    <w:p w14:paraId="0C7A1584" w14:textId="0C0C0DCE" w:rsidR="00923054" w:rsidRDefault="005D085F" w:rsidP="00743848">
      <w:pPr>
        <w:pStyle w:val="ListBullet"/>
        <w:numPr>
          <w:ilvl w:val="0"/>
          <w:numId w:val="30"/>
        </w:numPr>
      </w:pPr>
      <w:r>
        <w:t xml:space="preserve">The PFIAA </w:t>
      </w:r>
      <w:r w:rsidR="00443A91">
        <w:t xml:space="preserve">provides support, including funding, to pet food businesses </w:t>
      </w:r>
      <w:r w:rsidR="000227A1">
        <w:t xml:space="preserve">to respond to reports of pet food safety incidents, including to conduct </w:t>
      </w:r>
      <w:r w:rsidR="00443A91">
        <w:t>testing of pet food products</w:t>
      </w:r>
      <w:r w:rsidR="000227A1">
        <w:t>.</w:t>
      </w:r>
      <w:r w:rsidR="00FA4F36">
        <w:t xml:space="preserve"> However, </w:t>
      </w:r>
      <w:r w:rsidR="00C9067C">
        <w:t xml:space="preserve">pet food businesses are not obliged to respond to </w:t>
      </w:r>
      <w:r w:rsidR="00914AE4">
        <w:t xml:space="preserve">reports of </w:t>
      </w:r>
      <w:r w:rsidR="00C9067C">
        <w:t xml:space="preserve">pet </w:t>
      </w:r>
      <w:r w:rsidR="00914AE4">
        <w:t>food safety incidents or engage with the PFIAA.</w:t>
      </w:r>
    </w:p>
    <w:p w14:paraId="5279C8A4" w14:textId="42790FD4" w:rsidR="00F86B9C" w:rsidRDefault="00D769B2" w:rsidP="00B52100">
      <w:r>
        <w:t>As a result, w</w:t>
      </w:r>
      <w:r w:rsidR="00D30681">
        <w:t>hile</w:t>
      </w:r>
      <w:r w:rsidR="0018569E">
        <w:t xml:space="preserve"> </w:t>
      </w:r>
      <w:r w:rsidR="00051970">
        <w:t>many</w:t>
      </w:r>
      <w:r w:rsidR="0018569E">
        <w:t xml:space="preserve"> </w:t>
      </w:r>
      <w:r w:rsidR="00242624">
        <w:t xml:space="preserve">pet food businesses </w:t>
      </w:r>
      <w:r w:rsidR="0018569E">
        <w:t xml:space="preserve">who </w:t>
      </w:r>
      <w:r w:rsidR="008F5EDF">
        <w:t xml:space="preserve">have </w:t>
      </w:r>
      <w:r w:rsidR="0018569E">
        <w:t>appl</w:t>
      </w:r>
      <w:r w:rsidR="008F5EDF">
        <w:t>ied</w:t>
      </w:r>
      <w:r w:rsidR="0018569E">
        <w:t xml:space="preserve"> a best practice approach to responding to suspected pet food safety incidents, some </w:t>
      </w:r>
      <w:r w:rsidR="008D5421">
        <w:t xml:space="preserve">businesses </w:t>
      </w:r>
      <w:r w:rsidR="008F5EDF">
        <w:t xml:space="preserve">have not responded to </w:t>
      </w:r>
      <w:r w:rsidR="0018569E">
        <w:t>pet food safety</w:t>
      </w:r>
      <w:r w:rsidR="00E83168">
        <w:t xml:space="preserve"> </w:t>
      </w:r>
      <w:r w:rsidR="000759D4">
        <w:t xml:space="preserve">complaints or issues </w:t>
      </w:r>
      <w:r w:rsidR="0018569E">
        <w:t>(</w:t>
      </w:r>
      <w:r w:rsidR="00034877">
        <w:t xml:space="preserve">e.g. </w:t>
      </w:r>
      <w:r w:rsidR="000759D4">
        <w:t xml:space="preserve">by voluntarily </w:t>
      </w:r>
      <w:r w:rsidR="0018569E">
        <w:t>recall</w:t>
      </w:r>
      <w:r w:rsidR="000759D4">
        <w:t>ing products</w:t>
      </w:r>
      <w:r w:rsidR="0018569E">
        <w:t xml:space="preserve">) in a timely </w:t>
      </w:r>
      <w:r w:rsidR="00242624">
        <w:t xml:space="preserve">or </w:t>
      </w:r>
      <w:r w:rsidR="00C83608">
        <w:t xml:space="preserve">comprehensive </w:t>
      </w:r>
      <w:r w:rsidR="0018569E">
        <w:t>manner.</w:t>
      </w:r>
      <w:r w:rsidR="00043F36">
        <w:t xml:space="preserve"> However, </w:t>
      </w:r>
      <w:r w:rsidR="00AA0EDF">
        <w:t xml:space="preserve">it is difficult to determine, with the information currently available, </w:t>
      </w:r>
      <w:r w:rsidR="00043F36">
        <w:t>whether th</w:t>
      </w:r>
      <w:r w:rsidR="00D07381">
        <w:t>is</w:t>
      </w:r>
      <w:r w:rsidR="00043F36">
        <w:t xml:space="preserve"> has resulted in</w:t>
      </w:r>
      <w:r w:rsidR="00D07381">
        <w:t xml:space="preserve"> </w:t>
      </w:r>
      <w:r w:rsidR="00AA0EDF">
        <w:t xml:space="preserve">additional </w:t>
      </w:r>
      <w:r w:rsidR="00D07381">
        <w:t>pet deaths or illnesses.</w:t>
      </w:r>
    </w:p>
    <w:p w14:paraId="2E590F45" w14:textId="7C40C114" w:rsidR="00877E26" w:rsidRDefault="0026283B" w:rsidP="0008340B">
      <w:pPr>
        <w:pStyle w:val="Heading4"/>
      </w:pPr>
      <w:bookmarkStart w:id="24" w:name="_Toc119913975"/>
      <w:bookmarkStart w:id="25" w:name="_Toc128384173"/>
      <w:bookmarkStart w:id="26" w:name="_Toc128384174"/>
      <w:bookmarkStart w:id="27" w:name="_Toc128384175"/>
      <w:bookmarkStart w:id="28" w:name="_Toc128384176"/>
      <w:bookmarkStart w:id="29" w:name="_Toc128384177"/>
      <w:bookmarkStart w:id="30" w:name="_Toc128384178"/>
      <w:bookmarkEnd w:id="24"/>
      <w:bookmarkEnd w:id="25"/>
      <w:bookmarkEnd w:id="26"/>
      <w:bookmarkEnd w:id="27"/>
      <w:bookmarkEnd w:id="28"/>
      <w:bookmarkEnd w:id="29"/>
      <w:bookmarkEnd w:id="30"/>
      <w:r>
        <w:t>Lack of m</w:t>
      </w:r>
      <w:r w:rsidR="00963B84">
        <w:t>arket</w:t>
      </w:r>
      <w:r w:rsidR="00866FAF">
        <w:t xml:space="preserve"> i</w:t>
      </w:r>
      <w:r w:rsidR="008C44CA">
        <w:t>nformation</w:t>
      </w:r>
    </w:p>
    <w:p w14:paraId="77A2ED20" w14:textId="2DC66634" w:rsidR="00016674" w:rsidRDefault="00F30CD5" w:rsidP="00016674">
      <w:proofErr w:type="gramStart"/>
      <w:r>
        <w:t>A number of</w:t>
      </w:r>
      <w:proofErr w:type="gramEnd"/>
      <w:r>
        <w:t xml:space="preserve"> </w:t>
      </w:r>
      <w:r w:rsidR="00FD47CE">
        <w:t xml:space="preserve">consumers who submitted to the 2018 Senate Inquiry </w:t>
      </w:r>
      <w:r w:rsidR="009670ED">
        <w:t>were</w:t>
      </w:r>
      <w:r w:rsidR="00FD47CE">
        <w:t xml:space="preserve"> unaware</w:t>
      </w:r>
      <w:r w:rsidR="002D22EC" w:rsidRPr="002D22EC">
        <w:t xml:space="preserve"> </w:t>
      </w:r>
      <w:r w:rsidR="002D22EC">
        <w:t xml:space="preserve">some </w:t>
      </w:r>
      <w:r w:rsidR="008C44CA">
        <w:t xml:space="preserve">pet food </w:t>
      </w:r>
      <w:r w:rsidR="002D22EC">
        <w:t xml:space="preserve">products do not meet a minimum standard because the </w:t>
      </w:r>
      <w:r w:rsidR="00FD47CE">
        <w:t xml:space="preserve">industry is self-regulated with a voluntary standard for </w:t>
      </w:r>
      <w:r w:rsidR="008C44CA">
        <w:t xml:space="preserve">the </w:t>
      </w:r>
      <w:r w:rsidR="00FD47CE">
        <w:t>manufacture and labelling of pet food</w:t>
      </w:r>
      <w:r w:rsidR="009670ED">
        <w:t xml:space="preserve">. </w:t>
      </w:r>
      <w:r w:rsidR="000E39A0">
        <w:t>The 2018 Sen</w:t>
      </w:r>
      <w:r w:rsidR="008C44CA">
        <w:t>a</w:t>
      </w:r>
      <w:r w:rsidR="000E39A0">
        <w:t>t</w:t>
      </w:r>
      <w:r w:rsidR="008C44CA">
        <w:t>e</w:t>
      </w:r>
      <w:r w:rsidR="000E39A0">
        <w:t xml:space="preserve"> Inquiry </w:t>
      </w:r>
      <w:r w:rsidR="00016674">
        <w:t>on regulatory approaches to ensure the safety of pet food noted:</w:t>
      </w:r>
    </w:p>
    <w:p w14:paraId="7A6CB320" w14:textId="7D6EF1F9" w:rsidR="00C12E7F" w:rsidRPr="0099207B" w:rsidRDefault="00016674" w:rsidP="00E07945">
      <w:pPr>
        <w:pStyle w:val="Quote"/>
      </w:pPr>
      <w:r w:rsidRPr="00F86B9C">
        <w:rPr>
          <w:rStyle w:val="Emphasis"/>
        </w:rPr>
        <w:t>“The fact that the pet food industry operates under a self-regulated model came as a surprise to many submitters, who had assumed that the pet food industry is, and has always been, subject to stringent regulation”</w:t>
      </w:r>
    </w:p>
    <w:p w14:paraId="0347D5FC" w14:textId="71312C31" w:rsidR="00FD47CE" w:rsidRDefault="00CF4FF0" w:rsidP="00F86B9C">
      <w:r>
        <w:t>V</w:t>
      </w:r>
      <w:r w:rsidR="000C699A">
        <w:t>ery few</w:t>
      </w:r>
      <w:r w:rsidR="005855BE">
        <w:t xml:space="preserve"> (if any)</w:t>
      </w:r>
      <w:r w:rsidR="000C699A">
        <w:t xml:space="preserve"> certified manufacturers display compliance with AS5812 on their pet food packaging, and while the PFIAA’s website contains a list of its members who comply with AS5812, information on which specific products comply with the standard is not easily accessible.</w:t>
      </w:r>
      <w:r w:rsidR="0042119A">
        <w:t xml:space="preserve"> As a result, i</w:t>
      </w:r>
      <w:r w:rsidR="00FD47CE">
        <w:t>t can</w:t>
      </w:r>
      <w:r w:rsidR="006C1655">
        <w:t xml:space="preserve"> </w:t>
      </w:r>
      <w:r w:rsidR="00854EBE">
        <w:t>be</w:t>
      </w:r>
      <w:r w:rsidR="006C1655">
        <w:t xml:space="preserve"> </w:t>
      </w:r>
      <w:r w:rsidR="00FD47CE">
        <w:t>difficult for consumers to make judgements on</w:t>
      </w:r>
      <w:r w:rsidR="00911D7D">
        <w:t xml:space="preserve"> </w:t>
      </w:r>
      <w:r w:rsidR="00FD47CE">
        <w:t xml:space="preserve">which pet food products </w:t>
      </w:r>
      <w:r w:rsidR="009C3FF1">
        <w:t>co</w:t>
      </w:r>
      <w:r w:rsidR="00FD47CE">
        <w:t>mply with AS5812</w:t>
      </w:r>
      <w:r w:rsidR="00854EBE">
        <w:t xml:space="preserve"> to actively purchase </w:t>
      </w:r>
      <w:r w:rsidR="00404E9A">
        <w:t xml:space="preserve">these </w:t>
      </w:r>
      <w:r w:rsidR="00491063">
        <w:t>products</w:t>
      </w:r>
      <w:r w:rsidR="0042119A">
        <w:t>.</w:t>
      </w:r>
      <w:r w:rsidR="00123F97">
        <w:t xml:space="preserve"> </w:t>
      </w:r>
      <w:r w:rsidR="003760BE">
        <w:t>which</w:t>
      </w:r>
      <w:r w:rsidR="009524FD">
        <w:t xml:space="preserve"> </w:t>
      </w:r>
      <w:r w:rsidR="00D025C3">
        <w:t xml:space="preserve">limits </w:t>
      </w:r>
      <w:r w:rsidR="00BE7C0D">
        <w:t>incentives</w:t>
      </w:r>
      <w:r w:rsidR="00D025C3">
        <w:t xml:space="preserve"> </w:t>
      </w:r>
      <w:r w:rsidR="00FF7CF6">
        <w:t>for manufacturers</w:t>
      </w:r>
      <w:r w:rsidR="003E3D89">
        <w:t xml:space="preserve"> or retailers to </w:t>
      </w:r>
      <w:r w:rsidR="007E2994">
        <w:t xml:space="preserve">voluntarily </w:t>
      </w:r>
      <w:r w:rsidR="003E3D89">
        <w:t xml:space="preserve">adopt </w:t>
      </w:r>
      <w:r w:rsidR="00780B1B">
        <w:t xml:space="preserve">and comply with </w:t>
      </w:r>
      <w:r w:rsidR="003E3D89">
        <w:t>the standard</w:t>
      </w:r>
      <w:r w:rsidR="00780B1B">
        <w:t>.</w:t>
      </w:r>
    </w:p>
    <w:p w14:paraId="605E3A27" w14:textId="34F5284A" w:rsidR="0028374C" w:rsidRDefault="008009C6" w:rsidP="00F86B9C">
      <w:r>
        <w:t>Since the 2018 Senate Inquiry, t</w:t>
      </w:r>
      <w:r w:rsidR="00662599">
        <w:t>he AVA, PFIAA and RSPCA have</w:t>
      </w:r>
      <w:r w:rsidR="00FA69B7">
        <w:t xml:space="preserve"> </w:t>
      </w:r>
      <w:r w:rsidR="00662599">
        <w:t xml:space="preserve">implemented a range of communication activities to increase education and awareness of AS5812 in the community, </w:t>
      </w:r>
      <w:r w:rsidR="00662599">
        <w:lastRenderedPageBreak/>
        <w:t>including newsletters, website articles and social media.</w:t>
      </w:r>
      <w:r w:rsidR="00546040">
        <w:t xml:space="preserve"> The PFIAA and RSPCA have webpage</w:t>
      </w:r>
      <w:r w:rsidR="00300802">
        <w:t xml:space="preserve"> articles</w:t>
      </w:r>
      <w:r w:rsidR="00546040">
        <w:t xml:space="preserve"> on AS5812</w:t>
      </w:r>
      <w:r w:rsidR="00300802">
        <w:t xml:space="preserve"> and information on pet food</w:t>
      </w:r>
      <w:r w:rsidR="009524FD">
        <w:t xml:space="preserve"> safety</w:t>
      </w:r>
      <w:r w:rsidR="00300802">
        <w:t xml:space="preserve"> </w:t>
      </w:r>
      <w:r w:rsidR="00753F32">
        <w:t>issues and</w:t>
      </w:r>
      <w:r w:rsidR="00300802">
        <w:t xml:space="preserve"> have used social media and advertising to increase</w:t>
      </w:r>
      <w:r w:rsidR="0037003B">
        <w:t xml:space="preserve"> community</w:t>
      </w:r>
      <w:r w:rsidR="00300802">
        <w:t xml:space="preserve"> engagement on these articles</w:t>
      </w:r>
      <w:r w:rsidR="00F44BEA">
        <w:t>.</w:t>
      </w:r>
      <w:r w:rsidR="00B90A6E">
        <w:t xml:space="preserve"> In addition, </w:t>
      </w:r>
      <w:r w:rsidR="00435F40">
        <w:t xml:space="preserve">the PFIAA </w:t>
      </w:r>
      <w:r w:rsidR="00A941E4">
        <w:t xml:space="preserve">have </w:t>
      </w:r>
      <w:r w:rsidR="00647514">
        <w:t xml:space="preserve">developed a product logo for AS5812 certification and </w:t>
      </w:r>
      <w:r w:rsidR="00435F40">
        <w:t xml:space="preserve">have </w:t>
      </w:r>
      <w:r w:rsidR="008A3117">
        <w:t xml:space="preserve">registered </w:t>
      </w:r>
      <w:r w:rsidR="006C11B3">
        <w:t>the logo with IP Australia</w:t>
      </w:r>
      <w:r w:rsidR="00610672">
        <w:t xml:space="preserve">. However, </w:t>
      </w:r>
      <w:r w:rsidR="00850231">
        <w:t xml:space="preserve">the PFIAA have indicated that </w:t>
      </w:r>
      <w:r w:rsidR="006C11B3">
        <w:t>the</w:t>
      </w:r>
      <w:r w:rsidR="00E93F0E">
        <w:t xml:space="preserve">re have been </w:t>
      </w:r>
      <w:r w:rsidR="008E6554">
        <w:t xml:space="preserve">significant </w:t>
      </w:r>
      <w:r w:rsidR="00E93F0E">
        <w:t>challenges with adopti</w:t>
      </w:r>
      <w:r w:rsidR="008E6554">
        <w:t>ng</w:t>
      </w:r>
      <w:r w:rsidR="00E93F0E">
        <w:t xml:space="preserve"> the logo</w:t>
      </w:r>
      <w:r w:rsidR="002A20B8">
        <w:t xml:space="preserve"> </w:t>
      </w:r>
      <w:r w:rsidR="00850231">
        <w:t xml:space="preserve">on pet food products </w:t>
      </w:r>
      <w:r w:rsidR="002A20B8">
        <w:t xml:space="preserve">including </w:t>
      </w:r>
      <w:r w:rsidR="008A3117">
        <w:t xml:space="preserve">high </w:t>
      </w:r>
      <w:r w:rsidR="002A20B8">
        <w:t xml:space="preserve">costs </w:t>
      </w:r>
      <w:r w:rsidR="008A3117">
        <w:t xml:space="preserve">of </w:t>
      </w:r>
      <w:r w:rsidR="002A20B8">
        <w:t xml:space="preserve">making label changes, </w:t>
      </w:r>
      <w:r w:rsidR="0082425A">
        <w:t xml:space="preserve">limited packaging space and concerns regarding </w:t>
      </w:r>
      <w:r w:rsidR="008A3117">
        <w:t xml:space="preserve">the </w:t>
      </w:r>
      <w:r w:rsidR="00166E48">
        <w:t xml:space="preserve">appropriate </w:t>
      </w:r>
      <w:r w:rsidR="00837D32">
        <w:t>use of the logo</w:t>
      </w:r>
      <w:r w:rsidR="00B62FF1">
        <w:t xml:space="preserve"> without mandating compliance with AS5812</w:t>
      </w:r>
      <w:r w:rsidR="00837D32">
        <w:t>.</w:t>
      </w:r>
    </w:p>
    <w:p w14:paraId="07F672AC" w14:textId="7E9ADDBE" w:rsidR="00A24895" w:rsidRDefault="00A24895" w:rsidP="00F86B9C"/>
    <w:p w14:paraId="34A5FDCF" w14:textId="77777777" w:rsidR="00B64F6E" w:rsidRDefault="00B64F6E" w:rsidP="00F86B9C"/>
    <w:p w14:paraId="3F755DBF" w14:textId="0147B730" w:rsidR="00F86B9C" w:rsidRDefault="00632A87" w:rsidP="0058304F">
      <w:pPr>
        <w:pStyle w:val="Heading2"/>
        <w:numPr>
          <w:ilvl w:val="0"/>
          <w:numId w:val="4"/>
        </w:numPr>
      </w:pPr>
      <w:bookmarkStart w:id="31" w:name="_Toc138860692"/>
      <w:bookmarkStart w:id="32" w:name="_Toc139528366"/>
      <w:bookmarkStart w:id="33" w:name="_Toc139528617"/>
      <w:bookmarkStart w:id="34" w:name="_Toc138860693"/>
      <w:bookmarkStart w:id="35" w:name="_Toc139528367"/>
      <w:bookmarkStart w:id="36" w:name="_Toc139528618"/>
      <w:bookmarkStart w:id="37" w:name="_Toc138860694"/>
      <w:bookmarkStart w:id="38" w:name="_Toc139528368"/>
      <w:bookmarkStart w:id="39" w:name="_Toc139528619"/>
      <w:bookmarkStart w:id="40" w:name="_Toc138860695"/>
      <w:bookmarkStart w:id="41" w:name="_Toc139528369"/>
      <w:bookmarkStart w:id="42" w:name="_Toc139528620"/>
      <w:bookmarkStart w:id="43" w:name="_Toc228966445"/>
      <w:bookmarkEnd w:id="31"/>
      <w:bookmarkEnd w:id="32"/>
      <w:bookmarkEnd w:id="33"/>
      <w:bookmarkEnd w:id="34"/>
      <w:bookmarkEnd w:id="35"/>
      <w:bookmarkEnd w:id="36"/>
      <w:bookmarkEnd w:id="37"/>
      <w:bookmarkEnd w:id="38"/>
      <w:bookmarkEnd w:id="39"/>
      <w:bookmarkEnd w:id="40"/>
      <w:bookmarkEnd w:id="41"/>
      <w:bookmarkEnd w:id="42"/>
      <w:r>
        <w:lastRenderedPageBreak/>
        <w:t>Is</w:t>
      </w:r>
      <w:r w:rsidR="00F86B9C">
        <w:t xml:space="preserve"> Government action needed</w:t>
      </w:r>
      <w:r w:rsidR="00432E09">
        <w:t>?</w:t>
      </w:r>
      <w:bookmarkEnd w:id="43"/>
    </w:p>
    <w:p w14:paraId="4D9512BF" w14:textId="75BCBB0C" w:rsidR="000177E3" w:rsidRDefault="000177E3" w:rsidP="000177E3">
      <w:pPr>
        <w:rPr>
          <w:rStyle w:val="Hyperlink"/>
          <w:color w:val="auto"/>
          <w:u w:val="none"/>
        </w:rPr>
      </w:pPr>
      <w:r>
        <w:t>A range of community and industry stakeholders, including t</w:t>
      </w:r>
      <w:r w:rsidRPr="00E07945">
        <w:rPr>
          <w:rStyle w:val="Hyperlink"/>
          <w:color w:val="auto"/>
          <w:u w:val="none"/>
        </w:rPr>
        <w:t>he RSPCA, AVA and PFIAA</w:t>
      </w:r>
      <w:r>
        <w:rPr>
          <w:rStyle w:val="Hyperlink"/>
          <w:color w:val="auto"/>
          <w:u w:val="none"/>
        </w:rPr>
        <w:t>,</w:t>
      </w:r>
      <w:r w:rsidRPr="00E07945">
        <w:rPr>
          <w:rStyle w:val="Hyperlink"/>
          <w:color w:val="auto"/>
          <w:u w:val="none"/>
        </w:rPr>
        <w:t xml:space="preserve"> </w:t>
      </w:r>
      <w:r>
        <w:rPr>
          <w:rStyle w:val="Hyperlink"/>
          <w:color w:val="auto"/>
          <w:u w:val="none"/>
        </w:rPr>
        <w:t xml:space="preserve">have </w:t>
      </w:r>
      <w:r>
        <w:rPr>
          <w:rStyle w:val="Emphasis"/>
          <w:i w:val="0"/>
          <w:iCs w:val="0"/>
        </w:rPr>
        <w:t xml:space="preserve">advocated for government oversight </w:t>
      </w:r>
      <w:r w:rsidR="00755969">
        <w:rPr>
          <w:rStyle w:val="Emphasis"/>
          <w:i w:val="0"/>
          <w:iCs w:val="0"/>
        </w:rPr>
        <w:t xml:space="preserve">and action </w:t>
      </w:r>
      <w:r>
        <w:rPr>
          <w:rStyle w:val="Emphasis"/>
          <w:i w:val="0"/>
          <w:iCs w:val="0"/>
        </w:rPr>
        <w:t xml:space="preserve">to manage pet food safety in Australia. These stakeholders have </w:t>
      </w:r>
      <w:r>
        <w:rPr>
          <w:rStyle w:val="Hyperlink"/>
          <w:color w:val="auto"/>
          <w:u w:val="none"/>
        </w:rPr>
        <w:t xml:space="preserve">indicated strong </w:t>
      </w:r>
      <w:r w:rsidRPr="00E07945">
        <w:rPr>
          <w:rStyle w:val="Hyperlink"/>
          <w:color w:val="auto"/>
          <w:u w:val="none"/>
        </w:rPr>
        <w:t>support</w:t>
      </w:r>
      <w:r>
        <w:rPr>
          <w:rStyle w:val="Hyperlink"/>
          <w:color w:val="auto"/>
          <w:u w:val="none"/>
        </w:rPr>
        <w:t xml:space="preserve"> for</w:t>
      </w:r>
      <w:r w:rsidRPr="00E07945">
        <w:rPr>
          <w:rStyle w:val="Hyperlink"/>
          <w:color w:val="auto"/>
          <w:u w:val="none"/>
        </w:rPr>
        <w:t xml:space="preserve"> implementing nationwide regulation of pet food including </w:t>
      </w:r>
      <w:r>
        <w:rPr>
          <w:rStyle w:val="Hyperlink"/>
          <w:color w:val="auto"/>
          <w:u w:val="none"/>
        </w:rPr>
        <w:t xml:space="preserve">through </w:t>
      </w:r>
      <w:r w:rsidRPr="00E07945">
        <w:rPr>
          <w:rStyle w:val="Hyperlink"/>
          <w:color w:val="auto"/>
          <w:u w:val="none"/>
        </w:rPr>
        <w:t>a mandated AS5812 standard</w:t>
      </w:r>
      <w:r>
        <w:rPr>
          <w:rStyle w:val="Hyperlink"/>
          <w:color w:val="auto"/>
          <w:u w:val="none"/>
        </w:rPr>
        <w:t xml:space="preserve">, </w:t>
      </w:r>
      <w:r>
        <w:rPr>
          <w:rStyle w:val="Emphasis"/>
          <w:i w:val="0"/>
          <w:iCs w:val="0"/>
        </w:rPr>
        <w:t xml:space="preserve">strengthened </w:t>
      </w:r>
      <w:r w:rsidR="00082342">
        <w:rPr>
          <w:rStyle w:val="Emphasis"/>
          <w:i w:val="0"/>
          <w:iCs w:val="0"/>
        </w:rPr>
        <w:t xml:space="preserve">incident </w:t>
      </w:r>
      <w:r>
        <w:rPr>
          <w:rStyle w:val="Emphasis"/>
          <w:i w:val="0"/>
          <w:iCs w:val="0"/>
        </w:rPr>
        <w:t xml:space="preserve">reporting </w:t>
      </w:r>
      <w:r w:rsidR="00F223C2">
        <w:rPr>
          <w:rStyle w:val="Emphasis"/>
          <w:i w:val="0"/>
          <w:iCs w:val="0"/>
        </w:rPr>
        <w:t>and investiga</w:t>
      </w:r>
      <w:r w:rsidR="008D73A3">
        <w:rPr>
          <w:rStyle w:val="Emphasis"/>
          <w:i w:val="0"/>
          <w:iCs w:val="0"/>
        </w:rPr>
        <w:t>tion</w:t>
      </w:r>
      <w:r w:rsidR="00F223C2">
        <w:rPr>
          <w:rStyle w:val="Emphasis"/>
          <w:i w:val="0"/>
          <w:iCs w:val="0"/>
        </w:rPr>
        <w:t xml:space="preserve"> </w:t>
      </w:r>
      <w:r>
        <w:rPr>
          <w:rStyle w:val="Emphasis"/>
          <w:i w:val="0"/>
          <w:iCs w:val="0"/>
        </w:rPr>
        <w:t>systems</w:t>
      </w:r>
      <w:r w:rsidR="008D73A3">
        <w:rPr>
          <w:rStyle w:val="Emphasis"/>
          <w:i w:val="0"/>
          <w:iCs w:val="0"/>
        </w:rPr>
        <w:t>,</w:t>
      </w:r>
      <w:r w:rsidR="00F223C2">
        <w:rPr>
          <w:rStyle w:val="Emphasis"/>
          <w:i w:val="0"/>
          <w:iCs w:val="0"/>
        </w:rPr>
        <w:t xml:space="preserve"> and </w:t>
      </w:r>
      <w:r w:rsidR="00082342">
        <w:rPr>
          <w:rStyle w:val="Emphasis"/>
          <w:i w:val="0"/>
          <w:iCs w:val="0"/>
        </w:rPr>
        <w:t xml:space="preserve">legislative </w:t>
      </w:r>
      <w:r>
        <w:rPr>
          <w:rStyle w:val="Emphasis"/>
          <w:i w:val="0"/>
          <w:iCs w:val="0"/>
        </w:rPr>
        <w:t xml:space="preserve">powers </w:t>
      </w:r>
      <w:r w:rsidR="00082342">
        <w:rPr>
          <w:rStyle w:val="Emphasis"/>
          <w:i w:val="0"/>
          <w:iCs w:val="0"/>
        </w:rPr>
        <w:t xml:space="preserve">to </w:t>
      </w:r>
      <w:r w:rsidR="004C740F">
        <w:rPr>
          <w:rStyle w:val="Emphasis"/>
          <w:i w:val="0"/>
          <w:iCs w:val="0"/>
        </w:rPr>
        <w:t xml:space="preserve">jurisdictions </w:t>
      </w:r>
      <w:r w:rsidR="00082342">
        <w:rPr>
          <w:rStyle w:val="Emphasis"/>
          <w:i w:val="0"/>
          <w:iCs w:val="0"/>
        </w:rPr>
        <w:t xml:space="preserve">to enable </w:t>
      </w:r>
      <w:r>
        <w:rPr>
          <w:rStyle w:val="Emphasis"/>
          <w:i w:val="0"/>
          <w:iCs w:val="0"/>
        </w:rPr>
        <w:t xml:space="preserve">intervention </w:t>
      </w:r>
      <w:r w:rsidR="008B26AA">
        <w:rPr>
          <w:rStyle w:val="Emphasis"/>
          <w:i w:val="0"/>
          <w:iCs w:val="0"/>
        </w:rPr>
        <w:t>on pet food safety incidents</w:t>
      </w:r>
      <w:r w:rsidRPr="00E07945">
        <w:rPr>
          <w:rStyle w:val="Hyperlink"/>
          <w:color w:val="auto"/>
          <w:u w:val="none"/>
        </w:rPr>
        <w:t>.</w:t>
      </w:r>
    </w:p>
    <w:p w14:paraId="7D67172D" w14:textId="5CE39009" w:rsidR="00F86B9C" w:rsidRDefault="008D73A3" w:rsidP="00F86B9C">
      <w:pPr>
        <w:rPr>
          <w:lang w:eastAsia="ja-JP"/>
        </w:rPr>
      </w:pPr>
      <w:r>
        <w:rPr>
          <w:lang w:eastAsia="ja-JP"/>
        </w:rPr>
        <w:t>Indeed, g</w:t>
      </w:r>
      <w:r w:rsidR="00F86B9C">
        <w:rPr>
          <w:lang w:eastAsia="ja-JP"/>
        </w:rPr>
        <w:t xml:space="preserve">overnment </w:t>
      </w:r>
      <w:r w:rsidR="00AA1AC2">
        <w:rPr>
          <w:lang w:eastAsia="ja-JP"/>
        </w:rPr>
        <w:t xml:space="preserve">action </w:t>
      </w:r>
      <w:r w:rsidR="00BC7E91">
        <w:rPr>
          <w:lang w:eastAsia="ja-JP"/>
        </w:rPr>
        <w:t>could play a role in</w:t>
      </w:r>
      <w:r w:rsidR="00F86B9C">
        <w:rPr>
          <w:lang w:eastAsia="ja-JP"/>
        </w:rPr>
        <w:t xml:space="preserve"> </w:t>
      </w:r>
      <w:r w:rsidR="0028703B">
        <w:rPr>
          <w:lang w:eastAsia="ja-JP"/>
        </w:rPr>
        <w:t xml:space="preserve">addressing </w:t>
      </w:r>
      <w:r w:rsidR="001964C9">
        <w:rPr>
          <w:lang w:eastAsia="ja-JP"/>
        </w:rPr>
        <w:t xml:space="preserve">some potential </w:t>
      </w:r>
      <w:r w:rsidR="00FE157E">
        <w:rPr>
          <w:lang w:eastAsia="ja-JP"/>
        </w:rPr>
        <w:t xml:space="preserve">challenges </w:t>
      </w:r>
      <w:r w:rsidR="001964C9">
        <w:rPr>
          <w:lang w:eastAsia="ja-JP"/>
        </w:rPr>
        <w:t xml:space="preserve">in </w:t>
      </w:r>
      <w:r w:rsidR="00D26DE1">
        <w:rPr>
          <w:lang w:eastAsia="ja-JP"/>
        </w:rPr>
        <w:t>the current system</w:t>
      </w:r>
      <w:r w:rsidR="002A1B3F">
        <w:rPr>
          <w:lang w:eastAsia="ja-JP"/>
        </w:rPr>
        <w:t xml:space="preserve"> to</w:t>
      </w:r>
      <w:r w:rsidR="00E82B96">
        <w:rPr>
          <w:lang w:eastAsia="ja-JP"/>
        </w:rPr>
        <w:t xml:space="preserve"> </w:t>
      </w:r>
      <w:r w:rsidR="003760BE">
        <w:rPr>
          <w:lang w:eastAsia="ja-JP"/>
        </w:rPr>
        <w:t>reduce</w:t>
      </w:r>
      <w:r w:rsidR="003760BE" w:rsidRPr="00234E40">
        <w:rPr>
          <w:rFonts w:asciiTheme="majorHAnsi" w:hAnsiTheme="majorHAnsi"/>
        </w:rPr>
        <w:t xml:space="preserve"> </w:t>
      </w:r>
      <w:r w:rsidR="00E82B96">
        <w:rPr>
          <w:rFonts w:asciiTheme="majorHAnsi" w:hAnsiTheme="majorHAnsi"/>
        </w:rPr>
        <w:t xml:space="preserve">pet </w:t>
      </w:r>
      <w:r w:rsidR="00C74B4F" w:rsidRPr="00234E40">
        <w:rPr>
          <w:rFonts w:asciiTheme="majorHAnsi" w:hAnsiTheme="majorHAnsi"/>
        </w:rPr>
        <w:t>illness and death from pet food</w:t>
      </w:r>
      <w:r w:rsidR="00D26DE1">
        <w:rPr>
          <w:lang w:eastAsia="ja-JP"/>
        </w:rPr>
        <w:t xml:space="preserve">. </w:t>
      </w:r>
      <w:r w:rsidR="00F86B9C">
        <w:rPr>
          <w:lang w:eastAsia="ja-JP"/>
        </w:rPr>
        <w:t xml:space="preserve">For example, </w:t>
      </w:r>
      <w:r w:rsidR="009A2A21">
        <w:rPr>
          <w:lang w:eastAsia="ja-JP"/>
        </w:rPr>
        <w:t xml:space="preserve">having an avenue for </w:t>
      </w:r>
      <w:r w:rsidR="000F3BBD">
        <w:rPr>
          <w:lang w:eastAsia="ja-JP"/>
        </w:rPr>
        <w:t>jurisdictions</w:t>
      </w:r>
      <w:r w:rsidR="009A2A21">
        <w:rPr>
          <w:lang w:eastAsia="ja-JP"/>
        </w:rPr>
        <w:t xml:space="preserve"> to intervene and </w:t>
      </w:r>
      <w:r w:rsidR="00B46ED3">
        <w:rPr>
          <w:lang w:eastAsia="ja-JP"/>
        </w:rPr>
        <w:t>requir</w:t>
      </w:r>
      <w:r w:rsidR="009A2A21">
        <w:rPr>
          <w:lang w:eastAsia="ja-JP"/>
        </w:rPr>
        <w:t>e</w:t>
      </w:r>
      <w:r w:rsidR="00B46ED3">
        <w:rPr>
          <w:lang w:eastAsia="ja-JP"/>
        </w:rPr>
        <w:t xml:space="preserve"> companies to </w:t>
      </w:r>
      <w:r w:rsidR="009A2A21">
        <w:rPr>
          <w:lang w:eastAsia="ja-JP"/>
        </w:rPr>
        <w:t xml:space="preserve">respond to pet food safety incidents, </w:t>
      </w:r>
      <w:r w:rsidR="00A728DF">
        <w:rPr>
          <w:lang w:eastAsia="ja-JP"/>
        </w:rPr>
        <w:t xml:space="preserve">undertake </w:t>
      </w:r>
      <w:r w:rsidR="00F86B9C">
        <w:rPr>
          <w:lang w:eastAsia="ja-JP"/>
        </w:rPr>
        <w:t>recalls and investigation</w:t>
      </w:r>
      <w:r w:rsidR="009A2A21">
        <w:rPr>
          <w:lang w:eastAsia="ja-JP"/>
        </w:rPr>
        <w:t>s</w:t>
      </w:r>
      <w:r w:rsidR="00F86B9C">
        <w:rPr>
          <w:lang w:eastAsia="ja-JP"/>
        </w:rPr>
        <w:t xml:space="preserve"> </w:t>
      </w:r>
      <w:r w:rsidR="009524FD">
        <w:rPr>
          <w:lang w:eastAsia="ja-JP"/>
        </w:rPr>
        <w:t>could limit the severity of pet food safety incidents</w:t>
      </w:r>
      <w:r w:rsidR="008E3A48">
        <w:rPr>
          <w:lang w:eastAsia="ja-JP"/>
        </w:rPr>
        <w:t>.</w:t>
      </w:r>
      <w:r w:rsidR="00E52801">
        <w:rPr>
          <w:lang w:eastAsia="ja-JP"/>
        </w:rPr>
        <w:t xml:space="preserve"> </w:t>
      </w:r>
      <w:r w:rsidR="00F86B9C">
        <w:rPr>
          <w:lang w:eastAsia="ja-JP"/>
        </w:rPr>
        <w:t xml:space="preserve">Similarly, </w:t>
      </w:r>
      <w:r w:rsidR="00F86B9C">
        <w:t xml:space="preserve">mandating a manufacturing and labelling standard </w:t>
      </w:r>
      <w:r w:rsidR="003E42D6">
        <w:t>like AS</w:t>
      </w:r>
      <w:r w:rsidR="003757D8">
        <w:t xml:space="preserve">5812 </w:t>
      </w:r>
      <w:r w:rsidR="00F86B9C">
        <w:t xml:space="preserve">to ensure minimum requirements for pet food safety could reduce the likelihood of </w:t>
      </w:r>
      <w:r w:rsidR="00F2382E">
        <w:t xml:space="preserve">known </w:t>
      </w:r>
      <w:r w:rsidR="00F86B9C">
        <w:t xml:space="preserve">pet food safety </w:t>
      </w:r>
      <w:r w:rsidR="00F2382E">
        <w:t>risks,</w:t>
      </w:r>
      <w:r w:rsidR="00A5745C">
        <w:t xml:space="preserve"> </w:t>
      </w:r>
      <w:r w:rsidR="00F86B9C">
        <w:t>provid</w:t>
      </w:r>
      <w:r w:rsidR="00E52801">
        <w:t>ing</w:t>
      </w:r>
      <w:r w:rsidR="00F86B9C">
        <w:t xml:space="preserve"> an avenue for the industry-wide adoption of process improvements in response to new or emerging safety risks.</w:t>
      </w:r>
      <w:r w:rsidR="00A651D1">
        <w:t xml:space="preserve"> Some examples of government action from other countries around the world are outlined at </w:t>
      </w:r>
      <w:r w:rsidR="00811F7B" w:rsidRPr="001A6B22">
        <w:rPr>
          <w:b/>
          <w:bCs/>
        </w:rPr>
        <w:t xml:space="preserve">Appendix </w:t>
      </w:r>
      <w:r w:rsidR="00536C93" w:rsidRPr="001A6B22">
        <w:rPr>
          <w:b/>
          <w:bCs/>
        </w:rPr>
        <w:t>A</w:t>
      </w:r>
      <w:r w:rsidR="00811F7B" w:rsidRPr="00536C93">
        <w:t xml:space="preserve"> f</w:t>
      </w:r>
      <w:r w:rsidR="00811F7B">
        <w:t>or reference.</w:t>
      </w:r>
    </w:p>
    <w:p w14:paraId="0675566B" w14:textId="246A9445" w:rsidR="00B71C53" w:rsidRDefault="00891BCC" w:rsidP="00632A87">
      <w:r>
        <w:t>However,</w:t>
      </w:r>
      <w:r w:rsidR="00E72CD3">
        <w:t xml:space="preserve"> </w:t>
      </w:r>
      <w:r w:rsidR="007219EE">
        <w:t xml:space="preserve">the question of </w:t>
      </w:r>
      <w:r w:rsidR="00E72CD3">
        <w:t xml:space="preserve">whether government action is needed </w:t>
      </w:r>
      <w:r w:rsidR="007219EE">
        <w:t>will require consideration of</w:t>
      </w:r>
      <w:r w:rsidR="00123204">
        <w:t xml:space="preserve"> </w:t>
      </w:r>
      <w:r w:rsidR="00777A0F">
        <w:t xml:space="preserve">the </w:t>
      </w:r>
      <w:r w:rsidR="006D7026">
        <w:t xml:space="preserve">scale of </w:t>
      </w:r>
      <w:r w:rsidR="007219EE">
        <w:t>pet food safety incidents</w:t>
      </w:r>
      <w:r w:rsidR="00A958C7">
        <w:t xml:space="preserve"> in Australia</w:t>
      </w:r>
      <w:r w:rsidR="007E62D3">
        <w:t xml:space="preserve">, </w:t>
      </w:r>
      <w:r w:rsidR="00632A87">
        <w:t xml:space="preserve">the resourcing and time requirements needed </w:t>
      </w:r>
      <w:r w:rsidR="007219EE">
        <w:t xml:space="preserve">for </w:t>
      </w:r>
      <w:r w:rsidR="00131C15">
        <w:t>government action</w:t>
      </w:r>
      <w:r w:rsidR="007219EE">
        <w:t xml:space="preserve"> and the effectiveness of any government action in </w:t>
      </w:r>
      <w:r w:rsidR="00921162">
        <w:t>managing pet food safety</w:t>
      </w:r>
      <w:r w:rsidR="00632A87">
        <w:t>.</w:t>
      </w:r>
    </w:p>
    <w:p w14:paraId="444E88BA" w14:textId="709B2162" w:rsidR="006D3839" w:rsidRDefault="006D3839" w:rsidP="001A6B22">
      <w:pPr>
        <w:pStyle w:val="Heading3"/>
      </w:pPr>
      <w:bookmarkStart w:id="44" w:name="_Toc228966446"/>
      <w:r>
        <w:t>Scale of pet food safety incidents</w:t>
      </w:r>
      <w:bookmarkEnd w:id="44"/>
    </w:p>
    <w:p w14:paraId="30B27EFB" w14:textId="5ACCD865" w:rsidR="00E30704" w:rsidRDefault="00762992" w:rsidP="00E30704">
      <w:r>
        <w:t xml:space="preserve">As noted in Section </w:t>
      </w:r>
      <w:r w:rsidRPr="001A6B22">
        <w:t>2.2</w:t>
      </w:r>
      <w:r>
        <w:t xml:space="preserve">, </w:t>
      </w:r>
      <w:r w:rsidR="004F2082">
        <w:t xml:space="preserve">it is difficult to estimate the actual number and </w:t>
      </w:r>
      <w:r w:rsidR="00916FEF">
        <w:t xml:space="preserve">frequency </w:t>
      </w:r>
      <w:r w:rsidR="004F2082">
        <w:t xml:space="preserve">of pet food safety incidents in Australia using the current incident reporting systems. </w:t>
      </w:r>
      <w:r w:rsidR="00916FEF">
        <w:t xml:space="preserve">However, </w:t>
      </w:r>
      <w:r w:rsidR="0017676A">
        <w:t xml:space="preserve">based on the data available and assuming the current </w:t>
      </w:r>
      <w:r w:rsidR="00CE0F03">
        <w:t xml:space="preserve">PetFAST </w:t>
      </w:r>
      <w:r w:rsidR="0017676A">
        <w:t xml:space="preserve">system </w:t>
      </w:r>
      <w:r w:rsidR="00CE0F03">
        <w:t>underreport</w:t>
      </w:r>
      <w:r w:rsidR="00E25225">
        <w:t>ed</w:t>
      </w:r>
      <w:r w:rsidR="00CE0F03">
        <w:t xml:space="preserve"> the </w:t>
      </w:r>
      <w:r w:rsidR="001F213C">
        <w:t xml:space="preserve">actual </w:t>
      </w:r>
      <w:r w:rsidR="00CE0F03">
        <w:t>number of pet food safety incidents (and associated deaths and illnesses) by 90%</w:t>
      </w:r>
      <w:r w:rsidR="0087555E">
        <w:t xml:space="preserve">, it is estimated that </w:t>
      </w:r>
      <w:r w:rsidR="00400353" w:rsidRPr="00D650FB">
        <w:t xml:space="preserve">there </w:t>
      </w:r>
      <w:r w:rsidR="0087555E">
        <w:t xml:space="preserve">were </w:t>
      </w:r>
      <w:r w:rsidR="00400353" w:rsidRPr="00D650FB">
        <w:t>37 pet deaths and 331 pet illnesses requiring veterinary care resulting from pet food safety incidents in Australia every year</w:t>
      </w:r>
      <w:r w:rsidR="00D5666D">
        <w:t>.</w:t>
      </w:r>
    </w:p>
    <w:p w14:paraId="46558E75" w14:textId="22D6171D" w:rsidR="00592774" w:rsidRDefault="007E0204" w:rsidP="001A6B22">
      <w:pPr>
        <w:pStyle w:val="Heading3"/>
      </w:pPr>
      <w:bookmarkStart w:id="45" w:name="_Toc139528373"/>
      <w:bookmarkStart w:id="46" w:name="_Toc139528623"/>
      <w:bookmarkStart w:id="47" w:name="_Toc139528374"/>
      <w:bookmarkStart w:id="48" w:name="_Toc139528624"/>
      <w:bookmarkStart w:id="49" w:name="_Toc139528376"/>
      <w:bookmarkStart w:id="50" w:name="_Toc139528626"/>
      <w:bookmarkStart w:id="51" w:name="_Toc139528377"/>
      <w:bookmarkStart w:id="52" w:name="_Toc139528627"/>
      <w:bookmarkStart w:id="53" w:name="_Toc139528378"/>
      <w:bookmarkStart w:id="54" w:name="_Toc139528628"/>
      <w:bookmarkStart w:id="55" w:name="_Toc139528379"/>
      <w:bookmarkStart w:id="56" w:name="_Toc139528629"/>
      <w:bookmarkStart w:id="57" w:name="_Toc228966447"/>
      <w:bookmarkEnd w:id="45"/>
      <w:bookmarkEnd w:id="46"/>
      <w:bookmarkEnd w:id="47"/>
      <w:bookmarkEnd w:id="48"/>
      <w:bookmarkEnd w:id="49"/>
      <w:bookmarkEnd w:id="50"/>
      <w:bookmarkEnd w:id="51"/>
      <w:bookmarkEnd w:id="52"/>
      <w:bookmarkEnd w:id="53"/>
      <w:bookmarkEnd w:id="54"/>
      <w:bookmarkEnd w:id="55"/>
      <w:bookmarkEnd w:id="56"/>
      <w:r>
        <w:t>Resourcing and time r</w:t>
      </w:r>
      <w:r w:rsidR="0093529F">
        <w:t>equirements</w:t>
      </w:r>
      <w:bookmarkEnd w:id="57"/>
    </w:p>
    <w:p w14:paraId="61485CB1" w14:textId="6BDE4419" w:rsidR="00370AA5" w:rsidRDefault="00E328FE" w:rsidP="00467BE2">
      <w:r>
        <w:t>Any</w:t>
      </w:r>
      <w:r w:rsidR="00F86B9C">
        <w:t xml:space="preserve"> decision to </w:t>
      </w:r>
      <w:r w:rsidR="00A958C7">
        <w:t xml:space="preserve">undertake </w:t>
      </w:r>
      <w:r w:rsidR="00F86B9C">
        <w:t xml:space="preserve">government </w:t>
      </w:r>
      <w:r w:rsidR="00A958C7">
        <w:t xml:space="preserve">action </w:t>
      </w:r>
      <w:r w:rsidR="00F86B9C">
        <w:t xml:space="preserve">to manage pet food safety </w:t>
      </w:r>
      <w:r w:rsidR="00DD535B">
        <w:t xml:space="preserve">in Australia </w:t>
      </w:r>
      <w:r w:rsidR="00F86B9C">
        <w:t>would require additional government resourcing</w:t>
      </w:r>
      <w:r w:rsidR="00B23778">
        <w:t xml:space="preserve"> and time to implement</w:t>
      </w:r>
      <w:r w:rsidR="008954B9">
        <w:t>. F</w:t>
      </w:r>
      <w:r w:rsidR="00A958C7">
        <w:t xml:space="preserve">or example, </w:t>
      </w:r>
      <w:r w:rsidR="008954B9">
        <w:t xml:space="preserve">additional funding and time is needed </w:t>
      </w:r>
      <w:r w:rsidR="00B23778">
        <w:t xml:space="preserve">to recruit staff to undertake new government functions and develop systems to support </w:t>
      </w:r>
      <w:r w:rsidR="008954B9">
        <w:t xml:space="preserve">the delivery of </w:t>
      </w:r>
      <w:r w:rsidR="00B23778">
        <w:t xml:space="preserve">these </w:t>
      </w:r>
      <w:r w:rsidR="008954B9">
        <w:t>functions</w:t>
      </w:r>
      <w:r w:rsidR="00F86B9C">
        <w:t>.</w:t>
      </w:r>
      <w:r w:rsidR="00370AA5">
        <w:t xml:space="preserve"> </w:t>
      </w:r>
      <w:r w:rsidR="00756052">
        <w:t xml:space="preserve">Furthermore, </w:t>
      </w:r>
      <w:r w:rsidR="008B52E2">
        <w:t xml:space="preserve">if </w:t>
      </w:r>
      <w:r w:rsidR="004E481E">
        <w:t xml:space="preserve">government action involves </w:t>
      </w:r>
      <w:r w:rsidR="007E24BC">
        <w:t>regulation, legislative changes would need to be introduced and passed through relevant state, territory and Commonwealth Parliaments</w:t>
      </w:r>
      <w:r w:rsidR="00AD32E4">
        <w:t xml:space="preserve">. This would require significant time and </w:t>
      </w:r>
      <w:proofErr w:type="gramStart"/>
      <w:r w:rsidR="00AD32E4">
        <w:t>resourcing</w:t>
      </w:r>
      <w:r w:rsidR="00370AA5">
        <w:t>,</w:t>
      </w:r>
      <w:r w:rsidR="00AD32E4">
        <w:t xml:space="preserve"> and</w:t>
      </w:r>
      <w:proofErr w:type="gramEnd"/>
      <w:r w:rsidR="00AD32E4">
        <w:t xml:space="preserve"> be subject to the </w:t>
      </w:r>
      <w:r w:rsidR="000547C9">
        <w:t xml:space="preserve">priorities and legislative agendas of relevant </w:t>
      </w:r>
      <w:r w:rsidR="0051039B">
        <w:t>m</w:t>
      </w:r>
      <w:r w:rsidR="000547C9">
        <w:t>inisters and governments.</w:t>
      </w:r>
    </w:p>
    <w:p w14:paraId="7CECE7C4" w14:textId="48E7528A" w:rsidR="00467BE2" w:rsidRDefault="00F86B9C" w:rsidP="00467BE2">
      <w:pPr>
        <w:rPr>
          <w:lang w:eastAsia="ja-JP"/>
        </w:rPr>
      </w:pPr>
      <w:r w:rsidRPr="00DA7CBF">
        <w:t xml:space="preserve">These requirements have been </w:t>
      </w:r>
      <w:r w:rsidR="000547C9" w:rsidRPr="00DA7CBF">
        <w:t>estimated in terms of economic costs</w:t>
      </w:r>
      <w:r w:rsidR="00C54A9B" w:rsidRPr="00DA7CBF">
        <w:t xml:space="preserve"> </w:t>
      </w:r>
      <w:r w:rsidR="000547C9" w:rsidRPr="00DA7CBF">
        <w:t xml:space="preserve">as part of the cost benefit analysis of policy options for managing pet food safety in Australia (see </w:t>
      </w:r>
      <w:r w:rsidR="00C025AF" w:rsidRPr="00DA7CBF">
        <w:t xml:space="preserve">Section </w:t>
      </w:r>
      <w:r w:rsidR="005C436E" w:rsidRPr="001A6B22">
        <w:t>4</w:t>
      </w:r>
      <w:r w:rsidR="00C025AF" w:rsidRPr="00DA7CBF">
        <w:t xml:space="preserve"> below and </w:t>
      </w:r>
      <w:r w:rsidR="00111C5A" w:rsidRPr="001A6B22">
        <w:rPr>
          <w:b/>
          <w:bCs/>
        </w:rPr>
        <w:t>Appendix</w:t>
      </w:r>
      <w:r w:rsidR="00C025AF" w:rsidRPr="001A6B22">
        <w:rPr>
          <w:b/>
          <w:bCs/>
        </w:rPr>
        <w:t xml:space="preserve"> </w:t>
      </w:r>
      <w:r w:rsidR="00DA7CBF" w:rsidRPr="001A6B22">
        <w:rPr>
          <w:b/>
          <w:bCs/>
        </w:rPr>
        <w:t>B</w:t>
      </w:r>
      <w:r w:rsidR="00C025AF" w:rsidRPr="00DA7CBF">
        <w:t>)</w:t>
      </w:r>
      <w:r w:rsidR="000547C9">
        <w:t>.</w:t>
      </w:r>
      <w:r w:rsidR="00C54A9B">
        <w:t xml:space="preserve"> </w:t>
      </w:r>
      <w:r w:rsidR="00C54A9B">
        <w:rPr>
          <w:lang w:eastAsia="ja-JP"/>
        </w:rPr>
        <w:t xml:space="preserve"> They will need to be weighed up against </w:t>
      </w:r>
      <w:r w:rsidR="00932755">
        <w:rPr>
          <w:lang w:eastAsia="ja-JP"/>
        </w:rPr>
        <w:t xml:space="preserve">any </w:t>
      </w:r>
      <w:r w:rsidR="00A83A39">
        <w:rPr>
          <w:lang w:eastAsia="ja-JP"/>
        </w:rPr>
        <w:t xml:space="preserve">benefits </w:t>
      </w:r>
      <w:r w:rsidR="00932755">
        <w:rPr>
          <w:lang w:eastAsia="ja-JP"/>
        </w:rPr>
        <w:t xml:space="preserve">for pet food safety </w:t>
      </w:r>
      <w:r w:rsidR="00467FD6">
        <w:rPr>
          <w:lang w:eastAsia="ja-JP"/>
        </w:rPr>
        <w:t xml:space="preserve">(i.e. reduction in the number of pet deaths and illnesses from pet food) </w:t>
      </w:r>
      <w:r w:rsidR="00A83A39">
        <w:rPr>
          <w:lang w:eastAsia="ja-JP"/>
        </w:rPr>
        <w:t>th</w:t>
      </w:r>
      <w:r w:rsidR="00932755">
        <w:rPr>
          <w:lang w:eastAsia="ja-JP"/>
        </w:rPr>
        <w:t>at government action would achieve.</w:t>
      </w:r>
    </w:p>
    <w:p w14:paraId="6AE3CB53" w14:textId="77777777" w:rsidR="00F13564" w:rsidRPr="00592774" w:rsidRDefault="00F13564" w:rsidP="001A6B22">
      <w:pPr>
        <w:pStyle w:val="Heading3"/>
      </w:pPr>
      <w:bookmarkStart w:id="58" w:name="_Toc228966448"/>
      <w:r>
        <w:lastRenderedPageBreak/>
        <w:t xml:space="preserve">Effectiveness of </w:t>
      </w:r>
      <w:r w:rsidRPr="0051039B">
        <w:t>government</w:t>
      </w:r>
      <w:r>
        <w:t xml:space="preserve"> action</w:t>
      </w:r>
      <w:bookmarkEnd w:id="58"/>
    </w:p>
    <w:p w14:paraId="443BCAA9" w14:textId="77777777" w:rsidR="00EC414B" w:rsidRDefault="006C2ADB" w:rsidP="00F13564">
      <w:r>
        <w:t xml:space="preserve">Based on the information currently available, it is </w:t>
      </w:r>
      <w:r w:rsidR="00F17C3A">
        <w:t>unknown whether any government action would reduce the number of pet deaths and illnesses from pet food</w:t>
      </w:r>
      <w:r w:rsidR="00530F1F">
        <w:t xml:space="preserve"> in Australia</w:t>
      </w:r>
      <w:r w:rsidR="00F17C3A">
        <w:t>.</w:t>
      </w:r>
    </w:p>
    <w:p w14:paraId="05C72138" w14:textId="21199F82" w:rsidR="00EC414B" w:rsidRDefault="0070510D" w:rsidP="0008340B">
      <w:r>
        <w:t xml:space="preserve">While some countries have </w:t>
      </w:r>
      <w:r w:rsidR="004E0266">
        <w:t xml:space="preserve">implemented </w:t>
      </w:r>
      <w:r>
        <w:t>government oversight or regulation of pet food safety</w:t>
      </w:r>
      <w:r w:rsidR="00486F95">
        <w:t xml:space="preserve">, there is </w:t>
      </w:r>
      <w:r w:rsidR="00EC414B">
        <w:t xml:space="preserve">little to </w:t>
      </w:r>
      <w:r w:rsidR="00486F95">
        <w:t xml:space="preserve">no </w:t>
      </w:r>
      <w:r w:rsidR="00700D98">
        <w:rPr>
          <w:lang w:eastAsia="ja-JP"/>
        </w:rPr>
        <w:t xml:space="preserve">verifiable </w:t>
      </w:r>
      <w:r w:rsidR="00486F95">
        <w:t>evidence o</w:t>
      </w:r>
      <w:r w:rsidR="007D2D63">
        <w:t>n</w:t>
      </w:r>
      <w:r w:rsidR="00486F95">
        <w:t xml:space="preserve"> the impact of regulation or </w:t>
      </w:r>
      <w:r w:rsidR="004E0266">
        <w:t xml:space="preserve">government </w:t>
      </w:r>
      <w:r w:rsidR="00486F95">
        <w:t>oversight on reducing the number pet food safety incidents and associated pet deaths or illnesses.</w:t>
      </w:r>
      <w:r w:rsidR="00650F61">
        <w:t xml:space="preserve"> </w:t>
      </w:r>
      <w:r w:rsidR="00EC414B">
        <w:t xml:space="preserve">The only study of relevance is a 2017 regulatory impact analysis </w:t>
      </w:r>
      <w:r w:rsidR="003416A3">
        <w:t>conducted</w:t>
      </w:r>
      <w:r w:rsidR="00EC414B">
        <w:t xml:space="preserve"> by </w:t>
      </w:r>
      <w:r w:rsidR="00EC414B" w:rsidRPr="00EC414B">
        <w:t>t</w:t>
      </w:r>
      <w:r w:rsidR="00EC414B" w:rsidRPr="003F58F3">
        <w:t xml:space="preserve">he U.S. Food &amp; Drug Administration (FDA) as part of their </w:t>
      </w:r>
      <w:r w:rsidR="00EC414B" w:rsidRPr="00EC414B">
        <w:t xml:space="preserve">reforms to the </w:t>
      </w:r>
      <w:r w:rsidR="00EC414B" w:rsidRPr="003F58F3">
        <w:t>Food Safety Modernization Act (FSMA) Preventive Controls for Animal Food</w:t>
      </w:r>
      <w:r w:rsidR="00EC414B" w:rsidRPr="00EC414B">
        <w:t>. Th</w:t>
      </w:r>
      <w:r w:rsidR="00EC414B">
        <w:t>ese reforms</w:t>
      </w:r>
      <w:r w:rsidR="00EC414B" w:rsidRPr="00EC414B">
        <w:t xml:space="preserve"> included adding Current Good Manufacturing Practice, Hazard Analysis, and Risk-Based Preventive Controls for Food for Animals.</w:t>
      </w:r>
      <w:r w:rsidR="00EC414B">
        <w:t xml:space="preserve"> </w:t>
      </w:r>
      <w:r w:rsidR="00EC414B" w:rsidRPr="003F58F3">
        <w:t>The</w:t>
      </w:r>
      <w:r w:rsidR="00EC414B">
        <w:t>ir</w:t>
      </w:r>
      <w:r w:rsidR="00EC414B" w:rsidRPr="003F58F3">
        <w:t xml:space="preserve"> </w:t>
      </w:r>
      <w:r w:rsidR="00EC414B">
        <w:t xml:space="preserve">analysis estimated </w:t>
      </w:r>
      <w:r w:rsidR="00EC414B" w:rsidRPr="003F58F3">
        <w:t>an average effectiveness rate that ranged from 1.8</w:t>
      </w:r>
      <w:r w:rsidR="00EC414B">
        <w:t xml:space="preserve">% </w:t>
      </w:r>
      <w:r w:rsidR="00EC414B" w:rsidRPr="003F58F3">
        <w:t>to 24.0</w:t>
      </w:r>
      <w:r w:rsidR="00EC414B">
        <w:t xml:space="preserve">% </w:t>
      </w:r>
      <w:r w:rsidR="00EC414B" w:rsidRPr="003F58F3">
        <w:t>reduction in the risk of illness and death to cats and dogs. However, the research only relied on expert opinion, which carries an inherently high level of uncertainty.</w:t>
      </w:r>
    </w:p>
    <w:p w14:paraId="10914AA5" w14:textId="56380B9E" w:rsidR="00EB4A9E" w:rsidRDefault="00763722" w:rsidP="00F13564">
      <w:r>
        <w:t>As such</w:t>
      </w:r>
      <w:r w:rsidR="00033500">
        <w:t xml:space="preserve">, </w:t>
      </w:r>
      <w:r>
        <w:t xml:space="preserve">assessing </w:t>
      </w:r>
      <w:r w:rsidR="00CE22CB">
        <w:t xml:space="preserve">the </w:t>
      </w:r>
      <w:r>
        <w:t xml:space="preserve">effectiveness </w:t>
      </w:r>
      <w:r w:rsidR="00CE22CB">
        <w:t xml:space="preserve">of </w:t>
      </w:r>
      <w:r w:rsidR="00C07571">
        <w:t xml:space="preserve">any </w:t>
      </w:r>
      <w:r w:rsidR="00CE22CB">
        <w:t xml:space="preserve">government action (such as regulation) </w:t>
      </w:r>
      <w:r>
        <w:t xml:space="preserve">in managing </w:t>
      </w:r>
      <w:r w:rsidR="00C07571">
        <w:t xml:space="preserve">pet food safety in Australia </w:t>
      </w:r>
      <w:r w:rsidR="006E0F9D">
        <w:t>will require applying a level of judgement</w:t>
      </w:r>
      <w:r w:rsidR="00120CF6">
        <w:t xml:space="preserve"> in considering ho</w:t>
      </w:r>
      <w:r w:rsidR="000A1E22">
        <w:t xml:space="preserve">w the action could theoretically </w:t>
      </w:r>
      <w:r w:rsidR="000069EE">
        <w:t xml:space="preserve">impact </w:t>
      </w:r>
      <w:r w:rsidR="000A1E22">
        <w:t>pet food safety</w:t>
      </w:r>
      <w:r w:rsidR="005B5218">
        <w:t xml:space="preserve"> and the </w:t>
      </w:r>
      <w:r w:rsidR="00CD0D68">
        <w:t xml:space="preserve">likelihood of </w:t>
      </w:r>
      <w:r w:rsidR="005B5218">
        <w:t>this</w:t>
      </w:r>
      <w:r w:rsidR="00A0226C">
        <w:t xml:space="preserve">, </w:t>
      </w:r>
      <w:proofErr w:type="gramStart"/>
      <w:r w:rsidR="00A0226C">
        <w:t xml:space="preserve">taking </w:t>
      </w:r>
      <w:r w:rsidR="009002D0">
        <w:t>into account</w:t>
      </w:r>
      <w:proofErr w:type="gramEnd"/>
      <w:r w:rsidR="009002D0">
        <w:t xml:space="preserve"> the </w:t>
      </w:r>
      <w:r>
        <w:t xml:space="preserve">evidence </w:t>
      </w:r>
      <w:r w:rsidR="009002D0">
        <w:t>currently available</w:t>
      </w:r>
      <w:r w:rsidR="000069EE">
        <w:t>.</w:t>
      </w:r>
    </w:p>
    <w:p w14:paraId="62E78CDF" w14:textId="77777777" w:rsidR="000D1300" w:rsidRDefault="00034A50" w:rsidP="00034A50">
      <w:r>
        <w:t>For example, a</w:t>
      </w:r>
      <w:r w:rsidRPr="00A30264">
        <w:t xml:space="preserve"> mandat</w:t>
      </w:r>
      <w:r>
        <w:t>ory</w:t>
      </w:r>
      <w:r w:rsidRPr="00A30264">
        <w:t xml:space="preserve"> </w:t>
      </w:r>
      <w:r>
        <w:t xml:space="preserve">pet food safety </w:t>
      </w:r>
      <w:r w:rsidRPr="00A30264">
        <w:t>standard</w:t>
      </w:r>
      <w:r>
        <w:t xml:space="preserve"> (e.g. mandating AS5812)</w:t>
      </w:r>
      <w:r w:rsidRPr="00A30264">
        <w:t xml:space="preserve"> </w:t>
      </w:r>
      <w:r>
        <w:t>c</w:t>
      </w:r>
      <w:r w:rsidRPr="00A30264">
        <w:t xml:space="preserve">ould establish a mechanism for industry-wide improvements to address known pet food safety risks. This could reduce the number of pet illnesses and deaths by limiting reoccurring risks at a larger scale, rather than relying on ad hoc changes implemented voluntarily. A mandated pet food manufacturing and labelling safety standard </w:t>
      </w:r>
      <w:r w:rsidR="000D1300">
        <w:t>c</w:t>
      </w:r>
      <w:r w:rsidRPr="00A30264">
        <w:t>ould also ensure labelling on products, including ingredients and nutritional content, is accurate which would support consumers to make more informed choices.</w:t>
      </w:r>
    </w:p>
    <w:p w14:paraId="03DCF0F1" w14:textId="1D474E52" w:rsidR="00034A50" w:rsidRPr="00A30264" w:rsidRDefault="00034A50" w:rsidP="0008340B">
      <w:r w:rsidRPr="00A30264">
        <w:t>However, the evidence of the current AS5812 standard having reduced pet food safety incidents in the past</w:t>
      </w:r>
      <w:r w:rsidR="000D1300">
        <w:t xml:space="preserve"> is inconclusive</w:t>
      </w:r>
      <w:r w:rsidRPr="00A30264">
        <w:t xml:space="preserve">. Many previous pet food safety incidents have occurred in relation to products that comply with AS5812 (or an equivalent international standard). </w:t>
      </w:r>
      <w:r w:rsidR="00447FAB">
        <w:t xml:space="preserve">For example, 10 out of 13 confirmed or suspected incidents since 2018 were linked to products that were compliant with AS5812 or a similar international standard. </w:t>
      </w:r>
      <w:r w:rsidRPr="00A30264">
        <w:t xml:space="preserve">As such, it is difficult to determine </w:t>
      </w:r>
      <w:r w:rsidR="00707211">
        <w:t xml:space="preserve">whether and if so, </w:t>
      </w:r>
      <w:r w:rsidRPr="00A30264">
        <w:t>how many</w:t>
      </w:r>
      <w:r w:rsidR="00707211">
        <w:t xml:space="preserve">, </w:t>
      </w:r>
      <w:r w:rsidRPr="00A30264">
        <w:t>pet food safety incidents would be avoided by mandating a pet food safety standard.</w:t>
      </w:r>
    </w:p>
    <w:p w14:paraId="71F7274D" w14:textId="77777777" w:rsidR="00EB4A9E" w:rsidRDefault="00EB4A9E" w:rsidP="00F13564"/>
    <w:p w14:paraId="2AC23577" w14:textId="17F579FF" w:rsidR="00F86B9C" w:rsidRDefault="000B78BB" w:rsidP="0058304F">
      <w:pPr>
        <w:pStyle w:val="Heading2"/>
        <w:numPr>
          <w:ilvl w:val="0"/>
          <w:numId w:val="4"/>
        </w:numPr>
      </w:pPr>
      <w:bookmarkStart w:id="59" w:name="_Toc139528382"/>
      <w:bookmarkStart w:id="60" w:name="_Toc139528632"/>
      <w:bookmarkStart w:id="61" w:name="_Toc139528383"/>
      <w:bookmarkStart w:id="62" w:name="_Toc139528633"/>
      <w:bookmarkStart w:id="63" w:name="_Toc139528384"/>
      <w:bookmarkStart w:id="64" w:name="_Toc139528634"/>
      <w:bookmarkStart w:id="65" w:name="_Toc139528385"/>
      <w:bookmarkStart w:id="66" w:name="_Toc139528635"/>
      <w:bookmarkStart w:id="67" w:name="_Toc139528386"/>
      <w:bookmarkStart w:id="68" w:name="_Toc139528636"/>
      <w:bookmarkStart w:id="69" w:name="_Toc139528387"/>
      <w:bookmarkStart w:id="70" w:name="_Toc139528637"/>
      <w:bookmarkStart w:id="71" w:name="_Toc139528388"/>
      <w:bookmarkStart w:id="72" w:name="_Toc139528638"/>
      <w:bookmarkStart w:id="73" w:name="_Toc139528389"/>
      <w:bookmarkStart w:id="74" w:name="_Toc139528639"/>
      <w:bookmarkStart w:id="75" w:name="_Toc139528390"/>
      <w:bookmarkStart w:id="76" w:name="_Toc139528640"/>
      <w:bookmarkStart w:id="77" w:name="_Toc139528391"/>
      <w:bookmarkStart w:id="78" w:name="_Toc139528641"/>
      <w:bookmarkStart w:id="79" w:name="_Toc139528392"/>
      <w:bookmarkStart w:id="80" w:name="_Toc139528642"/>
      <w:bookmarkStart w:id="81" w:name="_Toc139528393"/>
      <w:bookmarkStart w:id="82" w:name="_Toc139528643"/>
      <w:bookmarkStart w:id="83" w:name="_Toc139528394"/>
      <w:bookmarkStart w:id="84" w:name="_Toc139528644"/>
      <w:bookmarkStart w:id="85" w:name="_Toc138860697"/>
      <w:bookmarkStart w:id="86" w:name="_Toc139528395"/>
      <w:bookmarkStart w:id="87" w:name="_Toc139528645"/>
      <w:bookmarkStart w:id="88" w:name="_Toc138860698"/>
      <w:bookmarkStart w:id="89" w:name="_Toc139528396"/>
      <w:bookmarkStart w:id="90" w:name="_Toc139528646"/>
      <w:bookmarkStart w:id="91" w:name="_Toc138860699"/>
      <w:bookmarkStart w:id="92" w:name="_Toc139528397"/>
      <w:bookmarkStart w:id="93" w:name="_Toc139528647"/>
      <w:bookmarkStart w:id="94" w:name="_Toc138860700"/>
      <w:bookmarkStart w:id="95" w:name="_Toc139528398"/>
      <w:bookmarkStart w:id="96" w:name="_Toc139528648"/>
      <w:bookmarkStart w:id="97" w:name="_Toc138860701"/>
      <w:bookmarkStart w:id="98" w:name="_Toc139528399"/>
      <w:bookmarkStart w:id="99" w:name="_Toc139528649"/>
      <w:bookmarkStart w:id="100" w:name="_Toc138860702"/>
      <w:bookmarkStart w:id="101" w:name="_Toc139528400"/>
      <w:bookmarkStart w:id="102" w:name="_Toc139528650"/>
      <w:bookmarkStart w:id="103" w:name="_Toc138860703"/>
      <w:bookmarkStart w:id="104" w:name="_Toc139528401"/>
      <w:bookmarkStart w:id="105" w:name="_Toc139528651"/>
      <w:bookmarkStart w:id="106" w:name="_Toc138860704"/>
      <w:bookmarkStart w:id="107" w:name="_Toc139528402"/>
      <w:bookmarkStart w:id="108" w:name="_Toc139528652"/>
      <w:bookmarkStart w:id="109" w:name="_Toc138860705"/>
      <w:bookmarkStart w:id="110" w:name="_Toc139528403"/>
      <w:bookmarkStart w:id="111" w:name="_Toc139528653"/>
      <w:bookmarkStart w:id="112" w:name="_Toc138860706"/>
      <w:bookmarkStart w:id="113" w:name="_Toc139528404"/>
      <w:bookmarkStart w:id="114" w:name="_Toc139528654"/>
      <w:bookmarkStart w:id="115" w:name="_Toc138860707"/>
      <w:bookmarkStart w:id="116" w:name="_Toc139528405"/>
      <w:bookmarkStart w:id="117" w:name="_Toc139528655"/>
      <w:bookmarkStart w:id="118" w:name="_Toc138860708"/>
      <w:bookmarkStart w:id="119" w:name="_Toc139528406"/>
      <w:bookmarkStart w:id="120" w:name="_Toc139528656"/>
      <w:bookmarkStart w:id="121" w:name="_Toc22896644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lastRenderedPageBreak/>
        <w:t>Cost benefit analysis</w:t>
      </w:r>
      <w:bookmarkEnd w:id="121"/>
    </w:p>
    <w:p w14:paraId="6BF9BE55" w14:textId="77777777" w:rsidR="00F337B4" w:rsidRPr="00234E40" w:rsidRDefault="00F337B4" w:rsidP="0051039B">
      <w:pPr>
        <w:pStyle w:val="Heading3"/>
      </w:pPr>
      <w:bookmarkStart w:id="122" w:name="_Toc228966450"/>
      <w:r>
        <w:t>Analysis methodology</w:t>
      </w:r>
      <w:bookmarkEnd w:id="122"/>
    </w:p>
    <w:p w14:paraId="16C50F55" w14:textId="42D0CCF2" w:rsidR="00247ECF" w:rsidRDefault="00F337B4" w:rsidP="00F337B4">
      <w:r>
        <w:t xml:space="preserve">In accordance with the </w:t>
      </w:r>
      <w:r w:rsidR="006C3E5A">
        <w:t xml:space="preserve">previous </w:t>
      </w:r>
      <w:r>
        <w:t xml:space="preserve">decision of the Agriculture Ministers Meeting, </w:t>
      </w:r>
      <w:r w:rsidR="006C3E5A">
        <w:t>a</w:t>
      </w:r>
      <w:r>
        <w:t xml:space="preserve"> quantitative cost benefit analysis (CBA) of policy options to manage pet food safety in Australia has been undertaken</w:t>
      </w:r>
      <w:r w:rsidR="006C3E5A">
        <w:t xml:space="preserve">. This analysis has been undertaken </w:t>
      </w:r>
      <w:r w:rsidR="00163077">
        <w:t xml:space="preserve">for </w:t>
      </w:r>
      <w:r w:rsidR="006C3E5A">
        <w:t>five policy options and a base case (i.e. ‘do nothing’) option, which were identified in consultation with states and territories</w:t>
      </w:r>
      <w:r w:rsidR="00597DBF">
        <w:t xml:space="preserve"> (see Section </w:t>
      </w:r>
      <w:r w:rsidR="00597DBF" w:rsidRPr="001A6B22">
        <w:t>4.1.1</w:t>
      </w:r>
      <w:r w:rsidR="00597DBF">
        <w:t>)</w:t>
      </w:r>
      <w:r w:rsidR="006C3E5A">
        <w:t>.</w:t>
      </w:r>
      <w:r w:rsidR="00C6171F">
        <w:t xml:space="preserve"> </w:t>
      </w:r>
      <w:r w:rsidR="006F1CF4">
        <w:t>Due to limitations in the available data for key variables</w:t>
      </w:r>
      <w:r w:rsidR="000B40F3">
        <w:t xml:space="preserve"> relevant to the CBA</w:t>
      </w:r>
      <w:r w:rsidR="006F1CF4">
        <w:t xml:space="preserve">, the CBA includes </w:t>
      </w:r>
      <w:r w:rsidR="00C6171F">
        <w:t xml:space="preserve">a threshold analysis and </w:t>
      </w:r>
      <w:proofErr w:type="gramStart"/>
      <w:r w:rsidR="00C6171F">
        <w:t>a number of</w:t>
      </w:r>
      <w:proofErr w:type="gramEnd"/>
      <w:r w:rsidR="00C6171F">
        <w:t xml:space="preserve"> sensitivity analys</w:t>
      </w:r>
      <w:r w:rsidR="000B40F3">
        <w:t>es</w:t>
      </w:r>
      <w:r w:rsidR="00091B75">
        <w:t xml:space="preserve"> (see Sections </w:t>
      </w:r>
      <w:r w:rsidR="00091B75" w:rsidRPr="001A6B22">
        <w:t>4.1.2 and 4.1.3</w:t>
      </w:r>
      <w:r w:rsidR="00091B75">
        <w:t>).</w:t>
      </w:r>
    </w:p>
    <w:p w14:paraId="2C4B7ECC" w14:textId="46509669" w:rsidR="00A34611" w:rsidRDefault="00A34611" w:rsidP="00F337B4">
      <w:r>
        <w:t>The CBA did not consider funding models or mechanisms</w:t>
      </w:r>
      <w:r w:rsidR="003760BE">
        <w:t xml:space="preserve"> that practically measured funding distribution</w:t>
      </w:r>
      <w:r>
        <w:t xml:space="preserve">, rather it focussed on the total costs. For example, </w:t>
      </w:r>
      <w:r w:rsidR="003760BE">
        <w:t xml:space="preserve">in practice, </w:t>
      </w:r>
      <w:r>
        <w:t>government costs could be cost</w:t>
      </w:r>
      <w:r w:rsidR="00F862B8">
        <w:t xml:space="preserve"> </w:t>
      </w:r>
      <w:r w:rsidR="00864FE0">
        <w:t>recovered</w:t>
      </w:r>
      <w:r>
        <w:t xml:space="preserve"> and industry costs could be passed on to consumers</w:t>
      </w:r>
      <w:r w:rsidR="003760BE">
        <w:t>. This was not considered in the CBA</w:t>
      </w:r>
      <w:r>
        <w:t xml:space="preserve">. </w:t>
      </w:r>
      <w:r w:rsidR="001B3D60">
        <w:t>For the options involving regulation, the CBA did not determine specific regulators and legislative frameworks to implement the options. This is because there are complex and competing considerations in determining which regulators and legislative frameworks would be most appropriate and able to implement the options. For example, the ACCC have provided advice on the significant challenges to using the Australian Consumer Law framework to implement pet food safety regulations.</w:t>
      </w:r>
    </w:p>
    <w:p w14:paraId="0A7C7C6E" w14:textId="6D5661DB" w:rsidR="00597DBF" w:rsidRDefault="00F337B4" w:rsidP="00F337B4">
      <w:pPr>
        <w:rPr>
          <w:lang w:eastAsia="ja-JP"/>
        </w:rPr>
      </w:pPr>
      <w:r>
        <w:t xml:space="preserve">The </w:t>
      </w:r>
      <w:r w:rsidR="00091B75">
        <w:t xml:space="preserve">full detail of the </w:t>
      </w:r>
      <w:r>
        <w:t xml:space="preserve">methodology adopted to undertake this </w:t>
      </w:r>
      <w:r>
        <w:rPr>
          <w:lang w:eastAsia="ja-JP"/>
        </w:rPr>
        <w:t xml:space="preserve">analysis is </w:t>
      </w:r>
      <w:r w:rsidR="00091B75">
        <w:rPr>
          <w:lang w:eastAsia="ja-JP"/>
        </w:rPr>
        <w:t xml:space="preserve">provided </w:t>
      </w:r>
      <w:r>
        <w:rPr>
          <w:lang w:eastAsia="ja-JP"/>
        </w:rPr>
        <w:t>in the CBA report on policy options to manage pet food safety in Australia</w:t>
      </w:r>
      <w:r w:rsidR="00597DBF">
        <w:rPr>
          <w:lang w:eastAsia="ja-JP"/>
        </w:rPr>
        <w:t xml:space="preserve"> (</w:t>
      </w:r>
      <w:r w:rsidR="00111C5A" w:rsidRPr="001A6B22">
        <w:rPr>
          <w:b/>
          <w:bCs/>
          <w:lang w:eastAsia="ja-JP"/>
        </w:rPr>
        <w:t>Appendix</w:t>
      </w:r>
      <w:r w:rsidR="00597DBF" w:rsidRPr="001A6B22">
        <w:rPr>
          <w:b/>
          <w:bCs/>
          <w:lang w:eastAsia="ja-JP"/>
        </w:rPr>
        <w:t xml:space="preserve"> </w:t>
      </w:r>
      <w:r w:rsidR="00DA7CBF" w:rsidRPr="001A6B22">
        <w:rPr>
          <w:b/>
          <w:bCs/>
          <w:lang w:eastAsia="ja-JP"/>
        </w:rPr>
        <w:t>B</w:t>
      </w:r>
      <w:r w:rsidR="00597DBF">
        <w:rPr>
          <w:lang w:eastAsia="ja-JP"/>
        </w:rPr>
        <w:t>)</w:t>
      </w:r>
      <w:r>
        <w:rPr>
          <w:lang w:eastAsia="ja-JP"/>
        </w:rPr>
        <w:t>.</w:t>
      </w:r>
      <w:r w:rsidR="00E31ADD">
        <w:rPr>
          <w:lang w:eastAsia="ja-JP"/>
        </w:rPr>
        <w:t xml:space="preserve"> </w:t>
      </w:r>
    </w:p>
    <w:p w14:paraId="3B1A9CC2" w14:textId="4E403D99" w:rsidR="00785D7C" w:rsidRDefault="00785D7C" w:rsidP="0008340B">
      <w:pPr>
        <w:pStyle w:val="Heading4"/>
      </w:pPr>
      <w:r>
        <w:t>Identification of policy options</w:t>
      </w:r>
    </w:p>
    <w:p w14:paraId="2BCAEA22" w14:textId="5FF1BC5A" w:rsidR="00785D7C" w:rsidRDefault="009936E9" w:rsidP="00785D7C">
      <w:r>
        <w:t xml:space="preserve">Previous reviews in relation to pet food safety in Australia have identified </w:t>
      </w:r>
      <w:r w:rsidR="00785D7C">
        <w:t xml:space="preserve">a broad range of possible policy options to manage pet food safety in Australia. Based on </w:t>
      </w:r>
      <w:r w:rsidR="0074776E">
        <w:t xml:space="preserve">these </w:t>
      </w:r>
      <w:r w:rsidR="00785D7C">
        <w:t>reviews</w:t>
      </w:r>
      <w:r w:rsidR="0074776E">
        <w:t xml:space="preserve"> and in consultation with all states and territories</w:t>
      </w:r>
      <w:r w:rsidR="00785D7C">
        <w:t xml:space="preserve">, </w:t>
      </w:r>
      <w:r w:rsidR="00597DBF">
        <w:t>five</w:t>
      </w:r>
      <w:r w:rsidR="00785D7C">
        <w:t xml:space="preserve"> policy options </w:t>
      </w:r>
      <w:r w:rsidR="00597DBF">
        <w:t xml:space="preserve">and a ‘base case’ option </w:t>
      </w:r>
      <w:r w:rsidR="00785D7C">
        <w:t xml:space="preserve">have been identified for </w:t>
      </w:r>
      <w:r w:rsidR="00F337B4">
        <w:t xml:space="preserve">the purposes of the cost benefit </w:t>
      </w:r>
      <w:r w:rsidR="00785D7C">
        <w:t>analysis. These policy options are:</w:t>
      </w:r>
    </w:p>
    <w:p w14:paraId="2284E9A1" w14:textId="7323A596" w:rsidR="00785D7C" w:rsidRDefault="00785D7C" w:rsidP="00743848">
      <w:pPr>
        <w:pStyle w:val="ListBullet"/>
        <w:numPr>
          <w:ilvl w:val="0"/>
          <w:numId w:val="29"/>
        </w:numPr>
      </w:pPr>
      <w:r>
        <w:t>Option 1:</w:t>
      </w:r>
      <w:r w:rsidR="00F337B4">
        <w:t xml:space="preserve"> </w:t>
      </w:r>
      <w:r>
        <w:t xml:space="preserve">Maintaining the status quo (a </w:t>
      </w:r>
      <w:r w:rsidRPr="0018327E">
        <w:t>self-regulatory model</w:t>
      </w:r>
      <w:r>
        <w:t>)</w:t>
      </w:r>
      <w:r w:rsidR="00597DBF">
        <w:t xml:space="preserve"> – ‘base case’ option</w:t>
      </w:r>
    </w:p>
    <w:p w14:paraId="60037FB5" w14:textId="77777777" w:rsidR="00785D7C" w:rsidRDefault="00785D7C" w:rsidP="00743848">
      <w:pPr>
        <w:pStyle w:val="ListBullet"/>
        <w:numPr>
          <w:ilvl w:val="0"/>
          <w:numId w:val="29"/>
        </w:numPr>
      </w:pPr>
      <w:r>
        <w:t>Option 2: Co-regulation with a major or serious event response framework</w:t>
      </w:r>
    </w:p>
    <w:p w14:paraId="014721C4" w14:textId="77777777" w:rsidR="00785D7C" w:rsidRDefault="00785D7C" w:rsidP="00743848">
      <w:pPr>
        <w:pStyle w:val="ListBullet"/>
        <w:numPr>
          <w:ilvl w:val="0"/>
          <w:numId w:val="29"/>
        </w:numPr>
      </w:pPr>
      <w:r>
        <w:t>Option 2A: Option 2 with no mandatory standard</w:t>
      </w:r>
    </w:p>
    <w:p w14:paraId="20E71BF8" w14:textId="77777777" w:rsidR="00785D7C" w:rsidRDefault="00785D7C" w:rsidP="00743848">
      <w:pPr>
        <w:pStyle w:val="ListBullet"/>
        <w:numPr>
          <w:ilvl w:val="0"/>
          <w:numId w:val="29"/>
        </w:numPr>
      </w:pPr>
      <w:r>
        <w:t>Option 3: Report and response-based national regulation including complaints handling</w:t>
      </w:r>
    </w:p>
    <w:p w14:paraId="7FC1340F" w14:textId="77777777" w:rsidR="00785D7C" w:rsidRDefault="00785D7C" w:rsidP="00743848">
      <w:pPr>
        <w:pStyle w:val="ListBullet"/>
        <w:numPr>
          <w:ilvl w:val="0"/>
          <w:numId w:val="29"/>
        </w:numPr>
      </w:pPr>
      <w:r>
        <w:t>Option 3A: Option 3 with no mandatory standard</w:t>
      </w:r>
    </w:p>
    <w:p w14:paraId="31F71770" w14:textId="77777777" w:rsidR="00785D7C" w:rsidRDefault="00785D7C" w:rsidP="00743848">
      <w:pPr>
        <w:pStyle w:val="ListBullet"/>
        <w:numPr>
          <w:ilvl w:val="0"/>
          <w:numId w:val="29"/>
        </w:numPr>
      </w:pPr>
      <w:r>
        <w:t>Option 4: Active national regulation</w:t>
      </w:r>
    </w:p>
    <w:p w14:paraId="6F4B046B" w14:textId="77777777" w:rsidR="00785D7C" w:rsidRDefault="00785D7C" w:rsidP="00785D7C">
      <w:r>
        <w:t>These options are intended to apply only to the manufacture of pet food</w:t>
      </w:r>
      <w:r w:rsidRPr="006F3381">
        <w:t xml:space="preserve"> </w:t>
      </w:r>
      <w:r>
        <w:t>for cats and dogs. Consideration of options to manage the safety of food for other pets (e.g. birds, fish or reptiles) are out of scope.</w:t>
      </w:r>
    </w:p>
    <w:p w14:paraId="619E5DDB" w14:textId="4702780A" w:rsidR="00F86B9C" w:rsidRDefault="00F86B9C" w:rsidP="0008340B">
      <w:pPr>
        <w:pStyle w:val="Heading4"/>
        <w:numPr>
          <w:ilvl w:val="0"/>
          <w:numId w:val="0"/>
        </w:numPr>
        <w:ind w:left="964" w:hanging="964"/>
      </w:pPr>
      <w:bookmarkStart w:id="123" w:name="_Toc138860710"/>
      <w:bookmarkStart w:id="124" w:name="_Toc138860711"/>
      <w:bookmarkStart w:id="125" w:name="_Toc118875810"/>
      <w:bookmarkStart w:id="126" w:name="_Toc119913983"/>
      <w:bookmarkEnd w:id="123"/>
      <w:bookmarkEnd w:id="124"/>
      <w:bookmarkEnd w:id="125"/>
      <w:bookmarkEnd w:id="126"/>
      <w:r>
        <w:lastRenderedPageBreak/>
        <w:t>Option 1: Maintain the status quo (self-regulation)</w:t>
      </w:r>
      <w:r w:rsidR="00597DBF">
        <w:t xml:space="preserve"> – ‘base case’ option</w:t>
      </w:r>
    </w:p>
    <w:p w14:paraId="618CA2AE" w14:textId="77777777" w:rsidR="006C72F9" w:rsidRDefault="00F86B9C" w:rsidP="00F86B9C">
      <w:pPr>
        <w:rPr>
          <w:lang w:eastAsia="ja-JP"/>
        </w:rPr>
      </w:pPr>
      <w:r>
        <w:rPr>
          <w:lang w:eastAsia="ja-JP"/>
        </w:rPr>
        <w:t>The first option considered to address the policy problems is for the current self-regulatory model (as described in section 2) to be maintained.</w:t>
      </w:r>
    </w:p>
    <w:p w14:paraId="138388EE" w14:textId="41366F59" w:rsidR="00F86B9C" w:rsidRDefault="00F86B9C" w:rsidP="00F86B9C">
      <w:pPr>
        <w:rPr>
          <w:lang w:eastAsia="ja-JP"/>
        </w:rPr>
      </w:pPr>
      <w:r>
        <w:rPr>
          <w:lang w:eastAsia="ja-JP"/>
        </w:rPr>
        <w:t>Under this option, there would continue to be a voluntary industry standard for the manufacture and marketing of pet food (AS5812)</w:t>
      </w:r>
      <w:r w:rsidR="00746E8E">
        <w:rPr>
          <w:lang w:eastAsia="ja-JP"/>
        </w:rPr>
        <w:t>, which is equivalent to the pet food safety standards of many other countries</w:t>
      </w:r>
      <w:r>
        <w:rPr>
          <w:lang w:eastAsia="ja-JP"/>
        </w:rPr>
        <w:t xml:space="preserve">. The current incident reporting system, PetFAST, would continue to be operated by the AVA on a volunteer basis, with support by the PFIAA. Any responses to pet food safety incidents would continue to be handled by relevant manufacturers and importers, supported by the PFIAA where appropriate. </w:t>
      </w:r>
      <w:r w:rsidR="00AF3C92">
        <w:rPr>
          <w:lang w:eastAsia="ja-JP"/>
        </w:rPr>
        <w:t xml:space="preserve">In this regard, </w:t>
      </w:r>
      <w:r w:rsidR="00B56C5F">
        <w:rPr>
          <w:lang w:eastAsia="ja-JP"/>
        </w:rPr>
        <w:t>jurisdictions</w:t>
      </w:r>
      <w:r w:rsidR="00AF3C92">
        <w:rPr>
          <w:lang w:eastAsia="ja-JP"/>
        </w:rPr>
        <w:t xml:space="preserve"> would not take any direct action to respond to such incidents </w:t>
      </w:r>
      <w:r w:rsidR="00663496">
        <w:rPr>
          <w:lang w:eastAsia="ja-JP"/>
        </w:rPr>
        <w:t xml:space="preserve">involving manufactured pet food </w:t>
      </w:r>
      <w:r w:rsidR="00AF3C92">
        <w:rPr>
          <w:lang w:eastAsia="ja-JP"/>
        </w:rPr>
        <w:t xml:space="preserve">and allow industry to resolve matters </w:t>
      </w:r>
      <w:r w:rsidR="00F71CBD">
        <w:rPr>
          <w:lang w:eastAsia="ja-JP"/>
        </w:rPr>
        <w:t xml:space="preserve">with consumers </w:t>
      </w:r>
      <w:r w:rsidR="00AF3C92">
        <w:rPr>
          <w:lang w:eastAsia="ja-JP"/>
        </w:rPr>
        <w:t xml:space="preserve">on its own. </w:t>
      </w:r>
    </w:p>
    <w:p w14:paraId="3828DB4B" w14:textId="0659D36D" w:rsidR="00F86B9C" w:rsidRPr="002B4355" w:rsidRDefault="00F86B9C" w:rsidP="0008340B">
      <w:pPr>
        <w:pStyle w:val="Heading4"/>
        <w:numPr>
          <w:ilvl w:val="0"/>
          <w:numId w:val="0"/>
        </w:numPr>
        <w:ind w:left="964" w:hanging="964"/>
      </w:pPr>
      <w:r>
        <w:t xml:space="preserve">Option 2: </w:t>
      </w:r>
      <w:r w:rsidRPr="002B4355">
        <w:t xml:space="preserve">Co-regulation </w:t>
      </w:r>
      <w:r w:rsidRPr="003120B7">
        <w:t>with</w:t>
      </w:r>
      <w:r w:rsidRPr="002B4355">
        <w:t xml:space="preserve"> </w:t>
      </w:r>
      <w:r w:rsidR="005E6DBD">
        <w:t>major or serious event</w:t>
      </w:r>
      <w:r w:rsidR="005E6DBD" w:rsidRPr="002B4355">
        <w:t xml:space="preserve"> </w:t>
      </w:r>
      <w:r w:rsidRPr="002B4355">
        <w:t>response framework</w:t>
      </w:r>
    </w:p>
    <w:p w14:paraId="12719501" w14:textId="7CD7D546" w:rsidR="00F86B9C" w:rsidRDefault="00F86B9C" w:rsidP="00F86B9C">
      <w:pPr>
        <w:rPr>
          <w:lang w:eastAsia="ja-JP"/>
        </w:rPr>
      </w:pPr>
      <w:r>
        <w:rPr>
          <w:lang w:eastAsia="ja-JP"/>
        </w:rPr>
        <w:t xml:space="preserve">In Option 2, </w:t>
      </w:r>
      <w:r w:rsidR="003E2B06">
        <w:rPr>
          <w:lang w:eastAsia="ja-JP"/>
        </w:rPr>
        <w:t xml:space="preserve">jurisdictions </w:t>
      </w:r>
      <w:r>
        <w:rPr>
          <w:lang w:eastAsia="ja-JP"/>
        </w:rPr>
        <w:t xml:space="preserve">would co-regulate pet food safety with the pet food industry by intervening in </w:t>
      </w:r>
      <w:r w:rsidR="00963BFA">
        <w:t>major or serious events</w:t>
      </w:r>
      <w:r>
        <w:rPr>
          <w:lang w:eastAsia="ja-JP"/>
        </w:rPr>
        <w:t xml:space="preserve">. </w:t>
      </w:r>
      <w:r w:rsidR="004E3833">
        <w:rPr>
          <w:lang w:eastAsia="ja-JP"/>
        </w:rPr>
        <w:t xml:space="preserve">A major or serious event </w:t>
      </w:r>
      <w:r w:rsidR="006A6C11">
        <w:rPr>
          <w:lang w:eastAsia="ja-JP"/>
        </w:rPr>
        <w:t xml:space="preserve">would </w:t>
      </w:r>
      <w:r w:rsidR="004E3833">
        <w:rPr>
          <w:lang w:eastAsia="ja-JP"/>
        </w:rPr>
        <w:t>occur where there is a problem with the manufacture or formulation or pet food</w:t>
      </w:r>
      <w:r w:rsidR="00617106">
        <w:rPr>
          <w:lang w:eastAsia="ja-JP"/>
        </w:rPr>
        <w:t xml:space="preserve"> that repeatedly causes ill health and/or death in pets, such as </w:t>
      </w:r>
      <w:r w:rsidR="00121BE7">
        <w:rPr>
          <w:lang w:eastAsia="ja-JP"/>
        </w:rPr>
        <w:t xml:space="preserve">the </w:t>
      </w:r>
      <w:r w:rsidR="00C0373A">
        <w:rPr>
          <w:lang w:eastAsia="ja-JP"/>
        </w:rPr>
        <w:t xml:space="preserve">2017 thiamine deficiency </w:t>
      </w:r>
      <w:r w:rsidR="00B6489D">
        <w:rPr>
          <w:lang w:eastAsia="ja-JP"/>
        </w:rPr>
        <w:t xml:space="preserve">in cat food incident and the 2018 </w:t>
      </w:r>
      <w:r w:rsidR="009765D6">
        <w:rPr>
          <w:lang w:eastAsia="ja-JP"/>
        </w:rPr>
        <w:t xml:space="preserve">megaoesophagus </w:t>
      </w:r>
      <w:r w:rsidR="00D75931">
        <w:rPr>
          <w:lang w:eastAsia="ja-JP"/>
        </w:rPr>
        <w:t>from dog food incident</w:t>
      </w:r>
      <w:r w:rsidR="00121BE7">
        <w:rPr>
          <w:lang w:eastAsia="ja-JP"/>
        </w:rPr>
        <w:t xml:space="preserve">. </w:t>
      </w:r>
      <w:r>
        <w:rPr>
          <w:lang w:eastAsia="ja-JP"/>
        </w:rPr>
        <w:t>This option would have some similarities to the European regulatory approach to managing the safety of pet food.</w:t>
      </w:r>
    </w:p>
    <w:p w14:paraId="7501FBA6" w14:textId="39A18587" w:rsidR="00DF6BF9" w:rsidRPr="0008340B" w:rsidRDefault="00DF6BF9" w:rsidP="00F86B9C">
      <w:pPr>
        <w:rPr>
          <w:b/>
          <w:bCs/>
          <w:i/>
          <w:iCs/>
          <w:lang w:eastAsia="ja-JP"/>
        </w:rPr>
      </w:pPr>
      <w:r w:rsidRPr="0008340B">
        <w:rPr>
          <w:b/>
          <w:bCs/>
          <w:i/>
          <w:iCs/>
          <w:lang w:eastAsia="ja-JP"/>
        </w:rPr>
        <w:t>Major or serious event response framework</w:t>
      </w:r>
    </w:p>
    <w:p w14:paraId="2A6E0927" w14:textId="35E79623" w:rsidR="00F86B9C" w:rsidRDefault="00F86B9C" w:rsidP="00F86B9C">
      <w:pPr>
        <w:rPr>
          <w:lang w:eastAsia="ja-JP"/>
        </w:rPr>
      </w:pPr>
      <w:r w:rsidRPr="74E83BFF">
        <w:rPr>
          <w:lang w:eastAsia="ja-JP"/>
        </w:rPr>
        <w:t>L</w:t>
      </w:r>
      <w:r>
        <w:rPr>
          <w:lang w:eastAsia="ja-JP"/>
        </w:rPr>
        <w:t>egislation</w:t>
      </w:r>
      <w:r w:rsidRPr="74E83BFF">
        <w:rPr>
          <w:lang w:eastAsia="ja-JP"/>
        </w:rPr>
        <w:t xml:space="preserve"> </w:t>
      </w:r>
      <w:r>
        <w:rPr>
          <w:lang w:eastAsia="ja-JP"/>
        </w:rPr>
        <w:t xml:space="preserve">would be introduced to enable </w:t>
      </w:r>
      <w:r w:rsidR="00800780">
        <w:rPr>
          <w:lang w:eastAsia="ja-JP"/>
        </w:rPr>
        <w:t>jurisdictions</w:t>
      </w:r>
      <w:r>
        <w:rPr>
          <w:lang w:eastAsia="ja-JP"/>
        </w:rPr>
        <w:t xml:space="preserve"> to intervene </w:t>
      </w:r>
      <w:r w:rsidR="003932A3">
        <w:rPr>
          <w:lang w:eastAsia="ja-JP"/>
        </w:rPr>
        <w:t xml:space="preserve">in </w:t>
      </w:r>
      <w:r w:rsidR="003932A3" w:rsidRPr="00845C74">
        <w:rPr>
          <w:lang w:eastAsia="ja-JP"/>
        </w:rPr>
        <w:t>specific limited circumstances</w:t>
      </w:r>
      <w:r w:rsidR="003932A3">
        <w:rPr>
          <w:lang w:eastAsia="ja-JP"/>
        </w:rPr>
        <w:t xml:space="preserve"> such as </w:t>
      </w:r>
      <w:r w:rsidR="00963BFA">
        <w:rPr>
          <w:lang w:eastAsia="ja-JP"/>
        </w:rPr>
        <w:t>major or serious events</w:t>
      </w:r>
      <w:r w:rsidR="007638A2">
        <w:rPr>
          <w:lang w:eastAsia="ja-JP"/>
        </w:rPr>
        <w:t xml:space="preserve"> to </w:t>
      </w:r>
      <w:r w:rsidR="002155B5">
        <w:rPr>
          <w:lang w:eastAsia="ja-JP"/>
        </w:rPr>
        <w:t xml:space="preserve">help reduce </w:t>
      </w:r>
      <w:r w:rsidR="007638A2">
        <w:rPr>
          <w:lang w:eastAsia="ja-JP"/>
        </w:rPr>
        <w:t>the magnitude and severity of pet food safety incident</w:t>
      </w:r>
      <w:r w:rsidR="002155B5">
        <w:rPr>
          <w:lang w:eastAsia="ja-JP"/>
        </w:rPr>
        <w:t>s</w:t>
      </w:r>
      <w:r>
        <w:rPr>
          <w:lang w:eastAsia="ja-JP"/>
        </w:rPr>
        <w:t xml:space="preserve">. </w:t>
      </w:r>
      <w:r w:rsidR="00BB3344">
        <w:rPr>
          <w:lang w:eastAsia="ja-JP"/>
        </w:rPr>
        <w:t>Government intervention</w:t>
      </w:r>
      <w:r>
        <w:rPr>
          <w:lang w:eastAsia="ja-JP"/>
        </w:rPr>
        <w:t xml:space="preserve"> could occur </w:t>
      </w:r>
      <w:r w:rsidRPr="00845C74">
        <w:rPr>
          <w:lang w:eastAsia="ja-JP"/>
        </w:rPr>
        <w:t>where an industry response to a major pet food safety risk or incident is assessed to be inadequate</w:t>
      </w:r>
      <w:r>
        <w:rPr>
          <w:lang w:eastAsia="ja-JP"/>
        </w:rPr>
        <w:t xml:space="preserve"> and there is a strong need for government intervention to protect pet safety</w:t>
      </w:r>
      <w:r w:rsidRPr="00845C74">
        <w:rPr>
          <w:lang w:eastAsia="ja-JP"/>
        </w:rPr>
        <w:t>.</w:t>
      </w:r>
      <w:r>
        <w:rPr>
          <w:lang w:eastAsia="ja-JP"/>
        </w:rPr>
        <w:t xml:space="preserve"> Government intervention could include undertaking investigations, mandating a product recall</w:t>
      </w:r>
      <w:r w:rsidR="00BF1D70">
        <w:rPr>
          <w:lang w:eastAsia="ja-JP"/>
        </w:rPr>
        <w:t xml:space="preserve"> (i.e. to remove potentially dangerous products off shelves)</w:t>
      </w:r>
      <w:r>
        <w:rPr>
          <w:lang w:eastAsia="ja-JP"/>
        </w:rPr>
        <w:t>, holding an imported product, or undertaking enforcement action for serious non-compliance (e.g.</w:t>
      </w:r>
      <w:r w:rsidR="006273A5">
        <w:rPr>
          <w:lang w:eastAsia="ja-JP"/>
        </w:rPr>
        <w:t xml:space="preserve"> fines, prosecutions</w:t>
      </w:r>
      <w:r>
        <w:rPr>
          <w:lang w:eastAsia="ja-JP"/>
        </w:rPr>
        <w:t>).</w:t>
      </w:r>
      <w:r w:rsidRPr="000050B7">
        <w:rPr>
          <w:lang w:eastAsia="ja-JP"/>
        </w:rPr>
        <w:t xml:space="preserve"> </w:t>
      </w:r>
      <w:r w:rsidR="002A356E">
        <w:rPr>
          <w:lang w:eastAsia="ja-JP"/>
        </w:rPr>
        <w:t xml:space="preserve">State and territory governments would be primarily responsible for undertaking any government intervention, with national coordination support by the Commonwealth and in collaboration with industry (e.g. PFIAA). </w:t>
      </w:r>
      <w:r w:rsidR="00F45C0F">
        <w:rPr>
          <w:lang w:eastAsia="ja-JP"/>
        </w:rPr>
        <w:t xml:space="preserve">The Commonwealth would </w:t>
      </w:r>
      <w:r w:rsidR="002E72DF">
        <w:rPr>
          <w:lang w:eastAsia="ja-JP"/>
        </w:rPr>
        <w:t xml:space="preserve">also </w:t>
      </w:r>
      <w:r w:rsidR="00F45C0F">
        <w:rPr>
          <w:lang w:eastAsia="ja-JP"/>
        </w:rPr>
        <w:t xml:space="preserve">have responsibility </w:t>
      </w:r>
      <w:r w:rsidR="006E3C15">
        <w:rPr>
          <w:lang w:eastAsia="ja-JP"/>
        </w:rPr>
        <w:t xml:space="preserve">for </w:t>
      </w:r>
      <w:r w:rsidR="00F45C0F">
        <w:rPr>
          <w:lang w:eastAsia="ja-JP"/>
        </w:rPr>
        <w:t xml:space="preserve">imported products. </w:t>
      </w:r>
    </w:p>
    <w:p w14:paraId="36A27385" w14:textId="66910610" w:rsidR="000E614F" w:rsidRDefault="00E10BB9" w:rsidP="00F86B9C">
      <w:pPr>
        <w:rPr>
          <w:lang w:eastAsia="ja-JP"/>
        </w:rPr>
      </w:pPr>
      <w:r>
        <w:rPr>
          <w:lang w:eastAsia="ja-JP"/>
        </w:rPr>
        <w:t xml:space="preserve">While this could help reduce the scale and severity of pet food safety incidents when they are identified, </w:t>
      </w:r>
      <w:r w:rsidRPr="00A30264">
        <w:t xml:space="preserve">the capacity for effective government intervention would rely on the current PetFAST monitoring and reporting system, which has limitations (see Section </w:t>
      </w:r>
      <w:r w:rsidRPr="001A6B22">
        <w:t>2.2.2</w:t>
      </w:r>
      <w:r w:rsidRPr="00A30264">
        <w:t>)</w:t>
      </w:r>
      <w:r>
        <w:t xml:space="preserve">. </w:t>
      </w:r>
      <w:r w:rsidRPr="00A30264">
        <w:t xml:space="preserve">Additionally, a government response under this option </w:t>
      </w:r>
      <w:r w:rsidR="003F0F61">
        <w:t>would</w:t>
      </w:r>
      <w:r w:rsidRPr="00A30264">
        <w:t xml:space="preserve"> be limited to ‘major or series events’, which would be a subset of all pet food safety incidents.</w:t>
      </w:r>
    </w:p>
    <w:p w14:paraId="772BA53A" w14:textId="3AB27FA1" w:rsidR="00DF6BF9" w:rsidRPr="0008340B" w:rsidRDefault="00DF6BF9" w:rsidP="00D7390B">
      <w:pPr>
        <w:keepNext/>
        <w:rPr>
          <w:b/>
          <w:bCs/>
          <w:i/>
          <w:iCs/>
          <w:lang w:eastAsia="ja-JP"/>
        </w:rPr>
      </w:pPr>
      <w:r w:rsidRPr="0008340B">
        <w:rPr>
          <w:b/>
          <w:bCs/>
          <w:i/>
          <w:iCs/>
          <w:lang w:eastAsia="ja-JP"/>
        </w:rPr>
        <w:lastRenderedPageBreak/>
        <w:t>Mandatory standard</w:t>
      </w:r>
    </w:p>
    <w:p w14:paraId="210A8CC4" w14:textId="55FD72D8" w:rsidR="00091732" w:rsidRDefault="00F86B9C" w:rsidP="00F86B9C">
      <w:pPr>
        <w:rPr>
          <w:lang w:eastAsia="ja-JP"/>
        </w:rPr>
      </w:pPr>
      <w:r w:rsidRPr="74E83BFF">
        <w:rPr>
          <w:lang w:eastAsia="ja-JP"/>
        </w:rPr>
        <w:t>L</w:t>
      </w:r>
      <w:r>
        <w:rPr>
          <w:lang w:eastAsia="ja-JP"/>
        </w:rPr>
        <w:t>egislation</w:t>
      </w:r>
      <w:r w:rsidRPr="74E83BFF">
        <w:rPr>
          <w:lang w:eastAsia="ja-JP"/>
        </w:rPr>
        <w:t xml:space="preserve"> </w:t>
      </w:r>
      <w:r>
        <w:rPr>
          <w:lang w:eastAsia="ja-JP"/>
        </w:rPr>
        <w:t>would also be introduced to mandate compliance with the Australian industry standard for the manufacture and marketing of pet food (AS5812) for all pet food sold in Australia.</w:t>
      </w:r>
      <w:r w:rsidDel="00CE64A2">
        <w:rPr>
          <w:lang w:eastAsia="ja-JP"/>
        </w:rPr>
        <w:t xml:space="preserve"> </w:t>
      </w:r>
      <w:r>
        <w:rPr>
          <w:lang w:eastAsia="ja-JP"/>
        </w:rPr>
        <w:t xml:space="preserve">Industry would self-manage compliance with the standard, supported by existing industry mechanisms (e.g. PFIAA) and public engagement (e.g. increased consumer awareness of AS5812) to ensure compliance </w:t>
      </w:r>
      <w:r w:rsidR="004E1F5B">
        <w:rPr>
          <w:lang w:eastAsia="ja-JP"/>
        </w:rPr>
        <w:t>and enforcement.</w:t>
      </w:r>
      <w:r w:rsidR="00091732">
        <w:rPr>
          <w:lang w:eastAsia="ja-JP"/>
        </w:rPr>
        <w:t xml:space="preserve"> </w:t>
      </w:r>
    </w:p>
    <w:p w14:paraId="0AF48DF6" w14:textId="660D3A1F" w:rsidR="00DF6BF9" w:rsidRDefault="00180C7F" w:rsidP="00F86B9C">
      <w:pPr>
        <w:rPr>
          <w:lang w:eastAsia="ja-JP"/>
        </w:rPr>
      </w:pPr>
      <w:r>
        <w:rPr>
          <w:lang w:eastAsia="ja-JP"/>
        </w:rPr>
        <w:t xml:space="preserve">As noted in Section </w:t>
      </w:r>
      <w:r w:rsidRPr="001A6B22">
        <w:rPr>
          <w:lang w:eastAsia="ja-JP"/>
        </w:rPr>
        <w:t>3.3</w:t>
      </w:r>
      <w:r>
        <w:rPr>
          <w:lang w:eastAsia="ja-JP"/>
        </w:rPr>
        <w:t xml:space="preserve">, </w:t>
      </w:r>
      <w:r w:rsidRPr="00A30264">
        <w:t xml:space="preserve">it is difficult to determine </w:t>
      </w:r>
      <w:r w:rsidR="009C159B">
        <w:t xml:space="preserve">what (if any) impact on pet food safety </w:t>
      </w:r>
      <w:r w:rsidRPr="00A30264">
        <w:t>mandating a pet food safety standard</w:t>
      </w:r>
      <w:r w:rsidR="009C159B">
        <w:t xml:space="preserve"> would have</w:t>
      </w:r>
      <w:r w:rsidRPr="00A30264">
        <w:t>.</w:t>
      </w:r>
    </w:p>
    <w:p w14:paraId="34D3613B" w14:textId="5B45692E" w:rsidR="00DF6BF9" w:rsidRPr="0008340B" w:rsidRDefault="00DF6BF9" w:rsidP="00F86B9C">
      <w:pPr>
        <w:rPr>
          <w:b/>
          <w:bCs/>
          <w:i/>
          <w:iCs/>
          <w:lang w:eastAsia="ja-JP"/>
        </w:rPr>
      </w:pPr>
      <w:r w:rsidRPr="0008340B">
        <w:rPr>
          <w:b/>
          <w:bCs/>
          <w:i/>
          <w:iCs/>
          <w:lang w:eastAsia="ja-JP"/>
        </w:rPr>
        <w:t>Incident reporting and complaints handling</w:t>
      </w:r>
    </w:p>
    <w:p w14:paraId="4F7A44A8" w14:textId="786183F7" w:rsidR="009813AC" w:rsidRDefault="00F86B9C" w:rsidP="00F86B9C">
      <w:pPr>
        <w:rPr>
          <w:lang w:eastAsia="ja-JP"/>
        </w:rPr>
      </w:pPr>
      <w:r>
        <w:rPr>
          <w:lang w:eastAsia="ja-JP"/>
        </w:rPr>
        <w:t xml:space="preserve">In addition, </w:t>
      </w:r>
      <w:r w:rsidR="00ED5044">
        <w:rPr>
          <w:lang w:eastAsia="ja-JP"/>
        </w:rPr>
        <w:t>PetFAST would continue to be monitored and administered by the AVA with support from the PFIAA</w:t>
      </w:r>
      <w:r w:rsidR="00DC4AED">
        <w:rPr>
          <w:lang w:eastAsia="ja-JP"/>
        </w:rPr>
        <w:t xml:space="preserve"> in accordance with current arrangements</w:t>
      </w:r>
      <w:r>
        <w:rPr>
          <w:lang w:eastAsia="ja-JP"/>
        </w:rPr>
        <w:t>.</w:t>
      </w:r>
    </w:p>
    <w:p w14:paraId="78513BCC" w14:textId="202136D5" w:rsidR="00F86B9C" w:rsidRPr="00A21687" w:rsidRDefault="00F86B9C" w:rsidP="00A21687">
      <w:pPr>
        <w:pStyle w:val="Heading5"/>
        <w:spacing w:after="240"/>
        <w:rPr>
          <w:szCs w:val="28"/>
          <w:lang w:eastAsia="ja-JP"/>
        </w:rPr>
      </w:pPr>
      <w:r w:rsidRPr="00A21687">
        <w:rPr>
          <w:szCs w:val="28"/>
          <w:lang w:eastAsia="ja-JP"/>
        </w:rPr>
        <w:t>Option 2A</w:t>
      </w:r>
      <w:r w:rsidR="00597DBF">
        <w:rPr>
          <w:szCs w:val="28"/>
          <w:lang w:eastAsia="ja-JP"/>
        </w:rPr>
        <w:t xml:space="preserve"> – </w:t>
      </w:r>
      <w:r w:rsidR="00597DBF" w:rsidRPr="00A21687">
        <w:rPr>
          <w:szCs w:val="28"/>
          <w:lang w:eastAsia="ja-JP"/>
        </w:rPr>
        <w:t>Option 2</w:t>
      </w:r>
      <w:r w:rsidR="00597DBF">
        <w:rPr>
          <w:szCs w:val="28"/>
          <w:lang w:eastAsia="ja-JP"/>
        </w:rPr>
        <w:t xml:space="preserve"> with no mandatory standard</w:t>
      </w:r>
    </w:p>
    <w:p w14:paraId="404FEA9B" w14:textId="77777777" w:rsidR="008A7640" w:rsidRDefault="00E642DE" w:rsidP="00E642DE">
      <w:pPr>
        <w:rPr>
          <w:lang w:eastAsia="ja-JP"/>
        </w:rPr>
      </w:pPr>
      <w:r>
        <w:rPr>
          <w:lang w:eastAsia="ja-JP"/>
        </w:rPr>
        <w:t xml:space="preserve">A potential variation to Option 2 is to not mandate compliance with </w:t>
      </w:r>
      <w:r w:rsidR="006974B5">
        <w:rPr>
          <w:lang w:eastAsia="ja-JP"/>
        </w:rPr>
        <w:t xml:space="preserve">the Australian industry </w:t>
      </w:r>
      <w:r>
        <w:rPr>
          <w:lang w:eastAsia="ja-JP"/>
        </w:rPr>
        <w:t>standard for the manufacture and marketing of pet food (AS5812).</w:t>
      </w:r>
    </w:p>
    <w:p w14:paraId="2F05849E" w14:textId="553F699F" w:rsidR="00163AAF" w:rsidRDefault="00A81C8C" w:rsidP="00E642DE">
      <w:r>
        <w:rPr>
          <w:lang w:eastAsia="ja-JP"/>
        </w:rPr>
        <w:t xml:space="preserve">As with Option 2, </w:t>
      </w:r>
      <w:r w:rsidR="00344064">
        <w:rPr>
          <w:lang w:eastAsia="ja-JP"/>
        </w:rPr>
        <w:t xml:space="preserve">jurisdictions </w:t>
      </w:r>
      <w:r w:rsidR="00E642DE">
        <w:rPr>
          <w:lang w:eastAsia="ja-JP"/>
        </w:rPr>
        <w:t xml:space="preserve">would </w:t>
      </w:r>
      <w:r w:rsidR="005622C2">
        <w:rPr>
          <w:lang w:eastAsia="ja-JP"/>
        </w:rPr>
        <w:t xml:space="preserve">only intervene in </w:t>
      </w:r>
      <w:r w:rsidR="00E642DE">
        <w:rPr>
          <w:lang w:eastAsia="ja-JP"/>
        </w:rPr>
        <w:t>specific limited circumstances</w:t>
      </w:r>
      <w:r w:rsidR="00127E7E">
        <w:rPr>
          <w:lang w:eastAsia="ja-JP"/>
        </w:rPr>
        <w:t xml:space="preserve"> to minimise the magnit</w:t>
      </w:r>
      <w:r w:rsidR="00501C7A">
        <w:rPr>
          <w:lang w:eastAsia="ja-JP"/>
        </w:rPr>
        <w:t>ude and severity of a pet food safety incident</w:t>
      </w:r>
      <w:r w:rsidR="00E642DE">
        <w:rPr>
          <w:lang w:eastAsia="ja-JP"/>
        </w:rPr>
        <w:t>, such as undertaking an investigation or mandating a product recall where an industry response to a pet food safety incident has been inadequate</w:t>
      </w:r>
      <w:r w:rsidR="004132AE">
        <w:rPr>
          <w:lang w:eastAsia="ja-JP"/>
        </w:rPr>
        <w:t xml:space="preserve"> (see above)</w:t>
      </w:r>
      <w:r w:rsidR="00E642DE">
        <w:rPr>
          <w:lang w:eastAsia="ja-JP"/>
        </w:rPr>
        <w:t>.</w:t>
      </w:r>
      <w:r w:rsidR="00BC757C">
        <w:rPr>
          <w:lang w:eastAsia="ja-JP"/>
        </w:rPr>
        <w:t xml:space="preserve"> </w:t>
      </w:r>
      <w:r w:rsidR="00163AAF">
        <w:rPr>
          <w:lang w:eastAsia="ja-JP"/>
        </w:rPr>
        <w:t xml:space="preserve">This </w:t>
      </w:r>
      <w:r w:rsidR="00163AAF">
        <w:t>could help remove potentially dangerous pet food products off shelves quickly to reduce the scale and severity of any pet food safety incidents when they are identified.</w:t>
      </w:r>
    </w:p>
    <w:p w14:paraId="2F554AF0" w14:textId="1D465A5E" w:rsidR="00E642DE" w:rsidRDefault="00BC757C" w:rsidP="00E642DE">
      <w:pPr>
        <w:rPr>
          <w:lang w:eastAsia="ja-JP"/>
        </w:rPr>
      </w:pPr>
      <w:r>
        <w:rPr>
          <w:lang w:eastAsia="ja-JP"/>
        </w:rPr>
        <w:t>PetFAST would also continue to be monitored and administered by the AVA with support from the PFIAA in accordance with current arrangements.</w:t>
      </w:r>
    </w:p>
    <w:p w14:paraId="00997A2C" w14:textId="7CC3DBE3" w:rsidR="005F52C1" w:rsidRDefault="003F0F61" w:rsidP="00E642DE">
      <w:pPr>
        <w:rPr>
          <w:lang w:eastAsia="ja-JP"/>
        </w:rPr>
      </w:pPr>
      <w:r>
        <w:t>While this option does not mandate a safety standard, e</w:t>
      </w:r>
      <w:r w:rsidRPr="00FF3D65">
        <w:t>ducation campaigns about the new regulatory arrangements</w:t>
      </w:r>
      <w:r>
        <w:t xml:space="preserve"> could help consumers make more informed choices and encourage more transparent and prominent advertisement of compliance and uptake of the voluntary AS5812 standard.</w:t>
      </w:r>
    </w:p>
    <w:p w14:paraId="646B48C7" w14:textId="77777777" w:rsidR="00F86B9C" w:rsidRPr="00475708" w:rsidRDefault="00F86B9C" w:rsidP="0008340B">
      <w:pPr>
        <w:pStyle w:val="Heading4"/>
        <w:numPr>
          <w:ilvl w:val="0"/>
          <w:numId w:val="0"/>
        </w:numPr>
      </w:pPr>
      <w:r w:rsidRPr="00475708">
        <w:t xml:space="preserve">Option </w:t>
      </w:r>
      <w:r>
        <w:t>3</w:t>
      </w:r>
      <w:r w:rsidRPr="00475708">
        <w:t xml:space="preserve">: Response and reports-based regulation with complaints handling function </w:t>
      </w:r>
    </w:p>
    <w:p w14:paraId="02D3DD0D" w14:textId="00D79F96" w:rsidR="00F86B9C" w:rsidRDefault="00F86B9C" w:rsidP="00F86B9C">
      <w:pPr>
        <w:rPr>
          <w:lang w:eastAsia="ja-JP"/>
        </w:rPr>
      </w:pPr>
      <w:r>
        <w:rPr>
          <w:lang w:eastAsia="ja-JP"/>
        </w:rPr>
        <w:t xml:space="preserve">In Option 3, </w:t>
      </w:r>
      <w:r w:rsidR="004A07CD">
        <w:rPr>
          <w:lang w:eastAsia="ja-JP"/>
        </w:rPr>
        <w:t xml:space="preserve">jurisdictions </w:t>
      </w:r>
      <w:r>
        <w:rPr>
          <w:lang w:eastAsia="ja-JP"/>
        </w:rPr>
        <w:t xml:space="preserve">would regulate pet food safety based on consumer complaints and reports through existing regulatory bodies. This option would be </w:t>
      </w:r>
      <w:proofErr w:type="gramStart"/>
      <w:r>
        <w:rPr>
          <w:lang w:eastAsia="ja-JP"/>
        </w:rPr>
        <w:t>similar to</w:t>
      </w:r>
      <w:proofErr w:type="gramEnd"/>
      <w:r>
        <w:rPr>
          <w:lang w:eastAsia="ja-JP"/>
        </w:rPr>
        <w:t xml:space="preserve"> New Zealand’s regulatory approach to managing the safety of pet food that do not make a therapeutic claim.</w:t>
      </w:r>
    </w:p>
    <w:p w14:paraId="3BE23753" w14:textId="27D26231" w:rsidR="008D5F1C" w:rsidRPr="0008340B" w:rsidRDefault="00DD6022" w:rsidP="00894516">
      <w:pPr>
        <w:rPr>
          <w:b/>
          <w:bCs/>
          <w:i/>
          <w:iCs/>
          <w:lang w:eastAsia="ja-JP"/>
        </w:rPr>
      </w:pPr>
      <w:r>
        <w:rPr>
          <w:b/>
          <w:bCs/>
          <w:i/>
          <w:iCs/>
          <w:lang w:eastAsia="ja-JP"/>
        </w:rPr>
        <w:t xml:space="preserve">Incident reporting </w:t>
      </w:r>
      <w:r w:rsidR="00F72A29" w:rsidRPr="0008340B">
        <w:rPr>
          <w:b/>
          <w:bCs/>
          <w:i/>
          <w:iCs/>
          <w:lang w:eastAsia="ja-JP"/>
        </w:rPr>
        <w:t xml:space="preserve">and </w:t>
      </w:r>
      <w:r w:rsidR="008D5F1C" w:rsidRPr="0008340B">
        <w:rPr>
          <w:b/>
          <w:bCs/>
          <w:i/>
          <w:iCs/>
          <w:lang w:eastAsia="ja-JP"/>
        </w:rPr>
        <w:t>complaints</w:t>
      </w:r>
      <w:r w:rsidR="00F72A29" w:rsidRPr="0008340B">
        <w:rPr>
          <w:b/>
          <w:bCs/>
          <w:i/>
          <w:iCs/>
          <w:lang w:eastAsia="ja-JP"/>
        </w:rPr>
        <w:t xml:space="preserve"> handling</w:t>
      </w:r>
    </w:p>
    <w:p w14:paraId="13D2E5D5" w14:textId="1AB29490" w:rsidR="00DC4380" w:rsidRDefault="00894516" w:rsidP="00DC4380">
      <w:r>
        <w:rPr>
          <w:lang w:eastAsia="ja-JP"/>
        </w:rPr>
        <w:t xml:space="preserve">Under this option, </w:t>
      </w:r>
      <w:r w:rsidR="004A07CD">
        <w:rPr>
          <w:lang w:eastAsia="ja-JP"/>
        </w:rPr>
        <w:t>jurisdictions</w:t>
      </w:r>
      <w:r>
        <w:rPr>
          <w:lang w:eastAsia="ja-JP"/>
        </w:rPr>
        <w:t xml:space="preserve"> would take on responsibility for handling consumer complaints and veterinary reports in relation to pet food safety. A database of complaints and reports would be developed and used to</w:t>
      </w:r>
      <w:r w:rsidR="009E7D6E">
        <w:rPr>
          <w:lang w:eastAsia="ja-JP"/>
        </w:rPr>
        <w:t xml:space="preserve"> detect </w:t>
      </w:r>
      <w:r w:rsidR="007D3EEA">
        <w:rPr>
          <w:lang w:eastAsia="ja-JP"/>
        </w:rPr>
        <w:t>incidents and</w:t>
      </w:r>
      <w:r>
        <w:rPr>
          <w:lang w:eastAsia="ja-JP"/>
        </w:rPr>
        <w:t xml:space="preserve"> support investigations to limit the magnitude of incidents. </w:t>
      </w:r>
      <w:r w:rsidR="00CA2882">
        <w:rPr>
          <w:lang w:eastAsia="ja-JP"/>
        </w:rPr>
        <w:t xml:space="preserve">This </w:t>
      </w:r>
      <w:r w:rsidR="00CA2882">
        <w:t>could involve</w:t>
      </w:r>
      <w:r w:rsidR="00496457">
        <w:t xml:space="preserve"> </w:t>
      </w:r>
      <w:r w:rsidR="004A07CD">
        <w:rPr>
          <w:lang w:eastAsia="ja-JP"/>
        </w:rPr>
        <w:t>jurisdictions</w:t>
      </w:r>
      <w:r w:rsidR="00CA2882">
        <w:t xml:space="preserve"> funding</w:t>
      </w:r>
      <w:r w:rsidR="00E21AB4">
        <w:t xml:space="preserve"> and</w:t>
      </w:r>
      <w:r w:rsidR="00496457">
        <w:t xml:space="preserve"> </w:t>
      </w:r>
      <w:r w:rsidR="008B5471">
        <w:t>leveraging</w:t>
      </w:r>
      <w:r w:rsidR="00CA2882">
        <w:t xml:space="preserve"> the current PetFAST system and associated activities</w:t>
      </w:r>
      <w:r w:rsidR="007C4199">
        <w:t xml:space="preserve"> </w:t>
      </w:r>
      <w:r w:rsidR="004865BB">
        <w:t xml:space="preserve">by expanding its remit to </w:t>
      </w:r>
      <w:r w:rsidR="007C4199">
        <w:t>accept consumer reports</w:t>
      </w:r>
      <w:r w:rsidR="00E21AB4">
        <w:t xml:space="preserve"> or </w:t>
      </w:r>
      <w:r w:rsidR="00D76A48">
        <w:t xml:space="preserve">the </w:t>
      </w:r>
      <w:r w:rsidR="00E21AB4">
        <w:t xml:space="preserve">creation of a new </w:t>
      </w:r>
      <w:r w:rsidR="00D76A48">
        <w:lastRenderedPageBreak/>
        <w:t xml:space="preserve">monitoring </w:t>
      </w:r>
      <w:r w:rsidR="00E21AB4">
        <w:t>system</w:t>
      </w:r>
      <w:r w:rsidR="00D57C1E">
        <w:t>.</w:t>
      </w:r>
      <w:r w:rsidR="00DC4380">
        <w:t xml:space="preserve"> </w:t>
      </w:r>
      <w:r>
        <w:rPr>
          <w:lang w:eastAsia="ja-JP"/>
        </w:rPr>
        <w:t>A public site for pet food product recalls would also be maintained to provide information for consumers.</w:t>
      </w:r>
      <w:r w:rsidR="00DC4380">
        <w:t xml:space="preserve"> </w:t>
      </w:r>
      <w:r w:rsidR="00DD6022">
        <w:t xml:space="preserve">This could provide governments and industry with more information to support timely responses to incidents and help evaluate the need for </w:t>
      </w:r>
      <w:r w:rsidR="00ED7F2D">
        <w:t xml:space="preserve">and impacts of </w:t>
      </w:r>
      <w:r w:rsidR="00DD6022">
        <w:t>government action.</w:t>
      </w:r>
    </w:p>
    <w:p w14:paraId="253D02A2" w14:textId="58A81062" w:rsidR="00DD6022" w:rsidRPr="00797E8E" w:rsidRDefault="00DC4380" w:rsidP="00797E8E">
      <w:pPr>
        <w:rPr>
          <w:sz w:val="18"/>
          <w:szCs w:val="18"/>
          <w:lang w:eastAsia="ja-JP"/>
        </w:rPr>
      </w:pPr>
      <w:r w:rsidRPr="00797E8E">
        <w:rPr>
          <w:sz w:val="18"/>
          <w:szCs w:val="18"/>
        </w:rPr>
        <w:t>Note: If jurisdictions were to fund the current PetFAST system, they may choose to do so through existing appropriations or by recovering these costs from industry. Specific funding mechanisms have not been considered in this analysis but may be explored following a decision by Agriculture ministers to adopt one of the policy options proposed.</w:t>
      </w:r>
    </w:p>
    <w:p w14:paraId="1252D13B" w14:textId="14C6799C" w:rsidR="008D5F1C" w:rsidRPr="0008340B" w:rsidRDefault="008D5F1C" w:rsidP="00F86B9C">
      <w:pPr>
        <w:rPr>
          <w:b/>
          <w:bCs/>
          <w:i/>
          <w:iCs/>
          <w:lang w:eastAsia="ja-JP"/>
        </w:rPr>
      </w:pPr>
      <w:r w:rsidRPr="0008340B">
        <w:rPr>
          <w:b/>
          <w:bCs/>
          <w:i/>
          <w:iCs/>
          <w:lang w:eastAsia="ja-JP"/>
        </w:rPr>
        <w:t>Government investigation and response</w:t>
      </w:r>
    </w:p>
    <w:p w14:paraId="086C1B95" w14:textId="05D6BA78" w:rsidR="008D5F1C" w:rsidRDefault="00F86B9C" w:rsidP="00F86B9C">
      <w:pPr>
        <w:rPr>
          <w:lang w:eastAsia="ja-JP"/>
        </w:rPr>
      </w:pPr>
      <w:r>
        <w:rPr>
          <w:lang w:eastAsia="ja-JP"/>
        </w:rPr>
        <w:t xml:space="preserve">Government would work closely with industry to investigate reports of suspected pet food safety incidents. If industry responses are not initiated in a timely manner or are inadequate, </w:t>
      </w:r>
      <w:r w:rsidR="00AC6386">
        <w:rPr>
          <w:lang w:eastAsia="ja-JP"/>
        </w:rPr>
        <w:t>jurisdictions</w:t>
      </w:r>
      <w:r>
        <w:rPr>
          <w:lang w:eastAsia="ja-JP"/>
        </w:rPr>
        <w:t xml:space="preserve"> may conduct independent investigations and mandate product recalls. Any government activities, however, would be subject to its regulatory priorities, policies and resourcing capacity.</w:t>
      </w:r>
    </w:p>
    <w:p w14:paraId="23DC6E90" w14:textId="50BA1B74" w:rsidR="00F86B9C" w:rsidRDefault="007262D2" w:rsidP="00F86B9C">
      <w:pPr>
        <w:rPr>
          <w:lang w:eastAsia="ja-JP"/>
        </w:rPr>
      </w:pPr>
      <w:proofErr w:type="gramStart"/>
      <w:r>
        <w:rPr>
          <w:lang w:eastAsia="ja-JP"/>
        </w:rPr>
        <w:t>Similar to</w:t>
      </w:r>
      <w:proofErr w:type="gramEnd"/>
      <w:r>
        <w:rPr>
          <w:lang w:eastAsia="ja-JP"/>
        </w:rPr>
        <w:t xml:space="preserve"> Option 2, this could help remove </w:t>
      </w:r>
      <w:r>
        <w:t>potentially dangerous pet food products off shelves quickly to reduce the scale and severity of any pet food safety incidents when they are identified. However, as noted in Section</w:t>
      </w:r>
      <w:r w:rsidR="00760D64">
        <w:t xml:space="preserve">s </w:t>
      </w:r>
      <w:r w:rsidR="00760D64" w:rsidRPr="001A6B22">
        <w:t xml:space="preserve">2.2.3 and </w:t>
      </w:r>
      <w:r w:rsidRPr="001A6B22">
        <w:t>3.3</w:t>
      </w:r>
      <w:r>
        <w:t xml:space="preserve">, </w:t>
      </w:r>
      <w:r w:rsidR="00760D64">
        <w:t xml:space="preserve">it is difficult to determine with the information currently available whether </w:t>
      </w:r>
      <w:r w:rsidR="005A7739">
        <w:t xml:space="preserve">(and if so, the extent to which) </w:t>
      </w:r>
      <w:r w:rsidR="00760D64">
        <w:t xml:space="preserve">this </w:t>
      </w:r>
      <w:r>
        <w:t>would reduce pet deaths and illnesses from pet food in Australia</w:t>
      </w:r>
      <w:r w:rsidR="00760D64">
        <w:t>.</w:t>
      </w:r>
    </w:p>
    <w:p w14:paraId="1CCEACBC" w14:textId="1537B23F" w:rsidR="00F72A29" w:rsidRPr="0008340B" w:rsidRDefault="00F72A29" w:rsidP="00F86B9C">
      <w:pPr>
        <w:rPr>
          <w:b/>
          <w:bCs/>
          <w:i/>
          <w:iCs/>
          <w:lang w:eastAsia="ja-JP"/>
        </w:rPr>
      </w:pPr>
      <w:r w:rsidRPr="0008340B">
        <w:rPr>
          <w:b/>
          <w:bCs/>
          <w:i/>
          <w:iCs/>
          <w:lang w:eastAsia="ja-JP"/>
        </w:rPr>
        <w:t>Man</w:t>
      </w:r>
      <w:r w:rsidR="00DD6022">
        <w:rPr>
          <w:b/>
          <w:bCs/>
          <w:i/>
          <w:iCs/>
          <w:lang w:eastAsia="ja-JP"/>
        </w:rPr>
        <w:t>da</w:t>
      </w:r>
      <w:r w:rsidRPr="0008340B">
        <w:rPr>
          <w:b/>
          <w:bCs/>
          <w:i/>
          <w:iCs/>
          <w:lang w:eastAsia="ja-JP"/>
        </w:rPr>
        <w:t>tory standard</w:t>
      </w:r>
    </w:p>
    <w:p w14:paraId="5A8A4F65" w14:textId="3C588557" w:rsidR="00F86B9C" w:rsidRDefault="00F86B9C" w:rsidP="00F86B9C">
      <w:pPr>
        <w:rPr>
          <w:lang w:eastAsia="ja-JP"/>
        </w:rPr>
      </w:pPr>
      <w:r>
        <w:rPr>
          <w:lang w:eastAsia="ja-JP"/>
        </w:rPr>
        <w:t>In addition, legislation would be introduced to mandate compliance with the Australian industry standard (AS5812), or a similar standard for pet food manufacturing and labelling, for all pet food sold in Australia.</w:t>
      </w:r>
      <w:r w:rsidRPr="005404BA">
        <w:rPr>
          <w:lang w:eastAsia="ja-JP"/>
        </w:rPr>
        <w:t xml:space="preserve"> </w:t>
      </w:r>
      <w:r w:rsidR="00AC6386">
        <w:rPr>
          <w:lang w:eastAsia="ja-JP"/>
        </w:rPr>
        <w:t>Jurisdictions</w:t>
      </w:r>
      <w:r w:rsidR="00AC6386" w:rsidDel="00AC6386">
        <w:rPr>
          <w:lang w:eastAsia="ja-JP"/>
        </w:rPr>
        <w:t xml:space="preserve"> </w:t>
      </w:r>
      <w:r>
        <w:rPr>
          <w:lang w:eastAsia="ja-JP"/>
        </w:rPr>
        <w:t>would</w:t>
      </w:r>
      <w:r w:rsidR="00E950F4">
        <w:rPr>
          <w:lang w:eastAsia="ja-JP"/>
        </w:rPr>
        <w:t xml:space="preserve"> have the ability to</w:t>
      </w:r>
      <w:r>
        <w:rPr>
          <w:lang w:eastAsia="ja-JP"/>
        </w:rPr>
        <w:t xml:space="preserve"> investigate reports of non-compliance and take enforcement action (e.g. fines)</w:t>
      </w:r>
      <w:r w:rsidR="00AC15B2">
        <w:rPr>
          <w:lang w:eastAsia="ja-JP"/>
        </w:rPr>
        <w:t>,</w:t>
      </w:r>
      <w:r>
        <w:rPr>
          <w:lang w:eastAsia="ja-JP"/>
        </w:rPr>
        <w:t xml:space="preserve"> subject to its regulatory priorities, policies and resourcing</w:t>
      </w:r>
      <w:r w:rsidR="00E71FFF">
        <w:rPr>
          <w:lang w:eastAsia="ja-JP"/>
        </w:rPr>
        <w:t xml:space="preserve">. However, </w:t>
      </w:r>
      <w:r w:rsidR="00B25E88">
        <w:rPr>
          <w:lang w:eastAsia="ja-JP"/>
        </w:rPr>
        <w:t>jurisdictions</w:t>
      </w:r>
      <w:r w:rsidR="003260DC">
        <w:rPr>
          <w:lang w:eastAsia="ja-JP"/>
        </w:rPr>
        <w:t xml:space="preserve"> </w:t>
      </w:r>
      <w:r w:rsidR="00AC15B2">
        <w:rPr>
          <w:lang w:eastAsia="ja-JP"/>
        </w:rPr>
        <w:t xml:space="preserve">would not </w:t>
      </w:r>
      <w:r w:rsidR="0066414B">
        <w:rPr>
          <w:lang w:eastAsia="ja-JP"/>
        </w:rPr>
        <w:t xml:space="preserve">systematically </w:t>
      </w:r>
      <w:r w:rsidR="00C05928">
        <w:rPr>
          <w:lang w:eastAsia="ja-JP"/>
        </w:rPr>
        <w:t xml:space="preserve">or proactively </w:t>
      </w:r>
      <w:r w:rsidR="002561D0">
        <w:rPr>
          <w:lang w:eastAsia="ja-JP"/>
        </w:rPr>
        <w:t xml:space="preserve">review AS5812 </w:t>
      </w:r>
      <w:r w:rsidR="004D6080">
        <w:rPr>
          <w:lang w:eastAsia="ja-JP"/>
        </w:rPr>
        <w:t>audit</w:t>
      </w:r>
      <w:r w:rsidR="002561D0">
        <w:rPr>
          <w:lang w:eastAsia="ja-JP"/>
        </w:rPr>
        <w:t xml:space="preserve"> reports </w:t>
      </w:r>
      <w:r w:rsidR="004D6080">
        <w:rPr>
          <w:lang w:eastAsia="ja-JP"/>
        </w:rPr>
        <w:t>of pet food products</w:t>
      </w:r>
      <w:r w:rsidR="000B2E93">
        <w:rPr>
          <w:lang w:eastAsia="ja-JP"/>
        </w:rPr>
        <w:t xml:space="preserve"> </w:t>
      </w:r>
      <w:r w:rsidR="00AD33F3">
        <w:rPr>
          <w:lang w:eastAsia="ja-JP"/>
        </w:rPr>
        <w:t xml:space="preserve">not subject to a </w:t>
      </w:r>
      <w:r w:rsidR="009C3853">
        <w:rPr>
          <w:lang w:eastAsia="ja-JP"/>
        </w:rPr>
        <w:t xml:space="preserve">complaint or </w:t>
      </w:r>
      <w:r w:rsidR="00AD33F3">
        <w:rPr>
          <w:lang w:eastAsia="ja-JP"/>
        </w:rPr>
        <w:t>report</w:t>
      </w:r>
      <w:r w:rsidR="004132AE">
        <w:rPr>
          <w:lang w:eastAsia="ja-JP"/>
        </w:rPr>
        <w:t xml:space="preserve"> of non-compliance</w:t>
      </w:r>
      <w:r w:rsidR="00AD33F3">
        <w:rPr>
          <w:lang w:eastAsia="ja-JP"/>
        </w:rPr>
        <w:t xml:space="preserve">, </w:t>
      </w:r>
      <w:r w:rsidR="00313D5F">
        <w:rPr>
          <w:lang w:eastAsia="ja-JP"/>
        </w:rPr>
        <w:t>n</w:t>
      </w:r>
      <w:r w:rsidR="002561D0">
        <w:rPr>
          <w:lang w:eastAsia="ja-JP"/>
        </w:rPr>
        <w:t xml:space="preserve">or </w:t>
      </w:r>
      <w:r w:rsidR="00AC15B2">
        <w:rPr>
          <w:lang w:eastAsia="ja-JP"/>
        </w:rPr>
        <w:t xml:space="preserve">establish a register and certification </w:t>
      </w:r>
      <w:r w:rsidR="00E71FFF">
        <w:rPr>
          <w:lang w:eastAsia="ja-JP"/>
        </w:rPr>
        <w:t>program for pet food manufacturers</w:t>
      </w:r>
      <w:r w:rsidR="004132AE">
        <w:rPr>
          <w:lang w:eastAsia="ja-JP"/>
        </w:rPr>
        <w:t xml:space="preserve"> and importers</w:t>
      </w:r>
      <w:r>
        <w:rPr>
          <w:lang w:eastAsia="ja-JP"/>
        </w:rPr>
        <w:t>.</w:t>
      </w:r>
    </w:p>
    <w:p w14:paraId="70D81994" w14:textId="77777777" w:rsidR="00DD6022" w:rsidRDefault="00DD6022" w:rsidP="00DD6022">
      <w:pPr>
        <w:rPr>
          <w:lang w:eastAsia="ja-JP"/>
        </w:rPr>
      </w:pPr>
      <w:r>
        <w:rPr>
          <w:lang w:eastAsia="ja-JP"/>
        </w:rPr>
        <w:t xml:space="preserve">As noted in Section </w:t>
      </w:r>
      <w:r w:rsidRPr="001A6B22">
        <w:rPr>
          <w:lang w:eastAsia="ja-JP"/>
        </w:rPr>
        <w:t>3.3</w:t>
      </w:r>
      <w:r>
        <w:rPr>
          <w:lang w:eastAsia="ja-JP"/>
        </w:rPr>
        <w:t xml:space="preserve">, </w:t>
      </w:r>
      <w:r w:rsidRPr="00A30264">
        <w:t xml:space="preserve">it is difficult to determine </w:t>
      </w:r>
      <w:r>
        <w:t xml:space="preserve">what (if any) impact on pet food safety </w:t>
      </w:r>
      <w:r w:rsidRPr="00A30264">
        <w:t>mandating a pet food safety standard</w:t>
      </w:r>
      <w:r>
        <w:t xml:space="preserve"> would have</w:t>
      </w:r>
      <w:r w:rsidRPr="00A30264">
        <w:t>.</w:t>
      </w:r>
    </w:p>
    <w:p w14:paraId="3298B14E" w14:textId="3A07E028" w:rsidR="00597DBF" w:rsidRPr="0008340B" w:rsidRDefault="00F86B9C" w:rsidP="00597DBF">
      <w:pPr>
        <w:pStyle w:val="Heading5"/>
        <w:spacing w:after="240"/>
        <w:rPr>
          <w:lang w:eastAsia="ja-JP"/>
        </w:rPr>
      </w:pPr>
      <w:r w:rsidRPr="00A21687">
        <w:rPr>
          <w:szCs w:val="28"/>
          <w:lang w:eastAsia="ja-JP"/>
        </w:rPr>
        <w:t>Option 3A</w:t>
      </w:r>
      <w:r w:rsidR="00597DBF">
        <w:rPr>
          <w:szCs w:val="28"/>
          <w:lang w:eastAsia="ja-JP"/>
        </w:rPr>
        <w:t xml:space="preserve"> – </w:t>
      </w:r>
      <w:r w:rsidR="00597DBF" w:rsidRPr="00A21687">
        <w:rPr>
          <w:szCs w:val="28"/>
          <w:lang w:eastAsia="ja-JP"/>
        </w:rPr>
        <w:t xml:space="preserve">Option </w:t>
      </w:r>
      <w:r w:rsidR="00597DBF">
        <w:rPr>
          <w:szCs w:val="28"/>
          <w:lang w:eastAsia="ja-JP"/>
        </w:rPr>
        <w:t>3 with no mandatory standard</w:t>
      </w:r>
    </w:p>
    <w:p w14:paraId="7B366EB7" w14:textId="77777777" w:rsidR="008A7640" w:rsidRDefault="00197872" w:rsidP="008A7640">
      <w:pPr>
        <w:rPr>
          <w:lang w:eastAsia="ja-JP"/>
        </w:rPr>
      </w:pPr>
      <w:r>
        <w:rPr>
          <w:lang w:eastAsia="ja-JP"/>
        </w:rPr>
        <w:t>A potential variation to Option 3 is to not mandate compliance with a standard for the manufacture and marketing of pet food (such as AS5812).</w:t>
      </w:r>
    </w:p>
    <w:p w14:paraId="1E2964A9" w14:textId="67923C1A" w:rsidR="00DD6022" w:rsidRDefault="008A7640" w:rsidP="008A7640">
      <w:r>
        <w:rPr>
          <w:lang w:eastAsia="ja-JP"/>
        </w:rPr>
        <w:t xml:space="preserve">As with Option 3, </w:t>
      </w:r>
      <w:r w:rsidR="00197872">
        <w:rPr>
          <w:lang w:eastAsia="ja-JP"/>
        </w:rPr>
        <w:t xml:space="preserve">Government intervention would be focussed on </w:t>
      </w:r>
      <w:r w:rsidR="00165EE2">
        <w:rPr>
          <w:lang w:eastAsia="ja-JP"/>
        </w:rPr>
        <w:t>identifying</w:t>
      </w:r>
      <w:r w:rsidR="007A3D50">
        <w:rPr>
          <w:lang w:eastAsia="ja-JP"/>
        </w:rPr>
        <w:t>,</w:t>
      </w:r>
      <w:r w:rsidR="00165EE2">
        <w:rPr>
          <w:lang w:eastAsia="ja-JP"/>
        </w:rPr>
        <w:t xml:space="preserve"> </w:t>
      </w:r>
      <w:r w:rsidR="006B0B90">
        <w:rPr>
          <w:lang w:eastAsia="ja-JP"/>
        </w:rPr>
        <w:t xml:space="preserve">investigating </w:t>
      </w:r>
      <w:r w:rsidR="007A3D50">
        <w:rPr>
          <w:lang w:eastAsia="ja-JP"/>
        </w:rPr>
        <w:t>and addressing</w:t>
      </w:r>
      <w:r w:rsidR="00E950F4">
        <w:rPr>
          <w:lang w:eastAsia="ja-JP"/>
        </w:rPr>
        <w:t xml:space="preserve"> serious or major</w:t>
      </w:r>
      <w:r w:rsidR="007A3D50">
        <w:rPr>
          <w:lang w:eastAsia="ja-JP"/>
        </w:rPr>
        <w:t xml:space="preserve"> </w:t>
      </w:r>
      <w:r w:rsidR="00197872">
        <w:rPr>
          <w:lang w:eastAsia="ja-JP"/>
        </w:rPr>
        <w:t>pet food safety incidents</w:t>
      </w:r>
      <w:r w:rsidR="00355AEA">
        <w:rPr>
          <w:lang w:eastAsia="ja-JP"/>
        </w:rPr>
        <w:t xml:space="preserve">. This would be </w:t>
      </w:r>
      <w:r w:rsidR="00E950F4">
        <w:rPr>
          <w:lang w:eastAsia="ja-JP"/>
        </w:rPr>
        <w:t xml:space="preserve">managed by </w:t>
      </w:r>
      <w:r w:rsidR="00B25E88">
        <w:rPr>
          <w:lang w:eastAsia="ja-JP"/>
        </w:rPr>
        <w:t>jurisdictions</w:t>
      </w:r>
      <w:r w:rsidR="00E950F4">
        <w:rPr>
          <w:lang w:eastAsia="ja-JP"/>
        </w:rPr>
        <w:t xml:space="preserve"> and </w:t>
      </w:r>
      <w:r w:rsidR="00355AEA">
        <w:rPr>
          <w:lang w:eastAsia="ja-JP"/>
        </w:rPr>
        <w:t>informed by consumer complaints and veterinary reports</w:t>
      </w:r>
      <w:r w:rsidR="00E950F4">
        <w:rPr>
          <w:lang w:eastAsia="ja-JP"/>
        </w:rPr>
        <w:t>, as outlined above</w:t>
      </w:r>
      <w:r w:rsidR="00197872">
        <w:rPr>
          <w:lang w:eastAsia="ja-JP"/>
        </w:rPr>
        <w:t>.</w:t>
      </w:r>
      <w:r>
        <w:rPr>
          <w:lang w:eastAsia="ja-JP"/>
        </w:rPr>
        <w:t xml:space="preserve"> </w:t>
      </w:r>
      <w:r>
        <w:t xml:space="preserve">However, as noted in Sections </w:t>
      </w:r>
      <w:r w:rsidRPr="001A6B22">
        <w:t>2.2.3 and 3.3</w:t>
      </w:r>
      <w:r>
        <w:t>, it is difficult to determine with the information currently available whether (and if so, the extent to which) this would reduce pet deaths and illnesses from pet food in Australia.</w:t>
      </w:r>
    </w:p>
    <w:p w14:paraId="758B4156" w14:textId="01831479" w:rsidR="008A7640" w:rsidRDefault="008A7640" w:rsidP="0008340B">
      <w:pPr>
        <w:rPr>
          <w:lang w:eastAsia="ja-JP"/>
        </w:rPr>
      </w:pPr>
      <w:r>
        <w:t>While this option does not mandate a pet food safety standard, e</w:t>
      </w:r>
      <w:r w:rsidRPr="00FF3D65">
        <w:t xml:space="preserve">ducation campaigns </w:t>
      </w:r>
      <w:r>
        <w:t>could help consumers make more informed choices and encourage more prominent advertisement of compliance and uptake of the voluntary AS5812 standard.</w:t>
      </w:r>
    </w:p>
    <w:p w14:paraId="07B1E033" w14:textId="77777777" w:rsidR="00F86B9C" w:rsidRDefault="00F86B9C" w:rsidP="0008340B">
      <w:pPr>
        <w:pStyle w:val="Heading4"/>
        <w:numPr>
          <w:ilvl w:val="0"/>
          <w:numId w:val="0"/>
        </w:numPr>
        <w:ind w:left="964" w:hanging="964"/>
      </w:pPr>
      <w:r>
        <w:lastRenderedPageBreak/>
        <w:t>Option 4: Active national regulation</w:t>
      </w:r>
    </w:p>
    <w:p w14:paraId="4DF2BA53" w14:textId="1CB524C0" w:rsidR="00F86B9C" w:rsidRDefault="00F86B9C" w:rsidP="00F86B9C">
      <w:pPr>
        <w:rPr>
          <w:lang w:eastAsia="ja-JP"/>
        </w:rPr>
      </w:pPr>
      <w:r>
        <w:rPr>
          <w:lang w:eastAsia="ja-JP"/>
        </w:rPr>
        <w:t xml:space="preserve">Under Option 4, </w:t>
      </w:r>
      <w:r w:rsidR="00681EEF">
        <w:rPr>
          <w:lang w:eastAsia="ja-JP"/>
        </w:rPr>
        <w:t>jurisdictions</w:t>
      </w:r>
      <w:r>
        <w:rPr>
          <w:lang w:eastAsia="ja-JP"/>
        </w:rPr>
        <w:t xml:space="preserve"> would regulate pet food safety in Australia through existing regulatory bodies</w:t>
      </w:r>
      <w:r w:rsidR="003B03D5">
        <w:rPr>
          <w:lang w:eastAsia="ja-JP"/>
        </w:rPr>
        <w:t xml:space="preserve"> by actively monitoring compliance with </w:t>
      </w:r>
      <w:r w:rsidR="00F63482">
        <w:rPr>
          <w:lang w:eastAsia="ja-JP"/>
        </w:rPr>
        <w:t>AS5812 or a similar pet food manufacturing and labelling standard</w:t>
      </w:r>
      <w:r>
        <w:rPr>
          <w:lang w:eastAsia="ja-JP"/>
        </w:rPr>
        <w:t xml:space="preserve">. This option would be </w:t>
      </w:r>
      <w:proofErr w:type="gramStart"/>
      <w:r>
        <w:rPr>
          <w:lang w:eastAsia="ja-JP"/>
        </w:rPr>
        <w:t>similar to</w:t>
      </w:r>
      <w:proofErr w:type="gramEnd"/>
      <w:r>
        <w:rPr>
          <w:lang w:eastAsia="ja-JP"/>
        </w:rPr>
        <w:t xml:space="preserve"> the regulatory approach to pet food safety implemented in the United States.</w:t>
      </w:r>
    </w:p>
    <w:p w14:paraId="73E2EC06" w14:textId="7FCEFD91" w:rsidR="00F86B9C" w:rsidRDefault="00F86B9C" w:rsidP="00F86B9C">
      <w:pPr>
        <w:rPr>
          <w:lang w:eastAsia="ja-JP"/>
        </w:rPr>
      </w:pPr>
      <w:r w:rsidRPr="74E83BFF">
        <w:rPr>
          <w:lang w:eastAsia="ja-JP"/>
        </w:rPr>
        <w:t>L</w:t>
      </w:r>
      <w:r>
        <w:rPr>
          <w:lang w:eastAsia="ja-JP"/>
        </w:rPr>
        <w:t>egislation</w:t>
      </w:r>
      <w:r w:rsidRPr="74E83BFF">
        <w:rPr>
          <w:lang w:eastAsia="ja-JP"/>
        </w:rPr>
        <w:t xml:space="preserve"> </w:t>
      </w:r>
      <w:r>
        <w:rPr>
          <w:lang w:eastAsia="ja-JP"/>
        </w:rPr>
        <w:t xml:space="preserve">would be introduced to mandate compliance with AS5812 or a similar standard for all pet food sold in Australia. A key difference from Option 3 is </w:t>
      </w:r>
      <w:r w:rsidR="00E950F4">
        <w:rPr>
          <w:lang w:eastAsia="ja-JP"/>
        </w:rPr>
        <w:t>jurisdictions</w:t>
      </w:r>
      <w:r>
        <w:rPr>
          <w:lang w:eastAsia="ja-JP"/>
        </w:rPr>
        <w:t xml:space="preserve"> would </w:t>
      </w:r>
      <w:r w:rsidR="0020425E">
        <w:rPr>
          <w:lang w:eastAsia="ja-JP"/>
        </w:rPr>
        <w:t xml:space="preserve">actively </w:t>
      </w:r>
      <w:r>
        <w:rPr>
          <w:lang w:eastAsia="ja-JP"/>
        </w:rPr>
        <w:t xml:space="preserve">monitor compliance with AS5812 (or a similar standard) </w:t>
      </w:r>
      <w:r w:rsidR="00FA43B7">
        <w:rPr>
          <w:lang w:eastAsia="ja-JP"/>
        </w:rPr>
        <w:t>including by</w:t>
      </w:r>
      <w:r>
        <w:rPr>
          <w:lang w:eastAsia="ja-JP"/>
        </w:rPr>
        <w:t xml:space="preserve"> </w:t>
      </w:r>
      <w:r w:rsidR="00493CC2">
        <w:rPr>
          <w:lang w:eastAsia="ja-JP"/>
        </w:rPr>
        <w:t>systematic</w:t>
      </w:r>
      <w:r w:rsidR="00442D69">
        <w:rPr>
          <w:lang w:eastAsia="ja-JP"/>
        </w:rPr>
        <w:t>ally</w:t>
      </w:r>
      <w:r w:rsidR="00493CC2">
        <w:rPr>
          <w:lang w:eastAsia="ja-JP"/>
        </w:rPr>
        <w:t xml:space="preserve"> review</w:t>
      </w:r>
      <w:r w:rsidR="00442D69">
        <w:rPr>
          <w:lang w:eastAsia="ja-JP"/>
        </w:rPr>
        <w:t>ing</w:t>
      </w:r>
      <w:r w:rsidR="00493CC2">
        <w:rPr>
          <w:lang w:eastAsia="ja-JP"/>
        </w:rPr>
        <w:t xml:space="preserve"> and assess</w:t>
      </w:r>
      <w:r w:rsidR="00442D69">
        <w:rPr>
          <w:lang w:eastAsia="ja-JP"/>
        </w:rPr>
        <w:t>ing</w:t>
      </w:r>
      <w:r w:rsidR="00493CC2">
        <w:rPr>
          <w:lang w:eastAsia="ja-JP"/>
        </w:rPr>
        <w:t xml:space="preserve"> </w:t>
      </w:r>
      <w:r w:rsidR="00442D69">
        <w:rPr>
          <w:lang w:eastAsia="ja-JP"/>
        </w:rPr>
        <w:t>AS5812</w:t>
      </w:r>
      <w:r w:rsidR="00493CC2">
        <w:rPr>
          <w:lang w:eastAsia="ja-JP"/>
        </w:rPr>
        <w:t xml:space="preserve"> </w:t>
      </w:r>
      <w:r w:rsidR="00FA43B7">
        <w:rPr>
          <w:lang w:eastAsia="ja-JP"/>
        </w:rPr>
        <w:t>audit reports</w:t>
      </w:r>
      <w:r w:rsidR="000F6E27">
        <w:rPr>
          <w:lang w:eastAsia="ja-JP"/>
        </w:rPr>
        <w:t xml:space="preserve"> and by </w:t>
      </w:r>
      <w:r>
        <w:rPr>
          <w:lang w:eastAsia="ja-JP"/>
        </w:rPr>
        <w:t>implemen</w:t>
      </w:r>
      <w:r w:rsidR="000F6E27">
        <w:rPr>
          <w:lang w:eastAsia="ja-JP"/>
        </w:rPr>
        <w:t>ting</w:t>
      </w:r>
      <w:r>
        <w:rPr>
          <w:lang w:eastAsia="ja-JP"/>
        </w:rPr>
        <w:t xml:space="preserve"> a register and certification program for pet food manufacturers and importers.</w:t>
      </w:r>
      <w:r w:rsidRPr="0025223C">
        <w:rPr>
          <w:lang w:eastAsia="ja-JP"/>
        </w:rPr>
        <w:t xml:space="preserve"> </w:t>
      </w:r>
      <w:r w:rsidR="00E950F4">
        <w:rPr>
          <w:lang w:eastAsia="ja-JP"/>
        </w:rPr>
        <w:t xml:space="preserve">Jurisdictions </w:t>
      </w:r>
      <w:r>
        <w:rPr>
          <w:lang w:eastAsia="ja-JP"/>
        </w:rPr>
        <w:t>would have powers to take enforcement action (e.g. issuing fines), undertake investigations, require product recalls and apply import conditions for pet food safety. These powers may be exercised as part of active monitoring and enforcement of compliance with AS5812 (or a similar standard), or in response to reports of pet food safety risks and incidents.</w:t>
      </w:r>
    </w:p>
    <w:p w14:paraId="714C523F" w14:textId="19F741CC" w:rsidR="00ED7F2D" w:rsidRDefault="00ED7F2D" w:rsidP="00F86B9C">
      <w:pPr>
        <w:rPr>
          <w:lang w:eastAsia="ja-JP"/>
        </w:rPr>
      </w:pPr>
      <w:r>
        <w:t>The additional focus on active monitoring of compliance with a minimum standard compared with Option 3 would provide greater confidence that all pet food sold in Australia complies with a minimum safety standard. However, a</w:t>
      </w:r>
      <w:r>
        <w:rPr>
          <w:lang w:eastAsia="ja-JP"/>
        </w:rPr>
        <w:t xml:space="preserve">s noted in Section </w:t>
      </w:r>
      <w:r w:rsidRPr="001A6B22">
        <w:rPr>
          <w:lang w:eastAsia="ja-JP"/>
        </w:rPr>
        <w:t>3.3</w:t>
      </w:r>
      <w:r>
        <w:rPr>
          <w:lang w:eastAsia="ja-JP"/>
        </w:rPr>
        <w:t xml:space="preserve">, </w:t>
      </w:r>
      <w:r w:rsidRPr="00A30264">
        <w:t xml:space="preserve">it is difficult to determine </w:t>
      </w:r>
      <w:r>
        <w:t xml:space="preserve">what (if any) impact on pet food safety a </w:t>
      </w:r>
      <w:r w:rsidRPr="00A30264">
        <w:t>mandat</w:t>
      </w:r>
      <w:r>
        <w:t>ory</w:t>
      </w:r>
      <w:r w:rsidRPr="00A30264">
        <w:t xml:space="preserve"> pet food safety standard</w:t>
      </w:r>
      <w:r>
        <w:t xml:space="preserve"> would have</w:t>
      </w:r>
      <w:r w:rsidRPr="00A30264">
        <w:t>.</w:t>
      </w:r>
    </w:p>
    <w:p w14:paraId="36754AF2" w14:textId="2E48BC89" w:rsidR="00710CEA" w:rsidRDefault="00F86B9C" w:rsidP="00F86B9C">
      <w:proofErr w:type="gramStart"/>
      <w:r>
        <w:rPr>
          <w:lang w:eastAsia="ja-JP"/>
        </w:rPr>
        <w:t>Similar to</w:t>
      </w:r>
      <w:proofErr w:type="gramEnd"/>
      <w:r>
        <w:rPr>
          <w:lang w:eastAsia="ja-JP"/>
        </w:rPr>
        <w:t xml:space="preserve"> Option 3, </w:t>
      </w:r>
      <w:r w:rsidR="00E950F4">
        <w:rPr>
          <w:lang w:eastAsia="ja-JP"/>
        </w:rPr>
        <w:t xml:space="preserve">jurisdictions </w:t>
      </w:r>
      <w:r>
        <w:rPr>
          <w:lang w:eastAsia="ja-JP"/>
        </w:rPr>
        <w:t xml:space="preserve">would take on </w:t>
      </w:r>
      <w:r w:rsidR="00D9105F">
        <w:rPr>
          <w:lang w:eastAsia="ja-JP"/>
        </w:rPr>
        <w:t xml:space="preserve">responsibility for handling consumer complaints </w:t>
      </w:r>
      <w:r>
        <w:rPr>
          <w:lang w:eastAsia="ja-JP"/>
        </w:rPr>
        <w:t>and veterinary reports</w:t>
      </w:r>
      <w:r w:rsidR="00E950F4">
        <w:rPr>
          <w:lang w:eastAsia="ja-JP"/>
        </w:rPr>
        <w:t>.</w:t>
      </w:r>
      <w:r>
        <w:rPr>
          <w:lang w:eastAsia="ja-JP"/>
        </w:rPr>
        <w:t xml:space="preserve"> </w:t>
      </w:r>
      <w:r w:rsidR="00A661DB">
        <w:rPr>
          <w:lang w:eastAsia="ja-JP"/>
        </w:rPr>
        <w:t xml:space="preserve">This </w:t>
      </w:r>
      <w:r w:rsidR="00A661DB">
        <w:t xml:space="preserve">could involve government funding and leveraging the current PetFAST system </w:t>
      </w:r>
      <w:r w:rsidR="000437CC">
        <w:t xml:space="preserve">with an expanded remit </w:t>
      </w:r>
      <w:r w:rsidR="00A661DB">
        <w:t xml:space="preserve">to accept consumer reports, or </w:t>
      </w:r>
      <w:r w:rsidR="000437CC">
        <w:t xml:space="preserve">the </w:t>
      </w:r>
      <w:r w:rsidR="00A661DB">
        <w:t xml:space="preserve">creation of a new </w:t>
      </w:r>
      <w:r w:rsidR="000437CC">
        <w:t xml:space="preserve">monitoring </w:t>
      </w:r>
      <w:proofErr w:type="gramStart"/>
      <w:r w:rsidR="00A661DB">
        <w:t>system.</w:t>
      </w:r>
      <w:r w:rsidR="00ED7F2D">
        <w:t>.</w:t>
      </w:r>
      <w:proofErr w:type="gramEnd"/>
    </w:p>
    <w:p w14:paraId="0B40D978" w14:textId="4FD7E95A" w:rsidR="00597DBF" w:rsidRPr="00E07945" w:rsidRDefault="00597DBF" w:rsidP="00597DBF">
      <w:pPr>
        <w:pStyle w:val="Heading4"/>
        <w:rPr>
          <w:rStyle w:val="Emphasis"/>
          <w:i w:val="0"/>
        </w:rPr>
      </w:pPr>
      <w:r w:rsidRPr="00EC75CF">
        <w:rPr>
          <w:rStyle w:val="Emphasis"/>
          <w:i w:val="0"/>
        </w:rPr>
        <w:t>Threshold analysis</w:t>
      </w:r>
    </w:p>
    <w:p w14:paraId="51E3960D" w14:textId="1D04937B" w:rsidR="00597DBF" w:rsidRDefault="00597DBF" w:rsidP="00597DBF">
      <w:r>
        <w:rPr>
          <w:rStyle w:val="Emphasis"/>
          <w:i w:val="0"/>
          <w:iCs w:val="0"/>
        </w:rPr>
        <w:t>A</w:t>
      </w:r>
      <w:r>
        <w:rPr>
          <w:lang w:eastAsia="ja-JP"/>
        </w:rPr>
        <w:t xml:space="preserve"> key challenge for this CBA has been a lack of available quantifiable evidence linking any of the measures contained in the proposed policy options with a reduction in the number of pet food </w:t>
      </w:r>
      <w:r w:rsidR="00665A1B">
        <w:rPr>
          <w:lang w:eastAsia="ja-JP"/>
        </w:rPr>
        <w:t>related pet deaths and illnesses</w:t>
      </w:r>
      <w:r>
        <w:rPr>
          <w:lang w:eastAsia="ja-JP"/>
        </w:rPr>
        <w:t xml:space="preserve">. While there is some available data on the costs of pet food safety incidents, </w:t>
      </w:r>
      <w:r w:rsidR="005E12B4">
        <w:rPr>
          <w:lang w:eastAsia="ja-JP"/>
        </w:rPr>
        <w:t>n</w:t>
      </w:r>
      <w:r w:rsidR="005E12B4">
        <w:t xml:space="preserve">o analyses or studies could be found that could estimate a ’reasonable’ efficacy range </w:t>
      </w:r>
      <w:r w:rsidR="00665A1B">
        <w:t xml:space="preserve">(i.e. a ‘reasonable’ reduction in the number of </w:t>
      </w:r>
      <w:r w:rsidR="00665A1B">
        <w:rPr>
          <w:lang w:eastAsia="ja-JP"/>
        </w:rPr>
        <w:t>pet food related pet deaths and illnesses</w:t>
      </w:r>
      <w:r w:rsidR="00665A1B">
        <w:t xml:space="preserve">) </w:t>
      </w:r>
      <w:r w:rsidR="005E12B4">
        <w:t xml:space="preserve">for the policy options considered in the Australian context. </w:t>
      </w:r>
      <w:r>
        <w:rPr>
          <w:lang w:eastAsia="ja-JP"/>
        </w:rPr>
        <w:t>This limits the CBA’s capacity to estimate how the proposed policy options are likely to reduce the risk of pet food safety incidents in Australia and therefore the benefits of the policy options.</w:t>
      </w:r>
    </w:p>
    <w:p w14:paraId="13206965" w14:textId="7F7EC1DD" w:rsidR="00590A2C" w:rsidRDefault="00597DBF" w:rsidP="00597DBF">
      <w:r>
        <w:rPr>
          <w:lang w:eastAsia="ja-JP"/>
        </w:rPr>
        <w:t xml:space="preserve">Given this uncertainty, </w:t>
      </w:r>
      <w:bookmarkStart w:id="127" w:name="_Hlk164858309"/>
      <w:r>
        <w:rPr>
          <w:lang w:eastAsia="ja-JP"/>
        </w:rPr>
        <w:t xml:space="preserve">the CBA </w:t>
      </w:r>
      <w:r w:rsidR="004107FB">
        <w:rPr>
          <w:lang w:eastAsia="ja-JP"/>
        </w:rPr>
        <w:t xml:space="preserve">has been presented </w:t>
      </w:r>
      <w:r>
        <w:rPr>
          <w:lang w:eastAsia="ja-JP"/>
        </w:rPr>
        <w:t xml:space="preserve">in the form of a threshold analysis. The analysis builds an estimate of the incremental costs of the policy options and determines the percentage of pet food safety incidents that would need to be avoided </w:t>
      </w:r>
      <w:bookmarkEnd w:id="127"/>
      <w:proofErr w:type="gramStart"/>
      <w:r>
        <w:rPr>
          <w:lang w:eastAsia="ja-JP"/>
        </w:rPr>
        <w:t>in order for</w:t>
      </w:r>
      <w:proofErr w:type="gramEnd"/>
      <w:r>
        <w:rPr>
          <w:lang w:eastAsia="ja-JP"/>
        </w:rPr>
        <w:t xml:space="preserve"> the present value of the option’s costs to equal its benefits (i.e. to achieve a benefit–cost ratio (BCR) of 1 and a NPV of 0). </w:t>
      </w:r>
      <w:r>
        <w:t>The costs are incremental to the status quo (i.e. costs that would be incurred on top of the costs under the current situation) such that an incremental cost of $0 means there is no difference or extra cost from the status quo (not necessarily that the policy option would incur no costs overall).</w:t>
      </w:r>
    </w:p>
    <w:p w14:paraId="048AFF43" w14:textId="0D276372" w:rsidR="00247ECF" w:rsidRDefault="00247ECF" w:rsidP="0008340B">
      <w:pPr>
        <w:pStyle w:val="Heading4"/>
      </w:pPr>
      <w:r>
        <w:lastRenderedPageBreak/>
        <w:t>Sensitivity analyses</w:t>
      </w:r>
    </w:p>
    <w:p w14:paraId="1964E34A" w14:textId="3775927C" w:rsidR="002D36E6" w:rsidRDefault="00FF1268" w:rsidP="00590A2C">
      <w:r>
        <w:t xml:space="preserve">In undertaking the CBA, a range of </w:t>
      </w:r>
      <w:r w:rsidR="00DB39B1">
        <w:t xml:space="preserve">estimates have been made in relation to key variables based on </w:t>
      </w:r>
      <w:r w:rsidR="003B2B37">
        <w:t xml:space="preserve">limited </w:t>
      </w:r>
      <w:r w:rsidR="00DB39B1">
        <w:t>available</w:t>
      </w:r>
      <w:r w:rsidR="003B2B37" w:rsidRPr="003B2B37">
        <w:t xml:space="preserve"> </w:t>
      </w:r>
      <w:r w:rsidR="003B2B37">
        <w:t>data</w:t>
      </w:r>
      <w:r w:rsidR="00653EC5">
        <w:t>, drawing on the expertise and independent judgement of MJA</w:t>
      </w:r>
      <w:r w:rsidR="00DB39B1">
        <w:t xml:space="preserve">. For example, </w:t>
      </w:r>
      <w:r w:rsidR="008E09E1">
        <w:t xml:space="preserve">the number of pet deaths and illnesses from pet food has been estimated based on data of previous PetFAST reports and </w:t>
      </w:r>
      <w:r w:rsidR="00AE76E3">
        <w:t xml:space="preserve">advice </w:t>
      </w:r>
      <w:r w:rsidR="00983C2F">
        <w:t xml:space="preserve">from stakeholders regarding potential underreporting </w:t>
      </w:r>
      <w:r w:rsidR="00230C6D">
        <w:t xml:space="preserve">in the PetFAST system. </w:t>
      </w:r>
      <w:r w:rsidR="003B2B37">
        <w:t>T</w:t>
      </w:r>
      <w:r w:rsidR="003E5395">
        <w:t>he</w:t>
      </w:r>
      <w:r w:rsidR="001B567C">
        <w:t>se estimates</w:t>
      </w:r>
      <w:r w:rsidR="003E5395">
        <w:t xml:space="preserve"> </w:t>
      </w:r>
      <w:r w:rsidR="002D36E6">
        <w:t>represent a ‘central base case’ scenario</w:t>
      </w:r>
      <w:r w:rsidR="006301FD">
        <w:t xml:space="preserve"> </w:t>
      </w:r>
      <w:r w:rsidR="00E56372">
        <w:t xml:space="preserve">for </w:t>
      </w:r>
      <w:r w:rsidR="002D36E6">
        <w:t>the CBA</w:t>
      </w:r>
      <w:r w:rsidR="00DA7ECE">
        <w:t xml:space="preserve">, the </w:t>
      </w:r>
      <w:r w:rsidR="00E56372">
        <w:t xml:space="preserve">results of </w:t>
      </w:r>
      <w:r w:rsidR="000B4B85">
        <w:t xml:space="preserve">which are outlined in the CBA </w:t>
      </w:r>
      <w:r w:rsidR="00DA7ECE">
        <w:t>report</w:t>
      </w:r>
      <w:r w:rsidR="000B4B85">
        <w:t xml:space="preserve"> (see </w:t>
      </w:r>
      <w:r w:rsidR="00111C5A" w:rsidRPr="001A6B22">
        <w:rPr>
          <w:b/>
          <w:bCs/>
        </w:rPr>
        <w:t>Appendix</w:t>
      </w:r>
      <w:r w:rsidR="000B4B85" w:rsidRPr="001A6B22">
        <w:rPr>
          <w:b/>
          <w:bCs/>
        </w:rPr>
        <w:t xml:space="preserve"> </w:t>
      </w:r>
      <w:r w:rsidR="001275CB" w:rsidRPr="001A6B22">
        <w:rPr>
          <w:b/>
          <w:bCs/>
        </w:rPr>
        <w:t>B</w:t>
      </w:r>
      <w:r w:rsidR="000B4B85">
        <w:t>)</w:t>
      </w:r>
      <w:r w:rsidR="002D36E6">
        <w:t>.</w:t>
      </w:r>
    </w:p>
    <w:p w14:paraId="423E4BA4" w14:textId="0A710114" w:rsidR="00230C6D" w:rsidRDefault="003A2F96" w:rsidP="00590A2C">
      <w:r>
        <w:t>G</w:t>
      </w:r>
      <w:r w:rsidR="000B4B85">
        <w:t>iven the limited data available</w:t>
      </w:r>
      <w:r>
        <w:t>, these estimates have inherent uncertainties</w:t>
      </w:r>
      <w:r w:rsidR="000B4B85">
        <w:t>. A</w:t>
      </w:r>
      <w:r w:rsidR="003B2B37">
        <w:t>s such, sensitivity analyses</w:t>
      </w:r>
      <w:r w:rsidR="00FB3126">
        <w:t xml:space="preserve"> have been undertaken </w:t>
      </w:r>
      <w:r>
        <w:t xml:space="preserve">as part of the CBA </w:t>
      </w:r>
      <w:r w:rsidR="00FB3126">
        <w:t>to assess the potential impact of these uncertainties to the overall CBA outcomes.</w:t>
      </w:r>
      <w:r w:rsidR="002D36E6">
        <w:t xml:space="preserve"> The findings of these sensitivity analyses are detailed in the CBA report.</w:t>
      </w:r>
    </w:p>
    <w:p w14:paraId="245A089C" w14:textId="34817A29" w:rsidR="004D4EF5" w:rsidRDefault="00F1363C" w:rsidP="00590A2C">
      <w:r>
        <w:t>A key variab</w:t>
      </w:r>
      <w:r w:rsidR="003A2F96">
        <w:t xml:space="preserve">le </w:t>
      </w:r>
      <w:r w:rsidR="00E931DC">
        <w:t>subject to sensitivity analysis is the costs to government to implement each option</w:t>
      </w:r>
      <w:r w:rsidR="008F4344">
        <w:t xml:space="preserve">. </w:t>
      </w:r>
      <w:r w:rsidR="00B346F9">
        <w:t xml:space="preserve">For the </w:t>
      </w:r>
      <w:r w:rsidR="00BC4F1A">
        <w:t>‘</w:t>
      </w:r>
      <w:r w:rsidR="00B346F9">
        <w:t>central base case</w:t>
      </w:r>
      <w:r w:rsidR="00BC4F1A">
        <w:t>’</w:t>
      </w:r>
      <w:r w:rsidR="00B346F9">
        <w:t xml:space="preserve"> scenario, </w:t>
      </w:r>
      <w:r w:rsidR="00BC4F1A">
        <w:t xml:space="preserve">this </w:t>
      </w:r>
      <w:r w:rsidR="00B346F9">
        <w:t xml:space="preserve">variable was estimated by </w:t>
      </w:r>
      <w:r w:rsidR="008F4344">
        <w:t xml:space="preserve">taking </w:t>
      </w:r>
      <w:r w:rsidR="0043468F">
        <w:t>an average</w:t>
      </w:r>
      <w:r w:rsidR="002A3E27">
        <w:t xml:space="preserve"> of </w:t>
      </w:r>
      <w:r w:rsidR="004D4EF5">
        <w:t xml:space="preserve">the government cost estimates </w:t>
      </w:r>
      <w:r w:rsidR="00B713AE">
        <w:t xml:space="preserve">for each option </w:t>
      </w:r>
      <w:r w:rsidR="004D4EF5">
        <w:t xml:space="preserve">provided by </w:t>
      </w:r>
      <w:r w:rsidR="00E950F4">
        <w:t>all jurisdictions</w:t>
      </w:r>
      <w:r w:rsidR="004D4EF5">
        <w:t xml:space="preserve">. However, </w:t>
      </w:r>
      <w:r w:rsidR="00590A2C">
        <w:t>it is likely that t</w:t>
      </w:r>
      <w:r w:rsidR="00597DBF">
        <w:t xml:space="preserve">he </w:t>
      </w:r>
      <w:r w:rsidR="004D4EF5">
        <w:t xml:space="preserve">actual government </w:t>
      </w:r>
      <w:r w:rsidR="00597DBF">
        <w:t xml:space="preserve">costs </w:t>
      </w:r>
      <w:r w:rsidR="004D4EF5">
        <w:t xml:space="preserve">for </w:t>
      </w:r>
      <w:r w:rsidR="00590A2C">
        <w:t xml:space="preserve">each option </w:t>
      </w:r>
      <w:r w:rsidR="004D4EF5">
        <w:t xml:space="preserve">will </w:t>
      </w:r>
      <w:r w:rsidR="00590A2C">
        <w:t xml:space="preserve">vary significantly between jurisdictions. This is because the costs will </w:t>
      </w:r>
      <w:r w:rsidR="00597DBF" w:rsidRPr="00A9198D">
        <w:t xml:space="preserve">depend on </w:t>
      </w:r>
      <w:proofErr w:type="gramStart"/>
      <w:r w:rsidR="00597DBF" w:rsidRPr="00A9198D">
        <w:t xml:space="preserve">a </w:t>
      </w:r>
      <w:r w:rsidR="00597DBF">
        <w:t xml:space="preserve">number </w:t>
      </w:r>
      <w:r w:rsidR="00597DBF" w:rsidRPr="00A9198D">
        <w:t>of</w:t>
      </w:r>
      <w:proofErr w:type="gramEnd"/>
      <w:r w:rsidR="00597DBF" w:rsidRPr="00A9198D">
        <w:t xml:space="preserve"> factors including </w:t>
      </w:r>
      <w:r w:rsidR="00597DBF">
        <w:t xml:space="preserve">the </w:t>
      </w:r>
      <w:r w:rsidR="00597DBF" w:rsidRPr="00A9198D">
        <w:t>existing regulatory and legislative framework</w:t>
      </w:r>
      <w:r w:rsidR="00597DBF">
        <w:t>s</w:t>
      </w:r>
      <w:r w:rsidR="00597DBF" w:rsidRPr="00A9198D">
        <w:t xml:space="preserve"> </w:t>
      </w:r>
      <w:r w:rsidR="00597DBF">
        <w:t xml:space="preserve">in jurisdictions </w:t>
      </w:r>
      <w:r w:rsidR="00597DBF" w:rsidRPr="00A9198D">
        <w:t xml:space="preserve">and the priority given to </w:t>
      </w:r>
      <w:r w:rsidR="00597DBF">
        <w:t xml:space="preserve">introduce </w:t>
      </w:r>
      <w:r w:rsidR="00597DBF" w:rsidRPr="00A9198D">
        <w:t xml:space="preserve">any </w:t>
      </w:r>
      <w:r w:rsidR="00597DBF">
        <w:t xml:space="preserve">required </w:t>
      </w:r>
      <w:r w:rsidR="00597DBF" w:rsidRPr="00A9198D">
        <w:t>legislative changes.</w:t>
      </w:r>
      <w:r w:rsidR="00A83E18">
        <w:t xml:space="preserve"> Reflecting this likely variation and associated uncertainty, this report presents the results of the CBA </w:t>
      </w:r>
      <w:r w:rsidR="00771F53">
        <w:t xml:space="preserve">under both a ‘central base case’ scenario and </w:t>
      </w:r>
      <w:r w:rsidR="0008472D">
        <w:t>as a range of outcomes for each option</w:t>
      </w:r>
      <w:r w:rsidR="00771F53">
        <w:t xml:space="preserve"> (with the lower bound representing a halving of estimated government costs and the upper bound represents a doubling of estimated government costs).</w:t>
      </w:r>
    </w:p>
    <w:p w14:paraId="49DA9C17" w14:textId="77777777" w:rsidR="009936E9" w:rsidRDefault="009936E9" w:rsidP="0051039B">
      <w:pPr>
        <w:pStyle w:val="Heading3"/>
      </w:pPr>
      <w:bookmarkStart w:id="128" w:name="_Toc228966451"/>
      <w:r>
        <w:t>Results</w:t>
      </w:r>
      <w:bookmarkEnd w:id="128"/>
    </w:p>
    <w:p w14:paraId="6B4A0171" w14:textId="4FFA0E69" w:rsidR="00AD7C7C" w:rsidRDefault="009936E9" w:rsidP="009936E9">
      <w:r>
        <w:t xml:space="preserve">The </w:t>
      </w:r>
      <w:r w:rsidR="002224EC">
        <w:t xml:space="preserve">incremental costs of each option under </w:t>
      </w:r>
      <w:r>
        <w:t xml:space="preserve">the </w:t>
      </w:r>
      <w:r w:rsidR="002224EC">
        <w:t xml:space="preserve">CBA are summarised in Table 1, noting they have been presented </w:t>
      </w:r>
      <w:r w:rsidR="002D5239">
        <w:t xml:space="preserve">both under the central base case scenario and </w:t>
      </w:r>
      <w:r w:rsidR="002224EC">
        <w:t xml:space="preserve">as cost ranges </w:t>
      </w:r>
      <w:r w:rsidR="002D5239">
        <w:t xml:space="preserve">to account for the likely </w:t>
      </w:r>
      <w:r w:rsidR="002224EC">
        <w:t xml:space="preserve">variability in government costs to implement the options (see Section </w:t>
      </w:r>
      <w:r w:rsidR="003760BE">
        <w:t>5</w:t>
      </w:r>
      <w:r w:rsidR="002224EC">
        <w:t>.1.3).</w:t>
      </w:r>
    </w:p>
    <w:p w14:paraId="64B000C8" w14:textId="371FC451" w:rsidR="00C47BE7" w:rsidRPr="0008340B" w:rsidRDefault="00D7390B" w:rsidP="00D7390B">
      <w:pPr>
        <w:pStyle w:val="Caption"/>
        <w:rPr>
          <w:sz w:val="20"/>
          <w:szCs w:val="20"/>
        </w:rPr>
      </w:pPr>
      <w:bookmarkStart w:id="129" w:name="_Toc228966453"/>
      <w:r>
        <w:t xml:space="preserve">Table </w:t>
      </w:r>
      <w:r w:rsidRPr="00D7390B">
        <w:fldChar w:fldCharType="begin"/>
      </w:r>
      <w:r w:rsidRPr="00D7390B">
        <w:instrText xml:space="preserve"> SEQ Table \* ARABIC </w:instrText>
      </w:r>
      <w:r w:rsidRPr="00D7390B">
        <w:fldChar w:fldCharType="separate"/>
      </w:r>
      <w:r w:rsidR="007733C6">
        <w:rPr>
          <w:noProof/>
        </w:rPr>
        <w:t>1</w:t>
      </w:r>
      <w:r w:rsidRPr="00D7390B">
        <w:fldChar w:fldCharType="end"/>
      </w:r>
      <w:r w:rsidR="00CB0660" w:rsidRPr="00D7390B">
        <w:t xml:space="preserve"> </w:t>
      </w:r>
      <w:r w:rsidR="00ED7F2D" w:rsidRPr="00D7390B">
        <w:t>Net p</w:t>
      </w:r>
      <w:r w:rsidR="00CB0660" w:rsidRPr="00D7390B">
        <w:t>resent value</w:t>
      </w:r>
      <w:r w:rsidR="00ED7F2D" w:rsidRPr="00D7390B">
        <w:t xml:space="preserve"> (NPV)</w:t>
      </w:r>
      <w:r w:rsidR="00CB0660" w:rsidRPr="00D7390B">
        <w:t xml:space="preserve"> incremental cost</w:t>
      </w:r>
      <w:r w:rsidR="002D5239" w:rsidRPr="00D7390B">
        <w:t>s</w:t>
      </w:r>
      <w:r w:rsidR="00CB0660" w:rsidRPr="00D7390B">
        <w:t xml:space="preserve"> for each option</w:t>
      </w:r>
      <w:r w:rsidR="003760BE" w:rsidRPr="00D7390B">
        <w:t xml:space="preserve"> as estimated at 2022</w:t>
      </w:r>
      <w:r w:rsidR="00944792" w:rsidRPr="00D7390B">
        <w:t xml:space="preserve">, under a ‘central base case’ scenario and as cost ranges </w:t>
      </w:r>
      <w:r w:rsidR="00CB0660" w:rsidRPr="00D7390B">
        <w:t>($million, 7% discount rate)</w:t>
      </w:r>
      <w:r w:rsidR="005A0929" w:rsidRPr="00D7390B">
        <w:t>.</w:t>
      </w:r>
      <w:bookmarkEnd w:id="129"/>
    </w:p>
    <w:tbl>
      <w:tblPr>
        <w:tblW w:w="5467" w:type="pct"/>
        <w:tblLayout w:type="fixed"/>
        <w:tblCellMar>
          <w:left w:w="0" w:type="dxa"/>
          <w:right w:w="0" w:type="dxa"/>
        </w:tblCellMar>
        <w:tblLook w:val="04A0" w:firstRow="1" w:lastRow="0" w:firstColumn="1" w:lastColumn="0" w:noHBand="0" w:noVBand="1"/>
      </w:tblPr>
      <w:tblGrid>
        <w:gridCol w:w="1986"/>
        <w:gridCol w:w="855"/>
        <w:gridCol w:w="1414"/>
        <w:gridCol w:w="1418"/>
        <w:gridCol w:w="1414"/>
        <w:gridCol w:w="1416"/>
        <w:gridCol w:w="1414"/>
      </w:tblGrid>
      <w:tr w:rsidR="00944792" w14:paraId="5D83049F" w14:textId="77777777" w:rsidTr="00944792">
        <w:trPr>
          <w:trHeight w:val="300"/>
          <w:tblHeader/>
        </w:trPr>
        <w:tc>
          <w:tcPr>
            <w:tcW w:w="1001"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hideMark/>
          </w:tcPr>
          <w:p w14:paraId="6924D112" w14:textId="77777777" w:rsidR="00A52B2D" w:rsidRDefault="00A52B2D"/>
        </w:tc>
        <w:tc>
          <w:tcPr>
            <w:tcW w:w="431" w:type="pct"/>
            <w:tcBorders>
              <w:top w:val="single" w:sz="8" w:space="0" w:color="004D71"/>
              <w:left w:val="nil"/>
              <w:bottom w:val="single" w:sz="8" w:space="0" w:color="004D71"/>
              <w:right w:val="nil"/>
            </w:tcBorders>
            <w:shd w:val="clear" w:color="auto" w:fill="004D71"/>
            <w:vAlign w:val="center"/>
          </w:tcPr>
          <w:p w14:paraId="40AC7846" w14:textId="34F4E734" w:rsidR="00A52B2D" w:rsidRDefault="00A52B2D" w:rsidP="0008340B">
            <w:pPr>
              <w:spacing w:before="60" w:after="60" w:line="288" w:lineRule="auto"/>
              <w:jc w:val="center"/>
              <w:rPr>
                <w:color w:val="FFFFFF"/>
                <w:sz w:val="20"/>
                <w:szCs w:val="20"/>
                <w:lang w:eastAsia="en-AU"/>
              </w:rPr>
            </w:pPr>
            <w:r>
              <w:rPr>
                <w:color w:val="FFFFFF"/>
                <w:sz w:val="20"/>
                <w:szCs w:val="20"/>
                <w:lang w:eastAsia="en-AU"/>
              </w:rPr>
              <w:t>Option 1</w:t>
            </w:r>
          </w:p>
        </w:tc>
        <w:tc>
          <w:tcPr>
            <w:tcW w:w="713"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44758D75" w14:textId="4EB2E949" w:rsidR="00A52B2D" w:rsidRDefault="00A52B2D" w:rsidP="0008340B">
            <w:pPr>
              <w:spacing w:before="60" w:after="60" w:line="288" w:lineRule="auto"/>
              <w:jc w:val="center"/>
              <w:rPr>
                <w:rFonts w:ascii="Calibri" w:hAnsi="Calibri" w:cs="Calibri"/>
                <w:color w:val="FFFFFF"/>
                <w:sz w:val="20"/>
                <w:szCs w:val="20"/>
                <w:lang w:eastAsia="en-AU"/>
              </w:rPr>
            </w:pPr>
            <w:r>
              <w:rPr>
                <w:color w:val="FFFFFF"/>
                <w:sz w:val="20"/>
                <w:szCs w:val="20"/>
                <w:lang w:eastAsia="en-AU"/>
              </w:rPr>
              <w:t>Option 2</w:t>
            </w:r>
          </w:p>
        </w:tc>
        <w:tc>
          <w:tcPr>
            <w:tcW w:w="715"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6CC0AD40" w14:textId="77777777" w:rsidR="00A52B2D" w:rsidRDefault="00A52B2D" w:rsidP="0008340B">
            <w:pPr>
              <w:spacing w:before="60" w:after="60" w:line="288" w:lineRule="auto"/>
              <w:jc w:val="center"/>
              <w:rPr>
                <w:color w:val="FFFFFF"/>
                <w:sz w:val="20"/>
                <w:szCs w:val="20"/>
                <w:lang w:eastAsia="en-AU"/>
              </w:rPr>
            </w:pPr>
            <w:r>
              <w:rPr>
                <w:color w:val="FFFFFF"/>
                <w:sz w:val="20"/>
                <w:szCs w:val="20"/>
                <w:lang w:eastAsia="en-AU"/>
              </w:rPr>
              <w:t>Option 2A</w:t>
            </w:r>
          </w:p>
        </w:tc>
        <w:tc>
          <w:tcPr>
            <w:tcW w:w="713"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36C351BC" w14:textId="77777777" w:rsidR="00A52B2D" w:rsidRDefault="00A52B2D" w:rsidP="0008340B">
            <w:pPr>
              <w:spacing w:before="60" w:after="60" w:line="288" w:lineRule="auto"/>
              <w:jc w:val="center"/>
              <w:rPr>
                <w:color w:val="FFFFFF"/>
                <w:sz w:val="20"/>
                <w:szCs w:val="20"/>
                <w:lang w:eastAsia="en-AU"/>
              </w:rPr>
            </w:pPr>
            <w:r>
              <w:rPr>
                <w:color w:val="FFFFFF"/>
                <w:sz w:val="20"/>
                <w:szCs w:val="20"/>
                <w:lang w:eastAsia="en-AU"/>
              </w:rPr>
              <w:t>Option 3</w:t>
            </w:r>
          </w:p>
        </w:tc>
        <w:tc>
          <w:tcPr>
            <w:tcW w:w="714"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7E2358E8" w14:textId="77777777" w:rsidR="00A52B2D" w:rsidRDefault="00A52B2D" w:rsidP="0008340B">
            <w:pPr>
              <w:spacing w:before="60" w:after="60" w:line="288" w:lineRule="auto"/>
              <w:jc w:val="center"/>
              <w:rPr>
                <w:color w:val="FFFFFF"/>
                <w:sz w:val="20"/>
                <w:szCs w:val="20"/>
                <w:lang w:eastAsia="en-AU"/>
              </w:rPr>
            </w:pPr>
            <w:r>
              <w:rPr>
                <w:color w:val="FFFFFF"/>
                <w:sz w:val="20"/>
                <w:szCs w:val="20"/>
                <w:lang w:eastAsia="en-AU"/>
              </w:rPr>
              <w:t>Option 3A</w:t>
            </w:r>
          </w:p>
        </w:tc>
        <w:tc>
          <w:tcPr>
            <w:tcW w:w="713"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2D16C4A7" w14:textId="77777777" w:rsidR="00A52B2D" w:rsidRDefault="00A52B2D" w:rsidP="0008340B">
            <w:pPr>
              <w:spacing w:before="60" w:after="60" w:line="288" w:lineRule="auto"/>
              <w:jc w:val="center"/>
              <w:rPr>
                <w:color w:val="FFFFFF"/>
                <w:sz w:val="20"/>
                <w:szCs w:val="20"/>
                <w:lang w:eastAsia="en-AU"/>
              </w:rPr>
            </w:pPr>
            <w:r>
              <w:rPr>
                <w:color w:val="FFFFFF"/>
                <w:sz w:val="20"/>
                <w:szCs w:val="20"/>
                <w:lang w:eastAsia="en-AU"/>
              </w:rPr>
              <w:t>Option 4</w:t>
            </w:r>
          </w:p>
        </w:tc>
      </w:tr>
      <w:tr w:rsidR="00944792" w14:paraId="6309C65F" w14:textId="77777777" w:rsidTr="00944792">
        <w:trPr>
          <w:trHeight w:val="300"/>
        </w:trPr>
        <w:tc>
          <w:tcPr>
            <w:tcW w:w="100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06552C52" w14:textId="56F2D9CF" w:rsidR="00A52B2D" w:rsidRDefault="0087408B" w:rsidP="00944792">
            <w:pPr>
              <w:spacing w:before="60" w:after="60" w:line="288" w:lineRule="auto"/>
              <w:rPr>
                <w:sz w:val="20"/>
                <w:szCs w:val="20"/>
                <w:lang w:eastAsia="en-AU"/>
              </w:rPr>
            </w:pPr>
            <w:r>
              <w:rPr>
                <w:color w:val="000000"/>
                <w:sz w:val="20"/>
                <w:szCs w:val="20"/>
                <w:lang w:eastAsia="en-AU"/>
              </w:rPr>
              <w:t>A</w:t>
            </w:r>
            <w:r w:rsidR="00A52B2D">
              <w:rPr>
                <w:color w:val="000000"/>
                <w:sz w:val="20"/>
                <w:szCs w:val="20"/>
                <w:lang w:eastAsia="en-AU"/>
              </w:rPr>
              <w:t>dministration</w:t>
            </w:r>
          </w:p>
        </w:tc>
        <w:tc>
          <w:tcPr>
            <w:tcW w:w="431" w:type="pct"/>
            <w:tcBorders>
              <w:top w:val="nil"/>
              <w:left w:val="nil"/>
              <w:bottom w:val="single" w:sz="8" w:space="0" w:color="004D71"/>
              <w:right w:val="nil"/>
            </w:tcBorders>
            <w:shd w:val="clear" w:color="auto" w:fill="E6F7FD"/>
            <w:vAlign w:val="center"/>
          </w:tcPr>
          <w:p w14:paraId="1C2D59B8" w14:textId="1E6F169E" w:rsidR="00A52B2D" w:rsidRDefault="00A52B2D" w:rsidP="00A52B2D">
            <w:pPr>
              <w:spacing w:before="60" w:after="60" w:line="288" w:lineRule="auto"/>
              <w:jc w:val="center"/>
              <w:rPr>
                <w:color w:val="000000"/>
                <w:sz w:val="20"/>
                <w:szCs w:val="20"/>
              </w:rPr>
            </w:pPr>
            <w:r>
              <w:rPr>
                <w:color w:val="000000"/>
                <w:sz w:val="20"/>
                <w:szCs w:val="20"/>
              </w:rPr>
              <w:t>$0</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49AA01E" w14:textId="6449011D" w:rsidR="000423F2" w:rsidRDefault="00297012" w:rsidP="00A52B2D">
            <w:pPr>
              <w:spacing w:before="60" w:after="60" w:line="288" w:lineRule="auto"/>
              <w:jc w:val="center"/>
              <w:rPr>
                <w:color w:val="000000"/>
                <w:sz w:val="20"/>
                <w:szCs w:val="20"/>
              </w:rPr>
            </w:pPr>
            <w:r>
              <w:rPr>
                <w:color w:val="000000"/>
                <w:sz w:val="20"/>
                <w:szCs w:val="20"/>
              </w:rPr>
              <w:t>$4.8</w:t>
            </w:r>
          </w:p>
          <w:p w14:paraId="0C91F021" w14:textId="63759DC6" w:rsidR="00A52B2D" w:rsidRDefault="00297012"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 xml:space="preserve">$2.4 </w:t>
            </w:r>
            <w:r w:rsidR="00C47BE7">
              <w:rPr>
                <w:color w:val="000000"/>
                <w:sz w:val="20"/>
                <w:szCs w:val="20"/>
              </w:rPr>
              <w:t>–</w:t>
            </w:r>
            <w:r w:rsidR="00A52B2D">
              <w:rPr>
                <w:color w:val="000000"/>
                <w:sz w:val="20"/>
                <w:szCs w:val="20"/>
              </w:rPr>
              <w:t xml:space="preserve"> 9.6</w:t>
            </w:r>
            <w:r>
              <w:rPr>
                <w:color w:val="000000"/>
                <w:sz w:val="20"/>
                <w:szCs w:val="20"/>
              </w:rPr>
              <w:t>)</w:t>
            </w:r>
          </w:p>
        </w:tc>
        <w:tc>
          <w:tcPr>
            <w:tcW w:w="715"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5A4839F8" w14:textId="296DBE72" w:rsidR="00297012" w:rsidRDefault="00297012" w:rsidP="00A52B2D">
            <w:pPr>
              <w:spacing w:before="60" w:after="60" w:line="288" w:lineRule="auto"/>
              <w:jc w:val="center"/>
              <w:rPr>
                <w:color w:val="000000"/>
                <w:sz w:val="20"/>
                <w:szCs w:val="20"/>
              </w:rPr>
            </w:pPr>
            <w:r>
              <w:rPr>
                <w:color w:val="000000"/>
                <w:sz w:val="20"/>
                <w:szCs w:val="20"/>
              </w:rPr>
              <w:t>$4.9</w:t>
            </w:r>
          </w:p>
          <w:p w14:paraId="55B5C727" w14:textId="31C46B1D" w:rsidR="00A52B2D" w:rsidRDefault="00297012"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$2.5 – 9.9</w:t>
            </w:r>
            <w:r>
              <w:rPr>
                <w:color w:val="000000"/>
                <w:sz w:val="20"/>
                <w:szCs w:val="20"/>
              </w:rPr>
              <w:t>)</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6290223" w14:textId="7F0393B2" w:rsidR="00297012" w:rsidRDefault="00297012" w:rsidP="00A52B2D">
            <w:pPr>
              <w:spacing w:before="60" w:after="60" w:line="288" w:lineRule="auto"/>
              <w:jc w:val="center"/>
              <w:rPr>
                <w:color w:val="000000"/>
                <w:sz w:val="20"/>
                <w:szCs w:val="20"/>
              </w:rPr>
            </w:pPr>
            <w:r>
              <w:rPr>
                <w:color w:val="000000"/>
                <w:sz w:val="20"/>
                <w:szCs w:val="20"/>
              </w:rPr>
              <w:t>$11.8</w:t>
            </w:r>
          </w:p>
          <w:p w14:paraId="39A6009B" w14:textId="63BD5CB1" w:rsidR="00A52B2D" w:rsidRDefault="00297012"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$5.9 – 23.5</w:t>
            </w:r>
            <w:r>
              <w:rPr>
                <w:color w:val="000000"/>
                <w:sz w:val="20"/>
                <w:szCs w:val="20"/>
              </w:rPr>
              <w:t>)</w:t>
            </w:r>
          </w:p>
        </w:tc>
        <w:tc>
          <w:tcPr>
            <w:tcW w:w="714"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122DA7C3" w14:textId="7802B0E4" w:rsidR="00297012" w:rsidRDefault="00297012" w:rsidP="00A52B2D">
            <w:pPr>
              <w:spacing w:before="60" w:after="60" w:line="288" w:lineRule="auto"/>
              <w:jc w:val="center"/>
              <w:rPr>
                <w:color w:val="000000"/>
                <w:sz w:val="20"/>
                <w:szCs w:val="20"/>
              </w:rPr>
            </w:pPr>
            <w:r>
              <w:rPr>
                <w:color w:val="000000"/>
                <w:sz w:val="20"/>
                <w:szCs w:val="20"/>
              </w:rPr>
              <w:t>$12.6</w:t>
            </w:r>
          </w:p>
          <w:p w14:paraId="30720131" w14:textId="01C711D9" w:rsidR="00A52B2D" w:rsidRDefault="00297012"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$6.3 – 25.3</w:t>
            </w:r>
            <w:r>
              <w:rPr>
                <w:color w:val="000000"/>
                <w:sz w:val="20"/>
                <w:szCs w:val="20"/>
              </w:rPr>
              <w:t>)</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11D18978" w14:textId="3C003040" w:rsidR="00297012" w:rsidRDefault="00297012" w:rsidP="00A52B2D">
            <w:pPr>
              <w:spacing w:before="60" w:after="60" w:line="288" w:lineRule="auto"/>
              <w:jc w:val="center"/>
              <w:rPr>
                <w:color w:val="000000"/>
                <w:sz w:val="20"/>
                <w:szCs w:val="20"/>
              </w:rPr>
            </w:pPr>
            <w:r>
              <w:rPr>
                <w:color w:val="000000"/>
                <w:sz w:val="20"/>
                <w:szCs w:val="20"/>
              </w:rPr>
              <w:t>$20.2</w:t>
            </w:r>
          </w:p>
          <w:p w14:paraId="20A48833" w14:textId="579B7521" w:rsidR="00A52B2D" w:rsidRDefault="00297012"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$10.1 – 40.4</w:t>
            </w:r>
            <w:r>
              <w:rPr>
                <w:color w:val="000000"/>
                <w:sz w:val="20"/>
                <w:szCs w:val="20"/>
              </w:rPr>
              <w:t>)</w:t>
            </w:r>
          </w:p>
        </w:tc>
      </w:tr>
      <w:tr w:rsidR="00944792" w14:paraId="6EF20D8E" w14:textId="77777777" w:rsidTr="00944792">
        <w:trPr>
          <w:trHeight w:val="300"/>
        </w:trPr>
        <w:tc>
          <w:tcPr>
            <w:tcW w:w="100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75EC0DF" w14:textId="51D3147E" w:rsidR="00A52B2D" w:rsidRDefault="00A52B2D" w:rsidP="00944792">
            <w:pPr>
              <w:spacing w:before="60" w:after="60" w:line="288" w:lineRule="auto"/>
              <w:rPr>
                <w:sz w:val="20"/>
                <w:szCs w:val="20"/>
                <w:lang w:eastAsia="en-AU"/>
              </w:rPr>
            </w:pPr>
            <w:r>
              <w:rPr>
                <w:color w:val="000000"/>
                <w:sz w:val="20"/>
                <w:szCs w:val="20"/>
                <w:lang w:eastAsia="en-AU"/>
              </w:rPr>
              <w:t xml:space="preserve">Education </w:t>
            </w:r>
            <w:r w:rsidR="0087408B">
              <w:rPr>
                <w:color w:val="000000"/>
                <w:sz w:val="20"/>
                <w:szCs w:val="20"/>
                <w:lang w:eastAsia="en-AU"/>
              </w:rPr>
              <w:t>&amp;</w:t>
            </w:r>
            <w:r>
              <w:rPr>
                <w:color w:val="000000"/>
                <w:sz w:val="20"/>
                <w:szCs w:val="20"/>
                <w:lang w:eastAsia="en-AU"/>
              </w:rPr>
              <w:t xml:space="preserve"> public awareness</w:t>
            </w:r>
          </w:p>
        </w:tc>
        <w:tc>
          <w:tcPr>
            <w:tcW w:w="431" w:type="pct"/>
            <w:tcBorders>
              <w:top w:val="nil"/>
              <w:left w:val="nil"/>
              <w:bottom w:val="single" w:sz="8" w:space="0" w:color="004D71"/>
              <w:right w:val="nil"/>
            </w:tcBorders>
            <w:shd w:val="clear" w:color="auto" w:fill="E6F7FD"/>
            <w:vAlign w:val="center"/>
          </w:tcPr>
          <w:p w14:paraId="52F657E5" w14:textId="38B6821E" w:rsidR="00A52B2D" w:rsidRDefault="00A52B2D" w:rsidP="00A52B2D">
            <w:pPr>
              <w:spacing w:before="60" w:after="60" w:line="288" w:lineRule="auto"/>
              <w:jc w:val="center"/>
              <w:rPr>
                <w:color w:val="000000"/>
                <w:sz w:val="20"/>
                <w:szCs w:val="20"/>
              </w:rPr>
            </w:pPr>
            <w:r w:rsidRPr="005404AC">
              <w:rPr>
                <w:color w:val="000000"/>
                <w:sz w:val="20"/>
                <w:szCs w:val="20"/>
              </w:rPr>
              <w:t>$0</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1A3AFFBE" w14:textId="11CBC524" w:rsidR="00FE7388" w:rsidRDefault="00FE7388" w:rsidP="00A52B2D">
            <w:pPr>
              <w:spacing w:before="60" w:after="60" w:line="288" w:lineRule="auto"/>
              <w:jc w:val="center"/>
              <w:rPr>
                <w:color w:val="000000"/>
                <w:sz w:val="20"/>
                <w:szCs w:val="20"/>
              </w:rPr>
            </w:pPr>
            <w:r>
              <w:rPr>
                <w:color w:val="000000"/>
                <w:sz w:val="20"/>
                <w:szCs w:val="20"/>
              </w:rPr>
              <w:t>$0.2</w:t>
            </w:r>
          </w:p>
          <w:p w14:paraId="391A09DF" w14:textId="07A04C92" w:rsidR="00A52B2D" w:rsidRDefault="00FE7388"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$0.1 – 0.4</w:t>
            </w:r>
            <w:r>
              <w:rPr>
                <w:color w:val="000000"/>
                <w:sz w:val="20"/>
                <w:szCs w:val="20"/>
              </w:rPr>
              <w:t>)</w:t>
            </w:r>
          </w:p>
        </w:tc>
        <w:tc>
          <w:tcPr>
            <w:tcW w:w="715"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24888822" w14:textId="77777777" w:rsidR="00FE7388" w:rsidRDefault="00FE7388" w:rsidP="00FE7388">
            <w:pPr>
              <w:spacing w:before="60" w:after="60" w:line="288" w:lineRule="auto"/>
              <w:jc w:val="center"/>
              <w:rPr>
                <w:color w:val="000000"/>
                <w:sz w:val="20"/>
                <w:szCs w:val="20"/>
              </w:rPr>
            </w:pPr>
            <w:r>
              <w:rPr>
                <w:color w:val="000000"/>
                <w:sz w:val="20"/>
                <w:szCs w:val="20"/>
              </w:rPr>
              <w:t>$0.2</w:t>
            </w:r>
          </w:p>
          <w:p w14:paraId="36F98834" w14:textId="095472B3" w:rsidR="00A52B2D" w:rsidRDefault="00FE7388"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$0.1 – 0.5</w:t>
            </w:r>
            <w:r>
              <w:rPr>
                <w:color w:val="000000"/>
                <w:sz w:val="20"/>
                <w:szCs w:val="20"/>
              </w:rPr>
              <w:t>)</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07C0EB09" w14:textId="77777777" w:rsidR="00FE7388" w:rsidRDefault="00FE7388" w:rsidP="00FE7388">
            <w:pPr>
              <w:spacing w:before="60" w:after="60" w:line="288" w:lineRule="auto"/>
              <w:jc w:val="center"/>
              <w:rPr>
                <w:color w:val="000000"/>
                <w:sz w:val="20"/>
                <w:szCs w:val="20"/>
              </w:rPr>
            </w:pPr>
            <w:r>
              <w:rPr>
                <w:color w:val="000000"/>
                <w:sz w:val="20"/>
                <w:szCs w:val="20"/>
              </w:rPr>
              <w:t>$0.2</w:t>
            </w:r>
          </w:p>
          <w:p w14:paraId="1DEB04B7" w14:textId="610B6D24" w:rsidR="00A52B2D" w:rsidRDefault="00FE7388"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$0.1 – 0.4</w:t>
            </w:r>
            <w:r>
              <w:rPr>
                <w:color w:val="000000"/>
                <w:sz w:val="20"/>
                <w:szCs w:val="20"/>
              </w:rPr>
              <w:t>)</w:t>
            </w:r>
          </w:p>
        </w:tc>
        <w:tc>
          <w:tcPr>
            <w:tcW w:w="714"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0E66D752" w14:textId="77777777" w:rsidR="00FE7388" w:rsidRDefault="00FE7388" w:rsidP="00FE7388">
            <w:pPr>
              <w:spacing w:before="60" w:after="60" w:line="288" w:lineRule="auto"/>
              <w:jc w:val="center"/>
              <w:rPr>
                <w:color w:val="000000"/>
                <w:sz w:val="20"/>
                <w:szCs w:val="20"/>
              </w:rPr>
            </w:pPr>
            <w:r>
              <w:rPr>
                <w:color w:val="000000"/>
                <w:sz w:val="20"/>
                <w:szCs w:val="20"/>
              </w:rPr>
              <w:t>$0.2</w:t>
            </w:r>
          </w:p>
          <w:p w14:paraId="5C20A171" w14:textId="4F1E4442" w:rsidR="00A52B2D" w:rsidRDefault="00FE7388"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$0.1 – 0.5</w:t>
            </w:r>
            <w:r>
              <w:rPr>
                <w:color w:val="000000"/>
                <w:sz w:val="20"/>
                <w:szCs w:val="20"/>
              </w:rPr>
              <w:t>)</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572D8991" w14:textId="62AA564F" w:rsidR="00FE7388" w:rsidRDefault="00FE7388" w:rsidP="00FE7388">
            <w:pPr>
              <w:spacing w:before="60" w:after="60" w:line="288" w:lineRule="auto"/>
              <w:jc w:val="center"/>
              <w:rPr>
                <w:color w:val="000000"/>
                <w:sz w:val="20"/>
                <w:szCs w:val="20"/>
              </w:rPr>
            </w:pPr>
            <w:r>
              <w:rPr>
                <w:color w:val="000000"/>
                <w:sz w:val="20"/>
                <w:szCs w:val="20"/>
              </w:rPr>
              <w:t>$0.3</w:t>
            </w:r>
          </w:p>
          <w:p w14:paraId="6ADE5865" w14:textId="0504014D" w:rsidR="00A52B2D" w:rsidRDefault="00FE7388"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$0.1 – 0.6</w:t>
            </w:r>
            <w:r>
              <w:rPr>
                <w:color w:val="000000"/>
                <w:sz w:val="20"/>
                <w:szCs w:val="20"/>
              </w:rPr>
              <w:t>)</w:t>
            </w:r>
          </w:p>
        </w:tc>
      </w:tr>
      <w:tr w:rsidR="00944792" w14:paraId="5C2DD403" w14:textId="77777777" w:rsidTr="00944792">
        <w:trPr>
          <w:trHeight w:val="300"/>
        </w:trPr>
        <w:tc>
          <w:tcPr>
            <w:tcW w:w="1001" w:type="pct"/>
            <w:tcBorders>
              <w:top w:val="nil"/>
              <w:left w:val="nil"/>
              <w:bottom w:val="single" w:sz="8" w:space="0" w:color="004D71"/>
              <w:right w:val="nil"/>
            </w:tcBorders>
            <w:shd w:val="clear" w:color="auto" w:fill="F2F2F2"/>
            <w:noWrap/>
            <w:tcMar>
              <w:top w:w="0" w:type="dxa"/>
              <w:left w:w="108" w:type="dxa"/>
              <w:bottom w:w="0" w:type="dxa"/>
              <w:right w:w="108" w:type="dxa"/>
            </w:tcMar>
            <w:vAlign w:val="center"/>
            <w:hideMark/>
          </w:tcPr>
          <w:p w14:paraId="56FEEBF5" w14:textId="52CDAD28" w:rsidR="00A52B2D" w:rsidRDefault="00A52B2D" w:rsidP="00944792">
            <w:pPr>
              <w:spacing w:before="60" w:after="60" w:line="288" w:lineRule="auto"/>
              <w:rPr>
                <w:color w:val="000000"/>
                <w:sz w:val="20"/>
                <w:szCs w:val="20"/>
                <w:lang w:eastAsia="en-AU"/>
              </w:rPr>
            </w:pPr>
            <w:r>
              <w:rPr>
                <w:color w:val="000000"/>
                <w:sz w:val="20"/>
                <w:szCs w:val="20"/>
                <w:lang w:eastAsia="en-AU"/>
              </w:rPr>
              <w:t xml:space="preserve">Monitoring </w:t>
            </w:r>
            <w:r w:rsidR="0087408B">
              <w:rPr>
                <w:color w:val="000000"/>
                <w:sz w:val="20"/>
                <w:szCs w:val="20"/>
                <w:lang w:eastAsia="en-AU"/>
              </w:rPr>
              <w:t xml:space="preserve">&amp; </w:t>
            </w:r>
            <w:r>
              <w:rPr>
                <w:color w:val="000000"/>
                <w:sz w:val="20"/>
                <w:szCs w:val="20"/>
                <w:lang w:eastAsia="en-AU"/>
              </w:rPr>
              <w:t>complaints handling</w:t>
            </w:r>
          </w:p>
        </w:tc>
        <w:tc>
          <w:tcPr>
            <w:tcW w:w="431" w:type="pct"/>
            <w:tcBorders>
              <w:top w:val="nil"/>
              <w:left w:val="nil"/>
              <w:bottom w:val="single" w:sz="8" w:space="0" w:color="004D71"/>
              <w:right w:val="nil"/>
            </w:tcBorders>
            <w:shd w:val="clear" w:color="auto" w:fill="F2F2F2"/>
            <w:vAlign w:val="center"/>
          </w:tcPr>
          <w:p w14:paraId="74CE4C05" w14:textId="4611A01C" w:rsidR="00A52B2D" w:rsidRDefault="00A52B2D" w:rsidP="00A52B2D">
            <w:pPr>
              <w:spacing w:before="60" w:after="60" w:line="288" w:lineRule="auto"/>
              <w:jc w:val="center"/>
              <w:rPr>
                <w:color w:val="000000"/>
                <w:sz w:val="20"/>
                <w:szCs w:val="20"/>
              </w:rPr>
            </w:pPr>
            <w:r w:rsidRPr="005404AC">
              <w:rPr>
                <w:color w:val="000000"/>
                <w:sz w:val="20"/>
                <w:szCs w:val="20"/>
              </w:rPr>
              <w:t>$0</w:t>
            </w:r>
          </w:p>
        </w:tc>
        <w:tc>
          <w:tcPr>
            <w:tcW w:w="713" w:type="pct"/>
            <w:tcBorders>
              <w:top w:val="nil"/>
              <w:left w:val="nil"/>
              <w:bottom w:val="single" w:sz="8" w:space="0" w:color="004D71"/>
              <w:right w:val="nil"/>
            </w:tcBorders>
            <w:shd w:val="clear" w:color="auto" w:fill="F2F2F2"/>
            <w:noWrap/>
            <w:tcMar>
              <w:top w:w="0" w:type="dxa"/>
              <w:left w:w="108" w:type="dxa"/>
              <w:bottom w:w="0" w:type="dxa"/>
              <w:right w:w="108" w:type="dxa"/>
            </w:tcMar>
            <w:vAlign w:val="center"/>
            <w:hideMark/>
          </w:tcPr>
          <w:p w14:paraId="0CAEFB16" w14:textId="36FD3C96" w:rsidR="00A52B2D" w:rsidRDefault="00A52B2D" w:rsidP="00A52B2D">
            <w:pPr>
              <w:spacing w:before="60" w:after="60" w:line="288" w:lineRule="auto"/>
              <w:jc w:val="center"/>
              <w:rPr>
                <w:color w:val="000000"/>
                <w:sz w:val="20"/>
                <w:szCs w:val="20"/>
                <w:lang w:eastAsia="en-AU"/>
              </w:rPr>
            </w:pPr>
            <w:r>
              <w:rPr>
                <w:color w:val="000000"/>
                <w:sz w:val="20"/>
                <w:szCs w:val="20"/>
              </w:rPr>
              <w:t>$0</w:t>
            </w:r>
          </w:p>
        </w:tc>
        <w:tc>
          <w:tcPr>
            <w:tcW w:w="715" w:type="pct"/>
            <w:tcBorders>
              <w:top w:val="nil"/>
              <w:left w:val="nil"/>
              <w:bottom w:val="single" w:sz="8" w:space="0" w:color="004D71"/>
              <w:right w:val="nil"/>
            </w:tcBorders>
            <w:shd w:val="clear" w:color="auto" w:fill="F2F2F2"/>
            <w:noWrap/>
            <w:tcMar>
              <w:top w:w="0" w:type="dxa"/>
              <w:left w:w="108" w:type="dxa"/>
              <w:bottom w:w="0" w:type="dxa"/>
              <w:right w:w="108" w:type="dxa"/>
            </w:tcMar>
            <w:vAlign w:val="center"/>
            <w:hideMark/>
          </w:tcPr>
          <w:p w14:paraId="2FE32FBE" w14:textId="1E15B7FF" w:rsidR="00A52B2D" w:rsidRDefault="00A52B2D" w:rsidP="00A52B2D">
            <w:pPr>
              <w:spacing w:before="60" w:after="60" w:line="288" w:lineRule="auto"/>
              <w:jc w:val="center"/>
              <w:rPr>
                <w:color w:val="000000"/>
                <w:sz w:val="20"/>
                <w:szCs w:val="20"/>
                <w:lang w:eastAsia="en-AU"/>
              </w:rPr>
            </w:pPr>
            <w:r>
              <w:rPr>
                <w:color w:val="000000"/>
                <w:sz w:val="20"/>
                <w:szCs w:val="20"/>
              </w:rPr>
              <w:t>$0</w:t>
            </w:r>
          </w:p>
        </w:tc>
        <w:tc>
          <w:tcPr>
            <w:tcW w:w="713" w:type="pct"/>
            <w:tcBorders>
              <w:top w:val="nil"/>
              <w:left w:val="nil"/>
              <w:bottom w:val="single" w:sz="8" w:space="0" w:color="004D71"/>
              <w:right w:val="nil"/>
            </w:tcBorders>
            <w:shd w:val="clear" w:color="auto" w:fill="F2F2F2"/>
            <w:noWrap/>
            <w:tcMar>
              <w:top w:w="0" w:type="dxa"/>
              <w:left w:w="108" w:type="dxa"/>
              <w:bottom w:w="0" w:type="dxa"/>
              <w:right w:w="108" w:type="dxa"/>
            </w:tcMar>
            <w:vAlign w:val="center"/>
            <w:hideMark/>
          </w:tcPr>
          <w:p w14:paraId="4CA20076" w14:textId="7CB9B091" w:rsidR="002B6001" w:rsidRDefault="002B6001" w:rsidP="00A52B2D">
            <w:pPr>
              <w:spacing w:before="60" w:after="60" w:line="288" w:lineRule="auto"/>
              <w:jc w:val="center"/>
              <w:rPr>
                <w:color w:val="000000"/>
                <w:sz w:val="20"/>
                <w:szCs w:val="20"/>
              </w:rPr>
            </w:pPr>
            <w:r>
              <w:rPr>
                <w:color w:val="000000"/>
                <w:sz w:val="20"/>
                <w:szCs w:val="20"/>
              </w:rPr>
              <w:t>$</w:t>
            </w:r>
            <w:r w:rsidR="00D752D0">
              <w:rPr>
                <w:color w:val="000000"/>
                <w:sz w:val="20"/>
                <w:szCs w:val="20"/>
              </w:rPr>
              <w:t>4.7</w:t>
            </w:r>
          </w:p>
          <w:p w14:paraId="39AB6111" w14:textId="0A06F95F" w:rsidR="00A52B2D" w:rsidRDefault="002B6001"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w:t>
            </w:r>
            <w:r w:rsidR="000344E8">
              <w:rPr>
                <w:color w:val="000000"/>
                <w:sz w:val="20"/>
                <w:szCs w:val="20"/>
              </w:rPr>
              <w:t>2.4</w:t>
            </w:r>
            <w:r w:rsidR="00A52B2D">
              <w:rPr>
                <w:color w:val="000000"/>
                <w:sz w:val="20"/>
                <w:szCs w:val="20"/>
              </w:rPr>
              <w:t xml:space="preserve"> – </w:t>
            </w:r>
            <w:r w:rsidR="000344E8">
              <w:rPr>
                <w:color w:val="000000"/>
                <w:sz w:val="20"/>
                <w:szCs w:val="20"/>
              </w:rPr>
              <w:t>9.4</w:t>
            </w:r>
            <w:r>
              <w:rPr>
                <w:color w:val="000000"/>
                <w:sz w:val="20"/>
                <w:szCs w:val="20"/>
              </w:rPr>
              <w:t>)</w:t>
            </w:r>
          </w:p>
        </w:tc>
        <w:tc>
          <w:tcPr>
            <w:tcW w:w="714" w:type="pct"/>
            <w:tcBorders>
              <w:top w:val="nil"/>
              <w:left w:val="nil"/>
              <w:bottom w:val="single" w:sz="8" w:space="0" w:color="004D71"/>
              <w:right w:val="nil"/>
            </w:tcBorders>
            <w:shd w:val="clear" w:color="auto" w:fill="F2F2F2"/>
            <w:noWrap/>
            <w:tcMar>
              <w:top w:w="0" w:type="dxa"/>
              <w:left w:w="108" w:type="dxa"/>
              <w:bottom w:w="0" w:type="dxa"/>
              <w:right w:w="108" w:type="dxa"/>
            </w:tcMar>
            <w:vAlign w:val="center"/>
            <w:hideMark/>
          </w:tcPr>
          <w:p w14:paraId="66745A5D" w14:textId="1303ECB8" w:rsidR="002B6001" w:rsidRDefault="002B6001" w:rsidP="002B6001">
            <w:pPr>
              <w:spacing w:before="60" w:after="60" w:line="288" w:lineRule="auto"/>
              <w:jc w:val="center"/>
              <w:rPr>
                <w:color w:val="000000"/>
                <w:sz w:val="20"/>
                <w:szCs w:val="20"/>
              </w:rPr>
            </w:pPr>
            <w:r>
              <w:rPr>
                <w:color w:val="000000"/>
                <w:sz w:val="20"/>
                <w:szCs w:val="20"/>
              </w:rPr>
              <w:t>$</w:t>
            </w:r>
            <w:r w:rsidR="00D752D0">
              <w:rPr>
                <w:color w:val="000000"/>
                <w:sz w:val="20"/>
                <w:szCs w:val="20"/>
              </w:rPr>
              <w:t>5.1</w:t>
            </w:r>
          </w:p>
          <w:p w14:paraId="7EB7A93B" w14:textId="56CB4F92" w:rsidR="00A52B2D" w:rsidRDefault="002B6001"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w:t>
            </w:r>
            <w:r w:rsidR="000344E8">
              <w:rPr>
                <w:color w:val="000000"/>
                <w:sz w:val="20"/>
                <w:szCs w:val="20"/>
              </w:rPr>
              <w:t>2.5</w:t>
            </w:r>
            <w:r w:rsidR="00A52B2D">
              <w:rPr>
                <w:color w:val="000000"/>
                <w:sz w:val="20"/>
                <w:szCs w:val="20"/>
              </w:rPr>
              <w:t xml:space="preserve">– </w:t>
            </w:r>
            <w:r w:rsidR="000344E8">
              <w:rPr>
                <w:color w:val="000000"/>
                <w:sz w:val="20"/>
                <w:szCs w:val="20"/>
              </w:rPr>
              <w:t>10.2</w:t>
            </w:r>
            <w:r>
              <w:rPr>
                <w:color w:val="000000"/>
                <w:sz w:val="20"/>
                <w:szCs w:val="20"/>
              </w:rPr>
              <w:t>)</w:t>
            </w:r>
          </w:p>
        </w:tc>
        <w:tc>
          <w:tcPr>
            <w:tcW w:w="713" w:type="pct"/>
            <w:tcBorders>
              <w:top w:val="nil"/>
              <w:left w:val="nil"/>
              <w:bottom w:val="single" w:sz="8" w:space="0" w:color="004D71"/>
              <w:right w:val="nil"/>
            </w:tcBorders>
            <w:shd w:val="clear" w:color="auto" w:fill="F2F2F2"/>
            <w:noWrap/>
            <w:tcMar>
              <w:top w:w="0" w:type="dxa"/>
              <w:left w:w="108" w:type="dxa"/>
              <w:bottom w:w="0" w:type="dxa"/>
              <w:right w:w="108" w:type="dxa"/>
            </w:tcMar>
            <w:vAlign w:val="center"/>
            <w:hideMark/>
          </w:tcPr>
          <w:p w14:paraId="5E0970A9" w14:textId="061A2EB3" w:rsidR="002B6001" w:rsidRDefault="002B6001" w:rsidP="002B6001">
            <w:pPr>
              <w:spacing w:before="60" w:after="60" w:line="288" w:lineRule="auto"/>
              <w:jc w:val="center"/>
              <w:rPr>
                <w:color w:val="000000"/>
                <w:sz w:val="20"/>
                <w:szCs w:val="20"/>
              </w:rPr>
            </w:pPr>
            <w:r>
              <w:rPr>
                <w:color w:val="000000"/>
                <w:sz w:val="20"/>
                <w:szCs w:val="20"/>
              </w:rPr>
              <w:t>$</w:t>
            </w:r>
            <w:r w:rsidR="00D752D0">
              <w:rPr>
                <w:color w:val="000000"/>
                <w:sz w:val="20"/>
                <w:szCs w:val="20"/>
              </w:rPr>
              <w:t>4.2</w:t>
            </w:r>
          </w:p>
          <w:p w14:paraId="66E43764" w14:textId="50B88062" w:rsidR="00A52B2D" w:rsidRDefault="002B6001" w:rsidP="00A52B2D">
            <w:pPr>
              <w:spacing w:before="60" w:after="60" w:line="288" w:lineRule="auto"/>
              <w:jc w:val="center"/>
              <w:rPr>
                <w:color w:val="000000"/>
                <w:sz w:val="20"/>
                <w:szCs w:val="20"/>
                <w:lang w:eastAsia="en-AU"/>
              </w:rPr>
            </w:pPr>
            <w:r>
              <w:rPr>
                <w:color w:val="000000"/>
                <w:sz w:val="20"/>
                <w:szCs w:val="20"/>
              </w:rPr>
              <w:t>(</w:t>
            </w:r>
            <w:r w:rsidR="00A52B2D">
              <w:rPr>
                <w:color w:val="000000"/>
                <w:sz w:val="20"/>
                <w:szCs w:val="20"/>
              </w:rPr>
              <w:t>$</w:t>
            </w:r>
            <w:r w:rsidR="000344E8">
              <w:rPr>
                <w:color w:val="000000"/>
                <w:sz w:val="20"/>
                <w:szCs w:val="20"/>
              </w:rPr>
              <w:t>2.1</w:t>
            </w:r>
            <w:r w:rsidR="00A52B2D">
              <w:rPr>
                <w:color w:val="000000"/>
                <w:sz w:val="20"/>
                <w:szCs w:val="20"/>
              </w:rPr>
              <w:t xml:space="preserve"> – </w:t>
            </w:r>
            <w:r w:rsidR="000344E8">
              <w:rPr>
                <w:color w:val="000000"/>
                <w:sz w:val="20"/>
                <w:szCs w:val="20"/>
              </w:rPr>
              <w:t>8.4</w:t>
            </w:r>
            <w:r>
              <w:rPr>
                <w:color w:val="000000"/>
                <w:sz w:val="20"/>
                <w:szCs w:val="20"/>
              </w:rPr>
              <w:t>)</w:t>
            </w:r>
          </w:p>
        </w:tc>
      </w:tr>
      <w:tr w:rsidR="00944792" w14:paraId="2A124603" w14:textId="77777777" w:rsidTr="00944792">
        <w:trPr>
          <w:trHeight w:val="300"/>
        </w:trPr>
        <w:tc>
          <w:tcPr>
            <w:tcW w:w="100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52B6B60" w14:textId="77777777" w:rsidR="00A52B2D" w:rsidRDefault="00A52B2D" w:rsidP="00944792">
            <w:pPr>
              <w:spacing w:before="60" w:after="60" w:line="288" w:lineRule="auto"/>
              <w:rPr>
                <w:color w:val="000000"/>
                <w:sz w:val="20"/>
                <w:szCs w:val="20"/>
                <w:lang w:eastAsia="en-AU"/>
              </w:rPr>
            </w:pPr>
            <w:r>
              <w:rPr>
                <w:color w:val="000000"/>
                <w:sz w:val="20"/>
                <w:szCs w:val="20"/>
                <w:lang w:eastAsia="en-AU"/>
              </w:rPr>
              <w:t>Industry costs</w:t>
            </w:r>
          </w:p>
        </w:tc>
        <w:tc>
          <w:tcPr>
            <w:tcW w:w="431" w:type="pct"/>
            <w:tcBorders>
              <w:top w:val="nil"/>
              <w:left w:val="nil"/>
              <w:bottom w:val="single" w:sz="8" w:space="0" w:color="004D71"/>
              <w:right w:val="nil"/>
            </w:tcBorders>
            <w:shd w:val="clear" w:color="auto" w:fill="E6F7FD"/>
            <w:vAlign w:val="center"/>
          </w:tcPr>
          <w:p w14:paraId="41C40C11" w14:textId="19A8EAF1" w:rsidR="00A52B2D" w:rsidRDefault="00A52B2D" w:rsidP="00A52B2D">
            <w:pPr>
              <w:spacing w:before="60" w:after="60" w:line="288" w:lineRule="auto"/>
              <w:jc w:val="center"/>
              <w:rPr>
                <w:color w:val="000000"/>
                <w:sz w:val="20"/>
                <w:szCs w:val="20"/>
              </w:rPr>
            </w:pPr>
            <w:r w:rsidRPr="005404AC">
              <w:rPr>
                <w:color w:val="000000"/>
                <w:sz w:val="20"/>
                <w:szCs w:val="20"/>
              </w:rPr>
              <w:t>$0</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4DC33E7B" w14:textId="7636A08E" w:rsidR="00A52B2D" w:rsidRDefault="00A52B2D" w:rsidP="00A52B2D">
            <w:pPr>
              <w:spacing w:before="60" w:after="60" w:line="288" w:lineRule="auto"/>
              <w:jc w:val="center"/>
              <w:rPr>
                <w:color w:val="000000"/>
                <w:sz w:val="20"/>
                <w:szCs w:val="20"/>
                <w:lang w:eastAsia="en-AU"/>
              </w:rPr>
            </w:pPr>
            <w:r>
              <w:rPr>
                <w:color w:val="000000"/>
                <w:sz w:val="20"/>
                <w:szCs w:val="20"/>
              </w:rPr>
              <w:t>$</w:t>
            </w:r>
            <w:r w:rsidR="00D752D0">
              <w:rPr>
                <w:color w:val="000000"/>
                <w:sz w:val="20"/>
                <w:szCs w:val="20"/>
              </w:rPr>
              <w:t>7.0</w:t>
            </w:r>
          </w:p>
        </w:tc>
        <w:tc>
          <w:tcPr>
            <w:tcW w:w="715"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5640D125" w14:textId="5AF383FF" w:rsidR="00A52B2D" w:rsidRDefault="00A52B2D" w:rsidP="00A52B2D">
            <w:pPr>
              <w:spacing w:before="60" w:after="60" w:line="288" w:lineRule="auto"/>
              <w:jc w:val="center"/>
              <w:rPr>
                <w:color w:val="000000"/>
                <w:sz w:val="20"/>
                <w:szCs w:val="20"/>
                <w:lang w:eastAsia="en-AU"/>
              </w:rPr>
            </w:pPr>
            <w:r>
              <w:rPr>
                <w:color w:val="000000"/>
                <w:sz w:val="20"/>
                <w:szCs w:val="20"/>
              </w:rPr>
              <w:t>$0</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0FA457D4" w14:textId="473CB2FB" w:rsidR="00A52B2D" w:rsidRDefault="00A52B2D" w:rsidP="00A52B2D">
            <w:pPr>
              <w:spacing w:before="60" w:after="60" w:line="288" w:lineRule="auto"/>
              <w:jc w:val="center"/>
              <w:rPr>
                <w:color w:val="000000"/>
                <w:sz w:val="20"/>
                <w:szCs w:val="20"/>
                <w:lang w:eastAsia="en-AU"/>
              </w:rPr>
            </w:pPr>
            <w:r>
              <w:rPr>
                <w:color w:val="000000"/>
                <w:sz w:val="20"/>
                <w:szCs w:val="20"/>
              </w:rPr>
              <w:t>$</w:t>
            </w:r>
            <w:r w:rsidR="00D752D0">
              <w:rPr>
                <w:color w:val="000000"/>
                <w:sz w:val="20"/>
                <w:szCs w:val="20"/>
              </w:rPr>
              <w:t>7.0</w:t>
            </w:r>
          </w:p>
        </w:tc>
        <w:tc>
          <w:tcPr>
            <w:tcW w:w="714"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2ECA1C42" w14:textId="4759D7F9" w:rsidR="00A52B2D" w:rsidRDefault="00A52B2D" w:rsidP="00A52B2D">
            <w:pPr>
              <w:spacing w:before="60" w:after="60" w:line="288" w:lineRule="auto"/>
              <w:jc w:val="center"/>
              <w:rPr>
                <w:color w:val="000000"/>
                <w:sz w:val="20"/>
                <w:szCs w:val="20"/>
                <w:lang w:eastAsia="en-AU"/>
              </w:rPr>
            </w:pPr>
            <w:r>
              <w:rPr>
                <w:color w:val="000000"/>
                <w:sz w:val="20"/>
                <w:szCs w:val="20"/>
              </w:rPr>
              <w:t>$0</w:t>
            </w:r>
          </w:p>
        </w:tc>
        <w:tc>
          <w:tcPr>
            <w:tcW w:w="713"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1AAAEB51" w14:textId="2B3B2D74" w:rsidR="00A52B2D" w:rsidRDefault="00A52B2D" w:rsidP="00A52B2D">
            <w:pPr>
              <w:spacing w:before="60" w:after="60" w:line="288" w:lineRule="auto"/>
              <w:jc w:val="center"/>
              <w:rPr>
                <w:color w:val="000000"/>
                <w:sz w:val="20"/>
                <w:szCs w:val="20"/>
                <w:lang w:eastAsia="en-AU"/>
              </w:rPr>
            </w:pPr>
            <w:r>
              <w:rPr>
                <w:color w:val="000000"/>
                <w:sz w:val="20"/>
                <w:szCs w:val="20"/>
              </w:rPr>
              <w:t>$</w:t>
            </w:r>
            <w:r w:rsidR="00D752D0">
              <w:rPr>
                <w:color w:val="000000"/>
                <w:sz w:val="20"/>
                <w:szCs w:val="20"/>
              </w:rPr>
              <w:t>8.0</w:t>
            </w:r>
          </w:p>
        </w:tc>
      </w:tr>
      <w:tr w:rsidR="00944792" w14:paraId="68BB1CD2" w14:textId="77777777" w:rsidTr="00944792">
        <w:trPr>
          <w:trHeight w:val="315"/>
        </w:trPr>
        <w:tc>
          <w:tcPr>
            <w:tcW w:w="1001" w:type="pct"/>
            <w:tcBorders>
              <w:top w:val="nil"/>
              <w:left w:val="nil"/>
              <w:bottom w:val="single" w:sz="8" w:space="0" w:color="004D71"/>
              <w:right w:val="nil"/>
            </w:tcBorders>
            <w:noWrap/>
            <w:tcMar>
              <w:top w:w="0" w:type="dxa"/>
              <w:left w:w="108" w:type="dxa"/>
              <w:bottom w:w="0" w:type="dxa"/>
              <w:right w:w="108" w:type="dxa"/>
            </w:tcMar>
            <w:vAlign w:val="center"/>
            <w:hideMark/>
          </w:tcPr>
          <w:p w14:paraId="1A14B4CA" w14:textId="77777777" w:rsidR="00A52B2D" w:rsidRDefault="00A52B2D" w:rsidP="00944792">
            <w:pPr>
              <w:spacing w:before="60" w:after="60" w:line="288" w:lineRule="auto"/>
              <w:rPr>
                <w:b/>
                <w:bCs/>
                <w:color w:val="000000"/>
                <w:sz w:val="20"/>
                <w:szCs w:val="20"/>
                <w:lang w:eastAsia="en-AU"/>
              </w:rPr>
            </w:pPr>
            <w:r>
              <w:rPr>
                <w:b/>
                <w:bCs/>
                <w:color w:val="000000"/>
                <w:sz w:val="20"/>
                <w:szCs w:val="20"/>
                <w:lang w:eastAsia="en-AU"/>
              </w:rPr>
              <w:t>Gross costs</w:t>
            </w:r>
          </w:p>
        </w:tc>
        <w:tc>
          <w:tcPr>
            <w:tcW w:w="431" w:type="pct"/>
            <w:tcBorders>
              <w:top w:val="nil"/>
              <w:left w:val="nil"/>
              <w:bottom w:val="single" w:sz="8" w:space="0" w:color="004D71"/>
              <w:right w:val="nil"/>
            </w:tcBorders>
            <w:vAlign w:val="center"/>
          </w:tcPr>
          <w:p w14:paraId="77B8C953" w14:textId="71A1F358" w:rsidR="00A52B2D" w:rsidRDefault="00A52B2D" w:rsidP="00A52B2D">
            <w:pPr>
              <w:spacing w:before="60" w:after="60" w:line="288" w:lineRule="auto"/>
              <w:jc w:val="center"/>
              <w:rPr>
                <w:sz w:val="20"/>
                <w:szCs w:val="20"/>
              </w:rPr>
            </w:pPr>
            <w:r w:rsidRPr="005404AC">
              <w:rPr>
                <w:color w:val="000000"/>
                <w:sz w:val="20"/>
                <w:szCs w:val="20"/>
              </w:rPr>
              <w:t>$0</w:t>
            </w:r>
          </w:p>
        </w:tc>
        <w:tc>
          <w:tcPr>
            <w:tcW w:w="713" w:type="pct"/>
            <w:tcBorders>
              <w:top w:val="nil"/>
              <w:left w:val="nil"/>
              <w:bottom w:val="single" w:sz="8" w:space="0" w:color="004D71"/>
              <w:right w:val="nil"/>
            </w:tcBorders>
            <w:noWrap/>
            <w:tcMar>
              <w:top w:w="0" w:type="dxa"/>
              <w:left w:w="108" w:type="dxa"/>
              <w:bottom w:w="0" w:type="dxa"/>
              <w:right w:w="108" w:type="dxa"/>
            </w:tcMar>
            <w:vAlign w:val="center"/>
            <w:hideMark/>
          </w:tcPr>
          <w:p w14:paraId="1FFD2A96" w14:textId="127EC72F" w:rsidR="009A6C30" w:rsidRDefault="009A6C30" w:rsidP="00A52B2D">
            <w:pPr>
              <w:spacing w:before="60" w:after="60" w:line="288" w:lineRule="auto"/>
              <w:jc w:val="center"/>
              <w:rPr>
                <w:sz w:val="20"/>
                <w:szCs w:val="20"/>
              </w:rPr>
            </w:pPr>
            <w:r>
              <w:rPr>
                <w:sz w:val="20"/>
                <w:szCs w:val="20"/>
              </w:rPr>
              <w:t>$1</w:t>
            </w:r>
            <w:r w:rsidR="00D752D0">
              <w:rPr>
                <w:sz w:val="20"/>
                <w:szCs w:val="20"/>
              </w:rPr>
              <w:t>2.0</w:t>
            </w:r>
          </w:p>
          <w:p w14:paraId="276858BD" w14:textId="51222277" w:rsidR="00A52B2D" w:rsidRDefault="009A6C30" w:rsidP="00A52B2D">
            <w:pPr>
              <w:spacing w:before="60" w:after="60" w:line="288" w:lineRule="auto"/>
              <w:jc w:val="center"/>
              <w:rPr>
                <w:b/>
                <w:bCs/>
                <w:color w:val="000000"/>
                <w:sz w:val="20"/>
                <w:szCs w:val="20"/>
                <w:lang w:eastAsia="en-AU"/>
              </w:rPr>
            </w:pPr>
            <w:r>
              <w:rPr>
                <w:sz w:val="20"/>
                <w:szCs w:val="20"/>
              </w:rPr>
              <w:t>(</w:t>
            </w:r>
            <w:r w:rsidR="00A52B2D">
              <w:rPr>
                <w:sz w:val="20"/>
                <w:szCs w:val="20"/>
              </w:rPr>
              <w:t>$</w:t>
            </w:r>
            <w:r w:rsidR="000344E8">
              <w:rPr>
                <w:sz w:val="20"/>
                <w:szCs w:val="20"/>
              </w:rPr>
              <w:t xml:space="preserve">9.5 </w:t>
            </w:r>
            <w:r w:rsidR="00A52B2D">
              <w:rPr>
                <w:sz w:val="20"/>
                <w:szCs w:val="20"/>
              </w:rPr>
              <w:t xml:space="preserve">– </w:t>
            </w:r>
            <w:r w:rsidR="000344E8">
              <w:rPr>
                <w:sz w:val="20"/>
                <w:szCs w:val="20"/>
              </w:rPr>
              <w:t>17.0</w:t>
            </w:r>
            <w:r>
              <w:rPr>
                <w:sz w:val="20"/>
                <w:szCs w:val="20"/>
              </w:rPr>
              <w:t>)</w:t>
            </w:r>
          </w:p>
        </w:tc>
        <w:tc>
          <w:tcPr>
            <w:tcW w:w="715" w:type="pct"/>
            <w:tcBorders>
              <w:top w:val="nil"/>
              <w:left w:val="nil"/>
              <w:bottom w:val="single" w:sz="8" w:space="0" w:color="004D71"/>
              <w:right w:val="nil"/>
            </w:tcBorders>
            <w:noWrap/>
            <w:tcMar>
              <w:top w:w="0" w:type="dxa"/>
              <w:left w:w="108" w:type="dxa"/>
              <w:bottom w:w="0" w:type="dxa"/>
              <w:right w:w="108" w:type="dxa"/>
            </w:tcMar>
            <w:vAlign w:val="center"/>
            <w:hideMark/>
          </w:tcPr>
          <w:p w14:paraId="452138D0" w14:textId="2A676CA3" w:rsidR="009A6C30" w:rsidRDefault="00944792" w:rsidP="00A52B2D">
            <w:pPr>
              <w:spacing w:before="60" w:after="60" w:line="288" w:lineRule="auto"/>
              <w:jc w:val="center"/>
              <w:rPr>
                <w:sz w:val="20"/>
                <w:szCs w:val="20"/>
              </w:rPr>
            </w:pPr>
            <w:r>
              <w:rPr>
                <w:sz w:val="20"/>
                <w:szCs w:val="20"/>
              </w:rPr>
              <w:t>$5.2</w:t>
            </w:r>
          </w:p>
          <w:p w14:paraId="69211CB4" w14:textId="4AB38B14" w:rsidR="00A52B2D" w:rsidRDefault="00944792" w:rsidP="00A52B2D">
            <w:pPr>
              <w:spacing w:before="60" w:after="60" w:line="288" w:lineRule="auto"/>
              <w:jc w:val="center"/>
              <w:rPr>
                <w:b/>
                <w:bCs/>
                <w:color w:val="000000"/>
                <w:sz w:val="20"/>
                <w:szCs w:val="20"/>
                <w:lang w:eastAsia="en-AU"/>
              </w:rPr>
            </w:pPr>
            <w:r>
              <w:rPr>
                <w:sz w:val="20"/>
                <w:szCs w:val="20"/>
              </w:rPr>
              <w:t>(</w:t>
            </w:r>
            <w:r w:rsidR="00A52B2D">
              <w:rPr>
                <w:sz w:val="20"/>
                <w:szCs w:val="20"/>
              </w:rPr>
              <w:t>$2.6 – 10.</w:t>
            </w:r>
            <w:r w:rsidR="000344E8">
              <w:rPr>
                <w:sz w:val="20"/>
                <w:szCs w:val="20"/>
              </w:rPr>
              <w:t>4</w:t>
            </w:r>
            <w:r>
              <w:rPr>
                <w:sz w:val="20"/>
                <w:szCs w:val="20"/>
              </w:rPr>
              <w:t>)</w:t>
            </w:r>
          </w:p>
        </w:tc>
        <w:tc>
          <w:tcPr>
            <w:tcW w:w="713" w:type="pct"/>
            <w:tcBorders>
              <w:top w:val="nil"/>
              <w:left w:val="nil"/>
              <w:bottom w:val="single" w:sz="8" w:space="0" w:color="004D71"/>
              <w:right w:val="nil"/>
            </w:tcBorders>
            <w:noWrap/>
            <w:tcMar>
              <w:top w:w="0" w:type="dxa"/>
              <w:left w:w="108" w:type="dxa"/>
              <w:bottom w:w="0" w:type="dxa"/>
              <w:right w:w="108" w:type="dxa"/>
            </w:tcMar>
            <w:vAlign w:val="center"/>
            <w:hideMark/>
          </w:tcPr>
          <w:p w14:paraId="134F5A28" w14:textId="5C43A997" w:rsidR="00944792" w:rsidRDefault="00944792" w:rsidP="00A52B2D">
            <w:pPr>
              <w:spacing w:before="60" w:after="60" w:line="288" w:lineRule="auto"/>
              <w:jc w:val="center"/>
              <w:rPr>
                <w:sz w:val="20"/>
                <w:szCs w:val="20"/>
              </w:rPr>
            </w:pPr>
            <w:r>
              <w:rPr>
                <w:sz w:val="20"/>
                <w:szCs w:val="20"/>
              </w:rPr>
              <w:t>$2</w:t>
            </w:r>
            <w:r w:rsidR="00D752D0">
              <w:rPr>
                <w:sz w:val="20"/>
                <w:szCs w:val="20"/>
              </w:rPr>
              <w:t>3</w:t>
            </w:r>
            <w:r>
              <w:rPr>
                <w:sz w:val="20"/>
                <w:szCs w:val="20"/>
              </w:rPr>
              <w:t>.</w:t>
            </w:r>
            <w:r w:rsidR="00D752D0">
              <w:rPr>
                <w:sz w:val="20"/>
                <w:szCs w:val="20"/>
              </w:rPr>
              <w:t>7</w:t>
            </w:r>
          </w:p>
          <w:p w14:paraId="3657219F" w14:textId="74E44BA8" w:rsidR="00A52B2D" w:rsidRDefault="00944792" w:rsidP="00A52B2D">
            <w:pPr>
              <w:spacing w:before="60" w:after="60" w:line="288" w:lineRule="auto"/>
              <w:jc w:val="center"/>
              <w:rPr>
                <w:b/>
                <w:bCs/>
                <w:color w:val="000000"/>
                <w:sz w:val="20"/>
                <w:szCs w:val="20"/>
                <w:lang w:eastAsia="en-AU"/>
              </w:rPr>
            </w:pPr>
            <w:r>
              <w:rPr>
                <w:sz w:val="20"/>
                <w:szCs w:val="20"/>
              </w:rPr>
              <w:t>(</w:t>
            </w:r>
            <w:r w:rsidR="00A52B2D">
              <w:rPr>
                <w:sz w:val="20"/>
                <w:szCs w:val="20"/>
              </w:rPr>
              <w:t>$</w:t>
            </w:r>
            <w:r w:rsidR="000344E8">
              <w:rPr>
                <w:sz w:val="20"/>
                <w:szCs w:val="20"/>
              </w:rPr>
              <w:t>15.4</w:t>
            </w:r>
            <w:r w:rsidR="00A52B2D">
              <w:rPr>
                <w:sz w:val="20"/>
                <w:szCs w:val="20"/>
              </w:rPr>
              <w:t xml:space="preserve"> – </w:t>
            </w:r>
            <w:r w:rsidR="000344E8">
              <w:rPr>
                <w:sz w:val="20"/>
                <w:szCs w:val="20"/>
              </w:rPr>
              <w:t>40.3</w:t>
            </w:r>
            <w:r>
              <w:rPr>
                <w:sz w:val="20"/>
                <w:szCs w:val="20"/>
              </w:rPr>
              <w:t>)</w:t>
            </w:r>
          </w:p>
        </w:tc>
        <w:tc>
          <w:tcPr>
            <w:tcW w:w="714" w:type="pct"/>
            <w:tcBorders>
              <w:top w:val="nil"/>
              <w:left w:val="nil"/>
              <w:bottom w:val="single" w:sz="8" w:space="0" w:color="004D71"/>
              <w:right w:val="nil"/>
            </w:tcBorders>
            <w:noWrap/>
            <w:tcMar>
              <w:top w:w="0" w:type="dxa"/>
              <w:left w:w="108" w:type="dxa"/>
              <w:bottom w:w="0" w:type="dxa"/>
              <w:right w:w="108" w:type="dxa"/>
            </w:tcMar>
            <w:vAlign w:val="center"/>
            <w:hideMark/>
          </w:tcPr>
          <w:p w14:paraId="7C8C4339" w14:textId="70206F08" w:rsidR="00944792" w:rsidRDefault="00944792" w:rsidP="00A52B2D">
            <w:pPr>
              <w:spacing w:before="60" w:after="60" w:line="288" w:lineRule="auto"/>
              <w:jc w:val="center"/>
              <w:rPr>
                <w:sz w:val="20"/>
                <w:szCs w:val="20"/>
              </w:rPr>
            </w:pPr>
            <w:r>
              <w:rPr>
                <w:sz w:val="20"/>
                <w:szCs w:val="20"/>
              </w:rPr>
              <w:t>$</w:t>
            </w:r>
            <w:r w:rsidR="00D752D0">
              <w:rPr>
                <w:sz w:val="20"/>
                <w:szCs w:val="20"/>
              </w:rPr>
              <w:t>18.0</w:t>
            </w:r>
          </w:p>
          <w:p w14:paraId="47B1B0BF" w14:textId="5A1A33CF" w:rsidR="00A52B2D" w:rsidRDefault="00944792" w:rsidP="00A52B2D">
            <w:pPr>
              <w:spacing w:before="60" w:after="60" w:line="288" w:lineRule="auto"/>
              <w:jc w:val="center"/>
              <w:rPr>
                <w:b/>
                <w:bCs/>
                <w:color w:val="000000"/>
                <w:sz w:val="20"/>
                <w:szCs w:val="20"/>
                <w:lang w:eastAsia="en-AU"/>
              </w:rPr>
            </w:pPr>
            <w:r>
              <w:rPr>
                <w:sz w:val="20"/>
                <w:szCs w:val="20"/>
              </w:rPr>
              <w:t>(</w:t>
            </w:r>
            <w:r w:rsidR="00A52B2D">
              <w:rPr>
                <w:sz w:val="20"/>
                <w:szCs w:val="20"/>
              </w:rPr>
              <w:t>$</w:t>
            </w:r>
            <w:r w:rsidR="000344E8">
              <w:rPr>
                <w:sz w:val="20"/>
                <w:szCs w:val="20"/>
              </w:rPr>
              <w:t>8.9</w:t>
            </w:r>
            <w:r w:rsidR="00A52B2D">
              <w:rPr>
                <w:sz w:val="20"/>
                <w:szCs w:val="20"/>
              </w:rPr>
              <w:t xml:space="preserve"> – </w:t>
            </w:r>
            <w:r w:rsidR="000344E8">
              <w:rPr>
                <w:sz w:val="20"/>
                <w:szCs w:val="20"/>
              </w:rPr>
              <w:t>36.0</w:t>
            </w:r>
            <w:r>
              <w:rPr>
                <w:sz w:val="20"/>
                <w:szCs w:val="20"/>
              </w:rPr>
              <w:t>)</w:t>
            </w:r>
          </w:p>
        </w:tc>
        <w:tc>
          <w:tcPr>
            <w:tcW w:w="713" w:type="pct"/>
            <w:tcBorders>
              <w:top w:val="nil"/>
              <w:left w:val="nil"/>
              <w:bottom w:val="single" w:sz="8" w:space="0" w:color="004D71"/>
              <w:right w:val="nil"/>
            </w:tcBorders>
            <w:noWrap/>
            <w:tcMar>
              <w:top w:w="0" w:type="dxa"/>
              <w:left w:w="108" w:type="dxa"/>
              <w:bottom w:w="0" w:type="dxa"/>
              <w:right w:w="108" w:type="dxa"/>
            </w:tcMar>
            <w:vAlign w:val="center"/>
            <w:hideMark/>
          </w:tcPr>
          <w:p w14:paraId="40984374" w14:textId="04B044A0" w:rsidR="00944792" w:rsidRDefault="00944792" w:rsidP="00A52B2D">
            <w:pPr>
              <w:spacing w:before="60" w:after="60" w:line="288" w:lineRule="auto"/>
              <w:jc w:val="center"/>
              <w:rPr>
                <w:sz w:val="20"/>
                <w:szCs w:val="20"/>
              </w:rPr>
            </w:pPr>
            <w:r>
              <w:rPr>
                <w:sz w:val="20"/>
                <w:szCs w:val="20"/>
              </w:rPr>
              <w:t>$3</w:t>
            </w:r>
            <w:r w:rsidR="00D752D0">
              <w:rPr>
                <w:sz w:val="20"/>
                <w:szCs w:val="20"/>
              </w:rPr>
              <w:t>2</w:t>
            </w:r>
            <w:r>
              <w:rPr>
                <w:sz w:val="20"/>
                <w:szCs w:val="20"/>
              </w:rPr>
              <w:t>.</w:t>
            </w:r>
            <w:r w:rsidR="00D752D0">
              <w:rPr>
                <w:sz w:val="20"/>
                <w:szCs w:val="20"/>
              </w:rPr>
              <w:t>7</w:t>
            </w:r>
          </w:p>
          <w:p w14:paraId="06D65D04" w14:textId="3C30F3C4" w:rsidR="00A52B2D" w:rsidRDefault="00944792" w:rsidP="00A52B2D">
            <w:pPr>
              <w:spacing w:before="60" w:after="60" w:line="288" w:lineRule="auto"/>
              <w:jc w:val="center"/>
              <w:rPr>
                <w:b/>
                <w:bCs/>
                <w:color w:val="000000"/>
                <w:sz w:val="20"/>
                <w:szCs w:val="20"/>
                <w:lang w:eastAsia="en-AU"/>
              </w:rPr>
            </w:pPr>
            <w:r>
              <w:rPr>
                <w:sz w:val="20"/>
                <w:szCs w:val="20"/>
              </w:rPr>
              <w:t>(</w:t>
            </w:r>
            <w:r w:rsidR="00A52B2D">
              <w:rPr>
                <w:sz w:val="20"/>
                <w:szCs w:val="20"/>
              </w:rPr>
              <w:t>$</w:t>
            </w:r>
            <w:r w:rsidR="000344E8">
              <w:rPr>
                <w:sz w:val="20"/>
                <w:szCs w:val="20"/>
              </w:rPr>
              <w:t>20.3</w:t>
            </w:r>
            <w:r w:rsidR="00A52B2D">
              <w:rPr>
                <w:sz w:val="20"/>
                <w:szCs w:val="20"/>
              </w:rPr>
              <w:t xml:space="preserve"> – 57.</w:t>
            </w:r>
            <w:r w:rsidR="000344E8">
              <w:rPr>
                <w:sz w:val="20"/>
                <w:szCs w:val="20"/>
              </w:rPr>
              <w:t>5</w:t>
            </w:r>
            <w:r>
              <w:rPr>
                <w:sz w:val="20"/>
                <w:szCs w:val="20"/>
              </w:rPr>
              <w:t>)</w:t>
            </w:r>
          </w:p>
        </w:tc>
      </w:tr>
    </w:tbl>
    <w:p w14:paraId="0B705D42" w14:textId="6B0018DC" w:rsidR="0087408B" w:rsidRDefault="0087408B" w:rsidP="0087408B">
      <w:pPr>
        <w:spacing w:before="200"/>
      </w:pPr>
      <w:r>
        <w:lastRenderedPageBreak/>
        <w:t>The results of the threshold analysis are summarised at Table 2</w:t>
      </w:r>
      <w:r w:rsidR="007320E7">
        <w:t xml:space="preserve"> and Figure 1</w:t>
      </w:r>
      <w:r w:rsidR="00EA412E">
        <w:t xml:space="preserve">, </w:t>
      </w:r>
      <w:r w:rsidR="004022B2">
        <w:t xml:space="preserve">which show </w:t>
      </w:r>
      <w:r w:rsidR="00EA412E">
        <w:t xml:space="preserve">how </w:t>
      </w:r>
      <w:r w:rsidR="004022B2">
        <w:t xml:space="preserve">the extent to which each option would need to reduce </w:t>
      </w:r>
      <w:r w:rsidR="00EA412E">
        <w:t xml:space="preserve">pet deaths and illnesses from pet food </w:t>
      </w:r>
      <w:r w:rsidR="004022B2">
        <w:t xml:space="preserve">by </w:t>
      </w:r>
      <w:r w:rsidR="007320E7">
        <w:t xml:space="preserve">to </w:t>
      </w:r>
      <w:r w:rsidR="00EA412E">
        <w:t xml:space="preserve">achieve </w:t>
      </w:r>
      <w:r w:rsidR="008B4950">
        <w:t>a net economic benefit under the CBA.</w:t>
      </w:r>
    </w:p>
    <w:p w14:paraId="13DC8326" w14:textId="0F23BA5B" w:rsidR="00310D9B" w:rsidRPr="0008340B" w:rsidRDefault="00D7390B" w:rsidP="00D7390B">
      <w:pPr>
        <w:pStyle w:val="Caption"/>
        <w:rPr>
          <w:sz w:val="20"/>
          <w:szCs w:val="20"/>
        </w:rPr>
      </w:pPr>
      <w:bookmarkStart w:id="130" w:name="_Toc228966454"/>
      <w:r>
        <w:t xml:space="preserve">Table </w:t>
      </w:r>
      <w:r w:rsidRPr="00D7390B">
        <w:fldChar w:fldCharType="begin"/>
      </w:r>
      <w:r w:rsidRPr="00D7390B">
        <w:instrText xml:space="preserve"> SEQ Table \* ARABIC </w:instrText>
      </w:r>
      <w:r w:rsidRPr="00D7390B">
        <w:fldChar w:fldCharType="separate"/>
      </w:r>
      <w:r w:rsidR="007733C6">
        <w:rPr>
          <w:noProof/>
        </w:rPr>
        <w:t>2</w:t>
      </w:r>
      <w:r w:rsidRPr="00D7390B">
        <w:fldChar w:fldCharType="end"/>
      </w:r>
      <w:r w:rsidR="00310D9B" w:rsidRPr="00D7390B">
        <w:t xml:space="preserve"> </w:t>
      </w:r>
      <w:r w:rsidR="006767E9" w:rsidRPr="00D7390B">
        <w:t>Required reduction in pet deaths and illnesses from pet food</w:t>
      </w:r>
      <w:r w:rsidR="009813AC" w:rsidRPr="00D7390B">
        <w:t xml:space="preserve"> (i.e. efficacy</w:t>
      </w:r>
      <w:r w:rsidR="006767E9" w:rsidRPr="00D7390B">
        <w:t>) to achieve a net economic benefit for each option, under a ‘central base case’ scenario and as a range</w:t>
      </w:r>
      <w:r w:rsidR="00AE4120" w:rsidRPr="00D7390B">
        <w:t>.</w:t>
      </w:r>
      <w:bookmarkEnd w:id="130"/>
    </w:p>
    <w:tbl>
      <w:tblPr>
        <w:tblW w:w="5158" w:type="pct"/>
        <w:tblLayout w:type="fixed"/>
        <w:tblCellMar>
          <w:left w:w="0" w:type="dxa"/>
          <w:right w:w="0" w:type="dxa"/>
        </w:tblCellMar>
        <w:tblLook w:val="04A0" w:firstRow="1" w:lastRow="0" w:firstColumn="1" w:lastColumn="0" w:noHBand="0" w:noVBand="1"/>
      </w:tblPr>
      <w:tblGrid>
        <w:gridCol w:w="2271"/>
        <w:gridCol w:w="1181"/>
        <w:gridCol w:w="1181"/>
        <w:gridCol w:w="1181"/>
        <w:gridCol w:w="1181"/>
        <w:gridCol w:w="1181"/>
        <w:gridCol w:w="1181"/>
      </w:tblGrid>
      <w:tr w:rsidR="00ED7F2D" w14:paraId="129F0C1C" w14:textId="77777777" w:rsidTr="0008340B">
        <w:trPr>
          <w:trHeight w:val="300"/>
          <w:tblHeader/>
        </w:trPr>
        <w:tc>
          <w:tcPr>
            <w:tcW w:w="1214"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hideMark/>
          </w:tcPr>
          <w:p w14:paraId="0F0F0727" w14:textId="77777777" w:rsidR="004E581F" w:rsidRDefault="004E581F" w:rsidP="00CF33B8"/>
        </w:tc>
        <w:tc>
          <w:tcPr>
            <w:tcW w:w="631" w:type="pct"/>
            <w:tcBorders>
              <w:top w:val="single" w:sz="8" w:space="0" w:color="004D71"/>
              <w:left w:val="nil"/>
              <w:bottom w:val="single" w:sz="8" w:space="0" w:color="004D71"/>
              <w:right w:val="nil"/>
            </w:tcBorders>
            <w:shd w:val="clear" w:color="auto" w:fill="004D71"/>
            <w:vAlign w:val="center"/>
          </w:tcPr>
          <w:p w14:paraId="4E92269A" w14:textId="77777777" w:rsidR="004E581F" w:rsidRDefault="004E581F" w:rsidP="00CF33B8">
            <w:pPr>
              <w:spacing w:before="60" w:after="60" w:line="288" w:lineRule="auto"/>
              <w:jc w:val="center"/>
              <w:rPr>
                <w:color w:val="FFFFFF"/>
                <w:sz w:val="20"/>
                <w:szCs w:val="20"/>
                <w:lang w:eastAsia="en-AU"/>
              </w:rPr>
            </w:pPr>
            <w:r>
              <w:rPr>
                <w:color w:val="FFFFFF"/>
                <w:sz w:val="20"/>
                <w:szCs w:val="20"/>
                <w:lang w:eastAsia="en-AU"/>
              </w:rPr>
              <w:t>Option 1</w:t>
            </w:r>
          </w:p>
        </w:tc>
        <w:tc>
          <w:tcPr>
            <w:tcW w:w="631"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57DFCE11" w14:textId="77777777" w:rsidR="004E581F" w:rsidRDefault="004E581F" w:rsidP="00CF33B8">
            <w:pPr>
              <w:spacing w:before="60" w:after="60" w:line="288" w:lineRule="auto"/>
              <w:jc w:val="center"/>
              <w:rPr>
                <w:rFonts w:ascii="Calibri" w:hAnsi="Calibri" w:cs="Calibri"/>
                <w:color w:val="FFFFFF"/>
                <w:sz w:val="20"/>
                <w:szCs w:val="20"/>
                <w:lang w:eastAsia="en-AU"/>
              </w:rPr>
            </w:pPr>
            <w:r>
              <w:rPr>
                <w:color w:val="FFFFFF"/>
                <w:sz w:val="20"/>
                <w:szCs w:val="20"/>
                <w:lang w:eastAsia="en-AU"/>
              </w:rPr>
              <w:t>Option 2</w:t>
            </w:r>
          </w:p>
        </w:tc>
        <w:tc>
          <w:tcPr>
            <w:tcW w:w="631"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3FF14023" w14:textId="77777777" w:rsidR="004E581F" w:rsidRDefault="004E581F" w:rsidP="00CF33B8">
            <w:pPr>
              <w:spacing w:before="60" w:after="60" w:line="288" w:lineRule="auto"/>
              <w:jc w:val="center"/>
              <w:rPr>
                <w:color w:val="FFFFFF"/>
                <w:sz w:val="20"/>
                <w:szCs w:val="20"/>
                <w:lang w:eastAsia="en-AU"/>
              </w:rPr>
            </w:pPr>
            <w:r>
              <w:rPr>
                <w:color w:val="FFFFFF"/>
                <w:sz w:val="20"/>
                <w:szCs w:val="20"/>
                <w:lang w:eastAsia="en-AU"/>
              </w:rPr>
              <w:t>Option 2A</w:t>
            </w:r>
          </w:p>
        </w:tc>
        <w:tc>
          <w:tcPr>
            <w:tcW w:w="631"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25365004" w14:textId="77777777" w:rsidR="004E581F" w:rsidRDefault="004E581F" w:rsidP="00CF33B8">
            <w:pPr>
              <w:spacing w:before="60" w:after="60" w:line="288" w:lineRule="auto"/>
              <w:jc w:val="center"/>
              <w:rPr>
                <w:color w:val="FFFFFF"/>
                <w:sz w:val="20"/>
                <w:szCs w:val="20"/>
                <w:lang w:eastAsia="en-AU"/>
              </w:rPr>
            </w:pPr>
            <w:r>
              <w:rPr>
                <w:color w:val="FFFFFF"/>
                <w:sz w:val="20"/>
                <w:szCs w:val="20"/>
                <w:lang w:eastAsia="en-AU"/>
              </w:rPr>
              <w:t>Option 3</w:t>
            </w:r>
          </w:p>
        </w:tc>
        <w:tc>
          <w:tcPr>
            <w:tcW w:w="631"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2FA86001" w14:textId="77777777" w:rsidR="004E581F" w:rsidRDefault="004E581F" w:rsidP="00CF33B8">
            <w:pPr>
              <w:spacing w:before="60" w:after="60" w:line="288" w:lineRule="auto"/>
              <w:jc w:val="center"/>
              <w:rPr>
                <w:color w:val="FFFFFF"/>
                <w:sz w:val="20"/>
                <w:szCs w:val="20"/>
                <w:lang w:eastAsia="en-AU"/>
              </w:rPr>
            </w:pPr>
            <w:r>
              <w:rPr>
                <w:color w:val="FFFFFF"/>
                <w:sz w:val="20"/>
                <w:szCs w:val="20"/>
                <w:lang w:eastAsia="en-AU"/>
              </w:rPr>
              <w:t>Option 3A</w:t>
            </w:r>
          </w:p>
        </w:tc>
        <w:tc>
          <w:tcPr>
            <w:tcW w:w="631" w:type="pct"/>
            <w:tcBorders>
              <w:top w:val="single" w:sz="8" w:space="0" w:color="004D71"/>
              <w:left w:val="nil"/>
              <w:bottom w:val="single" w:sz="8" w:space="0" w:color="004D71"/>
              <w:right w:val="nil"/>
            </w:tcBorders>
            <w:shd w:val="clear" w:color="auto" w:fill="004D71"/>
            <w:noWrap/>
            <w:tcMar>
              <w:top w:w="0" w:type="dxa"/>
              <w:left w:w="108" w:type="dxa"/>
              <w:bottom w:w="0" w:type="dxa"/>
              <w:right w:w="108" w:type="dxa"/>
            </w:tcMar>
            <w:vAlign w:val="center"/>
            <w:hideMark/>
          </w:tcPr>
          <w:p w14:paraId="6977C2D4" w14:textId="77777777" w:rsidR="004E581F" w:rsidRDefault="004E581F" w:rsidP="00CF33B8">
            <w:pPr>
              <w:spacing w:before="60" w:after="60" w:line="288" w:lineRule="auto"/>
              <w:jc w:val="center"/>
              <w:rPr>
                <w:color w:val="FFFFFF"/>
                <w:sz w:val="20"/>
                <w:szCs w:val="20"/>
                <w:lang w:eastAsia="en-AU"/>
              </w:rPr>
            </w:pPr>
            <w:r>
              <w:rPr>
                <w:color w:val="FFFFFF"/>
                <w:sz w:val="20"/>
                <w:szCs w:val="20"/>
                <w:lang w:eastAsia="en-AU"/>
              </w:rPr>
              <w:t>Option 4</w:t>
            </w:r>
          </w:p>
        </w:tc>
      </w:tr>
      <w:tr w:rsidR="00ED7F2D" w14:paraId="6A89AD8F" w14:textId="77777777" w:rsidTr="00944792">
        <w:trPr>
          <w:trHeight w:val="300"/>
        </w:trPr>
        <w:tc>
          <w:tcPr>
            <w:tcW w:w="1214"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1473D491" w14:textId="4F94E830" w:rsidR="00B41139" w:rsidRDefault="00944792" w:rsidP="00944792">
            <w:pPr>
              <w:spacing w:before="60" w:after="60" w:line="288" w:lineRule="auto"/>
              <w:rPr>
                <w:sz w:val="20"/>
                <w:szCs w:val="20"/>
                <w:lang w:eastAsia="en-AU"/>
              </w:rPr>
            </w:pPr>
            <w:r>
              <w:rPr>
                <w:color w:val="000000"/>
                <w:sz w:val="20"/>
                <w:szCs w:val="20"/>
                <w:lang w:eastAsia="en-AU"/>
              </w:rPr>
              <w:t>Required e</w:t>
            </w:r>
            <w:r w:rsidR="00B41139">
              <w:rPr>
                <w:color w:val="000000"/>
                <w:sz w:val="20"/>
                <w:szCs w:val="20"/>
                <w:lang w:eastAsia="en-AU"/>
              </w:rPr>
              <w:t>fficacy</w:t>
            </w:r>
          </w:p>
        </w:tc>
        <w:tc>
          <w:tcPr>
            <w:tcW w:w="631" w:type="pct"/>
            <w:tcBorders>
              <w:top w:val="nil"/>
              <w:left w:val="nil"/>
              <w:bottom w:val="single" w:sz="8" w:space="0" w:color="004D71"/>
              <w:right w:val="nil"/>
            </w:tcBorders>
            <w:shd w:val="clear" w:color="auto" w:fill="E6F7FD"/>
            <w:vAlign w:val="center"/>
          </w:tcPr>
          <w:p w14:paraId="3AAE6D22" w14:textId="517AC44B" w:rsidR="00B41139" w:rsidRDefault="00B41139" w:rsidP="00B41139">
            <w:pPr>
              <w:spacing w:before="60" w:after="60" w:line="288" w:lineRule="auto"/>
              <w:jc w:val="center"/>
              <w:rPr>
                <w:color w:val="000000"/>
                <w:sz w:val="20"/>
                <w:szCs w:val="20"/>
              </w:rPr>
            </w:pPr>
            <w:r>
              <w:rPr>
                <w:color w:val="000000"/>
                <w:sz w:val="20"/>
                <w:szCs w:val="20"/>
              </w:rPr>
              <w:t>N/A</w:t>
            </w:r>
          </w:p>
        </w:tc>
        <w:tc>
          <w:tcPr>
            <w:tcW w:w="63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C23C22E" w14:textId="65D9B65E" w:rsidR="00B41139" w:rsidRDefault="00B246E6" w:rsidP="00B41139">
            <w:pPr>
              <w:spacing w:before="60" w:after="60" w:line="288" w:lineRule="auto"/>
              <w:jc w:val="center"/>
              <w:rPr>
                <w:color w:val="000000"/>
                <w:sz w:val="20"/>
                <w:szCs w:val="20"/>
              </w:rPr>
            </w:pPr>
            <w:r>
              <w:rPr>
                <w:color w:val="000000"/>
                <w:sz w:val="20"/>
                <w:szCs w:val="20"/>
              </w:rPr>
              <w:t>23</w:t>
            </w:r>
            <w:r w:rsidR="00B41139" w:rsidRPr="0008340B">
              <w:rPr>
                <w:color w:val="000000"/>
                <w:sz w:val="20"/>
                <w:szCs w:val="20"/>
              </w:rPr>
              <w:t>%</w:t>
            </w:r>
          </w:p>
          <w:p w14:paraId="509D7C81" w14:textId="4D66CB9E" w:rsidR="00944792" w:rsidRDefault="00944792" w:rsidP="00B41139">
            <w:pPr>
              <w:spacing w:before="60" w:after="60" w:line="288" w:lineRule="auto"/>
              <w:jc w:val="center"/>
              <w:rPr>
                <w:color w:val="000000"/>
                <w:sz w:val="20"/>
                <w:szCs w:val="20"/>
              </w:rPr>
            </w:pPr>
            <w:r>
              <w:rPr>
                <w:color w:val="000000"/>
                <w:sz w:val="20"/>
                <w:szCs w:val="20"/>
              </w:rPr>
              <w:t>(</w:t>
            </w:r>
            <w:r w:rsidR="00B246E6">
              <w:rPr>
                <w:color w:val="000000"/>
                <w:sz w:val="20"/>
                <w:szCs w:val="20"/>
              </w:rPr>
              <w:t>18</w:t>
            </w:r>
            <w:r>
              <w:rPr>
                <w:color w:val="000000"/>
                <w:sz w:val="20"/>
                <w:szCs w:val="20"/>
              </w:rPr>
              <w:t xml:space="preserve"> – </w:t>
            </w:r>
            <w:r w:rsidR="00B246E6">
              <w:rPr>
                <w:color w:val="000000"/>
                <w:sz w:val="20"/>
                <w:szCs w:val="20"/>
              </w:rPr>
              <w:t>32</w:t>
            </w:r>
            <w:r>
              <w:rPr>
                <w:color w:val="000000"/>
                <w:sz w:val="20"/>
                <w:szCs w:val="20"/>
              </w:rPr>
              <w:t>%)</w:t>
            </w:r>
          </w:p>
        </w:tc>
        <w:tc>
          <w:tcPr>
            <w:tcW w:w="63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00EDD7A" w14:textId="77777777" w:rsidR="00B41139" w:rsidRDefault="00B41139" w:rsidP="00B41139">
            <w:pPr>
              <w:spacing w:before="60" w:after="60" w:line="288" w:lineRule="auto"/>
              <w:jc w:val="center"/>
              <w:rPr>
                <w:color w:val="000000"/>
                <w:sz w:val="20"/>
                <w:szCs w:val="20"/>
              </w:rPr>
            </w:pPr>
            <w:r w:rsidRPr="0008340B">
              <w:rPr>
                <w:color w:val="000000"/>
                <w:sz w:val="20"/>
                <w:szCs w:val="20"/>
              </w:rPr>
              <w:t>9%</w:t>
            </w:r>
          </w:p>
          <w:p w14:paraId="44BE41D2" w14:textId="6238D0C5" w:rsidR="00944792" w:rsidRDefault="00944792" w:rsidP="00B41139">
            <w:pPr>
              <w:spacing w:before="60" w:after="60" w:line="288" w:lineRule="auto"/>
              <w:jc w:val="center"/>
              <w:rPr>
                <w:color w:val="000000"/>
                <w:sz w:val="20"/>
                <w:szCs w:val="20"/>
              </w:rPr>
            </w:pPr>
            <w:r>
              <w:rPr>
                <w:color w:val="000000"/>
                <w:sz w:val="20"/>
                <w:szCs w:val="20"/>
              </w:rPr>
              <w:t>(4 – 18%)</w:t>
            </w:r>
          </w:p>
        </w:tc>
        <w:tc>
          <w:tcPr>
            <w:tcW w:w="63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58FC8D21" w14:textId="3949ABCB" w:rsidR="00B41139" w:rsidRDefault="00B246E6" w:rsidP="00B41139">
            <w:pPr>
              <w:spacing w:before="60" w:after="60" w:line="288" w:lineRule="auto"/>
              <w:jc w:val="center"/>
              <w:rPr>
                <w:color w:val="000000"/>
                <w:sz w:val="20"/>
                <w:szCs w:val="20"/>
              </w:rPr>
            </w:pPr>
            <w:r>
              <w:rPr>
                <w:color w:val="000000"/>
                <w:sz w:val="20"/>
                <w:szCs w:val="20"/>
              </w:rPr>
              <w:t>45</w:t>
            </w:r>
            <w:r w:rsidR="00B41139" w:rsidRPr="0008340B">
              <w:rPr>
                <w:color w:val="000000"/>
                <w:sz w:val="20"/>
                <w:szCs w:val="20"/>
              </w:rPr>
              <w:t>%</w:t>
            </w:r>
          </w:p>
          <w:p w14:paraId="51EFF0C7" w14:textId="707B62D4" w:rsidR="00944792" w:rsidRDefault="00944792" w:rsidP="00B41139">
            <w:pPr>
              <w:spacing w:before="60" w:after="60" w:line="288" w:lineRule="auto"/>
              <w:jc w:val="center"/>
              <w:rPr>
                <w:color w:val="000000"/>
                <w:sz w:val="20"/>
                <w:szCs w:val="20"/>
              </w:rPr>
            </w:pPr>
            <w:r>
              <w:rPr>
                <w:color w:val="000000"/>
                <w:sz w:val="20"/>
                <w:szCs w:val="20"/>
              </w:rPr>
              <w:t>(</w:t>
            </w:r>
            <w:r w:rsidR="00B246E6">
              <w:rPr>
                <w:color w:val="000000"/>
                <w:sz w:val="20"/>
                <w:szCs w:val="20"/>
              </w:rPr>
              <w:t>29</w:t>
            </w:r>
            <w:r>
              <w:rPr>
                <w:color w:val="000000"/>
                <w:sz w:val="20"/>
                <w:szCs w:val="20"/>
              </w:rPr>
              <w:t>-7</w:t>
            </w:r>
            <w:r w:rsidR="00B246E6">
              <w:rPr>
                <w:color w:val="000000"/>
                <w:sz w:val="20"/>
                <w:szCs w:val="20"/>
              </w:rPr>
              <w:t>6</w:t>
            </w:r>
            <w:r>
              <w:rPr>
                <w:color w:val="000000"/>
                <w:sz w:val="20"/>
                <w:szCs w:val="20"/>
              </w:rPr>
              <w:t>%)</w:t>
            </w:r>
          </w:p>
        </w:tc>
        <w:tc>
          <w:tcPr>
            <w:tcW w:w="63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26747C39" w14:textId="0859DE6C" w:rsidR="00B41139" w:rsidRDefault="00B246E6" w:rsidP="00B41139">
            <w:pPr>
              <w:spacing w:before="60" w:after="60" w:line="288" w:lineRule="auto"/>
              <w:jc w:val="center"/>
              <w:rPr>
                <w:color w:val="000000"/>
                <w:sz w:val="20"/>
                <w:szCs w:val="20"/>
              </w:rPr>
            </w:pPr>
            <w:r>
              <w:rPr>
                <w:color w:val="000000"/>
                <w:sz w:val="20"/>
                <w:szCs w:val="20"/>
              </w:rPr>
              <w:t>31</w:t>
            </w:r>
            <w:r w:rsidR="00B41139" w:rsidRPr="0008340B">
              <w:rPr>
                <w:color w:val="000000"/>
                <w:sz w:val="20"/>
                <w:szCs w:val="20"/>
              </w:rPr>
              <w:t>%</w:t>
            </w:r>
          </w:p>
          <w:p w14:paraId="7CF4D3D0" w14:textId="625CC482" w:rsidR="00944792" w:rsidRDefault="00944792" w:rsidP="00B41139">
            <w:pPr>
              <w:spacing w:before="60" w:after="60" w:line="288" w:lineRule="auto"/>
              <w:jc w:val="center"/>
              <w:rPr>
                <w:color w:val="000000"/>
                <w:sz w:val="20"/>
                <w:szCs w:val="20"/>
              </w:rPr>
            </w:pPr>
            <w:r>
              <w:rPr>
                <w:color w:val="000000"/>
                <w:sz w:val="20"/>
                <w:szCs w:val="20"/>
              </w:rPr>
              <w:t>(1</w:t>
            </w:r>
            <w:r w:rsidR="00B246E6">
              <w:rPr>
                <w:color w:val="000000"/>
                <w:sz w:val="20"/>
                <w:szCs w:val="20"/>
              </w:rPr>
              <w:t>6</w:t>
            </w:r>
            <w:r>
              <w:rPr>
                <w:color w:val="000000"/>
                <w:sz w:val="20"/>
                <w:szCs w:val="20"/>
              </w:rPr>
              <w:t>-</w:t>
            </w:r>
            <w:r w:rsidR="00B246E6">
              <w:rPr>
                <w:color w:val="000000"/>
                <w:sz w:val="20"/>
                <w:szCs w:val="20"/>
              </w:rPr>
              <w:t>62</w:t>
            </w:r>
            <w:r>
              <w:rPr>
                <w:color w:val="000000"/>
                <w:sz w:val="20"/>
                <w:szCs w:val="20"/>
              </w:rPr>
              <w:t>%)</w:t>
            </w:r>
          </w:p>
        </w:tc>
        <w:tc>
          <w:tcPr>
            <w:tcW w:w="631" w:type="pct"/>
            <w:tcBorders>
              <w:top w:val="nil"/>
              <w:left w:val="nil"/>
              <w:bottom w:val="single" w:sz="8" w:space="0" w:color="004D71"/>
              <w:right w:val="nil"/>
            </w:tcBorders>
            <w:shd w:val="clear" w:color="auto" w:fill="E6F7FD"/>
            <w:noWrap/>
            <w:tcMar>
              <w:top w:w="0" w:type="dxa"/>
              <w:left w:w="108" w:type="dxa"/>
              <w:bottom w:w="0" w:type="dxa"/>
              <w:right w:w="108" w:type="dxa"/>
            </w:tcMar>
            <w:vAlign w:val="center"/>
            <w:hideMark/>
          </w:tcPr>
          <w:p w14:paraId="60560386" w14:textId="07D8FE59" w:rsidR="00B41139" w:rsidRDefault="00B246E6" w:rsidP="00B41139">
            <w:pPr>
              <w:spacing w:before="60" w:after="60" w:line="288" w:lineRule="auto"/>
              <w:jc w:val="center"/>
              <w:rPr>
                <w:color w:val="000000"/>
                <w:sz w:val="20"/>
                <w:szCs w:val="20"/>
              </w:rPr>
            </w:pPr>
            <w:r>
              <w:rPr>
                <w:color w:val="000000"/>
                <w:sz w:val="20"/>
                <w:szCs w:val="20"/>
              </w:rPr>
              <w:t>68</w:t>
            </w:r>
            <w:r w:rsidR="00B41139" w:rsidRPr="0008340B">
              <w:rPr>
                <w:color w:val="000000"/>
                <w:sz w:val="20"/>
                <w:szCs w:val="20"/>
              </w:rPr>
              <w:t>%</w:t>
            </w:r>
          </w:p>
          <w:p w14:paraId="576EC461" w14:textId="46BB7DE2" w:rsidR="00944792" w:rsidRDefault="00944792" w:rsidP="00B41139">
            <w:pPr>
              <w:spacing w:before="60" w:after="60" w:line="288" w:lineRule="auto"/>
              <w:jc w:val="center"/>
              <w:rPr>
                <w:color w:val="000000"/>
                <w:sz w:val="20"/>
                <w:szCs w:val="20"/>
              </w:rPr>
            </w:pPr>
            <w:r>
              <w:rPr>
                <w:color w:val="000000"/>
                <w:sz w:val="20"/>
                <w:szCs w:val="20"/>
              </w:rPr>
              <w:t>(</w:t>
            </w:r>
            <w:r w:rsidR="00B246E6">
              <w:rPr>
                <w:color w:val="000000"/>
                <w:sz w:val="20"/>
                <w:szCs w:val="20"/>
              </w:rPr>
              <w:t>42</w:t>
            </w:r>
            <w:r>
              <w:rPr>
                <w:color w:val="000000"/>
                <w:sz w:val="20"/>
                <w:szCs w:val="20"/>
              </w:rPr>
              <w:t>-1</w:t>
            </w:r>
            <w:r w:rsidR="00B246E6">
              <w:rPr>
                <w:color w:val="000000"/>
                <w:sz w:val="20"/>
                <w:szCs w:val="20"/>
              </w:rPr>
              <w:t>19</w:t>
            </w:r>
            <w:r>
              <w:rPr>
                <w:color w:val="000000"/>
                <w:sz w:val="20"/>
                <w:szCs w:val="20"/>
              </w:rPr>
              <w:t>%)</w:t>
            </w:r>
          </w:p>
        </w:tc>
      </w:tr>
    </w:tbl>
    <w:p w14:paraId="4A70AA57" w14:textId="6AE1C220" w:rsidR="009936E9" w:rsidRDefault="00D7390B" w:rsidP="00AD0C5A">
      <w:pPr>
        <w:pStyle w:val="Caption"/>
        <w:spacing w:before="120"/>
      </w:pPr>
      <w:bookmarkStart w:id="131" w:name="_Toc228966455"/>
      <w:r>
        <w:t xml:space="preserve">Figure </w:t>
      </w:r>
      <w:r w:rsidRPr="00D7390B">
        <w:fldChar w:fldCharType="begin"/>
      </w:r>
      <w:r w:rsidRPr="00D7390B">
        <w:instrText xml:space="preserve"> SEQ Figure \* ARABIC </w:instrText>
      </w:r>
      <w:r w:rsidRPr="00D7390B">
        <w:fldChar w:fldCharType="separate"/>
      </w:r>
      <w:r w:rsidR="007733C6">
        <w:rPr>
          <w:noProof/>
        </w:rPr>
        <w:t>1</w:t>
      </w:r>
      <w:r w:rsidRPr="00D7390B">
        <w:fldChar w:fldCharType="end"/>
      </w:r>
      <w:r w:rsidRPr="00D7390B">
        <w:t xml:space="preserve"> NPV of each option based on efficacy values </w:t>
      </w:r>
      <w:bookmarkStart w:id="132" w:name="_Toc138932528"/>
      <w:r w:rsidRPr="00D7390B">
        <w:t>between 0 and 100%</w:t>
      </w:r>
      <w:bookmarkEnd w:id="132"/>
      <w:r w:rsidRPr="00D7390B">
        <w:t>, under a ‘central base case’ scenario. A positive NPV indicates a net benefit whereas a negative NPV indicates a net cost.</w:t>
      </w:r>
      <w:bookmarkEnd w:id="131"/>
    </w:p>
    <w:p w14:paraId="1631A8AD" w14:textId="77777777" w:rsidR="00B246E6" w:rsidRDefault="00B246E6" w:rsidP="0087408B">
      <w:pPr>
        <w:pStyle w:val="Caption"/>
        <w:rPr>
          <w:b w:val="0"/>
          <w:bCs w:val="0"/>
          <w:sz w:val="20"/>
          <w:szCs w:val="14"/>
        </w:rPr>
      </w:pPr>
      <w:bookmarkStart w:id="133" w:name="_Ref138697199"/>
      <w:r>
        <w:rPr>
          <w:noProof/>
        </w:rPr>
        <w:drawing>
          <wp:inline distT="0" distB="0" distL="0" distR="0" wp14:anchorId="4CAA9615" wp14:editId="4BD7CC31">
            <wp:extent cx="5759450" cy="3086100"/>
            <wp:effectExtent l="0" t="0" r="12700" b="0"/>
            <wp:docPr id="412366891" name="Chart 1" descr="Figure 1 is a chart comparing policy options by showing how their net present value (NPV) changes as ‘efficacy’ increases from 0% to 100%. The horizontal axis is efficacy (0 to 100 percent). The vertical axis is NPV (net present value), where values above zero represent a net economic benefit and values below zero represent a net economic cost. Each policy option is shown as a separate line, allowing the reader to see at what efficacy level each option crosses from net cost to net benefit">
              <a:extLst xmlns:a="http://schemas.openxmlformats.org/drawingml/2006/main">
                <a:ext uri="{FF2B5EF4-FFF2-40B4-BE49-F238E27FC236}">
                  <a16:creationId xmlns:a16="http://schemas.microsoft.com/office/drawing/2014/main" id="{7C6182C9-966E-4AE0-85D4-B86F45CC73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133"/>
    <w:p w14:paraId="380DA9BB" w14:textId="66384BF0" w:rsidR="0087408B" w:rsidRDefault="008966A1" w:rsidP="009936E9">
      <w:r>
        <w:t xml:space="preserve">The detailed results of the CBA are outlined in the CBA report at </w:t>
      </w:r>
      <w:r w:rsidR="00111C5A" w:rsidRPr="001A6B22">
        <w:rPr>
          <w:b/>
          <w:bCs/>
        </w:rPr>
        <w:t xml:space="preserve">Appendix </w:t>
      </w:r>
      <w:r w:rsidR="001275CB" w:rsidRPr="001A6B22">
        <w:rPr>
          <w:b/>
          <w:bCs/>
        </w:rPr>
        <w:t>B</w:t>
      </w:r>
      <w:r>
        <w:t>.</w:t>
      </w:r>
    </w:p>
    <w:p w14:paraId="5F43B241" w14:textId="77777777" w:rsidR="009936E9" w:rsidRPr="0082018B" w:rsidRDefault="009936E9" w:rsidP="009936E9"/>
    <w:p w14:paraId="6BBD9163" w14:textId="77777777" w:rsidR="009936E9" w:rsidRDefault="009936E9" w:rsidP="00F86B9C">
      <w:pPr>
        <w:rPr>
          <w:lang w:eastAsia="ja-JP"/>
        </w:rPr>
      </w:pPr>
    </w:p>
    <w:p w14:paraId="4F5BCDC1" w14:textId="0105B93C" w:rsidR="001519D1" w:rsidRDefault="00743848" w:rsidP="0008340B">
      <w:pPr>
        <w:pStyle w:val="Heading2"/>
      </w:pPr>
      <w:bookmarkStart w:id="134" w:name="_Toc138860716"/>
      <w:bookmarkStart w:id="135" w:name="_Toc139528410"/>
      <w:bookmarkStart w:id="136" w:name="_Toc139528660"/>
      <w:bookmarkStart w:id="137" w:name="_Toc138860717"/>
      <w:bookmarkStart w:id="138" w:name="_Toc139528411"/>
      <w:bookmarkStart w:id="139" w:name="_Toc139528661"/>
      <w:bookmarkStart w:id="140" w:name="_Toc138860751"/>
      <w:bookmarkStart w:id="141" w:name="_Toc139528445"/>
      <w:bookmarkStart w:id="142" w:name="_Toc139528695"/>
      <w:bookmarkStart w:id="143" w:name="_Toc139528446"/>
      <w:bookmarkStart w:id="144" w:name="_Toc139528696"/>
      <w:bookmarkStart w:id="145" w:name="_Toc139528447"/>
      <w:bookmarkStart w:id="146" w:name="_Toc139528697"/>
      <w:bookmarkStart w:id="147" w:name="_Toc139528448"/>
      <w:bookmarkStart w:id="148" w:name="_Toc139528698"/>
      <w:bookmarkStart w:id="149" w:name="_Toc139528449"/>
      <w:bookmarkStart w:id="150" w:name="_Toc139528699"/>
      <w:bookmarkStart w:id="151" w:name="_Toc139528450"/>
      <w:bookmarkStart w:id="152" w:name="_Toc139528700"/>
      <w:bookmarkStart w:id="153" w:name="_Toc139528451"/>
      <w:bookmarkStart w:id="154" w:name="_Toc139528701"/>
      <w:bookmarkStart w:id="155" w:name="_Toc139528452"/>
      <w:bookmarkStart w:id="156" w:name="_Toc139528702"/>
      <w:bookmarkStart w:id="157" w:name="_Toc139528453"/>
      <w:bookmarkStart w:id="158" w:name="_Toc139528703"/>
      <w:bookmarkStart w:id="159" w:name="_Toc139528454"/>
      <w:bookmarkStart w:id="160" w:name="_Toc139528704"/>
      <w:bookmarkStart w:id="161" w:name="_Toc139528455"/>
      <w:bookmarkStart w:id="162" w:name="_Toc139528705"/>
      <w:bookmarkStart w:id="163" w:name="_Toc139528456"/>
      <w:bookmarkStart w:id="164" w:name="_Toc139528706"/>
      <w:bookmarkStart w:id="165" w:name="_Toc139528457"/>
      <w:bookmarkStart w:id="166" w:name="_Toc139528707"/>
      <w:bookmarkStart w:id="167" w:name="_Toc139528458"/>
      <w:bookmarkStart w:id="168" w:name="_Toc139528708"/>
      <w:bookmarkStart w:id="169" w:name="_Toc132124544"/>
      <w:bookmarkStart w:id="170" w:name="_Toc132124545"/>
      <w:bookmarkStart w:id="171" w:name="_Toc132124546"/>
      <w:bookmarkStart w:id="172" w:name="_Toc132124547"/>
      <w:bookmarkStart w:id="173" w:name="_Toc132124548"/>
      <w:bookmarkStart w:id="174" w:name="_Toc131579787"/>
      <w:bookmarkStart w:id="175" w:name="_Toc131579872"/>
      <w:bookmarkStart w:id="176" w:name="_Toc131579896"/>
      <w:bookmarkStart w:id="177" w:name="_Toc131581540"/>
      <w:bookmarkStart w:id="178" w:name="_Toc131581564"/>
      <w:bookmarkStart w:id="179" w:name="_Toc132124549"/>
      <w:bookmarkStart w:id="180" w:name="_Toc139528459"/>
      <w:bookmarkStart w:id="181" w:name="_Toc139528709"/>
      <w:bookmarkStart w:id="182" w:name="_Toc139528460"/>
      <w:bookmarkStart w:id="183" w:name="_Toc139528710"/>
      <w:bookmarkStart w:id="184" w:name="_Toc139528461"/>
      <w:bookmarkStart w:id="185" w:name="_Toc139528711"/>
      <w:bookmarkStart w:id="186" w:name="_Toc139528462"/>
      <w:bookmarkStart w:id="187" w:name="_Toc139528712"/>
      <w:bookmarkStart w:id="188" w:name="_Toc139528463"/>
      <w:bookmarkStart w:id="189" w:name="_Toc139528713"/>
      <w:bookmarkStart w:id="190" w:name="_Toc139528464"/>
      <w:bookmarkStart w:id="191" w:name="_Toc139528714"/>
      <w:bookmarkStart w:id="192" w:name="_Toc139528465"/>
      <w:bookmarkStart w:id="193" w:name="_Toc139528715"/>
      <w:bookmarkStart w:id="194" w:name="_Toc139528466"/>
      <w:bookmarkStart w:id="195" w:name="_Toc139528716"/>
      <w:bookmarkStart w:id="196" w:name="_Toc127793370"/>
      <w:bookmarkStart w:id="197" w:name="_Toc128384192"/>
      <w:bookmarkStart w:id="198" w:name="_Toc139528467"/>
      <w:bookmarkStart w:id="199" w:name="_Toc139528717"/>
      <w:bookmarkStart w:id="200" w:name="_Toc139528468"/>
      <w:bookmarkStart w:id="201" w:name="_Toc139528718"/>
      <w:bookmarkStart w:id="202" w:name="_Toc139528469"/>
      <w:bookmarkStart w:id="203" w:name="_Toc139528719"/>
      <w:bookmarkStart w:id="204" w:name="_Toc139528491"/>
      <w:bookmarkStart w:id="205" w:name="_Toc139528741"/>
      <w:bookmarkStart w:id="206" w:name="_Toc139528492"/>
      <w:bookmarkStart w:id="207" w:name="_Toc139528742"/>
      <w:bookmarkStart w:id="208" w:name="_Toc139528493"/>
      <w:bookmarkStart w:id="209" w:name="_Toc139528743"/>
      <w:bookmarkStart w:id="210" w:name="_Toc139528494"/>
      <w:bookmarkStart w:id="211" w:name="_Toc139528744"/>
      <w:bookmarkStart w:id="212" w:name="_Toc139528495"/>
      <w:bookmarkStart w:id="213" w:name="_Toc139528745"/>
      <w:bookmarkStart w:id="214" w:name="_Toc139528496"/>
      <w:bookmarkStart w:id="215" w:name="_Toc139528746"/>
      <w:bookmarkStart w:id="216" w:name="_Toc139528497"/>
      <w:bookmarkStart w:id="217" w:name="_Toc139528747"/>
      <w:bookmarkStart w:id="218" w:name="_Toc139528498"/>
      <w:bookmarkStart w:id="219" w:name="_Toc139528748"/>
      <w:bookmarkStart w:id="220" w:name="_Toc139528520"/>
      <w:bookmarkStart w:id="221" w:name="_Toc139528770"/>
      <w:bookmarkStart w:id="222" w:name="_Toc139528521"/>
      <w:bookmarkStart w:id="223" w:name="_Toc139528771"/>
      <w:bookmarkStart w:id="224" w:name="_Toc139528522"/>
      <w:bookmarkStart w:id="225" w:name="_Toc139528772"/>
      <w:bookmarkStart w:id="226" w:name="_Toc139528523"/>
      <w:bookmarkStart w:id="227" w:name="_Toc139528773"/>
      <w:bookmarkStart w:id="228" w:name="_Toc139528524"/>
      <w:bookmarkStart w:id="229" w:name="_Toc139528774"/>
      <w:bookmarkStart w:id="230" w:name="_Toc139528525"/>
      <w:bookmarkStart w:id="231" w:name="_Toc139528775"/>
      <w:bookmarkStart w:id="232" w:name="_Toc139528526"/>
      <w:bookmarkStart w:id="233" w:name="_Toc139528776"/>
      <w:bookmarkStart w:id="234" w:name="_Toc139528527"/>
      <w:bookmarkStart w:id="235" w:name="_Toc139528777"/>
      <w:bookmarkStart w:id="236" w:name="_Toc139528549"/>
      <w:bookmarkStart w:id="237" w:name="_Toc139528799"/>
      <w:bookmarkStart w:id="238" w:name="_Toc139528550"/>
      <w:bookmarkStart w:id="239" w:name="_Toc139528800"/>
      <w:bookmarkStart w:id="240" w:name="_Toc139528551"/>
      <w:bookmarkStart w:id="241" w:name="_Toc139528801"/>
      <w:bookmarkStart w:id="242" w:name="_Toc139528552"/>
      <w:bookmarkStart w:id="243" w:name="_Toc139528802"/>
      <w:bookmarkStart w:id="244" w:name="_Toc139528553"/>
      <w:bookmarkStart w:id="245" w:name="_Toc139528803"/>
      <w:bookmarkStart w:id="246" w:name="_Toc139528554"/>
      <w:bookmarkStart w:id="247" w:name="_Toc139528804"/>
      <w:bookmarkStart w:id="248" w:name="_Toc139528555"/>
      <w:bookmarkStart w:id="249" w:name="_Toc139528805"/>
      <w:bookmarkStart w:id="250" w:name="_Toc139528556"/>
      <w:bookmarkStart w:id="251" w:name="_Toc139528806"/>
      <w:bookmarkStart w:id="252" w:name="_Toc139528578"/>
      <w:bookmarkStart w:id="253" w:name="_Toc139528828"/>
      <w:bookmarkStart w:id="254" w:name="_Toc139528579"/>
      <w:bookmarkStart w:id="255" w:name="_Toc139528829"/>
      <w:bookmarkStart w:id="256" w:name="_Toc139528580"/>
      <w:bookmarkStart w:id="257" w:name="_Toc139528830"/>
      <w:bookmarkStart w:id="258" w:name="_Toc139528581"/>
      <w:bookmarkStart w:id="259" w:name="_Toc139528831"/>
      <w:bookmarkStart w:id="260" w:name="_Toc139528582"/>
      <w:bookmarkStart w:id="261" w:name="_Toc139528832"/>
      <w:bookmarkStart w:id="262" w:name="_Toc128384195"/>
      <w:bookmarkStart w:id="263" w:name="_Toc139528583"/>
      <w:bookmarkStart w:id="264" w:name="_Toc139528833"/>
      <w:bookmarkStart w:id="265" w:name="_Toc139528584"/>
      <w:bookmarkStart w:id="266" w:name="_Toc139528834"/>
      <w:bookmarkStart w:id="267" w:name="_Toc139528585"/>
      <w:bookmarkStart w:id="268" w:name="_Toc139528835"/>
      <w:bookmarkStart w:id="269" w:name="_Toc139528607"/>
      <w:bookmarkStart w:id="270" w:name="_Toc139528857"/>
      <w:bookmarkStart w:id="271" w:name="_Toc139528608"/>
      <w:bookmarkStart w:id="272" w:name="_Toc139528858"/>
      <w:bookmarkStart w:id="273" w:name="_Toc139528609"/>
      <w:bookmarkStart w:id="274" w:name="_Toc139528859"/>
      <w:bookmarkStart w:id="275" w:name="_Toc228966452"/>
      <w:bookmarkEnd w:id="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lastRenderedPageBreak/>
        <w:t>F</w:t>
      </w:r>
      <w:r w:rsidR="00C106E2">
        <w:t>indings</w:t>
      </w:r>
      <w:bookmarkEnd w:id="275"/>
    </w:p>
    <w:p w14:paraId="54E1ED67" w14:textId="5FD6C486" w:rsidR="008C622E" w:rsidRDefault="00ED7F2D" w:rsidP="00C106E2">
      <w:pPr>
        <w:rPr>
          <w:lang w:eastAsia="ja-JP"/>
        </w:rPr>
      </w:pPr>
      <w:r>
        <w:rPr>
          <w:lang w:eastAsia="ja-JP"/>
        </w:rPr>
        <w:t xml:space="preserve">Based on </w:t>
      </w:r>
      <w:r w:rsidR="00F67E55">
        <w:rPr>
          <w:lang w:eastAsia="ja-JP"/>
        </w:rPr>
        <w:t xml:space="preserve">the </w:t>
      </w:r>
      <w:r>
        <w:rPr>
          <w:lang w:eastAsia="ja-JP"/>
        </w:rPr>
        <w:t xml:space="preserve">CBA </w:t>
      </w:r>
      <w:r w:rsidR="00F67E55">
        <w:rPr>
          <w:lang w:eastAsia="ja-JP"/>
        </w:rPr>
        <w:t>of policy options to manage pet food safety in Australia,</w:t>
      </w:r>
      <w:r w:rsidR="008C622E">
        <w:rPr>
          <w:lang w:eastAsia="ja-JP"/>
        </w:rPr>
        <w:t xml:space="preserve"> the following findings are made</w:t>
      </w:r>
      <w:r>
        <w:rPr>
          <w:lang w:eastAsia="ja-JP"/>
        </w:rPr>
        <w:t xml:space="preserve">. These findings </w:t>
      </w:r>
      <w:r w:rsidR="008C622E">
        <w:rPr>
          <w:lang w:eastAsia="ja-JP"/>
        </w:rPr>
        <w:t xml:space="preserve">aim </w:t>
      </w:r>
      <w:r>
        <w:rPr>
          <w:lang w:eastAsia="ja-JP"/>
        </w:rPr>
        <w:t xml:space="preserve">to </w:t>
      </w:r>
      <w:r w:rsidR="008C622E" w:rsidRPr="003F3D6C">
        <w:rPr>
          <w:rFonts w:asciiTheme="majorHAnsi" w:hAnsiTheme="majorHAnsi"/>
        </w:rPr>
        <w:t>inform Agriculture</w:t>
      </w:r>
      <w:r w:rsidR="008C622E">
        <w:t xml:space="preserve"> </w:t>
      </w:r>
      <w:r w:rsidR="00E950F4">
        <w:t>m</w:t>
      </w:r>
      <w:r w:rsidR="008C622E">
        <w:t>inisters in deciding on a</w:t>
      </w:r>
      <w:r>
        <w:t xml:space="preserve"> forward</w:t>
      </w:r>
      <w:r w:rsidR="008C622E">
        <w:t xml:space="preserve"> approach to manag</w:t>
      </w:r>
      <w:r>
        <w:t>ing</w:t>
      </w:r>
      <w:r w:rsidR="008C622E">
        <w:t xml:space="preserve"> pet food safety in Australia</w:t>
      </w:r>
      <w:r>
        <w:t>.</w:t>
      </w:r>
    </w:p>
    <w:p w14:paraId="182F50CB" w14:textId="7BB4D36E" w:rsidR="003042EE" w:rsidRPr="00D56A2C" w:rsidRDefault="0041334D" w:rsidP="00743848">
      <w:pPr>
        <w:pStyle w:val="ListBullet"/>
        <w:numPr>
          <w:ilvl w:val="0"/>
          <w:numId w:val="24"/>
        </w:numPr>
      </w:pPr>
      <w:r w:rsidRPr="00D56A2C">
        <w:t xml:space="preserve">Under the current </w:t>
      </w:r>
      <w:r w:rsidR="00361902" w:rsidRPr="00D56A2C">
        <w:t>self-regulat</w:t>
      </w:r>
      <w:r w:rsidR="00236B1C" w:rsidRPr="00D56A2C">
        <w:t>ion model</w:t>
      </w:r>
      <w:r w:rsidRPr="00D56A2C">
        <w:t xml:space="preserve"> for pet food safety, p</w:t>
      </w:r>
      <w:r w:rsidR="00236B1C" w:rsidRPr="00D56A2C">
        <w:t>et food businesses are incentivised to produce safe pet food products to avoid reputational and financial risks in a highly competitive operating environment.</w:t>
      </w:r>
      <w:r w:rsidR="00F515F9" w:rsidRPr="00D56A2C">
        <w:t xml:space="preserve"> </w:t>
      </w:r>
      <w:r w:rsidR="003042EE" w:rsidRPr="00D56A2C">
        <w:t xml:space="preserve">The Australian consumer protection </w:t>
      </w:r>
      <w:r w:rsidR="00134E65" w:rsidRPr="00D56A2C">
        <w:t xml:space="preserve">framework provides additional protections to consumers to ensure pet food products sold are </w:t>
      </w:r>
      <w:r w:rsidR="00531E75" w:rsidRPr="00D56A2C">
        <w:t xml:space="preserve">fit-for-purpose and </w:t>
      </w:r>
      <w:r w:rsidR="002055FF" w:rsidRPr="00D56A2C">
        <w:t>of acceptable quality.</w:t>
      </w:r>
    </w:p>
    <w:p w14:paraId="13C16FEA" w14:textId="18922562" w:rsidR="00F67E55" w:rsidRPr="00D56A2C" w:rsidRDefault="00855C4E" w:rsidP="00743848">
      <w:pPr>
        <w:pStyle w:val="ListBullet"/>
        <w:numPr>
          <w:ilvl w:val="0"/>
          <w:numId w:val="24"/>
        </w:numPr>
      </w:pPr>
      <w:r w:rsidRPr="00D56A2C">
        <w:t>Most pet food sold in Australia complies wi</w:t>
      </w:r>
      <w:r w:rsidR="003C6296" w:rsidRPr="00D56A2C">
        <w:t>th the voluntary Australian Standard for Manufacturing and Marketing of Pet Food (AS5812)</w:t>
      </w:r>
      <w:r w:rsidR="008D0DF3" w:rsidRPr="00D56A2C">
        <w:t xml:space="preserve">, which is </w:t>
      </w:r>
      <w:r w:rsidR="001A2E7A">
        <w:t>equivalent to other international pet food safety standards</w:t>
      </w:r>
      <w:r w:rsidR="003C6296" w:rsidRPr="00D56A2C">
        <w:t>.</w:t>
      </w:r>
    </w:p>
    <w:p w14:paraId="161A37B7" w14:textId="11E1B7A9" w:rsidR="00361902" w:rsidRPr="00D56A2C" w:rsidRDefault="00516E16" w:rsidP="00743848">
      <w:pPr>
        <w:pStyle w:val="ListBullet"/>
        <w:numPr>
          <w:ilvl w:val="0"/>
          <w:numId w:val="24"/>
        </w:numPr>
      </w:pPr>
      <w:r w:rsidRPr="00D56A2C">
        <w:t xml:space="preserve">While there have been pet food safety incidents in Australia, </w:t>
      </w:r>
      <w:r w:rsidR="00A34611">
        <w:t xml:space="preserve">the CBA estimated </w:t>
      </w:r>
      <w:r w:rsidR="00A34611" w:rsidRPr="00D56A2C">
        <w:t>an extremely small fraction of the total Australian pet population</w:t>
      </w:r>
      <w:r w:rsidR="00A34611">
        <w:t xml:space="preserve"> is affected by </w:t>
      </w:r>
      <w:r w:rsidR="00A34611" w:rsidRPr="00D56A2C">
        <w:t>pet illnesses and deaths associated with pet food safety</w:t>
      </w:r>
      <w:r w:rsidR="00A34611">
        <w:t xml:space="preserve"> </w:t>
      </w:r>
      <w:r w:rsidR="00361902" w:rsidRPr="00D56A2C">
        <w:t>(</w:t>
      </w:r>
      <w:r w:rsidR="00CD064D" w:rsidRPr="00D56A2C">
        <w:t xml:space="preserve">assuming pet food safety incidents are underreported by 90%, </w:t>
      </w:r>
      <w:r w:rsidR="00361902" w:rsidRPr="00D56A2C">
        <w:t xml:space="preserve">331 </w:t>
      </w:r>
      <w:r w:rsidR="001E04C9" w:rsidRPr="00D56A2C">
        <w:t xml:space="preserve">illnesses and 37 deaths per year out of </w:t>
      </w:r>
      <w:r w:rsidR="00361902" w:rsidRPr="00D56A2C">
        <w:t>11</w:t>
      </w:r>
      <w:r w:rsidR="00CD064D" w:rsidRPr="00D56A2C">
        <w:t>.2</w:t>
      </w:r>
      <w:r w:rsidR="00361902" w:rsidRPr="00D56A2C">
        <w:t xml:space="preserve"> million pet</w:t>
      </w:r>
      <w:r w:rsidR="001E04C9" w:rsidRPr="00D56A2C">
        <w:t>s</w:t>
      </w:r>
      <w:r w:rsidR="00CD064D" w:rsidRPr="00D56A2C">
        <w:t xml:space="preserve"> in Australia</w:t>
      </w:r>
      <w:r w:rsidR="00361902" w:rsidRPr="00D56A2C">
        <w:t>).</w:t>
      </w:r>
    </w:p>
    <w:p w14:paraId="75D00C8C" w14:textId="069E64E0" w:rsidR="00796A27" w:rsidRPr="00D56A2C" w:rsidRDefault="00796A27" w:rsidP="00743848">
      <w:pPr>
        <w:pStyle w:val="ListBullet"/>
        <w:numPr>
          <w:ilvl w:val="0"/>
          <w:numId w:val="24"/>
        </w:numPr>
      </w:pPr>
      <w:r w:rsidRPr="00D56A2C">
        <w:t xml:space="preserve">A CBA was undertaken of </w:t>
      </w:r>
      <w:r w:rsidR="00641E88">
        <w:t>five</w:t>
      </w:r>
      <w:r w:rsidRPr="00D56A2C">
        <w:t xml:space="preserve"> policy options to manage pet food safety in Australia, along with a base case (do nothing) option.</w:t>
      </w:r>
      <w:r w:rsidR="00793E25" w:rsidRPr="00D56A2C">
        <w:t xml:space="preserve"> </w:t>
      </w:r>
      <w:r w:rsidR="0027417F" w:rsidRPr="00D56A2C">
        <w:t xml:space="preserve">These options were </w:t>
      </w:r>
      <w:r w:rsidR="008B4B22" w:rsidRPr="00D56A2C">
        <w:t xml:space="preserve">selected from a broad range of possible options </w:t>
      </w:r>
      <w:r w:rsidR="0055184E" w:rsidRPr="00D56A2C">
        <w:t>identified in previous reviews</w:t>
      </w:r>
      <w:r w:rsidR="00A432EC" w:rsidRPr="00D56A2C">
        <w:t xml:space="preserve">, </w:t>
      </w:r>
      <w:r w:rsidR="008B4B22" w:rsidRPr="00D56A2C">
        <w:t>in close consultation with all states and territories</w:t>
      </w:r>
      <w:r w:rsidR="00A432EC" w:rsidRPr="00D56A2C">
        <w:t xml:space="preserve">. </w:t>
      </w:r>
      <w:r w:rsidR="00442D2E" w:rsidRPr="00D56A2C">
        <w:t>They include options to implement</w:t>
      </w:r>
      <w:r w:rsidR="00CF0AEC" w:rsidRPr="00D56A2C">
        <w:t xml:space="preserve"> a major or serious event response framework, a mandatory standard</w:t>
      </w:r>
      <w:r w:rsidR="002D754D" w:rsidRPr="00D56A2C">
        <w:t>,</w:t>
      </w:r>
      <w:r w:rsidR="00CF0AEC" w:rsidRPr="00D56A2C">
        <w:t xml:space="preserve"> and </w:t>
      </w:r>
      <w:r w:rsidR="002D754D" w:rsidRPr="00D56A2C">
        <w:t xml:space="preserve">an incident reporting and a </w:t>
      </w:r>
      <w:r w:rsidR="00C7355A" w:rsidRPr="00D56A2C">
        <w:t>complaint</w:t>
      </w:r>
      <w:r w:rsidR="002D754D" w:rsidRPr="00D56A2C">
        <w:t xml:space="preserve"> handling </w:t>
      </w:r>
      <w:r w:rsidR="00D23F19" w:rsidRPr="00D56A2C">
        <w:t xml:space="preserve">government </w:t>
      </w:r>
      <w:r w:rsidR="002D754D" w:rsidRPr="00D56A2C">
        <w:t>function.</w:t>
      </w:r>
    </w:p>
    <w:p w14:paraId="56295818" w14:textId="6BB3DBAF" w:rsidR="007B7019" w:rsidRPr="00D56A2C" w:rsidRDefault="00534D3B" w:rsidP="00743848">
      <w:pPr>
        <w:pStyle w:val="ListBullet"/>
        <w:numPr>
          <w:ilvl w:val="0"/>
          <w:numId w:val="24"/>
        </w:numPr>
      </w:pPr>
      <w:r w:rsidRPr="00D56A2C">
        <w:t xml:space="preserve">The cost of implementing policy options for managing pet food safety in Australia ranged from </w:t>
      </w:r>
      <w:r w:rsidR="00B3313F" w:rsidRPr="00D56A2C">
        <w:t xml:space="preserve">$5m </w:t>
      </w:r>
      <w:r w:rsidR="009610FD" w:rsidRPr="00D56A2C">
        <w:t xml:space="preserve">(for Option 2A) to </w:t>
      </w:r>
      <w:r w:rsidR="006B5BE3" w:rsidRPr="00D56A2C">
        <w:t>$3</w:t>
      </w:r>
      <w:r w:rsidR="00B246E6">
        <w:t>3</w:t>
      </w:r>
      <w:r w:rsidR="006B5BE3" w:rsidRPr="00D56A2C">
        <w:t xml:space="preserve">m (for Option 4) </w:t>
      </w:r>
      <w:r w:rsidR="00B3313F" w:rsidRPr="00D56A2C">
        <w:t xml:space="preserve">over </w:t>
      </w:r>
      <w:r w:rsidR="006B5BE3" w:rsidRPr="00D56A2C">
        <w:t xml:space="preserve">the </w:t>
      </w:r>
      <w:r w:rsidR="00C7355A" w:rsidRPr="00D56A2C">
        <w:t>20-year</w:t>
      </w:r>
      <w:r w:rsidR="006B5BE3" w:rsidRPr="00D56A2C">
        <w:t xml:space="preserve"> analysis period.</w:t>
      </w:r>
    </w:p>
    <w:p w14:paraId="4987CE73" w14:textId="13B8ABEE" w:rsidR="006B5BE3" w:rsidRPr="0041273E" w:rsidRDefault="009611C1" w:rsidP="001A2E7A">
      <w:pPr>
        <w:pStyle w:val="BoxTextBullet"/>
        <w:numPr>
          <w:ilvl w:val="1"/>
          <w:numId w:val="7"/>
        </w:numPr>
        <w:pBdr>
          <w:top w:val="none" w:sz="0" w:space="0" w:color="auto"/>
          <w:left w:val="none" w:sz="0" w:space="0" w:color="auto"/>
          <w:bottom w:val="none" w:sz="0" w:space="0" w:color="auto"/>
          <w:right w:val="none" w:sz="0" w:space="0" w:color="auto"/>
        </w:pBdr>
        <w:ind w:left="993"/>
        <w:rPr>
          <w:sz w:val="22"/>
        </w:rPr>
      </w:pPr>
      <w:r w:rsidRPr="0041273E">
        <w:rPr>
          <w:sz w:val="22"/>
        </w:rPr>
        <w:t>Government administration and industry audit c</w:t>
      </w:r>
      <w:r w:rsidR="006B5BE3" w:rsidRPr="0041273E">
        <w:rPr>
          <w:sz w:val="22"/>
        </w:rPr>
        <w:t xml:space="preserve">osts were </w:t>
      </w:r>
      <w:r w:rsidRPr="0041273E">
        <w:rPr>
          <w:sz w:val="22"/>
        </w:rPr>
        <w:t>the primary cost drivers.</w:t>
      </w:r>
    </w:p>
    <w:p w14:paraId="563895D3" w14:textId="361C37CA" w:rsidR="009611C1" w:rsidRPr="0041273E" w:rsidRDefault="00492CC9" w:rsidP="001A2E7A">
      <w:pPr>
        <w:pStyle w:val="BoxTextBullet"/>
        <w:numPr>
          <w:ilvl w:val="1"/>
          <w:numId w:val="7"/>
        </w:numPr>
        <w:pBdr>
          <w:top w:val="none" w:sz="0" w:space="0" w:color="auto"/>
          <w:left w:val="none" w:sz="0" w:space="0" w:color="auto"/>
          <w:bottom w:val="none" w:sz="0" w:space="0" w:color="auto"/>
          <w:right w:val="none" w:sz="0" w:space="0" w:color="auto"/>
        </w:pBdr>
        <w:ind w:left="993"/>
        <w:rPr>
          <w:sz w:val="22"/>
        </w:rPr>
      </w:pPr>
      <w:r w:rsidRPr="0041273E">
        <w:rPr>
          <w:sz w:val="22"/>
        </w:rPr>
        <w:t xml:space="preserve">There </w:t>
      </w:r>
      <w:r w:rsidR="00FF71CA" w:rsidRPr="0008340B">
        <w:rPr>
          <w:sz w:val="22"/>
        </w:rPr>
        <w:t xml:space="preserve">is likely to be significant variation between jurisdictions in their costs </w:t>
      </w:r>
      <w:r w:rsidR="009D46F2">
        <w:rPr>
          <w:sz w:val="22"/>
        </w:rPr>
        <w:t xml:space="preserve">to </w:t>
      </w:r>
      <w:r w:rsidR="00FF71CA" w:rsidRPr="0008340B">
        <w:rPr>
          <w:sz w:val="22"/>
        </w:rPr>
        <w:t>administer any regulatory arrangements</w:t>
      </w:r>
      <w:r w:rsidR="008C76B3" w:rsidRPr="0008340B">
        <w:rPr>
          <w:sz w:val="22"/>
        </w:rPr>
        <w:t>.</w:t>
      </w:r>
      <w:r w:rsidR="008C76B3" w:rsidRPr="0041273E">
        <w:rPr>
          <w:sz w:val="22"/>
        </w:rPr>
        <w:t xml:space="preserve"> </w:t>
      </w:r>
      <w:r w:rsidR="009D46F2">
        <w:rPr>
          <w:sz w:val="22"/>
        </w:rPr>
        <w:t>A</w:t>
      </w:r>
      <w:r w:rsidR="008C76B3" w:rsidRPr="0041273E">
        <w:rPr>
          <w:sz w:val="22"/>
        </w:rPr>
        <w:t xml:space="preserve"> sensitivity analysis</w:t>
      </w:r>
      <w:r w:rsidR="00310A8C" w:rsidRPr="0041273E">
        <w:rPr>
          <w:sz w:val="22"/>
        </w:rPr>
        <w:t xml:space="preserve"> </w:t>
      </w:r>
      <w:r w:rsidR="009D46F2">
        <w:rPr>
          <w:sz w:val="22"/>
        </w:rPr>
        <w:t xml:space="preserve">has been </w:t>
      </w:r>
      <w:r w:rsidR="00310A8C" w:rsidRPr="0041273E">
        <w:rPr>
          <w:sz w:val="22"/>
        </w:rPr>
        <w:t xml:space="preserve">applied to determine the </w:t>
      </w:r>
      <w:r w:rsidR="009D46F2">
        <w:rPr>
          <w:sz w:val="22"/>
        </w:rPr>
        <w:t xml:space="preserve">CBA </w:t>
      </w:r>
      <w:r w:rsidR="00310A8C" w:rsidRPr="0041273E">
        <w:rPr>
          <w:sz w:val="22"/>
        </w:rPr>
        <w:t xml:space="preserve">outcomes if </w:t>
      </w:r>
      <w:r w:rsidR="009D46F2">
        <w:rPr>
          <w:sz w:val="22"/>
        </w:rPr>
        <w:t xml:space="preserve">government </w:t>
      </w:r>
      <w:r w:rsidR="00310A8C" w:rsidRPr="0041273E">
        <w:rPr>
          <w:sz w:val="22"/>
        </w:rPr>
        <w:t xml:space="preserve">costs were doubled </w:t>
      </w:r>
      <w:r w:rsidR="009D46F2">
        <w:rPr>
          <w:sz w:val="22"/>
        </w:rPr>
        <w:t xml:space="preserve">or </w:t>
      </w:r>
      <w:r w:rsidR="00310A8C" w:rsidRPr="0041273E">
        <w:rPr>
          <w:sz w:val="22"/>
        </w:rPr>
        <w:t>halved.</w:t>
      </w:r>
    </w:p>
    <w:p w14:paraId="7F7DF0CA" w14:textId="5E3AB0A0" w:rsidR="00310A8C" w:rsidRPr="009D46F2" w:rsidRDefault="009D46F2" w:rsidP="001A2E7A">
      <w:pPr>
        <w:pStyle w:val="BoxTextBullet"/>
        <w:numPr>
          <w:ilvl w:val="1"/>
          <w:numId w:val="7"/>
        </w:numPr>
        <w:pBdr>
          <w:top w:val="none" w:sz="0" w:space="0" w:color="auto"/>
          <w:left w:val="none" w:sz="0" w:space="0" w:color="auto"/>
          <w:bottom w:val="none" w:sz="0" w:space="0" w:color="auto"/>
          <w:right w:val="none" w:sz="0" w:space="0" w:color="auto"/>
        </w:pBdr>
        <w:ind w:left="993"/>
        <w:rPr>
          <w:sz w:val="22"/>
        </w:rPr>
      </w:pPr>
      <w:r w:rsidRPr="009D46F2">
        <w:rPr>
          <w:sz w:val="22"/>
        </w:rPr>
        <w:t xml:space="preserve">Due to limitations in the available data, key variables in the CBA were estimated drawing on the expertise and independent judgement of </w:t>
      </w:r>
      <w:r w:rsidR="00653EC5">
        <w:rPr>
          <w:sz w:val="22"/>
        </w:rPr>
        <w:t>MJA</w:t>
      </w:r>
      <w:r w:rsidRPr="009D46F2">
        <w:rPr>
          <w:sz w:val="22"/>
        </w:rPr>
        <w:t xml:space="preserve">. </w:t>
      </w:r>
      <w:r>
        <w:rPr>
          <w:sz w:val="22"/>
        </w:rPr>
        <w:t>Changes to some key variables, such as t</w:t>
      </w:r>
      <w:r w:rsidR="00151FCD" w:rsidRPr="0008340B">
        <w:rPr>
          <w:sz w:val="22"/>
        </w:rPr>
        <w:t xml:space="preserve">he </w:t>
      </w:r>
      <w:r w:rsidRPr="009D46F2">
        <w:rPr>
          <w:sz w:val="22"/>
        </w:rPr>
        <w:t xml:space="preserve">estimated </w:t>
      </w:r>
      <w:r w:rsidR="00151FCD" w:rsidRPr="0008340B">
        <w:rPr>
          <w:sz w:val="22"/>
        </w:rPr>
        <w:t xml:space="preserve">number of pet food safety incidents in Australia </w:t>
      </w:r>
      <w:r w:rsidR="00151FCD" w:rsidRPr="009D46F2">
        <w:rPr>
          <w:sz w:val="22"/>
        </w:rPr>
        <w:t xml:space="preserve">and the avoided cost of pet </w:t>
      </w:r>
      <w:r w:rsidR="004F62A9" w:rsidRPr="009D46F2">
        <w:rPr>
          <w:sz w:val="22"/>
        </w:rPr>
        <w:t>illness</w:t>
      </w:r>
      <w:r>
        <w:rPr>
          <w:sz w:val="22"/>
        </w:rPr>
        <w:t>,</w:t>
      </w:r>
      <w:r w:rsidR="004F62A9" w:rsidRPr="009D46F2">
        <w:rPr>
          <w:sz w:val="22"/>
        </w:rPr>
        <w:t xml:space="preserve"> </w:t>
      </w:r>
      <w:r w:rsidRPr="009D46F2">
        <w:rPr>
          <w:sz w:val="22"/>
        </w:rPr>
        <w:t xml:space="preserve">could </w:t>
      </w:r>
      <w:r w:rsidR="00151FCD" w:rsidRPr="0008340B">
        <w:rPr>
          <w:sz w:val="22"/>
        </w:rPr>
        <w:t>significant</w:t>
      </w:r>
      <w:r w:rsidR="003760BE">
        <w:rPr>
          <w:sz w:val="22"/>
        </w:rPr>
        <w:t>ly</w:t>
      </w:r>
      <w:r w:rsidR="00151FCD" w:rsidRPr="0008340B">
        <w:rPr>
          <w:sz w:val="22"/>
        </w:rPr>
        <w:t xml:space="preserve"> </w:t>
      </w:r>
      <w:r w:rsidRPr="009D46F2">
        <w:rPr>
          <w:sz w:val="22"/>
        </w:rPr>
        <w:t xml:space="preserve">impact </w:t>
      </w:r>
      <w:r w:rsidR="00151FCD" w:rsidRPr="0008340B">
        <w:rPr>
          <w:sz w:val="22"/>
        </w:rPr>
        <w:t>the CBA’s outcomes</w:t>
      </w:r>
      <w:r w:rsidR="004F62A9" w:rsidRPr="009D46F2">
        <w:rPr>
          <w:sz w:val="22"/>
        </w:rPr>
        <w:t>.</w:t>
      </w:r>
    </w:p>
    <w:p w14:paraId="3C4815F8" w14:textId="04FE6213" w:rsidR="002764C0" w:rsidRPr="00456197" w:rsidRDefault="00653EC5" w:rsidP="00743848">
      <w:pPr>
        <w:pStyle w:val="ListBullet"/>
        <w:numPr>
          <w:ilvl w:val="0"/>
          <w:numId w:val="25"/>
        </w:numPr>
      </w:pPr>
      <w:r w:rsidRPr="00456197">
        <w:t>T</w:t>
      </w:r>
      <w:r w:rsidR="00FF5FD3" w:rsidRPr="00456197">
        <w:t>he economic benefits from the policy options cannot be quantified</w:t>
      </w:r>
      <w:r w:rsidR="00456197">
        <w:t xml:space="preserve"> as </w:t>
      </w:r>
      <w:r w:rsidR="001C5A27">
        <w:t xml:space="preserve">the </w:t>
      </w:r>
      <w:r w:rsidR="00456197" w:rsidRPr="0041273E">
        <w:t xml:space="preserve">effectiveness of </w:t>
      </w:r>
      <w:r w:rsidR="00456197">
        <w:t>these options i</w:t>
      </w:r>
      <w:r w:rsidR="00456197" w:rsidRPr="0041273E">
        <w:t xml:space="preserve">n reducing pet </w:t>
      </w:r>
      <w:r w:rsidR="00456197">
        <w:t xml:space="preserve">food related </w:t>
      </w:r>
      <w:r w:rsidR="00456197" w:rsidRPr="0041273E">
        <w:t xml:space="preserve">deaths and illnesses </w:t>
      </w:r>
      <w:r w:rsidR="001C5A27">
        <w:t>could</w:t>
      </w:r>
      <w:r w:rsidR="003760BE">
        <w:t xml:space="preserve"> not be </w:t>
      </w:r>
      <w:r w:rsidR="001C5A27">
        <w:t>determined</w:t>
      </w:r>
      <w:r w:rsidR="00456197" w:rsidRPr="0041273E">
        <w:t>. As such</w:t>
      </w:r>
      <w:r w:rsidR="00456197">
        <w:t>, a</w:t>
      </w:r>
      <w:r w:rsidR="00C54F85" w:rsidRPr="00456197">
        <w:t xml:space="preserve"> threshold analysis has been undertaken to estimate the proportion of pet deaths</w:t>
      </w:r>
      <w:r w:rsidR="00564206">
        <w:t xml:space="preserve"> and </w:t>
      </w:r>
      <w:r w:rsidR="00C54F85" w:rsidRPr="00456197">
        <w:t xml:space="preserve">illnesses </w:t>
      </w:r>
      <w:r w:rsidR="00564206">
        <w:t xml:space="preserve">need </w:t>
      </w:r>
      <w:r w:rsidR="0041273E" w:rsidRPr="00456197">
        <w:t xml:space="preserve">to be </w:t>
      </w:r>
      <w:r w:rsidR="00564206">
        <w:t xml:space="preserve">reduced </w:t>
      </w:r>
      <w:r w:rsidR="0041273E" w:rsidRPr="00456197">
        <w:t xml:space="preserve">by each policy option </w:t>
      </w:r>
      <w:r w:rsidR="004C1659">
        <w:t xml:space="preserve">(i.e. the efficacy of a policy option) </w:t>
      </w:r>
      <w:r w:rsidR="00C54F85" w:rsidRPr="00456197">
        <w:t xml:space="preserve">to </w:t>
      </w:r>
      <w:r w:rsidR="0041273E" w:rsidRPr="00456197">
        <w:t xml:space="preserve">deliver </w:t>
      </w:r>
      <w:r w:rsidR="00C54F85" w:rsidRPr="00456197">
        <w:t xml:space="preserve">a net </w:t>
      </w:r>
      <w:r w:rsidR="0041273E" w:rsidRPr="00456197">
        <w:t xml:space="preserve">economic </w:t>
      </w:r>
      <w:r w:rsidR="00C54F85" w:rsidRPr="00456197">
        <w:t>benefit.</w:t>
      </w:r>
    </w:p>
    <w:p w14:paraId="40E0F98D" w14:textId="6E4DBA08" w:rsidR="00653EC5" w:rsidRDefault="00653EC5" w:rsidP="00743848">
      <w:pPr>
        <w:pStyle w:val="ListBullet"/>
        <w:numPr>
          <w:ilvl w:val="0"/>
          <w:numId w:val="25"/>
        </w:numPr>
      </w:pPr>
      <w:r>
        <w:t xml:space="preserve">Based on the </w:t>
      </w:r>
      <w:r w:rsidR="00FB3EBE">
        <w:t xml:space="preserve">CBA’s </w:t>
      </w:r>
      <w:r>
        <w:t>threshold analysis</w:t>
      </w:r>
      <w:r w:rsidR="00584738">
        <w:t>:</w:t>
      </w:r>
    </w:p>
    <w:p w14:paraId="59CE71A1" w14:textId="290663B0" w:rsidR="0041273E" w:rsidRDefault="00BB4D3F" w:rsidP="001A2E7A">
      <w:pPr>
        <w:pStyle w:val="BoxTextBullet"/>
        <w:numPr>
          <w:ilvl w:val="1"/>
          <w:numId w:val="7"/>
        </w:numPr>
        <w:pBdr>
          <w:top w:val="none" w:sz="0" w:space="0" w:color="auto"/>
          <w:left w:val="none" w:sz="0" w:space="0" w:color="auto"/>
          <w:bottom w:val="none" w:sz="0" w:space="0" w:color="auto"/>
          <w:right w:val="none" w:sz="0" w:space="0" w:color="auto"/>
        </w:pBdr>
        <w:ind w:left="993"/>
        <w:rPr>
          <w:sz w:val="22"/>
        </w:rPr>
      </w:pPr>
      <w:r>
        <w:rPr>
          <w:sz w:val="22"/>
        </w:rPr>
        <w:lastRenderedPageBreak/>
        <w:t xml:space="preserve">The policy options mandating a </w:t>
      </w:r>
      <w:r w:rsidR="003D34FC">
        <w:rPr>
          <w:sz w:val="22"/>
        </w:rPr>
        <w:t xml:space="preserve">pet food safety </w:t>
      </w:r>
      <w:r>
        <w:rPr>
          <w:sz w:val="22"/>
        </w:rPr>
        <w:t xml:space="preserve">standard would </w:t>
      </w:r>
      <w:r w:rsidR="00A6524A">
        <w:rPr>
          <w:sz w:val="22"/>
        </w:rPr>
        <w:t xml:space="preserve">need to reduce pet food related </w:t>
      </w:r>
      <w:r w:rsidR="00735BE7">
        <w:rPr>
          <w:sz w:val="22"/>
        </w:rPr>
        <w:t xml:space="preserve">pet </w:t>
      </w:r>
      <w:r w:rsidR="00A6524A">
        <w:rPr>
          <w:sz w:val="22"/>
        </w:rPr>
        <w:t xml:space="preserve">deaths and illnesses by </w:t>
      </w:r>
      <w:r>
        <w:rPr>
          <w:sz w:val="22"/>
        </w:rPr>
        <w:t xml:space="preserve">at least </w:t>
      </w:r>
      <w:r w:rsidR="00B246E6">
        <w:rPr>
          <w:sz w:val="22"/>
        </w:rPr>
        <w:t>23</w:t>
      </w:r>
      <w:r w:rsidR="00A6524A">
        <w:rPr>
          <w:sz w:val="22"/>
        </w:rPr>
        <w:t xml:space="preserve">% to achieve a net benefit, with some options needing to </w:t>
      </w:r>
      <w:r w:rsidR="00735BE7">
        <w:rPr>
          <w:sz w:val="22"/>
        </w:rPr>
        <w:t xml:space="preserve">a </w:t>
      </w:r>
      <w:r w:rsidR="00A6524A">
        <w:rPr>
          <w:sz w:val="22"/>
        </w:rPr>
        <w:t>reduc</w:t>
      </w:r>
      <w:r w:rsidR="00735BE7">
        <w:rPr>
          <w:sz w:val="22"/>
        </w:rPr>
        <w:t xml:space="preserve">tion of </w:t>
      </w:r>
      <w:r w:rsidR="008920B7">
        <w:rPr>
          <w:sz w:val="22"/>
        </w:rPr>
        <w:t>over 50%</w:t>
      </w:r>
      <w:r w:rsidR="0041273E" w:rsidRPr="0008340B">
        <w:rPr>
          <w:sz w:val="22"/>
        </w:rPr>
        <w:t>.</w:t>
      </w:r>
    </w:p>
    <w:p w14:paraId="0560158D" w14:textId="34CF6CD3" w:rsidR="006054EB" w:rsidRDefault="00F71E0A" w:rsidP="001A2E7A">
      <w:pPr>
        <w:pStyle w:val="BoxTextBullet"/>
        <w:numPr>
          <w:ilvl w:val="1"/>
          <w:numId w:val="7"/>
        </w:numPr>
        <w:pBdr>
          <w:top w:val="none" w:sz="0" w:space="0" w:color="auto"/>
          <w:left w:val="none" w:sz="0" w:space="0" w:color="auto"/>
          <w:bottom w:val="none" w:sz="0" w:space="0" w:color="auto"/>
          <w:right w:val="none" w:sz="0" w:space="0" w:color="auto"/>
        </w:pBdr>
        <w:ind w:left="993"/>
        <w:rPr>
          <w:sz w:val="22"/>
        </w:rPr>
      </w:pPr>
      <w:r>
        <w:rPr>
          <w:sz w:val="22"/>
        </w:rPr>
        <w:t>Given the costs of mandating a pet food safety standard, t</w:t>
      </w:r>
      <w:r w:rsidR="00117BEF">
        <w:rPr>
          <w:sz w:val="22"/>
        </w:rPr>
        <w:t xml:space="preserve">he policy options that did not mandate a standard required a lower </w:t>
      </w:r>
      <w:r w:rsidR="00114401">
        <w:rPr>
          <w:sz w:val="22"/>
        </w:rPr>
        <w:t xml:space="preserve">efficacy </w:t>
      </w:r>
      <w:r w:rsidR="00114401" w:rsidRPr="00BB4D3F">
        <w:rPr>
          <w:sz w:val="22"/>
        </w:rPr>
        <w:t>to achieve a net economic benefit</w:t>
      </w:r>
      <w:r w:rsidR="00117BEF">
        <w:rPr>
          <w:sz w:val="22"/>
        </w:rPr>
        <w:t>.</w:t>
      </w:r>
      <w:r w:rsidR="00114401" w:rsidRPr="00BB4D3F">
        <w:rPr>
          <w:sz w:val="22"/>
        </w:rPr>
        <w:t xml:space="preserve"> </w:t>
      </w:r>
      <w:r w:rsidR="007F5AAC">
        <w:rPr>
          <w:sz w:val="22"/>
        </w:rPr>
        <w:t>For example</w:t>
      </w:r>
      <w:r w:rsidR="006054EB">
        <w:rPr>
          <w:sz w:val="22"/>
        </w:rPr>
        <w:t>:</w:t>
      </w:r>
    </w:p>
    <w:p w14:paraId="469FE27F" w14:textId="0167B390" w:rsidR="00114401" w:rsidRDefault="006054EB" w:rsidP="001A2E7A">
      <w:pPr>
        <w:pStyle w:val="BoxTextBullet"/>
        <w:numPr>
          <w:ilvl w:val="2"/>
          <w:numId w:val="7"/>
        </w:numPr>
        <w:pBdr>
          <w:top w:val="none" w:sz="0" w:space="0" w:color="auto"/>
          <w:left w:val="none" w:sz="0" w:space="0" w:color="auto"/>
          <w:bottom w:val="none" w:sz="0" w:space="0" w:color="auto"/>
          <w:right w:val="none" w:sz="0" w:space="0" w:color="auto"/>
        </w:pBdr>
        <w:ind w:left="1560"/>
        <w:rPr>
          <w:sz w:val="22"/>
        </w:rPr>
      </w:pPr>
      <w:r>
        <w:rPr>
          <w:sz w:val="22"/>
        </w:rPr>
        <w:t>E</w:t>
      </w:r>
      <w:r w:rsidR="00DA6F50">
        <w:rPr>
          <w:sz w:val="22"/>
        </w:rPr>
        <w:t>stablishing a major or serious event response framework without a mandatory standard (</w:t>
      </w:r>
      <w:r w:rsidR="00114401" w:rsidRPr="00BB4D3F">
        <w:rPr>
          <w:sz w:val="22"/>
        </w:rPr>
        <w:t>Option 2A</w:t>
      </w:r>
      <w:r w:rsidR="00DA6F50">
        <w:rPr>
          <w:sz w:val="22"/>
        </w:rPr>
        <w:t>)</w:t>
      </w:r>
      <w:r w:rsidR="007F5AAC">
        <w:rPr>
          <w:sz w:val="22"/>
        </w:rPr>
        <w:t xml:space="preserve"> </w:t>
      </w:r>
      <w:r w:rsidR="00114401" w:rsidRPr="0008340B">
        <w:rPr>
          <w:sz w:val="22"/>
        </w:rPr>
        <w:t xml:space="preserve">would need to reduce pet food related </w:t>
      </w:r>
      <w:r w:rsidR="00114401">
        <w:rPr>
          <w:sz w:val="22"/>
        </w:rPr>
        <w:t xml:space="preserve">pet </w:t>
      </w:r>
      <w:r w:rsidR="00114401" w:rsidRPr="0008340B">
        <w:rPr>
          <w:sz w:val="22"/>
        </w:rPr>
        <w:t xml:space="preserve">deaths and illnesses by at least </w:t>
      </w:r>
      <w:r w:rsidR="00AF57EC">
        <w:rPr>
          <w:sz w:val="22"/>
        </w:rPr>
        <w:t>9</w:t>
      </w:r>
      <w:r w:rsidR="00114401" w:rsidRPr="0008340B">
        <w:rPr>
          <w:sz w:val="22"/>
        </w:rPr>
        <w:t xml:space="preserve">% to achieve a net </w:t>
      </w:r>
      <w:r w:rsidR="00114401">
        <w:rPr>
          <w:sz w:val="22"/>
        </w:rPr>
        <w:t xml:space="preserve">economic </w:t>
      </w:r>
      <w:r w:rsidR="00114401" w:rsidRPr="0008340B">
        <w:rPr>
          <w:sz w:val="22"/>
        </w:rPr>
        <w:t>benefit.</w:t>
      </w:r>
    </w:p>
    <w:p w14:paraId="401BF6DF" w14:textId="361B7CCC" w:rsidR="00114401" w:rsidRDefault="00542B3A" w:rsidP="001A2E7A">
      <w:pPr>
        <w:pStyle w:val="BoxTextBullet"/>
        <w:numPr>
          <w:ilvl w:val="2"/>
          <w:numId w:val="7"/>
        </w:numPr>
        <w:pBdr>
          <w:top w:val="none" w:sz="0" w:space="0" w:color="auto"/>
          <w:left w:val="none" w:sz="0" w:space="0" w:color="auto"/>
          <w:bottom w:val="none" w:sz="0" w:space="0" w:color="auto"/>
          <w:right w:val="none" w:sz="0" w:space="0" w:color="auto"/>
        </w:pBdr>
        <w:ind w:left="1560"/>
        <w:rPr>
          <w:sz w:val="22"/>
        </w:rPr>
      </w:pPr>
      <w:r>
        <w:rPr>
          <w:sz w:val="22"/>
        </w:rPr>
        <w:t>Establishing a governme</w:t>
      </w:r>
      <w:r w:rsidR="00E4147E">
        <w:rPr>
          <w:sz w:val="22"/>
        </w:rPr>
        <w:t>nt incident reporting, complaints handling and investigation function for pet food safety</w:t>
      </w:r>
      <w:r w:rsidR="006054EB">
        <w:rPr>
          <w:sz w:val="22"/>
        </w:rPr>
        <w:t xml:space="preserve"> without a mandatory standard (Option 3A) </w:t>
      </w:r>
      <w:r w:rsidR="006054EB" w:rsidRPr="0008340B">
        <w:rPr>
          <w:sz w:val="22"/>
        </w:rPr>
        <w:t xml:space="preserve">would need to reduce pet food related </w:t>
      </w:r>
      <w:r w:rsidR="006054EB">
        <w:rPr>
          <w:sz w:val="22"/>
        </w:rPr>
        <w:t xml:space="preserve">pet </w:t>
      </w:r>
      <w:r w:rsidR="006054EB" w:rsidRPr="0008340B">
        <w:rPr>
          <w:sz w:val="22"/>
        </w:rPr>
        <w:t xml:space="preserve">deaths and illnesses by at least </w:t>
      </w:r>
      <w:r w:rsidR="00B246E6">
        <w:rPr>
          <w:sz w:val="22"/>
        </w:rPr>
        <w:t>31</w:t>
      </w:r>
      <w:r w:rsidR="006054EB" w:rsidRPr="0008340B">
        <w:rPr>
          <w:sz w:val="22"/>
        </w:rPr>
        <w:t xml:space="preserve">% to achieve a net </w:t>
      </w:r>
      <w:r w:rsidR="006054EB">
        <w:rPr>
          <w:sz w:val="22"/>
        </w:rPr>
        <w:t xml:space="preserve">economic </w:t>
      </w:r>
      <w:r w:rsidR="006054EB" w:rsidRPr="0008340B">
        <w:rPr>
          <w:sz w:val="22"/>
        </w:rPr>
        <w:t>benefit.</w:t>
      </w:r>
    </w:p>
    <w:p w14:paraId="16619425" w14:textId="77777777" w:rsidR="0055043C" w:rsidRDefault="004C1659" w:rsidP="00743848">
      <w:pPr>
        <w:pStyle w:val="ListBullet"/>
        <w:numPr>
          <w:ilvl w:val="0"/>
          <w:numId w:val="26"/>
        </w:numPr>
      </w:pPr>
      <w:r>
        <w:t>No analyses or studies could be found that could estimate a ’reasonable’ efficacy range for the policy options considered in the Australian context.</w:t>
      </w:r>
    </w:p>
    <w:p w14:paraId="0D03C0F5" w14:textId="05285549" w:rsidR="003D34FC" w:rsidRPr="0008340B" w:rsidRDefault="00E579E2" w:rsidP="0008340B">
      <w:pPr>
        <w:pStyle w:val="BoxTextBullet"/>
        <w:numPr>
          <w:ilvl w:val="1"/>
          <w:numId w:val="7"/>
        </w:numPr>
        <w:pBdr>
          <w:top w:val="none" w:sz="0" w:space="0" w:color="auto"/>
          <w:left w:val="none" w:sz="0" w:space="0" w:color="auto"/>
          <w:bottom w:val="none" w:sz="0" w:space="0" w:color="auto"/>
          <w:right w:val="none" w:sz="0" w:space="0" w:color="auto"/>
        </w:pBdr>
        <w:ind w:left="993"/>
        <w:rPr>
          <w:sz w:val="22"/>
        </w:rPr>
      </w:pPr>
      <w:r>
        <w:rPr>
          <w:sz w:val="22"/>
        </w:rPr>
        <w:t xml:space="preserve">In 2017, </w:t>
      </w:r>
      <w:r w:rsidR="00DC3631">
        <w:rPr>
          <w:sz w:val="22"/>
        </w:rPr>
        <w:t xml:space="preserve">the US FDA </w:t>
      </w:r>
      <w:r w:rsidR="00503F7D" w:rsidRPr="00503F7D">
        <w:rPr>
          <w:sz w:val="22"/>
        </w:rPr>
        <w:t>undertook research on the potential risk reductions due to the implementation of legislati</w:t>
      </w:r>
      <w:r w:rsidR="00503F7D">
        <w:rPr>
          <w:sz w:val="22"/>
        </w:rPr>
        <w:t>on</w:t>
      </w:r>
      <w:r>
        <w:rPr>
          <w:sz w:val="22"/>
        </w:rPr>
        <w:t xml:space="preserve"> relating to pet food safety</w:t>
      </w:r>
      <w:r w:rsidR="00503F7D" w:rsidRPr="00503F7D">
        <w:rPr>
          <w:sz w:val="22"/>
        </w:rPr>
        <w:t xml:space="preserve"> to estimate its effectiveness</w:t>
      </w:r>
      <w:r>
        <w:rPr>
          <w:sz w:val="22"/>
        </w:rPr>
        <w:t>.</w:t>
      </w:r>
      <w:r w:rsidR="0097114F">
        <w:rPr>
          <w:sz w:val="22"/>
        </w:rPr>
        <w:t xml:space="preserve"> Its research </w:t>
      </w:r>
      <w:r w:rsidR="00293286" w:rsidRPr="00293286">
        <w:rPr>
          <w:sz w:val="22"/>
        </w:rPr>
        <w:t>showed an average effectiveness rate that ranged from 1.8</w:t>
      </w:r>
      <w:r w:rsidR="00EC303C">
        <w:rPr>
          <w:sz w:val="22"/>
        </w:rPr>
        <w:t>%</w:t>
      </w:r>
      <w:r w:rsidR="00293286" w:rsidRPr="00293286">
        <w:rPr>
          <w:sz w:val="22"/>
        </w:rPr>
        <w:t xml:space="preserve"> to 24</w:t>
      </w:r>
      <w:r w:rsidR="00EC303C">
        <w:rPr>
          <w:sz w:val="22"/>
        </w:rPr>
        <w:t>%</w:t>
      </w:r>
      <w:r w:rsidR="00293286" w:rsidRPr="00293286">
        <w:rPr>
          <w:sz w:val="22"/>
        </w:rPr>
        <w:t xml:space="preserve"> reduction in the risk of illness and death to cats and dogs</w:t>
      </w:r>
      <w:r w:rsidR="00293286">
        <w:rPr>
          <w:sz w:val="22"/>
        </w:rPr>
        <w:t xml:space="preserve">, although it </w:t>
      </w:r>
      <w:r w:rsidR="0097114F">
        <w:rPr>
          <w:sz w:val="22"/>
        </w:rPr>
        <w:t xml:space="preserve">had </w:t>
      </w:r>
      <w:r w:rsidR="0097114F" w:rsidRPr="003F58F3">
        <w:rPr>
          <w:sz w:val="22"/>
        </w:rPr>
        <w:t>an inherently high level of uncertainty</w:t>
      </w:r>
      <w:r w:rsidR="0097114F">
        <w:rPr>
          <w:sz w:val="22"/>
        </w:rPr>
        <w:t xml:space="preserve"> (as it relied on expert opinion rather than data) and was undertaken in a different context</w:t>
      </w:r>
      <w:r w:rsidR="00293286">
        <w:rPr>
          <w:sz w:val="22"/>
        </w:rPr>
        <w:t xml:space="preserve"> (i.e. </w:t>
      </w:r>
      <w:r w:rsidR="00EC303C">
        <w:rPr>
          <w:sz w:val="22"/>
        </w:rPr>
        <w:t xml:space="preserve">on changes to the US FSMA </w:t>
      </w:r>
      <w:r w:rsidR="00EC303C" w:rsidRPr="00EC303C">
        <w:rPr>
          <w:sz w:val="22"/>
        </w:rPr>
        <w:t>Preventive Controls for Animal Food</w:t>
      </w:r>
      <w:r w:rsidR="00EC303C">
        <w:rPr>
          <w:sz w:val="22"/>
        </w:rPr>
        <w:t>)</w:t>
      </w:r>
      <w:r w:rsidR="0097114F">
        <w:rPr>
          <w:sz w:val="22"/>
        </w:rPr>
        <w:t>,</w:t>
      </w:r>
    </w:p>
    <w:p w14:paraId="57AB1358" w14:textId="77777777" w:rsidR="00E87E8D" w:rsidRDefault="00E87E8D" w:rsidP="00743848">
      <w:pPr>
        <w:pStyle w:val="ListBullet"/>
        <w:numPr>
          <w:ilvl w:val="0"/>
          <w:numId w:val="27"/>
        </w:numPr>
      </w:pPr>
      <w:r>
        <w:t xml:space="preserve">There is little to no </w:t>
      </w:r>
      <w:r>
        <w:rPr>
          <w:lang w:eastAsia="ja-JP"/>
        </w:rPr>
        <w:t xml:space="preserve">verifiable </w:t>
      </w:r>
      <w:r>
        <w:t>evidence on the impact of regulation or government oversight on reducing the number of pet food related pet deaths or illnesses.</w:t>
      </w:r>
    </w:p>
    <w:p w14:paraId="59120736" w14:textId="77777777" w:rsidR="00E87E8D" w:rsidRDefault="00E87E8D" w:rsidP="00305BB8">
      <w:pPr>
        <w:pStyle w:val="ListBullet2"/>
        <w:numPr>
          <w:ilvl w:val="1"/>
          <w:numId w:val="14"/>
        </w:numPr>
        <w:ind w:left="873" w:hanging="357"/>
        <w:contextualSpacing w:val="0"/>
      </w:pPr>
      <w:r>
        <w:t>T</w:t>
      </w:r>
      <w:r w:rsidRPr="00705F77">
        <w:t>he evidence of the current AS5812 standard having reduced pet food safety incidents in the past is inconclusive. Many previous pet food safety incidents have occurred in relation to products that comply with AS5812 (or an equivalent international standard).</w:t>
      </w:r>
    </w:p>
    <w:p w14:paraId="41EB4907" w14:textId="55EDE5E5" w:rsidR="00605CBE" w:rsidRPr="0041273E" w:rsidRDefault="00B74711" w:rsidP="00743848">
      <w:pPr>
        <w:pStyle w:val="ListBullet"/>
        <w:numPr>
          <w:ilvl w:val="0"/>
          <w:numId w:val="28"/>
        </w:numPr>
      </w:pPr>
      <w:r w:rsidRPr="0041273E">
        <w:t xml:space="preserve">Pet food businesses </w:t>
      </w:r>
      <w:r w:rsidRPr="003D34FC">
        <w:t>who are not part of the PFIAA and do not undertake voluntary audits w</w:t>
      </w:r>
      <w:r w:rsidR="00710AC2">
        <w:t>ould</w:t>
      </w:r>
      <w:r w:rsidRPr="003D34FC">
        <w:t xml:space="preserve"> be </w:t>
      </w:r>
      <w:r w:rsidRPr="0041273E">
        <w:t>most financially impacted by</w:t>
      </w:r>
      <w:r w:rsidRPr="003D34FC">
        <w:t xml:space="preserve"> policy options</w:t>
      </w:r>
      <w:r w:rsidR="008E7AFA">
        <w:t xml:space="preserve"> 2, 3 and 4</w:t>
      </w:r>
      <w:r w:rsidRPr="0041273E">
        <w:t>.</w:t>
      </w:r>
      <w:r w:rsidR="00111B01" w:rsidRPr="0041273E">
        <w:t xml:space="preserve"> These businesses include </w:t>
      </w:r>
      <w:r w:rsidR="001C398E" w:rsidRPr="0041273E">
        <w:t>a significant number of small to medium pet food manufacturers and importers.</w:t>
      </w:r>
    </w:p>
    <w:p w14:paraId="37DB696B" w14:textId="072A17F4" w:rsidR="001164B5" w:rsidRPr="0041273E" w:rsidRDefault="00F37E2F" w:rsidP="00743848">
      <w:pPr>
        <w:pStyle w:val="ListBullet"/>
        <w:numPr>
          <w:ilvl w:val="0"/>
          <w:numId w:val="28"/>
        </w:numPr>
      </w:pPr>
      <w:r w:rsidRPr="0041273E">
        <w:t>Subject to any business support measures, t</w:t>
      </w:r>
      <w:r w:rsidR="005D3343" w:rsidRPr="0041273E">
        <w:t xml:space="preserve">he costs from </w:t>
      </w:r>
      <w:r w:rsidR="00605CBE" w:rsidRPr="0041273E">
        <w:t xml:space="preserve">the </w:t>
      </w:r>
      <w:r w:rsidR="005D3343" w:rsidRPr="0041273E">
        <w:t>policy options</w:t>
      </w:r>
      <w:r w:rsidR="008E7AFA">
        <w:t xml:space="preserve"> </w:t>
      </w:r>
      <w:r w:rsidR="008E7AFA" w:rsidRPr="008E7AFA">
        <w:t xml:space="preserve">that </w:t>
      </w:r>
      <w:r w:rsidR="008E7AFA">
        <w:t>could be</w:t>
      </w:r>
      <w:r w:rsidR="008E7AFA" w:rsidRPr="008E7AFA">
        <w:t xml:space="preserve"> imposed on industry directly or via cost recovery mechanisms</w:t>
      </w:r>
      <w:r w:rsidR="005D3343" w:rsidRPr="0041273E">
        <w:t xml:space="preserve"> would </w:t>
      </w:r>
      <w:r w:rsidRPr="0041273E">
        <w:t xml:space="preserve">increase the </w:t>
      </w:r>
      <w:r w:rsidR="00605CBE" w:rsidRPr="0041273E">
        <w:t>barriers to entry for new pet food businesses</w:t>
      </w:r>
      <w:r w:rsidRPr="0041273E">
        <w:t xml:space="preserve"> in a </w:t>
      </w:r>
      <w:r w:rsidR="00605CBE" w:rsidRPr="0041273E">
        <w:t>highly competitive</w:t>
      </w:r>
      <w:r w:rsidRPr="0041273E">
        <w:t xml:space="preserve"> industry. This </w:t>
      </w:r>
      <w:r w:rsidR="00282D38" w:rsidRPr="0041273E">
        <w:t>c</w:t>
      </w:r>
      <w:r w:rsidRPr="0041273E">
        <w:t>ould particularly impact small manufacturers</w:t>
      </w:r>
      <w:r w:rsidR="00710AC2">
        <w:t xml:space="preserve">, </w:t>
      </w:r>
      <w:r w:rsidRPr="0041273E">
        <w:t xml:space="preserve">who </w:t>
      </w:r>
      <w:r w:rsidR="00710AC2">
        <w:t xml:space="preserve">may </w:t>
      </w:r>
      <w:r w:rsidR="00475866" w:rsidRPr="0041273E">
        <w:t xml:space="preserve">be </w:t>
      </w:r>
      <w:r w:rsidR="00710AC2">
        <w:t>un</w:t>
      </w:r>
      <w:r w:rsidR="00475866" w:rsidRPr="0041273E">
        <w:t xml:space="preserve">able to utilise </w:t>
      </w:r>
      <w:r w:rsidRPr="0041273E">
        <w:t>economies of scale</w:t>
      </w:r>
      <w:r w:rsidR="00475866" w:rsidRPr="0041273E">
        <w:t xml:space="preserve"> to ensure their cost competitiveness</w:t>
      </w:r>
      <w:r w:rsidRPr="0041273E">
        <w:t>.</w:t>
      </w:r>
    </w:p>
    <w:p w14:paraId="495DEADD" w14:textId="4DE9A56B" w:rsidR="009C136F" w:rsidRPr="0041273E" w:rsidRDefault="006C7383" w:rsidP="00743848">
      <w:pPr>
        <w:pStyle w:val="ListBullet"/>
        <w:numPr>
          <w:ilvl w:val="0"/>
          <w:numId w:val="28"/>
        </w:numPr>
      </w:pPr>
      <w:r>
        <w:t>It is unclear how the policy options would impact the price of pet food as this will depend on the implementation</w:t>
      </w:r>
      <w:r w:rsidR="00B626C8">
        <w:t xml:space="preserve"> and funding mechanisms</w:t>
      </w:r>
      <w:r>
        <w:t xml:space="preserve"> of the policy </w:t>
      </w:r>
      <w:r w:rsidR="001011B5">
        <w:t xml:space="preserve">options </w:t>
      </w:r>
      <w:r>
        <w:t xml:space="preserve">(e.g. cost recovery). However, </w:t>
      </w:r>
      <w:r w:rsidR="00FD1844">
        <w:t xml:space="preserve">it is expected that </w:t>
      </w:r>
      <w:r>
        <w:t>t</w:t>
      </w:r>
      <w:r w:rsidR="007B614C" w:rsidRPr="0041273E">
        <w:t xml:space="preserve">he price of pet food sold in Australia </w:t>
      </w:r>
      <w:r w:rsidR="001011B5">
        <w:t xml:space="preserve">produced </w:t>
      </w:r>
      <w:r w:rsidR="007B614C" w:rsidRPr="0041273E">
        <w:t xml:space="preserve">by PFIAA members </w:t>
      </w:r>
      <w:r w:rsidR="00D73196" w:rsidRPr="0041273E">
        <w:t xml:space="preserve">(who produce 60-80% of the pet food sold in Australia by volume) </w:t>
      </w:r>
      <w:r w:rsidR="007B614C" w:rsidRPr="0041273E">
        <w:t xml:space="preserve">is unlikely to increase substantially </w:t>
      </w:r>
      <w:proofErr w:type="gramStart"/>
      <w:r w:rsidR="007B614C" w:rsidRPr="0041273E">
        <w:t>as a result of</w:t>
      </w:r>
      <w:proofErr w:type="gramEnd"/>
      <w:r w:rsidR="007B614C" w:rsidRPr="0041273E">
        <w:t xml:space="preserve"> the policy options, given they comply with AS5812</w:t>
      </w:r>
      <w:r w:rsidR="00D73196" w:rsidRPr="0041273E">
        <w:t>.</w:t>
      </w:r>
      <w:r w:rsidR="00E37EA6">
        <w:t xml:space="preserve"> </w:t>
      </w:r>
    </w:p>
    <w:p w14:paraId="0B11F5DE" w14:textId="4E93F8B8" w:rsidR="00F95F2B" w:rsidRDefault="00F95F2B">
      <w:pPr>
        <w:spacing w:after="0" w:line="240" w:lineRule="auto"/>
        <w:rPr>
          <w:lang w:eastAsia="ja-JP"/>
        </w:rPr>
      </w:pPr>
      <w:r>
        <w:rPr>
          <w:lang w:eastAsia="ja-JP"/>
        </w:rPr>
        <w:br w:type="page"/>
      </w:r>
    </w:p>
    <w:p w14:paraId="5EED8655" w14:textId="6B95594B" w:rsidR="00F95F2B" w:rsidRPr="006D3839" w:rsidRDefault="00F95F2B" w:rsidP="0008340B">
      <w:pPr>
        <w:pStyle w:val="Heading1"/>
        <w:spacing w:after="240"/>
        <w:rPr>
          <w:sz w:val="36"/>
          <w:szCs w:val="36"/>
        </w:rPr>
      </w:pPr>
      <w:r w:rsidRPr="006D3839">
        <w:rPr>
          <w:sz w:val="36"/>
          <w:szCs w:val="36"/>
        </w:rPr>
        <w:lastRenderedPageBreak/>
        <w:t>Appendix A: How pet food is managed internationally</w:t>
      </w:r>
    </w:p>
    <w:p w14:paraId="594754FA" w14:textId="16816A35" w:rsidR="00F95F2B" w:rsidRDefault="00F95F2B" w:rsidP="00F95F2B">
      <w:pPr>
        <w:rPr>
          <w:lang w:eastAsia="ja-JP"/>
        </w:rPr>
      </w:pPr>
      <w:r>
        <w:rPr>
          <w:lang w:eastAsia="ja-JP"/>
        </w:rPr>
        <w:t xml:space="preserve">Pet food is managed in various ways internationally, with some form of government oversight in many </w:t>
      </w:r>
      <w:proofErr w:type="gramStart"/>
      <w:r w:rsidR="003760BE">
        <w:rPr>
          <w:lang w:eastAsia="ja-JP"/>
        </w:rPr>
        <w:t>high income</w:t>
      </w:r>
      <w:proofErr w:type="gramEnd"/>
      <w:r w:rsidR="003760BE">
        <w:rPr>
          <w:lang w:eastAsia="ja-JP"/>
        </w:rPr>
        <w:t xml:space="preserve"> </w:t>
      </w:r>
      <w:r>
        <w:rPr>
          <w:lang w:eastAsia="ja-JP"/>
        </w:rPr>
        <w:t>nations and regions including the US, Europe,</w:t>
      </w:r>
      <w:r w:rsidRPr="00353F1A">
        <w:rPr>
          <w:lang w:eastAsia="ja-JP"/>
        </w:rPr>
        <w:t xml:space="preserve"> </w:t>
      </w:r>
      <w:r>
        <w:rPr>
          <w:lang w:eastAsia="ja-JP"/>
        </w:rPr>
        <w:t>Japan and New Zealand. The standards used in these countries are similar</w:t>
      </w:r>
      <w:r w:rsidR="00700D98">
        <w:rPr>
          <w:lang w:eastAsia="ja-JP"/>
        </w:rPr>
        <w:t>,</w:t>
      </w:r>
      <w:r>
        <w:rPr>
          <w:lang w:eastAsia="ja-JP"/>
        </w:rPr>
        <w:t xml:space="preserve"> if not equivalent</w:t>
      </w:r>
      <w:r w:rsidR="00700D98">
        <w:rPr>
          <w:lang w:eastAsia="ja-JP"/>
        </w:rPr>
        <w:t>,</w:t>
      </w:r>
      <w:r>
        <w:rPr>
          <w:lang w:eastAsia="ja-JP"/>
        </w:rPr>
        <w:t xml:space="preserve"> to AS5812. </w:t>
      </w:r>
      <w:r w:rsidRPr="00945D68">
        <w:rPr>
          <w:lang w:eastAsia="ja-JP"/>
        </w:rPr>
        <w:t xml:space="preserve">Although </w:t>
      </w:r>
      <w:r>
        <w:rPr>
          <w:lang w:eastAsia="ja-JP"/>
        </w:rPr>
        <w:t>these examples provide</w:t>
      </w:r>
      <w:r w:rsidRPr="00945D68">
        <w:rPr>
          <w:lang w:eastAsia="ja-JP"/>
        </w:rPr>
        <w:t xml:space="preserve"> a precedent for how pet food safety could be managed,</w:t>
      </w:r>
      <w:r>
        <w:rPr>
          <w:lang w:eastAsia="ja-JP"/>
        </w:rPr>
        <w:t xml:space="preserve"> there is limited verifiable data available </w:t>
      </w:r>
      <w:r w:rsidRPr="00945D68">
        <w:rPr>
          <w:lang w:eastAsia="ja-JP"/>
        </w:rPr>
        <w:t xml:space="preserve">to adequately assess if </w:t>
      </w:r>
      <w:r>
        <w:rPr>
          <w:lang w:eastAsia="ja-JP"/>
        </w:rPr>
        <w:t xml:space="preserve">the </w:t>
      </w:r>
      <w:r w:rsidRPr="00945D68">
        <w:rPr>
          <w:lang w:eastAsia="ja-JP"/>
        </w:rPr>
        <w:t>introduction</w:t>
      </w:r>
      <w:r>
        <w:rPr>
          <w:lang w:eastAsia="ja-JP"/>
        </w:rPr>
        <w:t xml:space="preserve"> of regulation in other </w:t>
      </w:r>
      <w:r w:rsidRPr="00945D68">
        <w:rPr>
          <w:lang w:eastAsia="ja-JP"/>
        </w:rPr>
        <w:t>countries ha</w:t>
      </w:r>
      <w:r>
        <w:rPr>
          <w:lang w:eastAsia="ja-JP"/>
        </w:rPr>
        <w:t>s</w:t>
      </w:r>
      <w:r w:rsidRPr="00945D68">
        <w:rPr>
          <w:lang w:eastAsia="ja-JP"/>
        </w:rPr>
        <w:t xml:space="preserve"> been effective in reducing the frequency or </w:t>
      </w:r>
      <w:r w:rsidRPr="00FF123D">
        <w:rPr>
          <w:lang w:eastAsia="ja-JP"/>
        </w:rPr>
        <w:t xml:space="preserve">severity </w:t>
      </w:r>
      <w:r w:rsidRPr="00945D68">
        <w:rPr>
          <w:lang w:eastAsia="ja-JP"/>
        </w:rPr>
        <w:t>of pet food safety incidents</w:t>
      </w:r>
      <w:r w:rsidRPr="00FF123D">
        <w:rPr>
          <w:lang w:eastAsia="ja-JP"/>
        </w:rPr>
        <w:t xml:space="preserve">. </w:t>
      </w:r>
      <w:r>
        <w:rPr>
          <w:lang w:eastAsia="ja-JP"/>
        </w:rPr>
        <w:t xml:space="preserve">For example, in 2007 there were significant number of cat illnesses and deaths in the US and Europe due to melamine toxicity in cat food despite regulation. </w:t>
      </w:r>
      <w:r w:rsidRPr="00FF123D">
        <w:rPr>
          <w:lang w:eastAsia="ja-JP"/>
        </w:rPr>
        <w:t>It is therefore</w:t>
      </w:r>
      <w:r>
        <w:rPr>
          <w:lang w:eastAsia="ja-JP"/>
        </w:rPr>
        <w:t xml:space="preserve"> difficult to draw on international examples to assess the proposed options in terms of</w:t>
      </w:r>
      <w:r w:rsidRPr="00FF123D">
        <w:rPr>
          <w:lang w:eastAsia="ja-JP"/>
        </w:rPr>
        <w:t xml:space="preserve"> </w:t>
      </w:r>
      <w:r>
        <w:rPr>
          <w:lang w:eastAsia="ja-JP"/>
        </w:rPr>
        <w:t xml:space="preserve">their likely effectiveness </w:t>
      </w:r>
      <w:r w:rsidRPr="00FF123D">
        <w:rPr>
          <w:lang w:eastAsia="ja-JP"/>
        </w:rPr>
        <w:t xml:space="preserve">in </w:t>
      </w:r>
      <w:r>
        <w:rPr>
          <w:lang w:eastAsia="ja-JP"/>
        </w:rPr>
        <w:t xml:space="preserve">improving pet food safety </w:t>
      </w:r>
      <w:r w:rsidRPr="00FF123D">
        <w:rPr>
          <w:lang w:eastAsia="ja-JP"/>
        </w:rPr>
        <w:t>in</w:t>
      </w:r>
      <w:r>
        <w:rPr>
          <w:lang w:eastAsia="ja-JP"/>
        </w:rPr>
        <w:t xml:space="preserve"> Australia.</w:t>
      </w:r>
    </w:p>
    <w:p w14:paraId="2093DC74" w14:textId="77777777" w:rsidR="00F95F2B" w:rsidRDefault="00F95F2B" w:rsidP="00F95F2B">
      <w:pPr>
        <w:pStyle w:val="Heading5"/>
        <w:rPr>
          <w:lang w:eastAsia="ja-JP"/>
        </w:rPr>
      </w:pPr>
      <w:r>
        <w:rPr>
          <w:lang w:eastAsia="ja-JP"/>
        </w:rPr>
        <w:t>The United States</w:t>
      </w:r>
    </w:p>
    <w:p w14:paraId="637D1B9D" w14:textId="4F3AA177" w:rsidR="00F95F2B" w:rsidRDefault="00F95F2B" w:rsidP="00F95F2B">
      <w:r>
        <w:rPr>
          <w:lang w:eastAsia="ja-JP"/>
        </w:rPr>
        <w:t xml:space="preserve">In the United States, the Food and Drug Administration (USFDA) has responsibility for regulating pet food. Under </w:t>
      </w:r>
      <w:r w:rsidR="006579E4" w:rsidRPr="00D73939">
        <w:rPr>
          <w:lang w:eastAsia="ja-JP"/>
        </w:rPr>
        <w:t>the</w:t>
      </w:r>
      <w:r w:rsidR="006579E4">
        <w:rPr>
          <w:lang w:eastAsia="ja-JP"/>
        </w:rPr>
        <w:t xml:space="preserve"> national </w:t>
      </w:r>
      <w:r w:rsidRPr="00D73939">
        <w:rPr>
          <w:rStyle w:val="Emphasis"/>
        </w:rPr>
        <w:t>Food, Drug and Cosmetic Act</w:t>
      </w:r>
      <w:r>
        <w:rPr>
          <w:lang w:eastAsia="ja-JP"/>
        </w:rPr>
        <w:t xml:space="preserve">, all food for animals must be safe to eat, produced under sanitary conditions, contain no harmful substances, and be truthfully labelled. The USFDA has a reporting and data sharing system for pet food incidents to determine an appropriate response to reports. The USFDA has powers to investigate reports and consumer complaints, conduct inspections of businesses, enact recalls where appropriate and even suspend business registrations. For example, in 2022 the USFDA conducted 488 routine compliance inspections of domestic food manufacturing businesses, of which 3% required official forced action to a non-compliance, 20% required voluntary action, with the remaining requiring no action. The USFDA recognises the </w:t>
      </w:r>
      <w:r>
        <w:t xml:space="preserve">Association of American Feed Control Officials, (a joint local, state and federal government body), as the official information source for pet food labelling standards, ingredient definitions, official terminology, and standardised feed testing methodology. </w:t>
      </w:r>
    </w:p>
    <w:p w14:paraId="51994F32" w14:textId="77777777" w:rsidR="00F95F2B" w:rsidRDefault="00F95F2B" w:rsidP="00F95F2B">
      <w:pPr>
        <w:pStyle w:val="Heading5"/>
        <w:rPr>
          <w:lang w:eastAsia="ja-JP"/>
        </w:rPr>
      </w:pPr>
      <w:r>
        <w:rPr>
          <w:lang w:eastAsia="ja-JP"/>
        </w:rPr>
        <w:t>Europe</w:t>
      </w:r>
    </w:p>
    <w:p w14:paraId="017FFFFE" w14:textId="375AD979" w:rsidR="00F95F2B" w:rsidRDefault="00F95F2B" w:rsidP="00F95F2B">
      <w:r>
        <w:rPr>
          <w:lang w:eastAsia="ja-JP"/>
        </w:rPr>
        <w:t xml:space="preserve">Europe operates a co-regulated system for pet food </w:t>
      </w:r>
      <w:r w:rsidR="00B56C5F">
        <w:rPr>
          <w:lang w:eastAsia="ja-JP"/>
        </w:rPr>
        <w:t>safety,</w:t>
      </w:r>
      <w:r>
        <w:rPr>
          <w:lang w:eastAsia="ja-JP"/>
        </w:rPr>
        <w:t xml:space="preserve"> industry works with government and other stakeholders to develop requirements for the manufacturing of pet food. The European Commission oversees pet food safety and requires </w:t>
      </w:r>
      <w:r>
        <w:t>pet food businesses to register with the relevant authority in their country. A set of hygiene and quality control requirements regarding the manufacturing facility, equipment, personnel, record keeping, complaints handling, and recall of products must be met. Pet food companies in Europe are required to inform the relevant government authority of any adverse events, in which the relevant government authority has the power to enact a mandatory recall.  The European Commission recognises and endorses the production standard developed by the European Pet Food Industry Federation (FEDIAF).  FEDIAF has access and monitors the reporting system and can be involved in response discussions with the relevant country authority and the European Commission to develop mutually beneficial outcomes for consumers and industry. FEDIAF have voluntary guidelines for nutrition and nutritional information.</w:t>
      </w:r>
    </w:p>
    <w:p w14:paraId="268C6A0C" w14:textId="77777777" w:rsidR="00F95F2B" w:rsidRDefault="00F95F2B" w:rsidP="00F95F2B">
      <w:pPr>
        <w:pStyle w:val="Heading5"/>
      </w:pPr>
      <w:r>
        <w:t>Japan</w:t>
      </w:r>
    </w:p>
    <w:p w14:paraId="73CD1FBB" w14:textId="77777777" w:rsidR="00F95F2B" w:rsidRDefault="00F95F2B" w:rsidP="00F95F2B">
      <w:r>
        <w:t xml:space="preserve">Japan regulates pet food through the </w:t>
      </w:r>
      <w:r w:rsidRPr="0085291B">
        <w:rPr>
          <w:rStyle w:val="Emphasis"/>
        </w:rPr>
        <w:t>Law for Ensuring the Safety of Pet Food</w:t>
      </w:r>
      <w:r>
        <w:rPr>
          <w:rStyle w:val="Emphasis"/>
        </w:rPr>
        <w:t xml:space="preserve"> </w:t>
      </w:r>
      <w:r>
        <w:rPr>
          <w:rStyle w:val="Emphasis"/>
          <w:i w:val="0"/>
          <w:iCs w:val="0"/>
        </w:rPr>
        <w:t>which was enacted in 2008 following a series of melamine contamination incidents. Under this law,</w:t>
      </w:r>
      <w:r>
        <w:t xml:space="preserve"> pet food manufacturers and importers must notify the Ministry of Agriculture, Forestry and Fisheries, and the Minister of the Environment, before initiating business operations. They must also adhere to </w:t>
      </w:r>
      <w:r>
        <w:lastRenderedPageBreak/>
        <w:t xml:space="preserve">standards for production of pet food, prevention of harmful substances and product labelling. Relevant agencies have the power to conduct on-site inspections, product testing of pet food and issue fines or prison terms for non-compliances. </w:t>
      </w:r>
    </w:p>
    <w:p w14:paraId="1F473851" w14:textId="77777777" w:rsidR="00F95F2B" w:rsidRDefault="00F95F2B" w:rsidP="00F95F2B">
      <w:pPr>
        <w:pStyle w:val="Heading5"/>
      </w:pPr>
      <w:r>
        <w:t>New Zealand</w:t>
      </w:r>
    </w:p>
    <w:p w14:paraId="0A484289" w14:textId="77777777" w:rsidR="00F95F2B" w:rsidRDefault="00F95F2B" w:rsidP="00F95F2B">
      <w:r>
        <w:t xml:space="preserve">New Zealand regulates pet food through the </w:t>
      </w:r>
      <w:r w:rsidRPr="0085291B">
        <w:rPr>
          <w:rStyle w:val="Emphasis"/>
        </w:rPr>
        <w:t>Agricultural Compounds and Veterinary Medicines</w:t>
      </w:r>
      <w:r w:rsidRPr="002972F2">
        <w:rPr>
          <w:rStyle w:val="Emphasis"/>
        </w:rPr>
        <w:t xml:space="preserve"> </w:t>
      </w:r>
      <w:r>
        <w:rPr>
          <w:rStyle w:val="Emphasis"/>
        </w:rPr>
        <w:t xml:space="preserve">(ACVM) </w:t>
      </w:r>
      <w:r w:rsidRPr="002972F2">
        <w:rPr>
          <w:rStyle w:val="Emphasis"/>
        </w:rPr>
        <w:t>Act 1997</w:t>
      </w:r>
      <w:r>
        <w:rPr>
          <w:rStyle w:val="Emphasis"/>
        </w:rPr>
        <w:t xml:space="preserve"> </w:t>
      </w:r>
      <w:r>
        <w:rPr>
          <w:rStyle w:val="Emphasis"/>
          <w:i w:val="0"/>
          <w:iCs w:val="0"/>
        </w:rPr>
        <w:t>which classes pet food</w:t>
      </w:r>
      <w:r>
        <w:t xml:space="preserve"> as an oral nutritional compound and must comply with requirements for manufacture, sale, import, export and use. The ACVM Act further classifies pet food products that also make a therapeutic claim (e.g. ‘this product treats arthritis’) and these products must be registered and are subject to active compliance and enforcement activities from the Ministry for Primary Industries (MPI). Non-therapeutic pet foods are exempt from registration and MPI works with industry to address pet food safety with limited active compliance and enforcement. Recalls can be enforced by MPI if a product is deemed to be not fit for purpose or the purpose is in doubt, such as through mislabelling. </w:t>
      </w:r>
    </w:p>
    <w:p w14:paraId="540AEAB2" w14:textId="77777777" w:rsidR="00A7342A" w:rsidRPr="00391298" w:rsidRDefault="00A7342A" w:rsidP="00103A3C">
      <w:pPr>
        <w:rPr>
          <w:lang w:eastAsia="ja-JP"/>
        </w:rPr>
      </w:pPr>
      <w:bookmarkStart w:id="276" w:name="_Toc138860755"/>
      <w:bookmarkStart w:id="277" w:name="_Toc138860756"/>
      <w:bookmarkStart w:id="278" w:name="_Toc132124551"/>
      <w:bookmarkStart w:id="279" w:name="_Toc132124552"/>
      <w:bookmarkStart w:id="280" w:name="_Toc132124553"/>
      <w:bookmarkEnd w:id="276"/>
      <w:bookmarkEnd w:id="277"/>
      <w:bookmarkEnd w:id="278"/>
      <w:bookmarkEnd w:id="279"/>
      <w:bookmarkEnd w:id="280"/>
    </w:p>
    <w:sectPr w:rsidR="00A7342A" w:rsidRPr="00391298" w:rsidSect="0037385C">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AD53" w14:textId="77777777" w:rsidR="00F51346" w:rsidRDefault="00F51346">
      <w:r>
        <w:separator/>
      </w:r>
    </w:p>
    <w:p w14:paraId="487D40E3" w14:textId="77777777" w:rsidR="00F51346" w:rsidRDefault="00F51346"/>
    <w:p w14:paraId="082F2859" w14:textId="77777777" w:rsidR="00F51346" w:rsidRDefault="00F51346"/>
  </w:endnote>
  <w:endnote w:type="continuationSeparator" w:id="0">
    <w:p w14:paraId="67405B76" w14:textId="77777777" w:rsidR="00F51346" w:rsidRDefault="00F51346">
      <w:r>
        <w:continuationSeparator/>
      </w:r>
    </w:p>
    <w:p w14:paraId="2B01BE4C" w14:textId="77777777" w:rsidR="00F51346" w:rsidRDefault="00F51346"/>
    <w:p w14:paraId="7CEE29D2" w14:textId="77777777" w:rsidR="00F51346" w:rsidRDefault="00F51346"/>
  </w:endnote>
  <w:endnote w:type="continuationNotice" w:id="1">
    <w:p w14:paraId="146EF290" w14:textId="77777777" w:rsidR="00F51346" w:rsidRDefault="00F51346">
      <w:pPr>
        <w:pStyle w:val="Footer"/>
      </w:pPr>
    </w:p>
    <w:p w14:paraId="7F5C3F7F" w14:textId="77777777" w:rsidR="00F51346" w:rsidRDefault="00F51346"/>
    <w:p w14:paraId="10FCEC64" w14:textId="77777777" w:rsidR="00F51346" w:rsidRDefault="00F51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B88" w14:textId="117679BD" w:rsidR="00B861B4" w:rsidRPr="00FE182D" w:rsidRDefault="00FE182D" w:rsidP="00FE182D">
    <w:pPr>
      <w:pStyle w:val="Footer"/>
    </w:pPr>
    <w:r>
      <w:rPr>
        <w:noProof/>
      </w:rPr>
      <mc:AlternateContent>
        <mc:Choice Requires="wps">
          <w:drawing>
            <wp:anchor distT="0" distB="0" distL="0" distR="0" simplePos="0" relativeHeight="251658241" behindDoc="0" locked="0" layoutInCell="1" allowOverlap="1" wp14:anchorId="4066B0B1" wp14:editId="3E953B63">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B5F0B5" w14:textId="77777777" w:rsidR="00FE182D" w:rsidRPr="009622CD" w:rsidRDefault="00FE182D" w:rsidP="00FE182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6B0B1" id="_x0000_t202" coordsize="21600,21600" o:spt="202" path="m,l,21600r21600,l21600,xe">
              <v:stroke joinstyle="miter"/>
              <v:path gradientshapeok="t" o:connecttype="rect"/>
            </v:shapetype>
            <v:shape id="Text Box 6"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" filled="f" stroked="f">
              <v:textbox style="mso-fit-shape-to-text:t" inset="0,0,0,15pt">
                <w:txbxContent>
                  <w:p w14:paraId="44B5F0B5" w14:textId="77777777" w:rsidR="00FE182D" w:rsidRPr="009622CD" w:rsidRDefault="00FE182D" w:rsidP="00FE182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t>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6EB2" w14:textId="77777777" w:rsidR="00F51346" w:rsidRDefault="00F51346">
      <w:r>
        <w:separator/>
      </w:r>
    </w:p>
    <w:p w14:paraId="5E4E6234" w14:textId="77777777" w:rsidR="00F51346" w:rsidRDefault="00F51346"/>
    <w:p w14:paraId="001A3FEF" w14:textId="77777777" w:rsidR="00F51346" w:rsidRDefault="00F51346"/>
  </w:footnote>
  <w:footnote w:type="continuationSeparator" w:id="0">
    <w:p w14:paraId="23AB7AF4" w14:textId="77777777" w:rsidR="00F51346" w:rsidRDefault="00F51346">
      <w:r>
        <w:continuationSeparator/>
      </w:r>
    </w:p>
    <w:p w14:paraId="04989EE1" w14:textId="77777777" w:rsidR="00F51346" w:rsidRDefault="00F51346"/>
    <w:p w14:paraId="6E13C376" w14:textId="77777777" w:rsidR="00F51346" w:rsidRDefault="00F51346"/>
  </w:footnote>
  <w:footnote w:type="continuationNotice" w:id="1">
    <w:p w14:paraId="0469853D" w14:textId="77777777" w:rsidR="00F51346" w:rsidRDefault="00F51346">
      <w:pPr>
        <w:pStyle w:val="Footer"/>
      </w:pPr>
    </w:p>
    <w:p w14:paraId="5F291C45" w14:textId="77777777" w:rsidR="00F51346" w:rsidRDefault="00F51346"/>
    <w:p w14:paraId="472E7C3A" w14:textId="77777777" w:rsidR="00F51346" w:rsidRDefault="00F51346"/>
  </w:footnote>
  <w:footnote w:id="2">
    <w:p w14:paraId="0857016A" w14:textId="56DC8B2F" w:rsidR="002F2137" w:rsidRDefault="002F2137" w:rsidP="002F2137">
      <w:pPr>
        <w:pStyle w:val="FootnoteText"/>
      </w:pPr>
      <w:r>
        <w:rPr>
          <w:rStyle w:val="FootnoteReference"/>
        </w:rPr>
        <w:footnoteRef/>
      </w:r>
      <w:r>
        <w:t xml:space="preserve"> See Submission 9 to the </w:t>
      </w:r>
      <w:r w:rsidR="00242F6E">
        <w:t xml:space="preserve">2018 Senate Rural and Regional Affairs and Transport References Committee inquiry report on </w:t>
      </w:r>
      <w:r w:rsidR="00242F6E">
        <w:rPr>
          <w:i/>
          <w:iCs/>
        </w:rPr>
        <w:t>Regulatory approaches to ensure the safety of pet food</w:t>
      </w:r>
      <w:r w:rsidR="00242F6E">
        <w:t>.</w:t>
      </w:r>
    </w:p>
  </w:footnote>
  <w:footnote w:id="3">
    <w:p w14:paraId="1B81465A" w14:textId="77777777" w:rsidR="00242F6E" w:rsidRPr="00242F6E" w:rsidRDefault="00242F6E" w:rsidP="00242F6E">
      <w:pPr>
        <w:pStyle w:val="FootnoteText"/>
      </w:pPr>
      <w:r>
        <w:rPr>
          <w:rStyle w:val="FootnoteReference"/>
        </w:rPr>
        <w:footnoteRef/>
      </w:r>
      <w:r>
        <w:t xml:space="preserve"> See page 71 of the 2018 Senate Rural and Regional Affairs and Transport References Committee inquiry report on </w:t>
      </w:r>
      <w:r>
        <w:rPr>
          <w:i/>
          <w:iCs/>
        </w:rPr>
        <w:t>Regulatory approaches to ensure the safety of pet food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43FE" w14:textId="0D1D69A5" w:rsidR="00B861B4" w:rsidRPr="00B8381D" w:rsidRDefault="00B8381D" w:rsidP="00B8381D">
    <w:pPr>
      <w:pStyle w:val="Header"/>
    </w:pPr>
    <w:r w:rsidRPr="00B8381D">
      <w:t>Pet Food Safety in Australia: report to Agriculture Ministers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046" w14:textId="40992421" w:rsidR="00B861B4" w:rsidRDefault="00DC41DE">
    <w:pPr>
      <w:pStyle w:val="Header"/>
      <w:jc w:val="left"/>
    </w:pPr>
    <w:r>
      <w:rPr>
        <w:noProof/>
      </w:rPr>
      <w:drawing>
        <wp:anchor distT="0" distB="0" distL="114300" distR="114300" simplePos="0" relativeHeight="251658240" behindDoc="1" locked="0" layoutInCell="1" allowOverlap="1" wp14:anchorId="0A08C7FA" wp14:editId="0DEC75F9">
          <wp:simplePos x="0" y="0"/>
          <wp:positionH relativeFrom="page">
            <wp:align>left</wp:align>
          </wp:positionH>
          <wp:positionV relativeFrom="paragraph">
            <wp:posOffset>-360975</wp:posOffset>
          </wp:positionV>
          <wp:extent cx="7566403" cy="10702800"/>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A32FD1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F62488F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1D626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B09B3"/>
    <w:multiLevelType w:val="hybridMultilevel"/>
    <w:tmpl w:val="6C28D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2FA3128"/>
    <w:multiLevelType w:val="multilevel"/>
    <w:tmpl w:val="7F18591C"/>
    <w:lvl w:ilvl="0">
      <w:start w:val="1"/>
      <w:numFmt w:val="bullet"/>
      <w:lvlText w:val=""/>
      <w:lvlJc w:val="left"/>
      <w:pPr>
        <w:ind w:left="1405" w:hanging="425"/>
      </w:pPr>
      <w:rPr>
        <w:rFonts w:ascii="Symbol" w:hAnsi="Symbol" w:hint="default"/>
        <w:color w:val="003150"/>
      </w:rPr>
    </w:lvl>
    <w:lvl w:ilvl="1">
      <w:start w:val="1"/>
      <w:numFmt w:val="bullet"/>
      <w:lvlText w:val="o"/>
      <w:lvlJc w:val="left"/>
      <w:pPr>
        <w:ind w:left="1765" w:hanging="360"/>
      </w:pPr>
      <w:rPr>
        <w:rFonts w:ascii="Courier New" w:hAnsi="Courier New" w:cs="Courier New" w:hint="default"/>
      </w:rPr>
    </w:lvl>
    <w:lvl w:ilvl="2">
      <w:start w:val="1"/>
      <w:numFmt w:val="bullet"/>
      <w:lvlText w:val="­"/>
      <w:lvlJc w:val="left"/>
      <w:pPr>
        <w:ind w:left="2256" w:hanging="425"/>
      </w:pPr>
      <w:rPr>
        <w:rFonts w:ascii="Cambria" w:hAnsi="Cambria" w:hint="default"/>
      </w:rPr>
    </w:lvl>
    <w:lvl w:ilvl="3">
      <w:start w:val="1"/>
      <w:numFmt w:val="bullet"/>
      <w:lvlText w:val=""/>
      <w:lvlJc w:val="left"/>
      <w:pPr>
        <w:ind w:left="3905" w:hanging="360"/>
      </w:pPr>
      <w:rPr>
        <w:rFonts w:ascii="Symbol" w:hAnsi="Symbol" w:hint="default"/>
      </w:rPr>
    </w:lvl>
    <w:lvl w:ilvl="4">
      <w:start w:val="1"/>
      <w:numFmt w:val="bullet"/>
      <w:lvlText w:val="o"/>
      <w:lvlJc w:val="left"/>
      <w:pPr>
        <w:ind w:left="4625" w:hanging="360"/>
      </w:pPr>
      <w:rPr>
        <w:rFonts w:ascii="Courier New" w:hAnsi="Courier New" w:cs="Courier New" w:hint="default"/>
      </w:rPr>
    </w:lvl>
    <w:lvl w:ilvl="5">
      <w:start w:val="1"/>
      <w:numFmt w:val="bullet"/>
      <w:lvlText w:val=""/>
      <w:lvlJc w:val="left"/>
      <w:pPr>
        <w:ind w:left="5345" w:hanging="360"/>
      </w:pPr>
      <w:rPr>
        <w:rFonts w:ascii="Wingdings" w:hAnsi="Wingdings" w:hint="default"/>
      </w:rPr>
    </w:lvl>
    <w:lvl w:ilvl="6">
      <w:start w:val="1"/>
      <w:numFmt w:val="bullet"/>
      <w:lvlText w:val=""/>
      <w:lvlJc w:val="left"/>
      <w:pPr>
        <w:ind w:left="6065" w:hanging="360"/>
      </w:pPr>
      <w:rPr>
        <w:rFonts w:ascii="Symbol" w:hAnsi="Symbol" w:hint="default"/>
      </w:rPr>
    </w:lvl>
    <w:lvl w:ilvl="7">
      <w:start w:val="1"/>
      <w:numFmt w:val="bullet"/>
      <w:lvlText w:val="o"/>
      <w:lvlJc w:val="left"/>
      <w:pPr>
        <w:ind w:left="6785" w:hanging="360"/>
      </w:pPr>
      <w:rPr>
        <w:rFonts w:ascii="Courier New" w:hAnsi="Courier New" w:cs="Courier New" w:hint="default"/>
      </w:rPr>
    </w:lvl>
    <w:lvl w:ilvl="8">
      <w:start w:val="1"/>
      <w:numFmt w:val="bullet"/>
      <w:lvlText w:val=""/>
      <w:lvlJc w:val="left"/>
      <w:pPr>
        <w:ind w:left="7505" w:hanging="360"/>
      </w:pPr>
      <w:rPr>
        <w:rFonts w:ascii="Wingdings" w:hAnsi="Wingdings" w:hint="default"/>
      </w:rPr>
    </w:lvl>
  </w:abstractNum>
  <w:abstractNum w:abstractNumId="7" w15:restartNumberingAfterBreak="0">
    <w:nsid w:val="14301722"/>
    <w:multiLevelType w:val="hybridMultilevel"/>
    <w:tmpl w:val="3C46A4E0"/>
    <w:lvl w:ilvl="0" w:tplc="424232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3E5366"/>
    <w:multiLevelType w:val="hybridMultilevel"/>
    <w:tmpl w:val="62EA0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E46F9C"/>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21A328D5"/>
    <w:multiLevelType w:val="multilevel"/>
    <w:tmpl w:val="BE78A4F8"/>
    <w:numStyleLink w:val="Numberlist"/>
  </w:abstractNum>
  <w:abstractNum w:abstractNumId="11"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E95C71"/>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2C6153D0"/>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2F8D6613"/>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30F277E3"/>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3504184C"/>
    <w:multiLevelType w:val="hybridMultilevel"/>
    <w:tmpl w:val="BE6CE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BA9"/>
    <w:multiLevelType w:val="hybridMultilevel"/>
    <w:tmpl w:val="9A8A1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E3AE5"/>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486800B4"/>
    <w:multiLevelType w:val="multilevel"/>
    <w:tmpl w:val="A0241B28"/>
    <w:numStyleLink w:val="List1"/>
  </w:abstractNum>
  <w:abstractNum w:abstractNumId="2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start w:val="1"/>
      <w:numFmt w:val="bullet"/>
      <w:lvlText w:val="o"/>
      <w:lvlJc w:val="left"/>
      <w:pPr>
        <w:ind w:left="1440" w:hanging="360"/>
      </w:pPr>
      <w:rPr>
        <w:rFonts w:ascii="Courier New" w:hAnsi="Courier New" w:cs="Courier New" w:hint="default"/>
      </w:rPr>
    </w:lvl>
    <w:lvl w:ilvl="2" w:tplc="53681FEE">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7822AB"/>
    <w:multiLevelType w:val="hybridMultilevel"/>
    <w:tmpl w:val="82D6A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4"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7"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846E78"/>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6881576F"/>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E835DA"/>
    <w:multiLevelType w:val="multilevel"/>
    <w:tmpl w:val="B5449144"/>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16cid:durableId="381057155">
    <w:abstractNumId w:val="25"/>
    <w:lvlOverride w:ilvl="0">
      <w:lvl w:ilvl="0">
        <w:start w:val="1"/>
        <w:numFmt w:val="decimal"/>
        <w:pStyle w:val="ListBullet"/>
        <w:lvlText w:val="%1."/>
        <w:lvlJc w:val="left"/>
        <w:pPr>
          <w:ind w:left="425" w:hanging="425"/>
        </w:pPr>
        <w:rPr>
          <w:rFonts w:hint="default"/>
          <w:color w:val="auto"/>
        </w:rPr>
      </w:lvl>
    </w:lvlOverride>
  </w:num>
  <w:num w:numId="2" w16cid:durableId="1639215797">
    <w:abstractNumId w:val="26"/>
  </w:num>
  <w:num w:numId="3" w16cid:durableId="1643265712">
    <w:abstractNumId w:val="11"/>
  </w:num>
  <w:num w:numId="4" w16cid:durableId="1076707181">
    <w:abstractNumId w:val="11"/>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734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626202022">
    <w:abstractNumId w:val="21"/>
  </w:num>
  <w:num w:numId="6" w16cid:durableId="281765065">
    <w:abstractNumId w:val="24"/>
  </w:num>
  <w:num w:numId="7" w16cid:durableId="2092000146">
    <w:abstractNumId w:val="20"/>
  </w:num>
  <w:num w:numId="8" w16cid:durableId="864908900">
    <w:abstractNumId w:val="11"/>
    <w:lvlOverride w:ilvl="0">
      <w:lvl w:ilvl="0">
        <w:start w:val="1"/>
        <w:numFmt w:val="decimal"/>
        <w:pStyle w:val="Heading2"/>
        <w:lvlText w:val="%1"/>
        <w:lvlJc w:val="left"/>
        <w:pPr>
          <w:ind w:left="720" w:hanging="720"/>
        </w:pPr>
        <w:rPr>
          <w:color w:val="auto"/>
        </w:rPr>
      </w:lvl>
    </w:lvlOverride>
  </w:num>
  <w:num w:numId="9" w16cid:durableId="1983389004">
    <w:abstractNumId w:val="5"/>
  </w:num>
  <w:num w:numId="10" w16cid:durableId="1510218002">
    <w:abstractNumId w:val="23"/>
  </w:num>
  <w:num w:numId="11" w16cid:durableId="704601144">
    <w:abstractNumId w:val="4"/>
  </w:num>
  <w:num w:numId="12" w16cid:durableId="382483290">
    <w:abstractNumId w:val="7"/>
  </w:num>
  <w:num w:numId="13" w16cid:durableId="2118402155">
    <w:abstractNumId w:val="1"/>
  </w:num>
  <w:num w:numId="14" w16cid:durableId="178349047">
    <w:abstractNumId w:val="6"/>
  </w:num>
  <w:num w:numId="15" w16cid:durableId="14094967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890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143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4983616">
    <w:abstractNumId w:val="16"/>
  </w:num>
  <w:num w:numId="19" w16cid:durableId="1029064796">
    <w:abstractNumId w:val="17"/>
  </w:num>
  <w:num w:numId="20" w16cid:durableId="467363546">
    <w:abstractNumId w:val="8"/>
  </w:num>
  <w:num w:numId="21" w16cid:durableId="993292540">
    <w:abstractNumId w:val="22"/>
  </w:num>
  <w:num w:numId="22" w16cid:durableId="2101876771">
    <w:abstractNumId w:val="25"/>
  </w:num>
  <w:num w:numId="23" w16cid:durableId="9393318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6066836">
    <w:abstractNumId w:val="18"/>
  </w:num>
  <w:num w:numId="25" w16cid:durableId="967781044">
    <w:abstractNumId w:val="29"/>
  </w:num>
  <w:num w:numId="26" w16cid:durableId="344720477">
    <w:abstractNumId w:val="12"/>
  </w:num>
  <w:num w:numId="27" w16cid:durableId="2119836174">
    <w:abstractNumId w:val="15"/>
  </w:num>
  <w:num w:numId="28" w16cid:durableId="1927031584">
    <w:abstractNumId w:val="14"/>
  </w:num>
  <w:num w:numId="29" w16cid:durableId="31853297">
    <w:abstractNumId w:val="32"/>
  </w:num>
  <w:num w:numId="30" w16cid:durableId="478546487">
    <w:abstractNumId w:val="9"/>
  </w:num>
  <w:num w:numId="31" w16cid:durableId="621227019">
    <w:abstractNumId w:val="28"/>
  </w:num>
  <w:num w:numId="32" w16cid:durableId="2071535211">
    <w:abstractNumId w:val="13"/>
  </w:num>
  <w:num w:numId="33" w16cid:durableId="1987322046">
    <w:abstractNumId w:val="26"/>
  </w:num>
  <w:num w:numId="34" w16cid:durableId="1129126099">
    <w:abstractNumId w:val="25"/>
    <w:lvlOverride w:ilvl="0">
      <w:lvl w:ilvl="0">
        <w:start w:val="1"/>
        <w:numFmt w:val="decimal"/>
        <w:pStyle w:val="ListBullet"/>
        <w:lvlText w:val="%1."/>
        <w:lvlJc w:val="left"/>
        <w:pPr>
          <w:ind w:left="425" w:hanging="425"/>
        </w:pPr>
        <w:rPr>
          <w:rFonts w:hint="default"/>
          <w:color w:val="auto"/>
        </w:rPr>
      </w:lvl>
    </w:lvlOverride>
  </w:num>
  <w:num w:numId="35" w16cid:durableId="917011634">
    <w:abstractNumId w:val="25"/>
    <w:lvlOverride w:ilvl="0">
      <w:lvl w:ilvl="0">
        <w:start w:val="1"/>
        <w:numFmt w:val="decimal"/>
        <w:pStyle w:val="ListBullet"/>
        <w:lvlText w:val="%1."/>
        <w:lvlJc w:val="left"/>
        <w:pPr>
          <w:ind w:left="425" w:hanging="425"/>
        </w:pPr>
        <w:rPr>
          <w:rFonts w:hint="default"/>
          <w:color w:val="auto"/>
        </w:rPr>
      </w:lvl>
    </w:lvlOverride>
  </w:num>
  <w:num w:numId="36" w16cid:durableId="1314943914">
    <w:abstractNumId w:val="26"/>
  </w:num>
  <w:num w:numId="37" w16cid:durableId="1848591759">
    <w:abstractNumId w:val="25"/>
    <w:lvlOverride w:ilvl="0">
      <w:lvl w:ilvl="0">
        <w:start w:val="1"/>
        <w:numFmt w:val="decimal"/>
        <w:pStyle w:val="ListBullet"/>
        <w:lvlText w:val="%1."/>
        <w:lvlJc w:val="left"/>
        <w:pPr>
          <w:ind w:left="425" w:hanging="425"/>
        </w:pPr>
        <w:rPr>
          <w:rFonts w:hint="default"/>
          <w:color w:val="auto"/>
        </w:rPr>
      </w:lvl>
    </w:lvlOverride>
  </w:num>
  <w:num w:numId="38" w16cid:durableId="1515729412">
    <w:abstractNumId w:val="1"/>
  </w:num>
  <w:num w:numId="39" w16cid:durableId="342785559">
    <w:abstractNumId w:val="0"/>
  </w:num>
  <w:num w:numId="40" w16cid:durableId="77406950">
    <w:abstractNumId w:val="2"/>
  </w:num>
  <w:num w:numId="41" w16cid:durableId="1568950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5951209">
    <w:abstractNumId w:val="27"/>
  </w:num>
  <w:num w:numId="43" w16cid:durableId="1385720017">
    <w:abstractNumId w:val="31"/>
  </w:num>
  <w:num w:numId="44" w16cid:durableId="1361395064">
    <w:abstractNumId w:val="30"/>
  </w:num>
  <w:num w:numId="45" w16cid:durableId="2119637520">
    <w:abstractNumId w:val="3"/>
  </w:num>
  <w:num w:numId="46" w16cid:durableId="1065566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9C"/>
    <w:rsid w:val="0000104E"/>
    <w:rsid w:val="0000122C"/>
    <w:rsid w:val="0000139A"/>
    <w:rsid w:val="0000168A"/>
    <w:rsid w:val="0000197D"/>
    <w:rsid w:val="00001CC9"/>
    <w:rsid w:val="00002673"/>
    <w:rsid w:val="000027DC"/>
    <w:rsid w:val="00002A52"/>
    <w:rsid w:val="000032AD"/>
    <w:rsid w:val="00003BBF"/>
    <w:rsid w:val="00003E3A"/>
    <w:rsid w:val="0000456C"/>
    <w:rsid w:val="0000499E"/>
    <w:rsid w:val="000050E0"/>
    <w:rsid w:val="00005606"/>
    <w:rsid w:val="00006803"/>
    <w:rsid w:val="000069EE"/>
    <w:rsid w:val="00006D71"/>
    <w:rsid w:val="00006FF9"/>
    <w:rsid w:val="000075F4"/>
    <w:rsid w:val="00007783"/>
    <w:rsid w:val="0000791F"/>
    <w:rsid w:val="00010A4E"/>
    <w:rsid w:val="00010B2D"/>
    <w:rsid w:val="00010C15"/>
    <w:rsid w:val="00010C87"/>
    <w:rsid w:val="00011951"/>
    <w:rsid w:val="00011D12"/>
    <w:rsid w:val="0001213B"/>
    <w:rsid w:val="00013294"/>
    <w:rsid w:val="000151A7"/>
    <w:rsid w:val="0001544F"/>
    <w:rsid w:val="00015619"/>
    <w:rsid w:val="00015896"/>
    <w:rsid w:val="00016674"/>
    <w:rsid w:val="00016E49"/>
    <w:rsid w:val="00016EF6"/>
    <w:rsid w:val="000177D2"/>
    <w:rsid w:val="000177E3"/>
    <w:rsid w:val="00017BD0"/>
    <w:rsid w:val="00017C2E"/>
    <w:rsid w:val="00020335"/>
    <w:rsid w:val="000203B1"/>
    <w:rsid w:val="00020AA4"/>
    <w:rsid w:val="000215C1"/>
    <w:rsid w:val="000216D7"/>
    <w:rsid w:val="000224CB"/>
    <w:rsid w:val="00022647"/>
    <w:rsid w:val="0002273D"/>
    <w:rsid w:val="000227A1"/>
    <w:rsid w:val="00022AD5"/>
    <w:rsid w:val="000231CC"/>
    <w:rsid w:val="00023261"/>
    <w:rsid w:val="00023FEB"/>
    <w:rsid w:val="0002521F"/>
    <w:rsid w:val="0002539F"/>
    <w:rsid w:val="00025BAC"/>
    <w:rsid w:val="00026209"/>
    <w:rsid w:val="0002679E"/>
    <w:rsid w:val="00026B18"/>
    <w:rsid w:val="00026EF4"/>
    <w:rsid w:val="00027C1F"/>
    <w:rsid w:val="00027C8C"/>
    <w:rsid w:val="0003026F"/>
    <w:rsid w:val="0003090E"/>
    <w:rsid w:val="00030F51"/>
    <w:rsid w:val="00031492"/>
    <w:rsid w:val="00031C82"/>
    <w:rsid w:val="0003207F"/>
    <w:rsid w:val="00032470"/>
    <w:rsid w:val="00032CBC"/>
    <w:rsid w:val="00032F10"/>
    <w:rsid w:val="0003348D"/>
    <w:rsid w:val="00033500"/>
    <w:rsid w:val="00033A15"/>
    <w:rsid w:val="00033EDD"/>
    <w:rsid w:val="00034362"/>
    <w:rsid w:val="000344E8"/>
    <w:rsid w:val="00034519"/>
    <w:rsid w:val="00034727"/>
    <w:rsid w:val="00034877"/>
    <w:rsid w:val="00034A50"/>
    <w:rsid w:val="00034CEA"/>
    <w:rsid w:val="00035378"/>
    <w:rsid w:val="00035AB4"/>
    <w:rsid w:val="0003637D"/>
    <w:rsid w:val="00036C54"/>
    <w:rsid w:val="000374B2"/>
    <w:rsid w:val="00037A5A"/>
    <w:rsid w:val="00037D8C"/>
    <w:rsid w:val="0004000F"/>
    <w:rsid w:val="00040327"/>
    <w:rsid w:val="000404C5"/>
    <w:rsid w:val="000408B5"/>
    <w:rsid w:val="00040AC0"/>
    <w:rsid w:val="00040CA0"/>
    <w:rsid w:val="0004172C"/>
    <w:rsid w:val="0004193E"/>
    <w:rsid w:val="000423F2"/>
    <w:rsid w:val="0004258E"/>
    <w:rsid w:val="00042AB5"/>
    <w:rsid w:val="000437CC"/>
    <w:rsid w:val="000437FD"/>
    <w:rsid w:val="000439FE"/>
    <w:rsid w:val="00043B1D"/>
    <w:rsid w:val="00043D85"/>
    <w:rsid w:val="00043F36"/>
    <w:rsid w:val="00044066"/>
    <w:rsid w:val="000449EB"/>
    <w:rsid w:val="00044A25"/>
    <w:rsid w:val="00044DE2"/>
    <w:rsid w:val="000452BE"/>
    <w:rsid w:val="000452FB"/>
    <w:rsid w:val="00045425"/>
    <w:rsid w:val="000463A5"/>
    <w:rsid w:val="000463D2"/>
    <w:rsid w:val="000476A5"/>
    <w:rsid w:val="00047786"/>
    <w:rsid w:val="00047C3F"/>
    <w:rsid w:val="00047F31"/>
    <w:rsid w:val="000503B4"/>
    <w:rsid w:val="00050411"/>
    <w:rsid w:val="00050B84"/>
    <w:rsid w:val="00051970"/>
    <w:rsid w:val="0005245A"/>
    <w:rsid w:val="00052C74"/>
    <w:rsid w:val="00052DFB"/>
    <w:rsid w:val="00052E37"/>
    <w:rsid w:val="00052E92"/>
    <w:rsid w:val="000530F9"/>
    <w:rsid w:val="000547C9"/>
    <w:rsid w:val="0005548E"/>
    <w:rsid w:val="00055CA5"/>
    <w:rsid w:val="00056896"/>
    <w:rsid w:val="00057A4B"/>
    <w:rsid w:val="00057AE2"/>
    <w:rsid w:val="00060779"/>
    <w:rsid w:val="00060F0D"/>
    <w:rsid w:val="00061789"/>
    <w:rsid w:val="00062020"/>
    <w:rsid w:val="00062183"/>
    <w:rsid w:val="0006369E"/>
    <w:rsid w:val="000638FA"/>
    <w:rsid w:val="00063B5C"/>
    <w:rsid w:val="00063D86"/>
    <w:rsid w:val="00063F11"/>
    <w:rsid w:val="00064E6A"/>
    <w:rsid w:val="00065176"/>
    <w:rsid w:val="00065A7D"/>
    <w:rsid w:val="00066084"/>
    <w:rsid w:val="00066941"/>
    <w:rsid w:val="00066CB2"/>
    <w:rsid w:val="00066CFF"/>
    <w:rsid w:val="0006731D"/>
    <w:rsid w:val="0006750D"/>
    <w:rsid w:val="00067C21"/>
    <w:rsid w:val="000703FB"/>
    <w:rsid w:val="00071669"/>
    <w:rsid w:val="00071BE4"/>
    <w:rsid w:val="00071ED0"/>
    <w:rsid w:val="00071ED7"/>
    <w:rsid w:val="00071F60"/>
    <w:rsid w:val="0007210D"/>
    <w:rsid w:val="000721C1"/>
    <w:rsid w:val="00072236"/>
    <w:rsid w:val="00072724"/>
    <w:rsid w:val="00072972"/>
    <w:rsid w:val="00072CB3"/>
    <w:rsid w:val="00072D74"/>
    <w:rsid w:val="0007310D"/>
    <w:rsid w:val="00074A2A"/>
    <w:rsid w:val="00075031"/>
    <w:rsid w:val="0007542D"/>
    <w:rsid w:val="000759D4"/>
    <w:rsid w:val="00076217"/>
    <w:rsid w:val="00076BEC"/>
    <w:rsid w:val="000800D8"/>
    <w:rsid w:val="00080186"/>
    <w:rsid w:val="000802D6"/>
    <w:rsid w:val="00081482"/>
    <w:rsid w:val="00081721"/>
    <w:rsid w:val="000818D1"/>
    <w:rsid w:val="00081956"/>
    <w:rsid w:val="00081D5F"/>
    <w:rsid w:val="00082161"/>
    <w:rsid w:val="0008231A"/>
    <w:rsid w:val="00082342"/>
    <w:rsid w:val="00082FCF"/>
    <w:rsid w:val="0008340B"/>
    <w:rsid w:val="00083534"/>
    <w:rsid w:val="00083EF6"/>
    <w:rsid w:val="0008472D"/>
    <w:rsid w:val="000849A1"/>
    <w:rsid w:val="00085E6B"/>
    <w:rsid w:val="00086068"/>
    <w:rsid w:val="000860FB"/>
    <w:rsid w:val="0008624C"/>
    <w:rsid w:val="000869AB"/>
    <w:rsid w:val="00086A80"/>
    <w:rsid w:val="00086CB0"/>
    <w:rsid w:val="00087719"/>
    <w:rsid w:val="00087E1B"/>
    <w:rsid w:val="00090099"/>
    <w:rsid w:val="0009029B"/>
    <w:rsid w:val="00090F90"/>
    <w:rsid w:val="000910CD"/>
    <w:rsid w:val="000913B3"/>
    <w:rsid w:val="00091457"/>
    <w:rsid w:val="0009161A"/>
    <w:rsid w:val="00091732"/>
    <w:rsid w:val="00091B75"/>
    <w:rsid w:val="00092F87"/>
    <w:rsid w:val="000936F4"/>
    <w:rsid w:val="000942EE"/>
    <w:rsid w:val="00094339"/>
    <w:rsid w:val="00094722"/>
    <w:rsid w:val="00094743"/>
    <w:rsid w:val="00094AE0"/>
    <w:rsid w:val="0009511B"/>
    <w:rsid w:val="000958B1"/>
    <w:rsid w:val="00095FD7"/>
    <w:rsid w:val="00096062"/>
    <w:rsid w:val="0009641B"/>
    <w:rsid w:val="00096474"/>
    <w:rsid w:val="000967FB"/>
    <w:rsid w:val="00096C96"/>
    <w:rsid w:val="00097746"/>
    <w:rsid w:val="00097B0F"/>
    <w:rsid w:val="00097B23"/>
    <w:rsid w:val="00097C20"/>
    <w:rsid w:val="00097C60"/>
    <w:rsid w:val="00097D50"/>
    <w:rsid w:val="00097FA8"/>
    <w:rsid w:val="000A0F96"/>
    <w:rsid w:val="000A1447"/>
    <w:rsid w:val="000A1962"/>
    <w:rsid w:val="000A1E22"/>
    <w:rsid w:val="000A1F90"/>
    <w:rsid w:val="000A2181"/>
    <w:rsid w:val="000A2404"/>
    <w:rsid w:val="000A27FC"/>
    <w:rsid w:val="000A29F7"/>
    <w:rsid w:val="000A2B15"/>
    <w:rsid w:val="000A2E24"/>
    <w:rsid w:val="000A3028"/>
    <w:rsid w:val="000A3969"/>
    <w:rsid w:val="000A4023"/>
    <w:rsid w:val="000A4DC7"/>
    <w:rsid w:val="000A5166"/>
    <w:rsid w:val="000A5543"/>
    <w:rsid w:val="000A70AB"/>
    <w:rsid w:val="000A7777"/>
    <w:rsid w:val="000A7837"/>
    <w:rsid w:val="000A78D3"/>
    <w:rsid w:val="000A7AAF"/>
    <w:rsid w:val="000A7BB6"/>
    <w:rsid w:val="000B045B"/>
    <w:rsid w:val="000B083D"/>
    <w:rsid w:val="000B0DB6"/>
    <w:rsid w:val="000B0E25"/>
    <w:rsid w:val="000B24F2"/>
    <w:rsid w:val="000B2A14"/>
    <w:rsid w:val="000B2AA3"/>
    <w:rsid w:val="000B2B19"/>
    <w:rsid w:val="000B2E93"/>
    <w:rsid w:val="000B2EBE"/>
    <w:rsid w:val="000B3253"/>
    <w:rsid w:val="000B3703"/>
    <w:rsid w:val="000B40F3"/>
    <w:rsid w:val="000B420F"/>
    <w:rsid w:val="000B464C"/>
    <w:rsid w:val="000B4860"/>
    <w:rsid w:val="000B4B85"/>
    <w:rsid w:val="000B5523"/>
    <w:rsid w:val="000B5A23"/>
    <w:rsid w:val="000B5C6C"/>
    <w:rsid w:val="000B7153"/>
    <w:rsid w:val="000B7228"/>
    <w:rsid w:val="000B741D"/>
    <w:rsid w:val="000B78BB"/>
    <w:rsid w:val="000B7953"/>
    <w:rsid w:val="000B7C3B"/>
    <w:rsid w:val="000B7F2B"/>
    <w:rsid w:val="000C0E93"/>
    <w:rsid w:val="000C10AA"/>
    <w:rsid w:val="000C13A0"/>
    <w:rsid w:val="000C1922"/>
    <w:rsid w:val="000C2CE8"/>
    <w:rsid w:val="000C2E98"/>
    <w:rsid w:val="000C2EDA"/>
    <w:rsid w:val="000C3031"/>
    <w:rsid w:val="000C37A9"/>
    <w:rsid w:val="000C3EC9"/>
    <w:rsid w:val="000C4B43"/>
    <w:rsid w:val="000C4D53"/>
    <w:rsid w:val="000C59C8"/>
    <w:rsid w:val="000C5CE2"/>
    <w:rsid w:val="000C699A"/>
    <w:rsid w:val="000C6F2F"/>
    <w:rsid w:val="000C7188"/>
    <w:rsid w:val="000C7329"/>
    <w:rsid w:val="000C7FBA"/>
    <w:rsid w:val="000D04BF"/>
    <w:rsid w:val="000D0CFE"/>
    <w:rsid w:val="000D1300"/>
    <w:rsid w:val="000D195C"/>
    <w:rsid w:val="000D1C19"/>
    <w:rsid w:val="000D2769"/>
    <w:rsid w:val="000D3617"/>
    <w:rsid w:val="000D3F84"/>
    <w:rsid w:val="000D4880"/>
    <w:rsid w:val="000D4B06"/>
    <w:rsid w:val="000D619B"/>
    <w:rsid w:val="000D6A02"/>
    <w:rsid w:val="000E12E1"/>
    <w:rsid w:val="000E177B"/>
    <w:rsid w:val="000E24AC"/>
    <w:rsid w:val="000E25D6"/>
    <w:rsid w:val="000E2B7D"/>
    <w:rsid w:val="000E2BDB"/>
    <w:rsid w:val="000E2CC2"/>
    <w:rsid w:val="000E3456"/>
    <w:rsid w:val="000E39A0"/>
    <w:rsid w:val="000E3D34"/>
    <w:rsid w:val="000E3DF7"/>
    <w:rsid w:val="000E43D8"/>
    <w:rsid w:val="000E4928"/>
    <w:rsid w:val="000E4CE5"/>
    <w:rsid w:val="000E541C"/>
    <w:rsid w:val="000E614F"/>
    <w:rsid w:val="000E6860"/>
    <w:rsid w:val="000F1276"/>
    <w:rsid w:val="000F189B"/>
    <w:rsid w:val="000F192C"/>
    <w:rsid w:val="000F2567"/>
    <w:rsid w:val="000F2C2E"/>
    <w:rsid w:val="000F2CBB"/>
    <w:rsid w:val="000F2E2D"/>
    <w:rsid w:val="000F331A"/>
    <w:rsid w:val="000F36AA"/>
    <w:rsid w:val="000F3A0A"/>
    <w:rsid w:val="000F3BBD"/>
    <w:rsid w:val="000F3E01"/>
    <w:rsid w:val="000F455B"/>
    <w:rsid w:val="000F4C09"/>
    <w:rsid w:val="000F5301"/>
    <w:rsid w:val="000F5B1B"/>
    <w:rsid w:val="000F6776"/>
    <w:rsid w:val="000F692F"/>
    <w:rsid w:val="000F6E27"/>
    <w:rsid w:val="000F730F"/>
    <w:rsid w:val="000F7346"/>
    <w:rsid w:val="000F74C8"/>
    <w:rsid w:val="000F7580"/>
    <w:rsid w:val="000F7FC9"/>
    <w:rsid w:val="00100463"/>
    <w:rsid w:val="001011B5"/>
    <w:rsid w:val="001013AD"/>
    <w:rsid w:val="001018FF"/>
    <w:rsid w:val="00101B1C"/>
    <w:rsid w:val="0010201E"/>
    <w:rsid w:val="00102C34"/>
    <w:rsid w:val="00102CB4"/>
    <w:rsid w:val="00103A3C"/>
    <w:rsid w:val="00103DB0"/>
    <w:rsid w:val="0010478A"/>
    <w:rsid w:val="00104C7E"/>
    <w:rsid w:val="0010529F"/>
    <w:rsid w:val="0010538A"/>
    <w:rsid w:val="00106EFF"/>
    <w:rsid w:val="00107B8B"/>
    <w:rsid w:val="00107C44"/>
    <w:rsid w:val="0011032F"/>
    <w:rsid w:val="001116C3"/>
    <w:rsid w:val="001117E9"/>
    <w:rsid w:val="00111B01"/>
    <w:rsid w:val="00111B89"/>
    <w:rsid w:val="00111C5A"/>
    <w:rsid w:val="00111D7B"/>
    <w:rsid w:val="00111EDC"/>
    <w:rsid w:val="00112219"/>
    <w:rsid w:val="00112283"/>
    <w:rsid w:val="00112C80"/>
    <w:rsid w:val="001133C5"/>
    <w:rsid w:val="00113A11"/>
    <w:rsid w:val="00113FC0"/>
    <w:rsid w:val="001142B9"/>
    <w:rsid w:val="00114401"/>
    <w:rsid w:val="0011619F"/>
    <w:rsid w:val="001164B5"/>
    <w:rsid w:val="0011659D"/>
    <w:rsid w:val="00116AAE"/>
    <w:rsid w:val="00117137"/>
    <w:rsid w:val="00117BEF"/>
    <w:rsid w:val="00117C85"/>
    <w:rsid w:val="001203B1"/>
    <w:rsid w:val="00120CF6"/>
    <w:rsid w:val="00120D44"/>
    <w:rsid w:val="00120FC5"/>
    <w:rsid w:val="0012180F"/>
    <w:rsid w:val="0012192C"/>
    <w:rsid w:val="00121BE7"/>
    <w:rsid w:val="001220B8"/>
    <w:rsid w:val="00122571"/>
    <w:rsid w:val="00122585"/>
    <w:rsid w:val="00122B9A"/>
    <w:rsid w:val="00122C7D"/>
    <w:rsid w:val="00122EF4"/>
    <w:rsid w:val="00123204"/>
    <w:rsid w:val="00123F97"/>
    <w:rsid w:val="001241EE"/>
    <w:rsid w:val="00126093"/>
    <w:rsid w:val="001269A3"/>
    <w:rsid w:val="001275CB"/>
    <w:rsid w:val="00127BA1"/>
    <w:rsid w:val="00127D69"/>
    <w:rsid w:val="00127E7E"/>
    <w:rsid w:val="00130813"/>
    <w:rsid w:val="00130E64"/>
    <w:rsid w:val="0013104F"/>
    <w:rsid w:val="00131C15"/>
    <w:rsid w:val="00132432"/>
    <w:rsid w:val="00132904"/>
    <w:rsid w:val="00133108"/>
    <w:rsid w:val="001339DC"/>
    <w:rsid w:val="00133F5B"/>
    <w:rsid w:val="001344FB"/>
    <w:rsid w:val="00134B03"/>
    <w:rsid w:val="00134E65"/>
    <w:rsid w:val="001352A9"/>
    <w:rsid w:val="00135452"/>
    <w:rsid w:val="00135468"/>
    <w:rsid w:val="00135B9F"/>
    <w:rsid w:val="00135D6C"/>
    <w:rsid w:val="0013686A"/>
    <w:rsid w:val="0013751D"/>
    <w:rsid w:val="0013772D"/>
    <w:rsid w:val="001378B6"/>
    <w:rsid w:val="0014068C"/>
    <w:rsid w:val="00140991"/>
    <w:rsid w:val="00140BCE"/>
    <w:rsid w:val="00140EFF"/>
    <w:rsid w:val="00141DE7"/>
    <w:rsid w:val="001423A0"/>
    <w:rsid w:val="00142704"/>
    <w:rsid w:val="0014270E"/>
    <w:rsid w:val="00142A7B"/>
    <w:rsid w:val="0014373E"/>
    <w:rsid w:val="00143A2F"/>
    <w:rsid w:val="00144040"/>
    <w:rsid w:val="0014454B"/>
    <w:rsid w:val="00144690"/>
    <w:rsid w:val="0014526E"/>
    <w:rsid w:val="001456B8"/>
    <w:rsid w:val="00145A00"/>
    <w:rsid w:val="00145A81"/>
    <w:rsid w:val="00146130"/>
    <w:rsid w:val="001463B4"/>
    <w:rsid w:val="001466E4"/>
    <w:rsid w:val="00146864"/>
    <w:rsid w:val="00146B63"/>
    <w:rsid w:val="001472FF"/>
    <w:rsid w:val="00147455"/>
    <w:rsid w:val="0014764E"/>
    <w:rsid w:val="00150245"/>
    <w:rsid w:val="0015144D"/>
    <w:rsid w:val="001519D1"/>
    <w:rsid w:val="00151FCD"/>
    <w:rsid w:val="00152142"/>
    <w:rsid w:val="0015219F"/>
    <w:rsid w:val="0015257C"/>
    <w:rsid w:val="001536C3"/>
    <w:rsid w:val="00153EDC"/>
    <w:rsid w:val="00154016"/>
    <w:rsid w:val="0015407C"/>
    <w:rsid w:val="001545EB"/>
    <w:rsid w:val="00154CE3"/>
    <w:rsid w:val="00154F9F"/>
    <w:rsid w:val="00154FA8"/>
    <w:rsid w:val="001554C7"/>
    <w:rsid w:val="00156779"/>
    <w:rsid w:val="00156CBC"/>
    <w:rsid w:val="00156FC8"/>
    <w:rsid w:val="001570AA"/>
    <w:rsid w:val="00157C26"/>
    <w:rsid w:val="001601CE"/>
    <w:rsid w:val="00160A2C"/>
    <w:rsid w:val="00160BE4"/>
    <w:rsid w:val="00160C20"/>
    <w:rsid w:val="00160CA5"/>
    <w:rsid w:val="00160E63"/>
    <w:rsid w:val="00161397"/>
    <w:rsid w:val="0016141E"/>
    <w:rsid w:val="0016201B"/>
    <w:rsid w:val="00162708"/>
    <w:rsid w:val="00162A3C"/>
    <w:rsid w:val="00163077"/>
    <w:rsid w:val="00163AAF"/>
    <w:rsid w:val="001641A3"/>
    <w:rsid w:val="00164200"/>
    <w:rsid w:val="00164A58"/>
    <w:rsid w:val="00164D56"/>
    <w:rsid w:val="00165109"/>
    <w:rsid w:val="001652F7"/>
    <w:rsid w:val="001657CA"/>
    <w:rsid w:val="00165EE2"/>
    <w:rsid w:val="001661A9"/>
    <w:rsid w:val="001661B6"/>
    <w:rsid w:val="00166E48"/>
    <w:rsid w:val="001671E5"/>
    <w:rsid w:val="00167461"/>
    <w:rsid w:val="00167541"/>
    <w:rsid w:val="00167DF1"/>
    <w:rsid w:val="00167F01"/>
    <w:rsid w:val="0017041A"/>
    <w:rsid w:val="00170911"/>
    <w:rsid w:val="00171B84"/>
    <w:rsid w:val="001726C8"/>
    <w:rsid w:val="001728AE"/>
    <w:rsid w:val="00172F35"/>
    <w:rsid w:val="00173678"/>
    <w:rsid w:val="0017383B"/>
    <w:rsid w:val="00174585"/>
    <w:rsid w:val="001747CA"/>
    <w:rsid w:val="00174892"/>
    <w:rsid w:val="00175199"/>
    <w:rsid w:val="00175EF0"/>
    <w:rsid w:val="00176594"/>
    <w:rsid w:val="00176623"/>
    <w:rsid w:val="0017665D"/>
    <w:rsid w:val="0017676A"/>
    <w:rsid w:val="0017699C"/>
    <w:rsid w:val="00176DFF"/>
    <w:rsid w:val="00176FD3"/>
    <w:rsid w:val="00177377"/>
    <w:rsid w:val="00177583"/>
    <w:rsid w:val="001775E9"/>
    <w:rsid w:val="00177930"/>
    <w:rsid w:val="001805F4"/>
    <w:rsid w:val="00180741"/>
    <w:rsid w:val="00180C7F"/>
    <w:rsid w:val="0018180E"/>
    <w:rsid w:val="00181962"/>
    <w:rsid w:val="00181A50"/>
    <w:rsid w:val="00181B1E"/>
    <w:rsid w:val="001820D4"/>
    <w:rsid w:val="00182113"/>
    <w:rsid w:val="00182E03"/>
    <w:rsid w:val="00183024"/>
    <w:rsid w:val="00183ED3"/>
    <w:rsid w:val="001841A3"/>
    <w:rsid w:val="00184D24"/>
    <w:rsid w:val="001853C7"/>
    <w:rsid w:val="0018569E"/>
    <w:rsid w:val="00185AD8"/>
    <w:rsid w:val="00185BBC"/>
    <w:rsid w:val="00186C02"/>
    <w:rsid w:val="00186E05"/>
    <w:rsid w:val="0018739B"/>
    <w:rsid w:val="00190995"/>
    <w:rsid w:val="00190F81"/>
    <w:rsid w:val="001915FC"/>
    <w:rsid w:val="0019181F"/>
    <w:rsid w:val="00191B73"/>
    <w:rsid w:val="00192D70"/>
    <w:rsid w:val="0019310D"/>
    <w:rsid w:val="001933B9"/>
    <w:rsid w:val="00193905"/>
    <w:rsid w:val="0019473C"/>
    <w:rsid w:val="00195024"/>
    <w:rsid w:val="00195513"/>
    <w:rsid w:val="00195611"/>
    <w:rsid w:val="00195D0F"/>
    <w:rsid w:val="00195DC5"/>
    <w:rsid w:val="00195FFF"/>
    <w:rsid w:val="001962E2"/>
    <w:rsid w:val="001964C9"/>
    <w:rsid w:val="00196BC4"/>
    <w:rsid w:val="00197872"/>
    <w:rsid w:val="00197C21"/>
    <w:rsid w:val="001A03CB"/>
    <w:rsid w:val="001A073E"/>
    <w:rsid w:val="001A1525"/>
    <w:rsid w:val="001A1B57"/>
    <w:rsid w:val="001A1F1D"/>
    <w:rsid w:val="001A237D"/>
    <w:rsid w:val="001A23AF"/>
    <w:rsid w:val="001A23BA"/>
    <w:rsid w:val="001A2740"/>
    <w:rsid w:val="001A2E7A"/>
    <w:rsid w:val="001A36D0"/>
    <w:rsid w:val="001A3836"/>
    <w:rsid w:val="001A3952"/>
    <w:rsid w:val="001A54B2"/>
    <w:rsid w:val="001A54E4"/>
    <w:rsid w:val="001A5967"/>
    <w:rsid w:val="001A6369"/>
    <w:rsid w:val="001A6553"/>
    <w:rsid w:val="001A673A"/>
    <w:rsid w:val="001A6B22"/>
    <w:rsid w:val="001A6C6F"/>
    <w:rsid w:val="001A6E7D"/>
    <w:rsid w:val="001A7989"/>
    <w:rsid w:val="001B09FD"/>
    <w:rsid w:val="001B0CF1"/>
    <w:rsid w:val="001B0F46"/>
    <w:rsid w:val="001B1040"/>
    <w:rsid w:val="001B1E0A"/>
    <w:rsid w:val="001B23E9"/>
    <w:rsid w:val="001B2A9C"/>
    <w:rsid w:val="001B2AA2"/>
    <w:rsid w:val="001B3D56"/>
    <w:rsid w:val="001B3D60"/>
    <w:rsid w:val="001B3EB2"/>
    <w:rsid w:val="001B4060"/>
    <w:rsid w:val="001B423C"/>
    <w:rsid w:val="001B459C"/>
    <w:rsid w:val="001B5125"/>
    <w:rsid w:val="001B548F"/>
    <w:rsid w:val="001B567C"/>
    <w:rsid w:val="001B6284"/>
    <w:rsid w:val="001B62D1"/>
    <w:rsid w:val="001B6F21"/>
    <w:rsid w:val="001C09AD"/>
    <w:rsid w:val="001C0F7C"/>
    <w:rsid w:val="001C1600"/>
    <w:rsid w:val="001C1865"/>
    <w:rsid w:val="001C22FD"/>
    <w:rsid w:val="001C285A"/>
    <w:rsid w:val="001C36B9"/>
    <w:rsid w:val="001C37FB"/>
    <w:rsid w:val="001C398E"/>
    <w:rsid w:val="001C39CD"/>
    <w:rsid w:val="001C41F1"/>
    <w:rsid w:val="001C41F2"/>
    <w:rsid w:val="001C51A5"/>
    <w:rsid w:val="001C5298"/>
    <w:rsid w:val="001C59EA"/>
    <w:rsid w:val="001C5A27"/>
    <w:rsid w:val="001C5DC7"/>
    <w:rsid w:val="001C6084"/>
    <w:rsid w:val="001C63C5"/>
    <w:rsid w:val="001C782B"/>
    <w:rsid w:val="001C7BFD"/>
    <w:rsid w:val="001C7F50"/>
    <w:rsid w:val="001D0134"/>
    <w:rsid w:val="001D0289"/>
    <w:rsid w:val="001D091A"/>
    <w:rsid w:val="001D0C1A"/>
    <w:rsid w:val="001D0D24"/>
    <w:rsid w:val="001D0F6F"/>
    <w:rsid w:val="001D12F2"/>
    <w:rsid w:val="001D1526"/>
    <w:rsid w:val="001D1575"/>
    <w:rsid w:val="001D15AA"/>
    <w:rsid w:val="001D19F4"/>
    <w:rsid w:val="001D231C"/>
    <w:rsid w:val="001D3027"/>
    <w:rsid w:val="001D4210"/>
    <w:rsid w:val="001D4592"/>
    <w:rsid w:val="001D48AF"/>
    <w:rsid w:val="001D4A05"/>
    <w:rsid w:val="001D4EF8"/>
    <w:rsid w:val="001D5C91"/>
    <w:rsid w:val="001D5CA4"/>
    <w:rsid w:val="001D76D3"/>
    <w:rsid w:val="001D799C"/>
    <w:rsid w:val="001E019E"/>
    <w:rsid w:val="001E04C9"/>
    <w:rsid w:val="001E05CB"/>
    <w:rsid w:val="001E0ED2"/>
    <w:rsid w:val="001E17DB"/>
    <w:rsid w:val="001E2270"/>
    <w:rsid w:val="001E274E"/>
    <w:rsid w:val="001E29B2"/>
    <w:rsid w:val="001E3BBC"/>
    <w:rsid w:val="001E3CE8"/>
    <w:rsid w:val="001E434C"/>
    <w:rsid w:val="001E4531"/>
    <w:rsid w:val="001E4E7E"/>
    <w:rsid w:val="001E5DB0"/>
    <w:rsid w:val="001E5EDC"/>
    <w:rsid w:val="001E629F"/>
    <w:rsid w:val="001E65C7"/>
    <w:rsid w:val="001E684B"/>
    <w:rsid w:val="001E6B6F"/>
    <w:rsid w:val="001E723E"/>
    <w:rsid w:val="001E73F0"/>
    <w:rsid w:val="001F1B51"/>
    <w:rsid w:val="001F213C"/>
    <w:rsid w:val="001F2889"/>
    <w:rsid w:val="001F2E58"/>
    <w:rsid w:val="001F3202"/>
    <w:rsid w:val="001F446F"/>
    <w:rsid w:val="001F522B"/>
    <w:rsid w:val="001F58A2"/>
    <w:rsid w:val="001F5968"/>
    <w:rsid w:val="001F63B8"/>
    <w:rsid w:val="001F653C"/>
    <w:rsid w:val="001F69A4"/>
    <w:rsid w:val="001F6F5B"/>
    <w:rsid w:val="001F70AE"/>
    <w:rsid w:val="001F7C1F"/>
    <w:rsid w:val="002005C9"/>
    <w:rsid w:val="002006D2"/>
    <w:rsid w:val="00201314"/>
    <w:rsid w:val="0020185E"/>
    <w:rsid w:val="00201E1F"/>
    <w:rsid w:val="00202090"/>
    <w:rsid w:val="0020222C"/>
    <w:rsid w:val="00202248"/>
    <w:rsid w:val="00202EAF"/>
    <w:rsid w:val="002034B4"/>
    <w:rsid w:val="00203714"/>
    <w:rsid w:val="002039C9"/>
    <w:rsid w:val="00203C71"/>
    <w:rsid w:val="00204198"/>
    <w:rsid w:val="0020425E"/>
    <w:rsid w:val="00204618"/>
    <w:rsid w:val="00205110"/>
    <w:rsid w:val="00205384"/>
    <w:rsid w:val="002055FF"/>
    <w:rsid w:val="002063B1"/>
    <w:rsid w:val="00207119"/>
    <w:rsid w:val="002108F5"/>
    <w:rsid w:val="00210FDB"/>
    <w:rsid w:val="00211611"/>
    <w:rsid w:val="002118C6"/>
    <w:rsid w:val="002120EA"/>
    <w:rsid w:val="0021272D"/>
    <w:rsid w:val="002127F6"/>
    <w:rsid w:val="00212B34"/>
    <w:rsid w:val="00213B4C"/>
    <w:rsid w:val="00214262"/>
    <w:rsid w:val="00214869"/>
    <w:rsid w:val="002155B5"/>
    <w:rsid w:val="00215931"/>
    <w:rsid w:val="00215BF7"/>
    <w:rsid w:val="0021649B"/>
    <w:rsid w:val="0022003B"/>
    <w:rsid w:val="002201B1"/>
    <w:rsid w:val="00220946"/>
    <w:rsid w:val="00221295"/>
    <w:rsid w:val="00221E78"/>
    <w:rsid w:val="00222137"/>
    <w:rsid w:val="002224EC"/>
    <w:rsid w:val="002225FD"/>
    <w:rsid w:val="002227C1"/>
    <w:rsid w:val="00223B87"/>
    <w:rsid w:val="002241F2"/>
    <w:rsid w:val="00224A54"/>
    <w:rsid w:val="00224A6C"/>
    <w:rsid w:val="00225B45"/>
    <w:rsid w:val="0022600A"/>
    <w:rsid w:val="002261C3"/>
    <w:rsid w:val="00226463"/>
    <w:rsid w:val="002265C6"/>
    <w:rsid w:val="00226B10"/>
    <w:rsid w:val="002271E8"/>
    <w:rsid w:val="0022787A"/>
    <w:rsid w:val="00227F7D"/>
    <w:rsid w:val="0023050A"/>
    <w:rsid w:val="0023075D"/>
    <w:rsid w:val="00230C6D"/>
    <w:rsid w:val="00230E8B"/>
    <w:rsid w:val="002313CE"/>
    <w:rsid w:val="002315D2"/>
    <w:rsid w:val="00231690"/>
    <w:rsid w:val="00232C90"/>
    <w:rsid w:val="00232F52"/>
    <w:rsid w:val="00233053"/>
    <w:rsid w:val="002336A6"/>
    <w:rsid w:val="00233E58"/>
    <w:rsid w:val="002343D7"/>
    <w:rsid w:val="00234558"/>
    <w:rsid w:val="00234BF9"/>
    <w:rsid w:val="00234CC4"/>
    <w:rsid w:val="00234E40"/>
    <w:rsid w:val="002358B2"/>
    <w:rsid w:val="00235A37"/>
    <w:rsid w:val="00235AC8"/>
    <w:rsid w:val="00235E94"/>
    <w:rsid w:val="00236B1C"/>
    <w:rsid w:val="00236E8A"/>
    <w:rsid w:val="002370BF"/>
    <w:rsid w:val="00237260"/>
    <w:rsid w:val="002372C9"/>
    <w:rsid w:val="00237450"/>
    <w:rsid w:val="00237C4C"/>
    <w:rsid w:val="00240363"/>
    <w:rsid w:val="002406FF"/>
    <w:rsid w:val="0024107C"/>
    <w:rsid w:val="002416F9"/>
    <w:rsid w:val="00242624"/>
    <w:rsid w:val="00242723"/>
    <w:rsid w:val="00242DFC"/>
    <w:rsid w:val="00242F6E"/>
    <w:rsid w:val="00243685"/>
    <w:rsid w:val="00243E36"/>
    <w:rsid w:val="00244127"/>
    <w:rsid w:val="00244398"/>
    <w:rsid w:val="0024560A"/>
    <w:rsid w:val="00245A08"/>
    <w:rsid w:val="00245AC3"/>
    <w:rsid w:val="00245DF2"/>
    <w:rsid w:val="002473A2"/>
    <w:rsid w:val="00247B20"/>
    <w:rsid w:val="00247ECF"/>
    <w:rsid w:val="0025017D"/>
    <w:rsid w:val="002509F7"/>
    <w:rsid w:val="00250C62"/>
    <w:rsid w:val="00251147"/>
    <w:rsid w:val="0025189C"/>
    <w:rsid w:val="002527DA"/>
    <w:rsid w:val="00253B93"/>
    <w:rsid w:val="00253CCB"/>
    <w:rsid w:val="002544C9"/>
    <w:rsid w:val="00254EF6"/>
    <w:rsid w:val="00255741"/>
    <w:rsid w:val="00255898"/>
    <w:rsid w:val="002560CF"/>
    <w:rsid w:val="002561D0"/>
    <w:rsid w:val="00257837"/>
    <w:rsid w:val="00257EFD"/>
    <w:rsid w:val="00260093"/>
    <w:rsid w:val="00260341"/>
    <w:rsid w:val="00260602"/>
    <w:rsid w:val="0026134C"/>
    <w:rsid w:val="002614F5"/>
    <w:rsid w:val="0026283B"/>
    <w:rsid w:val="0026305A"/>
    <w:rsid w:val="002638D6"/>
    <w:rsid w:val="00263A95"/>
    <w:rsid w:val="00263CB6"/>
    <w:rsid w:val="002645CD"/>
    <w:rsid w:val="0026543E"/>
    <w:rsid w:val="00265B86"/>
    <w:rsid w:val="002668E1"/>
    <w:rsid w:val="00266B5E"/>
    <w:rsid w:val="00266C5A"/>
    <w:rsid w:val="002671B4"/>
    <w:rsid w:val="00267540"/>
    <w:rsid w:val="00267F7B"/>
    <w:rsid w:val="00270274"/>
    <w:rsid w:val="002704CA"/>
    <w:rsid w:val="002706AD"/>
    <w:rsid w:val="002707FE"/>
    <w:rsid w:val="00270EB4"/>
    <w:rsid w:val="0027169F"/>
    <w:rsid w:val="0027172A"/>
    <w:rsid w:val="00271BFB"/>
    <w:rsid w:val="002730F2"/>
    <w:rsid w:val="0027328C"/>
    <w:rsid w:val="00273694"/>
    <w:rsid w:val="0027417F"/>
    <w:rsid w:val="0027491B"/>
    <w:rsid w:val="00274FFC"/>
    <w:rsid w:val="00275638"/>
    <w:rsid w:val="00275CDB"/>
    <w:rsid w:val="00275D56"/>
    <w:rsid w:val="002764C0"/>
    <w:rsid w:val="0027658D"/>
    <w:rsid w:val="00276B89"/>
    <w:rsid w:val="002777D3"/>
    <w:rsid w:val="002778DC"/>
    <w:rsid w:val="00277F01"/>
    <w:rsid w:val="0028017F"/>
    <w:rsid w:val="00280417"/>
    <w:rsid w:val="00280523"/>
    <w:rsid w:val="002807E1"/>
    <w:rsid w:val="00281376"/>
    <w:rsid w:val="00281715"/>
    <w:rsid w:val="00281966"/>
    <w:rsid w:val="002819FC"/>
    <w:rsid w:val="00281BB6"/>
    <w:rsid w:val="00281FBB"/>
    <w:rsid w:val="002821AE"/>
    <w:rsid w:val="00282688"/>
    <w:rsid w:val="002828EF"/>
    <w:rsid w:val="00282AC8"/>
    <w:rsid w:val="00282D38"/>
    <w:rsid w:val="00283687"/>
    <w:rsid w:val="0028374C"/>
    <w:rsid w:val="00283F9B"/>
    <w:rsid w:val="0028484F"/>
    <w:rsid w:val="00284A17"/>
    <w:rsid w:val="00284C5A"/>
    <w:rsid w:val="00284D14"/>
    <w:rsid w:val="00284D58"/>
    <w:rsid w:val="00285740"/>
    <w:rsid w:val="002859B4"/>
    <w:rsid w:val="00285C29"/>
    <w:rsid w:val="00286300"/>
    <w:rsid w:val="00286307"/>
    <w:rsid w:val="0028703B"/>
    <w:rsid w:val="002879B9"/>
    <w:rsid w:val="00287DC6"/>
    <w:rsid w:val="00287E04"/>
    <w:rsid w:val="00290444"/>
    <w:rsid w:val="0029087F"/>
    <w:rsid w:val="00290AF9"/>
    <w:rsid w:val="00291DDD"/>
    <w:rsid w:val="00292A4F"/>
    <w:rsid w:val="00293286"/>
    <w:rsid w:val="002933D3"/>
    <w:rsid w:val="00293F31"/>
    <w:rsid w:val="002940B5"/>
    <w:rsid w:val="00294554"/>
    <w:rsid w:val="00294B57"/>
    <w:rsid w:val="00295958"/>
    <w:rsid w:val="00295B7B"/>
    <w:rsid w:val="00295D2A"/>
    <w:rsid w:val="00295F20"/>
    <w:rsid w:val="00296485"/>
    <w:rsid w:val="00297012"/>
    <w:rsid w:val="00297154"/>
    <w:rsid w:val="0029758D"/>
    <w:rsid w:val="002A15BD"/>
    <w:rsid w:val="002A167D"/>
    <w:rsid w:val="002A1B3F"/>
    <w:rsid w:val="002A1BC4"/>
    <w:rsid w:val="002A20B8"/>
    <w:rsid w:val="002A223D"/>
    <w:rsid w:val="002A285F"/>
    <w:rsid w:val="002A356E"/>
    <w:rsid w:val="002A385D"/>
    <w:rsid w:val="002A3927"/>
    <w:rsid w:val="002A3E27"/>
    <w:rsid w:val="002A416E"/>
    <w:rsid w:val="002A440A"/>
    <w:rsid w:val="002A44E7"/>
    <w:rsid w:val="002A4F0E"/>
    <w:rsid w:val="002A4F4D"/>
    <w:rsid w:val="002A5497"/>
    <w:rsid w:val="002A56F1"/>
    <w:rsid w:val="002A5A0F"/>
    <w:rsid w:val="002A6E59"/>
    <w:rsid w:val="002A6F03"/>
    <w:rsid w:val="002B0095"/>
    <w:rsid w:val="002B0307"/>
    <w:rsid w:val="002B1294"/>
    <w:rsid w:val="002B312C"/>
    <w:rsid w:val="002B3394"/>
    <w:rsid w:val="002B34CF"/>
    <w:rsid w:val="002B360C"/>
    <w:rsid w:val="002B3699"/>
    <w:rsid w:val="002B38AE"/>
    <w:rsid w:val="002B3950"/>
    <w:rsid w:val="002B3BD0"/>
    <w:rsid w:val="002B4543"/>
    <w:rsid w:val="002B456F"/>
    <w:rsid w:val="002B53AD"/>
    <w:rsid w:val="002B53E3"/>
    <w:rsid w:val="002B5AE4"/>
    <w:rsid w:val="002B5E4A"/>
    <w:rsid w:val="002B6001"/>
    <w:rsid w:val="002B638F"/>
    <w:rsid w:val="002B68EC"/>
    <w:rsid w:val="002B6B9C"/>
    <w:rsid w:val="002B6E44"/>
    <w:rsid w:val="002B6E9A"/>
    <w:rsid w:val="002B767A"/>
    <w:rsid w:val="002C01B5"/>
    <w:rsid w:val="002C02CE"/>
    <w:rsid w:val="002C033F"/>
    <w:rsid w:val="002C06B8"/>
    <w:rsid w:val="002C0C60"/>
    <w:rsid w:val="002C2398"/>
    <w:rsid w:val="002C27FA"/>
    <w:rsid w:val="002C297F"/>
    <w:rsid w:val="002C2AD3"/>
    <w:rsid w:val="002C2B66"/>
    <w:rsid w:val="002C2F16"/>
    <w:rsid w:val="002C31B0"/>
    <w:rsid w:val="002C3A9B"/>
    <w:rsid w:val="002C3E80"/>
    <w:rsid w:val="002C3FFF"/>
    <w:rsid w:val="002C4DCC"/>
    <w:rsid w:val="002C4EC2"/>
    <w:rsid w:val="002C508D"/>
    <w:rsid w:val="002C6EB2"/>
    <w:rsid w:val="002C7321"/>
    <w:rsid w:val="002C7D05"/>
    <w:rsid w:val="002D09A3"/>
    <w:rsid w:val="002D1173"/>
    <w:rsid w:val="002D1A8F"/>
    <w:rsid w:val="002D1B2D"/>
    <w:rsid w:val="002D1C2C"/>
    <w:rsid w:val="002D22EC"/>
    <w:rsid w:val="002D2311"/>
    <w:rsid w:val="002D2D94"/>
    <w:rsid w:val="002D305B"/>
    <w:rsid w:val="002D3625"/>
    <w:rsid w:val="002D36E6"/>
    <w:rsid w:val="002D3A47"/>
    <w:rsid w:val="002D3EAE"/>
    <w:rsid w:val="002D4025"/>
    <w:rsid w:val="002D424D"/>
    <w:rsid w:val="002D4A6C"/>
    <w:rsid w:val="002D5142"/>
    <w:rsid w:val="002D5239"/>
    <w:rsid w:val="002D5B0A"/>
    <w:rsid w:val="002D67C2"/>
    <w:rsid w:val="002D754D"/>
    <w:rsid w:val="002D79EB"/>
    <w:rsid w:val="002D7ADE"/>
    <w:rsid w:val="002E0B99"/>
    <w:rsid w:val="002E161A"/>
    <w:rsid w:val="002E205E"/>
    <w:rsid w:val="002E2286"/>
    <w:rsid w:val="002E3533"/>
    <w:rsid w:val="002E3652"/>
    <w:rsid w:val="002E3A88"/>
    <w:rsid w:val="002E3C3E"/>
    <w:rsid w:val="002E402F"/>
    <w:rsid w:val="002E465D"/>
    <w:rsid w:val="002E51B0"/>
    <w:rsid w:val="002E52C8"/>
    <w:rsid w:val="002E5D2E"/>
    <w:rsid w:val="002E6603"/>
    <w:rsid w:val="002E6C04"/>
    <w:rsid w:val="002E72DF"/>
    <w:rsid w:val="002E7C77"/>
    <w:rsid w:val="002F0C74"/>
    <w:rsid w:val="002F0FDB"/>
    <w:rsid w:val="002F1457"/>
    <w:rsid w:val="002F14B6"/>
    <w:rsid w:val="002F2137"/>
    <w:rsid w:val="002F21E6"/>
    <w:rsid w:val="002F2382"/>
    <w:rsid w:val="002F2CCF"/>
    <w:rsid w:val="002F3A6D"/>
    <w:rsid w:val="002F3A90"/>
    <w:rsid w:val="002F44DF"/>
    <w:rsid w:val="002F4AD6"/>
    <w:rsid w:val="002F4B11"/>
    <w:rsid w:val="002F61F8"/>
    <w:rsid w:val="002F6C54"/>
    <w:rsid w:val="002F6CAF"/>
    <w:rsid w:val="002F76DE"/>
    <w:rsid w:val="002F7EB9"/>
    <w:rsid w:val="00300699"/>
    <w:rsid w:val="00300802"/>
    <w:rsid w:val="00300EC0"/>
    <w:rsid w:val="0030106C"/>
    <w:rsid w:val="00301914"/>
    <w:rsid w:val="003024BD"/>
    <w:rsid w:val="00302CEF"/>
    <w:rsid w:val="0030310A"/>
    <w:rsid w:val="00303508"/>
    <w:rsid w:val="00303621"/>
    <w:rsid w:val="003042EE"/>
    <w:rsid w:val="0030468B"/>
    <w:rsid w:val="00304AB4"/>
    <w:rsid w:val="00305314"/>
    <w:rsid w:val="003056DB"/>
    <w:rsid w:val="00305AC3"/>
    <w:rsid w:val="00305AF1"/>
    <w:rsid w:val="00305BB8"/>
    <w:rsid w:val="00306361"/>
    <w:rsid w:val="00306793"/>
    <w:rsid w:val="00307024"/>
    <w:rsid w:val="003070A8"/>
    <w:rsid w:val="00307612"/>
    <w:rsid w:val="00307A4D"/>
    <w:rsid w:val="00307F9D"/>
    <w:rsid w:val="0031063A"/>
    <w:rsid w:val="00310A8C"/>
    <w:rsid w:val="00310C14"/>
    <w:rsid w:val="00310D42"/>
    <w:rsid w:val="00310D9B"/>
    <w:rsid w:val="00310D9C"/>
    <w:rsid w:val="00310DB1"/>
    <w:rsid w:val="0031123D"/>
    <w:rsid w:val="0031130C"/>
    <w:rsid w:val="00311B23"/>
    <w:rsid w:val="003120B7"/>
    <w:rsid w:val="0031259F"/>
    <w:rsid w:val="003127AC"/>
    <w:rsid w:val="00312E8A"/>
    <w:rsid w:val="003134A1"/>
    <w:rsid w:val="00313D5F"/>
    <w:rsid w:val="00314118"/>
    <w:rsid w:val="0031415E"/>
    <w:rsid w:val="00315CC3"/>
    <w:rsid w:val="00316244"/>
    <w:rsid w:val="00317123"/>
    <w:rsid w:val="0031743D"/>
    <w:rsid w:val="0031765A"/>
    <w:rsid w:val="0031792D"/>
    <w:rsid w:val="00320603"/>
    <w:rsid w:val="00320800"/>
    <w:rsid w:val="00320B21"/>
    <w:rsid w:val="003214B3"/>
    <w:rsid w:val="00321615"/>
    <w:rsid w:val="003226B1"/>
    <w:rsid w:val="003228C6"/>
    <w:rsid w:val="003238A8"/>
    <w:rsid w:val="00323F3F"/>
    <w:rsid w:val="003241B8"/>
    <w:rsid w:val="00324BD0"/>
    <w:rsid w:val="00324DBD"/>
    <w:rsid w:val="00324E0D"/>
    <w:rsid w:val="00325066"/>
    <w:rsid w:val="003250A5"/>
    <w:rsid w:val="0032571D"/>
    <w:rsid w:val="003260DC"/>
    <w:rsid w:val="00326955"/>
    <w:rsid w:val="0032699C"/>
    <w:rsid w:val="003270AA"/>
    <w:rsid w:val="00330C39"/>
    <w:rsid w:val="0033128E"/>
    <w:rsid w:val="00331972"/>
    <w:rsid w:val="0033287A"/>
    <w:rsid w:val="0033380B"/>
    <w:rsid w:val="00333D13"/>
    <w:rsid w:val="00334042"/>
    <w:rsid w:val="0033445F"/>
    <w:rsid w:val="003344BD"/>
    <w:rsid w:val="00334763"/>
    <w:rsid w:val="00334C70"/>
    <w:rsid w:val="00335D8A"/>
    <w:rsid w:val="0033637B"/>
    <w:rsid w:val="0033708A"/>
    <w:rsid w:val="00337C03"/>
    <w:rsid w:val="00340526"/>
    <w:rsid w:val="0034097A"/>
    <w:rsid w:val="00341111"/>
    <w:rsid w:val="00341303"/>
    <w:rsid w:val="00341582"/>
    <w:rsid w:val="003416A3"/>
    <w:rsid w:val="00341B9C"/>
    <w:rsid w:val="00341D95"/>
    <w:rsid w:val="00341E70"/>
    <w:rsid w:val="0034262F"/>
    <w:rsid w:val="003433C4"/>
    <w:rsid w:val="00343570"/>
    <w:rsid w:val="00343645"/>
    <w:rsid w:val="00343676"/>
    <w:rsid w:val="00344064"/>
    <w:rsid w:val="0034545A"/>
    <w:rsid w:val="00345769"/>
    <w:rsid w:val="00345F03"/>
    <w:rsid w:val="00346257"/>
    <w:rsid w:val="00346306"/>
    <w:rsid w:val="00346822"/>
    <w:rsid w:val="00347968"/>
    <w:rsid w:val="00347AC2"/>
    <w:rsid w:val="00347B14"/>
    <w:rsid w:val="00347C58"/>
    <w:rsid w:val="00347E75"/>
    <w:rsid w:val="00347F26"/>
    <w:rsid w:val="00350BA2"/>
    <w:rsid w:val="00350D80"/>
    <w:rsid w:val="003510B3"/>
    <w:rsid w:val="0035162F"/>
    <w:rsid w:val="003521E6"/>
    <w:rsid w:val="0035287B"/>
    <w:rsid w:val="00352988"/>
    <w:rsid w:val="003531C9"/>
    <w:rsid w:val="0035320C"/>
    <w:rsid w:val="0035336A"/>
    <w:rsid w:val="003537AD"/>
    <w:rsid w:val="00353B04"/>
    <w:rsid w:val="00353CFF"/>
    <w:rsid w:val="00353FA9"/>
    <w:rsid w:val="00354318"/>
    <w:rsid w:val="0035476E"/>
    <w:rsid w:val="00354C05"/>
    <w:rsid w:val="00354C29"/>
    <w:rsid w:val="00354C6A"/>
    <w:rsid w:val="0035525D"/>
    <w:rsid w:val="00355AEA"/>
    <w:rsid w:val="00355EDA"/>
    <w:rsid w:val="003565C8"/>
    <w:rsid w:val="003565F0"/>
    <w:rsid w:val="003568B2"/>
    <w:rsid w:val="00356C5E"/>
    <w:rsid w:val="0035714D"/>
    <w:rsid w:val="0035768B"/>
    <w:rsid w:val="00357CB9"/>
    <w:rsid w:val="00357EC2"/>
    <w:rsid w:val="00360039"/>
    <w:rsid w:val="0036064B"/>
    <w:rsid w:val="00360727"/>
    <w:rsid w:val="00361902"/>
    <w:rsid w:val="003630D4"/>
    <w:rsid w:val="00363171"/>
    <w:rsid w:val="003633D8"/>
    <w:rsid w:val="00363A50"/>
    <w:rsid w:val="003646D2"/>
    <w:rsid w:val="00364A4A"/>
    <w:rsid w:val="00364DAA"/>
    <w:rsid w:val="003654AC"/>
    <w:rsid w:val="00365BE4"/>
    <w:rsid w:val="0036655B"/>
    <w:rsid w:val="00366790"/>
    <w:rsid w:val="00366A35"/>
    <w:rsid w:val="00366B63"/>
    <w:rsid w:val="00366F1F"/>
    <w:rsid w:val="0036717C"/>
    <w:rsid w:val="00367B60"/>
    <w:rsid w:val="00367E73"/>
    <w:rsid w:val="0037003B"/>
    <w:rsid w:val="0037073B"/>
    <w:rsid w:val="00370A35"/>
    <w:rsid w:val="00370AA5"/>
    <w:rsid w:val="00371A83"/>
    <w:rsid w:val="00371D59"/>
    <w:rsid w:val="00371DCE"/>
    <w:rsid w:val="0037203F"/>
    <w:rsid w:val="00372E57"/>
    <w:rsid w:val="00373183"/>
    <w:rsid w:val="00373825"/>
    <w:rsid w:val="0037385C"/>
    <w:rsid w:val="00373952"/>
    <w:rsid w:val="00373B0E"/>
    <w:rsid w:val="00374669"/>
    <w:rsid w:val="003749F6"/>
    <w:rsid w:val="00374D05"/>
    <w:rsid w:val="00375545"/>
    <w:rsid w:val="003757D8"/>
    <w:rsid w:val="0037588C"/>
    <w:rsid w:val="00375C0A"/>
    <w:rsid w:val="00375F3C"/>
    <w:rsid w:val="003760BE"/>
    <w:rsid w:val="00377950"/>
    <w:rsid w:val="00380173"/>
    <w:rsid w:val="003804D6"/>
    <w:rsid w:val="0038073F"/>
    <w:rsid w:val="0038079A"/>
    <w:rsid w:val="003810AC"/>
    <w:rsid w:val="003814BD"/>
    <w:rsid w:val="003815DC"/>
    <w:rsid w:val="0038184F"/>
    <w:rsid w:val="0038198D"/>
    <w:rsid w:val="00381E97"/>
    <w:rsid w:val="00381F3A"/>
    <w:rsid w:val="0038204D"/>
    <w:rsid w:val="00382823"/>
    <w:rsid w:val="00383881"/>
    <w:rsid w:val="00383BCE"/>
    <w:rsid w:val="00384FE0"/>
    <w:rsid w:val="00385255"/>
    <w:rsid w:val="0038536A"/>
    <w:rsid w:val="00385B9F"/>
    <w:rsid w:val="0038665B"/>
    <w:rsid w:val="00386A5D"/>
    <w:rsid w:val="00386CA4"/>
    <w:rsid w:val="00386E4F"/>
    <w:rsid w:val="00387D06"/>
    <w:rsid w:val="00387FD9"/>
    <w:rsid w:val="00390057"/>
    <w:rsid w:val="00390180"/>
    <w:rsid w:val="003904DE"/>
    <w:rsid w:val="00390C69"/>
    <w:rsid w:val="003910B0"/>
    <w:rsid w:val="00391298"/>
    <w:rsid w:val="003913A2"/>
    <w:rsid w:val="003915AF"/>
    <w:rsid w:val="003919AB"/>
    <w:rsid w:val="00391AE1"/>
    <w:rsid w:val="00392BEA"/>
    <w:rsid w:val="00392FFF"/>
    <w:rsid w:val="0039314D"/>
    <w:rsid w:val="003932A3"/>
    <w:rsid w:val="003939C5"/>
    <w:rsid w:val="00393A5B"/>
    <w:rsid w:val="00393ABA"/>
    <w:rsid w:val="0039469B"/>
    <w:rsid w:val="00394B1B"/>
    <w:rsid w:val="00394EA9"/>
    <w:rsid w:val="00395407"/>
    <w:rsid w:val="0039587D"/>
    <w:rsid w:val="00396BF8"/>
    <w:rsid w:val="00397121"/>
    <w:rsid w:val="00397730"/>
    <w:rsid w:val="003A0DFF"/>
    <w:rsid w:val="003A117F"/>
    <w:rsid w:val="003A1A89"/>
    <w:rsid w:val="003A1DB8"/>
    <w:rsid w:val="003A2083"/>
    <w:rsid w:val="003A2724"/>
    <w:rsid w:val="003A2B21"/>
    <w:rsid w:val="003A2F96"/>
    <w:rsid w:val="003A330D"/>
    <w:rsid w:val="003A3388"/>
    <w:rsid w:val="003A37EE"/>
    <w:rsid w:val="003A3B04"/>
    <w:rsid w:val="003A3BFE"/>
    <w:rsid w:val="003A3DAA"/>
    <w:rsid w:val="003A403E"/>
    <w:rsid w:val="003A4214"/>
    <w:rsid w:val="003A4262"/>
    <w:rsid w:val="003A4686"/>
    <w:rsid w:val="003A4932"/>
    <w:rsid w:val="003A4968"/>
    <w:rsid w:val="003A4BF4"/>
    <w:rsid w:val="003A51EB"/>
    <w:rsid w:val="003A58FD"/>
    <w:rsid w:val="003A5F05"/>
    <w:rsid w:val="003A6E3E"/>
    <w:rsid w:val="003A6F9D"/>
    <w:rsid w:val="003A6FAE"/>
    <w:rsid w:val="003A7133"/>
    <w:rsid w:val="003A7A9D"/>
    <w:rsid w:val="003B03D5"/>
    <w:rsid w:val="003B0C1A"/>
    <w:rsid w:val="003B0CAC"/>
    <w:rsid w:val="003B0DF1"/>
    <w:rsid w:val="003B165E"/>
    <w:rsid w:val="003B1BE2"/>
    <w:rsid w:val="003B1E29"/>
    <w:rsid w:val="003B1EA4"/>
    <w:rsid w:val="003B246C"/>
    <w:rsid w:val="003B2AB9"/>
    <w:rsid w:val="003B2B37"/>
    <w:rsid w:val="003B2FBA"/>
    <w:rsid w:val="003B3F57"/>
    <w:rsid w:val="003B406A"/>
    <w:rsid w:val="003B40DE"/>
    <w:rsid w:val="003B50CC"/>
    <w:rsid w:val="003B5432"/>
    <w:rsid w:val="003B6A41"/>
    <w:rsid w:val="003B6C2F"/>
    <w:rsid w:val="003B766E"/>
    <w:rsid w:val="003B7A73"/>
    <w:rsid w:val="003B7B4A"/>
    <w:rsid w:val="003C0053"/>
    <w:rsid w:val="003C0213"/>
    <w:rsid w:val="003C069B"/>
    <w:rsid w:val="003C07B0"/>
    <w:rsid w:val="003C0857"/>
    <w:rsid w:val="003C0BFA"/>
    <w:rsid w:val="003C0CC9"/>
    <w:rsid w:val="003C14EB"/>
    <w:rsid w:val="003C1C03"/>
    <w:rsid w:val="003C1D73"/>
    <w:rsid w:val="003C1FCE"/>
    <w:rsid w:val="003C2333"/>
    <w:rsid w:val="003C3769"/>
    <w:rsid w:val="003C3B93"/>
    <w:rsid w:val="003C468D"/>
    <w:rsid w:val="003C4D6E"/>
    <w:rsid w:val="003C53B2"/>
    <w:rsid w:val="003C548A"/>
    <w:rsid w:val="003C6296"/>
    <w:rsid w:val="003C6AAF"/>
    <w:rsid w:val="003C703E"/>
    <w:rsid w:val="003C742F"/>
    <w:rsid w:val="003C75FF"/>
    <w:rsid w:val="003D083C"/>
    <w:rsid w:val="003D0C5D"/>
    <w:rsid w:val="003D0EEC"/>
    <w:rsid w:val="003D1BA1"/>
    <w:rsid w:val="003D1C52"/>
    <w:rsid w:val="003D2A31"/>
    <w:rsid w:val="003D2BD2"/>
    <w:rsid w:val="003D34FC"/>
    <w:rsid w:val="003D3656"/>
    <w:rsid w:val="003D54E3"/>
    <w:rsid w:val="003D5916"/>
    <w:rsid w:val="003D66CA"/>
    <w:rsid w:val="003E024E"/>
    <w:rsid w:val="003E05E5"/>
    <w:rsid w:val="003E06D5"/>
    <w:rsid w:val="003E141D"/>
    <w:rsid w:val="003E24AB"/>
    <w:rsid w:val="003E24B8"/>
    <w:rsid w:val="003E2B06"/>
    <w:rsid w:val="003E2D37"/>
    <w:rsid w:val="003E350D"/>
    <w:rsid w:val="003E375C"/>
    <w:rsid w:val="003E3D33"/>
    <w:rsid w:val="003E3D89"/>
    <w:rsid w:val="003E41A8"/>
    <w:rsid w:val="003E42D6"/>
    <w:rsid w:val="003E4517"/>
    <w:rsid w:val="003E45F2"/>
    <w:rsid w:val="003E48EC"/>
    <w:rsid w:val="003E5395"/>
    <w:rsid w:val="003E59E8"/>
    <w:rsid w:val="003E6F58"/>
    <w:rsid w:val="003E74B1"/>
    <w:rsid w:val="003E7579"/>
    <w:rsid w:val="003E7868"/>
    <w:rsid w:val="003E7872"/>
    <w:rsid w:val="003F026A"/>
    <w:rsid w:val="003F0617"/>
    <w:rsid w:val="003F0672"/>
    <w:rsid w:val="003F0B7E"/>
    <w:rsid w:val="003F0D5D"/>
    <w:rsid w:val="003F0F61"/>
    <w:rsid w:val="003F12DB"/>
    <w:rsid w:val="003F134E"/>
    <w:rsid w:val="003F167A"/>
    <w:rsid w:val="003F1B81"/>
    <w:rsid w:val="003F1D05"/>
    <w:rsid w:val="003F22A5"/>
    <w:rsid w:val="003F2597"/>
    <w:rsid w:val="003F3CA7"/>
    <w:rsid w:val="003F3FDA"/>
    <w:rsid w:val="003F3FEC"/>
    <w:rsid w:val="003F447F"/>
    <w:rsid w:val="003F55D9"/>
    <w:rsid w:val="003F58F8"/>
    <w:rsid w:val="003F6484"/>
    <w:rsid w:val="003F6547"/>
    <w:rsid w:val="003F69EE"/>
    <w:rsid w:val="003F6DCC"/>
    <w:rsid w:val="003F792E"/>
    <w:rsid w:val="00400353"/>
    <w:rsid w:val="0040055E"/>
    <w:rsid w:val="00401DCE"/>
    <w:rsid w:val="00401E0E"/>
    <w:rsid w:val="00401FE0"/>
    <w:rsid w:val="004022B2"/>
    <w:rsid w:val="00402A66"/>
    <w:rsid w:val="00402E00"/>
    <w:rsid w:val="00402F9D"/>
    <w:rsid w:val="00403DA0"/>
    <w:rsid w:val="00403E77"/>
    <w:rsid w:val="00404160"/>
    <w:rsid w:val="0040457D"/>
    <w:rsid w:val="004045A4"/>
    <w:rsid w:val="00404974"/>
    <w:rsid w:val="00404BAA"/>
    <w:rsid w:val="00404E9A"/>
    <w:rsid w:val="00404F9F"/>
    <w:rsid w:val="0040528C"/>
    <w:rsid w:val="00405701"/>
    <w:rsid w:val="00405BC2"/>
    <w:rsid w:val="00405FD7"/>
    <w:rsid w:val="00406D2E"/>
    <w:rsid w:val="004074F6"/>
    <w:rsid w:val="0041015D"/>
    <w:rsid w:val="00410471"/>
    <w:rsid w:val="004104E7"/>
    <w:rsid w:val="004107FB"/>
    <w:rsid w:val="00410923"/>
    <w:rsid w:val="00410B27"/>
    <w:rsid w:val="00410B96"/>
    <w:rsid w:val="004116B5"/>
    <w:rsid w:val="0041172A"/>
    <w:rsid w:val="0041195B"/>
    <w:rsid w:val="004119A5"/>
    <w:rsid w:val="00411DDC"/>
    <w:rsid w:val="00411EAE"/>
    <w:rsid w:val="00412499"/>
    <w:rsid w:val="0041260E"/>
    <w:rsid w:val="0041273E"/>
    <w:rsid w:val="00412B05"/>
    <w:rsid w:val="00412E93"/>
    <w:rsid w:val="00412EB2"/>
    <w:rsid w:val="00412FAB"/>
    <w:rsid w:val="004132AE"/>
    <w:rsid w:val="0041334D"/>
    <w:rsid w:val="004134FA"/>
    <w:rsid w:val="004134FE"/>
    <w:rsid w:val="00413507"/>
    <w:rsid w:val="00414437"/>
    <w:rsid w:val="00414648"/>
    <w:rsid w:val="004146A4"/>
    <w:rsid w:val="00414E47"/>
    <w:rsid w:val="00415037"/>
    <w:rsid w:val="00415109"/>
    <w:rsid w:val="004154C3"/>
    <w:rsid w:val="00415AB5"/>
    <w:rsid w:val="00416025"/>
    <w:rsid w:val="00416207"/>
    <w:rsid w:val="004163E4"/>
    <w:rsid w:val="00416BD4"/>
    <w:rsid w:val="00416CA0"/>
    <w:rsid w:val="00420C2F"/>
    <w:rsid w:val="0042119A"/>
    <w:rsid w:val="004214AF"/>
    <w:rsid w:val="004216EC"/>
    <w:rsid w:val="004218FB"/>
    <w:rsid w:val="00421AC1"/>
    <w:rsid w:val="0042214D"/>
    <w:rsid w:val="004224B2"/>
    <w:rsid w:val="00422820"/>
    <w:rsid w:val="00422BB7"/>
    <w:rsid w:val="00422EE7"/>
    <w:rsid w:val="00422F15"/>
    <w:rsid w:val="00422F1F"/>
    <w:rsid w:val="00422FCD"/>
    <w:rsid w:val="00423813"/>
    <w:rsid w:val="00423AD9"/>
    <w:rsid w:val="00423C21"/>
    <w:rsid w:val="00423FBE"/>
    <w:rsid w:val="0042449A"/>
    <w:rsid w:val="004244C4"/>
    <w:rsid w:val="00424A11"/>
    <w:rsid w:val="00424A91"/>
    <w:rsid w:val="00424C42"/>
    <w:rsid w:val="004267DE"/>
    <w:rsid w:val="004303F0"/>
    <w:rsid w:val="0043138A"/>
    <w:rsid w:val="00432172"/>
    <w:rsid w:val="00432478"/>
    <w:rsid w:val="00432E09"/>
    <w:rsid w:val="00433187"/>
    <w:rsid w:val="004332B3"/>
    <w:rsid w:val="0043365E"/>
    <w:rsid w:val="00433C7F"/>
    <w:rsid w:val="00434555"/>
    <w:rsid w:val="0043468F"/>
    <w:rsid w:val="00434B0B"/>
    <w:rsid w:val="00434BAD"/>
    <w:rsid w:val="0043548F"/>
    <w:rsid w:val="00435586"/>
    <w:rsid w:val="004356D4"/>
    <w:rsid w:val="004359BC"/>
    <w:rsid w:val="00435F40"/>
    <w:rsid w:val="004362DC"/>
    <w:rsid w:val="004364F4"/>
    <w:rsid w:val="0043653F"/>
    <w:rsid w:val="00436B26"/>
    <w:rsid w:val="00436CA7"/>
    <w:rsid w:val="00436DC0"/>
    <w:rsid w:val="004373C2"/>
    <w:rsid w:val="0044037E"/>
    <w:rsid w:val="00440AB2"/>
    <w:rsid w:val="00440AED"/>
    <w:rsid w:val="00441B57"/>
    <w:rsid w:val="00441B9A"/>
    <w:rsid w:val="00441BFD"/>
    <w:rsid w:val="00441FF4"/>
    <w:rsid w:val="0044264C"/>
    <w:rsid w:val="0044291A"/>
    <w:rsid w:val="00442D2E"/>
    <w:rsid w:val="00442D69"/>
    <w:rsid w:val="00442F60"/>
    <w:rsid w:val="004431C8"/>
    <w:rsid w:val="004437FE"/>
    <w:rsid w:val="00443A91"/>
    <w:rsid w:val="00443EFD"/>
    <w:rsid w:val="00443F6B"/>
    <w:rsid w:val="00444A24"/>
    <w:rsid w:val="004454FA"/>
    <w:rsid w:val="004455C4"/>
    <w:rsid w:val="00445862"/>
    <w:rsid w:val="00445D06"/>
    <w:rsid w:val="00445D61"/>
    <w:rsid w:val="00446881"/>
    <w:rsid w:val="00447922"/>
    <w:rsid w:val="00447FAB"/>
    <w:rsid w:val="00450194"/>
    <w:rsid w:val="0045099E"/>
    <w:rsid w:val="00450B2A"/>
    <w:rsid w:val="00450B60"/>
    <w:rsid w:val="00450D64"/>
    <w:rsid w:val="0045110A"/>
    <w:rsid w:val="00451B82"/>
    <w:rsid w:val="00452049"/>
    <w:rsid w:val="004522F5"/>
    <w:rsid w:val="004523E1"/>
    <w:rsid w:val="00453272"/>
    <w:rsid w:val="00453374"/>
    <w:rsid w:val="004535D2"/>
    <w:rsid w:val="00453A4E"/>
    <w:rsid w:val="00454921"/>
    <w:rsid w:val="00454A6C"/>
    <w:rsid w:val="00454C20"/>
    <w:rsid w:val="004554D5"/>
    <w:rsid w:val="00455CAA"/>
    <w:rsid w:val="00455F55"/>
    <w:rsid w:val="00456197"/>
    <w:rsid w:val="0045661C"/>
    <w:rsid w:val="00457167"/>
    <w:rsid w:val="00457326"/>
    <w:rsid w:val="004573B6"/>
    <w:rsid w:val="00457C08"/>
    <w:rsid w:val="00460629"/>
    <w:rsid w:val="00460AAA"/>
    <w:rsid w:val="00460D07"/>
    <w:rsid w:val="00460D5F"/>
    <w:rsid w:val="00460E19"/>
    <w:rsid w:val="0046133D"/>
    <w:rsid w:val="0046146D"/>
    <w:rsid w:val="00461957"/>
    <w:rsid w:val="004632DD"/>
    <w:rsid w:val="004634A2"/>
    <w:rsid w:val="00463B7A"/>
    <w:rsid w:val="004642E5"/>
    <w:rsid w:val="004647E9"/>
    <w:rsid w:val="00465760"/>
    <w:rsid w:val="00465883"/>
    <w:rsid w:val="00466026"/>
    <w:rsid w:val="0046615F"/>
    <w:rsid w:val="0046625C"/>
    <w:rsid w:val="0046671F"/>
    <w:rsid w:val="00466781"/>
    <w:rsid w:val="00466851"/>
    <w:rsid w:val="004669DD"/>
    <w:rsid w:val="00466D59"/>
    <w:rsid w:val="004674F3"/>
    <w:rsid w:val="00467765"/>
    <w:rsid w:val="004678D0"/>
    <w:rsid w:val="00467BE2"/>
    <w:rsid w:val="00467FD6"/>
    <w:rsid w:val="00470665"/>
    <w:rsid w:val="00470C21"/>
    <w:rsid w:val="00472663"/>
    <w:rsid w:val="00472746"/>
    <w:rsid w:val="00472F86"/>
    <w:rsid w:val="00473859"/>
    <w:rsid w:val="00473B84"/>
    <w:rsid w:val="00473FC3"/>
    <w:rsid w:val="0047475C"/>
    <w:rsid w:val="004750F1"/>
    <w:rsid w:val="00475418"/>
    <w:rsid w:val="00475866"/>
    <w:rsid w:val="00475969"/>
    <w:rsid w:val="0047636B"/>
    <w:rsid w:val="00476C9E"/>
    <w:rsid w:val="00477138"/>
    <w:rsid w:val="0047713D"/>
    <w:rsid w:val="0047717D"/>
    <w:rsid w:val="00477713"/>
    <w:rsid w:val="00477B08"/>
    <w:rsid w:val="00477E49"/>
    <w:rsid w:val="0048001D"/>
    <w:rsid w:val="00480481"/>
    <w:rsid w:val="00481477"/>
    <w:rsid w:val="00481E03"/>
    <w:rsid w:val="0048263E"/>
    <w:rsid w:val="004826C2"/>
    <w:rsid w:val="00482F9B"/>
    <w:rsid w:val="004833B1"/>
    <w:rsid w:val="00483B8F"/>
    <w:rsid w:val="00483EDB"/>
    <w:rsid w:val="00483F23"/>
    <w:rsid w:val="00484F01"/>
    <w:rsid w:val="00485071"/>
    <w:rsid w:val="00485203"/>
    <w:rsid w:val="00485669"/>
    <w:rsid w:val="00485B7C"/>
    <w:rsid w:val="004865BB"/>
    <w:rsid w:val="00486A25"/>
    <w:rsid w:val="00486F95"/>
    <w:rsid w:val="00491063"/>
    <w:rsid w:val="00491218"/>
    <w:rsid w:val="00491526"/>
    <w:rsid w:val="00491639"/>
    <w:rsid w:val="00491E5F"/>
    <w:rsid w:val="00492CC9"/>
    <w:rsid w:val="004933B7"/>
    <w:rsid w:val="004938F2"/>
    <w:rsid w:val="00493CC2"/>
    <w:rsid w:val="0049570A"/>
    <w:rsid w:val="00495BBC"/>
    <w:rsid w:val="00495BE1"/>
    <w:rsid w:val="00496457"/>
    <w:rsid w:val="00496750"/>
    <w:rsid w:val="00496BD4"/>
    <w:rsid w:val="00496D0B"/>
    <w:rsid w:val="00496F77"/>
    <w:rsid w:val="0049713A"/>
    <w:rsid w:val="0049714B"/>
    <w:rsid w:val="004975CE"/>
    <w:rsid w:val="00497D66"/>
    <w:rsid w:val="004A00DF"/>
    <w:rsid w:val="004A069A"/>
    <w:rsid w:val="004A07CD"/>
    <w:rsid w:val="004A0AFE"/>
    <w:rsid w:val="004A0B45"/>
    <w:rsid w:val="004A2B9E"/>
    <w:rsid w:val="004A3907"/>
    <w:rsid w:val="004A3FBC"/>
    <w:rsid w:val="004A4096"/>
    <w:rsid w:val="004A42A0"/>
    <w:rsid w:val="004A4A6B"/>
    <w:rsid w:val="004A644B"/>
    <w:rsid w:val="004A6565"/>
    <w:rsid w:val="004A73DE"/>
    <w:rsid w:val="004A775D"/>
    <w:rsid w:val="004A7AAD"/>
    <w:rsid w:val="004A7D11"/>
    <w:rsid w:val="004B0379"/>
    <w:rsid w:val="004B0CFB"/>
    <w:rsid w:val="004B0D37"/>
    <w:rsid w:val="004B1B6F"/>
    <w:rsid w:val="004B1D54"/>
    <w:rsid w:val="004B1F4B"/>
    <w:rsid w:val="004B320D"/>
    <w:rsid w:val="004B3F6C"/>
    <w:rsid w:val="004B4611"/>
    <w:rsid w:val="004B5175"/>
    <w:rsid w:val="004B51E6"/>
    <w:rsid w:val="004B59BB"/>
    <w:rsid w:val="004B5A56"/>
    <w:rsid w:val="004B5A95"/>
    <w:rsid w:val="004B6234"/>
    <w:rsid w:val="004B710F"/>
    <w:rsid w:val="004B723B"/>
    <w:rsid w:val="004B7407"/>
    <w:rsid w:val="004C04E9"/>
    <w:rsid w:val="004C08F0"/>
    <w:rsid w:val="004C1659"/>
    <w:rsid w:val="004C2381"/>
    <w:rsid w:val="004C2C19"/>
    <w:rsid w:val="004C4185"/>
    <w:rsid w:val="004C4485"/>
    <w:rsid w:val="004C454F"/>
    <w:rsid w:val="004C4817"/>
    <w:rsid w:val="004C4FD8"/>
    <w:rsid w:val="004C50C5"/>
    <w:rsid w:val="004C5C78"/>
    <w:rsid w:val="004C69FB"/>
    <w:rsid w:val="004C71A4"/>
    <w:rsid w:val="004C71C0"/>
    <w:rsid w:val="004C740F"/>
    <w:rsid w:val="004C7F16"/>
    <w:rsid w:val="004D0BB9"/>
    <w:rsid w:val="004D2747"/>
    <w:rsid w:val="004D2B1A"/>
    <w:rsid w:val="004D2BE7"/>
    <w:rsid w:val="004D30A6"/>
    <w:rsid w:val="004D417D"/>
    <w:rsid w:val="004D4D1E"/>
    <w:rsid w:val="004D4EF5"/>
    <w:rsid w:val="004D5345"/>
    <w:rsid w:val="004D572B"/>
    <w:rsid w:val="004D5933"/>
    <w:rsid w:val="004D5C72"/>
    <w:rsid w:val="004D6080"/>
    <w:rsid w:val="004D6C5E"/>
    <w:rsid w:val="004D7145"/>
    <w:rsid w:val="004D7374"/>
    <w:rsid w:val="004D76E8"/>
    <w:rsid w:val="004D781C"/>
    <w:rsid w:val="004E0266"/>
    <w:rsid w:val="004E02E2"/>
    <w:rsid w:val="004E038E"/>
    <w:rsid w:val="004E03B5"/>
    <w:rsid w:val="004E0557"/>
    <w:rsid w:val="004E06FE"/>
    <w:rsid w:val="004E0A5D"/>
    <w:rsid w:val="004E0DCF"/>
    <w:rsid w:val="004E0F77"/>
    <w:rsid w:val="004E1141"/>
    <w:rsid w:val="004E11DB"/>
    <w:rsid w:val="004E14FA"/>
    <w:rsid w:val="004E1566"/>
    <w:rsid w:val="004E18E1"/>
    <w:rsid w:val="004E1F5B"/>
    <w:rsid w:val="004E24D6"/>
    <w:rsid w:val="004E25F2"/>
    <w:rsid w:val="004E2D1A"/>
    <w:rsid w:val="004E2E20"/>
    <w:rsid w:val="004E2ECF"/>
    <w:rsid w:val="004E30A0"/>
    <w:rsid w:val="004E33F1"/>
    <w:rsid w:val="004E3833"/>
    <w:rsid w:val="004E4527"/>
    <w:rsid w:val="004E481E"/>
    <w:rsid w:val="004E581F"/>
    <w:rsid w:val="004E6910"/>
    <w:rsid w:val="004E6AAE"/>
    <w:rsid w:val="004E78E9"/>
    <w:rsid w:val="004F08AC"/>
    <w:rsid w:val="004F0D51"/>
    <w:rsid w:val="004F0F96"/>
    <w:rsid w:val="004F1360"/>
    <w:rsid w:val="004F2082"/>
    <w:rsid w:val="004F20E0"/>
    <w:rsid w:val="004F37E4"/>
    <w:rsid w:val="004F3F2A"/>
    <w:rsid w:val="004F4099"/>
    <w:rsid w:val="004F40AB"/>
    <w:rsid w:val="004F423C"/>
    <w:rsid w:val="004F4547"/>
    <w:rsid w:val="004F5839"/>
    <w:rsid w:val="004F5BD7"/>
    <w:rsid w:val="004F62A9"/>
    <w:rsid w:val="004F6723"/>
    <w:rsid w:val="004F6B75"/>
    <w:rsid w:val="004F7EED"/>
    <w:rsid w:val="00500371"/>
    <w:rsid w:val="00500475"/>
    <w:rsid w:val="00501ACA"/>
    <w:rsid w:val="00501C14"/>
    <w:rsid w:val="00501C7A"/>
    <w:rsid w:val="00501F19"/>
    <w:rsid w:val="005020BF"/>
    <w:rsid w:val="00502174"/>
    <w:rsid w:val="005023F4"/>
    <w:rsid w:val="0050269E"/>
    <w:rsid w:val="005028AA"/>
    <w:rsid w:val="00503032"/>
    <w:rsid w:val="00503EAF"/>
    <w:rsid w:val="00503F7D"/>
    <w:rsid w:val="00504389"/>
    <w:rsid w:val="005043EB"/>
    <w:rsid w:val="0050477F"/>
    <w:rsid w:val="00506868"/>
    <w:rsid w:val="00507475"/>
    <w:rsid w:val="00507587"/>
    <w:rsid w:val="00507AD0"/>
    <w:rsid w:val="005101A3"/>
    <w:rsid w:val="0051039B"/>
    <w:rsid w:val="00510816"/>
    <w:rsid w:val="005111DD"/>
    <w:rsid w:val="00511E30"/>
    <w:rsid w:val="00512827"/>
    <w:rsid w:val="00512888"/>
    <w:rsid w:val="00512E78"/>
    <w:rsid w:val="005136E6"/>
    <w:rsid w:val="00513D10"/>
    <w:rsid w:val="00513DE4"/>
    <w:rsid w:val="00513F19"/>
    <w:rsid w:val="005140F6"/>
    <w:rsid w:val="00514AF0"/>
    <w:rsid w:val="00515B0F"/>
    <w:rsid w:val="0051650A"/>
    <w:rsid w:val="0051661B"/>
    <w:rsid w:val="00516E16"/>
    <w:rsid w:val="00516E1F"/>
    <w:rsid w:val="0051713B"/>
    <w:rsid w:val="00517834"/>
    <w:rsid w:val="00517A68"/>
    <w:rsid w:val="00517AA1"/>
    <w:rsid w:val="00517B21"/>
    <w:rsid w:val="00517BD6"/>
    <w:rsid w:val="005203D6"/>
    <w:rsid w:val="00521776"/>
    <w:rsid w:val="00522177"/>
    <w:rsid w:val="00522C27"/>
    <w:rsid w:val="00523AF7"/>
    <w:rsid w:val="00524264"/>
    <w:rsid w:val="00524577"/>
    <w:rsid w:val="00524598"/>
    <w:rsid w:val="005246A7"/>
    <w:rsid w:val="00524EDA"/>
    <w:rsid w:val="00524F7E"/>
    <w:rsid w:val="00525DC3"/>
    <w:rsid w:val="005269BE"/>
    <w:rsid w:val="005272CD"/>
    <w:rsid w:val="005279AD"/>
    <w:rsid w:val="00527D5F"/>
    <w:rsid w:val="0053047F"/>
    <w:rsid w:val="005306B4"/>
    <w:rsid w:val="00530A6F"/>
    <w:rsid w:val="00530F1F"/>
    <w:rsid w:val="0053101B"/>
    <w:rsid w:val="00531D94"/>
    <w:rsid w:val="00531E75"/>
    <w:rsid w:val="00531F69"/>
    <w:rsid w:val="0053224D"/>
    <w:rsid w:val="00532B10"/>
    <w:rsid w:val="00532CA6"/>
    <w:rsid w:val="00532FEE"/>
    <w:rsid w:val="005336E3"/>
    <w:rsid w:val="005340D2"/>
    <w:rsid w:val="0053467F"/>
    <w:rsid w:val="00534D3B"/>
    <w:rsid w:val="00535128"/>
    <w:rsid w:val="0053669E"/>
    <w:rsid w:val="00536951"/>
    <w:rsid w:val="00536A40"/>
    <w:rsid w:val="00536C93"/>
    <w:rsid w:val="00536F01"/>
    <w:rsid w:val="0053752A"/>
    <w:rsid w:val="0053790A"/>
    <w:rsid w:val="00537C8F"/>
    <w:rsid w:val="005409E8"/>
    <w:rsid w:val="005428DB"/>
    <w:rsid w:val="00542B3A"/>
    <w:rsid w:val="00542D59"/>
    <w:rsid w:val="00542D90"/>
    <w:rsid w:val="00542FE2"/>
    <w:rsid w:val="0054394A"/>
    <w:rsid w:val="00543B54"/>
    <w:rsid w:val="0054489C"/>
    <w:rsid w:val="00544F5F"/>
    <w:rsid w:val="005453AD"/>
    <w:rsid w:val="00545F95"/>
    <w:rsid w:val="00546040"/>
    <w:rsid w:val="00546121"/>
    <w:rsid w:val="00546131"/>
    <w:rsid w:val="0054657B"/>
    <w:rsid w:val="00547C44"/>
    <w:rsid w:val="0055043C"/>
    <w:rsid w:val="0055110A"/>
    <w:rsid w:val="005517D9"/>
    <w:rsid w:val="0055184E"/>
    <w:rsid w:val="00551C34"/>
    <w:rsid w:val="00551D63"/>
    <w:rsid w:val="00553531"/>
    <w:rsid w:val="00553547"/>
    <w:rsid w:val="00553DAD"/>
    <w:rsid w:val="00553EA6"/>
    <w:rsid w:val="00554380"/>
    <w:rsid w:val="005543D6"/>
    <w:rsid w:val="00554549"/>
    <w:rsid w:val="00554FC7"/>
    <w:rsid w:val="00555228"/>
    <w:rsid w:val="00555329"/>
    <w:rsid w:val="00555C63"/>
    <w:rsid w:val="00555F5D"/>
    <w:rsid w:val="00556B0E"/>
    <w:rsid w:val="00556FB2"/>
    <w:rsid w:val="0055791D"/>
    <w:rsid w:val="0056101E"/>
    <w:rsid w:val="00561693"/>
    <w:rsid w:val="005620BC"/>
    <w:rsid w:val="00562143"/>
    <w:rsid w:val="005622C2"/>
    <w:rsid w:val="00562707"/>
    <w:rsid w:val="00562AC1"/>
    <w:rsid w:val="00563257"/>
    <w:rsid w:val="00563275"/>
    <w:rsid w:val="0056340F"/>
    <w:rsid w:val="00563531"/>
    <w:rsid w:val="005637C0"/>
    <w:rsid w:val="00563B15"/>
    <w:rsid w:val="00563F49"/>
    <w:rsid w:val="00563F70"/>
    <w:rsid w:val="00564206"/>
    <w:rsid w:val="00564304"/>
    <w:rsid w:val="005648FD"/>
    <w:rsid w:val="00564ED8"/>
    <w:rsid w:val="00565238"/>
    <w:rsid w:val="005654A1"/>
    <w:rsid w:val="00565F1E"/>
    <w:rsid w:val="00566E51"/>
    <w:rsid w:val="00567943"/>
    <w:rsid w:val="00570626"/>
    <w:rsid w:val="00570F53"/>
    <w:rsid w:val="005724F8"/>
    <w:rsid w:val="00572DD9"/>
    <w:rsid w:val="00573760"/>
    <w:rsid w:val="00573A8C"/>
    <w:rsid w:val="00573E98"/>
    <w:rsid w:val="00573EA1"/>
    <w:rsid w:val="00573FC2"/>
    <w:rsid w:val="0057495C"/>
    <w:rsid w:val="00574D18"/>
    <w:rsid w:val="00574D70"/>
    <w:rsid w:val="00575322"/>
    <w:rsid w:val="0057615E"/>
    <w:rsid w:val="0057634B"/>
    <w:rsid w:val="00577297"/>
    <w:rsid w:val="005774DE"/>
    <w:rsid w:val="00577C0B"/>
    <w:rsid w:val="00577DFD"/>
    <w:rsid w:val="00577FC4"/>
    <w:rsid w:val="00580014"/>
    <w:rsid w:val="0058022A"/>
    <w:rsid w:val="0058145B"/>
    <w:rsid w:val="005815FB"/>
    <w:rsid w:val="0058197D"/>
    <w:rsid w:val="00582436"/>
    <w:rsid w:val="0058250C"/>
    <w:rsid w:val="0058290E"/>
    <w:rsid w:val="00582E06"/>
    <w:rsid w:val="00582ED7"/>
    <w:rsid w:val="0058303C"/>
    <w:rsid w:val="0058304F"/>
    <w:rsid w:val="005835FC"/>
    <w:rsid w:val="00583DB1"/>
    <w:rsid w:val="005840FA"/>
    <w:rsid w:val="00584365"/>
    <w:rsid w:val="005844FF"/>
    <w:rsid w:val="00584738"/>
    <w:rsid w:val="00584C45"/>
    <w:rsid w:val="005852DF"/>
    <w:rsid w:val="00585358"/>
    <w:rsid w:val="0058556B"/>
    <w:rsid w:val="005855BE"/>
    <w:rsid w:val="00585778"/>
    <w:rsid w:val="0058631A"/>
    <w:rsid w:val="00587139"/>
    <w:rsid w:val="005872CF"/>
    <w:rsid w:val="00587726"/>
    <w:rsid w:val="00587866"/>
    <w:rsid w:val="00587929"/>
    <w:rsid w:val="00587953"/>
    <w:rsid w:val="00590663"/>
    <w:rsid w:val="00590A2C"/>
    <w:rsid w:val="005914E3"/>
    <w:rsid w:val="00591506"/>
    <w:rsid w:val="005915CE"/>
    <w:rsid w:val="00591CF7"/>
    <w:rsid w:val="00591F5E"/>
    <w:rsid w:val="0059217A"/>
    <w:rsid w:val="0059245A"/>
    <w:rsid w:val="00592774"/>
    <w:rsid w:val="0059287E"/>
    <w:rsid w:val="0059293A"/>
    <w:rsid w:val="00592EB6"/>
    <w:rsid w:val="0059317F"/>
    <w:rsid w:val="0059361E"/>
    <w:rsid w:val="0059380C"/>
    <w:rsid w:val="00593D12"/>
    <w:rsid w:val="00593EAF"/>
    <w:rsid w:val="005943D1"/>
    <w:rsid w:val="005944AD"/>
    <w:rsid w:val="00595520"/>
    <w:rsid w:val="00595BE6"/>
    <w:rsid w:val="005961AB"/>
    <w:rsid w:val="00597217"/>
    <w:rsid w:val="00597D14"/>
    <w:rsid w:val="00597DBF"/>
    <w:rsid w:val="00597F58"/>
    <w:rsid w:val="005A081A"/>
    <w:rsid w:val="005A0929"/>
    <w:rsid w:val="005A0C2F"/>
    <w:rsid w:val="005A0D71"/>
    <w:rsid w:val="005A0F4A"/>
    <w:rsid w:val="005A184C"/>
    <w:rsid w:val="005A1A18"/>
    <w:rsid w:val="005A1D9E"/>
    <w:rsid w:val="005A2D1F"/>
    <w:rsid w:val="005A2DC7"/>
    <w:rsid w:val="005A30AE"/>
    <w:rsid w:val="005A3247"/>
    <w:rsid w:val="005A3A7F"/>
    <w:rsid w:val="005A3AAC"/>
    <w:rsid w:val="005A4496"/>
    <w:rsid w:val="005A45AB"/>
    <w:rsid w:val="005A4AEC"/>
    <w:rsid w:val="005A4CAD"/>
    <w:rsid w:val="005A4E7C"/>
    <w:rsid w:val="005A51B8"/>
    <w:rsid w:val="005A584D"/>
    <w:rsid w:val="005A5944"/>
    <w:rsid w:val="005A6141"/>
    <w:rsid w:val="005A65BB"/>
    <w:rsid w:val="005A67DB"/>
    <w:rsid w:val="005A6A5D"/>
    <w:rsid w:val="005A7193"/>
    <w:rsid w:val="005A7551"/>
    <w:rsid w:val="005A76E8"/>
    <w:rsid w:val="005A7739"/>
    <w:rsid w:val="005A7923"/>
    <w:rsid w:val="005A7BD7"/>
    <w:rsid w:val="005B00FC"/>
    <w:rsid w:val="005B01C8"/>
    <w:rsid w:val="005B1941"/>
    <w:rsid w:val="005B204A"/>
    <w:rsid w:val="005B3EFF"/>
    <w:rsid w:val="005B4DC7"/>
    <w:rsid w:val="005B4E42"/>
    <w:rsid w:val="005B5218"/>
    <w:rsid w:val="005B5388"/>
    <w:rsid w:val="005B5772"/>
    <w:rsid w:val="005B57C7"/>
    <w:rsid w:val="005B632F"/>
    <w:rsid w:val="005B65B9"/>
    <w:rsid w:val="005B6C26"/>
    <w:rsid w:val="005B6F0E"/>
    <w:rsid w:val="005B729E"/>
    <w:rsid w:val="005B73DD"/>
    <w:rsid w:val="005B7BCA"/>
    <w:rsid w:val="005B7BD8"/>
    <w:rsid w:val="005B7BE8"/>
    <w:rsid w:val="005B7CA8"/>
    <w:rsid w:val="005C0314"/>
    <w:rsid w:val="005C04A9"/>
    <w:rsid w:val="005C1705"/>
    <w:rsid w:val="005C1FDE"/>
    <w:rsid w:val="005C218F"/>
    <w:rsid w:val="005C2427"/>
    <w:rsid w:val="005C36F6"/>
    <w:rsid w:val="005C436E"/>
    <w:rsid w:val="005C4398"/>
    <w:rsid w:val="005C57B7"/>
    <w:rsid w:val="005C583E"/>
    <w:rsid w:val="005C60A8"/>
    <w:rsid w:val="005C63F8"/>
    <w:rsid w:val="005C6414"/>
    <w:rsid w:val="005C7F01"/>
    <w:rsid w:val="005C7FD7"/>
    <w:rsid w:val="005D067E"/>
    <w:rsid w:val="005D06D8"/>
    <w:rsid w:val="005D085F"/>
    <w:rsid w:val="005D09DE"/>
    <w:rsid w:val="005D0D2B"/>
    <w:rsid w:val="005D146F"/>
    <w:rsid w:val="005D163A"/>
    <w:rsid w:val="005D207E"/>
    <w:rsid w:val="005D26E0"/>
    <w:rsid w:val="005D3343"/>
    <w:rsid w:val="005D3790"/>
    <w:rsid w:val="005D3D73"/>
    <w:rsid w:val="005D3F9C"/>
    <w:rsid w:val="005D4576"/>
    <w:rsid w:val="005D49E1"/>
    <w:rsid w:val="005D4AFC"/>
    <w:rsid w:val="005D4C8A"/>
    <w:rsid w:val="005D4C93"/>
    <w:rsid w:val="005D5211"/>
    <w:rsid w:val="005D5988"/>
    <w:rsid w:val="005D60E1"/>
    <w:rsid w:val="005D742E"/>
    <w:rsid w:val="005D7462"/>
    <w:rsid w:val="005D7ABE"/>
    <w:rsid w:val="005E12B4"/>
    <w:rsid w:val="005E13D4"/>
    <w:rsid w:val="005E1AAC"/>
    <w:rsid w:val="005E25BD"/>
    <w:rsid w:val="005E2CA6"/>
    <w:rsid w:val="005E31FD"/>
    <w:rsid w:val="005E37E1"/>
    <w:rsid w:val="005E3F09"/>
    <w:rsid w:val="005E435C"/>
    <w:rsid w:val="005E45A1"/>
    <w:rsid w:val="005E4F05"/>
    <w:rsid w:val="005E5871"/>
    <w:rsid w:val="005E5FF7"/>
    <w:rsid w:val="005E643E"/>
    <w:rsid w:val="005E6BEF"/>
    <w:rsid w:val="005E6DBD"/>
    <w:rsid w:val="005E7057"/>
    <w:rsid w:val="005F0497"/>
    <w:rsid w:val="005F04EB"/>
    <w:rsid w:val="005F14DD"/>
    <w:rsid w:val="005F17F4"/>
    <w:rsid w:val="005F185C"/>
    <w:rsid w:val="005F1ED1"/>
    <w:rsid w:val="005F1FC2"/>
    <w:rsid w:val="005F4234"/>
    <w:rsid w:val="005F43CA"/>
    <w:rsid w:val="005F4937"/>
    <w:rsid w:val="005F520A"/>
    <w:rsid w:val="005F52C1"/>
    <w:rsid w:val="005F5BB2"/>
    <w:rsid w:val="005F5C80"/>
    <w:rsid w:val="005F5F79"/>
    <w:rsid w:val="005F692B"/>
    <w:rsid w:val="005F6AD1"/>
    <w:rsid w:val="005F6B36"/>
    <w:rsid w:val="005F7107"/>
    <w:rsid w:val="005F7704"/>
    <w:rsid w:val="005F7919"/>
    <w:rsid w:val="005F7DDF"/>
    <w:rsid w:val="0060001D"/>
    <w:rsid w:val="0060077F"/>
    <w:rsid w:val="006013DE"/>
    <w:rsid w:val="00602F25"/>
    <w:rsid w:val="00603353"/>
    <w:rsid w:val="0060382A"/>
    <w:rsid w:val="00603F44"/>
    <w:rsid w:val="00604001"/>
    <w:rsid w:val="006054EB"/>
    <w:rsid w:val="00605507"/>
    <w:rsid w:val="00605CBE"/>
    <w:rsid w:val="0060619F"/>
    <w:rsid w:val="00606E6E"/>
    <w:rsid w:val="00606E86"/>
    <w:rsid w:val="00607196"/>
    <w:rsid w:val="006072DA"/>
    <w:rsid w:val="006103FD"/>
    <w:rsid w:val="00610672"/>
    <w:rsid w:val="00610689"/>
    <w:rsid w:val="00610A31"/>
    <w:rsid w:val="00610B1C"/>
    <w:rsid w:val="00610F86"/>
    <w:rsid w:val="00610FD2"/>
    <w:rsid w:val="00611910"/>
    <w:rsid w:val="0061244E"/>
    <w:rsid w:val="0061259B"/>
    <w:rsid w:val="00612A7E"/>
    <w:rsid w:val="006130B0"/>
    <w:rsid w:val="006138D1"/>
    <w:rsid w:val="00613AF0"/>
    <w:rsid w:val="00613B43"/>
    <w:rsid w:val="00613B4F"/>
    <w:rsid w:val="00615022"/>
    <w:rsid w:val="00615B1C"/>
    <w:rsid w:val="0061674C"/>
    <w:rsid w:val="00616E8D"/>
    <w:rsid w:val="00617106"/>
    <w:rsid w:val="006172C1"/>
    <w:rsid w:val="0061754E"/>
    <w:rsid w:val="00617D12"/>
    <w:rsid w:val="006207FE"/>
    <w:rsid w:val="0062127B"/>
    <w:rsid w:val="00621D94"/>
    <w:rsid w:val="00622653"/>
    <w:rsid w:val="00622A3D"/>
    <w:rsid w:val="00622A94"/>
    <w:rsid w:val="00623353"/>
    <w:rsid w:val="0062362E"/>
    <w:rsid w:val="00623795"/>
    <w:rsid w:val="006237A5"/>
    <w:rsid w:val="006237D8"/>
    <w:rsid w:val="0062425C"/>
    <w:rsid w:val="006248DA"/>
    <w:rsid w:val="0062583D"/>
    <w:rsid w:val="00625926"/>
    <w:rsid w:val="00625FCF"/>
    <w:rsid w:val="006265E7"/>
    <w:rsid w:val="00626ECA"/>
    <w:rsid w:val="006271B8"/>
    <w:rsid w:val="006273A5"/>
    <w:rsid w:val="006276C5"/>
    <w:rsid w:val="0062799B"/>
    <w:rsid w:val="00627A71"/>
    <w:rsid w:val="00627B28"/>
    <w:rsid w:val="00627C84"/>
    <w:rsid w:val="006301FD"/>
    <w:rsid w:val="00631684"/>
    <w:rsid w:val="00632234"/>
    <w:rsid w:val="00632864"/>
    <w:rsid w:val="00632A87"/>
    <w:rsid w:val="00632EC3"/>
    <w:rsid w:val="00633B03"/>
    <w:rsid w:val="00633DA9"/>
    <w:rsid w:val="00633E8B"/>
    <w:rsid w:val="0063427F"/>
    <w:rsid w:val="0063446A"/>
    <w:rsid w:val="0063477D"/>
    <w:rsid w:val="006347FA"/>
    <w:rsid w:val="006348A4"/>
    <w:rsid w:val="00634F09"/>
    <w:rsid w:val="00635373"/>
    <w:rsid w:val="00635C53"/>
    <w:rsid w:val="00635E3D"/>
    <w:rsid w:val="00635F43"/>
    <w:rsid w:val="00636AA9"/>
    <w:rsid w:val="00637B6A"/>
    <w:rsid w:val="00637F19"/>
    <w:rsid w:val="0064134C"/>
    <w:rsid w:val="00641E88"/>
    <w:rsid w:val="00642DDF"/>
    <w:rsid w:val="00642EE0"/>
    <w:rsid w:val="00642F4B"/>
    <w:rsid w:val="00643C78"/>
    <w:rsid w:val="006440A9"/>
    <w:rsid w:val="00644BF0"/>
    <w:rsid w:val="00645A98"/>
    <w:rsid w:val="00645C59"/>
    <w:rsid w:val="00645FC6"/>
    <w:rsid w:val="0064601E"/>
    <w:rsid w:val="00646ADE"/>
    <w:rsid w:val="006472CD"/>
    <w:rsid w:val="00647514"/>
    <w:rsid w:val="00647705"/>
    <w:rsid w:val="00650086"/>
    <w:rsid w:val="00650185"/>
    <w:rsid w:val="006508AD"/>
    <w:rsid w:val="006508F5"/>
    <w:rsid w:val="00650F61"/>
    <w:rsid w:val="0065101B"/>
    <w:rsid w:val="006525BD"/>
    <w:rsid w:val="0065272D"/>
    <w:rsid w:val="00652A00"/>
    <w:rsid w:val="00653468"/>
    <w:rsid w:val="00653E40"/>
    <w:rsid w:val="00653EC5"/>
    <w:rsid w:val="00654076"/>
    <w:rsid w:val="0065493B"/>
    <w:rsid w:val="00655166"/>
    <w:rsid w:val="006553A3"/>
    <w:rsid w:val="006556F3"/>
    <w:rsid w:val="0065603F"/>
    <w:rsid w:val="006564A3"/>
    <w:rsid w:val="00657511"/>
    <w:rsid w:val="006577B9"/>
    <w:rsid w:val="006579E4"/>
    <w:rsid w:val="00657F20"/>
    <w:rsid w:val="006619F1"/>
    <w:rsid w:val="00661CB7"/>
    <w:rsid w:val="00661ED9"/>
    <w:rsid w:val="00662599"/>
    <w:rsid w:val="00662A1D"/>
    <w:rsid w:val="00663496"/>
    <w:rsid w:val="00663CB1"/>
    <w:rsid w:val="00663F55"/>
    <w:rsid w:val="0066414B"/>
    <w:rsid w:val="00664307"/>
    <w:rsid w:val="006650A8"/>
    <w:rsid w:val="00665341"/>
    <w:rsid w:val="00665A1B"/>
    <w:rsid w:val="00666004"/>
    <w:rsid w:val="00666600"/>
    <w:rsid w:val="006667ED"/>
    <w:rsid w:val="006672E3"/>
    <w:rsid w:val="00667F23"/>
    <w:rsid w:val="0067021C"/>
    <w:rsid w:val="006707E2"/>
    <w:rsid w:val="006709B2"/>
    <w:rsid w:val="00670D96"/>
    <w:rsid w:val="00671338"/>
    <w:rsid w:val="006713A7"/>
    <w:rsid w:val="00671529"/>
    <w:rsid w:val="00671B5E"/>
    <w:rsid w:val="00671E94"/>
    <w:rsid w:val="00672061"/>
    <w:rsid w:val="00672491"/>
    <w:rsid w:val="006732A2"/>
    <w:rsid w:val="00674184"/>
    <w:rsid w:val="0067424D"/>
    <w:rsid w:val="006745F4"/>
    <w:rsid w:val="00674742"/>
    <w:rsid w:val="00674D43"/>
    <w:rsid w:val="00675E23"/>
    <w:rsid w:val="00675EDB"/>
    <w:rsid w:val="00675F66"/>
    <w:rsid w:val="00675F8E"/>
    <w:rsid w:val="0067638B"/>
    <w:rsid w:val="006767E9"/>
    <w:rsid w:val="006767FC"/>
    <w:rsid w:val="00677297"/>
    <w:rsid w:val="00677AED"/>
    <w:rsid w:val="00677B6D"/>
    <w:rsid w:val="00680970"/>
    <w:rsid w:val="00680A11"/>
    <w:rsid w:val="0068132A"/>
    <w:rsid w:val="0068171D"/>
    <w:rsid w:val="0068172C"/>
    <w:rsid w:val="0068179F"/>
    <w:rsid w:val="00681886"/>
    <w:rsid w:val="00681D4F"/>
    <w:rsid w:val="00681EE3"/>
    <w:rsid w:val="00681EEF"/>
    <w:rsid w:val="0068222C"/>
    <w:rsid w:val="00683006"/>
    <w:rsid w:val="00683508"/>
    <w:rsid w:val="0068363B"/>
    <w:rsid w:val="00684215"/>
    <w:rsid w:val="00685391"/>
    <w:rsid w:val="00685465"/>
    <w:rsid w:val="00685748"/>
    <w:rsid w:val="0068635D"/>
    <w:rsid w:val="00686574"/>
    <w:rsid w:val="006869AC"/>
    <w:rsid w:val="006869B0"/>
    <w:rsid w:val="00686EA3"/>
    <w:rsid w:val="006872F2"/>
    <w:rsid w:val="006875C3"/>
    <w:rsid w:val="0068760B"/>
    <w:rsid w:val="006876E7"/>
    <w:rsid w:val="006878AE"/>
    <w:rsid w:val="00687ABD"/>
    <w:rsid w:val="00690B6F"/>
    <w:rsid w:val="00690C16"/>
    <w:rsid w:val="00691740"/>
    <w:rsid w:val="0069174F"/>
    <w:rsid w:val="00691F1E"/>
    <w:rsid w:val="00691F47"/>
    <w:rsid w:val="006922F8"/>
    <w:rsid w:val="00692523"/>
    <w:rsid w:val="0069277B"/>
    <w:rsid w:val="00692B0C"/>
    <w:rsid w:val="00692D7F"/>
    <w:rsid w:val="00695035"/>
    <w:rsid w:val="006974B5"/>
    <w:rsid w:val="006A007C"/>
    <w:rsid w:val="006A097C"/>
    <w:rsid w:val="006A10C4"/>
    <w:rsid w:val="006A1116"/>
    <w:rsid w:val="006A15DA"/>
    <w:rsid w:val="006A1919"/>
    <w:rsid w:val="006A2245"/>
    <w:rsid w:val="006A3A45"/>
    <w:rsid w:val="006A3DE5"/>
    <w:rsid w:val="006A3E60"/>
    <w:rsid w:val="006A446A"/>
    <w:rsid w:val="006A58BB"/>
    <w:rsid w:val="006A5BD1"/>
    <w:rsid w:val="006A6163"/>
    <w:rsid w:val="006A676E"/>
    <w:rsid w:val="006A69D0"/>
    <w:rsid w:val="006A6C11"/>
    <w:rsid w:val="006A6CBA"/>
    <w:rsid w:val="006A6DBA"/>
    <w:rsid w:val="006A7840"/>
    <w:rsid w:val="006A7A26"/>
    <w:rsid w:val="006A7C3C"/>
    <w:rsid w:val="006B03EA"/>
    <w:rsid w:val="006B0A8F"/>
    <w:rsid w:val="006B0B90"/>
    <w:rsid w:val="006B0CEA"/>
    <w:rsid w:val="006B10A3"/>
    <w:rsid w:val="006B1143"/>
    <w:rsid w:val="006B1E0D"/>
    <w:rsid w:val="006B222A"/>
    <w:rsid w:val="006B2780"/>
    <w:rsid w:val="006B2B21"/>
    <w:rsid w:val="006B2FDB"/>
    <w:rsid w:val="006B32B8"/>
    <w:rsid w:val="006B336A"/>
    <w:rsid w:val="006B34E1"/>
    <w:rsid w:val="006B52B6"/>
    <w:rsid w:val="006B571D"/>
    <w:rsid w:val="006B5BE3"/>
    <w:rsid w:val="006B5E97"/>
    <w:rsid w:val="006B6A7D"/>
    <w:rsid w:val="006B75DD"/>
    <w:rsid w:val="006B79DB"/>
    <w:rsid w:val="006B7D0E"/>
    <w:rsid w:val="006C0257"/>
    <w:rsid w:val="006C03F5"/>
    <w:rsid w:val="006C11B3"/>
    <w:rsid w:val="006C1655"/>
    <w:rsid w:val="006C16FF"/>
    <w:rsid w:val="006C1FEF"/>
    <w:rsid w:val="006C261F"/>
    <w:rsid w:val="006C26F1"/>
    <w:rsid w:val="006C2ABB"/>
    <w:rsid w:val="006C2ADB"/>
    <w:rsid w:val="006C2BFE"/>
    <w:rsid w:val="006C31E1"/>
    <w:rsid w:val="006C3A44"/>
    <w:rsid w:val="006C3E5A"/>
    <w:rsid w:val="006C4221"/>
    <w:rsid w:val="006C4263"/>
    <w:rsid w:val="006C441B"/>
    <w:rsid w:val="006C4577"/>
    <w:rsid w:val="006C46E5"/>
    <w:rsid w:val="006C4EFD"/>
    <w:rsid w:val="006C5145"/>
    <w:rsid w:val="006C6029"/>
    <w:rsid w:val="006C603D"/>
    <w:rsid w:val="006C6092"/>
    <w:rsid w:val="006C6779"/>
    <w:rsid w:val="006C6868"/>
    <w:rsid w:val="006C69BF"/>
    <w:rsid w:val="006C6B49"/>
    <w:rsid w:val="006C6CEE"/>
    <w:rsid w:val="006C72B3"/>
    <w:rsid w:val="006C72F9"/>
    <w:rsid w:val="006C7383"/>
    <w:rsid w:val="006C7427"/>
    <w:rsid w:val="006C7B4A"/>
    <w:rsid w:val="006D047D"/>
    <w:rsid w:val="006D1043"/>
    <w:rsid w:val="006D1405"/>
    <w:rsid w:val="006D1646"/>
    <w:rsid w:val="006D1BC2"/>
    <w:rsid w:val="006D1FA3"/>
    <w:rsid w:val="006D21A3"/>
    <w:rsid w:val="006D3839"/>
    <w:rsid w:val="006D388F"/>
    <w:rsid w:val="006D3B76"/>
    <w:rsid w:val="006D3DC6"/>
    <w:rsid w:val="006D3F17"/>
    <w:rsid w:val="006D41A4"/>
    <w:rsid w:val="006D41FD"/>
    <w:rsid w:val="006D4452"/>
    <w:rsid w:val="006D4A23"/>
    <w:rsid w:val="006D4D38"/>
    <w:rsid w:val="006D4DA9"/>
    <w:rsid w:val="006D5B6D"/>
    <w:rsid w:val="006D67BD"/>
    <w:rsid w:val="006D7026"/>
    <w:rsid w:val="006D731F"/>
    <w:rsid w:val="006D7F8C"/>
    <w:rsid w:val="006E04CD"/>
    <w:rsid w:val="006E0692"/>
    <w:rsid w:val="006E0F9D"/>
    <w:rsid w:val="006E104C"/>
    <w:rsid w:val="006E129F"/>
    <w:rsid w:val="006E17FC"/>
    <w:rsid w:val="006E35EE"/>
    <w:rsid w:val="006E3843"/>
    <w:rsid w:val="006E3C15"/>
    <w:rsid w:val="006E402E"/>
    <w:rsid w:val="006E455B"/>
    <w:rsid w:val="006E4CC6"/>
    <w:rsid w:val="006E5731"/>
    <w:rsid w:val="006E5D92"/>
    <w:rsid w:val="006E6712"/>
    <w:rsid w:val="006E73D7"/>
    <w:rsid w:val="006E7CD5"/>
    <w:rsid w:val="006F0298"/>
    <w:rsid w:val="006F03DC"/>
    <w:rsid w:val="006F0D1B"/>
    <w:rsid w:val="006F1A7A"/>
    <w:rsid w:val="006F1CF4"/>
    <w:rsid w:val="006F1EDC"/>
    <w:rsid w:val="006F2068"/>
    <w:rsid w:val="006F27C3"/>
    <w:rsid w:val="006F2EF9"/>
    <w:rsid w:val="006F3381"/>
    <w:rsid w:val="006F34C5"/>
    <w:rsid w:val="006F3B30"/>
    <w:rsid w:val="006F4164"/>
    <w:rsid w:val="006F418B"/>
    <w:rsid w:val="006F4456"/>
    <w:rsid w:val="006F4711"/>
    <w:rsid w:val="006F4952"/>
    <w:rsid w:val="006F4F0D"/>
    <w:rsid w:val="006F53D6"/>
    <w:rsid w:val="006F5F5B"/>
    <w:rsid w:val="006F6656"/>
    <w:rsid w:val="006F68E3"/>
    <w:rsid w:val="006F7117"/>
    <w:rsid w:val="006F741A"/>
    <w:rsid w:val="006F7CB1"/>
    <w:rsid w:val="00700000"/>
    <w:rsid w:val="007006FA"/>
    <w:rsid w:val="00700D98"/>
    <w:rsid w:val="00701E4A"/>
    <w:rsid w:val="00702A98"/>
    <w:rsid w:val="00704121"/>
    <w:rsid w:val="007047DD"/>
    <w:rsid w:val="00704DBB"/>
    <w:rsid w:val="0070510D"/>
    <w:rsid w:val="007051CC"/>
    <w:rsid w:val="0070529A"/>
    <w:rsid w:val="00705609"/>
    <w:rsid w:val="007058BC"/>
    <w:rsid w:val="00705E62"/>
    <w:rsid w:val="00705F77"/>
    <w:rsid w:val="00706A76"/>
    <w:rsid w:val="007070FD"/>
    <w:rsid w:val="00707211"/>
    <w:rsid w:val="00707806"/>
    <w:rsid w:val="00707FB7"/>
    <w:rsid w:val="00710825"/>
    <w:rsid w:val="00710AC2"/>
    <w:rsid w:val="00710CEA"/>
    <w:rsid w:val="0071119D"/>
    <w:rsid w:val="0071145B"/>
    <w:rsid w:val="0071179C"/>
    <w:rsid w:val="00711992"/>
    <w:rsid w:val="00711BE1"/>
    <w:rsid w:val="00711F0E"/>
    <w:rsid w:val="007128DA"/>
    <w:rsid w:val="00712A20"/>
    <w:rsid w:val="00712BCE"/>
    <w:rsid w:val="00712E2F"/>
    <w:rsid w:val="00713551"/>
    <w:rsid w:val="00713620"/>
    <w:rsid w:val="007138F1"/>
    <w:rsid w:val="00713C9B"/>
    <w:rsid w:val="00713D11"/>
    <w:rsid w:val="0071426B"/>
    <w:rsid w:val="007146BE"/>
    <w:rsid w:val="00714A38"/>
    <w:rsid w:val="00714E1E"/>
    <w:rsid w:val="00715B6D"/>
    <w:rsid w:val="00716234"/>
    <w:rsid w:val="00716552"/>
    <w:rsid w:val="0071666D"/>
    <w:rsid w:val="00716770"/>
    <w:rsid w:val="007169D6"/>
    <w:rsid w:val="00716BDA"/>
    <w:rsid w:val="00716F69"/>
    <w:rsid w:val="00716FBB"/>
    <w:rsid w:val="007177C7"/>
    <w:rsid w:val="00717CBC"/>
    <w:rsid w:val="007201F5"/>
    <w:rsid w:val="0072056D"/>
    <w:rsid w:val="00720B90"/>
    <w:rsid w:val="0072141F"/>
    <w:rsid w:val="007219EE"/>
    <w:rsid w:val="00721E54"/>
    <w:rsid w:val="00722781"/>
    <w:rsid w:val="00722AE2"/>
    <w:rsid w:val="00723157"/>
    <w:rsid w:val="007233ED"/>
    <w:rsid w:val="00723B6D"/>
    <w:rsid w:val="00725E5E"/>
    <w:rsid w:val="00726240"/>
    <w:rsid w:val="007262D2"/>
    <w:rsid w:val="0072783D"/>
    <w:rsid w:val="00727898"/>
    <w:rsid w:val="00727984"/>
    <w:rsid w:val="00730873"/>
    <w:rsid w:val="00730DCB"/>
    <w:rsid w:val="007318A3"/>
    <w:rsid w:val="007320E7"/>
    <w:rsid w:val="00732610"/>
    <w:rsid w:val="0073282A"/>
    <w:rsid w:val="00732A65"/>
    <w:rsid w:val="00732B7E"/>
    <w:rsid w:val="0073468E"/>
    <w:rsid w:val="00734CDF"/>
    <w:rsid w:val="00734EA1"/>
    <w:rsid w:val="00735692"/>
    <w:rsid w:val="00735BA6"/>
    <w:rsid w:val="00735BE7"/>
    <w:rsid w:val="00736B68"/>
    <w:rsid w:val="00737A04"/>
    <w:rsid w:val="00737A52"/>
    <w:rsid w:val="00737F2B"/>
    <w:rsid w:val="0074004F"/>
    <w:rsid w:val="007400A5"/>
    <w:rsid w:val="0074039B"/>
    <w:rsid w:val="0074087C"/>
    <w:rsid w:val="007408F1"/>
    <w:rsid w:val="007409B3"/>
    <w:rsid w:val="00740B43"/>
    <w:rsid w:val="00740BE5"/>
    <w:rsid w:val="007413CD"/>
    <w:rsid w:val="007417DF"/>
    <w:rsid w:val="00741A51"/>
    <w:rsid w:val="00741EEA"/>
    <w:rsid w:val="007422D1"/>
    <w:rsid w:val="00742AA3"/>
    <w:rsid w:val="00742BA6"/>
    <w:rsid w:val="00743012"/>
    <w:rsid w:val="00743848"/>
    <w:rsid w:val="007438AB"/>
    <w:rsid w:val="0074489B"/>
    <w:rsid w:val="00744C50"/>
    <w:rsid w:val="007453C9"/>
    <w:rsid w:val="00745FFD"/>
    <w:rsid w:val="0074685D"/>
    <w:rsid w:val="00746950"/>
    <w:rsid w:val="00746E8E"/>
    <w:rsid w:val="00747508"/>
    <w:rsid w:val="007475AF"/>
    <w:rsid w:val="0074776E"/>
    <w:rsid w:val="007477A3"/>
    <w:rsid w:val="00750255"/>
    <w:rsid w:val="007506D5"/>
    <w:rsid w:val="00751653"/>
    <w:rsid w:val="00751D8B"/>
    <w:rsid w:val="00752390"/>
    <w:rsid w:val="00752652"/>
    <w:rsid w:val="007528FE"/>
    <w:rsid w:val="00752A19"/>
    <w:rsid w:val="00752C07"/>
    <w:rsid w:val="00753152"/>
    <w:rsid w:val="007539B5"/>
    <w:rsid w:val="00753F32"/>
    <w:rsid w:val="00753F37"/>
    <w:rsid w:val="00754BB3"/>
    <w:rsid w:val="00755969"/>
    <w:rsid w:val="00755EB2"/>
    <w:rsid w:val="00756052"/>
    <w:rsid w:val="00756538"/>
    <w:rsid w:val="007578E6"/>
    <w:rsid w:val="00757976"/>
    <w:rsid w:val="00757FBB"/>
    <w:rsid w:val="00760260"/>
    <w:rsid w:val="00760469"/>
    <w:rsid w:val="0076057A"/>
    <w:rsid w:val="00760677"/>
    <w:rsid w:val="00760772"/>
    <w:rsid w:val="00760D64"/>
    <w:rsid w:val="0076138F"/>
    <w:rsid w:val="007619E7"/>
    <w:rsid w:val="00761D57"/>
    <w:rsid w:val="00761FCF"/>
    <w:rsid w:val="00761FF7"/>
    <w:rsid w:val="00762992"/>
    <w:rsid w:val="00762D1D"/>
    <w:rsid w:val="00762EB2"/>
    <w:rsid w:val="00763722"/>
    <w:rsid w:val="007638A2"/>
    <w:rsid w:val="00763DF1"/>
    <w:rsid w:val="007645FE"/>
    <w:rsid w:val="00764D6A"/>
    <w:rsid w:val="007654AE"/>
    <w:rsid w:val="007660B5"/>
    <w:rsid w:val="0076684F"/>
    <w:rsid w:val="00766F12"/>
    <w:rsid w:val="00767074"/>
    <w:rsid w:val="00770872"/>
    <w:rsid w:val="007708B3"/>
    <w:rsid w:val="007712D9"/>
    <w:rsid w:val="00771B36"/>
    <w:rsid w:val="00771F53"/>
    <w:rsid w:val="0077252F"/>
    <w:rsid w:val="0077268D"/>
    <w:rsid w:val="0077277F"/>
    <w:rsid w:val="00773056"/>
    <w:rsid w:val="00773083"/>
    <w:rsid w:val="007733C6"/>
    <w:rsid w:val="00773714"/>
    <w:rsid w:val="00773908"/>
    <w:rsid w:val="007744AF"/>
    <w:rsid w:val="0077589C"/>
    <w:rsid w:val="00775BD9"/>
    <w:rsid w:val="00776278"/>
    <w:rsid w:val="00776372"/>
    <w:rsid w:val="007768C5"/>
    <w:rsid w:val="00776FCF"/>
    <w:rsid w:val="0077752B"/>
    <w:rsid w:val="00777A0F"/>
    <w:rsid w:val="00777B55"/>
    <w:rsid w:val="007801F5"/>
    <w:rsid w:val="0078071C"/>
    <w:rsid w:val="00780B1B"/>
    <w:rsid w:val="00780ECD"/>
    <w:rsid w:val="00781B69"/>
    <w:rsid w:val="0078233A"/>
    <w:rsid w:val="007830EB"/>
    <w:rsid w:val="007834B4"/>
    <w:rsid w:val="00783576"/>
    <w:rsid w:val="00783ADE"/>
    <w:rsid w:val="00783F9C"/>
    <w:rsid w:val="0078448A"/>
    <w:rsid w:val="00784573"/>
    <w:rsid w:val="007850A0"/>
    <w:rsid w:val="007856C4"/>
    <w:rsid w:val="007856F2"/>
    <w:rsid w:val="00785D3A"/>
    <w:rsid w:val="00785D7C"/>
    <w:rsid w:val="00787463"/>
    <w:rsid w:val="00787A36"/>
    <w:rsid w:val="00787AFD"/>
    <w:rsid w:val="007904A0"/>
    <w:rsid w:val="00790613"/>
    <w:rsid w:val="00790BCA"/>
    <w:rsid w:val="00791315"/>
    <w:rsid w:val="00792E44"/>
    <w:rsid w:val="007930F5"/>
    <w:rsid w:val="00793736"/>
    <w:rsid w:val="00793977"/>
    <w:rsid w:val="00793E25"/>
    <w:rsid w:val="00793E28"/>
    <w:rsid w:val="00794248"/>
    <w:rsid w:val="007945D4"/>
    <w:rsid w:val="00794A5D"/>
    <w:rsid w:val="00796769"/>
    <w:rsid w:val="00796A27"/>
    <w:rsid w:val="00796D29"/>
    <w:rsid w:val="00796EA4"/>
    <w:rsid w:val="0079707C"/>
    <w:rsid w:val="007970E7"/>
    <w:rsid w:val="0079774D"/>
    <w:rsid w:val="00797D21"/>
    <w:rsid w:val="00797E8E"/>
    <w:rsid w:val="007A0364"/>
    <w:rsid w:val="007A0B0F"/>
    <w:rsid w:val="007A0B42"/>
    <w:rsid w:val="007A0BF2"/>
    <w:rsid w:val="007A0CC7"/>
    <w:rsid w:val="007A0D16"/>
    <w:rsid w:val="007A134F"/>
    <w:rsid w:val="007A1B35"/>
    <w:rsid w:val="007A1E6C"/>
    <w:rsid w:val="007A37BA"/>
    <w:rsid w:val="007A3D50"/>
    <w:rsid w:val="007A3FAC"/>
    <w:rsid w:val="007A42D8"/>
    <w:rsid w:val="007A4AB0"/>
    <w:rsid w:val="007A5D10"/>
    <w:rsid w:val="007A5E14"/>
    <w:rsid w:val="007A6162"/>
    <w:rsid w:val="007A61AC"/>
    <w:rsid w:val="007A6E2E"/>
    <w:rsid w:val="007B0830"/>
    <w:rsid w:val="007B0B74"/>
    <w:rsid w:val="007B0B85"/>
    <w:rsid w:val="007B0DBD"/>
    <w:rsid w:val="007B18FA"/>
    <w:rsid w:val="007B1FFD"/>
    <w:rsid w:val="007B26E0"/>
    <w:rsid w:val="007B2B02"/>
    <w:rsid w:val="007B2ED5"/>
    <w:rsid w:val="007B32E1"/>
    <w:rsid w:val="007B3856"/>
    <w:rsid w:val="007B3A59"/>
    <w:rsid w:val="007B5A5D"/>
    <w:rsid w:val="007B5BCD"/>
    <w:rsid w:val="007B5C5D"/>
    <w:rsid w:val="007B5E00"/>
    <w:rsid w:val="007B614C"/>
    <w:rsid w:val="007B624A"/>
    <w:rsid w:val="007B66C4"/>
    <w:rsid w:val="007B7019"/>
    <w:rsid w:val="007B7181"/>
    <w:rsid w:val="007B7789"/>
    <w:rsid w:val="007B78F8"/>
    <w:rsid w:val="007B7927"/>
    <w:rsid w:val="007B7BDC"/>
    <w:rsid w:val="007B7E13"/>
    <w:rsid w:val="007C0131"/>
    <w:rsid w:val="007C05DE"/>
    <w:rsid w:val="007C084E"/>
    <w:rsid w:val="007C136E"/>
    <w:rsid w:val="007C17E9"/>
    <w:rsid w:val="007C221C"/>
    <w:rsid w:val="007C2AA8"/>
    <w:rsid w:val="007C2FD2"/>
    <w:rsid w:val="007C358A"/>
    <w:rsid w:val="007C35FF"/>
    <w:rsid w:val="007C3795"/>
    <w:rsid w:val="007C384E"/>
    <w:rsid w:val="007C392F"/>
    <w:rsid w:val="007C3ED5"/>
    <w:rsid w:val="007C4199"/>
    <w:rsid w:val="007C4780"/>
    <w:rsid w:val="007C47D2"/>
    <w:rsid w:val="007C4A98"/>
    <w:rsid w:val="007C51A7"/>
    <w:rsid w:val="007C5564"/>
    <w:rsid w:val="007C5B45"/>
    <w:rsid w:val="007C5C8C"/>
    <w:rsid w:val="007C5F4F"/>
    <w:rsid w:val="007C61C2"/>
    <w:rsid w:val="007C6598"/>
    <w:rsid w:val="007C65C5"/>
    <w:rsid w:val="007C6AB0"/>
    <w:rsid w:val="007C724C"/>
    <w:rsid w:val="007C77CA"/>
    <w:rsid w:val="007D0267"/>
    <w:rsid w:val="007D036B"/>
    <w:rsid w:val="007D0E9D"/>
    <w:rsid w:val="007D1946"/>
    <w:rsid w:val="007D246C"/>
    <w:rsid w:val="007D276F"/>
    <w:rsid w:val="007D2850"/>
    <w:rsid w:val="007D2D63"/>
    <w:rsid w:val="007D3849"/>
    <w:rsid w:val="007D3AC3"/>
    <w:rsid w:val="007D3C87"/>
    <w:rsid w:val="007D3EEA"/>
    <w:rsid w:val="007D4423"/>
    <w:rsid w:val="007D45E5"/>
    <w:rsid w:val="007D467F"/>
    <w:rsid w:val="007D475E"/>
    <w:rsid w:val="007D4C66"/>
    <w:rsid w:val="007D4E8F"/>
    <w:rsid w:val="007D5CA5"/>
    <w:rsid w:val="007D62C7"/>
    <w:rsid w:val="007D658D"/>
    <w:rsid w:val="007D6637"/>
    <w:rsid w:val="007D6B36"/>
    <w:rsid w:val="007D7150"/>
    <w:rsid w:val="007D74A5"/>
    <w:rsid w:val="007E0204"/>
    <w:rsid w:val="007E054B"/>
    <w:rsid w:val="007E0741"/>
    <w:rsid w:val="007E07F2"/>
    <w:rsid w:val="007E0A22"/>
    <w:rsid w:val="007E102A"/>
    <w:rsid w:val="007E1039"/>
    <w:rsid w:val="007E135C"/>
    <w:rsid w:val="007E14D1"/>
    <w:rsid w:val="007E2420"/>
    <w:rsid w:val="007E24BC"/>
    <w:rsid w:val="007E2514"/>
    <w:rsid w:val="007E2994"/>
    <w:rsid w:val="007E29D3"/>
    <w:rsid w:val="007E2BC6"/>
    <w:rsid w:val="007E3410"/>
    <w:rsid w:val="007E39EF"/>
    <w:rsid w:val="007E3A75"/>
    <w:rsid w:val="007E4022"/>
    <w:rsid w:val="007E40B3"/>
    <w:rsid w:val="007E4D14"/>
    <w:rsid w:val="007E557A"/>
    <w:rsid w:val="007E55DB"/>
    <w:rsid w:val="007E5802"/>
    <w:rsid w:val="007E6226"/>
    <w:rsid w:val="007E62D3"/>
    <w:rsid w:val="007E65D7"/>
    <w:rsid w:val="007E692F"/>
    <w:rsid w:val="007E7198"/>
    <w:rsid w:val="007F06ED"/>
    <w:rsid w:val="007F2017"/>
    <w:rsid w:val="007F2074"/>
    <w:rsid w:val="007F247A"/>
    <w:rsid w:val="007F2F6D"/>
    <w:rsid w:val="007F344B"/>
    <w:rsid w:val="007F37E9"/>
    <w:rsid w:val="007F3A3F"/>
    <w:rsid w:val="007F410F"/>
    <w:rsid w:val="007F47B0"/>
    <w:rsid w:val="007F4C1E"/>
    <w:rsid w:val="007F4D37"/>
    <w:rsid w:val="007F5750"/>
    <w:rsid w:val="007F5AAC"/>
    <w:rsid w:val="007F5FA3"/>
    <w:rsid w:val="007F61C0"/>
    <w:rsid w:val="007F6598"/>
    <w:rsid w:val="007F6BF7"/>
    <w:rsid w:val="007F6E72"/>
    <w:rsid w:val="007F728F"/>
    <w:rsid w:val="007F7587"/>
    <w:rsid w:val="007F7BD5"/>
    <w:rsid w:val="00800780"/>
    <w:rsid w:val="008007CC"/>
    <w:rsid w:val="008009C6"/>
    <w:rsid w:val="00800F42"/>
    <w:rsid w:val="00800FE1"/>
    <w:rsid w:val="0080111A"/>
    <w:rsid w:val="008016F1"/>
    <w:rsid w:val="0080282B"/>
    <w:rsid w:val="00802B14"/>
    <w:rsid w:val="00803389"/>
    <w:rsid w:val="008043F4"/>
    <w:rsid w:val="008049C0"/>
    <w:rsid w:val="00805F41"/>
    <w:rsid w:val="00806391"/>
    <w:rsid w:val="00806807"/>
    <w:rsid w:val="00806D5B"/>
    <w:rsid w:val="00806D77"/>
    <w:rsid w:val="008073B1"/>
    <w:rsid w:val="008076AB"/>
    <w:rsid w:val="008079F2"/>
    <w:rsid w:val="00807EB2"/>
    <w:rsid w:val="0081083F"/>
    <w:rsid w:val="00810A96"/>
    <w:rsid w:val="008118EA"/>
    <w:rsid w:val="00811B02"/>
    <w:rsid w:val="00811F7B"/>
    <w:rsid w:val="00812AA6"/>
    <w:rsid w:val="00812FBA"/>
    <w:rsid w:val="0081321F"/>
    <w:rsid w:val="00813E7E"/>
    <w:rsid w:val="00813F10"/>
    <w:rsid w:val="00813FF7"/>
    <w:rsid w:val="008147A8"/>
    <w:rsid w:val="00814F64"/>
    <w:rsid w:val="00815271"/>
    <w:rsid w:val="008156E5"/>
    <w:rsid w:val="0081580C"/>
    <w:rsid w:val="00815EE3"/>
    <w:rsid w:val="00815F02"/>
    <w:rsid w:val="00816836"/>
    <w:rsid w:val="00817151"/>
    <w:rsid w:val="00817356"/>
    <w:rsid w:val="0081735F"/>
    <w:rsid w:val="0081751B"/>
    <w:rsid w:val="00817588"/>
    <w:rsid w:val="008178C2"/>
    <w:rsid w:val="00817A8B"/>
    <w:rsid w:val="00817F3F"/>
    <w:rsid w:val="00817FA3"/>
    <w:rsid w:val="008200DB"/>
    <w:rsid w:val="0082018B"/>
    <w:rsid w:val="0082029D"/>
    <w:rsid w:val="00820AFF"/>
    <w:rsid w:val="00820B2D"/>
    <w:rsid w:val="00820F04"/>
    <w:rsid w:val="00821509"/>
    <w:rsid w:val="008216B8"/>
    <w:rsid w:val="00821B1F"/>
    <w:rsid w:val="00822351"/>
    <w:rsid w:val="0082275D"/>
    <w:rsid w:val="00822A07"/>
    <w:rsid w:val="00823285"/>
    <w:rsid w:val="008232A2"/>
    <w:rsid w:val="00823780"/>
    <w:rsid w:val="008240D3"/>
    <w:rsid w:val="0082425A"/>
    <w:rsid w:val="008247A2"/>
    <w:rsid w:val="00824D8A"/>
    <w:rsid w:val="00824F62"/>
    <w:rsid w:val="00824FDF"/>
    <w:rsid w:val="00825713"/>
    <w:rsid w:val="008259CA"/>
    <w:rsid w:val="0082618C"/>
    <w:rsid w:val="00826953"/>
    <w:rsid w:val="00826B23"/>
    <w:rsid w:val="00826F72"/>
    <w:rsid w:val="0082761A"/>
    <w:rsid w:val="00827830"/>
    <w:rsid w:val="00827839"/>
    <w:rsid w:val="00827FAF"/>
    <w:rsid w:val="00830D86"/>
    <w:rsid w:val="00830FB4"/>
    <w:rsid w:val="008311A8"/>
    <w:rsid w:val="00831DED"/>
    <w:rsid w:val="00831EFB"/>
    <w:rsid w:val="00832474"/>
    <w:rsid w:val="0083279C"/>
    <w:rsid w:val="00832EB4"/>
    <w:rsid w:val="00833338"/>
    <w:rsid w:val="008335E9"/>
    <w:rsid w:val="0083362E"/>
    <w:rsid w:val="008336C0"/>
    <w:rsid w:val="00833A08"/>
    <w:rsid w:val="00834121"/>
    <w:rsid w:val="0083418D"/>
    <w:rsid w:val="008360FC"/>
    <w:rsid w:val="00836300"/>
    <w:rsid w:val="00836F1C"/>
    <w:rsid w:val="00837AC4"/>
    <w:rsid w:val="00837C08"/>
    <w:rsid w:val="00837D32"/>
    <w:rsid w:val="00837F34"/>
    <w:rsid w:val="0084000E"/>
    <w:rsid w:val="0084011B"/>
    <w:rsid w:val="00841439"/>
    <w:rsid w:val="00844266"/>
    <w:rsid w:val="00845654"/>
    <w:rsid w:val="00845A72"/>
    <w:rsid w:val="00845D8F"/>
    <w:rsid w:val="008466B2"/>
    <w:rsid w:val="00846766"/>
    <w:rsid w:val="008467A3"/>
    <w:rsid w:val="008472CC"/>
    <w:rsid w:val="00847B64"/>
    <w:rsid w:val="00847B6D"/>
    <w:rsid w:val="00850231"/>
    <w:rsid w:val="008502F3"/>
    <w:rsid w:val="008504A0"/>
    <w:rsid w:val="008509C2"/>
    <w:rsid w:val="00851444"/>
    <w:rsid w:val="00852557"/>
    <w:rsid w:val="008526D7"/>
    <w:rsid w:val="0085291B"/>
    <w:rsid w:val="00852B0F"/>
    <w:rsid w:val="00853D07"/>
    <w:rsid w:val="00853FF8"/>
    <w:rsid w:val="00854651"/>
    <w:rsid w:val="0085466A"/>
    <w:rsid w:val="00854714"/>
    <w:rsid w:val="00854EBE"/>
    <w:rsid w:val="008554BD"/>
    <w:rsid w:val="00855C4E"/>
    <w:rsid w:val="00855EFC"/>
    <w:rsid w:val="0085620D"/>
    <w:rsid w:val="00856419"/>
    <w:rsid w:val="00856882"/>
    <w:rsid w:val="00856F3E"/>
    <w:rsid w:val="008575F0"/>
    <w:rsid w:val="0085774C"/>
    <w:rsid w:val="00857B57"/>
    <w:rsid w:val="00860181"/>
    <w:rsid w:val="008617E3"/>
    <w:rsid w:val="00861A42"/>
    <w:rsid w:val="00863135"/>
    <w:rsid w:val="008635AE"/>
    <w:rsid w:val="00863E6E"/>
    <w:rsid w:val="008645E6"/>
    <w:rsid w:val="00864A26"/>
    <w:rsid w:val="00864FE0"/>
    <w:rsid w:val="0086504B"/>
    <w:rsid w:val="0086535B"/>
    <w:rsid w:val="00865DF4"/>
    <w:rsid w:val="00866FAF"/>
    <w:rsid w:val="00867467"/>
    <w:rsid w:val="00867631"/>
    <w:rsid w:val="008676C6"/>
    <w:rsid w:val="00867C34"/>
    <w:rsid w:val="008704F4"/>
    <w:rsid w:val="008707B8"/>
    <w:rsid w:val="00870AAB"/>
    <w:rsid w:val="00871051"/>
    <w:rsid w:val="008715D7"/>
    <w:rsid w:val="0087252C"/>
    <w:rsid w:val="00872D90"/>
    <w:rsid w:val="008736B3"/>
    <w:rsid w:val="008738F2"/>
    <w:rsid w:val="00873A1A"/>
    <w:rsid w:val="0087408B"/>
    <w:rsid w:val="008740CB"/>
    <w:rsid w:val="008743CE"/>
    <w:rsid w:val="0087555E"/>
    <w:rsid w:val="00875642"/>
    <w:rsid w:val="00875C56"/>
    <w:rsid w:val="0087606F"/>
    <w:rsid w:val="00876230"/>
    <w:rsid w:val="0087629A"/>
    <w:rsid w:val="008762A2"/>
    <w:rsid w:val="0087630C"/>
    <w:rsid w:val="00876316"/>
    <w:rsid w:val="00876C65"/>
    <w:rsid w:val="00877AAA"/>
    <w:rsid w:val="00877C09"/>
    <w:rsid w:val="00877E26"/>
    <w:rsid w:val="00880D5D"/>
    <w:rsid w:val="00881065"/>
    <w:rsid w:val="00881F2C"/>
    <w:rsid w:val="0088251C"/>
    <w:rsid w:val="008827F1"/>
    <w:rsid w:val="00883258"/>
    <w:rsid w:val="00883619"/>
    <w:rsid w:val="00883623"/>
    <w:rsid w:val="00884350"/>
    <w:rsid w:val="00884C31"/>
    <w:rsid w:val="00886267"/>
    <w:rsid w:val="0088645B"/>
    <w:rsid w:val="008867D6"/>
    <w:rsid w:val="00890474"/>
    <w:rsid w:val="00890563"/>
    <w:rsid w:val="008906AD"/>
    <w:rsid w:val="00890D12"/>
    <w:rsid w:val="00891073"/>
    <w:rsid w:val="008910C4"/>
    <w:rsid w:val="0089150A"/>
    <w:rsid w:val="00891BCC"/>
    <w:rsid w:val="00891C9F"/>
    <w:rsid w:val="00891F73"/>
    <w:rsid w:val="008920B7"/>
    <w:rsid w:val="008923FC"/>
    <w:rsid w:val="008924B1"/>
    <w:rsid w:val="00892CC1"/>
    <w:rsid w:val="00893257"/>
    <w:rsid w:val="008933A4"/>
    <w:rsid w:val="0089386D"/>
    <w:rsid w:val="00894516"/>
    <w:rsid w:val="0089493A"/>
    <w:rsid w:val="00894AF6"/>
    <w:rsid w:val="00895073"/>
    <w:rsid w:val="00895281"/>
    <w:rsid w:val="00895491"/>
    <w:rsid w:val="008954B9"/>
    <w:rsid w:val="008954DC"/>
    <w:rsid w:val="008966A1"/>
    <w:rsid w:val="008969D3"/>
    <w:rsid w:val="00896AB7"/>
    <w:rsid w:val="00896BB4"/>
    <w:rsid w:val="00896FE0"/>
    <w:rsid w:val="0089700E"/>
    <w:rsid w:val="00897B06"/>
    <w:rsid w:val="008A0EB6"/>
    <w:rsid w:val="008A0EE3"/>
    <w:rsid w:val="008A1584"/>
    <w:rsid w:val="008A1D9A"/>
    <w:rsid w:val="008A266F"/>
    <w:rsid w:val="008A2999"/>
    <w:rsid w:val="008A2A2B"/>
    <w:rsid w:val="008A2AB0"/>
    <w:rsid w:val="008A2ECC"/>
    <w:rsid w:val="008A3117"/>
    <w:rsid w:val="008A3165"/>
    <w:rsid w:val="008A325B"/>
    <w:rsid w:val="008A3B63"/>
    <w:rsid w:val="008A3C61"/>
    <w:rsid w:val="008A617D"/>
    <w:rsid w:val="008A7640"/>
    <w:rsid w:val="008A7AE9"/>
    <w:rsid w:val="008A7AFB"/>
    <w:rsid w:val="008B0674"/>
    <w:rsid w:val="008B082A"/>
    <w:rsid w:val="008B0EDE"/>
    <w:rsid w:val="008B0F72"/>
    <w:rsid w:val="008B14E1"/>
    <w:rsid w:val="008B2643"/>
    <w:rsid w:val="008B26AA"/>
    <w:rsid w:val="008B2B88"/>
    <w:rsid w:val="008B2FFC"/>
    <w:rsid w:val="008B352A"/>
    <w:rsid w:val="008B3FDF"/>
    <w:rsid w:val="008B44DD"/>
    <w:rsid w:val="008B47C5"/>
    <w:rsid w:val="008B4950"/>
    <w:rsid w:val="008B4B22"/>
    <w:rsid w:val="008B52E2"/>
    <w:rsid w:val="008B5471"/>
    <w:rsid w:val="008B556E"/>
    <w:rsid w:val="008B7378"/>
    <w:rsid w:val="008B74BE"/>
    <w:rsid w:val="008B7D88"/>
    <w:rsid w:val="008C04C2"/>
    <w:rsid w:val="008C0656"/>
    <w:rsid w:val="008C0C00"/>
    <w:rsid w:val="008C1C0A"/>
    <w:rsid w:val="008C1C27"/>
    <w:rsid w:val="008C40F6"/>
    <w:rsid w:val="008C4102"/>
    <w:rsid w:val="008C42F2"/>
    <w:rsid w:val="008C44CA"/>
    <w:rsid w:val="008C4529"/>
    <w:rsid w:val="008C49A7"/>
    <w:rsid w:val="008C4E56"/>
    <w:rsid w:val="008C584E"/>
    <w:rsid w:val="008C5AAA"/>
    <w:rsid w:val="008C622E"/>
    <w:rsid w:val="008C6344"/>
    <w:rsid w:val="008C660C"/>
    <w:rsid w:val="008C68C1"/>
    <w:rsid w:val="008C6914"/>
    <w:rsid w:val="008C7262"/>
    <w:rsid w:val="008C74BE"/>
    <w:rsid w:val="008C76B3"/>
    <w:rsid w:val="008C76C9"/>
    <w:rsid w:val="008C7E81"/>
    <w:rsid w:val="008D0DF3"/>
    <w:rsid w:val="008D18D2"/>
    <w:rsid w:val="008D205C"/>
    <w:rsid w:val="008D30FE"/>
    <w:rsid w:val="008D3C4F"/>
    <w:rsid w:val="008D3F61"/>
    <w:rsid w:val="008D4334"/>
    <w:rsid w:val="008D4C0B"/>
    <w:rsid w:val="008D4D8E"/>
    <w:rsid w:val="008D5123"/>
    <w:rsid w:val="008D5421"/>
    <w:rsid w:val="008D569C"/>
    <w:rsid w:val="008D5A9B"/>
    <w:rsid w:val="008D5D34"/>
    <w:rsid w:val="008D5EA4"/>
    <w:rsid w:val="008D5F1C"/>
    <w:rsid w:val="008D619B"/>
    <w:rsid w:val="008D6505"/>
    <w:rsid w:val="008D6C50"/>
    <w:rsid w:val="008D6E5D"/>
    <w:rsid w:val="008D6E91"/>
    <w:rsid w:val="008D73A3"/>
    <w:rsid w:val="008D7554"/>
    <w:rsid w:val="008D76F8"/>
    <w:rsid w:val="008D783D"/>
    <w:rsid w:val="008D7986"/>
    <w:rsid w:val="008E00CB"/>
    <w:rsid w:val="008E013B"/>
    <w:rsid w:val="008E09A2"/>
    <w:rsid w:val="008E09E1"/>
    <w:rsid w:val="008E0D8A"/>
    <w:rsid w:val="008E1695"/>
    <w:rsid w:val="008E1B16"/>
    <w:rsid w:val="008E2350"/>
    <w:rsid w:val="008E2942"/>
    <w:rsid w:val="008E295D"/>
    <w:rsid w:val="008E3A48"/>
    <w:rsid w:val="008E3C34"/>
    <w:rsid w:val="008E40C3"/>
    <w:rsid w:val="008E44C0"/>
    <w:rsid w:val="008E4719"/>
    <w:rsid w:val="008E4D54"/>
    <w:rsid w:val="008E4ED6"/>
    <w:rsid w:val="008E4F2B"/>
    <w:rsid w:val="008E5101"/>
    <w:rsid w:val="008E5295"/>
    <w:rsid w:val="008E5436"/>
    <w:rsid w:val="008E54DF"/>
    <w:rsid w:val="008E5704"/>
    <w:rsid w:val="008E58E4"/>
    <w:rsid w:val="008E6554"/>
    <w:rsid w:val="008E67BE"/>
    <w:rsid w:val="008E6B25"/>
    <w:rsid w:val="008E6B8F"/>
    <w:rsid w:val="008E6D7E"/>
    <w:rsid w:val="008E7805"/>
    <w:rsid w:val="008E7AFA"/>
    <w:rsid w:val="008E7B2C"/>
    <w:rsid w:val="008F067A"/>
    <w:rsid w:val="008F0692"/>
    <w:rsid w:val="008F0879"/>
    <w:rsid w:val="008F15FC"/>
    <w:rsid w:val="008F1B78"/>
    <w:rsid w:val="008F1CA9"/>
    <w:rsid w:val="008F21BF"/>
    <w:rsid w:val="008F2632"/>
    <w:rsid w:val="008F2B5C"/>
    <w:rsid w:val="008F3F3A"/>
    <w:rsid w:val="008F4344"/>
    <w:rsid w:val="008F46E0"/>
    <w:rsid w:val="008F499D"/>
    <w:rsid w:val="008F4E48"/>
    <w:rsid w:val="008F53FB"/>
    <w:rsid w:val="008F5BC4"/>
    <w:rsid w:val="008F5C85"/>
    <w:rsid w:val="008F5EDF"/>
    <w:rsid w:val="008F6306"/>
    <w:rsid w:val="008F6CF2"/>
    <w:rsid w:val="008F6DC5"/>
    <w:rsid w:val="008F6FA9"/>
    <w:rsid w:val="008F7021"/>
    <w:rsid w:val="008F761D"/>
    <w:rsid w:val="008F7E08"/>
    <w:rsid w:val="00900277"/>
    <w:rsid w:val="009002D0"/>
    <w:rsid w:val="00900344"/>
    <w:rsid w:val="009004DA"/>
    <w:rsid w:val="0090103A"/>
    <w:rsid w:val="00901A1D"/>
    <w:rsid w:val="00901D4E"/>
    <w:rsid w:val="00901E46"/>
    <w:rsid w:val="009020C3"/>
    <w:rsid w:val="00902B83"/>
    <w:rsid w:val="009032AD"/>
    <w:rsid w:val="00903C5C"/>
    <w:rsid w:val="009041E1"/>
    <w:rsid w:val="00904306"/>
    <w:rsid w:val="009043E6"/>
    <w:rsid w:val="009045C8"/>
    <w:rsid w:val="0090490C"/>
    <w:rsid w:val="009052B1"/>
    <w:rsid w:val="00905392"/>
    <w:rsid w:val="0090557C"/>
    <w:rsid w:val="00905F11"/>
    <w:rsid w:val="009062FF"/>
    <w:rsid w:val="00906ED6"/>
    <w:rsid w:val="00907914"/>
    <w:rsid w:val="00907A12"/>
    <w:rsid w:val="00907DC1"/>
    <w:rsid w:val="00907F17"/>
    <w:rsid w:val="0091026F"/>
    <w:rsid w:val="00910741"/>
    <w:rsid w:val="00910768"/>
    <w:rsid w:val="00911D7D"/>
    <w:rsid w:val="00912673"/>
    <w:rsid w:val="00912E2F"/>
    <w:rsid w:val="009135FF"/>
    <w:rsid w:val="009137C1"/>
    <w:rsid w:val="00913C8E"/>
    <w:rsid w:val="00914050"/>
    <w:rsid w:val="00914222"/>
    <w:rsid w:val="00914328"/>
    <w:rsid w:val="00914834"/>
    <w:rsid w:val="0091489C"/>
    <w:rsid w:val="00914ADB"/>
    <w:rsid w:val="00914AE4"/>
    <w:rsid w:val="00914D91"/>
    <w:rsid w:val="00915995"/>
    <w:rsid w:val="0091640F"/>
    <w:rsid w:val="00916FE7"/>
    <w:rsid w:val="00916FEF"/>
    <w:rsid w:val="0091720A"/>
    <w:rsid w:val="00917B7B"/>
    <w:rsid w:val="00920CE5"/>
    <w:rsid w:val="009210D1"/>
    <w:rsid w:val="00921162"/>
    <w:rsid w:val="009211FA"/>
    <w:rsid w:val="0092140D"/>
    <w:rsid w:val="009217E3"/>
    <w:rsid w:val="009223ED"/>
    <w:rsid w:val="0092247D"/>
    <w:rsid w:val="00923054"/>
    <w:rsid w:val="00923CC9"/>
    <w:rsid w:val="00924040"/>
    <w:rsid w:val="0092442E"/>
    <w:rsid w:val="009253F7"/>
    <w:rsid w:val="0092581C"/>
    <w:rsid w:val="009260EC"/>
    <w:rsid w:val="00927470"/>
    <w:rsid w:val="00927547"/>
    <w:rsid w:val="00927F30"/>
    <w:rsid w:val="00930301"/>
    <w:rsid w:val="009314EF"/>
    <w:rsid w:val="0093195E"/>
    <w:rsid w:val="009322EF"/>
    <w:rsid w:val="00932391"/>
    <w:rsid w:val="009324DF"/>
    <w:rsid w:val="00932516"/>
    <w:rsid w:val="00932755"/>
    <w:rsid w:val="009328EC"/>
    <w:rsid w:val="00932DD6"/>
    <w:rsid w:val="00932F2D"/>
    <w:rsid w:val="00934811"/>
    <w:rsid w:val="0093529F"/>
    <w:rsid w:val="00935344"/>
    <w:rsid w:val="0093541A"/>
    <w:rsid w:val="00937136"/>
    <w:rsid w:val="00937333"/>
    <w:rsid w:val="00937B36"/>
    <w:rsid w:val="009407D8"/>
    <w:rsid w:val="00940830"/>
    <w:rsid w:val="00940992"/>
    <w:rsid w:val="00942FDC"/>
    <w:rsid w:val="00943351"/>
    <w:rsid w:val="00943B7C"/>
    <w:rsid w:val="00943E9A"/>
    <w:rsid w:val="00944792"/>
    <w:rsid w:val="00944C8C"/>
    <w:rsid w:val="00945492"/>
    <w:rsid w:val="00945821"/>
    <w:rsid w:val="00945CC0"/>
    <w:rsid w:val="00946333"/>
    <w:rsid w:val="009465C3"/>
    <w:rsid w:val="00946E9E"/>
    <w:rsid w:val="0094702F"/>
    <w:rsid w:val="00947698"/>
    <w:rsid w:val="00947A61"/>
    <w:rsid w:val="009502F9"/>
    <w:rsid w:val="009504D6"/>
    <w:rsid w:val="009506D2"/>
    <w:rsid w:val="00951371"/>
    <w:rsid w:val="00951852"/>
    <w:rsid w:val="00951C0C"/>
    <w:rsid w:val="00951E56"/>
    <w:rsid w:val="009524FD"/>
    <w:rsid w:val="0095270A"/>
    <w:rsid w:val="00952F9B"/>
    <w:rsid w:val="00954A99"/>
    <w:rsid w:val="00954AD3"/>
    <w:rsid w:val="00954C0B"/>
    <w:rsid w:val="00955049"/>
    <w:rsid w:val="009551ED"/>
    <w:rsid w:val="0095552D"/>
    <w:rsid w:val="00956117"/>
    <w:rsid w:val="0095638E"/>
    <w:rsid w:val="009564B8"/>
    <w:rsid w:val="0095654D"/>
    <w:rsid w:val="009571E0"/>
    <w:rsid w:val="009576EE"/>
    <w:rsid w:val="009577A5"/>
    <w:rsid w:val="00957936"/>
    <w:rsid w:val="0095795B"/>
    <w:rsid w:val="00957DE2"/>
    <w:rsid w:val="00957E62"/>
    <w:rsid w:val="009610FD"/>
    <w:rsid w:val="009611C1"/>
    <w:rsid w:val="009618D9"/>
    <w:rsid w:val="00961930"/>
    <w:rsid w:val="00961D07"/>
    <w:rsid w:val="00961E74"/>
    <w:rsid w:val="0096211E"/>
    <w:rsid w:val="00962509"/>
    <w:rsid w:val="00962C56"/>
    <w:rsid w:val="00963A7C"/>
    <w:rsid w:val="00963B84"/>
    <w:rsid w:val="00963BFA"/>
    <w:rsid w:val="00964055"/>
    <w:rsid w:val="009654E9"/>
    <w:rsid w:val="00966839"/>
    <w:rsid w:val="00966D84"/>
    <w:rsid w:val="009670ED"/>
    <w:rsid w:val="00967309"/>
    <w:rsid w:val="00967332"/>
    <w:rsid w:val="00967465"/>
    <w:rsid w:val="0097051B"/>
    <w:rsid w:val="0097114F"/>
    <w:rsid w:val="0097174A"/>
    <w:rsid w:val="00971750"/>
    <w:rsid w:val="009717AA"/>
    <w:rsid w:val="009719DE"/>
    <w:rsid w:val="00971A20"/>
    <w:rsid w:val="00972091"/>
    <w:rsid w:val="009721AF"/>
    <w:rsid w:val="00973186"/>
    <w:rsid w:val="0097332B"/>
    <w:rsid w:val="00973F0C"/>
    <w:rsid w:val="0097457D"/>
    <w:rsid w:val="00974A70"/>
    <w:rsid w:val="009759D1"/>
    <w:rsid w:val="009761E9"/>
    <w:rsid w:val="009765D6"/>
    <w:rsid w:val="00977338"/>
    <w:rsid w:val="00980A90"/>
    <w:rsid w:val="00980D85"/>
    <w:rsid w:val="00980EB2"/>
    <w:rsid w:val="00980F4D"/>
    <w:rsid w:val="0098112C"/>
    <w:rsid w:val="00981337"/>
    <w:rsid w:val="009813AC"/>
    <w:rsid w:val="0098169C"/>
    <w:rsid w:val="00981926"/>
    <w:rsid w:val="00981FBA"/>
    <w:rsid w:val="009824DA"/>
    <w:rsid w:val="009825CC"/>
    <w:rsid w:val="00982C0F"/>
    <w:rsid w:val="00983A84"/>
    <w:rsid w:val="00983C2E"/>
    <w:rsid w:val="00983C2F"/>
    <w:rsid w:val="00983CB2"/>
    <w:rsid w:val="00983FF9"/>
    <w:rsid w:val="00984617"/>
    <w:rsid w:val="009846F0"/>
    <w:rsid w:val="0098477D"/>
    <w:rsid w:val="00985376"/>
    <w:rsid w:val="009857C3"/>
    <w:rsid w:val="00985876"/>
    <w:rsid w:val="009862BC"/>
    <w:rsid w:val="009871E9"/>
    <w:rsid w:val="00987358"/>
    <w:rsid w:val="00987442"/>
    <w:rsid w:val="009874EA"/>
    <w:rsid w:val="00987574"/>
    <w:rsid w:val="009876AD"/>
    <w:rsid w:val="00987BF0"/>
    <w:rsid w:val="0099069C"/>
    <w:rsid w:val="009907B2"/>
    <w:rsid w:val="0099097C"/>
    <w:rsid w:val="00990DE0"/>
    <w:rsid w:val="00991434"/>
    <w:rsid w:val="0099179A"/>
    <w:rsid w:val="009917F4"/>
    <w:rsid w:val="00991E1E"/>
    <w:rsid w:val="00991EC6"/>
    <w:rsid w:val="0099207B"/>
    <w:rsid w:val="00992A04"/>
    <w:rsid w:val="009932C0"/>
    <w:rsid w:val="009936E9"/>
    <w:rsid w:val="009938C5"/>
    <w:rsid w:val="00993E2F"/>
    <w:rsid w:val="00993EFC"/>
    <w:rsid w:val="0099427A"/>
    <w:rsid w:val="00994915"/>
    <w:rsid w:val="0099539A"/>
    <w:rsid w:val="00995C30"/>
    <w:rsid w:val="0099672A"/>
    <w:rsid w:val="00997069"/>
    <w:rsid w:val="0099713A"/>
    <w:rsid w:val="009973AB"/>
    <w:rsid w:val="0099786A"/>
    <w:rsid w:val="00997DDF"/>
    <w:rsid w:val="009A030C"/>
    <w:rsid w:val="009A0727"/>
    <w:rsid w:val="009A10B4"/>
    <w:rsid w:val="009A17D7"/>
    <w:rsid w:val="009A18C9"/>
    <w:rsid w:val="009A1F5C"/>
    <w:rsid w:val="009A21C2"/>
    <w:rsid w:val="009A2248"/>
    <w:rsid w:val="009A2648"/>
    <w:rsid w:val="009A2852"/>
    <w:rsid w:val="009A2A21"/>
    <w:rsid w:val="009A2EA4"/>
    <w:rsid w:val="009A2EC9"/>
    <w:rsid w:val="009A2FC3"/>
    <w:rsid w:val="009A3A5C"/>
    <w:rsid w:val="009A3F79"/>
    <w:rsid w:val="009A41D3"/>
    <w:rsid w:val="009A4242"/>
    <w:rsid w:val="009A4343"/>
    <w:rsid w:val="009A4369"/>
    <w:rsid w:val="009A463A"/>
    <w:rsid w:val="009A4A65"/>
    <w:rsid w:val="009A557C"/>
    <w:rsid w:val="009A571D"/>
    <w:rsid w:val="009A61A0"/>
    <w:rsid w:val="009A6236"/>
    <w:rsid w:val="009A6C30"/>
    <w:rsid w:val="009A7FF0"/>
    <w:rsid w:val="009B0ECA"/>
    <w:rsid w:val="009B10BB"/>
    <w:rsid w:val="009B134C"/>
    <w:rsid w:val="009B3571"/>
    <w:rsid w:val="009B3A49"/>
    <w:rsid w:val="009B501B"/>
    <w:rsid w:val="009B51BC"/>
    <w:rsid w:val="009B58EC"/>
    <w:rsid w:val="009B5C35"/>
    <w:rsid w:val="009B61CD"/>
    <w:rsid w:val="009B7361"/>
    <w:rsid w:val="009B774A"/>
    <w:rsid w:val="009B7828"/>
    <w:rsid w:val="009B790D"/>
    <w:rsid w:val="009B7ACB"/>
    <w:rsid w:val="009B7B5C"/>
    <w:rsid w:val="009C0E6B"/>
    <w:rsid w:val="009C102B"/>
    <w:rsid w:val="009C136F"/>
    <w:rsid w:val="009C159B"/>
    <w:rsid w:val="009C1A78"/>
    <w:rsid w:val="009C235D"/>
    <w:rsid w:val="009C3202"/>
    <w:rsid w:val="009C3853"/>
    <w:rsid w:val="009C3A23"/>
    <w:rsid w:val="009C3C8F"/>
    <w:rsid w:val="009C3FF1"/>
    <w:rsid w:val="009C444A"/>
    <w:rsid w:val="009C44F6"/>
    <w:rsid w:val="009C4A12"/>
    <w:rsid w:val="009C4D61"/>
    <w:rsid w:val="009C4D73"/>
    <w:rsid w:val="009C5423"/>
    <w:rsid w:val="009C576B"/>
    <w:rsid w:val="009C662F"/>
    <w:rsid w:val="009C7B3E"/>
    <w:rsid w:val="009D0823"/>
    <w:rsid w:val="009D0E11"/>
    <w:rsid w:val="009D1ABD"/>
    <w:rsid w:val="009D1F94"/>
    <w:rsid w:val="009D2AC9"/>
    <w:rsid w:val="009D2E95"/>
    <w:rsid w:val="009D2FE9"/>
    <w:rsid w:val="009D35C9"/>
    <w:rsid w:val="009D36D5"/>
    <w:rsid w:val="009D4600"/>
    <w:rsid w:val="009D46F2"/>
    <w:rsid w:val="009D4F5E"/>
    <w:rsid w:val="009D5007"/>
    <w:rsid w:val="009D50C5"/>
    <w:rsid w:val="009D5D85"/>
    <w:rsid w:val="009D6E96"/>
    <w:rsid w:val="009D7A93"/>
    <w:rsid w:val="009D7C0A"/>
    <w:rsid w:val="009D7EBE"/>
    <w:rsid w:val="009D7EFF"/>
    <w:rsid w:val="009D7F5C"/>
    <w:rsid w:val="009E03C3"/>
    <w:rsid w:val="009E05D4"/>
    <w:rsid w:val="009E0DA5"/>
    <w:rsid w:val="009E12F6"/>
    <w:rsid w:val="009E1531"/>
    <w:rsid w:val="009E15CC"/>
    <w:rsid w:val="009E183D"/>
    <w:rsid w:val="009E1C03"/>
    <w:rsid w:val="009E2823"/>
    <w:rsid w:val="009E32BC"/>
    <w:rsid w:val="009E3794"/>
    <w:rsid w:val="009E3C23"/>
    <w:rsid w:val="009E3E88"/>
    <w:rsid w:val="009E3EC5"/>
    <w:rsid w:val="009E3F08"/>
    <w:rsid w:val="009E421C"/>
    <w:rsid w:val="009E526F"/>
    <w:rsid w:val="009E573F"/>
    <w:rsid w:val="009E5BB0"/>
    <w:rsid w:val="009E5C8B"/>
    <w:rsid w:val="009E5DBB"/>
    <w:rsid w:val="009E5DFA"/>
    <w:rsid w:val="009E600C"/>
    <w:rsid w:val="009E6496"/>
    <w:rsid w:val="009E6A03"/>
    <w:rsid w:val="009E6B94"/>
    <w:rsid w:val="009E73A7"/>
    <w:rsid w:val="009E77AC"/>
    <w:rsid w:val="009E7CB8"/>
    <w:rsid w:val="009E7D6E"/>
    <w:rsid w:val="009E7E59"/>
    <w:rsid w:val="009F01E5"/>
    <w:rsid w:val="009F0527"/>
    <w:rsid w:val="009F065F"/>
    <w:rsid w:val="009F0B8D"/>
    <w:rsid w:val="009F0E24"/>
    <w:rsid w:val="009F0F0F"/>
    <w:rsid w:val="009F157A"/>
    <w:rsid w:val="009F15B1"/>
    <w:rsid w:val="009F15D8"/>
    <w:rsid w:val="009F1D49"/>
    <w:rsid w:val="009F2439"/>
    <w:rsid w:val="009F28CF"/>
    <w:rsid w:val="009F365E"/>
    <w:rsid w:val="009F3D29"/>
    <w:rsid w:val="009F5EBB"/>
    <w:rsid w:val="009F7F9B"/>
    <w:rsid w:val="00A00281"/>
    <w:rsid w:val="00A0144E"/>
    <w:rsid w:val="00A01ADF"/>
    <w:rsid w:val="00A0226C"/>
    <w:rsid w:val="00A028CC"/>
    <w:rsid w:val="00A03822"/>
    <w:rsid w:val="00A03BD0"/>
    <w:rsid w:val="00A040A6"/>
    <w:rsid w:val="00A04737"/>
    <w:rsid w:val="00A04989"/>
    <w:rsid w:val="00A0512F"/>
    <w:rsid w:val="00A05504"/>
    <w:rsid w:val="00A05A05"/>
    <w:rsid w:val="00A05C0E"/>
    <w:rsid w:val="00A05CF2"/>
    <w:rsid w:val="00A05ED1"/>
    <w:rsid w:val="00A069D6"/>
    <w:rsid w:val="00A06F7A"/>
    <w:rsid w:val="00A07040"/>
    <w:rsid w:val="00A079F9"/>
    <w:rsid w:val="00A10009"/>
    <w:rsid w:val="00A1015B"/>
    <w:rsid w:val="00A1098D"/>
    <w:rsid w:val="00A10AC2"/>
    <w:rsid w:val="00A10F3C"/>
    <w:rsid w:val="00A11296"/>
    <w:rsid w:val="00A121DE"/>
    <w:rsid w:val="00A125C3"/>
    <w:rsid w:val="00A12BAE"/>
    <w:rsid w:val="00A12C62"/>
    <w:rsid w:val="00A138F9"/>
    <w:rsid w:val="00A1545C"/>
    <w:rsid w:val="00A16600"/>
    <w:rsid w:val="00A16667"/>
    <w:rsid w:val="00A1684D"/>
    <w:rsid w:val="00A177DF"/>
    <w:rsid w:val="00A20389"/>
    <w:rsid w:val="00A208E0"/>
    <w:rsid w:val="00A20B62"/>
    <w:rsid w:val="00A20C62"/>
    <w:rsid w:val="00A20F38"/>
    <w:rsid w:val="00A214E0"/>
    <w:rsid w:val="00A21687"/>
    <w:rsid w:val="00A21922"/>
    <w:rsid w:val="00A219AD"/>
    <w:rsid w:val="00A2202E"/>
    <w:rsid w:val="00A2300F"/>
    <w:rsid w:val="00A23255"/>
    <w:rsid w:val="00A233C9"/>
    <w:rsid w:val="00A239E0"/>
    <w:rsid w:val="00A23A11"/>
    <w:rsid w:val="00A242C3"/>
    <w:rsid w:val="00A24365"/>
    <w:rsid w:val="00A24895"/>
    <w:rsid w:val="00A24A9B"/>
    <w:rsid w:val="00A24E08"/>
    <w:rsid w:val="00A258EB"/>
    <w:rsid w:val="00A25AF2"/>
    <w:rsid w:val="00A25CCF"/>
    <w:rsid w:val="00A261BD"/>
    <w:rsid w:val="00A262FF"/>
    <w:rsid w:val="00A263CC"/>
    <w:rsid w:val="00A264C9"/>
    <w:rsid w:val="00A27523"/>
    <w:rsid w:val="00A27A88"/>
    <w:rsid w:val="00A27FB0"/>
    <w:rsid w:val="00A3012F"/>
    <w:rsid w:val="00A30264"/>
    <w:rsid w:val="00A30455"/>
    <w:rsid w:val="00A306C3"/>
    <w:rsid w:val="00A30D49"/>
    <w:rsid w:val="00A3142F"/>
    <w:rsid w:val="00A318EE"/>
    <w:rsid w:val="00A31B26"/>
    <w:rsid w:val="00A31F72"/>
    <w:rsid w:val="00A32586"/>
    <w:rsid w:val="00A32E25"/>
    <w:rsid w:val="00A3362A"/>
    <w:rsid w:val="00A33769"/>
    <w:rsid w:val="00A33B12"/>
    <w:rsid w:val="00A344CB"/>
    <w:rsid w:val="00A34611"/>
    <w:rsid w:val="00A346E5"/>
    <w:rsid w:val="00A3484F"/>
    <w:rsid w:val="00A34946"/>
    <w:rsid w:val="00A351E4"/>
    <w:rsid w:val="00A35B00"/>
    <w:rsid w:val="00A36284"/>
    <w:rsid w:val="00A36613"/>
    <w:rsid w:val="00A36661"/>
    <w:rsid w:val="00A366FB"/>
    <w:rsid w:val="00A375A9"/>
    <w:rsid w:val="00A37D7E"/>
    <w:rsid w:val="00A402A0"/>
    <w:rsid w:val="00A40339"/>
    <w:rsid w:val="00A40B18"/>
    <w:rsid w:val="00A411A8"/>
    <w:rsid w:val="00A4129A"/>
    <w:rsid w:val="00A4146B"/>
    <w:rsid w:val="00A4189E"/>
    <w:rsid w:val="00A41E79"/>
    <w:rsid w:val="00A42440"/>
    <w:rsid w:val="00A42E16"/>
    <w:rsid w:val="00A432EC"/>
    <w:rsid w:val="00A43924"/>
    <w:rsid w:val="00A44267"/>
    <w:rsid w:val="00A44D6C"/>
    <w:rsid w:val="00A45A4B"/>
    <w:rsid w:val="00A4609A"/>
    <w:rsid w:val="00A463C3"/>
    <w:rsid w:val="00A46408"/>
    <w:rsid w:val="00A471E3"/>
    <w:rsid w:val="00A5016C"/>
    <w:rsid w:val="00A502D7"/>
    <w:rsid w:val="00A5078E"/>
    <w:rsid w:val="00A50EBC"/>
    <w:rsid w:val="00A51463"/>
    <w:rsid w:val="00A52B2D"/>
    <w:rsid w:val="00A53C80"/>
    <w:rsid w:val="00A54F96"/>
    <w:rsid w:val="00A55188"/>
    <w:rsid w:val="00A555A7"/>
    <w:rsid w:val="00A556D8"/>
    <w:rsid w:val="00A5577D"/>
    <w:rsid w:val="00A56BC1"/>
    <w:rsid w:val="00A56DC6"/>
    <w:rsid w:val="00A571D7"/>
    <w:rsid w:val="00A5745C"/>
    <w:rsid w:val="00A602DE"/>
    <w:rsid w:val="00A60612"/>
    <w:rsid w:val="00A60740"/>
    <w:rsid w:val="00A60E99"/>
    <w:rsid w:val="00A61D42"/>
    <w:rsid w:val="00A62672"/>
    <w:rsid w:val="00A63183"/>
    <w:rsid w:val="00A6338C"/>
    <w:rsid w:val="00A633FB"/>
    <w:rsid w:val="00A63B2B"/>
    <w:rsid w:val="00A641A8"/>
    <w:rsid w:val="00A641E2"/>
    <w:rsid w:val="00A6452F"/>
    <w:rsid w:val="00A64B65"/>
    <w:rsid w:val="00A651D1"/>
    <w:rsid w:val="00A6524A"/>
    <w:rsid w:val="00A65584"/>
    <w:rsid w:val="00A66112"/>
    <w:rsid w:val="00A661DB"/>
    <w:rsid w:val="00A66DD8"/>
    <w:rsid w:val="00A66E00"/>
    <w:rsid w:val="00A67315"/>
    <w:rsid w:val="00A67E0E"/>
    <w:rsid w:val="00A67F98"/>
    <w:rsid w:val="00A7002E"/>
    <w:rsid w:val="00A7023A"/>
    <w:rsid w:val="00A706BF"/>
    <w:rsid w:val="00A716FA"/>
    <w:rsid w:val="00A7203C"/>
    <w:rsid w:val="00A728DF"/>
    <w:rsid w:val="00A7342A"/>
    <w:rsid w:val="00A7355E"/>
    <w:rsid w:val="00A7374D"/>
    <w:rsid w:val="00A743EA"/>
    <w:rsid w:val="00A747BF"/>
    <w:rsid w:val="00A749BD"/>
    <w:rsid w:val="00A74B42"/>
    <w:rsid w:val="00A750D4"/>
    <w:rsid w:val="00A75AD3"/>
    <w:rsid w:val="00A75C2E"/>
    <w:rsid w:val="00A761C8"/>
    <w:rsid w:val="00A76BEE"/>
    <w:rsid w:val="00A773C8"/>
    <w:rsid w:val="00A774AC"/>
    <w:rsid w:val="00A77B8B"/>
    <w:rsid w:val="00A8035C"/>
    <w:rsid w:val="00A80972"/>
    <w:rsid w:val="00A81320"/>
    <w:rsid w:val="00A81498"/>
    <w:rsid w:val="00A81C8C"/>
    <w:rsid w:val="00A81CAE"/>
    <w:rsid w:val="00A81D3F"/>
    <w:rsid w:val="00A82240"/>
    <w:rsid w:val="00A830B5"/>
    <w:rsid w:val="00A830F7"/>
    <w:rsid w:val="00A83A39"/>
    <w:rsid w:val="00A83C69"/>
    <w:rsid w:val="00A83C9C"/>
    <w:rsid w:val="00A83E18"/>
    <w:rsid w:val="00A84A37"/>
    <w:rsid w:val="00A84AE8"/>
    <w:rsid w:val="00A85456"/>
    <w:rsid w:val="00A85662"/>
    <w:rsid w:val="00A85A58"/>
    <w:rsid w:val="00A85BA1"/>
    <w:rsid w:val="00A86067"/>
    <w:rsid w:val="00A8622A"/>
    <w:rsid w:val="00A864C0"/>
    <w:rsid w:val="00A8679C"/>
    <w:rsid w:val="00A87541"/>
    <w:rsid w:val="00A87BC5"/>
    <w:rsid w:val="00A87D84"/>
    <w:rsid w:val="00A9090B"/>
    <w:rsid w:val="00A90AC4"/>
    <w:rsid w:val="00A90C9B"/>
    <w:rsid w:val="00A90F52"/>
    <w:rsid w:val="00A91307"/>
    <w:rsid w:val="00A914C1"/>
    <w:rsid w:val="00A91795"/>
    <w:rsid w:val="00A9198D"/>
    <w:rsid w:val="00A91ABE"/>
    <w:rsid w:val="00A91B6E"/>
    <w:rsid w:val="00A91E08"/>
    <w:rsid w:val="00A9201E"/>
    <w:rsid w:val="00A92FBA"/>
    <w:rsid w:val="00A93223"/>
    <w:rsid w:val="00A93790"/>
    <w:rsid w:val="00A93953"/>
    <w:rsid w:val="00A93D21"/>
    <w:rsid w:val="00A940BF"/>
    <w:rsid w:val="00A94183"/>
    <w:rsid w:val="00A941E4"/>
    <w:rsid w:val="00A9434A"/>
    <w:rsid w:val="00A94D95"/>
    <w:rsid w:val="00A94E68"/>
    <w:rsid w:val="00A94FC0"/>
    <w:rsid w:val="00A950C9"/>
    <w:rsid w:val="00A953E5"/>
    <w:rsid w:val="00A95411"/>
    <w:rsid w:val="00A958C7"/>
    <w:rsid w:val="00A959F7"/>
    <w:rsid w:val="00A967E0"/>
    <w:rsid w:val="00A96CA3"/>
    <w:rsid w:val="00A971F5"/>
    <w:rsid w:val="00A974A2"/>
    <w:rsid w:val="00A976B5"/>
    <w:rsid w:val="00A978A7"/>
    <w:rsid w:val="00A97ACD"/>
    <w:rsid w:val="00AA076A"/>
    <w:rsid w:val="00AA0988"/>
    <w:rsid w:val="00AA0A33"/>
    <w:rsid w:val="00AA0B9F"/>
    <w:rsid w:val="00AA0DC2"/>
    <w:rsid w:val="00AA0DDB"/>
    <w:rsid w:val="00AA0EDF"/>
    <w:rsid w:val="00AA120D"/>
    <w:rsid w:val="00AA1AC2"/>
    <w:rsid w:val="00AA1D58"/>
    <w:rsid w:val="00AA2017"/>
    <w:rsid w:val="00AA270C"/>
    <w:rsid w:val="00AA34EF"/>
    <w:rsid w:val="00AA3EFB"/>
    <w:rsid w:val="00AA40E4"/>
    <w:rsid w:val="00AA4111"/>
    <w:rsid w:val="00AA50B5"/>
    <w:rsid w:val="00AA56DE"/>
    <w:rsid w:val="00AA6670"/>
    <w:rsid w:val="00AA6C27"/>
    <w:rsid w:val="00AA6C3B"/>
    <w:rsid w:val="00AA7D1F"/>
    <w:rsid w:val="00AB157D"/>
    <w:rsid w:val="00AB1A85"/>
    <w:rsid w:val="00AB2884"/>
    <w:rsid w:val="00AB2E7A"/>
    <w:rsid w:val="00AB324A"/>
    <w:rsid w:val="00AB32A9"/>
    <w:rsid w:val="00AB3C70"/>
    <w:rsid w:val="00AB4D7F"/>
    <w:rsid w:val="00AB5C24"/>
    <w:rsid w:val="00AB5D12"/>
    <w:rsid w:val="00AB5E19"/>
    <w:rsid w:val="00AB6527"/>
    <w:rsid w:val="00AB72F9"/>
    <w:rsid w:val="00AB76C5"/>
    <w:rsid w:val="00AB77AB"/>
    <w:rsid w:val="00AB7911"/>
    <w:rsid w:val="00AB7E2B"/>
    <w:rsid w:val="00AC0B2E"/>
    <w:rsid w:val="00AC0D28"/>
    <w:rsid w:val="00AC0EE6"/>
    <w:rsid w:val="00AC0F0C"/>
    <w:rsid w:val="00AC1390"/>
    <w:rsid w:val="00AC14F7"/>
    <w:rsid w:val="00AC15B2"/>
    <w:rsid w:val="00AC18AB"/>
    <w:rsid w:val="00AC236D"/>
    <w:rsid w:val="00AC2BD2"/>
    <w:rsid w:val="00AC2CE9"/>
    <w:rsid w:val="00AC30A6"/>
    <w:rsid w:val="00AC316A"/>
    <w:rsid w:val="00AC35F5"/>
    <w:rsid w:val="00AC37F0"/>
    <w:rsid w:val="00AC39D6"/>
    <w:rsid w:val="00AC3FEC"/>
    <w:rsid w:val="00AC454B"/>
    <w:rsid w:val="00AC4733"/>
    <w:rsid w:val="00AC4C6F"/>
    <w:rsid w:val="00AC4EF2"/>
    <w:rsid w:val="00AC4FCE"/>
    <w:rsid w:val="00AC5327"/>
    <w:rsid w:val="00AC55B5"/>
    <w:rsid w:val="00AC5647"/>
    <w:rsid w:val="00AC57F1"/>
    <w:rsid w:val="00AC5E2B"/>
    <w:rsid w:val="00AC6386"/>
    <w:rsid w:val="00AC6820"/>
    <w:rsid w:val="00AD0C5A"/>
    <w:rsid w:val="00AD2ACC"/>
    <w:rsid w:val="00AD32E4"/>
    <w:rsid w:val="00AD33F3"/>
    <w:rsid w:val="00AD36EA"/>
    <w:rsid w:val="00AD3865"/>
    <w:rsid w:val="00AD4675"/>
    <w:rsid w:val="00AD49A1"/>
    <w:rsid w:val="00AD4E0D"/>
    <w:rsid w:val="00AD4E48"/>
    <w:rsid w:val="00AD4F16"/>
    <w:rsid w:val="00AD50B4"/>
    <w:rsid w:val="00AD56EB"/>
    <w:rsid w:val="00AD6006"/>
    <w:rsid w:val="00AD747F"/>
    <w:rsid w:val="00AD77E8"/>
    <w:rsid w:val="00AD7947"/>
    <w:rsid w:val="00AD7C7C"/>
    <w:rsid w:val="00AE0621"/>
    <w:rsid w:val="00AE0CF6"/>
    <w:rsid w:val="00AE1218"/>
    <w:rsid w:val="00AE2046"/>
    <w:rsid w:val="00AE215E"/>
    <w:rsid w:val="00AE2390"/>
    <w:rsid w:val="00AE2927"/>
    <w:rsid w:val="00AE307D"/>
    <w:rsid w:val="00AE3520"/>
    <w:rsid w:val="00AE3D61"/>
    <w:rsid w:val="00AE3FBA"/>
    <w:rsid w:val="00AE40AF"/>
    <w:rsid w:val="00AE4120"/>
    <w:rsid w:val="00AE4237"/>
    <w:rsid w:val="00AE4F7C"/>
    <w:rsid w:val="00AE5C29"/>
    <w:rsid w:val="00AE76E3"/>
    <w:rsid w:val="00AE7CB4"/>
    <w:rsid w:val="00AF058D"/>
    <w:rsid w:val="00AF08B4"/>
    <w:rsid w:val="00AF08F7"/>
    <w:rsid w:val="00AF29B8"/>
    <w:rsid w:val="00AF2FFE"/>
    <w:rsid w:val="00AF367C"/>
    <w:rsid w:val="00AF3B52"/>
    <w:rsid w:val="00AF3C92"/>
    <w:rsid w:val="00AF4144"/>
    <w:rsid w:val="00AF4727"/>
    <w:rsid w:val="00AF547F"/>
    <w:rsid w:val="00AF570C"/>
    <w:rsid w:val="00AF57D0"/>
    <w:rsid w:val="00AF57EC"/>
    <w:rsid w:val="00AF5810"/>
    <w:rsid w:val="00AF59DA"/>
    <w:rsid w:val="00AF5B90"/>
    <w:rsid w:val="00AF5C61"/>
    <w:rsid w:val="00AF60AB"/>
    <w:rsid w:val="00AF61F3"/>
    <w:rsid w:val="00B00018"/>
    <w:rsid w:val="00B00615"/>
    <w:rsid w:val="00B017E9"/>
    <w:rsid w:val="00B01A3E"/>
    <w:rsid w:val="00B024A7"/>
    <w:rsid w:val="00B02B9B"/>
    <w:rsid w:val="00B03866"/>
    <w:rsid w:val="00B038D1"/>
    <w:rsid w:val="00B03A9F"/>
    <w:rsid w:val="00B040AE"/>
    <w:rsid w:val="00B042B0"/>
    <w:rsid w:val="00B0467B"/>
    <w:rsid w:val="00B0519A"/>
    <w:rsid w:val="00B05A09"/>
    <w:rsid w:val="00B05AED"/>
    <w:rsid w:val="00B05F94"/>
    <w:rsid w:val="00B061DD"/>
    <w:rsid w:val="00B069B7"/>
    <w:rsid w:val="00B0779E"/>
    <w:rsid w:val="00B07A34"/>
    <w:rsid w:val="00B07C6E"/>
    <w:rsid w:val="00B101EC"/>
    <w:rsid w:val="00B1046D"/>
    <w:rsid w:val="00B10591"/>
    <w:rsid w:val="00B112B4"/>
    <w:rsid w:val="00B1143E"/>
    <w:rsid w:val="00B114DB"/>
    <w:rsid w:val="00B116F7"/>
    <w:rsid w:val="00B11938"/>
    <w:rsid w:val="00B11B06"/>
    <w:rsid w:val="00B11D44"/>
    <w:rsid w:val="00B12CBF"/>
    <w:rsid w:val="00B12CDA"/>
    <w:rsid w:val="00B137AB"/>
    <w:rsid w:val="00B137DB"/>
    <w:rsid w:val="00B138DC"/>
    <w:rsid w:val="00B13ED5"/>
    <w:rsid w:val="00B145C3"/>
    <w:rsid w:val="00B149B2"/>
    <w:rsid w:val="00B15529"/>
    <w:rsid w:val="00B15A91"/>
    <w:rsid w:val="00B17804"/>
    <w:rsid w:val="00B20224"/>
    <w:rsid w:val="00B20701"/>
    <w:rsid w:val="00B20E8D"/>
    <w:rsid w:val="00B2158B"/>
    <w:rsid w:val="00B218E2"/>
    <w:rsid w:val="00B220F5"/>
    <w:rsid w:val="00B23778"/>
    <w:rsid w:val="00B238FE"/>
    <w:rsid w:val="00B2433C"/>
    <w:rsid w:val="00B24685"/>
    <w:rsid w:val="00B246E6"/>
    <w:rsid w:val="00B246EE"/>
    <w:rsid w:val="00B24903"/>
    <w:rsid w:val="00B254BB"/>
    <w:rsid w:val="00B2557D"/>
    <w:rsid w:val="00B25E88"/>
    <w:rsid w:val="00B2631A"/>
    <w:rsid w:val="00B267BC"/>
    <w:rsid w:val="00B27BDB"/>
    <w:rsid w:val="00B31D52"/>
    <w:rsid w:val="00B3313F"/>
    <w:rsid w:val="00B337AE"/>
    <w:rsid w:val="00B33AF0"/>
    <w:rsid w:val="00B33ED7"/>
    <w:rsid w:val="00B342B2"/>
    <w:rsid w:val="00B342F1"/>
    <w:rsid w:val="00B346F9"/>
    <w:rsid w:val="00B34B3E"/>
    <w:rsid w:val="00B34FE6"/>
    <w:rsid w:val="00B35051"/>
    <w:rsid w:val="00B352BE"/>
    <w:rsid w:val="00B35CEC"/>
    <w:rsid w:val="00B36BB4"/>
    <w:rsid w:val="00B36BDF"/>
    <w:rsid w:val="00B36E72"/>
    <w:rsid w:val="00B370D1"/>
    <w:rsid w:val="00B37C3C"/>
    <w:rsid w:val="00B40350"/>
    <w:rsid w:val="00B403D5"/>
    <w:rsid w:val="00B40582"/>
    <w:rsid w:val="00B40D15"/>
    <w:rsid w:val="00B41139"/>
    <w:rsid w:val="00B41F7F"/>
    <w:rsid w:val="00B42E9E"/>
    <w:rsid w:val="00B43075"/>
    <w:rsid w:val="00B4353F"/>
    <w:rsid w:val="00B43809"/>
    <w:rsid w:val="00B454E4"/>
    <w:rsid w:val="00B4594C"/>
    <w:rsid w:val="00B45F86"/>
    <w:rsid w:val="00B465A1"/>
    <w:rsid w:val="00B46ED3"/>
    <w:rsid w:val="00B4737F"/>
    <w:rsid w:val="00B47621"/>
    <w:rsid w:val="00B478CE"/>
    <w:rsid w:val="00B501FE"/>
    <w:rsid w:val="00B50857"/>
    <w:rsid w:val="00B50F34"/>
    <w:rsid w:val="00B514A2"/>
    <w:rsid w:val="00B52100"/>
    <w:rsid w:val="00B522BB"/>
    <w:rsid w:val="00B53841"/>
    <w:rsid w:val="00B53982"/>
    <w:rsid w:val="00B53A52"/>
    <w:rsid w:val="00B53A5C"/>
    <w:rsid w:val="00B53EBB"/>
    <w:rsid w:val="00B55A92"/>
    <w:rsid w:val="00B561AF"/>
    <w:rsid w:val="00B56859"/>
    <w:rsid w:val="00B56C5F"/>
    <w:rsid w:val="00B57256"/>
    <w:rsid w:val="00B5740E"/>
    <w:rsid w:val="00B57668"/>
    <w:rsid w:val="00B57CE4"/>
    <w:rsid w:val="00B6038B"/>
    <w:rsid w:val="00B607DA"/>
    <w:rsid w:val="00B60A3D"/>
    <w:rsid w:val="00B60EC8"/>
    <w:rsid w:val="00B61120"/>
    <w:rsid w:val="00B61EB0"/>
    <w:rsid w:val="00B626C8"/>
    <w:rsid w:val="00B62A22"/>
    <w:rsid w:val="00B62FF1"/>
    <w:rsid w:val="00B63312"/>
    <w:rsid w:val="00B635D1"/>
    <w:rsid w:val="00B638AB"/>
    <w:rsid w:val="00B63B5D"/>
    <w:rsid w:val="00B6489D"/>
    <w:rsid w:val="00B64B16"/>
    <w:rsid w:val="00B64F6E"/>
    <w:rsid w:val="00B655F8"/>
    <w:rsid w:val="00B658A6"/>
    <w:rsid w:val="00B667FB"/>
    <w:rsid w:val="00B66D25"/>
    <w:rsid w:val="00B6768A"/>
    <w:rsid w:val="00B67865"/>
    <w:rsid w:val="00B70233"/>
    <w:rsid w:val="00B70CBE"/>
    <w:rsid w:val="00B713AE"/>
    <w:rsid w:val="00B71C53"/>
    <w:rsid w:val="00B72053"/>
    <w:rsid w:val="00B7303C"/>
    <w:rsid w:val="00B7305D"/>
    <w:rsid w:val="00B7348D"/>
    <w:rsid w:val="00B73A26"/>
    <w:rsid w:val="00B73FD1"/>
    <w:rsid w:val="00B74182"/>
    <w:rsid w:val="00B74236"/>
    <w:rsid w:val="00B744D8"/>
    <w:rsid w:val="00B74711"/>
    <w:rsid w:val="00B74870"/>
    <w:rsid w:val="00B75BD1"/>
    <w:rsid w:val="00B75C2E"/>
    <w:rsid w:val="00B75D99"/>
    <w:rsid w:val="00B75F34"/>
    <w:rsid w:val="00B75FF6"/>
    <w:rsid w:val="00B7615E"/>
    <w:rsid w:val="00B7656A"/>
    <w:rsid w:val="00B7659B"/>
    <w:rsid w:val="00B76EEB"/>
    <w:rsid w:val="00B76F8C"/>
    <w:rsid w:val="00B7728A"/>
    <w:rsid w:val="00B77318"/>
    <w:rsid w:val="00B7741D"/>
    <w:rsid w:val="00B77AA0"/>
    <w:rsid w:val="00B77C63"/>
    <w:rsid w:val="00B80B8C"/>
    <w:rsid w:val="00B80C45"/>
    <w:rsid w:val="00B80CA5"/>
    <w:rsid w:val="00B80E75"/>
    <w:rsid w:val="00B815A3"/>
    <w:rsid w:val="00B81924"/>
    <w:rsid w:val="00B82251"/>
    <w:rsid w:val="00B8245B"/>
    <w:rsid w:val="00B827DE"/>
    <w:rsid w:val="00B8284E"/>
    <w:rsid w:val="00B831DF"/>
    <w:rsid w:val="00B8381D"/>
    <w:rsid w:val="00B83CCA"/>
    <w:rsid w:val="00B83D76"/>
    <w:rsid w:val="00B83F82"/>
    <w:rsid w:val="00B84485"/>
    <w:rsid w:val="00B84B3A"/>
    <w:rsid w:val="00B85461"/>
    <w:rsid w:val="00B8553D"/>
    <w:rsid w:val="00B858EF"/>
    <w:rsid w:val="00B861B4"/>
    <w:rsid w:val="00B905E5"/>
    <w:rsid w:val="00B90789"/>
    <w:rsid w:val="00B90A6E"/>
    <w:rsid w:val="00B91241"/>
    <w:rsid w:val="00B91B93"/>
    <w:rsid w:val="00B91E4B"/>
    <w:rsid w:val="00B928ED"/>
    <w:rsid w:val="00B92B29"/>
    <w:rsid w:val="00B94017"/>
    <w:rsid w:val="00B9403D"/>
    <w:rsid w:val="00B943B0"/>
    <w:rsid w:val="00B94525"/>
    <w:rsid w:val="00B94A03"/>
    <w:rsid w:val="00B959BF"/>
    <w:rsid w:val="00B95AC0"/>
    <w:rsid w:val="00B95B00"/>
    <w:rsid w:val="00B95C3A"/>
    <w:rsid w:val="00B9655A"/>
    <w:rsid w:val="00B96756"/>
    <w:rsid w:val="00B9748D"/>
    <w:rsid w:val="00B97C24"/>
    <w:rsid w:val="00B97D80"/>
    <w:rsid w:val="00B97E61"/>
    <w:rsid w:val="00BA149D"/>
    <w:rsid w:val="00BA1E64"/>
    <w:rsid w:val="00BA3597"/>
    <w:rsid w:val="00BA37FC"/>
    <w:rsid w:val="00BA3E86"/>
    <w:rsid w:val="00BA4689"/>
    <w:rsid w:val="00BA4933"/>
    <w:rsid w:val="00BA4ED2"/>
    <w:rsid w:val="00BA5603"/>
    <w:rsid w:val="00BA58A7"/>
    <w:rsid w:val="00BA618E"/>
    <w:rsid w:val="00BA6274"/>
    <w:rsid w:val="00BA64BB"/>
    <w:rsid w:val="00BA6B6C"/>
    <w:rsid w:val="00BA70E7"/>
    <w:rsid w:val="00BA789F"/>
    <w:rsid w:val="00BA78C9"/>
    <w:rsid w:val="00BA7F7A"/>
    <w:rsid w:val="00BB0087"/>
    <w:rsid w:val="00BB01F8"/>
    <w:rsid w:val="00BB0336"/>
    <w:rsid w:val="00BB0FE1"/>
    <w:rsid w:val="00BB16DA"/>
    <w:rsid w:val="00BB1EF4"/>
    <w:rsid w:val="00BB1F89"/>
    <w:rsid w:val="00BB2A27"/>
    <w:rsid w:val="00BB3344"/>
    <w:rsid w:val="00BB38EE"/>
    <w:rsid w:val="00BB3AE6"/>
    <w:rsid w:val="00BB4201"/>
    <w:rsid w:val="00BB4B4D"/>
    <w:rsid w:val="00BB4D3F"/>
    <w:rsid w:val="00BB55F8"/>
    <w:rsid w:val="00BB5677"/>
    <w:rsid w:val="00BB67D4"/>
    <w:rsid w:val="00BB775D"/>
    <w:rsid w:val="00BC148B"/>
    <w:rsid w:val="00BC1616"/>
    <w:rsid w:val="00BC1BEC"/>
    <w:rsid w:val="00BC2396"/>
    <w:rsid w:val="00BC3061"/>
    <w:rsid w:val="00BC3854"/>
    <w:rsid w:val="00BC4BC5"/>
    <w:rsid w:val="00BC4F1A"/>
    <w:rsid w:val="00BC4FEC"/>
    <w:rsid w:val="00BC5122"/>
    <w:rsid w:val="00BC5964"/>
    <w:rsid w:val="00BC5FE0"/>
    <w:rsid w:val="00BC613B"/>
    <w:rsid w:val="00BC6542"/>
    <w:rsid w:val="00BC69F2"/>
    <w:rsid w:val="00BC757C"/>
    <w:rsid w:val="00BC7D9D"/>
    <w:rsid w:val="00BC7DBA"/>
    <w:rsid w:val="00BC7E91"/>
    <w:rsid w:val="00BD041E"/>
    <w:rsid w:val="00BD08A7"/>
    <w:rsid w:val="00BD0BD3"/>
    <w:rsid w:val="00BD1818"/>
    <w:rsid w:val="00BD1AE6"/>
    <w:rsid w:val="00BD1B24"/>
    <w:rsid w:val="00BD1FCD"/>
    <w:rsid w:val="00BD25FD"/>
    <w:rsid w:val="00BD3082"/>
    <w:rsid w:val="00BD30CB"/>
    <w:rsid w:val="00BD375E"/>
    <w:rsid w:val="00BD3DB2"/>
    <w:rsid w:val="00BD40D7"/>
    <w:rsid w:val="00BD4277"/>
    <w:rsid w:val="00BD4A8F"/>
    <w:rsid w:val="00BD4D5A"/>
    <w:rsid w:val="00BD4F3D"/>
    <w:rsid w:val="00BD4FDC"/>
    <w:rsid w:val="00BD5142"/>
    <w:rsid w:val="00BD57EF"/>
    <w:rsid w:val="00BD5A77"/>
    <w:rsid w:val="00BD671A"/>
    <w:rsid w:val="00BD6748"/>
    <w:rsid w:val="00BD678C"/>
    <w:rsid w:val="00BD6B62"/>
    <w:rsid w:val="00BD6E2D"/>
    <w:rsid w:val="00BD72AF"/>
    <w:rsid w:val="00BE01DF"/>
    <w:rsid w:val="00BE0B34"/>
    <w:rsid w:val="00BE136C"/>
    <w:rsid w:val="00BE179F"/>
    <w:rsid w:val="00BE17E1"/>
    <w:rsid w:val="00BE2C56"/>
    <w:rsid w:val="00BE307D"/>
    <w:rsid w:val="00BE3388"/>
    <w:rsid w:val="00BE3456"/>
    <w:rsid w:val="00BE34C4"/>
    <w:rsid w:val="00BE3671"/>
    <w:rsid w:val="00BE3BA8"/>
    <w:rsid w:val="00BE3CB7"/>
    <w:rsid w:val="00BE3DBB"/>
    <w:rsid w:val="00BE465F"/>
    <w:rsid w:val="00BE4A38"/>
    <w:rsid w:val="00BE4B4A"/>
    <w:rsid w:val="00BE4FD7"/>
    <w:rsid w:val="00BE52E0"/>
    <w:rsid w:val="00BE561A"/>
    <w:rsid w:val="00BE5D83"/>
    <w:rsid w:val="00BE6257"/>
    <w:rsid w:val="00BE6679"/>
    <w:rsid w:val="00BE68A0"/>
    <w:rsid w:val="00BE69B3"/>
    <w:rsid w:val="00BE6EF3"/>
    <w:rsid w:val="00BE728B"/>
    <w:rsid w:val="00BE7677"/>
    <w:rsid w:val="00BE79EE"/>
    <w:rsid w:val="00BE7B2F"/>
    <w:rsid w:val="00BE7C0D"/>
    <w:rsid w:val="00BF126E"/>
    <w:rsid w:val="00BF1BBD"/>
    <w:rsid w:val="00BF1D70"/>
    <w:rsid w:val="00BF1FCE"/>
    <w:rsid w:val="00BF2B87"/>
    <w:rsid w:val="00BF30FB"/>
    <w:rsid w:val="00BF3202"/>
    <w:rsid w:val="00BF34BB"/>
    <w:rsid w:val="00BF3899"/>
    <w:rsid w:val="00BF3A8D"/>
    <w:rsid w:val="00BF3CDD"/>
    <w:rsid w:val="00BF3F59"/>
    <w:rsid w:val="00BF40D6"/>
    <w:rsid w:val="00BF45F8"/>
    <w:rsid w:val="00BF4ABA"/>
    <w:rsid w:val="00BF4AF2"/>
    <w:rsid w:val="00BF4E55"/>
    <w:rsid w:val="00BF591A"/>
    <w:rsid w:val="00BF660D"/>
    <w:rsid w:val="00BF6CD6"/>
    <w:rsid w:val="00BF6D2B"/>
    <w:rsid w:val="00BF727B"/>
    <w:rsid w:val="00BF7BA2"/>
    <w:rsid w:val="00BF7DF5"/>
    <w:rsid w:val="00BF7E28"/>
    <w:rsid w:val="00C0015C"/>
    <w:rsid w:val="00C003C5"/>
    <w:rsid w:val="00C005BA"/>
    <w:rsid w:val="00C00711"/>
    <w:rsid w:val="00C01E99"/>
    <w:rsid w:val="00C02343"/>
    <w:rsid w:val="00C02519"/>
    <w:rsid w:val="00C025AF"/>
    <w:rsid w:val="00C02A8C"/>
    <w:rsid w:val="00C02BA4"/>
    <w:rsid w:val="00C03119"/>
    <w:rsid w:val="00C0373A"/>
    <w:rsid w:val="00C03BCD"/>
    <w:rsid w:val="00C041D8"/>
    <w:rsid w:val="00C043C5"/>
    <w:rsid w:val="00C04AF0"/>
    <w:rsid w:val="00C04CE0"/>
    <w:rsid w:val="00C0587B"/>
    <w:rsid w:val="00C05928"/>
    <w:rsid w:val="00C05B7C"/>
    <w:rsid w:val="00C05C6D"/>
    <w:rsid w:val="00C05CD3"/>
    <w:rsid w:val="00C06148"/>
    <w:rsid w:val="00C0646C"/>
    <w:rsid w:val="00C0646E"/>
    <w:rsid w:val="00C06C1D"/>
    <w:rsid w:val="00C07571"/>
    <w:rsid w:val="00C0776D"/>
    <w:rsid w:val="00C07E4D"/>
    <w:rsid w:val="00C10186"/>
    <w:rsid w:val="00C101FC"/>
    <w:rsid w:val="00C10218"/>
    <w:rsid w:val="00C106E2"/>
    <w:rsid w:val="00C1281C"/>
    <w:rsid w:val="00C1296A"/>
    <w:rsid w:val="00C12ACE"/>
    <w:rsid w:val="00C12CCC"/>
    <w:rsid w:val="00C12E7F"/>
    <w:rsid w:val="00C133B8"/>
    <w:rsid w:val="00C134FE"/>
    <w:rsid w:val="00C14083"/>
    <w:rsid w:val="00C140F0"/>
    <w:rsid w:val="00C147D9"/>
    <w:rsid w:val="00C147E5"/>
    <w:rsid w:val="00C14DB3"/>
    <w:rsid w:val="00C1517A"/>
    <w:rsid w:val="00C17832"/>
    <w:rsid w:val="00C2039B"/>
    <w:rsid w:val="00C2053B"/>
    <w:rsid w:val="00C20923"/>
    <w:rsid w:val="00C20EBC"/>
    <w:rsid w:val="00C2112E"/>
    <w:rsid w:val="00C219F3"/>
    <w:rsid w:val="00C21AAF"/>
    <w:rsid w:val="00C21CFE"/>
    <w:rsid w:val="00C222EF"/>
    <w:rsid w:val="00C22374"/>
    <w:rsid w:val="00C22813"/>
    <w:rsid w:val="00C230F8"/>
    <w:rsid w:val="00C23971"/>
    <w:rsid w:val="00C24316"/>
    <w:rsid w:val="00C248B9"/>
    <w:rsid w:val="00C249A6"/>
    <w:rsid w:val="00C24C09"/>
    <w:rsid w:val="00C2575D"/>
    <w:rsid w:val="00C266A6"/>
    <w:rsid w:val="00C26883"/>
    <w:rsid w:val="00C268C2"/>
    <w:rsid w:val="00C26E1D"/>
    <w:rsid w:val="00C26F65"/>
    <w:rsid w:val="00C26F7A"/>
    <w:rsid w:val="00C276BE"/>
    <w:rsid w:val="00C30856"/>
    <w:rsid w:val="00C31026"/>
    <w:rsid w:val="00C31BAB"/>
    <w:rsid w:val="00C32237"/>
    <w:rsid w:val="00C3234A"/>
    <w:rsid w:val="00C324E2"/>
    <w:rsid w:val="00C33358"/>
    <w:rsid w:val="00C334D8"/>
    <w:rsid w:val="00C35CA9"/>
    <w:rsid w:val="00C373E9"/>
    <w:rsid w:val="00C37971"/>
    <w:rsid w:val="00C37E62"/>
    <w:rsid w:val="00C416EC"/>
    <w:rsid w:val="00C42496"/>
    <w:rsid w:val="00C42A5F"/>
    <w:rsid w:val="00C42BC3"/>
    <w:rsid w:val="00C430AB"/>
    <w:rsid w:val="00C43C19"/>
    <w:rsid w:val="00C44023"/>
    <w:rsid w:val="00C44AF6"/>
    <w:rsid w:val="00C45021"/>
    <w:rsid w:val="00C45030"/>
    <w:rsid w:val="00C45496"/>
    <w:rsid w:val="00C45529"/>
    <w:rsid w:val="00C45AEA"/>
    <w:rsid w:val="00C464B2"/>
    <w:rsid w:val="00C46783"/>
    <w:rsid w:val="00C469B8"/>
    <w:rsid w:val="00C469C2"/>
    <w:rsid w:val="00C47BE7"/>
    <w:rsid w:val="00C47C73"/>
    <w:rsid w:val="00C47DC2"/>
    <w:rsid w:val="00C5016C"/>
    <w:rsid w:val="00C502AE"/>
    <w:rsid w:val="00C50D7C"/>
    <w:rsid w:val="00C517E3"/>
    <w:rsid w:val="00C52962"/>
    <w:rsid w:val="00C52EB8"/>
    <w:rsid w:val="00C53429"/>
    <w:rsid w:val="00C53DDB"/>
    <w:rsid w:val="00C5425C"/>
    <w:rsid w:val="00C545F9"/>
    <w:rsid w:val="00C54A9B"/>
    <w:rsid w:val="00C54F85"/>
    <w:rsid w:val="00C552FF"/>
    <w:rsid w:val="00C5538F"/>
    <w:rsid w:val="00C55DA1"/>
    <w:rsid w:val="00C564A4"/>
    <w:rsid w:val="00C56F06"/>
    <w:rsid w:val="00C5778E"/>
    <w:rsid w:val="00C57A53"/>
    <w:rsid w:val="00C606EE"/>
    <w:rsid w:val="00C612D8"/>
    <w:rsid w:val="00C61428"/>
    <w:rsid w:val="00C614D4"/>
    <w:rsid w:val="00C6171F"/>
    <w:rsid w:val="00C62085"/>
    <w:rsid w:val="00C6220A"/>
    <w:rsid w:val="00C628C0"/>
    <w:rsid w:val="00C6290C"/>
    <w:rsid w:val="00C62A73"/>
    <w:rsid w:val="00C62B84"/>
    <w:rsid w:val="00C62D35"/>
    <w:rsid w:val="00C62F4B"/>
    <w:rsid w:val="00C631C2"/>
    <w:rsid w:val="00C63CAA"/>
    <w:rsid w:val="00C63F6D"/>
    <w:rsid w:val="00C63FF9"/>
    <w:rsid w:val="00C6483C"/>
    <w:rsid w:val="00C64E55"/>
    <w:rsid w:val="00C656B9"/>
    <w:rsid w:val="00C65936"/>
    <w:rsid w:val="00C66057"/>
    <w:rsid w:val="00C660E1"/>
    <w:rsid w:val="00C6626D"/>
    <w:rsid w:val="00C662E0"/>
    <w:rsid w:val="00C669DE"/>
    <w:rsid w:val="00C66F62"/>
    <w:rsid w:val="00C675D4"/>
    <w:rsid w:val="00C67932"/>
    <w:rsid w:val="00C67C0A"/>
    <w:rsid w:val="00C67CDA"/>
    <w:rsid w:val="00C700AD"/>
    <w:rsid w:val="00C7076B"/>
    <w:rsid w:val="00C70C5B"/>
    <w:rsid w:val="00C72E11"/>
    <w:rsid w:val="00C7355A"/>
    <w:rsid w:val="00C73F8C"/>
    <w:rsid w:val="00C7493C"/>
    <w:rsid w:val="00C74A54"/>
    <w:rsid w:val="00C74B4F"/>
    <w:rsid w:val="00C74DE0"/>
    <w:rsid w:val="00C755DC"/>
    <w:rsid w:val="00C75D05"/>
    <w:rsid w:val="00C75DC5"/>
    <w:rsid w:val="00C76674"/>
    <w:rsid w:val="00C767B8"/>
    <w:rsid w:val="00C76933"/>
    <w:rsid w:val="00C76FE5"/>
    <w:rsid w:val="00C80C0C"/>
    <w:rsid w:val="00C80DB5"/>
    <w:rsid w:val="00C815F1"/>
    <w:rsid w:val="00C81703"/>
    <w:rsid w:val="00C817CB"/>
    <w:rsid w:val="00C82253"/>
    <w:rsid w:val="00C825E7"/>
    <w:rsid w:val="00C82866"/>
    <w:rsid w:val="00C83608"/>
    <w:rsid w:val="00C83FBF"/>
    <w:rsid w:val="00C840AB"/>
    <w:rsid w:val="00C844D9"/>
    <w:rsid w:val="00C84818"/>
    <w:rsid w:val="00C848D8"/>
    <w:rsid w:val="00C848E6"/>
    <w:rsid w:val="00C84903"/>
    <w:rsid w:val="00C84BA3"/>
    <w:rsid w:val="00C84D39"/>
    <w:rsid w:val="00C85C62"/>
    <w:rsid w:val="00C86422"/>
    <w:rsid w:val="00C8684B"/>
    <w:rsid w:val="00C878F1"/>
    <w:rsid w:val="00C87963"/>
    <w:rsid w:val="00C87D0B"/>
    <w:rsid w:val="00C87F66"/>
    <w:rsid w:val="00C900CC"/>
    <w:rsid w:val="00C902A4"/>
    <w:rsid w:val="00C9067C"/>
    <w:rsid w:val="00C910E1"/>
    <w:rsid w:val="00C918E5"/>
    <w:rsid w:val="00C91C8C"/>
    <w:rsid w:val="00C93711"/>
    <w:rsid w:val="00C93982"/>
    <w:rsid w:val="00C93F28"/>
    <w:rsid w:val="00C94C50"/>
    <w:rsid w:val="00C94E9F"/>
    <w:rsid w:val="00C95293"/>
    <w:rsid w:val="00C954A4"/>
    <w:rsid w:val="00C95A77"/>
    <w:rsid w:val="00C95C09"/>
    <w:rsid w:val="00C95E0E"/>
    <w:rsid w:val="00C96088"/>
    <w:rsid w:val="00C96EE9"/>
    <w:rsid w:val="00C97B5E"/>
    <w:rsid w:val="00C97F38"/>
    <w:rsid w:val="00CA18A7"/>
    <w:rsid w:val="00CA2068"/>
    <w:rsid w:val="00CA261A"/>
    <w:rsid w:val="00CA2882"/>
    <w:rsid w:val="00CA2D49"/>
    <w:rsid w:val="00CA2FBE"/>
    <w:rsid w:val="00CA33CE"/>
    <w:rsid w:val="00CA33E2"/>
    <w:rsid w:val="00CA38C0"/>
    <w:rsid w:val="00CA3A17"/>
    <w:rsid w:val="00CA3A61"/>
    <w:rsid w:val="00CA3D58"/>
    <w:rsid w:val="00CA459C"/>
    <w:rsid w:val="00CA4616"/>
    <w:rsid w:val="00CA5D79"/>
    <w:rsid w:val="00CA5FC0"/>
    <w:rsid w:val="00CA68F6"/>
    <w:rsid w:val="00CA6B97"/>
    <w:rsid w:val="00CA6C80"/>
    <w:rsid w:val="00CA791F"/>
    <w:rsid w:val="00CA7AF9"/>
    <w:rsid w:val="00CB02A6"/>
    <w:rsid w:val="00CB0586"/>
    <w:rsid w:val="00CB0660"/>
    <w:rsid w:val="00CB0A52"/>
    <w:rsid w:val="00CB0D10"/>
    <w:rsid w:val="00CB183C"/>
    <w:rsid w:val="00CB1F24"/>
    <w:rsid w:val="00CB2727"/>
    <w:rsid w:val="00CB2C24"/>
    <w:rsid w:val="00CB2C61"/>
    <w:rsid w:val="00CB2E4A"/>
    <w:rsid w:val="00CB2F31"/>
    <w:rsid w:val="00CB37C5"/>
    <w:rsid w:val="00CB4327"/>
    <w:rsid w:val="00CB48BF"/>
    <w:rsid w:val="00CB48D5"/>
    <w:rsid w:val="00CB50DE"/>
    <w:rsid w:val="00CB6126"/>
    <w:rsid w:val="00CB6D65"/>
    <w:rsid w:val="00CB6E22"/>
    <w:rsid w:val="00CB706A"/>
    <w:rsid w:val="00CB7659"/>
    <w:rsid w:val="00CB7738"/>
    <w:rsid w:val="00CB7959"/>
    <w:rsid w:val="00CB7AC7"/>
    <w:rsid w:val="00CB7B5E"/>
    <w:rsid w:val="00CB7E83"/>
    <w:rsid w:val="00CC07DC"/>
    <w:rsid w:val="00CC0FCF"/>
    <w:rsid w:val="00CC194D"/>
    <w:rsid w:val="00CC1A4B"/>
    <w:rsid w:val="00CC1CB6"/>
    <w:rsid w:val="00CC1F32"/>
    <w:rsid w:val="00CC251D"/>
    <w:rsid w:val="00CC272F"/>
    <w:rsid w:val="00CC280C"/>
    <w:rsid w:val="00CC2D3D"/>
    <w:rsid w:val="00CC31A2"/>
    <w:rsid w:val="00CC3250"/>
    <w:rsid w:val="00CC378E"/>
    <w:rsid w:val="00CC43C0"/>
    <w:rsid w:val="00CC51BC"/>
    <w:rsid w:val="00CC5209"/>
    <w:rsid w:val="00CC5A2C"/>
    <w:rsid w:val="00CC6398"/>
    <w:rsid w:val="00CC7A13"/>
    <w:rsid w:val="00CC7A18"/>
    <w:rsid w:val="00CC7A9E"/>
    <w:rsid w:val="00CC7CA0"/>
    <w:rsid w:val="00CC7D6F"/>
    <w:rsid w:val="00CD064D"/>
    <w:rsid w:val="00CD0D68"/>
    <w:rsid w:val="00CD10B7"/>
    <w:rsid w:val="00CD18CC"/>
    <w:rsid w:val="00CD1BE9"/>
    <w:rsid w:val="00CD232B"/>
    <w:rsid w:val="00CD2496"/>
    <w:rsid w:val="00CD25CA"/>
    <w:rsid w:val="00CD2600"/>
    <w:rsid w:val="00CD26AE"/>
    <w:rsid w:val="00CD270C"/>
    <w:rsid w:val="00CD27A1"/>
    <w:rsid w:val="00CD437F"/>
    <w:rsid w:val="00CD4834"/>
    <w:rsid w:val="00CD5603"/>
    <w:rsid w:val="00CD591C"/>
    <w:rsid w:val="00CD59C9"/>
    <w:rsid w:val="00CD5E5D"/>
    <w:rsid w:val="00CD6084"/>
    <w:rsid w:val="00CD643F"/>
    <w:rsid w:val="00CD6635"/>
    <w:rsid w:val="00CD69FC"/>
    <w:rsid w:val="00CD76D4"/>
    <w:rsid w:val="00CD7806"/>
    <w:rsid w:val="00CD7833"/>
    <w:rsid w:val="00CE025D"/>
    <w:rsid w:val="00CE0E01"/>
    <w:rsid w:val="00CE0F03"/>
    <w:rsid w:val="00CE1B2E"/>
    <w:rsid w:val="00CE1DEC"/>
    <w:rsid w:val="00CE22CB"/>
    <w:rsid w:val="00CE2304"/>
    <w:rsid w:val="00CE293F"/>
    <w:rsid w:val="00CE29F3"/>
    <w:rsid w:val="00CE2BDE"/>
    <w:rsid w:val="00CE3305"/>
    <w:rsid w:val="00CE3E44"/>
    <w:rsid w:val="00CE3FC4"/>
    <w:rsid w:val="00CE40DB"/>
    <w:rsid w:val="00CE492C"/>
    <w:rsid w:val="00CE4A7B"/>
    <w:rsid w:val="00CE4CDC"/>
    <w:rsid w:val="00CE52C0"/>
    <w:rsid w:val="00CE54BC"/>
    <w:rsid w:val="00CE6467"/>
    <w:rsid w:val="00CE66E6"/>
    <w:rsid w:val="00CE6A68"/>
    <w:rsid w:val="00CE7064"/>
    <w:rsid w:val="00CE7D35"/>
    <w:rsid w:val="00CE7EAE"/>
    <w:rsid w:val="00CF0029"/>
    <w:rsid w:val="00CF0581"/>
    <w:rsid w:val="00CF0727"/>
    <w:rsid w:val="00CF077D"/>
    <w:rsid w:val="00CF0AEC"/>
    <w:rsid w:val="00CF1211"/>
    <w:rsid w:val="00CF17CF"/>
    <w:rsid w:val="00CF1CA6"/>
    <w:rsid w:val="00CF208A"/>
    <w:rsid w:val="00CF20D0"/>
    <w:rsid w:val="00CF2D0F"/>
    <w:rsid w:val="00CF33B8"/>
    <w:rsid w:val="00CF4271"/>
    <w:rsid w:val="00CF4F5E"/>
    <w:rsid w:val="00CF4FF0"/>
    <w:rsid w:val="00CF5578"/>
    <w:rsid w:val="00CF65BA"/>
    <w:rsid w:val="00CF6779"/>
    <w:rsid w:val="00CF6B7E"/>
    <w:rsid w:val="00CF70E5"/>
    <w:rsid w:val="00CF7D75"/>
    <w:rsid w:val="00D00596"/>
    <w:rsid w:val="00D0059F"/>
    <w:rsid w:val="00D00BD3"/>
    <w:rsid w:val="00D00C57"/>
    <w:rsid w:val="00D0212F"/>
    <w:rsid w:val="00D024D6"/>
    <w:rsid w:val="00D025C3"/>
    <w:rsid w:val="00D02A8D"/>
    <w:rsid w:val="00D02B4D"/>
    <w:rsid w:val="00D03005"/>
    <w:rsid w:val="00D032DE"/>
    <w:rsid w:val="00D035B1"/>
    <w:rsid w:val="00D036C5"/>
    <w:rsid w:val="00D03A71"/>
    <w:rsid w:val="00D03C1E"/>
    <w:rsid w:val="00D04482"/>
    <w:rsid w:val="00D05734"/>
    <w:rsid w:val="00D067E8"/>
    <w:rsid w:val="00D0681B"/>
    <w:rsid w:val="00D06B4C"/>
    <w:rsid w:val="00D06C79"/>
    <w:rsid w:val="00D06C90"/>
    <w:rsid w:val="00D06E83"/>
    <w:rsid w:val="00D07283"/>
    <w:rsid w:val="00D07381"/>
    <w:rsid w:val="00D075CC"/>
    <w:rsid w:val="00D07EDC"/>
    <w:rsid w:val="00D07F7D"/>
    <w:rsid w:val="00D101A3"/>
    <w:rsid w:val="00D1032B"/>
    <w:rsid w:val="00D111D9"/>
    <w:rsid w:val="00D112A5"/>
    <w:rsid w:val="00D11438"/>
    <w:rsid w:val="00D11736"/>
    <w:rsid w:val="00D128C6"/>
    <w:rsid w:val="00D12B9B"/>
    <w:rsid w:val="00D13A60"/>
    <w:rsid w:val="00D142F4"/>
    <w:rsid w:val="00D143F9"/>
    <w:rsid w:val="00D14D2C"/>
    <w:rsid w:val="00D1526D"/>
    <w:rsid w:val="00D15E94"/>
    <w:rsid w:val="00D16911"/>
    <w:rsid w:val="00D16BB1"/>
    <w:rsid w:val="00D17000"/>
    <w:rsid w:val="00D174B2"/>
    <w:rsid w:val="00D17A64"/>
    <w:rsid w:val="00D17A65"/>
    <w:rsid w:val="00D17AE5"/>
    <w:rsid w:val="00D17D29"/>
    <w:rsid w:val="00D17F30"/>
    <w:rsid w:val="00D17F6E"/>
    <w:rsid w:val="00D20DAF"/>
    <w:rsid w:val="00D2179C"/>
    <w:rsid w:val="00D21BB3"/>
    <w:rsid w:val="00D22476"/>
    <w:rsid w:val="00D225BA"/>
    <w:rsid w:val="00D22BD0"/>
    <w:rsid w:val="00D23F19"/>
    <w:rsid w:val="00D24504"/>
    <w:rsid w:val="00D24EE2"/>
    <w:rsid w:val="00D25035"/>
    <w:rsid w:val="00D251B5"/>
    <w:rsid w:val="00D25608"/>
    <w:rsid w:val="00D256CF"/>
    <w:rsid w:val="00D25881"/>
    <w:rsid w:val="00D25A75"/>
    <w:rsid w:val="00D25BD2"/>
    <w:rsid w:val="00D269F9"/>
    <w:rsid w:val="00D26DE1"/>
    <w:rsid w:val="00D270ED"/>
    <w:rsid w:val="00D276FC"/>
    <w:rsid w:val="00D27BCA"/>
    <w:rsid w:val="00D30681"/>
    <w:rsid w:val="00D30CE4"/>
    <w:rsid w:val="00D30D98"/>
    <w:rsid w:val="00D30DFD"/>
    <w:rsid w:val="00D32922"/>
    <w:rsid w:val="00D32BEC"/>
    <w:rsid w:val="00D33469"/>
    <w:rsid w:val="00D33A2C"/>
    <w:rsid w:val="00D340CB"/>
    <w:rsid w:val="00D34C33"/>
    <w:rsid w:val="00D34DA7"/>
    <w:rsid w:val="00D34EC2"/>
    <w:rsid w:val="00D35668"/>
    <w:rsid w:val="00D365C5"/>
    <w:rsid w:val="00D37927"/>
    <w:rsid w:val="00D40888"/>
    <w:rsid w:val="00D40F4F"/>
    <w:rsid w:val="00D411B2"/>
    <w:rsid w:val="00D4190E"/>
    <w:rsid w:val="00D432F0"/>
    <w:rsid w:val="00D43440"/>
    <w:rsid w:val="00D4355E"/>
    <w:rsid w:val="00D43A61"/>
    <w:rsid w:val="00D43B36"/>
    <w:rsid w:val="00D43F11"/>
    <w:rsid w:val="00D44120"/>
    <w:rsid w:val="00D442A4"/>
    <w:rsid w:val="00D443B0"/>
    <w:rsid w:val="00D44873"/>
    <w:rsid w:val="00D44926"/>
    <w:rsid w:val="00D44980"/>
    <w:rsid w:val="00D44DBC"/>
    <w:rsid w:val="00D452DE"/>
    <w:rsid w:val="00D46C81"/>
    <w:rsid w:val="00D47121"/>
    <w:rsid w:val="00D47122"/>
    <w:rsid w:val="00D47326"/>
    <w:rsid w:val="00D47416"/>
    <w:rsid w:val="00D4754A"/>
    <w:rsid w:val="00D502F6"/>
    <w:rsid w:val="00D503A4"/>
    <w:rsid w:val="00D50ADA"/>
    <w:rsid w:val="00D51E65"/>
    <w:rsid w:val="00D51F72"/>
    <w:rsid w:val="00D5216E"/>
    <w:rsid w:val="00D525DC"/>
    <w:rsid w:val="00D533BA"/>
    <w:rsid w:val="00D540D3"/>
    <w:rsid w:val="00D543FC"/>
    <w:rsid w:val="00D5441F"/>
    <w:rsid w:val="00D5481E"/>
    <w:rsid w:val="00D55CC3"/>
    <w:rsid w:val="00D563FB"/>
    <w:rsid w:val="00D5666D"/>
    <w:rsid w:val="00D56A2C"/>
    <w:rsid w:val="00D56D33"/>
    <w:rsid w:val="00D56F61"/>
    <w:rsid w:val="00D57C1E"/>
    <w:rsid w:val="00D600C8"/>
    <w:rsid w:val="00D6023E"/>
    <w:rsid w:val="00D61665"/>
    <w:rsid w:val="00D61BA2"/>
    <w:rsid w:val="00D625A3"/>
    <w:rsid w:val="00D63277"/>
    <w:rsid w:val="00D63287"/>
    <w:rsid w:val="00D63363"/>
    <w:rsid w:val="00D63C1B"/>
    <w:rsid w:val="00D6444C"/>
    <w:rsid w:val="00D650FB"/>
    <w:rsid w:val="00D655F2"/>
    <w:rsid w:val="00D65603"/>
    <w:rsid w:val="00D6561B"/>
    <w:rsid w:val="00D65CA2"/>
    <w:rsid w:val="00D65CD1"/>
    <w:rsid w:val="00D6626A"/>
    <w:rsid w:val="00D67ACD"/>
    <w:rsid w:val="00D67E84"/>
    <w:rsid w:val="00D70B50"/>
    <w:rsid w:val="00D7105C"/>
    <w:rsid w:val="00D71662"/>
    <w:rsid w:val="00D71DA1"/>
    <w:rsid w:val="00D71FFF"/>
    <w:rsid w:val="00D7209B"/>
    <w:rsid w:val="00D72529"/>
    <w:rsid w:val="00D72843"/>
    <w:rsid w:val="00D72967"/>
    <w:rsid w:val="00D72F00"/>
    <w:rsid w:val="00D73186"/>
    <w:rsid w:val="00D73196"/>
    <w:rsid w:val="00D7390B"/>
    <w:rsid w:val="00D7395C"/>
    <w:rsid w:val="00D740CB"/>
    <w:rsid w:val="00D740CC"/>
    <w:rsid w:val="00D74418"/>
    <w:rsid w:val="00D74596"/>
    <w:rsid w:val="00D74D65"/>
    <w:rsid w:val="00D752D0"/>
    <w:rsid w:val="00D757AB"/>
    <w:rsid w:val="00D75931"/>
    <w:rsid w:val="00D75D7D"/>
    <w:rsid w:val="00D765A0"/>
    <w:rsid w:val="00D769B2"/>
    <w:rsid w:val="00D76A48"/>
    <w:rsid w:val="00D77991"/>
    <w:rsid w:val="00D77E36"/>
    <w:rsid w:val="00D80171"/>
    <w:rsid w:val="00D80229"/>
    <w:rsid w:val="00D80454"/>
    <w:rsid w:val="00D80505"/>
    <w:rsid w:val="00D80C4F"/>
    <w:rsid w:val="00D80CA4"/>
    <w:rsid w:val="00D80D15"/>
    <w:rsid w:val="00D8128A"/>
    <w:rsid w:val="00D8244B"/>
    <w:rsid w:val="00D829B0"/>
    <w:rsid w:val="00D82A40"/>
    <w:rsid w:val="00D82CD6"/>
    <w:rsid w:val="00D83952"/>
    <w:rsid w:val="00D83B59"/>
    <w:rsid w:val="00D845E0"/>
    <w:rsid w:val="00D848E7"/>
    <w:rsid w:val="00D84E32"/>
    <w:rsid w:val="00D8530F"/>
    <w:rsid w:val="00D8552A"/>
    <w:rsid w:val="00D85BD8"/>
    <w:rsid w:val="00D85D86"/>
    <w:rsid w:val="00D862FB"/>
    <w:rsid w:val="00D86523"/>
    <w:rsid w:val="00D86C0F"/>
    <w:rsid w:val="00D872F7"/>
    <w:rsid w:val="00D8758E"/>
    <w:rsid w:val="00D90CB6"/>
    <w:rsid w:val="00D9105F"/>
    <w:rsid w:val="00D9111C"/>
    <w:rsid w:val="00D91274"/>
    <w:rsid w:val="00D9181E"/>
    <w:rsid w:val="00D91D58"/>
    <w:rsid w:val="00D9210F"/>
    <w:rsid w:val="00D9216A"/>
    <w:rsid w:val="00D924B2"/>
    <w:rsid w:val="00D92568"/>
    <w:rsid w:val="00D92A4B"/>
    <w:rsid w:val="00D9365B"/>
    <w:rsid w:val="00D93CF6"/>
    <w:rsid w:val="00D948B0"/>
    <w:rsid w:val="00D94965"/>
    <w:rsid w:val="00D94D21"/>
    <w:rsid w:val="00D9546F"/>
    <w:rsid w:val="00D955FB"/>
    <w:rsid w:val="00D9583E"/>
    <w:rsid w:val="00D9652A"/>
    <w:rsid w:val="00D965F5"/>
    <w:rsid w:val="00D96E3C"/>
    <w:rsid w:val="00D97110"/>
    <w:rsid w:val="00D97459"/>
    <w:rsid w:val="00D976E8"/>
    <w:rsid w:val="00DA06C0"/>
    <w:rsid w:val="00DA0866"/>
    <w:rsid w:val="00DA0D6D"/>
    <w:rsid w:val="00DA11B8"/>
    <w:rsid w:val="00DA135F"/>
    <w:rsid w:val="00DA1EA3"/>
    <w:rsid w:val="00DA1F76"/>
    <w:rsid w:val="00DA217B"/>
    <w:rsid w:val="00DA238E"/>
    <w:rsid w:val="00DA3D1A"/>
    <w:rsid w:val="00DA3E93"/>
    <w:rsid w:val="00DA40CB"/>
    <w:rsid w:val="00DA439B"/>
    <w:rsid w:val="00DA5251"/>
    <w:rsid w:val="00DA5ED7"/>
    <w:rsid w:val="00DA67B0"/>
    <w:rsid w:val="00DA6D39"/>
    <w:rsid w:val="00DA6F50"/>
    <w:rsid w:val="00DA71B8"/>
    <w:rsid w:val="00DA7423"/>
    <w:rsid w:val="00DA74E9"/>
    <w:rsid w:val="00DA7B1B"/>
    <w:rsid w:val="00DA7BD0"/>
    <w:rsid w:val="00DA7CBF"/>
    <w:rsid w:val="00DA7EB8"/>
    <w:rsid w:val="00DA7ECE"/>
    <w:rsid w:val="00DB0AFE"/>
    <w:rsid w:val="00DB137E"/>
    <w:rsid w:val="00DB1A0F"/>
    <w:rsid w:val="00DB21B2"/>
    <w:rsid w:val="00DB2D3E"/>
    <w:rsid w:val="00DB31EB"/>
    <w:rsid w:val="00DB35B2"/>
    <w:rsid w:val="00DB3758"/>
    <w:rsid w:val="00DB39B1"/>
    <w:rsid w:val="00DB3EAE"/>
    <w:rsid w:val="00DB4298"/>
    <w:rsid w:val="00DB43BA"/>
    <w:rsid w:val="00DB43DF"/>
    <w:rsid w:val="00DB447C"/>
    <w:rsid w:val="00DB4509"/>
    <w:rsid w:val="00DB45C3"/>
    <w:rsid w:val="00DB4986"/>
    <w:rsid w:val="00DB4D0F"/>
    <w:rsid w:val="00DB53D4"/>
    <w:rsid w:val="00DB5872"/>
    <w:rsid w:val="00DB58F8"/>
    <w:rsid w:val="00DB5900"/>
    <w:rsid w:val="00DB5CEA"/>
    <w:rsid w:val="00DB62F5"/>
    <w:rsid w:val="00DB6939"/>
    <w:rsid w:val="00DB6CBC"/>
    <w:rsid w:val="00DB71A0"/>
    <w:rsid w:val="00DB71A3"/>
    <w:rsid w:val="00DB75FB"/>
    <w:rsid w:val="00DB772F"/>
    <w:rsid w:val="00DC0802"/>
    <w:rsid w:val="00DC152E"/>
    <w:rsid w:val="00DC1CE4"/>
    <w:rsid w:val="00DC1D4D"/>
    <w:rsid w:val="00DC2563"/>
    <w:rsid w:val="00DC2B61"/>
    <w:rsid w:val="00DC2E80"/>
    <w:rsid w:val="00DC33DF"/>
    <w:rsid w:val="00DC3631"/>
    <w:rsid w:val="00DC36B9"/>
    <w:rsid w:val="00DC3899"/>
    <w:rsid w:val="00DC3FED"/>
    <w:rsid w:val="00DC401A"/>
    <w:rsid w:val="00DC41DE"/>
    <w:rsid w:val="00DC4380"/>
    <w:rsid w:val="00DC4902"/>
    <w:rsid w:val="00DC4AED"/>
    <w:rsid w:val="00DC4B84"/>
    <w:rsid w:val="00DC5285"/>
    <w:rsid w:val="00DC52BF"/>
    <w:rsid w:val="00DC55BE"/>
    <w:rsid w:val="00DC5BC9"/>
    <w:rsid w:val="00DC5D72"/>
    <w:rsid w:val="00DC632C"/>
    <w:rsid w:val="00DC65C8"/>
    <w:rsid w:val="00DC6F9C"/>
    <w:rsid w:val="00DC7032"/>
    <w:rsid w:val="00DC781C"/>
    <w:rsid w:val="00DC7AA9"/>
    <w:rsid w:val="00DD0106"/>
    <w:rsid w:val="00DD0B48"/>
    <w:rsid w:val="00DD0B9F"/>
    <w:rsid w:val="00DD0D7A"/>
    <w:rsid w:val="00DD122F"/>
    <w:rsid w:val="00DD15E7"/>
    <w:rsid w:val="00DD1937"/>
    <w:rsid w:val="00DD235B"/>
    <w:rsid w:val="00DD2640"/>
    <w:rsid w:val="00DD38D4"/>
    <w:rsid w:val="00DD3B89"/>
    <w:rsid w:val="00DD400C"/>
    <w:rsid w:val="00DD4E6A"/>
    <w:rsid w:val="00DD5133"/>
    <w:rsid w:val="00DD535B"/>
    <w:rsid w:val="00DD53BA"/>
    <w:rsid w:val="00DD56A9"/>
    <w:rsid w:val="00DD58EB"/>
    <w:rsid w:val="00DD6022"/>
    <w:rsid w:val="00DD64F0"/>
    <w:rsid w:val="00DD652D"/>
    <w:rsid w:val="00DD6773"/>
    <w:rsid w:val="00DD6F1B"/>
    <w:rsid w:val="00DD6F46"/>
    <w:rsid w:val="00DD7287"/>
    <w:rsid w:val="00DD7427"/>
    <w:rsid w:val="00DD7891"/>
    <w:rsid w:val="00DD7BDB"/>
    <w:rsid w:val="00DE0AAE"/>
    <w:rsid w:val="00DE0DF3"/>
    <w:rsid w:val="00DE18AB"/>
    <w:rsid w:val="00DE2CE9"/>
    <w:rsid w:val="00DE32FF"/>
    <w:rsid w:val="00DE42A9"/>
    <w:rsid w:val="00DE42FF"/>
    <w:rsid w:val="00DE431D"/>
    <w:rsid w:val="00DE4349"/>
    <w:rsid w:val="00DE4937"/>
    <w:rsid w:val="00DE4C01"/>
    <w:rsid w:val="00DE4E4B"/>
    <w:rsid w:val="00DE5087"/>
    <w:rsid w:val="00DE53BB"/>
    <w:rsid w:val="00DE5565"/>
    <w:rsid w:val="00DE5B99"/>
    <w:rsid w:val="00DE61B5"/>
    <w:rsid w:val="00DE6A1C"/>
    <w:rsid w:val="00DE6ECA"/>
    <w:rsid w:val="00DF008C"/>
    <w:rsid w:val="00DF0232"/>
    <w:rsid w:val="00DF1083"/>
    <w:rsid w:val="00DF18CC"/>
    <w:rsid w:val="00DF287D"/>
    <w:rsid w:val="00DF29E9"/>
    <w:rsid w:val="00DF2FC2"/>
    <w:rsid w:val="00DF3DC3"/>
    <w:rsid w:val="00DF429D"/>
    <w:rsid w:val="00DF438D"/>
    <w:rsid w:val="00DF45BD"/>
    <w:rsid w:val="00DF4707"/>
    <w:rsid w:val="00DF47F1"/>
    <w:rsid w:val="00DF4AB5"/>
    <w:rsid w:val="00DF56FC"/>
    <w:rsid w:val="00DF5719"/>
    <w:rsid w:val="00DF5B90"/>
    <w:rsid w:val="00DF5D61"/>
    <w:rsid w:val="00DF5E6D"/>
    <w:rsid w:val="00DF6BC0"/>
    <w:rsid w:val="00DF6BF9"/>
    <w:rsid w:val="00DF6F00"/>
    <w:rsid w:val="00DF7C45"/>
    <w:rsid w:val="00DF7E31"/>
    <w:rsid w:val="00DF7F55"/>
    <w:rsid w:val="00E007CD"/>
    <w:rsid w:val="00E0123C"/>
    <w:rsid w:val="00E01459"/>
    <w:rsid w:val="00E01683"/>
    <w:rsid w:val="00E01925"/>
    <w:rsid w:val="00E01C61"/>
    <w:rsid w:val="00E024D6"/>
    <w:rsid w:val="00E026A9"/>
    <w:rsid w:val="00E02C34"/>
    <w:rsid w:val="00E02D5F"/>
    <w:rsid w:val="00E03089"/>
    <w:rsid w:val="00E032BE"/>
    <w:rsid w:val="00E0335A"/>
    <w:rsid w:val="00E0347C"/>
    <w:rsid w:val="00E035E7"/>
    <w:rsid w:val="00E036A2"/>
    <w:rsid w:val="00E03A76"/>
    <w:rsid w:val="00E03B72"/>
    <w:rsid w:val="00E03C1F"/>
    <w:rsid w:val="00E04252"/>
    <w:rsid w:val="00E04292"/>
    <w:rsid w:val="00E04472"/>
    <w:rsid w:val="00E0450C"/>
    <w:rsid w:val="00E04B1C"/>
    <w:rsid w:val="00E04D4B"/>
    <w:rsid w:val="00E0628C"/>
    <w:rsid w:val="00E064C1"/>
    <w:rsid w:val="00E06E6E"/>
    <w:rsid w:val="00E0737A"/>
    <w:rsid w:val="00E077A1"/>
    <w:rsid w:val="00E07945"/>
    <w:rsid w:val="00E10BB9"/>
    <w:rsid w:val="00E11195"/>
    <w:rsid w:val="00E11AC7"/>
    <w:rsid w:val="00E12F36"/>
    <w:rsid w:val="00E135A2"/>
    <w:rsid w:val="00E13D29"/>
    <w:rsid w:val="00E13EF4"/>
    <w:rsid w:val="00E14E55"/>
    <w:rsid w:val="00E1567E"/>
    <w:rsid w:val="00E160B9"/>
    <w:rsid w:val="00E160C0"/>
    <w:rsid w:val="00E16ED2"/>
    <w:rsid w:val="00E2045A"/>
    <w:rsid w:val="00E20757"/>
    <w:rsid w:val="00E20810"/>
    <w:rsid w:val="00E20B21"/>
    <w:rsid w:val="00E20BCB"/>
    <w:rsid w:val="00E20C15"/>
    <w:rsid w:val="00E2109C"/>
    <w:rsid w:val="00E2114F"/>
    <w:rsid w:val="00E21217"/>
    <w:rsid w:val="00E214F8"/>
    <w:rsid w:val="00E216BB"/>
    <w:rsid w:val="00E2174F"/>
    <w:rsid w:val="00E21AB4"/>
    <w:rsid w:val="00E21D08"/>
    <w:rsid w:val="00E221D3"/>
    <w:rsid w:val="00E2235B"/>
    <w:rsid w:val="00E22F81"/>
    <w:rsid w:val="00E235F8"/>
    <w:rsid w:val="00E241DF"/>
    <w:rsid w:val="00E2454C"/>
    <w:rsid w:val="00E24950"/>
    <w:rsid w:val="00E24F0C"/>
    <w:rsid w:val="00E25225"/>
    <w:rsid w:val="00E259D4"/>
    <w:rsid w:val="00E27443"/>
    <w:rsid w:val="00E27C27"/>
    <w:rsid w:val="00E27EF3"/>
    <w:rsid w:val="00E300DE"/>
    <w:rsid w:val="00E30704"/>
    <w:rsid w:val="00E30EA2"/>
    <w:rsid w:val="00E315F8"/>
    <w:rsid w:val="00E3194D"/>
    <w:rsid w:val="00E31ADD"/>
    <w:rsid w:val="00E31F68"/>
    <w:rsid w:val="00E323CE"/>
    <w:rsid w:val="00E328FE"/>
    <w:rsid w:val="00E3325E"/>
    <w:rsid w:val="00E332AC"/>
    <w:rsid w:val="00E33AEB"/>
    <w:rsid w:val="00E36318"/>
    <w:rsid w:val="00E3631C"/>
    <w:rsid w:val="00E374C1"/>
    <w:rsid w:val="00E378C2"/>
    <w:rsid w:val="00E37EA6"/>
    <w:rsid w:val="00E40064"/>
    <w:rsid w:val="00E40334"/>
    <w:rsid w:val="00E4066E"/>
    <w:rsid w:val="00E4068A"/>
    <w:rsid w:val="00E40751"/>
    <w:rsid w:val="00E40BC4"/>
    <w:rsid w:val="00E4147E"/>
    <w:rsid w:val="00E416F8"/>
    <w:rsid w:val="00E42606"/>
    <w:rsid w:val="00E42ADD"/>
    <w:rsid w:val="00E43081"/>
    <w:rsid w:val="00E43C33"/>
    <w:rsid w:val="00E440FB"/>
    <w:rsid w:val="00E44B25"/>
    <w:rsid w:val="00E45047"/>
    <w:rsid w:val="00E45D61"/>
    <w:rsid w:val="00E4610F"/>
    <w:rsid w:val="00E4617F"/>
    <w:rsid w:val="00E46690"/>
    <w:rsid w:val="00E46C1E"/>
    <w:rsid w:val="00E47692"/>
    <w:rsid w:val="00E47EC7"/>
    <w:rsid w:val="00E505EC"/>
    <w:rsid w:val="00E50CAA"/>
    <w:rsid w:val="00E50FE9"/>
    <w:rsid w:val="00E514A2"/>
    <w:rsid w:val="00E51606"/>
    <w:rsid w:val="00E51AB6"/>
    <w:rsid w:val="00E52241"/>
    <w:rsid w:val="00E52616"/>
    <w:rsid w:val="00E52801"/>
    <w:rsid w:val="00E529B5"/>
    <w:rsid w:val="00E52AF4"/>
    <w:rsid w:val="00E52B7E"/>
    <w:rsid w:val="00E53209"/>
    <w:rsid w:val="00E53CF5"/>
    <w:rsid w:val="00E53FA3"/>
    <w:rsid w:val="00E550DC"/>
    <w:rsid w:val="00E55377"/>
    <w:rsid w:val="00E55E84"/>
    <w:rsid w:val="00E56372"/>
    <w:rsid w:val="00E56DC9"/>
    <w:rsid w:val="00E5704D"/>
    <w:rsid w:val="00E57800"/>
    <w:rsid w:val="00E5791E"/>
    <w:rsid w:val="00E579E2"/>
    <w:rsid w:val="00E57F89"/>
    <w:rsid w:val="00E604F4"/>
    <w:rsid w:val="00E60DE8"/>
    <w:rsid w:val="00E61691"/>
    <w:rsid w:val="00E61949"/>
    <w:rsid w:val="00E625F2"/>
    <w:rsid w:val="00E626EE"/>
    <w:rsid w:val="00E62899"/>
    <w:rsid w:val="00E63224"/>
    <w:rsid w:val="00E638DA"/>
    <w:rsid w:val="00E63E40"/>
    <w:rsid w:val="00E63FD9"/>
    <w:rsid w:val="00E642DE"/>
    <w:rsid w:val="00E64A94"/>
    <w:rsid w:val="00E64BF5"/>
    <w:rsid w:val="00E64C42"/>
    <w:rsid w:val="00E654E6"/>
    <w:rsid w:val="00E657B5"/>
    <w:rsid w:val="00E6622D"/>
    <w:rsid w:val="00E66504"/>
    <w:rsid w:val="00E66646"/>
    <w:rsid w:val="00E67134"/>
    <w:rsid w:val="00E70F9E"/>
    <w:rsid w:val="00E712C7"/>
    <w:rsid w:val="00E7192C"/>
    <w:rsid w:val="00E71F1B"/>
    <w:rsid w:val="00E71FFF"/>
    <w:rsid w:val="00E7221A"/>
    <w:rsid w:val="00E72CD3"/>
    <w:rsid w:val="00E73695"/>
    <w:rsid w:val="00E739E8"/>
    <w:rsid w:val="00E73C72"/>
    <w:rsid w:val="00E7428F"/>
    <w:rsid w:val="00E742E8"/>
    <w:rsid w:val="00E74651"/>
    <w:rsid w:val="00E749D4"/>
    <w:rsid w:val="00E7520C"/>
    <w:rsid w:val="00E75648"/>
    <w:rsid w:val="00E75950"/>
    <w:rsid w:val="00E766B0"/>
    <w:rsid w:val="00E76E14"/>
    <w:rsid w:val="00E77A0B"/>
    <w:rsid w:val="00E77A82"/>
    <w:rsid w:val="00E77AB6"/>
    <w:rsid w:val="00E800AA"/>
    <w:rsid w:val="00E807D2"/>
    <w:rsid w:val="00E809AB"/>
    <w:rsid w:val="00E80B48"/>
    <w:rsid w:val="00E80D51"/>
    <w:rsid w:val="00E80E24"/>
    <w:rsid w:val="00E82B96"/>
    <w:rsid w:val="00E83168"/>
    <w:rsid w:val="00E8340C"/>
    <w:rsid w:val="00E836AE"/>
    <w:rsid w:val="00E837A0"/>
    <w:rsid w:val="00E84110"/>
    <w:rsid w:val="00E844C1"/>
    <w:rsid w:val="00E844D6"/>
    <w:rsid w:val="00E84FA7"/>
    <w:rsid w:val="00E85A3A"/>
    <w:rsid w:val="00E85C6B"/>
    <w:rsid w:val="00E85DA4"/>
    <w:rsid w:val="00E85F5A"/>
    <w:rsid w:val="00E86074"/>
    <w:rsid w:val="00E867D4"/>
    <w:rsid w:val="00E86A2D"/>
    <w:rsid w:val="00E86D0A"/>
    <w:rsid w:val="00E87CEC"/>
    <w:rsid w:val="00E87D43"/>
    <w:rsid w:val="00E87E8D"/>
    <w:rsid w:val="00E87E9A"/>
    <w:rsid w:val="00E90090"/>
    <w:rsid w:val="00E9018D"/>
    <w:rsid w:val="00E905CA"/>
    <w:rsid w:val="00E90718"/>
    <w:rsid w:val="00E90A42"/>
    <w:rsid w:val="00E90C6E"/>
    <w:rsid w:val="00E90CF4"/>
    <w:rsid w:val="00E9143A"/>
    <w:rsid w:val="00E9154E"/>
    <w:rsid w:val="00E91595"/>
    <w:rsid w:val="00E91D72"/>
    <w:rsid w:val="00E91DB3"/>
    <w:rsid w:val="00E91E70"/>
    <w:rsid w:val="00E920D9"/>
    <w:rsid w:val="00E931DC"/>
    <w:rsid w:val="00E9334E"/>
    <w:rsid w:val="00E9376A"/>
    <w:rsid w:val="00E939B9"/>
    <w:rsid w:val="00E93BE4"/>
    <w:rsid w:val="00E93C5D"/>
    <w:rsid w:val="00E93CB4"/>
    <w:rsid w:val="00E93F0E"/>
    <w:rsid w:val="00E950F4"/>
    <w:rsid w:val="00E956CB"/>
    <w:rsid w:val="00E95B5A"/>
    <w:rsid w:val="00E95EAA"/>
    <w:rsid w:val="00E96FF1"/>
    <w:rsid w:val="00E970CB"/>
    <w:rsid w:val="00E97CE1"/>
    <w:rsid w:val="00E97F13"/>
    <w:rsid w:val="00EA04A9"/>
    <w:rsid w:val="00EA14CC"/>
    <w:rsid w:val="00EA21DA"/>
    <w:rsid w:val="00EA21FB"/>
    <w:rsid w:val="00EA2D97"/>
    <w:rsid w:val="00EA360C"/>
    <w:rsid w:val="00EA371F"/>
    <w:rsid w:val="00EA3C77"/>
    <w:rsid w:val="00EA3E22"/>
    <w:rsid w:val="00EA3EC7"/>
    <w:rsid w:val="00EA3F07"/>
    <w:rsid w:val="00EA4085"/>
    <w:rsid w:val="00EA412E"/>
    <w:rsid w:val="00EA47AF"/>
    <w:rsid w:val="00EA4E2F"/>
    <w:rsid w:val="00EA51B8"/>
    <w:rsid w:val="00EA51DF"/>
    <w:rsid w:val="00EA5B55"/>
    <w:rsid w:val="00EA6001"/>
    <w:rsid w:val="00EA6660"/>
    <w:rsid w:val="00EA7398"/>
    <w:rsid w:val="00EA76A6"/>
    <w:rsid w:val="00EA7792"/>
    <w:rsid w:val="00EA7CA5"/>
    <w:rsid w:val="00EA7D09"/>
    <w:rsid w:val="00EB02A1"/>
    <w:rsid w:val="00EB1040"/>
    <w:rsid w:val="00EB23B5"/>
    <w:rsid w:val="00EB27F5"/>
    <w:rsid w:val="00EB3653"/>
    <w:rsid w:val="00EB3EBE"/>
    <w:rsid w:val="00EB4A9E"/>
    <w:rsid w:val="00EB56E2"/>
    <w:rsid w:val="00EB5A4B"/>
    <w:rsid w:val="00EB60F0"/>
    <w:rsid w:val="00EB6363"/>
    <w:rsid w:val="00EB6B1C"/>
    <w:rsid w:val="00EB6D95"/>
    <w:rsid w:val="00EB6FA6"/>
    <w:rsid w:val="00EB7154"/>
    <w:rsid w:val="00EB75F3"/>
    <w:rsid w:val="00EB7804"/>
    <w:rsid w:val="00EB7C9B"/>
    <w:rsid w:val="00EC0210"/>
    <w:rsid w:val="00EC07C9"/>
    <w:rsid w:val="00EC085D"/>
    <w:rsid w:val="00EC1E59"/>
    <w:rsid w:val="00EC20A2"/>
    <w:rsid w:val="00EC248A"/>
    <w:rsid w:val="00EC2EF1"/>
    <w:rsid w:val="00EC303C"/>
    <w:rsid w:val="00EC38A1"/>
    <w:rsid w:val="00EC3AB1"/>
    <w:rsid w:val="00EC40D3"/>
    <w:rsid w:val="00EC414B"/>
    <w:rsid w:val="00EC4A96"/>
    <w:rsid w:val="00EC4DC7"/>
    <w:rsid w:val="00EC5D34"/>
    <w:rsid w:val="00EC617B"/>
    <w:rsid w:val="00EC7030"/>
    <w:rsid w:val="00EC75CF"/>
    <w:rsid w:val="00EC76EB"/>
    <w:rsid w:val="00ED0155"/>
    <w:rsid w:val="00ED0693"/>
    <w:rsid w:val="00ED0752"/>
    <w:rsid w:val="00ED0AF4"/>
    <w:rsid w:val="00ED0F84"/>
    <w:rsid w:val="00ED0FAC"/>
    <w:rsid w:val="00ED1522"/>
    <w:rsid w:val="00ED198B"/>
    <w:rsid w:val="00ED1C64"/>
    <w:rsid w:val="00ED1CD4"/>
    <w:rsid w:val="00ED20D9"/>
    <w:rsid w:val="00ED2780"/>
    <w:rsid w:val="00ED2E0E"/>
    <w:rsid w:val="00ED2E7D"/>
    <w:rsid w:val="00ED2F2A"/>
    <w:rsid w:val="00ED30D2"/>
    <w:rsid w:val="00ED34E8"/>
    <w:rsid w:val="00ED3AAE"/>
    <w:rsid w:val="00ED3DE3"/>
    <w:rsid w:val="00ED47DC"/>
    <w:rsid w:val="00ED4C4A"/>
    <w:rsid w:val="00ED4DD8"/>
    <w:rsid w:val="00ED5044"/>
    <w:rsid w:val="00ED55A2"/>
    <w:rsid w:val="00ED62AE"/>
    <w:rsid w:val="00ED6D3B"/>
    <w:rsid w:val="00ED78C8"/>
    <w:rsid w:val="00ED7BFD"/>
    <w:rsid w:val="00ED7F2D"/>
    <w:rsid w:val="00EE069A"/>
    <w:rsid w:val="00EE0A5C"/>
    <w:rsid w:val="00EE0D28"/>
    <w:rsid w:val="00EE12D8"/>
    <w:rsid w:val="00EE22AE"/>
    <w:rsid w:val="00EE24FA"/>
    <w:rsid w:val="00EE29AF"/>
    <w:rsid w:val="00EE2E46"/>
    <w:rsid w:val="00EE2F8E"/>
    <w:rsid w:val="00EE37A8"/>
    <w:rsid w:val="00EE3947"/>
    <w:rsid w:val="00EE3B78"/>
    <w:rsid w:val="00EE3CDC"/>
    <w:rsid w:val="00EE3D27"/>
    <w:rsid w:val="00EE3D33"/>
    <w:rsid w:val="00EE4833"/>
    <w:rsid w:val="00EE50F0"/>
    <w:rsid w:val="00EE52C2"/>
    <w:rsid w:val="00EE55E6"/>
    <w:rsid w:val="00EE5936"/>
    <w:rsid w:val="00EE6256"/>
    <w:rsid w:val="00EE63DC"/>
    <w:rsid w:val="00EE6494"/>
    <w:rsid w:val="00EE6779"/>
    <w:rsid w:val="00EE7B42"/>
    <w:rsid w:val="00EE7F93"/>
    <w:rsid w:val="00EF0AC4"/>
    <w:rsid w:val="00EF0BCE"/>
    <w:rsid w:val="00EF0FFD"/>
    <w:rsid w:val="00EF1B9E"/>
    <w:rsid w:val="00EF30BC"/>
    <w:rsid w:val="00EF328B"/>
    <w:rsid w:val="00EF355B"/>
    <w:rsid w:val="00EF3826"/>
    <w:rsid w:val="00EF55C4"/>
    <w:rsid w:val="00EF55CC"/>
    <w:rsid w:val="00EF572D"/>
    <w:rsid w:val="00EF5ECA"/>
    <w:rsid w:val="00EF7B71"/>
    <w:rsid w:val="00EF7D91"/>
    <w:rsid w:val="00EF7FD5"/>
    <w:rsid w:val="00F00113"/>
    <w:rsid w:val="00F001B4"/>
    <w:rsid w:val="00F008EB"/>
    <w:rsid w:val="00F009AA"/>
    <w:rsid w:val="00F00B1A"/>
    <w:rsid w:val="00F00EEC"/>
    <w:rsid w:val="00F010FE"/>
    <w:rsid w:val="00F01638"/>
    <w:rsid w:val="00F02C22"/>
    <w:rsid w:val="00F02EAA"/>
    <w:rsid w:val="00F03E39"/>
    <w:rsid w:val="00F03EC5"/>
    <w:rsid w:val="00F03FC1"/>
    <w:rsid w:val="00F04729"/>
    <w:rsid w:val="00F04E6F"/>
    <w:rsid w:val="00F05496"/>
    <w:rsid w:val="00F05AFB"/>
    <w:rsid w:val="00F061BB"/>
    <w:rsid w:val="00F064AE"/>
    <w:rsid w:val="00F066A2"/>
    <w:rsid w:val="00F07DCA"/>
    <w:rsid w:val="00F07DFF"/>
    <w:rsid w:val="00F10206"/>
    <w:rsid w:val="00F10D52"/>
    <w:rsid w:val="00F11D0B"/>
    <w:rsid w:val="00F12064"/>
    <w:rsid w:val="00F126CD"/>
    <w:rsid w:val="00F128C9"/>
    <w:rsid w:val="00F129A7"/>
    <w:rsid w:val="00F12B54"/>
    <w:rsid w:val="00F1322C"/>
    <w:rsid w:val="00F13564"/>
    <w:rsid w:val="00F1363C"/>
    <w:rsid w:val="00F142E5"/>
    <w:rsid w:val="00F1487F"/>
    <w:rsid w:val="00F14901"/>
    <w:rsid w:val="00F14F90"/>
    <w:rsid w:val="00F15CAB"/>
    <w:rsid w:val="00F15FDA"/>
    <w:rsid w:val="00F16110"/>
    <w:rsid w:val="00F167CA"/>
    <w:rsid w:val="00F16AF0"/>
    <w:rsid w:val="00F1733E"/>
    <w:rsid w:val="00F17450"/>
    <w:rsid w:val="00F177EA"/>
    <w:rsid w:val="00F17C3A"/>
    <w:rsid w:val="00F17DC5"/>
    <w:rsid w:val="00F2085B"/>
    <w:rsid w:val="00F22022"/>
    <w:rsid w:val="00F223C2"/>
    <w:rsid w:val="00F22AB6"/>
    <w:rsid w:val="00F22D80"/>
    <w:rsid w:val="00F22DD6"/>
    <w:rsid w:val="00F23177"/>
    <w:rsid w:val="00F2339A"/>
    <w:rsid w:val="00F2382E"/>
    <w:rsid w:val="00F23854"/>
    <w:rsid w:val="00F244F9"/>
    <w:rsid w:val="00F24872"/>
    <w:rsid w:val="00F249A8"/>
    <w:rsid w:val="00F24A6E"/>
    <w:rsid w:val="00F24BB5"/>
    <w:rsid w:val="00F24FF4"/>
    <w:rsid w:val="00F2533D"/>
    <w:rsid w:val="00F258AB"/>
    <w:rsid w:val="00F2596D"/>
    <w:rsid w:val="00F2601F"/>
    <w:rsid w:val="00F26EC8"/>
    <w:rsid w:val="00F2748F"/>
    <w:rsid w:val="00F302DB"/>
    <w:rsid w:val="00F3035E"/>
    <w:rsid w:val="00F30CD5"/>
    <w:rsid w:val="00F30D2F"/>
    <w:rsid w:val="00F31146"/>
    <w:rsid w:val="00F312E0"/>
    <w:rsid w:val="00F32224"/>
    <w:rsid w:val="00F322DE"/>
    <w:rsid w:val="00F33044"/>
    <w:rsid w:val="00F330BB"/>
    <w:rsid w:val="00F3362B"/>
    <w:rsid w:val="00F336A8"/>
    <w:rsid w:val="00F337B4"/>
    <w:rsid w:val="00F339BD"/>
    <w:rsid w:val="00F348F3"/>
    <w:rsid w:val="00F34AA6"/>
    <w:rsid w:val="00F34DA0"/>
    <w:rsid w:val="00F34E93"/>
    <w:rsid w:val="00F36588"/>
    <w:rsid w:val="00F36A75"/>
    <w:rsid w:val="00F36EF7"/>
    <w:rsid w:val="00F36FB2"/>
    <w:rsid w:val="00F3791D"/>
    <w:rsid w:val="00F37E2F"/>
    <w:rsid w:val="00F4028F"/>
    <w:rsid w:val="00F40317"/>
    <w:rsid w:val="00F404D6"/>
    <w:rsid w:val="00F40DD2"/>
    <w:rsid w:val="00F41105"/>
    <w:rsid w:val="00F416FD"/>
    <w:rsid w:val="00F4175A"/>
    <w:rsid w:val="00F417C9"/>
    <w:rsid w:val="00F4206C"/>
    <w:rsid w:val="00F42212"/>
    <w:rsid w:val="00F42396"/>
    <w:rsid w:val="00F43145"/>
    <w:rsid w:val="00F43FD3"/>
    <w:rsid w:val="00F44168"/>
    <w:rsid w:val="00F44195"/>
    <w:rsid w:val="00F44310"/>
    <w:rsid w:val="00F44BEA"/>
    <w:rsid w:val="00F4513D"/>
    <w:rsid w:val="00F45145"/>
    <w:rsid w:val="00F456FD"/>
    <w:rsid w:val="00F45B9A"/>
    <w:rsid w:val="00F45C0F"/>
    <w:rsid w:val="00F45ED5"/>
    <w:rsid w:val="00F46B22"/>
    <w:rsid w:val="00F46FE0"/>
    <w:rsid w:val="00F47274"/>
    <w:rsid w:val="00F47815"/>
    <w:rsid w:val="00F478BC"/>
    <w:rsid w:val="00F503E3"/>
    <w:rsid w:val="00F5072F"/>
    <w:rsid w:val="00F50C6E"/>
    <w:rsid w:val="00F51346"/>
    <w:rsid w:val="00F515F9"/>
    <w:rsid w:val="00F526F0"/>
    <w:rsid w:val="00F5304F"/>
    <w:rsid w:val="00F530F7"/>
    <w:rsid w:val="00F53E9D"/>
    <w:rsid w:val="00F54AC2"/>
    <w:rsid w:val="00F558BC"/>
    <w:rsid w:val="00F55AEF"/>
    <w:rsid w:val="00F56567"/>
    <w:rsid w:val="00F567C4"/>
    <w:rsid w:val="00F57889"/>
    <w:rsid w:val="00F60255"/>
    <w:rsid w:val="00F60942"/>
    <w:rsid w:val="00F60E79"/>
    <w:rsid w:val="00F60F3F"/>
    <w:rsid w:val="00F61B25"/>
    <w:rsid w:val="00F628A3"/>
    <w:rsid w:val="00F62D9F"/>
    <w:rsid w:val="00F63219"/>
    <w:rsid w:val="00F6339E"/>
    <w:rsid w:val="00F63482"/>
    <w:rsid w:val="00F643DE"/>
    <w:rsid w:val="00F646DA"/>
    <w:rsid w:val="00F6488B"/>
    <w:rsid w:val="00F64F13"/>
    <w:rsid w:val="00F653E6"/>
    <w:rsid w:val="00F6576C"/>
    <w:rsid w:val="00F6615D"/>
    <w:rsid w:val="00F66216"/>
    <w:rsid w:val="00F66349"/>
    <w:rsid w:val="00F663EF"/>
    <w:rsid w:val="00F66AAD"/>
    <w:rsid w:val="00F66E85"/>
    <w:rsid w:val="00F672D4"/>
    <w:rsid w:val="00F676AA"/>
    <w:rsid w:val="00F67E55"/>
    <w:rsid w:val="00F70754"/>
    <w:rsid w:val="00F70BF3"/>
    <w:rsid w:val="00F70C97"/>
    <w:rsid w:val="00F7133F"/>
    <w:rsid w:val="00F71921"/>
    <w:rsid w:val="00F71BF3"/>
    <w:rsid w:val="00F71CBD"/>
    <w:rsid w:val="00F71D65"/>
    <w:rsid w:val="00F71D6C"/>
    <w:rsid w:val="00F71E0A"/>
    <w:rsid w:val="00F720F6"/>
    <w:rsid w:val="00F723CC"/>
    <w:rsid w:val="00F726CC"/>
    <w:rsid w:val="00F72A29"/>
    <w:rsid w:val="00F72B7C"/>
    <w:rsid w:val="00F730D5"/>
    <w:rsid w:val="00F73332"/>
    <w:rsid w:val="00F73B33"/>
    <w:rsid w:val="00F74179"/>
    <w:rsid w:val="00F741F9"/>
    <w:rsid w:val="00F74A05"/>
    <w:rsid w:val="00F74D36"/>
    <w:rsid w:val="00F750A8"/>
    <w:rsid w:val="00F7590D"/>
    <w:rsid w:val="00F7590F"/>
    <w:rsid w:val="00F7594F"/>
    <w:rsid w:val="00F75F7C"/>
    <w:rsid w:val="00F7603D"/>
    <w:rsid w:val="00F7618D"/>
    <w:rsid w:val="00F76284"/>
    <w:rsid w:val="00F7707A"/>
    <w:rsid w:val="00F77240"/>
    <w:rsid w:val="00F809D8"/>
    <w:rsid w:val="00F80A29"/>
    <w:rsid w:val="00F80BA0"/>
    <w:rsid w:val="00F81322"/>
    <w:rsid w:val="00F822CC"/>
    <w:rsid w:val="00F82D79"/>
    <w:rsid w:val="00F82EDE"/>
    <w:rsid w:val="00F82F27"/>
    <w:rsid w:val="00F83589"/>
    <w:rsid w:val="00F839D6"/>
    <w:rsid w:val="00F8400D"/>
    <w:rsid w:val="00F84891"/>
    <w:rsid w:val="00F84A49"/>
    <w:rsid w:val="00F84C94"/>
    <w:rsid w:val="00F85489"/>
    <w:rsid w:val="00F85516"/>
    <w:rsid w:val="00F85B9E"/>
    <w:rsid w:val="00F861E2"/>
    <w:rsid w:val="00F862B8"/>
    <w:rsid w:val="00F86425"/>
    <w:rsid w:val="00F86B9C"/>
    <w:rsid w:val="00F86C3A"/>
    <w:rsid w:val="00F86D2C"/>
    <w:rsid w:val="00F87813"/>
    <w:rsid w:val="00F87846"/>
    <w:rsid w:val="00F8792B"/>
    <w:rsid w:val="00F87CB7"/>
    <w:rsid w:val="00F9200A"/>
    <w:rsid w:val="00F92790"/>
    <w:rsid w:val="00F92AA1"/>
    <w:rsid w:val="00F935DD"/>
    <w:rsid w:val="00F937DD"/>
    <w:rsid w:val="00F939AB"/>
    <w:rsid w:val="00F93EB4"/>
    <w:rsid w:val="00F94546"/>
    <w:rsid w:val="00F94BF6"/>
    <w:rsid w:val="00F94E47"/>
    <w:rsid w:val="00F95F2B"/>
    <w:rsid w:val="00F96C0A"/>
    <w:rsid w:val="00F96E20"/>
    <w:rsid w:val="00F979A9"/>
    <w:rsid w:val="00F97A16"/>
    <w:rsid w:val="00FA0709"/>
    <w:rsid w:val="00FA0AA3"/>
    <w:rsid w:val="00FA0B2E"/>
    <w:rsid w:val="00FA0E3E"/>
    <w:rsid w:val="00FA12E6"/>
    <w:rsid w:val="00FA2365"/>
    <w:rsid w:val="00FA25D1"/>
    <w:rsid w:val="00FA270A"/>
    <w:rsid w:val="00FA2743"/>
    <w:rsid w:val="00FA294A"/>
    <w:rsid w:val="00FA30C8"/>
    <w:rsid w:val="00FA365E"/>
    <w:rsid w:val="00FA39F3"/>
    <w:rsid w:val="00FA3C2B"/>
    <w:rsid w:val="00FA4302"/>
    <w:rsid w:val="00FA43B7"/>
    <w:rsid w:val="00FA4488"/>
    <w:rsid w:val="00FA48B9"/>
    <w:rsid w:val="00FA4AF9"/>
    <w:rsid w:val="00FA4F36"/>
    <w:rsid w:val="00FA5668"/>
    <w:rsid w:val="00FA5D84"/>
    <w:rsid w:val="00FA5E57"/>
    <w:rsid w:val="00FA681D"/>
    <w:rsid w:val="00FA69B7"/>
    <w:rsid w:val="00FA6C04"/>
    <w:rsid w:val="00FA717E"/>
    <w:rsid w:val="00FA71DA"/>
    <w:rsid w:val="00FA7976"/>
    <w:rsid w:val="00FB0107"/>
    <w:rsid w:val="00FB1825"/>
    <w:rsid w:val="00FB1AA2"/>
    <w:rsid w:val="00FB1BCC"/>
    <w:rsid w:val="00FB1CBA"/>
    <w:rsid w:val="00FB1EC5"/>
    <w:rsid w:val="00FB25E3"/>
    <w:rsid w:val="00FB3126"/>
    <w:rsid w:val="00FB363A"/>
    <w:rsid w:val="00FB3651"/>
    <w:rsid w:val="00FB3AA3"/>
    <w:rsid w:val="00FB3EBE"/>
    <w:rsid w:val="00FB43B9"/>
    <w:rsid w:val="00FB49FB"/>
    <w:rsid w:val="00FB4E0A"/>
    <w:rsid w:val="00FB5E62"/>
    <w:rsid w:val="00FB5F78"/>
    <w:rsid w:val="00FB62ED"/>
    <w:rsid w:val="00FB64A6"/>
    <w:rsid w:val="00FB7B12"/>
    <w:rsid w:val="00FC0341"/>
    <w:rsid w:val="00FC1124"/>
    <w:rsid w:val="00FC1376"/>
    <w:rsid w:val="00FC1759"/>
    <w:rsid w:val="00FC1F27"/>
    <w:rsid w:val="00FC21B3"/>
    <w:rsid w:val="00FC2372"/>
    <w:rsid w:val="00FC29A4"/>
    <w:rsid w:val="00FC3C0A"/>
    <w:rsid w:val="00FC4072"/>
    <w:rsid w:val="00FC43BC"/>
    <w:rsid w:val="00FC4A68"/>
    <w:rsid w:val="00FC4CE4"/>
    <w:rsid w:val="00FC52E0"/>
    <w:rsid w:val="00FC58EC"/>
    <w:rsid w:val="00FC5B54"/>
    <w:rsid w:val="00FC5DC4"/>
    <w:rsid w:val="00FC6158"/>
    <w:rsid w:val="00FC62C2"/>
    <w:rsid w:val="00FC639F"/>
    <w:rsid w:val="00FC6F4D"/>
    <w:rsid w:val="00FC6F54"/>
    <w:rsid w:val="00FC6F85"/>
    <w:rsid w:val="00FC785D"/>
    <w:rsid w:val="00FC7A11"/>
    <w:rsid w:val="00FD004C"/>
    <w:rsid w:val="00FD0761"/>
    <w:rsid w:val="00FD0C07"/>
    <w:rsid w:val="00FD0F9E"/>
    <w:rsid w:val="00FD103F"/>
    <w:rsid w:val="00FD132F"/>
    <w:rsid w:val="00FD16AF"/>
    <w:rsid w:val="00FD1844"/>
    <w:rsid w:val="00FD188A"/>
    <w:rsid w:val="00FD1898"/>
    <w:rsid w:val="00FD1985"/>
    <w:rsid w:val="00FD20EC"/>
    <w:rsid w:val="00FD20FD"/>
    <w:rsid w:val="00FD254A"/>
    <w:rsid w:val="00FD2A68"/>
    <w:rsid w:val="00FD3F88"/>
    <w:rsid w:val="00FD42A2"/>
    <w:rsid w:val="00FD47CE"/>
    <w:rsid w:val="00FD4B54"/>
    <w:rsid w:val="00FD5166"/>
    <w:rsid w:val="00FD52E9"/>
    <w:rsid w:val="00FD5825"/>
    <w:rsid w:val="00FD5986"/>
    <w:rsid w:val="00FD6232"/>
    <w:rsid w:val="00FD696C"/>
    <w:rsid w:val="00FD6C72"/>
    <w:rsid w:val="00FD7AC0"/>
    <w:rsid w:val="00FD7D0A"/>
    <w:rsid w:val="00FE0151"/>
    <w:rsid w:val="00FE0561"/>
    <w:rsid w:val="00FE06D6"/>
    <w:rsid w:val="00FE0A61"/>
    <w:rsid w:val="00FE0C02"/>
    <w:rsid w:val="00FE157E"/>
    <w:rsid w:val="00FE16C5"/>
    <w:rsid w:val="00FE182D"/>
    <w:rsid w:val="00FE1B3E"/>
    <w:rsid w:val="00FE1BC5"/>
    <w:rsid w:val="00FE2156"/>
    <w:rsid w:val="00FE274C"/>
    <w:rsid w:val="00FE36D6"/>
    <w:rsid w:val="00FE38FA"/>
    <w:rsid w:val="00FE3967"/>
    <w:rsid w:val="00FE4CF5"/>
    <w:rsid w:val="00FE632F"/>
    <w:rsid w:val="00FE64BC"/>
    <w:rsid w:val="00FE68A6"/>
    <w:rsid w:val="00FE6F7E"/>
    <w:rsid w:val="00FE7187"/>
    <w:rsid w:val="00FE724B"/>
    <w:rsid w:val="00FE7388"/>
    <w:rsid w:val="00FE77F1"/>
    <w:rsid w:val="00FE7CA7"/>
    <w:rsid w:val="00FE7F20"/>
    <w:rsid w:val="00FF0719"/>
    <w:rsid w:val="00FF083C"/>
    <w:rsid w:val="00FF0D4F"/>
    <w:rsid w:val="00FF1268"/>
    <w:rsid w:val="00FF19E6"/>
    <w:rsid w:val="00FF1A2A"/>
    <w:rsid w:val="00FF2BBB"/>
    <w:rsid w:val="00FF2D7B"/>
    <w:rsid w:val="00FF38A9"/>
    <w:rsid w:val="00FF3D65"/>
    <w:rsid w:val="00FF43C2"/>
    <w:rsid w:val="00FF4954"/>
    <w:rsid w:val="00FF4BE8"/>
    <w:rsid w:val="00FF4FC8"/>
    <w:rsid w:val="00FF5012"/>
    <w:rsid w:val="00FF58E0"/>
    <w:rsid w:val="00FF59F7"/>
    <w:rsid w:val="00FF5E80"/>
    <w:rsid w:val="00FF5FD3"/>
    <w:rsid w:val="00FF71CA"/>
    <w:rsid w:val="00FF7265"/>
    <w:rsid w:val="00FF7A87"/>
    <w:rsid w:val="00FF7B76"/>
    <w:rsid w:val="00FF7C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B7E9"/>
  <w15:docId w15:val="{860F77EB-B503-425C-B560-B43F5356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C6"/>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733C6"/>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733C6"/>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7733C6"/>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7733C6"/>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7733C6"/>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7733C6"/>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7733C6"/>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7733C6"/>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rsid w:val="007733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33C6"/>
  </w:style>
  <w:style w:type="paragraph" w:styleId="CommentText">
    <w:name w:val="annotation text"/>
    <w:basedOn w:val="Normal"/>
    <w:link w:val="CommentTextChar"/>
    <w:unhideWhenUsed/>
    <w:rsid w:val="007733C6"/>
    <w:rPr>
      <w:sz w:val="20"/>
      <w:szCs w:val="20"/>
    </w:rPr>
  </w:style>
  <w:style w:type="character" w:customStyle="1" w:styleId="CommentTextChar">
    <w:name w:val="Comment Text Char"/>
    <w:basedOn w:val="DefaultParagraphFont"/>
    <w:link w:val="CommentText"/>
    <w:rsid w:val="007733C6"/>
    <w:rPr>
      <w:rFonts w:asciiTheme="minorHAnsi" w:eastAsiaTheme="minorHAnsi" w:hAnsiTheme="minorHAnsi" w:cstheme="minorBidi"/>
      <w:lang w:eastAsia="en-US"/>
    </w:rPr>
  </w:style>
  <w:style w:type="paragraph" w:styleId="Header">
    <w:name w:val="header"/>
    <w:basedOn w:val="Normal"/>
    <w:link w:val="HeaderChar"/>
    <w:uiPriority w:val="26"/>
    <w:rsid w:val="007733C6"/>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7733C6"/>
    <w:rPr>
      <w:rFonts w:ascii="Calibri" w:eastAsiaTheme="minorHAnsi" w:hAnsi="Calibri" w:cstheme="minorBidi"/>
      <w:szCs w:val="22"/>
      <w:lang w:eastAsia="en-US"/>
    </w:rPr>
  </w:style>
  <w:style w:type="paragraph" w:styleId="Footer">
    <w:name w:val="footer"/>
    <w:basedOn w:val="Normal"/>
    <w:link w:val="FooterChar"/>
    <w:uiPriority w:val="27"/>
    <w:rsid w:val="007733C6"/>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7733C6"/>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733C6"/>
    <w:rPr>
      <w:sz w:val="16"/>
      <w:szCs w:val="16"/>
    </w:rPr>
  </w:style>
  <w:style w:type="paragraph" w:styleId="CommentSubject">
    <w:name w:val="annotation subject"/>
    <w:basedOn w:val="CommentText"/>
    <w:next w:val="CommentText"/>
    <w:link w:val="CommentSubjectChar"/>
    <w:uiPriority w:val="99"/>
    <w:semiHidden/>
    <w:unhideWhenUsed/>
    <w:rsid w:val="007733C6"/>
    <w:rPr>
      <w:b/>
      <w:bCs/>
    </w:rPr>
  </w:style>
  <w:style w:type="character" w:customStyle="1" w:styleId="CommentSubjectChar">
    <w:name w:val="Comment Subject Char"/>
    <w:basedOn w:val="CommentTextChar"/>
    <w:link w:val="CommentSubject"/>
    <w:uiPriority w:val="99"/>
    <w:semiHidden/>
    <w:rsid w:val="007733C6"/>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7733C6"/>
    <w:rPr>
      <w:rFonts w:ascii="Calibri" w:hAnsi="Calibri"/>
      <w:sz w:val="18"/>
      <w:szCs w:val="18"/>
    </w:rPr>
  </w:style>
  <w:style w:type="character" w:customStyle="1" w:styleId="BalloonTextChar">
    <w:name w:val="Balloon Text Char"/>
    <w:basedOn w:val="DefaultParagraphFont"/>
    <w:link w:val="BalloonText"/>
    <w:uiPriority w:val="99"/>
    <w:semiHidden/>
    <w:rsid w:val="007733C6"/>
    <w:rPr>
      <w:rFonts w:ascii="Calibri" w:eastAsiaTheme="minorHAnsi" w:hAnsi="Calibri" w:cstheme="minorBidi"/>
      <w:sz w:val="18"/>
      <w:szCs w:val="18"/>
      <w:lang w:eastAsia="en-US"/>
    </w:rPr>
  </w:style>
  <w:style w:type="table" w:styleId="TableGrid">
    <w:name w:val="Table Grid"/>
    <w:basedOn w:val="TableNormal"/>
    <w:uiPriority w:val="59"/>
    <w:rsid w:val="007733C6"/>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733C6"/>
    <w:rPr>
      <w:sz w:val="16"/>
    </w:rPr>
  </w:style>
  <w:style w:type="character" w:customStyle="1" w:styleId="Heading1Char">
    <w:name w:val="Heading 1 Char"/>
    <w:basedOn w:val="DefaultParagraphFont"/>
    <w:link w:val="Heading1"/>
    <w:uiPriority w:val="1"/>
    <w:rsid w:val="007733C6"/>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733C6"/>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7733C6"/>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7733C6"/>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7733C6"/>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7733C6"/>
    <w:pPr>
      <w:ind w:left="709" w:right="567"/>
    </w:pPr>
    <w:rPr>
      <w:iCs/>
      <w:color w:val="000000"/>
    </w:rPr>
  </w:style>
  <w:style w:type="character" w:customStyle="1" w:styleId="QuoteChar">
    <w:name w:val="Quote Char"/>
    <w:basedOn w:val="DefaultParagraphFont"/>
    <w:link w:val="Quote"/>
    <w:uiPriority w:val="18"/>
    <w:rsid w:val="007733C6"/>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7733C6"/>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aliases w:val="Table and figure heading"/>
    <w:basedOn w:val="Normal"/>
    <w:next w:val="Normal"/>
    <w:link w:val="CaptionChar"/>
    <w:uiPriority w:val="12"/>
    <w:qFormat/>
    <w:rsid w:val="007733C6"/>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7733C6"/>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733C6"/>
    <w:pPr>
      <w:spacing w:before="120"/>
    </w:pPr>
    <w:rPr>
      <w:b w:val="0"/>
      <w:sz w:val="56"/>
      <w:szCs w:val="56"/>
    </w:rPr>
  </w:style>
  <w:style w:type="character" w:customStyle="1" w:styleId="SubtitleChar">
    <w:name w:val="Subtitle Char"/>
    <w:basedOn w:val="DefaultParagraphFont"/>
    <w:link w:val="Subtitle"/>
    <w:uiPriority w:val="23"/>
    <w:rsid w:val="007733C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7733C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733C6"/>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7733C6"/>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7733C6"/>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7733C6"/>
    <w:rPr>
      <w:color w:val="165788"/>
      <w:u w:val="single"/>
    </w:rPr>
  </w:style>
  <w:style w:type="paragraph" w:styleId="ListBullet">
    <w:name w:val="List Bullet"/>
    <w:basedOn w:val="Normal"/>
    <w:uiPriority w:val="99"/>
    <w:qFormat/>
    <w:rsid w:val="007733C6"/>
    <w:pPr>
      <w:numPr>
        <w:numId w:val="22"/>
      </w:numPr>
      <w:spacing w:before="120" w:after="120"/>
      <w:ind w:left="454" w:hanging="454"/>
    </w:pPr>
  </w:style>
  <w:style w:type="paragraph" w:styleId="TableofFigures">
    <w:name w:val="table of figures"/>
    <w:basedOn w:val="Normal"/>
    <w:next w:val="Normal"/>
    <w:uiPriority w:val="99"/>
    <w:rsid w:val="007733C6"/>
    <w:pPr>
      <w:spacing w:before="120" w:after="120" w:line="240" w:lineRule="auto"/>
    </w:pPr>
  </w:style>
  <w:style w:type="paragraph" w:styleId="ListBullet2">
    <w:name w:val="List Bullet 2"/>
    <w:basedOn w:val="Normal"/>
    <w:uiPriority w:val="8"/>
    <w:qFormat/>
    <w:rsid w:val="007733C6"/>
    <w:pPr>
      <w:numPr>
        <w:ilvl w:val="1"/>
        <w:numId w:val="22"/>
      </w:numPr>
      <w:spacing w:before="120" w:after="120"/>
      <w:ind w:left="908" w:hanging="454"/>
      <w:contextualSpacing/>
    </w:pPr>
  </w:style>
  <w:style w:type="paragraph" w:styleId="ListNumber">
    <w:name w:val="List Number"/>
    <w:basedOn w:val="Normal"/>
    <w:uiPriority w:val="9"/>
    <w:qFormat/>
    <w:rsid w:val="007733C6"/>
    <w:pPr>
      <w:numPr>
        <w:numId w:val="15"/>
      </w:numPr>
      <w:tabs>
        <w:tab w:val="left" w:pos="142"/>
      </w:tabs>
      <w:spacing w:before="120" w:after="120"/>
      <w:ind w:left="454" w:hanging="454"/>
    </w:pPr>
  </w:style>
  <w:style w:type="paragraph" w:styleId="ListNumber2">
    <w:name w:val="List Number 2"/>
    <w:uiPriority w:val="10"/>
    <w:qFormat/>
    <w:rsid w:val="007733C6"/>
    <w:pPr>
      <w:numPr>
        <w:ilvl w:val="1"/>
        <w:numId w:val="1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7733C6"/>
    <w:pPr>
      <w:numPr>
        <w:ilvl w:val="2"/>
        <w:numId w:val="1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733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733C6"/>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7733C6"/>
    <w:pPr>
      <w:spacing w:before="60" w:after="60" w:line="240" w:lineRule="auto"/>
    </w:pPr>
    <w:rPr>
      <w:sz w:val="18"/>
    </w:rPr>
  </w:style>
  <w:style w:type="table" w:styleId="TableGrid1">
    <w:name w:val="Table Grid 1"/>
    <w:basedOn w:val="TableNormal"/>
    <w:uiPriority w:val="99"/>
    <w:semiHidden/>
    <w:unhideWhenUsed/>
    <w:rsid w:val="007733C6"/>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7733C6"/>
    <w:pPr>
      <w:keepNext/>
    </w:pPr>
    <w:rPr>
      <w:b/>
    </w:rPr>
  </w:style>
  <w:style w:type="character" w:styleId="PlaceholderText">
    <w:name w:val="Placeholder Text"/>
    <w:basedOn w:val="DefaultParagraphFont"/>
    <w:uiPriority w:val="99"/>
    <w:semiHidden/>
    <w:rsid w:val="007733C6"/>
    <w:rPr>
      <w:color w:val="808080"/>
    </w:rPr>
  </w:style>
  <w:style w:type="paragraph" w:customStyle="1" w:styleId="Author">
    <w:name w:val="Author"/>
    <w:basedOn w:val="Normal"/>
    <w:next w:val="Normal"/>
    <w:uiPriority w:val="24"/>
    <w:qFormat/>
    <w:rsid w:val="007733C6"/>
    <w:pPr>
      <w:spacing w:after="60"/>
    </w:pPr>
    <w:rPr>
      <w:b/>
      <w:sz w:val="28"/>
      <w:szCs w:val="28"/>
    </w:rPr>
  </w:style>
  <w:style w:type="paragraph" w:customStyle="1" w:styleId="AuthorOrganisationAffiliation">
    <w:name w:val="Author Organisation/Affiliation"/>
    <w:basedOn w:val="Normal"/>
    <w:next w:val="Normal"/>
    <w:uiPriority w:val="25"/>
    <w:qFormat/>
    <w:rsid w:val="007733C6"/>
    <w:pPr>
      <w:spacing w:after="720"/>
    </w:pPr>
  </w:style>
  <w:style w:type="character" w:styleId="Strong">
    <w:name w:val="Strong"/>
    <w:basedOn w:val="DefaultParagraphFont"/>
    <w:uiPriority w:val="22"/>
    <w:qFormat/>
    <w:rsid w:val="007733C6"/>
    <w:rPr>
      <w:b/>
      <w:bCs/>
    </w:rPr>
  </w:style>
  <w:style w:type="paragraph" w:customStyle="1" w:styleId="Glossary">
    <w:name w:val="Glossary"/>
    <w:basedOn w:val="Normal"/>
    <w:link w:val="GlossaryChar"/>
    <w:uiPriority w:val="28"/>
    <w:semiHidden/>
    <w:locked/>
    <w:rsid w:val="007733C6"/>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7733C6"/>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7733C6"/>
    <w:rPr>
      <w:i/>
      <w:iCs/>
    </w:rPr>
  </w:style>
  <w:style w:type="paragraph" w:styleId="TOAHeading">
    <w:name w:val="toa heading"/>
    <w:basedOn w:val="Heading1"/>
    <w:next w:val="Normal"/>
    <w:uiPriority w:val="99"/>
    <w:semiHidden/>
    <w:unhideWhenUsed/>
    <w:rsid w:val="007733C6"/>
    <w:pPr>
      <w:spacing w:before="120"/>
    </w:pPr>
    <w:rPr>
      <w:bCs w:val="0"/>
      <w:sz w:val="24"/>
    </w:rPr>
  </w:style>
  <w:style w:type="paragraph" w:styleId="NormalWeb">
    <w:name w:val="Normal (Web)"/>
    <w:basedOn w:val="Normal"/>
    <w:uiPriority w:val="99"/>
    <w:semiHidden/>
    <w:unhideWhenUsed/>
    <w:rsid w:val="007733C6"/>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733C6"/>
    <w:pPr>
      <w:numPr>
        <w:numId w:val="7"/>
      </w:numPr>
      <w:ind w:left="357" w:hanging="357"/>
    </w:pPr>
  </w:style>
  <w:style w:type="paragraph" w:customStyle="1" w:styleId="TableBullet1">
    <w:name w:val="Table Bullet 1"/>
    <w:basedOn w:val="TableText"/>
    <w:uiPriority w:val="15"/>
    <w:rsid w:val="00476C9E"/>
    <w:pPr>
      <w:tabs>
        <w:tab w:val="num" w:pos="284"/>
      </w:tabs>
      <w:ind w:left="284" w:hanging="284"/>
    </w:pPr>
  </w:style>
  <w:style w:type="paragraph" w:styleId="DocumentMap">
    <w:name w:val="Document Map"/>
    <w:basedOn w:val="Normal"/>
    <w:link w:val="DocumentMapChar"/>
    <w:uiPriority w:val="99"/>
    <w:semiHidden/>
    <w:unhideWhenUsed/>
    <w:rsid w:val="007733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33C6"/>
    <w:rPr>
      <w:rFonts w:ascii="Tahoma" w:eastAsiaTheme="minorHAnsi" w:hAnsi="Tahoma" w:cs="Tahoma"/>
      <w:sz w:val="16"/>
      <w:szCs w:val="16"/>
      <w:lang w:eastAsia="en-US"/>
    </w:rPr>
  </w:style>
  <w:style w:type="paragraph" w:customStyle="1" w:styleId="BoxHeading">
    <w:name w:val="Box Heading"/>
    <w:basedOn w:val="BoxText"/>
    <w:uiPriority w:val="20"/>
    <w:qFormat/>
    <w:rsid w:val="007733C6"/>
    <w:pPr>
      <w:spacing w:line="240" w:lineRule="auto"/>
    </w:pPr>
    <w:rPr>
      <w:b/>
    </w:rPr>
  </w:style>
  <w:style w:type="paragraph" w:customStyle="1" w:styleId="Securityclassification">
    <w:name w:val="Security classification"/>
    <w:basedOn w:val="Header"/>
    <w:next w:val="Header"/>
    <w:uiPriority w:val="26"/>
    <w:qFormat/>
    <w:rsid w:val="007733C6"/>
    <w:pPr>
      <w:spacing w:after="0"/>
    </w:pPr>
    <w:rPr>
      <w:b/>
      <w:color w:val="FF0000"/>
      <w:sz w:val="36"/>
      <w:szCs w:val="36"/>
    </w:rPr>
  </w:style>
  <w:style w:type="paragraph" w:customStyle="1" w:styleId="DisseminationLimitingMarker">
    <w:name w:val="Dissemination Limiting Marker"/>
    <w:basedOn w:val="Header"/>
    <w:next w:val="Header"/>
    <w:uiPriority w:val="27"/>
    <w:rsid w:val="007733C6"/>
    <w:pPr>
      <w:spacing w:after="0"/>
    </w:pPr>
    <w:rPr>
      <w:b/>
      <w:sz w:val="36"/>
      <w:szCs w:val="36"/>
    </w:rPr>
  </w:style>
  <w:style w:type="paragraph" w:styleId="FootnoteText">
    <w:name w:val="footnote text"/>
    <w:basedOn w:val="Normal"/>
    <w:link w:val="FootnoteTextChar"/>
    <w:uiPriority w:val="99"/>
    <w:unhideWhenUsed/>
    <w:rsid w:val="007733C6"/>
    <w:pPr>
      <w:spacing w:after="60" w:line="264" w:lineRule="auto"/>
    </w:pPr>
    <w:rPr>
      <w:sz w:val="20"/>
      <w:szCs w:val="20"/>
    </w:rPr>
  </w:style>
  <w:style w:type="character" w:customStyle="1" w:styleId="FootnoteTextChar">
    <w:name w:val="Footnote Text Char"/>
    <w:basedOn w:val="DefaultParagraphFont"/>
    <w:link w:val="FootnoteText"/>
    <w:uiPriority w:val="99"/>
    <w:rsid w:val="007733C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733C6"/>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7733C6"/>
    <w:rPr>
      <w:vertAlign w:val="superscript"/>
    </w:rPr>
  </w:style>
  <w:style w:type="character" w:styleId="FollowedHyperlink">
    <w:name w:val="FollowedHyperlink"/>
    <w:basedOn w:val="DefaultParagraphFont"/>
    <w:uiPriority w:val="99"/>
    <w:semiHidden/>
    <w:unhideWhenUsed/>
    <w:rsid w:val="007733C6"/>
    <w:rPr>
      <w:color w:val="800080"/>
      <w:u w:val="single"/>
    </w:rPr>
  </w:style>
  <w:style w:type="paragraph" w:customStyle="1" w:styleId="BoxSource">
    <w:name w:val="Box Source"/>
    <w:basedOn w:val="FigureTableNoteSource"/>
    <w:uiPriority w:val="22"/>
    <w:qFormat/>
    <w:rsid w:val="007733C6"/>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7733C6"/>
    <w:pPr>
      <w:numPr>
        <w:numId w:val="22"/>
      </w:numPr>
    </w:pPr>
  </w:style>
  <w:style w:type="paragraph" w:styleId="Title">
    <w:name w:val="Title"/>
    <w:basedOn w:val="Normal"/>
    <w:next w:val="Normal"/>
    <w:link w:val="TitleChar"/>
    <w:uiPriority w:val="10"/>
    <w:qFormat/>
    <w:rsid w:val="007733C6"/>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733C6"/>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7733C6"/>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7733C6"/>
    <w:pPr>
      <w:numPr>
        <w:numId w:val="15"/>
      </w:numPr>
    </w:pPr>
  </w:style>
  <w:style w:type="numbering" w:customStyle="1" w:styleId="Headinglist">
    <w:name w:val="Heading list"/>
    <w:uiPriority w:val="99"/>
    <w:rsid w:val="007733C6"/>
    <w:pPr>
      <w:numPr>
        <w:numId w:val="8"/>
      </w:numPr>
    </w:pPr>
  </w:style>
  <w:style w:type="paragraph" w:customStyle="1" w:styleId="Normalsmall">
    <w:name w:val="Normal small"/>
    <w:qFormat/>
    <w:rsid w:val="007733C6"/>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733C6"/>
    <w:pPr>
      <w:numPr>
        <w:ilvl w:val="2"/>
        <w:numId w:val="22"/>
      </w:numPr>
      <w:contextualSpacing/>
    </w:pPr>
  </w:style>
  <w:style w:type="table" w:customStyle="1" w:styleId="ABARESTableleftrightalign">
    <w:name w:val="ABARES Table (left/right align)"/>
    <w:basedOn w:val="TableNormal"/>
    <w:uiPriority w:val="99"/>
    <w:rsid w:val="007733C6"/>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7733C6"/>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0"/>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sid w:val="007733C6"/>
    <w:rPr>
      <w:i/>
      <w:iCs/>
      <w:color w:val="4F81BD" w:themeColor="accent1"/>
    </w:rPr>
  </w:style>
  <w:style w:type="paragraph" w:customStyle="1" w:styleId="TableBullet2">
    <w:name w:val="Table Bullet 2"/>
    <w:basedOn w:val="TableBullet"/>
    <w:qFormat/>
    <w:rsid w:val="007733C6"/>
    <w:pPr>
      <w:numPr>
        <w:numId w:val="9"/>
      </w:numPr>
      <w:tabs>
        <w:tab w:val="num" w:pos="361"/>
      </w:tabs>
      <w:ind w:left="568" w:hanging="284"/>
    </w:pPr>
  </w:style>
  <w:style w:type="numbering" w:customStyle="1" w:styleId="TableBulletlist">
    <w:name w:val="Table Bullet list"/>
    <w:uiPriority w:val="99"/>
    <w:rsid w:val="007733C6"/>
    <w:pPr>
      <w:numPr>
        <w:numId w:val="5"/>
      </w:numPr>
    </w:pPr>
  </w:style>
  <w:style w:type="character" w:styleId="UnresolvedMention">
    <w:name w:val="Unresolved Mention"/>
    <w:basedOn w:val="DefaultParagraphFont"/>
    <w:uiPriority w:val="99"/>
    <w:semiHidden/>
    <w:unhideWhenUsed/>
    <w:rsid w:val="007733C6"/>
    <w:rPr>
      <w:color w:val="605E5C"/>
      <w:shd w:val="clear" w:color="auto" w:fill="E1DFDD"/>
    </w:rPr>
  </w:style>
  <w:style w:type="paragraph" w:styleId="ListParagraph">
    <w:name w:val="List Paragraph"/>
    <w:basedOn w:val="Normal"/>
    <w:uiPriority w:val="34"/>
    <w:qFormat/>
    <w:rsid w:val="007733C6"/>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7733C6"/>
    <w:rPr>
      <w:rFonts w:asciiTheme="minorHAnsi" w:eastAsiaTheme="majorEastAsia" w:hAnsiTheme="minorHAnsi" w:cstheme="majorBidi"/>
      <w:b/>
      <w:i/>
      <w:sz w:val="24"/>
      <w:szCs w:val="22"/>
      <w:lang w:eastAsia="en-US"/>
    </w:rPr>
  </w:style>
  <w:style w:type="paragraph" w:styleId="Revision">
    <w:name w:val="Revision"/>
    <w:hidden/>
    <w:uiPriority w:val="99"/>
    <w:semiHidden/>
    <w:rsid w:val="00F86B9C"/>
    <w:rPr>
      <w:rFonts w:eastAsiaTheme="minorHAnsi" w:cstheme="minorBidi"/>
      <w:sz w:val="22"/>
      <w:szCs w:val="22"/>
      <w:lang w:eastAsia="en-US"/>
    </w:rPr>
  </w:style>
  <w:style w:type="character" w:styleId="SubtleEmphasis">
    <w:name w:val="Subtle Emphasis"/>
    <w:basedOn w:val="DefaultParagraphFont"/>
    <w:uiPriority w:val="19"/>
    <w:qFormat/>
    <w:rsid w:val="00F86B9C"/>
    <w:rPr>
      <w:i/>
      <w:iCs/>
      <w:color w:val="404040" w:themeColor="text1" w:themeTint="BF"/>
    </w:rPr>
  </w:style>
  <w:style w:type="character" w:customStyle="1" w:styleId="cf01">
    <w:name w:val="cf01"/>
    <w:basedOn w:val="DefaultParagraphFont"/>
    <w:rsid w:val="003E024E"/>
    <w:rPr>
      <w:rFonts w:ascii="Segoe UI" w:hAnsi="Segoe UI" w:cs="Segoe UI" w:hint="default"/>
      <w:sz w:val="18"/>
      <w:szCs w:val="18"/>
    </w:rPr>
  </w:style>
  <w:style w:type="character" w:customStyle="1" w:styleId="CaptionChar">
    <w:name w:val="Caption Char"/>
    <w:aliases w:val="Table and figure heading Char"/>
    <w:basedOn w:val="DefaultParagraphFont"/>
    <w:link w:val="Caption"/>
    <w:uiPriority w:val="12"/>
    <w:rsid w:val="00DC781C"/>
    <w:rPr>
      <w:rFonts w:ascii="Calibri" w:eastAsiaTheme="minorHAnsi" w:hAnsi="Calibri" w:cstheme="minorBidi"/>
      <w:b/>
      <w:bCs/>
      <w:sz w:val="24"/>
      <w:szCs w:val="18"/>
      <w:lang w:eastAsia="en-US"/>
    </w:rPr>
  </w:style>
  <w:style w:type="paragraph" w:customStyle="1" w:styleId="Default">
    <w:name w:val="Default"/>
    <w:rsid w:val="00154016"/>
    <w:pPr>
      <w:autoSpaceDE w:val="0"/>
      <w:autoSpaceDN w:val="0"/>
      <w:adjustRightInd w:val="0"/>
    </w:pPr>
    <w:rPr>
      <w:rFonts w:ascii="Calibri" w:hAnsi="Calibri" w:cs="Calibri"/>
      <w:color w:val="000000"/>
      <w:sz w:val="24"/>
      <w:szCs w:val="24"/>
    </w:rPr>
  </w:style>
  <w:style w:type="paragraph" w:customStyle="1" w:styleId="TableBody">
    <w:name w:val="Table Body"/>
    <w:basedOn w:val="Normal"/>
    <w:uiPriority w:val="7"/>
    <w:qFormat/>
    <w:rsid w:val="00AD7C7C"/>
    <w:pPr>
      <w:spacing w:after="60" w:line="288" w:lineRule="auto"/>
    </w:pPr>
    <w:rPr>
      <w:rFonts w:ascii="Calibri" w:hAnsi="Calibri" w:cs="Calibri"/>
      <w:sz w:val="20"/>
      <w:szCs w:val="20"/>
    </w:rPr>
  </w:style>
  <w:style w:type="table" w:customStyle="1" w:styleId="MJTableStyle1default">
    <w:name w:val="*MJ Table Style 1 (default)"/>
    <w:basedOn w:val="TableNormal"/>
    <w:uiPriority w:val="99"/>
    <w:rsid w:val="002224EC"/>
    <w:pPr>
      <w:spacing w:before="60" w:after="60"/>
    </w:pPr>
    <w:rPr>
      <w:rFonts w:asciiTheme="minorHAnsi" w:eastAsiaTheme="minorHAnsi" w:hAnsiTheme="minorHAnsi" w:cstheme="minorBidi"/>
      <w:szCs w:val="22"/>
      <w:lang w:eastAsia="en-US"/>
    </w:rPr>
    <w:tblPr>
      <w:tblStyleRowBandSize w:val="1"/>
      <w:tblBorders>
        <w:top w:val="single" w:sz="4" w:space="0" w:color="C0504D" w:themeColor="accent2"/>
        <w:bottom w:val="single" w:sz="4" w:space="0" w:color="C0504D" w:themeColor="accent2"/>
        <w:insideH w:val="single" w:sz="4" w:space="0" w:color="C0504D" w:themeColor="accent2"/>
      </w:tblBorders>
    </w:tblPr>
    <w:tblStylePr w:type="firstRow">
      <w:pPr>
        <w:wordWrap/>
        <w:spacing w:beforeLines="0" w:before="60" w:beforeAutospacing="0" w:afterLines="0" w:after="60" w:afterAutospacing="0" w:line="240" w:lineRule="auto"/>
        <w:contextualSpacing w:val="0"/>
        <w:jc w:val="left"/>
      </w:pPr>
      <w:rPr>
        <w:rFonts w:asciiTheme="majorHAnsi" w:hAnsiTheme="majorHAnsi"/>
        <w:b w:val="0"/>
        <w:color w:val="FFFFFF" w:themeColor="background1"/>
        <w:sz w:val="20"/>
      </w:rPr>
      <w:tblPr/>
      <w:trPr>
        <w:tblHeader/>
      </w:trPr>
      <w:tcPr>
        <w:shd w:val="clear" w:color="auto" w:fill="C0504D" w:themeFill="accent2"/>
      </w:tcPr>
    </w:tblStylePr>
    <w:tblStylePr w:type="lastRow">
      <w:rPr>
        <w:i w:val="0"/>
      </w:rPr>
    </w:tblStylePr>
    <w:tblStylePr w:type="band1Horz">
      <w:rPr>
        <w:rFonts w:asciiTheme="minorHAnsi" w:hAnsiTheme="minorHAnsi"/>
        <w:sz w:val="20"/>
      </w:rPr>
      <w:tblPr/>
      <w:tcPr>
        <w:shd w:val="clear" w:color="auto" w:fill="E6F7FD"/>
      </w:tcPr>
    </w:tblStylePr>
    <w:tblStylePr w:type="band2Horz">
      <w:rPr>
        <w:rFonts w:asciiTheme="minorHAnsi" w:hAnsiTheme="minorHAnsi"/>
        <w:sz w:val="20"/>
      </w:rPr>
      <w:tblPr/>
      <w:tcPr>
        <w:shd w:val="clear" w:color="auto" w:fill="F2F2F2" w:themeFill="background1" w:themeFillShade="F2"/>
      </w:tcPr>
    </w:tblStylePr>
  </w:style>
  <w:style w:type="character" w:customStyle="1" w:styleId="Heading7Char">
    <w:name w:val="Heading 7 Char"/>
    <w:basedOn w:val="DefaultParagraphFont"/>
    <w:link w:val="Heading7"/>
    <w:uiPriority w:val="9"/>
    <w:semiHidden/>
    <w:rsid w:val="007733C6"/>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7733C6"/>
    <w:rPr>
      <w:rFonts w:ascii="Calibri" w:eastAsiaTheme="majorEastAsia" w:hAnsi="Calibri" w:cstheme="majorBidi"/>
      <w:b/>
      <w:i/>
      <w:color w:val="272727" w:themeColor="text1" w:themeTint="D8"/>
      <w:sz w:val="22"/>
      <w:szCs w:val="21"/>
      <w:lang w:eastAsia="en-US"/>
    </w:rPr>
  </w:style>
  <w:style w:type="paragraph" w:customStyle="1" w:styleId="TableBullet">
    <w:name w:val="Table Bullet"/>
    <w:basedOn w:val="TableText"/>
    <w:uiPriority w:val="15"/>
    <w:qFormat/>
    <w:rsid w:val="007733C6"/>
    <w:pPr>
      <w:numPr>
        <w:numId w:val="6"/>
      </w:numPr>
    </w:pPr>
  </w:style>
  <w:style w:type="paragraph" w:customStyle="1" w:styleId="TableListNumber">
    <w:name w:val="Table List Number"/>
    <w:uiPriority w:val="99"/>
    <w:qFormat/>
    <w:rsid w:val="007733C6"/>
    <w:pPr>
      <w:numPr>
        <w:numId w:val="43"/>
      </w:numPr>
      <w:spacing w:before="60" w:after="60"/>
      <w:contextualSpacing/>
    </w:pPr>
    <w:rPr>
      <w:rFonts w:asciiTheme="minorHAnsi" w:eastAsia="Calibri" w:hAnsiTheme="minorHAnsi"/>
      <w:color w:val="000000" w:themeColor="text1"/>
      <w:sz w:val="18"/>
      <w:szCs w:val="22"/>
      <w:lang w:eastAsia="en-US"/>
    </w:rPr>
  </w:style>
  <w:style w:type="paragraph" w:customStyle="1" w:styleId="TableListNumber2">
    <w:name w:val="Table List Number 2"/>
    <w:basedOn w:val="TableText"/>
    <w:qFormat/>
    <w:rsid w:val="007733C6"/>
    <w:pPr>
      <w:numPr>
        <w:ilvl w:val="1"/>
        <w:numId w:val="43"/>
      </w:numPr>
    </w:pPr>
  </w:style>
  <w:style w:type="paragraph" w:customStyle="1" w:styleId="TableListNumber3">
    <w:name w:val="Table List Number 3"/>
    <w:basedOn w:val="TableText"/>
    <w:qFormat/>
    <w:rsid w:val="007733C6"/>
    <w:pPr>
      <w:numPr>
        <w:ilvl w:val="2"/>
        <w:numId w:val="43"/>
      </w:numPr>
    </w:pPr>
  </w:style>
  <w:style w:type="numbering" w:customStyle="1" w:styleId="Tablenumberedlists">
    <w:name w:val="Table numbered lists"/>
    <w:uiPriority w:val="99"/>
    <w:rsid w:val="007733C6"/>
    <w:pPr>
      <w:numPr>
        <w:numId w:val="43"/>
      </w:numPr>
    </w:pPr>
  </w:style>
  <w:style w:type="paragraph" w:customStyle="1" w:styleId="BoxTextNumber">
    <w:name w:val="Box Text Number"/>
    <w:basedOn w:val="BoxText"/>
    <w:qFormat/>
    <w:rsid w:val="007733C6"/>
    <w:pPr>
      <w:numPr>
        <w:numId w:val="45"/>
      </w:numPr>
    </w:pPr>
  </w:style>
  <w:style w:type="paragraph" w:styleId="Date">
    <w:name w:val="Date"/>
    <w:basedOn w:val="Normal"/>
    <w:next w:val="Normal"/>
    <w:link w:val="DateChar"/>
    <w:uiPriority w:val="99"/>
    <w:unhideWhenUsed/>
    <w:rsid w:val="007733C6"/>
    <w:rPr>
      <w:sz w:val="28"/>
    </w:rPr>
  </w:style>
  <w:style w:type="character" w:customStyle="1" w:styleId="DateChar">
    <w:name w:val="Date Char"/>
    <w:basedOn w:val="DefaultParagraphFont"/>
    <w:link w:val="Date"/>
    <w:uiPriority w:val="99"/>
    <w:rsid w:val="007733C6"/>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81193">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54216777">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75509993">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64330906">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animal/health/pet-food-safety" TargetMode="External"/><Relationship Id="rId18" Type="http://schemas.openxmlformats.org/officeDocument/2006/relationships/hyperlink" Target="https://www.standards.org.au/standards-development/developing-standards/proces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arsdenjacob.sharepoint.com/Shared%20Documents/All/Clients/DAFF/FY202300016%20DAFF%20Pet%20Food%20safety%20CBA/Analysis/Pet%20Food%20Safety%20CBA%20Data%20v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'[Pet Food Safety CBA Data v4.xlsx]A&amp;R'!$N$50</c:f>
              <c:strCache>
                <c:ptCount val="1"/>
                <c:pt idx="0">
                  <c:v>Option 2</c:v>
                </c:pt>
              </c:strCache>
            </c:strRef>
          </c:tx>
          <c:spPr>
            <a:ln w="25400" cap="rnd">
              <a:noFill/>
              <a:round/>
            </a:ln>
            <a:effectLst/>
          </c:spPr>
          <c:marker>
            <c:symbol val="circle"/>
            <c:size val="5"/>
            <c:spPr>
              <a:solidFill>
                <a:schemeClr val="accent2"/>
              </a:solidFill>
              <a:ln w="9525">
                <a:solidFill>
                  <a:schemeClr val="accent2"/>
                </a:solidFill>
              </a:ln>
              <a:effectLst/>
            </c:spPr>
          </c:marker>
          <c:dLbls>
            <c:dLbl>
              <c:idx val="10"/>
              <c:layout>
                <c:manualLayout>
                  <c:x val="-0.16979051819184124"/>
                  <c:y val="-0.13991769547325103"/>
                </c:manualLayout>
              </c:layout>
              <c:tx>
                <c:rich>
                  <a:bodyPr/>
                  <a:lstStyle/>
                  <a:p>
                    <a:fld id="{1A93B52F-A34A-47D3-97FD-546439626D73}" type="YVALUE">
                      <a:rPr lang="en-US"/>
                      <a:pPr/>
                      <a:t>[Y VALUE]</a:t>
                    </a:fld>
                    <a:r>
                      <a:rPr lang="en-US"/>
                      <a:t>m</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6F6-434D-AB89-B3B5C6AFB3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'[Pet Food Safety CBA Data v4.xlsx]A&amp;R'!$M$51:$M$71</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'[Pet Food Safety CBA Data v4.xlsx]A&amp;R'!$N$51:$N$71</c:f>
              <c:numCache>
                <c:formatCode>"$"#,##0.0;[Red]\-"$"#,##0.0</c:formatCode>
                <c:ptCount val="21"/>
                <c:pt idx="0">
                  <c:v>-12.043768530292574</c:v>
                </c:pt>
                <c:pt idx="1">
                  <c:v>-9.3957253332838278</c:v>
                </c:pt>
                <c:pt idx="2">
                  <c:v>-6.7476821362750821</c:v>
                </c:pt>
                <c:pt idx="3">
                  <c:v>-4.0996389392663373</c:v>
                </c:pt>
                <c:pt idx="4">
                  <c:v>-1.4515957422575898</c:v>
                </c:pt>
                <c:pt idx="5">
                  <c:v>1.196447454751155</c:v>
                </c:pt>
                <c:pt idx="6">
                  <c:v>3.8444906517598998</c:v>
                </c:pt>
                <c:pt idx="7">
                  <c:v>6.4925338487686446</c:v>
                </c:pt>
                <c:pt idx="8">
                  <c:v>9.1405770457773947</c:v>
                </c:pt>
                <c:pt idx="9">
                  <c:v>11.788620242786138</c:v>
                </c:pt>
                <c:pt idx="10">
                  <c:v>14.436663439794884</c:v>
                </c:pt>
                <c:pt idx="11">
                  <c:v>17.084706636803631</c:v>
                </c:pt>
                <c:pt idx="12">
                  <c:v>19.732749833812374</c:v>
                </c:pt>
                <c:pt idx="13">
                  <c:v>22.380793030821124</c:v>
                </c:pt>
                <c:pt idx="14">
                  <c:v>25.028836227829864</c:v>
                </c:pt>
                <c:pt idx="15">
                  <c:v>27.67687942483861</c:v>
                </c:pt>
                <c:pt idx="16">
                  <c:v>30.324922621847364</c:v>
                </c:pt>
                <c:pt idx="17">
                  <c:v>32.972965818856103</c:v>
                </c:pt>
                <c:pt idx="18">
                  <c:v>35.62100901586485</c:v>
                </c:pt>
                <c:pt idx="19">
                  <c:v>38.269052212873596</c:v>
                </c:pt>
                <c:pt idx="20">
                  <c:v>40.917095409882343</c:v>
                </c:pt>
              </c:numCache>
            </c:numRef>
          </c:yVal>
          <c:smooth val="0"/>
          <c:extLst>
            <c:ext xmlns:c16="http://schemas.microsoft.com/office/drawing/2014/chart" uri="{C3380CC4-5D6E-409C-BE32-E72D297353CC}">
              <c16:uniqueId val="{00000001-06F6-434D-AB89-B3B5C6AFB341}"/>
            </c:ext>
          </c:extLst>
        </c:ser>
        <c:ser>
          <c:idx val="2"/>
          <c:order val="1"/>
          <c:tx>
            <c:strRef>
              <c:f>'[Pet Food Safety CBA Data v4.xlsx]A&amp;R'!$O$50</c:f>
              <c:strCache>
                <c:ptCount val="1"/>
                <c:pt idx="0">
                  <c:v>Option 2A</c:v>
                </c:pt>
              </c:strCache>
            </c:strRef>
          </c:tx>
          <c:spPr>
            <a:ln w="25400" cap="rnd">
              <a:noFill/>
              <a:round/>
            </a:ln>
            <a:effectLst/>
          </c:spPr>
          <c:marker>
            <c:symbol val="circle"/>
            <c:size val="5"/>
            <c:spPr>
              <a:solidFill>
                <a:schemeClr val="accent3"/>
              </a:solidFill>
              <a:ln w="9525">
                <a:solidFill>
                  <a:schemeClr val="accent3"/>
                </a:solidFill>
              </a:ln>
              <a:effectLst/>
            </c:spPr>
          </c:marker>
          <c:xVal>
            <c:numRef>
              <c:f>'[Pet Food Safety CBA Data v4.xlsx]A&amp;R'!$M$51:$M$71</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'[Pet Food Safety CBA Data v4.xlsx]A&amp;R'!$O$51:$O$71</c:f>
              <c:numCache>
                <c:formatCode>"$"#,##0.0;[Red]\-"$"#,##0.0</c:formatCode>
                <c:ptCount val="21"/>
                <c:pt idx="0">
                  <c:v>-5.1655507891198766</c:v>
                </c:pt>
                <c:pt idx="1">
                  <c:v>-2.2634468338478761</c:v>
                </c:pt>
                <c:pt idx="2">
                  <c:v>0.63865712142412434</c:v>
                </c:pt>
                <c:pt idx="3">
                  <c:v>3.5407610766961231</c:v>
                </c:pt>
                <c:pt idx="4">
                  <c:v>6.4428650319681253</c:v>
                </c:pt>
                <c:pt idx="5">
                  <c:v>9.344968987240124</c:v>
                </c:pt>
                <c:pt idx="6">
                  <c:v>12.247072942512123</c:v>
                </c:pt>
                <c:pt idx="7">
                  <c:v>15.149176897784123</c:v>
                </c:pt>
                <c:pt idx="8">
                  <c:v>18.051280853056127</c:v>
                </c:pt>
                <c:pt idx="9">
                  <c:v>20.953384808328124</c:v>
                </c:pt>
                <c:pt idx="10">
                  <c:v>23.855488763600125</c:v>
                </c:pt>
                <c:pt idx="11">
                  <c:v>26.757592718872129</c:v>
                </c:pt>
                <c:pt idx="12">
                  <c:v>29.659696674144122</c:v>
                </c:pt>
                <c:pt idx="13">
                  <c:v>32.561800629416126</c:v>
                </c:pt>
                <c:pt idx="14">
                  <c:v>35.463904584688123</c:v>
                </c:pt>
                <c:pt idx="15">
                  <c:v>38.366008539960127</c:v>
                </c:pt>
                <c:pt idx="16">
                  <c:v>41.268112495232131</c:v>
                </c:pt>
                <c:pt idx="17">
                  <c:v>44.170216450504121</c:v>
                </c:pt>
                <c:pt idx="18">
                  <c:v>47.072320405776125</c:v>
                </c:pt>
                <c:pt idx="19">
                  <c:v>49.974424361048122</c:v>
                </c:pt>
                <c:pt idx="20">
                  <c:v>52.876528316320126</c:v>
                </c:pt>
              </c:numCache>
            </c:numRef>
          </c:yVal>
          <c:smooth val="0"/>
          <c:extLst>
            <c:ext xmlns:c16="http://schemas.microsoft.com/office/drawing/2014/chart" uri="{C3380CC4-5D6E-409C-BE32-E72D297353CC}">
              <c16:uniqueId val="{00000002-06F6-434D-AB89-B3B5C6AFB341}"/>
            </c:ext>
          </c:extLst>
        </c:ser>
        <c:ser>
          <c:idx val="3"/>
          <c:order val="2"/>
          <c:tx>
            <c:strRef>
              <c:f>'[Pet Food Safety CBA Data v4.xlsx]A&amp;R'!$P$50</c:f>
              <c:strCache>
                <c:ptCount val="1"/>
                <c:pt idx="0">
                  <c:v>Option 3</c:v>
                </c:pt>
              </c:strCache>
            </c:strRef>
          </c:tx>
          <c:spPr>
            <a:ln w="25400" cap="rnd">
              <a:noFill/>
              <a:round/>
            </a:ln>
            <a:effectLst/>
          </c:spPr>
          <c:marker>
            <c:symbol val="circle"/>
            <c:size val="5"/>
            <c:spPr>
              <a:solidFill>
                <a:schemeClr val="accent4"/>
              </a:solidFill>
              <a:ln w="9525">
                <a:solidFill>
                  <a:schemeClr val="accent4"/>
                </a:solidFill>
              </a:ln>
              <a:effectLst/>
            </c:spPr>
          </c:marker>
          <c:xVal>
            <c:numRef>
              <c:f>'[Pet Food Safety CBA Data v4.xlsx]A&amp;R'!$M$51:$M$71</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'[Pet Food Safety CBA Data v4.xlsx]A&amp;R'!$P$51:$P$71</c:f>
              <c:numCache>
                <c:formatCode>"$"#,##0.0;[Red]\-"$"#,##0.0</c:formatCode>
                <c:ptCount val="21"/>
                <c:pt idx="0">
                  <c:v>-23.662246483918352</c:v>
                </c:pt>
                <c:pt idx="1">
                  <c:v>-21.014203286909606</c:v>
                </c:pt>
                <c:pt idx="2">
                  <c:v>-18.366160089900859</c:v>
                </c:pt>
                <c:pt idx="3">
                  <c:v>-15.718116892892116</c:v>
                </c:pt>
                <c:pt idx="4">
                  <c:v>-13.070073695883368</c:v>
                </c:pt>
                <c:pt idx="5">
                  <c:v>-10.422030498874623</c:v>
                </c:pt>
                <c:pt idx="6">
                  <c:v>-7.7739873018658781</c:v>
                </c:pt>
                <c:pt idx="7">
                  <c:v>-5.1259441048571333</c:v>
                </c:pt>
                <c:pt idx="8">
                  <c:v>-2.4779009078483831</c:v>
                </c:pt>
                <c:pt idx="9">
                  <c:v>0.17014228916035989</c:v>
                </c:pt>
                <c:pt idx="10">
                  <c:v>2.8181854861691065</c:v>
                </c:pt>
                <c:pt idx="11">
                  <c:v>5.466228683177853</c:v>
                </c:pt>
                <c:pt idx="12">
                  <c:v>8.1142718801865961</c:v>
                </c:pt>
                <c:pt idx="13">
                  <c:v>10.762315077195346</c:v>
                </c:pt>
                <c:pt idx="14">
                  <c:v>13.410358274204086</c:v>
                </c:pt>
                <c:pt idx="15">
                  <c:v>16.058401471212832</c:v>
                </c:pt>
                <c:pt idx="16">
                  <c:v>18.706444668221586</c:v>
                </c:pt>
                <c:pt idx="17">
                  <c:v>21.354487865230325</c:v>
                </c:pt>
                <c:pt idx="18">
                  <c:v>24.002531062239072</c:v>
                </c:pt>
                <c:pt idx="19">
                  <c:v>26.650574259247819</c:v>
                </c:pt>
                <c:pt idx="20">
                  <c:v>29.298617456256565</c:v>
                </c:pt>
              </c:numCache>
            </c:numRef>
          </c:yVal>
          <c:smooth val="0"/>
          <c:extLst>
            <c:ext xmlns:c16="http://schemas.microsoft.com/office/drawing/2014/chart" uri="{C3380CC4-5D6E-409C-BE32-E72D297353CC}">
              <c16:uniqueId val="{00000003-06F6-434D-AB89-B3B5C6AFB341}"/>
            </c:ext>
          </c:extLst>
        </c:ser>
        <c:ser>
          <c:idx val="4"/>
          <c:order val="3"/>
          <c:tx>
            <c:strRef>
              <c:f>'[Pet Food Safety CBA Data v4.xlsx]A&amp;R'!$Q$50</c:f>
              <c:strCache>
                <c:ptCount val="1"/>
                <c:pt idx="0">
                  <c:v>Option 3A</c:v>
                </c:pt>
              </c:strCache>
            </c:strRef>
          </c:tx>
          <c:spPr>
            <a:ln w="25400" cap="rnd">
              <a:noFill/>
              <a:round/>
            </a:ln>
            <a:effectLst/>
          </c:spPr>
          <c:marker>
            <c:symbol val="circle"/>
            <c:size val="5"/>
            <c:spPr>
              <a:solidFill>
                <a:schemeClr val="accent5"/>
              </a:solidFill>
              <a:ln w="9525">
                <a:solidFill>
                  <a:schemeClr val="accent5"/>
                </a:solidFill>
              </a:ln>
              <a:effectLst/>
            </c:spPr>
          </c:marker>
          <c:xVal>
            <c:numRef>
              <c:f>'[Pet Food Safety CBA Data v4.xlsx]A&amp;R'!$M$51:$M$71</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'[Pet Food Safety CBA Data v4.xlsx]A&amp;R'!$Q$51:$Q$71</c:f>
              <c:numCache>
                <c:formatCode>"$"#,##0.0;[Red]\-"$"#,##0.0</c:formatCode>
                <c:ptCount val="21"/>
                <c:pt idx="0">
                  <c:v>-18.005542567158344</c:v>
                </c:pt>
                <c:pt idx="1">
                  <c:v>-15.103438611886343</c:v>
                </c:pt>
                <c:pt idx="2">
                  <c:v>-12.201334656614343</c:v>
                </c:pt>
                <c:pt idx="3">
                  <c:v>-9.2992307013423439</c:v>
                </c:pt>
                <c:pt idx="4">
                  <c:v>-6.3971267460703416</c:v>
                </c:pt>
                <c:pt idx="5">
                  <c:v>-3.4950227907983429</c:v>
                </c:pt>
                <c:pt idx="6">
                  <c:v>-0.59291883552634417</c:v>
                </c:pt>
                <c:pt idx="7">
                  <c:v>2.3091851197456563</c:v>
                </c:pt>
                <c:pt idx="8">
                  <c:v>5.2112890750176604</c:v>
                </c:pt>
                <c:pt idx="9">
                  <c:v>8.1133930302896573</c:v>
                </c:pt>
                <c:pt idx="10">
                  <c:v>11.015496985561658</c:v>
                </c:pt>
                <c:pt idx="11">
                  <c:v>13.917600940833662</c:v>
                </c:pt>
                <c:pt idx="12">
                  <c:v>16.819704896105655</c:v>
                </c:pt>
                <c:pt idx="13">
                  <c:v>19.721808851377659</c:v>
                </c:pt>
                <c:pt idx="14">
                  <c:v>22.623912806649656</c:v>
                </c:pt>
                <c:pt idx="15">
                  <c:v>25.52601676192166</c:v>
                </c:pt>
                <c:pt idx="16">
                  <c:v>28.428120717193664</c:v>
                </c:pt>
                <c:pt idx="17">
                  <c:v>31.330224672465654</c:v>
                </c:pt>
                <c:pt idx="18">
                  <c:v>34.232328627737658</c:v>
                </c:pt>
                <c:pt idx="19">
                  <c:v>37.134432583009655</c:v>
                </c:pt>
                <c:pt idx="20">
                  <c:v>40.036536538281659</c:v>
                </c:pt>
              </c:numCache>
            </c:numRef>
          </c:yVal>
          <c:smooth val="0"/>
          <c:extLst>
            <c:ext xmlns:c16="http://schemas.microsoft.com/office/drawing/2014/chart" uri="{C3380CC4-5D6E-409C-BE32-E72D297353CC}">
              <c16:uniqueId val="{00000004-06F6-434D-AB89-B3B5C6AFB341}"/>
            </c:ext>
          </c:extLst>
        </c:ser>
        <c:ser>
          <c:idx val="5"/>
          <c:order val="4"/>
          <c:tx>
            <c:strRef>
              <c:f>'[Pet Food Safety CBA Data v4.xlsx]A&amp;R'!$R$50</c:f>
              <c:strCache>
                <c:ptCount val="1"/>
                <c:pt idx="0">
                  <c:v>Option 4</c:v>
                </c:pt>
              </c:strCache>
            </c:strRef>
          </c:tx>
          <c:spPr>
            <a:ln w="25400" cap="rnd">
              <a:noFill/>
              <a:round/>
            </a:ln>
            <a:effectLst/>
          </c:spPr>
          <c:marker>
            <c:symbol val="circle"/>
            <c:size val="5"/>
            <c:spPr>
              <a:solidFill>
                <a:schemeClr val="accent6"/>
              </a:solidFill>
              <a:ln w="9525">
                <a:solidFill>
                  <a:schemeClr val="accent6"/>
                </a:solidFill>
              </a:ln>
              <a:effectLst/>
            </c:spPr>
          </c:marker>
          <c:xVal>
            <c:numRef>
              <c:f>'[Pet Food Safety CBA Data v4.xlsx]A&amp;R'!$M$51:$M$71</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'[Pet Food Safety CBA Data v4.xlsx]A&amp;R'!$R$51:$R$71</c:f>
              <c:numCache>
                <c:formatCode>"$"#,##0.0;[Red]\-"$"#,##0.0</c:formatCode>
                <c:ptCount val="21"/>
                <c:pt idx="0">
                  <c:v>-32.654468404662524</c:v>
                </c:pt>
                <c:pt idx="1">
                  <c:v>-30.247440137721128</c:v>
                </c:pt>
                <c:pt idx="2">
                  <c:v>-27.840411870779732</c:v>
                </c:pt>
                <c:pt idx="3">
                  <c:v>-25.433383603838337</c:v>
                </c:pt>
                <c:pt idx="4">
                  <c:v>-23.026355336896941</c:v>
                </c:pt>
                <c:pt idx="5">
                  <c:v>-20.619327069955546</c:v>
                </c:pt>
                <c:pt idx="6">
                  <c:v>-18.212298803014153</c:v>
                </c:pt>
                <c:pt idx="7">
                  <c:v>-15.805270536072758</c:v>
                </c:pt>
                <c:pt idx="8">
                  <c:v>-13.398242269131359</c:v>
                </c:pt>
                <c:pt idx="9">
                  <c:v>-10.991214002189967</c:v>
                </c:pt>
                <c:pt idx="10">
                  <c:v>-8.5841857352485711</c:v>
                </c:pt>
                <c:pt idx="11">
                  <c:v>-6.1771574683071719</c:v>
                </c:pt>
                <c:pt idx="12">
                  <c:v>-3.7701292013657834</c:v>
                </c:pt>
                <c:pt idx="13">
                  <c:v>-1.3631009344243843</c:v>
                </c:pt>
                <c:pt idx="14">
                  <c:v>1.0439273325170078</c:v>
                </c:pt>
                <c:pt idx="15">
                  <c:v>3.4509555994584034</c:v>
                </c:pt>
                <c:pt idx="16">
                  <c:v>5.8579838663998061</c:v>
                </c:pt>
                <c:pt idx="17">
                  <c:v>8.2650121333411946</c:v>
                </c:pt>
                <c:pt idx="18">
                  <c:v>10.67204040028259</c:v>
                </c:pt>
                <c:pt idx="19">
                  <c:v>13.079068667223986</c:v>
                </c:pt>
                <c:pt idx="20">
                  <c:v>15.486096934165381</c:v>
                </c:pt>
              </c:numCache>
            </c:numRef>
          </c:yVal>
          <c:smooth val="0"/>
          <c:extLst>
            <c:ext xmlns:c16="http://schemas.microsoft.com/office/drawing/2014/chart" uri="{C3380CC4-5D6E-409C-BE32-E72D297353CC}">
              <c16:uniqueId val="{00000005-06F6-434D-AB89-B3B5C6AFB341}"/>
            </c:ext>
          </c:extLst>
        </c:ser>
        <c:dLbls>
          <c:showLegendKey val="0"/>
          <c:showVal val="0"/>
          <c:showCatName val="0"/>
          <c:showSerName val="0"/>
          <c:showPercent val="0"/>
          <c:showBubbleSize val="0"/>
        </c:dLbls>
        <c:axId val="2026318400"/>
        <c:axId val="2026327136"/>
      </c:scatterChart>
      <c:valAx>
        <c:axId val="202631840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Threshold</a:t>
                </a:r>
                <a:r>
                  <a:rPr lang="en-AU" baseline="0"/>
                  <a:t> Efficacy %</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low"/>
        <c:spPr>
          <a:noFill/>
          <a:ln w="285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327136"/>
        <c:crosses val="autoZero"/>
        <c:crossBetween val="midCat"/>
      </c:valAx>
      <c:valAx>
        <c:axId val="202632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NPV ($ millions)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Red]\-&quot;$&quot;#,##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318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701A6CF773D84241B72F0A54F1494326" ma:contentTypeVersion="19" ma:contentTypeDescription="Create a new document." ma:contentTypeScope="" ma:versionID="1add9721b4868c901bf44e9fa1728953">
  <xsd:schema xmlns:xsd="http://www.w3.org/2001/XMLSchema" xmlns:xs="http://www.w3.org/2001/XMLSchema" xmlns:p="http://schemas.microsoft.com/office/2006/metadata/properties" xmlns:ns2="73d59532-88bb-43bb-ba44-041624ab264e" xmlns:ns3="b2ef8347-ad34-413e-bb05-78fd7a165f73" xmlns:ns4="81c01dc6-2c49-4730-b140-874c95cac377" targetNamespace="http://schemas.microsoft.com/office/2006/metadata/properties" ma:root="true" ma:fieldsID="1bdc6fa8536144c0eac5978171657b89" ns2:_="" ns3:_="" ns4:_="">
    <xsd:import namespace="73d59532-88bb-43bb-ba44-041624ab264e"/>
    <xsd:import namespace="b2ef8347-ad34-413e-bb05-78fd7a165f73"/>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59532-88bb-43bb-ba44-041624ab2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f8347-ad34-413e-bb05-78fd7a165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df02d33-4f93-4c8e-9ce1-aeb365b7a3cf}" ma:internalName="TaxCatchAll" ma:showField="CatchAllData" ma:web="b2ef8347-ad34-413e-bb05-78fd7a165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d59532-88bb-43bb-ba44-041624ab264e">
      <Terms xmlns="http://schemas.microsoft.com/office/infopath/2007/PartnerControls"/>
    </lcf76f155ced4ddcb4097134ff3c332f>
    <TaxCatchAll xmlns="81c01dc6-2c49-4730-b140-874c95cac377" xsi:nil="true"/>
    <Notes xmlns="73d59532-88bb-43bb-ba44-041624ab2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60BC9704-E1AE-4AAD-A7F4-796C3029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59532-88bb-43bb-ba44-041624ab264e"/>
    <ds:schemaRef ds:uri="b2ef8347-ad34-413e-bb05-78fd7a165f73"/>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www.w3.org/XML/1998/namespace"/>
    <ds:schemaRef ds:uri="http://schemas.microsoft.com/office/2006/documentManagement/types"/>
    <ds:schemaRef ds:uri="b2ef8347-ad34-413e-bb05-78fd7a165f73"/>
    <ds:schemaRef ds:uri="81c01dc6-2c49-4730-b140-874c95cac377"/>
    <ds:schemaRef ds:uri="73d59532-88bb-43bb-ba44-041624ab264e"/>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11</TotalTime>
  <Pages>27</Pages>
  <Words>10323</Words>
  <Characters>59050</Characters>
  <Application>Microsoft Office Word</Application>
  <DocSecurity>0</DocSecurity>
  <Lines>1181</Lines>
  <Paragraphs>762</Paragraphs>
  <ScaleCrop>false</ScaleCrop>
  <HeadingPairs>
    <vt:vector size="2" baseType="variant">
      <vt:variant>
        <vt:lpstr>Title</vt:lpstr>
      </vt:variant>
      <vt:variant>
        <vt:i4>1</vt:i4>
      </vt:variant>
    </vt:vector>
  </HeadingPairs>
  <TitlesOfParts>
    <vt:vector size="1" baseType="lpstr">
      <vt:lpstr>Pet Food Safety in Australia: report to Agriculture Ministers </vt:lpstr>
    </vt:vector>
  </TitlesOfParts>
  <Company/>
  <LinksUpToDate>false</LinksUpToDate>
  <CharactersWithSpaces>68611</CharactersWithSpaces>
  <SharedDoc>false</SharedDoc>
  <HLinks>
    <vt:vector size="114" baseType="variant">
      <vt:variant>
        <vt:i4>2556012</vt:i4>
      </vt:variant>
      <vt:variant>
        <vt:i4>102</vt:i4>
      </vt:variant>
      <vt:variant>
        <vt:i4>0</vt:i4>
      </vt:variant>
      <vt:variant>
        <vt:i4>5</vt:i4>
      </vt:variant>
      <vt:variant>
        <vt:lpwstr>https://www.standards.org.au/standards-development/developing-standards/process</vt:lpwstr>
      </vt:variant>
      <vt:variant>
        <vt:lpwstr/>
      </vt:variant>
      <vt:variant>
        <vt:i4>1900603</vt:i4>
      </vt:variant>
      <vt:variant>
        <vt:i4>95</vt:i4>
      </vt:variant>
      <vt:variant>
        <vt:i4>0</vt:i4>
      </vt:variant>
      <vt:variant>
        <vt:i4>5</vt:i4>
      </vt:variant>
      <vt:variant>
        <vt:lpwstr/>
      </vt:variant>
      <vt:variant>
        <vt:lpwstr>_Toc164169844</vt:lpwstr>
      </vt:variant>
      <vt:variant>
        <vt:i4>1900603</vt:i4>
      </vt:variant>
      <vt:variant>
        <vt:i4>89</vt:i4>
      </vt:variant>
      <vt:variant>
        <vt:i4>0</vt:i4>
      </vt:variant>
      <vt:variant>
        <vt:i4>5</vt:i4>
      </vt:variant>
      <vt:variant>
        <vt:lpwstr/>
      </vt:variant>
      <vt:variant>
        <vt:lpwstr>_Toc164169843</vt:lpwstr>
      </vt:variant>
      <vt:variant>
        <vt:i4>1900603</vt:i4>
      </vt:variant>
      <vt:variant>
        <vt:i4>83</vt:i4>
      </vt:variant>
      <vt:variant>
        <vt:i4>0</vt:i4>
      </vt:variant>
      <vt:variant>
        <vt:i4>5</vt:i4>
      </vt:variant>
      <vt:variant>
        <vt:lpwstr/>
      </vt:variant>
      <vt:variant>
        <vt:lpwstr>_Toc164169842</vt:lpwstr>
      </vt:variant>
      <vt:variant>
        <vt:i4>1900603</vt:i4>
      </vt:variant>
      <vt:variant>
        <vt:i4>77</vt:i4>
      </vt:variant>
      <vt:variant>
        <vt:i4>0</vt:i4>
      </vt:variant>
      <vt:variant>
        <vt:i4>5</vt:i4>
      </vt:variant>
      <vt:variant>
        <vt:lpwstr/>
      </vt:variant>
      <vt:variant>
        <vt:lpwstr>_Toc164169841</vt:lpwstr>
      </vt:variant>
      <vt:variant>
        <vt:i4>1900603</vt:i4>
      </vt:variant>
      <vt:variant>
        <vt:i4>71</vt:i4>
      </vt:variant>
      <vt:variant>
        <vt:i4>0</vt:i4>
      </vt:variant>
      <vt:variant>
        <vt:i4>5</vt:i4>
      </vt:variant>
      <vt:variant>
        <vt:lpwstr/>
      </vt:variant>
      <vt:variant>
        <vt:lpwstr>_Toc164169840</vt:lpwstr>
      </vt:variant>
      <vt:variant>
        <vt:i4>1703995</vt:i4>
      </vt:variant>
      <vt:variant>
        <vt:i4>65</vt:i4>
      </vt:variant>
      <vt:variant>
        <vt:i4>0</vt:i4>
      </vt:variant>
      <vt:variant>
        <vt:i4>5</vt:i4>
      </vt:variant>
      <vt:variant>
        <vt:lpwstr/>
      </vt:variant>
      <vt:variant>
        <vt:lpwstr>_Toc164169839</vt:lpwstr>
      </vt:variant>
      <vt:variant>
        <vt:i4>1703995</vt:i4>
      </vt:variant>
      <vt:variant>
        <vt:i4>59</vt:i4>
      </vt:variant>
      <vt:variant>
        <vt:i4>0</vt:i4>
      </vt:variant>
      <vt:variant>
        <vt:i4>5</vt:i4>
      </vt:variant>
      <vt:variant>
        <vt:lpwstr/>
      </vt:variant>
      <vt:variant>
        <vt:lpwstr>_Toc164169838</vt:lpwstr>
      </vt:variant>
      <vt:variant>
        <vt:i4>1703995</vt:i4>
      </vt:variant>
      <vt:variant>
        <vt:i4>53</vt:i4>
      </vt:variant>
      <vt:variant>
        <vt:i4>0</vt:i4>
      </vt:variant>
      <vt:variant>
        <vt:i4>5</vt:i4>
      </vt:variant>
      <vt:variant>
        <vt:lpwstr/>
      </vt:variant>
      <vt:variant>
        <vt:lpwstr>_Toc164169837</vt:lpwstr>
      </vt:variant>
      <vt:variant>
        <vt:i4>1703995</vt:i4>
      </vt:variant>
      <vt:variant>
        <vt:i4>47</vt:i4>
      </vt:variant>
      <vt:variant>
        <vt:i4>0</vt:i4>
      </vt:variant>
      <vt:variant>
        <vt:i4>5</vt:i4>
      </vt:variant>
      <vt:variant>
        <vt:lpwstr/>
      </vt:variant>
      <vt:variant>
        <vt:lpwstr>_Toc164169836</vt:lpwstr>
      </vt:variant>
      <vt:variant>
        <vt:i4>1703995</vt:i4>
      </vt:variant>
      <vt:variant>
        <vt:i4>41</vt:i4>
      </vt:variant>
      <vt:variant>
        <vt:i4>0</vt:i4>
      </vt:variant>
      <vt:variant>
        <vt:i4>5</vt:i4>
      </vt:variant>
      <vt:variant>
        <vt:lpwstr/>
      </vt:variant>
      <vt:variant>
        <vt:lpwstr>_Toc164169835</vt:lpwstr>
      </vt:variant>
      <vt:variant>
        <vt:i4>1703995</vt:i4>
      </vt:variant>
      <vt:variant>
        <vt:i4>35</vt:i4>
      </vt:variant>
      <vt:variant>
        <vt:i4>0</vt:i4>
      </vt:variant>
      <vt:variant>
        <vt:i4>5</vt:i4>
      </vt:variant>
      <vt:variant>
        <vt:lpwstr/>
      </vt:variant>
      <vt:variant>
        <vt:lpwstr>_Toc164169834</vt:lpwstr>
      </vt:variant>
      <vt:variant>
        <vt:i4>1703995</vt:i4>
      </vt:variant>
      <vt:variant>
        <vt:i4>29</vt:i4>
      </vt:variant>
      <vt:variant>
        <vt:i4>0</vt:i4>
      </vt:variant>
      <vt:variant>
        <vt:i4>5</vt:i4>
      </vt:variant>
      <vt:variant>
        <vt:lpwstr/>
      </vt:variant>
      <vt:variant>
        <vt:lpwstr>_Toc164169833</vt:lpwstr>
      </vt:variant>
      <vt:variant>
        <vt:i4>1703995</vt:i4>
      </vt:variant>
      <vt:variant>
        <vt:i4>23</vt:i4>
      </vt:variant>
      <vt:variant>
        <vt:i4>0</vt:i4>
      </vt:variant>
      <vt:variant>
        <vt:i4>5</vt:i4>
      </vt:variant>
      <vt:variant>
        <vt:lpwstr/>
      </vt:variant>
      <vt:variant>
        <vt:lpwstr>_Toc164169832</vt:lpwstr>
      </vt:variant>
      <vt:variant>
        <vt:i4>1703995</vt:i4>
      </vt:variant>
      <vt:variant>
        <vt:i4>17</vt:i4>
      </vt:variant>
      <vt:variant>
        <vt:i4>0</vt:i4>
      </vt:variant>
      <vt:variant>
        <vt:i4>5</vt:i4>
      </vt:variant>
      <vt:variant>
        <vt:lpwstr/>
      </vt:variant>
      <vt:variant>
        <vt:lpwstr>_Toc164169831</vt:lpwstr>
      </vt:variant>
      <vt:variant>
        <vt:i4>1703995</vt:i4>
      </vt:variant>
      <vt:variant>
        <vt:i4>11</vt:i4>
      </vt:variant>
      <vt:variant>
        <vt:i4>0</vt:i4>
      </vt:variant>
      <vt:variant>
        <vt:i4>5</vt:i4>
      </vt:variant>
      <vt:variant>
        <vt:lpwstr/>
      </vt:variant>
      <vt:variant>
        <vt:lpwstr>_Toc164169830</vt:lpwstr>
      </vt:variant>
      <vt:variant>
        <vt:i4>3080252</vt:i4>
      </vt:variant>
      <vt:variant>
        <vt:i4>6</vt:i4>
      </vt:variant>
      <vt:variant>
        <vt:i4>0</vt:i4>
      </vt:variant>
      <vt:variant>
        <vt:i4>5</vt:i4>
      </vt:variant>
      <vt:variant>
        <vt:lpwstr>https://www.agriculture.gov.au/</vt:lpwstr>
      </vt:variant>
      <vt:variant>
        <vt:lpwstr/>
      </vt:variant>
      <vt:variant>
        <vt:i4>3276914</vt:i4>
      </vt:variant>
      <vt:variant>
        <vt:i4>3</vt:i4>
      </vt:variant>
      <vt:variant>
        <vt:i4>0</vt:i4>
      </vt:variant>
      <vt:variant>
        <vt:i4>5</vt:i4>
      </vt:variant>
      <vt:variant>
        <vt:lpwstr>https://www.agriculture.gov.au/publications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Food Safety in Australia: report to Agriculture Ministers</dc:title>
  <dc:subject/>
  <dc:creator>Department of Agriculture, Fisheries and Forestry</dc:creator>
  <cp:keywords/>
  <dc:description/>
  <cp:lastModifiedBy>Briggs, Sam</cp:lastModifiedBy>
  <cp:revision>4</cp:revision>
  <cp:lastPrinted>2026-05-18T00:51:00Z</cp:lastPrinted>
  <dcterms:created xsi:type="dcterms:W3CDTF">2026-05-13T22:37:00Z</dcterms:created>
  <dcterms:modified xsi:type="dcterms:W3CDTF">2026-05-18T00:51:00Z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0x010100701A6CF773D84241B72F0A54F1494326</vt:lpwstr>
  </property>
  <property fmtid="{D5CDD505-2E9C-101B-9397-08002B2CF9AE}" pid="3" name="MediaServiceImageTags">
    <vt:lpwstr/>
  </property>
  <property fmtid="{D5CDD505-2E9C-101B-9397-08002B2CF9AE}" pid="4" name="MSIP_Label_933d8be6-3c40-4052-87a2-9c2adcba8759_Enabled">
    <vt:lpwstr>true</vt:lpwstr>
  </property>
  <property fmtid="{D5CDD505-2E9C-101B-9397-08002B2CF9AE}" pid="5" name="MSIP_Label_933d8be6-3c40-4052-87a2-9c2adcba8759_SetDate">
    <vt:lpwstr>2024-09-19T04:39:35Z</vt:lpwstr>
  </property>
  <property fmtid="{D5CDD505-2E9C-101B-9397-08002B2CF9AE}" pid="6" name="MSIP_Label_933d8be6-3c40-4052-87a2-9c2adcba8759_Method">
    <vt:lpwstr>Privileged</vt:lpwstr>
  </property>
  <property fmtid="{D5CDD505-2E9C-101B-9397-08002B2CF9AE}" pid="7" name="MSIP_Label_933d8be6-3c40-4052-87a2-9c2adcba8759_Name">
    <vt:lpwstr>OFFICIAL</vt:lpwstr>
  </property>
  <property fmtid="{D5CDD505-2E9C-101B-9397-08002B2CF9AE}" pid="8" name="MSIP_Label_933d8be6-3c40-4052-87a2-9c2adcba8759_SiteId">
    <vt:lpwstr>2be67eb7-400c-4b3f-a5a1-1258c0da0696</vt:lpwstr>
  </property>
  <property fmtid="{D5CDD505-2E9C-101B-9397-08002B2CF9AE}" pid="9" name="MSIP_Label_933d8be6-3c40-4052-87a2-9c2adcba8759_ActionId">
    <vt:lpwstr>9dc0823f-2ef8-4461-918a-e5cea0276371</vt:lpwstr>
  </property>
  <property fmtid="{D5CDD505-2E9C-101B-9397-08002B2CF9AE}" pid="10" name="MSIP_Label_933d8be6-3c40-4052-87a2-9c2adcba8759_ContentBits">
    <vt:lpwstr>3</vt:lpwstr>
  </property>
</Properties>
</file>