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5.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07B07" w14:textId="0EC5B9A5" w:rsidR="002553DB" w:rsidRPr="00410E97" w:rsidRDefault="00FB74DA" w:rsidP="00FB74DA">
      <w:pPr>
        <w:tabs>
          <w:tab w:val="left" w:pos="8370"/>
        </w:tabs>
        <w:spacing w:beforeLines="120" w:before="288" w:afterLines="120" w:after="288" w:line="259" w:lineRule="auto"/>
        <w:rPr>
          <w:rFonts w:eastAsiaTheme="majorEastAsia" w:cs="Arial"/>
          <w:color w:val="2E74B5" w:themeColor="accent1" w:themeShade="BF"/>
          <w:sz w:val="20"/>
          <w:szCs w:val="20"/>
        </w:rPr>
      </w:pPr>
      <w:bookmarkStart w:id="0" w:name="_GoBack"/>
      <w:bookmarkEnd w:id="0"/>
      <w:r>
        <w:rPr>
          <w:rFonts w:eastAsiaTheme="majorEastAsia" w:cs="Arial"/>
          <w:color w:val="2E74B5" w:themeColor="accent1" w:themeShade="BF"/>
          <w:sz w:val="20"/>
          <w:szCs w:val="20"/>
        </w:rPr>
        <w:tab/>
      </w:r>
    </w:p>
    <w:p w14:paraId="3EE9F59F" w14:textId="02DF0BD1" w:rsidR="002553DB" w:rsidRPr="00410E97" w:rsidRDefault="002553DB" w:rsidP="003120E5">
      <w:pPr>
        <w:spacing w:beforeLines="120" w:before="288" w:afterLines="120" w:after="288" w:line="259" w:lineRule="auto"/>
        <w:rPr>
          <w:rFonts w:eastAsiaTheme="majorEastAsia" w:cs="Arial"/>
          <w:color w:val="2E74B5" w:themeColor="accent1" w:themeShade="BF"/>
          <w:sz w:val="20"/>
          <w:szCs w:val="20"/>
        </w:rPr>
      </w:pPr>
    </w:p>
    <w:p w14:paraId="6C181C52" w14:textId="77777777" w:rsidR="001E3D6F" w:rsidRPr="00410E97" w:rsidRDefault="001E3D6F" w:rsidP="003120E5">
      <w:pPr>
        <w:spacing w:beforeLines="120" w:before="288" w:afterLines="120" w:after="288" w:line="259" w:lineRule="auto"/>
        <w:rPr>
          <w:rFonts w:cs="Arial"/>
          <w:sz w:val="20"/>
          <w:szCs w:val="20"/>
        </w:rPr>
      </w:pPr>
    </w:p>
    <w:p w14:paraId="67AA3224" w14:textId="255C5D4B" w:rsidR="001E3D6F" w:rsidRPr="00410E97" w:rsidRDefault="00487433" w:rsidP="003120E5">
      <w:pPr>
        <w:spacing w:beforeLines="120" w:before="288" w:afterLines="120" w:after="288" w:line="259" w:lineRule="auto"/>
        <w:rPr>
          <w:rFonts w:cs="Arial"/>
          <w:sz w:val="20"/>
          <w:szCs w:val="20"/>
        </w:rPr>
      </w:pPr>
      <w:r>
        <w:rPr>
          <w:noProof/>
          <w:lang w:eastAsia="en-AU"/>
        </w:rPr>
        <mc:AlternateContent>
          <mc:Choice Requires="wps">
            <w:drawing>
              <wp:anchor distT="0" distB="0" distL="114300" distR="114300" simplePos="0" relativeHeight="251659264" behindDoc="1" locked="0" layoutInCell="1" allowOverlap="1" wp14:anchorId="2DA5958B" wp14:editId="551D8EA7">
                <wp:simplePos x="0" y="0"/>
                <wp:positionH relativeFrom="column">
                  <wp:posOffset>-447261</wp:posOffset>
                </wp:positionH>
                <wp:positionV relativeFrom="paragraph">
                  <wp:posOffset>150440</wp:posOffset>
                </wp:positionV>
                <wp:extent cx="7566518" cy="2406650"/>
                <wp:effectExtent l="0" t="0" r="15875" b="12700"/>
                <wp:wrapNone/>
                <wp:docPr id="18" name="Rectangle 18"/>
                <wp:cNvGraphicFramePr/>
                <a:graphic xmlns:a="http://schemas.openxmlformats.org/drawingml/2006/main">
                  <a:graphicData uri="http://schemas.microsoft.com/office/word/2010/wordprocessingShape">
                    <wps:wsp>
                      <wps:cNvSpPr/>
                      <wps:spPr>
                        <a:xfrm>
                          <a:off x="0" y="0"/>
                          <a:ext cx="7566518" cy="24066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3E984D" id="Rectangle 18" o:spid="_x0000_s1026" style="position:absolute;margin-left:-35.2pt;margin-top:11.85pt;width:595.8pt;height:1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7OkQIAAK8FAAAOAAAAZHJzL2Uyb0RvYy54bWysVN9PGzEMfp+0/yHK+7hr1cKouKIKxDQJ&#10;AaJMPIdc0ouUxFmS9tr99XNyP8oY2gNaH9L4bH+2v9i+uNwbTXbCBwW2opOTkhJhOdTKbir64+nm&#10;y1dKQmS2ZhqsqOhBBHq5/PzponULMYUGdC08QRAbFq2raBOjWxRF4I0wLJyAExaVErxhEUW/KWrP&#10;WkQ3upiW5WnRgq+dBy5CwK/XnZIuM76Ugsd7KYOIRFcUc4v59Pl8SWexvGCLjWeuUbxPg30gC8OU&#10;xaAj1DWLjGy9+gvKKO4hgIwnHEwBUioucg1YzaR8U826YU7kWpCc4Eaawv+D5Xe7B09UjW+HL2WZ&#10;wTd6RNaY3WhB8BsS1LqwQLu1e/C9FPCaqt1Lb9I/1kH2mdTDSKrYR8Lx49n89HSewDnqprMSpUx7&#10;cXR3PsRvAgxJl4p6jJ/JZLvbEDEkmg4mKVoAreobpXUWUqeIK+3JjuEbx/0kpYwef1hp+yFHhEme&#10;RWKgqznf4kGLhKfto5BIHlY5zQnntj0mwzgXNk46VcNq0eU4L/E3ZDmkn3POgAlZYnUjdg8wWHYg&#10;A3ZXbG+fXEXu+tG5/FdinfPokSODjaOzURb8ewAaq+ojd/YDSR01iaUXqA/YWh66mQuO3yh83lsW&#10;4gPzOGQ4jrg44j0eUkNbUehvlDTgf733Pdlj76OWkhaHtqLh55Z5QYn+bnEqziezWZryLMzmZ1MU&#10;/GvNy2uN3ZorwJ6Z4IpyPF+TfdTDVXowz7hfVikqqpjlGLuiPPpBuIrdMsENxcVqlc1wsh2Lt3bt&#10;eAJPrKb2fdo/M+/6Ho84HncwDDhbvGn1zjZ5WlhtI0iV5+DIa883boXcOP0GS2vntZytjnt2+RsA&#10;AP//AwBQSwMEFAAGAAgAAAAhABWG9OrgAAAACwEAAA8AAABkcnMvZG93bnJldi54bWxMj8FOwzAQ&#10;RO9I/IO1SNxaOyY0VYhTVQiEyo1SCY5uvCQR8Tqy3TT8Pe4Jjqt5mnlbbWY7sAl96B0pyJYCGFLj&#10;TE+tgsP782INLERNRg+OUMEPBtjU11eVLo070xtO+9iyVEKh1Aq6GMeS89B0aHVYuhEpZV/OWx3T&#10;6VtuvD6ncjtwKcSKW91TWuj0iI8dNt/7k1WwCtPnbu3v+8Owze3O+5fX+PSh1O3NvH0AFnGOfzBc&#10;9JM61Mnp6E5kAhsULAqRJ1SBvCuAXYBMZhLYUUEuZAG8rvj/H+pfAAAA//8DAFBLAQItABQABgAI&#10;AAAAIQC2gziS/gAAAOEBAAATAAAAAAAAAAAAAAAAAAAAAABbQ29udGVudF9UeXBlc10ueG1sUEsB&#10;Ai0AFAAGAAgAAAAhADj9If/WAAAAlAEAAAsAAAAAAAAAAAAAAAAALwEAAF9yZWxzLy5yZWxzUEsB&#10;Ai0AFAAGAAgAAAAhACxH3s6RAgAArwUAAA4AAAAAAAAAAAAAAAAALgIAAGRycy9lMm9Eb2MueG1s&#10;UEsBAi0AFAAGAAgAAAAhABWG9OrgAAAACwEAAA8AAAAAAAAAAAAAAAAA6wQAAGRycy9kb3ducmV2&#10;LnhtbFBLBQYAAAAABAAEAPMAAAD4BQAAAAA=&#10;" fillcolor="black [3213]" strokecolor="black [3213]" strokeweight="1pt"/>
            </w:pict>
          </mc:Fallback>
        </mc:AlternateContent>
      </w:r>
    </w:p>
    <w:p w14:paraId="603383FF" w14:textId="280EC2D0" w:rsidR="00307E82" w:rsidRPr="00EB3C23" w:rsidRDefault="000252F6" w:rsidP="00307E82">
      <w:pPr>
        <w:pStyle w:val="Title"/>
        <w:jc w:val="center"/>
        <w:rPr>
          <w:rFonts w:ascii="Arial" w:hAnsi="Arial" w:cs="Arial"/>
          <w:bCs/>
          <w:color w:val="00B274"/>
          <w:sz w:val="48"/>
          <w:szCs w:val="48"/>
        </w:rPr>
      </w:pPr>
      <w:r>
        <w:rPr>
          <w:rFonts w:ascii="Arial" w:hAnsi="Arial" w:cs="Arial"/>
          <w:bCs/>
          <w:color w:val="00B274"/>
          <w:sz w:val="48"/>
          <w:szCs w:val="48"/>
        </w:rPr>
        <w:t>Ancillary Document</w:t>
      </w:r>
    </w:p>
    <w:p w14:paraId="0012713E" w14:textId="111E3C87" w:rsidR="000252F6" w:rsidRDefault="00A0631F" w:rsidP="003D662C">
      <w:pPr>
        <w:spacing w:before="240" w:after="0"/>
        <w:jc w:val="center"/>
        <w:rPr>
          <w:rFonts w:cs="Arial"/>
          <w:bCs/>
          <w:color w:val="00B274"/>
          <w:sz w:val="36"/>
          <w:szCs w:val="36"/>
        </w:rPr>
      </w:pPr>
      <w:r>
        <w:rPr>
          <w:rFonts w:cs="Arial"/>
          <w:bCs/>
          <w:color w:val="00B274"/>
          <w:sz w:val="36"/>
          <w:szCs w:val="36"/>
        </w:rPr>
        <w:t>to the PFAS N</w:t>
      </w:r>
      <w:r w:rsidR="00540329">
        <w:rPr>
          <w:rFonts w:cs="Arial"/>
          <w:bCs/>
          <w:color w:val="00B274"/>
          <w:sz w:val="36"/>
          <w:szCs w:val="36"/>
        </w:rPr>
        <w:t xml:space="preserve">ational </w:t>
      </w:r>
      <w:r>
        <w:rPr>
          <w:rFonts w:cs="Arial"/>
          <w:bCs/>
          <w:color w:val="00B274"/>
          <w:sz w:val="36"/>
          <w:szCs w:val="36"/>
        </w:rPr>
        <w:t>E</w:t>
      </w:r>
      <w:r w:rsidR="00540329">
        <w:rPr>
          <w:rFonts w:cs="Arial"/>
          <w:bCs/>
          <w:color w:val="00B274"/>
          <w:sz w:val="36"/>
          <w:szCs w:val="36"/>
        </w:rPr>
        <w:t>nvironment</w:t>
      </w:r>
      <w:r w:rsidR="00635E8A">
        <w:rPr>
          <w:rFonts w:cs="Arial"/>
          <w:bCs/>
          <w:color w:val="00B274"/>
          <w:sz w:val="36"/>
          <w:szCs w:val="36"/>
        </w:rPr>
        <w:t>al</w:t>
      </w:r>
      <w:r w:rsidR="00540329">
        <w:rPr>
          <w:rFonts w:cs="Arial"/>
          <w:bCs/>
          <w:color w:val="00B274"/>
          <w:sz w:val="36"/>
          <w:szCs w:val="36"/>
        </w:rPr>
        <w:t xml:space="preserve"> </w:t>
      </w:r>
      <w:r>
        <w:rPr>
          <w:rFonts w:cs="Arial"/>
          <w:bCs/>
          <w:color w:val="00B274"/>
          <w:sz w:val="36"/>
          <w:szCs w:val="36"/>
        </w:rPr>
        <w:t>M</w:t>
      </w:r>
      <w:r w:rsidR="00540329">
        <w:rPr>
          <w:rFonts w:cs="Arial"/>
          <w:bCs/>
          <w:color w:val="00B274"/>
          <w:sz w:val="36"/>
          <w:szCs w:val="36"/>
        </w:rPr>
        <w:t xml:space="preserve">anagement </w:t>
      </w:r>
      <w:r>
        <w:rPr>
          <w:rFonts w:cs="Arial"/>
          <w:bCs/>
          <w:color w:val="00B274"/>
          <w:sz w:val="36"/>
          <w:szCs w:val="36"/>
        </w:rPr>
        <w:t>P</w:t>
      </w:r>
      <w:r w:rsidR="00540329">
        <w:rPr>
          <w:rFonts w:cs="Arial"/>
          <w:bCs/>
          <w:color w:val="00B274"/>
          <w:sz w:val="36"/>
          <w:szCs w:val="36"/>
        </w:rPr>
        <w:t>lan</w:t>
      </w:r>
      <w:r>
        <w:rPr>
          <w:rFonts w:cs="Arial"/>
          <w:bCs/>
          <w:color w:val="00B274"/>
          <w:sz w:val="36"/>
          <w:szCs w:val="36"/>
        </w:rPr>
        <w:t xml:space="preserve"> </w:t>
      </w:r>
      <w:r w:rsidRPr="00EB3C23">
        <w:rPr>
          <w:rFonts w:cs="Arial"/>
          <w:bCs/>
          <w:color w:val="00B274"/>
          <w:sz w:val="36"/>
          <w:szCs w:val="36"/>
        </w:rPr>
        <w:t>Version 2.0</w:t>
      </w:r>
      <w:r>
        <w:rPr>
          <w:rFonts w:cs="Arial"/>
          <w:bCs/>
          <w:color w:val="00B274"/>
          <w:sz w:val="36"/>
          <w:szCs w:val="36"/>
        </w:rPr>
        <w:t xml:space="preserve"> </w:t>
      </w:r>
    </w:p>
    <w:p w14:paraId="597D7137" w14:textId="17DC78C9" w:rsidR="00A0631F" w:rsidRPr="00C6622B" w:rsidRDefault="00A0631F" w:rsidP="003D662C">
      <w:pPr>
        <w:jc w:val="center"/>
        <w:rPr>
          <w:rFonts w:cs="Arial"/>
          <w:bCs/>
          <w:color w:val="00B274"/>
          <w:sz w:val="36"/>
          <w:szCs w:val="36"/>
        </w:rPr>
      </w:pPr>
      <w:r w:rsidRPr="00EB3C23">
        <w:rPr>
          <w:rFonts w:cs="Arial"/>
          <w:bCs/>
          <w:color w:val="00B274"/>
          <w:sz w:val="36"/>
          <w:szCs w:val="36"/>
        </w:rPr>
        <w:t>July 2020</w:t>
      </w:r>
    </w:p>
    <w:p w14:paraId="65EB98B6" w14:textId="6BECB13D" w:rsidR="00487433" w:rsidRDefault="00860798" w:rsidP="00307E82">
      <w:pPr>
        <w:spacing w:before="240"/>
        <w:ind w:left="284" w:right="284"/>
        <w:contextualSpacing/>
        <w:jc w:val="center"/>
        <w:rPr>
          <w:rStyle w:val="SubtleReference"/>
          <w:rFonts w:ascii="ZWAdobeF" w:hAnsi="ZWAdobeF" w:cs="ZWAdobeF"/>
          <w:sz w:val="2"/>
          <w:szCs w:val="2"/>
        </w:rPr>
      </w:pPr>
      <w:r>
        <w:rPr>
          <w:rStyle w:val="SubtleReference"/>
          <w:rFonts w:ascii="ZWAdobeF" w:hAnsi="ZWAdobeF" w:cs="ZWAdobeF"/>
          <w:color w:val="auto"/>
          <w:sz w:val="2"/>
          <w:szCs w:val="2"/>
        </w:rPr>
        <w:t>48T</w:t>
      </w:r>
      <w:r w:rsidR="00635E8A">
        <w:rPr>
          <w:rStyle w:val="SubtleReference"/>
          <w:rFonts w:ascii="ZWAdobeF" w:hAnsi="ZWAdobeF" w:cs="ZWAdobeF"/>
          <w:color w:val="auto"/>
          <w:sz w:val="2"/>
          <w:szCs w:val="2"/>
        </w:rPr>
        <w:t>48T</w:t>
      </w:r>
      <w:r w:rsidR="00307E82" w:rsidRPr="00EB3C23">
        <w:rPr>
          <w:rStyle w:val="SubtleReference"/>
          <w:rFonts w:ascii="ZWAdobeF" w:hAnsi="ZWAdobeF" w:cs="ZWAdobeF"/>
          <w:sz w:val="2"/>
          <w:szCs w:val="2"/>
        </w:rPr>
        <w:t>54T54T</w:t>
      </w:r>
    </w:p>
    <w:p w14:paraId="4F624C32"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103DC260"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115F6DB0"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3046C784"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6E356741"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1D7BEE05"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29C51DBB"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7F2AA705"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694E8562"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7214501E"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485D203B" w14:textId="77777777" w:rsidR="00487433" w:rsidRDefault="00487433" w:rsidP="00307E82">
      <w:pPr>
        <w:spacing w:before="240"/>
        <w:ind w:left="284" w:right="284"/>
        <w:contextualSpacing/>
        <w:jc w:val="center"/>
        <w:rPr>
          <w:rStyle w:val="SubtleReference"/>
          <w:rFonts w:ascii="ZWAdobeF" w:hAnsi="ZWAdobeF" w:cs="ZWAdobeF"/>
          <w:sz w:val="2"/>
          <w:szCs w:val="2"/>
        </w:rPr>
      </w:pPr>
    </w:p>
    <w:p w14:paraId="62B85100" w14:textId="72585EED" w:rsidR="00307E82" w:rsidRDefault="00860798" w:rsidP="00307E82">
      <w:pPr>
        <w:spacing w:before="240"/>
        <w:ind w:left="284" w:right="284"/>
        <w:contextualSpacing/>
        <w:jc w:val="center"/>
        <w:rPr>
          <w:bCs/>
          <w:color w:val="00B274"/>
          <w:sz w:val="28"/>
          <w:szCs w:val="28"/>
          <w14:shadow w14:blurRad="25400" w14:dist="76200" w14:dir="5400000" w14:sx="0" w14:sy="0" w14:kx="0" w14:ky="0" w14:algn="ctr">
            <w14:srgbClr w14:val="00B050"/>
          </w14:shadow>
        </w:rPr>
      </w:pPr>
      <w:r>
        <w:rPr>
          <w:rStyle w:val="SubtleReference"/>
          <w:rFonts w:ascii="ZWAdobeF" w:hAnsi="ZWAdobeF" w:cs="ZWAdobeF"/>
          <w:color w:val="auto"/>
          <w:sz w:val="2"/>
          <w:szCs w:val="2"/>
        </w:rPr>
        <w:t>48T</w:t>
      </w:r>
      <w:r w:rsidR="00635E8A">
        <w:rPr>
          <w:rStyle w:val="SubtleReference"/>
          <w:rFonts w:ascii="ZWAdobeF" w:hAnsi="ZWAdobeF" w:cs="ZWAdobeF"/>
          <w:color w:val="auto"/>
          <w:sz w:val="2"/>
          <w:szCs w:val="2"/>
        </w:rPr>
        <w:t>48T</w:t>
      </w:r>
      <w:r w:rsidR="00307E82" w:rsidRPr="00EB3C23">
        <w:rPr>
          <w:rStyle w:val="SubtleReference"/>
        </w:rPr>
        <w:t xml:space="preserve">National Chemicals Working Group of the Heads of EPAs </w:t>
      </w:r>
      <w:r w:rsidR="00307E82" w:rsidRPr="00EB3C23">
        <w:rPr>
          <w:rStyle w:val="SubtleReference"/>
        </w:rPr>
        <w:br/>
        <w:t>Australia and New Zealand</w:t>
      </w:r>
    </w:p>
    <w:p w14:paraId="56DD41D9" w14:textId="77777777" w:rsidR="000D3434" w:rsidRDefault="000D3434">
      <w:pPr>
        <w:spacing w:after="160" w:line="259" w:lineRule="auto"/>
        <w:rPr>
          <w:rFonts w:cs="Arial"/>
          <w:sz w:val="20"/>
          <w:szCs w:val="20"/>
        </w:rPr>
      </w:pPr>
      <w:r>
        <w:rPr>
          <w:rFonts w:cs="Arial"/>
          <w:sz w:val="20"/>
          <w:szCs w:val="20"/>
        </w:rPr>
        <w:br w:type="page"/>
      </w:r>
    </w:p>
    <w:tbl>
      <w:tblPr>
        <w:tblStyle w:val="TableGrid"/>
        <w:tblW w:w="0" w:type="auto"/>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202"/>
      </w:tblGrid>
      <w:tr w:rsidR="005D75C3" w14:paraId="38881CB7" w14:textId="77777777" w:rsidTr="0018230C">
        <w:trPr>
          <w:cnfStyle w:val="100000000000" w:firstRow="1" w:lastRow="0" w:firstColumn="0" w:lastColumn="0" w:oddVBand="0" w:evenVBand="0" w:oddHBand="0" w:evenHBand="0" w:firstRowFirstColumn="0" w:firstRowLastColumn="0" w:lastRowFirstColumn="0" w:lastRowLastColumn="0"/>
          <w:jc w:val="center"/>
        </w:trPr>
        <w:tc>
          <w:tcPr>
            <w:tcW w:w="9202" w:type="dxa"/>
          </w:tcPr>
          <w:p w14:paraId="7BE5F54E" w14:textId="77777777" w:rsidR="005D75C3" w:rsidRDefault="005D75C3" w:rsidP="0018230C">
            <w:pPr>
              <w:spacing w:line="240" w:lineRule="auto"/>
            </w:pPr>
            <w:r>
              <w:rPr>
                <w:rFonts w:ascii="Calibri" w:hAnsi="Calibri"/>
                <w:noProof/>
              </w:rPr>
              <w:lastRenderedPageBreak/>
              <w:drawing>
                <wp:inline distT="0" distB="0" distL="0" distR="0" wp14:anchorId="58C26C06" wp14:editId="35B71053">
                  <wp:extent cx="1447800"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523875"/>
                          </a:xfrm>
                          <a:prstGeom prst="rect">
                            <a:avLst/>
                          </a:prstGeom>
                          <a:noFill/>
                          <a:ln>
                            <a:noFill/>
                          </a:ln>
                        </pic:spPr>
                      </pic:pic>
                    </a:graphicData>
                  </a:graphic>
                </wp:inline>
              </w:drawing>
            </w:r>
          </w:p>
          <w:p w14:paraId="4000B523" w14:textId="77777777" w:rsidR="005D75C3" w:rsidRPr="001C2478" w:rsidRDefault="005D75C3" w:rsidP="0018230C">
            <w:pPr>
              <w:spacing w:before="240" w:line="240" w:lineRule="auto"/>
              <w:rPr>
                <w:b/>
                <w:sz w:val="22"/>
                <w:szCs w:val="22"/>
              </w:rPr>
            </w:pPr>
            <w:r w:rsidRPr="001C2478">
              <w:rPr>
                <w:b/>
                <w:sz w:val="22"/>
                <w:szCs w:val="22"/>
              </w:rPr>
              <w:t>COPYRIGHT INFORMATION</w:t>
            </w:r>
          </w:p>
          <w:p w14:paraId="7631C6AB" w14:textId="63CF4E1A" w:rsidR="005D75C3" w:rsidRPr="001C2478" w:rsidRDefault="0018230C" w:rsidP="0018230C">
            <w:pPr>
              <w:spacing w:line="240" w:lineRule="auto"/>
              <w:rPr>
                <w:b/>
                <w:sz w:val="22"/>
                <w:szCs w:val="22"/>
              </w:rPr>
            </w:pPr>
            <w:r>
              <w:rPr>
                <w:b/>
                <w:sz w:val="22"/>
                <w:szCs w:val="22"/>
              </w:rPr>
              <w:t xml:space="preserve">Ancillary Document to the </w:t>
            </w:r>
            <w:r w:rsidR="005D75C3" w:rsidRPr="001C2478">
              <w:rPr>
                <w:b/>
                <w:sz w:val="22"/>
                <w:szCs w:val="22"/>
              </w:rPr>
              <w:t>PFAS National Environmental Management Plan Version 2.0</w:t>
            </w:r>
          </w:p>
          <w:p w14:paraId="6E9F8ED8" w14:textId="08DCE253" w:rsidR="005D75C3" w:rsidRPr="001C2478" w:rsidRDefault="005D75C3" w:rsidP="0018230C">
            <w:pPr>
              <w:spacing w:line="240" w:lineRule="auto"/>
              <w:rPr>
                <w:sz w:val="22"/>
                <w:szCs w:val="22"/>
                <w:lang w:val="en-US"/>
              </w:rPr>
            </w:pPr>
            <w:r w:rsidRPr="001C2478">
              <w:rPr>
                <w:sz w:val="22"/>
                <w:szCs w:val="22"/>
                <w:lang w:val="en-US"/>
              </w:rPr>
              <w:t xml:space="preserve">© Copyright </w:t>
            </w:r>
            <w:r w:rsidRPr="001C2478">
              <w:rPr>
                <w:rFonts w:cs="Arial"/>
                <w:sz w:val="22"/>
                <w:szCs w:val="22"/>
                <w:lang w:val="en-US"/>
              </w:rPr>
              <w:t>Commonwealth</w:t>
            </w:r>
            <w:r w:rsidRPr="001C2478">
              <w:rPr>
                <w:sz w:val="22"/>
                <w:szCs w:val="22"/>
                <w:lang w:val="en-US"/>
              </w:rPr>
              <w:t xml:space="preserve"> of Australia and each Australian State and Territory that has endorsed this version </w:t>
            </w:r>
            <w:r w:rsidRPr="0018230C">
              <w:rPr>
                <w:sz w:val="22"/>
                <w:szCs w:val="22"/>
                <w:lang w:val="en-US"/>
              </w:rPr>
              <w:t xml:space="preserve">of the </w:t>
            </w:r>
            <w:r w:rsidR="0018230C">
              <w:rPr>
                <w:sz w:val="22"/>
                <w:szCs w:val="22"/>
                <w:lang w:val="en-US"/>
              </w:rPr>
              <w:t xml:space="preserve">Ancillary Document to the </w:t>
            </w:r>
            <w:r w:rsidRPr="0018230C">
              <w:rPr>
                <w:sz w:val="22"/>
                <w:szCs w:val="22"/>
                <w:lang w:val="en-US"/>
              </w:rPr>
              <w:t>PFAS NEMP, 2020.</w:t>
            </w:r>
          </w:p>
          <w:p w14:paraId="7A37F711" w14:textId="164ABC84" w:rsidR="005D75C3" w:rsidRPr="008F094F" w:rsidRDefault="005D75C3" w:rsidP="0018230C">
            <w:pPr>
              <w:spacing w:line="240" w:lineRule="auto"/>
              <w:rPr>
                <w:sz w:val="22"/>
                <w:szCs w:val="22"/>
              </w:rPr>
            </w:pPr>
            <w:r w:rsidRPr="001C2478">
              <w:rPr>
                <w:sz w:val="22"/>
                <w:szCs w:val="22"/>
              </w:rPr>
              <w:t>ISBN</w:t>
            </w:r>
            <w:r w:rsidRPr="008F094F">
              <w:rPr>
                <w:sz w:val="22"/>
                <w:szCs w:val="22"/>
              </w:rPr>
              <w:t>:</w:t>
            </w:r>
            <w:r w:rsidR="008F094F" w:rsidRPr="008F094F">
              <w:rPr>
                <w:sz w:val="22"/>
                <w:szCs w:val="22"/>
              </w:rPr>
              <w:t xml:space="preserve"> </w:t>
            </w:r>
            <w:r w:rsidR="00141E80" w:rsidRPr="00141E80">
              <w:rPr>
                <w:sz w:val="22"/>
                <w:szCs w:val="22"/>
              </w:rPr>
              <w:t>978-1-76003-312-5</w:t>
            </w:r>
          </w:p>
          <w:p w14:paraId="500E3818" w14:textId="77777777" w:rsidR="005D75C3" w:rsidRPr="001C2478" w:rsidRDefault="005D75C3" w:rsidP="0018230C">
            <w:pPr>
              <w:pStyle w:val="NormalWeb"/>
              <w:rPr>
                <w:color w:val="333333"/>
                <w:sz w:val="22"/>
                <w:szCs w:val="22"/>
                <w:lang w:val="en-US" w:eastAsia="en-US"/>
              </w:rPr>
            </w:pPr>
            <w:r w:rsidRPr="001C2478">
              <w:rPr>
                <w:noProof/>
                <w:color w:val="333333"/>
                <w:sz w:val="22"/>
                <w:szCs w:val="22"/>
              </w:rPr>
              <w:drawing>
                <wp:inline distT="0" distB="0" distL="0" distR="0" wp14:anchorId="4AFA1A71" wp14:editId="77D5362B">
                  <wp:extent cx="1233170" cy="425450"/>
                  <wp:effectExtent l="0" t="0" r="5080" b="0"/>
                  <wp:docPr id="11" name="Picture 11" descr="cid:image004.png@01D6195A.1FE9B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6195A.1FE9B7D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33170" cy="425450"/>
                          </a:xfrm>
                          <a:prstGeom prst="rect">
                            <a:avLst/>
                          </a:prstGeom>
                          <a:noFill/>
                          <a:ln>
                            <a:noFill/>
                          </a:ln>
                        </pic:spPr>
                      </pic:pic>
                    </a:graphicData>
                  </a:graphic>
                </wp:inline>
              </w:drawing>
            </w:r>
          </w:p>
          <w:p w14:paraId="4C8AC05E" w14:textId="39F7EFB1" w:rsidR="005D75C3" w:rsidRPr="001C2478" w:rsidRDefault="000B0C8E" w:rsidP="0018230C">
            <w:pPr>
              <w:spacing w:line="240" w:lineRule="auto"/>
              <w:rPr>
                <w:sz w:val="22"/>
                <w:szCs w:val="22"/>
                <w:lang w:val="en-US"/>
              </w:rPr>
            </w:pPr>
            <w:r>
              <w:rPr>
                <w:sz w:val="22"/>
                <w:szCs w:val="22"/>
                <w:lang w:val="en-US"/>
              </w:rPr>
              <w:t xml:space="preserve">The </w:t>
            </w:r>
            <w:r w:rsidR="0018230C">
              <w:rPr>
                <w:sz w:val="22"/>
                <w:szCs w:val="22"/>
                <w:lang w:val="en-US"/>
              </w:rPr>
              <w:t xml:space="preserve">Ancillary Document to the </w:t>
            </w:r>
            <w:r w:rsidR="005D75C3" w:rsidRPr="001C2478">
              <w:rPr>
                <w:sz w:val="22"/>
                <w:szCs w:val="22"/>
                <w:lang w:val="en-US"/>
              </w:rPr>
              <w:t xml:space="preserve">PFAS National Environmental Management Plan Version 2.0 is licensed by the Commonwealth of Australia and each Australian State and Territory that has endorsed this version of the </w:t>
            </w:r>
            <w:r w:rsidR="00A00418">
              <w:rPr>
                <w:sz w:val="22"/>
                <w:szCs w:val="22"/>
                <w:lang w:val="en-US"/>
              </w:rPr>
              <w:t xml:space="preserve">Ancillary Document to the </w:t>
            </w:r>
            <w:r w:rsidR="005D75C3" w:rsidRPr="001C2478">
              <w:rPr>
                <w:sz w:val="22"/>
                <w:szCs w:val="22"/>
                <w:lang w:val="en-US"/>
              </w:rPr>
              <w:t xml:space="preserve">PFAS NEMP, for use under a Creative Commons Attribution 4.0 International </w:t>
            </w:r>
            <w:r w:rsidR="005D75C3" w:rsidRPr="003E135D">
              <w:rPr>
                <w:sz w:val="22"/>
                <w:szCs w:val="22"/>
              </w:rPr>
              <w:t>licence</w:t>
            </w:r>
            <w:r w:rsidR="005D75C3" w:rsidRPr="001C2478">
              <w:rPr>
                <w:sz w:val="22"/>
                <w:szCs w:val="22"/>
                <w:lang w:val="en-US"/>
              </w:rPr>
              <w:t xml:space="preserve"> with the exception of any Government Coat of Arms, crests, logos or emblems, any content supplied by third parties, and any images depicting people. </w:t>
            </w:r>
          </w:p>
          <w:p w14:paraId="3CA1E906" w14:textId="6F08B1E4" w:rsidR="005D75C3" w:rsidRPr="001C2478" w:rsidRDefault="005D75C3" w:rsidP="0018230C">
            <w:pPr>
              <w:spacing w:line="240" w:lineRule="auto"/>
              <w:rPr>
                <w:rFonts w:cs="Arial"/>
                <w:color w:val="333333"/>
                <w:sz w:val="22"/>
                <w:szCs w:val="22"/>
                <w:lang w:val="en-US"/>
              </w:rPr>
            </w:pPr>
            <w:r w:rsidRPr="001C2478">
              <w:rPr>
                <w:rFonts w:cs="Arial"/>
                <w:sz w:val="22"/>
                <w:szCs w:val="22"/>
                <w:lang w:val="en-US"/>
              </w:rPr>
              <w:t xml:space="preserve">For </w:t>
            </w:r>
            <w:r w:rsidRPr="001C2478">
              <w:rPr>
                <w:sz w:val="22"/>
                <w:szCs w:val="22"/>
                <w:lang w:val="en-US"/>
              </w:rPr>
              <w:t>licence</w:t>
            </w:r>
            <w:r w:rsidRPr="001C2478">
              <w:rPr>
                <w:rFonts w:cs="Arial"/>
                <w:sz w:val="22"/>
                <w:szCs w:val="22"/>
                <w:lang w:val="en-US"/>
              </w:rPr>
              <w:t xml:space="preserve"> conditions see </w:t>
            </w:r>
            <w:r w:rsidRPr="001C2478">
              <w:rPr>
                <w:rFonts w:ascii="ZWAdobeF" w:hAnsi="ZWAdobeF" w:cs="ZWAdobeF"/>
                <w:sz w:val="22"/>
                <w:szCs w:val="22"/>
                <w:lang w:val="en-US"/>
              </w:rPr>
              <w:t>40T</w:t>
            </w:r>
            <w:r w:rsidR="00635E8A">
              <w:rPr>
                <w:rFonts w:ascii="ZWAdobeF" w:hAnsi="ZWAdobeF" w:cs="ZWAdobeF"/>
                <w:sz w:val="2"/>
                <w:szCs w:val="2"/>
                <w:lang w:val="en-US"/>
              </w:rPr>
              <w:t>36TU</w:t>
            </w:r>
            <w:r w:rsidR="00860798">
              <w:rPr>
                <w:rFonts w:ascii="ZWAdobeF" w:hAnsi="ZWAdobeF" w:cs="ZWAdobeF"/>
                <w:sz w:val="2"/>
                <w:szCs w:val="2"/>
                <w:lang w:val="en-US"/>
              </w:rPr>
              <w:t>36TU</w:t>
            </w:r>
            <w:hyperlink r:id="rId11" w:history="1">
              <w:r w:rsidRPr="001C2478">
                <w:rPr>
                  <w:rFonts w:ascii="ZWAdobeF" w:hAnsi="ZWAdobeF" w:cs="ZWAdobeF"/>
                  <w:sz w:val="22"/>
                  <w:szCs w:val="22"/>
                </w:rPr>
                <w:t>40T</w:t>
              </w:r>
              <w:r w:rsidRPr="001C2478">
                <w:rPr>
                  <w:rStyle w:val="Hyperlink"/>
                  <w:rFonts w:cs="Arial"/>
                  <w:sz w:val="22"/>
                  <w:szCs w:val="22"/>
                  <w:lang w:val="en-US"/>
                </w:rPr>
                <w:t>Creative Commons website - Attribution 4.0 International page</w:t>
              </w:r>
            </w:hyperlink>
            <w:r w:rsidRPr="001C2478">
              <w:rPr>
                <w:rStyle w:val="Hyperlink"/>
                <w:rFonts w:ascii="ZWAdobeF" w:hAnsi="ZWAdobeF" w:cs="ZWAdobeF"/>
                <w:sz w:val="22"/>
                <w:szCs w:val="22"/>
                <w:lang w:val="en-US"/>
              </w:rPr>
              <w:t>40T40T</w:t>
            </w:r>
            <w:r w:rsidR="00860798">
              <w:rPr>
                <w:rStyle w:val="Hyperlink"/>
                <w:rFonts w:ascii="ZWAdobeF" w:hAnsi="ZWAdobeF" w:cs="ZWAdobeF"/>
                <w:color w:val="auto"/>
                <w:sz w:val="2"/>
                <w:szCs w:val="2"/>
                <w:u w:val="none"/>
                <w:lang w:val="en-US"/>
              </w:rPr>
              <w:t>U</w:t>
            </w:r>
            <w:r w:rsidR="00635E8A">
              <w:rPr>
                <w:rStyle w:val="Hyperlink"/>
                <w:rFonts w:ascii="ZWAdobeF" w:hAnsi="ZWAdobeF" w:cs="ZWAdobeF"/>
                <w:color w:val="auto"/>
                <w:sz w:val="2"/>
                <w:szCs w:val="2"/>
                <w:u w:val="none"/>
                <w:lang w:val="en-US"/>
              </w:rPr>
              <w:t>U36T</w:t>
            </w:r>
            <w:r w:rsidR="00860798">
              <w:rPr>
                <w:rStyle w:val="Hyperlink"/>
                <w:rFonts w:ascii="ZWAdobeF" w:hAnsi="ZWAdobeF" w:cs="ZWAdobeF"/>
                <w:color w:val="auto"/>
                <w:sz w:val="2"/>
                <w:szCs w:val="2"/>
                <w:u w:val="none"/>
                <w:lang w:val="en-US"/>
              </w:rPr>
              <w:t>36T</w:t>
            </w:r>
            <w:r w:rsidRPr="001C2478">
              <w:rPr>
                <w:rFonts w:cs="Arial"/>
                <w:sz w:val="22"/>
                <w:szCs w:val="22"/>
                <w:lang w:val="en-US"/>
              </w:rPr>
              <w:t>.</w:t>
            </w:r>
          </w:p>
          <w:p w14:paraId="2A754CD2" w14:textId="4CA49B91" w:rsidR="005D75C3" w:rsidRPr="001C2478" w:rsidRDefault="005D75C3" w:rsidP="0018230C">
            <w:pPr>
              <w:spacing w:line="240" w:lineRule="auto"/>
              <w:rPr>
                <w:rFonts w:cs="Arial"/>
                <w:sz w:val="22"/>
                <w:szCs w:val="22"/>
              </w:rPr>
            </w:pPr>
            <w:r w:rsidRPr="001C2478">
              <w:rPr>
                <w:rFonts w:cs="Arial"/>
                <w:sz w:val="22"/>
                <w:szCs w:val="22"/>
                <w:lang w:val="en-US"/>
              </w:rPr>
              <w:t xml:space="preserve">This </w:t>
            </w:r>
            <w:r w:rsidRPr="001C2478">
              <w:rPr>
                <w:rFonts w:cs="Arial"/>
                <w:sz w:val="22"/>
                <w:szCs w:val="22"/>
              </w:rPr>
              <w:t xml:space="preserve">report </w:t>
            </w:r>
            <w:r w:rsidRPr="001C2478">
              <w:rPr>
                <w:rFonts w:cs="Arial"/>
                <w:sz w:val="22"/>
                <w:szCs w:val="22"/>
                <w:lang w:val="en-US"/>
              </w:rPr>
              <w:t>has been produced by the Heads of EPAs Australia and New Zealand (HEPA) and should be attributed as ‘</w:t>
            </w:r>
            <w:r w:rsidR="0018230C" w:rsidRPr="0018230C">
              <w:rPr>
                <w:rFonts w:cs="Arial"/>
                <w:i/>
                <w:iCs/>
                <w:sz w:val="22"/>
                <w:szCs w:val="22"/>
                <w:lang w:val="en-US"/>
              </w:rPr>
              <w:t>Ancillary Document to the</w:t>
            </w:r>
            <w:r w:rsidR="0018230C">
              <w:rPr>
                <w:rFonts w:cs="Arial"/>
                <w:sz w:val="22"/>
                <w:szCs w:val="22"/>
                <w:lang w:val="en-US"/>
              </w:rPr>
              <w:t xml:space="preserve"> </w:t>
            </w:r>
            <w:r w:rsidRPr="001C2478">
              <w:rPr>
                <w:rFonts w:cs="Arial"/>
                <w:i/>
                <w:iCs/>
                <w:sz w:val="22"/>
                <w:szCs w:val="22"/>
                <w:lang w:val="en-US"/>
              </w:rPr>
              <w:t>PFAS National Environmental Management Plan Version 2.0’</w:t>
            </w:r>
            <w:r w:rsidRPr="001C2478">
              <w:rPr>
                <w:rFonts w:cs="Arial"/>
                <w:sz w:val="22"/>
                <w:szCs w:val="22"/>
                <w:lang w:val="en-US"/>
              </w:rPr>
              <w:t xml:space="preserve">, </w:t>
            </w:r>
            <w:r w:rsidRPr="001C2478">
              <w:rPr>
                <w:rFonts w:cs="Arial"/>
                <w:sz w:val="22"/>
                <w:szCs w:val="22"/>
              </w:rPr>
              <w:t xml:space="preserve">Heads of EPA Australia and New Zealand 2020’. </w:t>
            </w:r>
          </w:p>
          <w:p w14:paraId="6DB41BA6" w14:textId="3B7A9D20" w:rsidR="005D75C3" w:rsidRDefault="005D75C3" w:rsidP="0018230C">
            <w:pPr>
              <w:spacing w:line="240" w:lineRule="auto"/>
              <w:rPr>
                <w:rFonts w:cs="Arial"/>
                <w:sz w:val="22"/>
                <w:szCs w:val="22"/>
                <w:lang w:val="en-US"/>
              </w:rPr>
            </w:pPr>
            <w:r w:rsidRPr="001C2478">
              <w:rPr>
                <w:rFonts w:cs="Arial"/>
                <w:sz w:val="22"/>
                <w:szCs w:val="22"/>
                <w:lang w:val="en-US"/>
              </w:rPr>
              <w:t>The Commonwealth of Australia and each Australian State and Territory</w:t>
            </w:r>
            <w:r w:rsidRPr="001C2478">
              <w:rPr>
                <w:sz w:val="22"/>
                <w:szCs w:val="22"/>
                <w:lang w:val="en-US"/>
              </w:rPr>
              <w:t xml:space="preserve"> that has endorsed this version of the </w:t>
            </w:r>
            <w:r w:rsidR="0018230C">
              <w:rPr>
                <w:sz w:val="22"/>
                <w:szCs w:val="22"/>
                <w:lang w:val="en-US"/>
              </w:rPr>
              <w:t xml:space="preserve">Ancillary Document to the </w:t>
            </w:r>
            <w:r w:rsidRPr="001C2478">
              <w:rPr>
                <w:sz w:val="22"/>
                <w:szCs w:val="22"/>
                <w:lang w:val="en-US"/>
              </w:rPr>
              <w:t>PFAS NEMP</w:t>
            </w:r>
            <w:r w:rsidRPr="001C2478">
              <w:rPr>
                <w:rFonts w:cs="Arial"/>
                <w:sz w:val="22"/>
                <w:szCs w:val="22"/>
                <w:lang w:val="en-US"/>
              </w:rPr>
              <w:t xml:space="preserve"> have made all reasonable efforts to identify content supplied by third parties using the following format ‘© Copyright, [</w:t>
            </w:r>
            <w:r w:rsidRPr="001C2478">
              <w:rPr>
                <w:rFonts w:ascii="ZWAdobeF" w:hAnsi="ZWAdobeF" w:cs="ZWAdobeF"/>
                <w:sz w:val="22"/>
                <w:szCs w:val="22"/>
                <w:lang w:val="en-US"/>
              </w:rPr>
              <w:t>22T22T</w:t>
            </w:r>
            <w:r w:rsidR="00635E8A">
              <w:rPr>
                <w:rFonts w:ascii="ZWAdobeF" w:hAnsi="ZWAdobeF" w:cs="ZWAdobeF"/>
                <w:sz w:val="2"/>
                <w:szCs w:val="2"/>
                <w:lang w:val="en-US"/>
              </w:rPr>
              <w:t>16T</w:t>
            </w:r>
            <w:r w:rsidR="00860798">
              <w:rPr>
                <w:rFonts w:ascii="ZWAdobeF" w:hAnsi="ZWAdobeF" w:cs="ZWAdobeF"/>
                <w:sz w:val="2"/>
                <w:szCs w:val="2"/>
                <w:lang w:val="en-US"/>
              </w:rPr>
              <w:t>16T</w:t>
            </w:r>
            <w:r w:rsidRPr="001C2478">
              <w:rPr>
                <w:rStyle w:val="Emphasis"/>
                <w:rFonts w:cs="Arial"/>
                <w:sz w:val="22"/>
                <w:szCs w:val="22"/>
                <w:lang w:val="en-US"/>
              </w:rPr>
              <w:t>name of third party</w:t>
            </w:r>
            <w:r w:rsidRPr="001C2478">
              <w:rPr>
                <w:rStyle w:val="Emphasis"/>
                <w:rFonts w:ascii="ZWAdobeF" w:hAnsi="ZWAdobeF" w:cs="ZWAdobeF"/>
                <w:sz w:val="22"/>
                <w:szCs w:val="22"/>
                <w:lang w:val="en-US"/>
              </w:rPr>
              <w:t>22T22T</w:t>
            </w:r>
            <w:r w:rsidR="00635E8A">
              <w:rPr>
                <w:rStyle w:val="Emphasis"/>
                <w:rFonts w:ascii="ZWAdobeF" w:hAnsi="ZWAdobeF" w:cs="ZWAdobeF"/>
                <w:i w:val="0"/>
                <w:sz w:val="2"/>
                <w:szCs w:val="2"/>
                <w:lang w:val="en-US"/>
              </w:rPr>
              <w:t>16T</w:t>
            </w:r>
            <w:r w:rsidR="00860798">
              <w:rPr>
                <w:rStyle w:val="Emphasis"/>
                <w:rFonts w:ascii="ZWAdobeF" w:hAnsi="ZWAdobeF" w:cs="ZWAdobeF"/>
                <w:i w:val="0"/>
                <w:sz w:val="2"/>
                <w:szCs w:val="2"/>
                <w:lang w:val="en-US"/>
              </w:rPr>
              <w:t>16T</w:t>
            </w:r>
            <w:r w:rsidRPr="001C2478">
              <w:rPr>
                <w:rFonts w:cs="Arial"/>
                <w:sz w:val="22"/>
                <w:szCs w:val="22"/>
                <w:lang w:val="en-US"/>
              </w:rPr>
              <w:t>]’.</w:t>
            </w:r>
          </w:p>
          <w:p w14:paraId="75AAE7B6" w14:textId="569A04B9" w:rsidR="0018230C" w:rsidRPr="0018230C" w:rsidRDefault="0018230C" w:rsidP="0018230C">
            <w:pPr>
              <w:spacing w:after="0" w:line="240" w:lineRule="auto"/>
              <w:rPr>
                <w:rFonts w:cs="Arial"/>
                <w:sz w:val="22"/>
                <w:szCs w:val="22"/>
                <w:lang w:val="en-US"/>
              </w:rPr>
            </w:pPr>
          </w:p>
        </w:tc>
      </w:tr>
    </w:tbl>
    <w:p w14:paraId="2E85C1D1" w14:textId="4BC093E7" w:rsidR="00F92847" w:rsidRDefault="00F92847" w:rsidP="005C27A0">
      <w:pPr>
        <w:rPr>
          <w:rFonts w:cs="Arial"/>
          <w:sz w:val="20"/>
          <w:szCs w:val="20"/>
        </w:rPr>
      </w:pPr>
    </w:p>
    <w:p w14:paraId="39CB745E" w14:textId="3750B6E8" w:rsidR="005D75C3" w:rsidRDefault="005D75C3" w:rsidP="005C27A0">
      <w:pPr>
        <w:rPr>
          <w:rFonts w:cs="Arial"/>
          <w:sz w:val="20"/>
          <w:szCs w:val="20"/>
        </w:rPr>
        <w:sectPr w:rsidR="005D75C3" w:rsidSect="005725C2">
          <w:headerReference w:type="even" r:id="rId12"/>
          <w:headerReference w:type="default" r:id="rId13"/>
          <w:footerReference w:type="even" r:id="rId14"/>
          <w:footerReference w:type="default" r:id="rId15"/>
          <w:headerReference w:type="first" r:id="rId16"/>
          <w:footerReference w:type="first" r:id="rId17"/>
          <w:pgSz w:w="11907" w:h="16839" w:code="9"/>
          <w:pgMar w:top="1560" w:right="720" w:bottom="720" w:left="720" w:header="708" w:footer="708" w:gutter="0"/>
          <w:pgNumType w:start="1"/>
          <w:cols w:space="708"/>
          <w:titlePg/>
          <w:docGrid w:linePitch="360"/>
        </w:sectPr>
      </w:pPr>
    </w:p>
    <w:p w14:paraId="1CEA30A9" w14:textId="5C3E234E" w:rsidR="005C27A0" w:rsidRPr="005C27A0" w:rsidRDefault="005C27A0" w:rsidP="005C27A0">
      <w:pPr>
        <w:rPr>
          <w:rFonts w:cs="Arial"/>
          <w:sz w:val="20"/>
          <w:szCs w:val="20"/>
        </w:rPr>
      </w:pPr>
    </w:p>
    <w:p w14:paraId="095CB638" w14:textId="77777777" w:rsidR="005C27A0" w:rsidRPr="005C27A0" w:rsidRDefault="005C27A0" w:rsidP="005C27A0">
      <w:pPr>
        <w:rPr>
          <w:rFonts w:cs="Arial"/>
          <w:sz w:val="20"/>
          <w:szCs w:val="20"/>
        </w:rPr>
      </w:pPr>
    </w:p>
    <w:p w14:paraId="01B27913" w14:textId="0C76E8AA" w:rsidR="005C27A0" w:rsidRDefault="005C27A0" w:rsidP="005C27A0">
      <w:pPr>
        <w:tabs>
          <w:tab w:val="left" w:pos="7880"/>
        </w:tabs>
        <w:spacing w:after="160" w:line="259" w:lineRule="auto"/>
        <w:rPr>
          <w:rFonts w:cs="Arial"/>
          <w:sz w:val="20"/>
          <w:szCs w:val="20"/>
        </w:rPr>
      </w:pPr>
      <w:r>
        <w:rPr>
          <w:rFonts w:cs="Arial"/>
          <w:sz w:val="20"/>
          <w:szCs w:val="20"/>
        </w:rPr>
        <w:tab/>
      </w:r>
    </w:p>
    <w:p w14:paraId="1DBA3B05" w14:textId="77777777" w:rsidR="005C27A0" w:rsidRDefault="005C27A0">
      <w:pPr>
        <w:spacing w:after="160" w:line="259" w:lineRule="auto"/>
        <w:rPr>
          <w:rFonts w:cs="Arial"/>
          <w:sz w:val="20"/>
          <w:szCs w:val="20"/>
        </w:rPr>
      </w:pPr>
    </w:p>
    <w:p w14:paraId="685520AB" w14:textId="60FB5CFB" w:rsidR="00922B7B" w:rsidRDefault="00922B7B">
      <w:pPr>
        <w:spacing w:after="160" w:line="259" w:lineRule="auto"/>
        <w:rPr>
          <w:rFonts w:cs="Arial"/>
          <w:sz w:val="20"/>
          <w:szCs w:val="20"/>
        </w:rPr>
      </w:pPr>
    </w:p>
    <w:bookmarkStart w:id="1" w:name="_Toc39837441" w:displacedByCustomXml="next"/>
    <w:sdt>
      <w:sdtPr>
        <w:rPr>
          <w:rFonts w:ascii="Calibri" w:hAnsi="Calibri" w:cs="Times New Roman"/>
          <w:b w:val="0"/>
          <w:color w:val="auto"/>
          <w:sz w:val="22"/>
          <w:szCs w:val="22"/>
        </w:rPr>
        <w:id w:val="-406006201"/>
        <w:docPartObj>
          <w:docPartGallery w:val="Table of Contents"/>
          <w:docPartUnique/>
        </w:docPartObj>
      </w:sdtPr>
      <w:sdtEndPr>
        <w:rPr>
          <w:rFonts w:ascii="Arial" w:hAnsi="Arial" w:cs="Arial"/>
          <w:sz w:val="20"/>
          <w:szCs w:val="20"/>
        </w:rPr>
      </w:sdtEndPr>
      <w:sdtContent>
        <w:p w14:paraId="5DEBC18B" w14:textId="199FE3DB" w:rsidR="00922B7B" w:rsidRPr="00410E97" w:rsidRDefault="00922B7B" w:rsidP="008A099B">
          <w:pPr>
            <w:pStyle w:val="Heading1"/>
          </w:pPr>
          <w:r w:rsidRPr="00410E97">
            <w:t>Contents</w:t>
          </w:r>
          <w:bookmarkEnd w:id="1"/>
        </w:p>
        <w:p w14:paraId="61B8F94F" w14:textId="24911DC7" w:rsidR="000731DF" w:rsidRDefault="00922B7B">
          <w:pPr>
            <w:pStyle w:val="TOC1"/>
            <w:rPr>
              <w:rFonts w:asciiTheme="minorHAnsi" w:eastAsiaTheme="minorEastAsia" w:hAnsiTheme="minorHAnsi" w:cstheme="minorBidi"/>
              <w:noProof/>
              <w:lang w:eastAsia="en-AU"/>
            </w:rPr>
          </w:pPr>
          <w:r w:rsidRPr="00410E97">
            <w:rPr>
              <w:b/>
              <w:bCs/>
              <w:noProof/>
            </w:rPr>
            <w:fldChar w:fldCharType="begin"/>
          </w:r>
          <w:r w:rsidRPr="00410E97">
            <w:rPr>
              <w:b/>
              <w:bCs/>
              <w:noProof/>
            </w:rPr>
            <w:instrText xml:space="preserve"> TOC \o "1-3" \h \z \u </w:instrText>
          </w:r>
          <w:r w:rsidRPr="00410E97">
            <w:rPr>
              <w:b/>
              <w:bCs/>
              <w:noProof/>
            </w:rPr>
            <w:fldChar w:fldCharType="separate"/>
          </w:r>
          <w:hyperlink w:anchor="_Toc39837441"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Contents</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_Toc39837441 \h </w:instrText>
            </w:r>
            <w:r w:rsidR="000731DF">
              <w:rPr>
                <w:noProof/>
                <w:webHidden/>
              </w:rPr>
            </w:r>
            <w:r w:rsidR="000731DF">
              <w:rPr>
                <w:noProof/>
                <w:webHidden/>
              </w:rPr>
              <w:fldChar w:fldCharType="separate"/>
            </w:r>
            <w:r w:rsidR="00860798">
              <w:rPr>
                <w:noProof/>
                <w:webHidden/>
              </w:rPr>
              <w:t>1</w:t>
            </w:r>
            <w:r w:rsidR="000731DF">
              <w:rPr>
                <w:noProof/>
                <w:webHidden/>
              </w:rPr>
              <w:fldChar w:fldCharType="end"/>
            </w:r>
          </w:hyperlink>
        </w:p>
        <w:p w14:paraId="10413341" w14:textId="7E769BC8" w:rsidR="000731DF" w:rsidRDefault="003A0534">
          <w:pPr>
            <w:pStyle w:val="TOC1"/>
            <w:rPr>
              <w:rFonts w:asciiTheme="minorHAnsi" w:eastAsiaTheme="minorEastAsia" w:hAnsiTheme="minorHAnsi" w:cstheme="minorBidi"/>
              <w:noProof/>
              <w:lang w:eastAsia="en-AU"/>
            </w:rPr>
          </w:pPr>
          <w:hyperlink w:anchor="_Toc39837442"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Preface</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_Toc39837442 \h </w:instrText>
            </w:r>
            <w:r w:rsidR="000731DF">
              <w:rPr>
                <w:noProof/>
                <w:webHidden/>
              </w:rPr>
            </w:r>
            <w:r w:rsidR="000731DF">
              <w:rPr>
                <w:noProof/>
                <w:webHidden/>
              </w:rPr>
              <w:fldChar w:fldCharType="separate"/>
            </w:r>
            <w:r w:rsidR="00860798">
              <w:rPr>
                <w:noProof/>
                <w:webHidden/>
              </w:rPr>
              <w:t>2</w:t>
            </w:r>
            <w:r w:rsidR="000731DF">
              <w:rPr>
                <w:noProof/>
                <w:webHidden/>
              </w:rPr>
              <w:fldChar w:fldCharType="end"/>
            </w:r>
          </w:hyperlink>
        </w:p>
        <w:p w14:paraId="3057F924" w14:textId="5976881F" w:rsidR="000731DF" w:rsidRDefault="003A0534">
          <w:pPr>
            <w:pStyle w:val="TOC2"/>
            <w:tabs>
              <w:tab w:val="right" w:leader="dot" w:pos="10457"/>
            </w:tabs>
            <w:rPr>
              <w:rFonts w:asciiTheme="minorHAnsi" w:eastAsiaTheme="minorEastAsia" w:hAnsiTheme="minorHAnsi" w:cstheme="minorBidi"/>
              <w:noProof/>
              <w:lang w:eastAsia="en-AU"/>
            </w:rPr>
          </w:pPr>
          <w:hyperlink w:anchor="_Toc39837443"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The PFAS NEMP 2.0 consultation process</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_Toc39837443 \h </w:instrText>
            </w:r>
            <w:r w:rsidR="000731DF">
              <w:rPr>
                <w:noProof/>
                <w:webHidden/>
              </w:rPr>
            </w:r>
            <w:r w:rsidR="000731DF">
              <w:rPr>
                <w:noProof/>
                <w:webHidden/>
              </w:rPr>
              <w:fldChar w:fldCharType="separate"/>
            </w:r>
            <w:r w:rsidR="00860798">
              <w:rPr>
                <w:noProof/>
                <w:webHidden/>
              </w:rPr>
              <w:t>2</w:t>
            </w:r>
            <w:r w:rsidR="000731DF">
              <w:rPr>
                <w:noProof/>
                <w:webHidden/>
              </w:rPr>
              <w:fldChar w:fldCharType="end"/>
            </w:r>
          </w:hyperlink>
        </w:p>
        <w:p w14:paraId="39FD9A38" w14:textId="42F23448" w:rsidR="000731DF" w:rsidRDefault="003A0534">
          <w:pPr>
            <w:pStyle w:val="TOC2"/>
            <w:tabs>
              <w:tab w:val="right" w:leader="dot" w:pos="10457"/>
            </w:tabs>
            <w:rPr>
              <w:rFonts w:asciiTheme="minorHAnsi" w:eastAsiaTheme="minorEastAsia" w:hAnsiTheme="minorHAnsi" w:cstheme="minorBidi"/>
              <w:noProof/>
              <w:lang w:eastAsia="en-AU"/>
            </w:rPr>
          </w:pPr>
          <w:hyperlink w:anchor="_Toc39837444"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The PFAS NEMP future work program</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_Toc39837444 \h </w:instrText>
            </w:r>
            <w:r w:rsidR="000731DF">
              <w:rPr>
                <w:noProof/>
                <w:webHidden/>
              </w:rPr>
            </w:r>
            <w:r w:rsidR="000731DF">
              <w:rPr>
                <w:noProof/>
                <w:webHidden/>
              </w:rPr>
              <w:fldChar w:fldCharType="separate"/>
            </w:r>
            <w:r w:rsidR="00860798">
              <w:rPr>
                <w:noProof/>
                <w:webHidden/>
              </w:rPr>
              <w:t>3</w:t>
            </w:r>
            <w:r w:rsidR="000731DF">
              <w:rPr>
                <w:noProof/>
                <w:webHidden/>
              </w:rPr>
              <w:fldChar w:fldCharType="end"/>
            </w:r>
          </w:hyperlink>
        </w:p>
        <w:p w14:paraId="51121C67" w14:textId="1EA194CE" w:rsidR="000731DF" w:rsidRDefault="003A0534">
          <w:pPr>
            <w:pStyle w:val="TOC2"/>
            <w:tabs>
              <w:tab w:val="right" w:leader="dot" w:pos="10457"/>
            </w:tabs>
            <w:rPr>
              <w:rFonts w:asciiTheme="minorHAnsi" w:eastAsiaTheme="minorEastAsia" w:hAnsiTheme="minorHAnsi" w:cstheme="minorBidi"/>
              <w:noProof/>
              <w:lang w:eastAsia="en-AU"/>
            </w:rPr>
          </w:pPr>
          <w:hyperlink w:anchor="_Toc39837445"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Responses to consultation feedback</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_Toc39837445 \h </w:instrText>
            </w:r>
            <w:r w:rsidR="000731DF">
              <w:rPr>
                <w:noProof/>
                <w:webHidden/>
              </w:rPr>
            </w:r>
            <w:r w:rsidR="000731DF">
              <w:rPr>
                <w:noProof/>
                <w:webHidden/>
              </w:rPr>
              <w:fldChar w:fldCharType="separate"/>
            </w:r>
            <w:r w:rsidR="00860798">
              <w:rPr>
                <w:noProof/>
                <w:webHidden/>
              </w:rPr>
              <w:t>3</w:t>
            </w:r>
            <w:r w:rsidR="000731DF">
              <w:rPr>
                <w:noProof/>
                <w:webHidden/>
              </w:rPr>
              <w:fldChar w:fldCharType="end"/>
            </w:r>
          </w:hyperlink>
        </w:p>
        <w:p w14:paraId="3ED86EE3" w14:textId="3962F711" w:rsidR="000731DF" w:rsidRDefault="003A0534">
          <w:pPr>
            <w:pStyle w:val="TOC2"/>
            <w:tabs>
              <w:tab w:val="right" w:leader="dot" w:pos="10457"/>
            </w:tabs>
            <w:rPr>
              <w:rFonts w:asciiTheme="minorHAnsi" w:eastAsiaTheme="minorEastAsia" w:hAnsiTheme="minorHAnsi" w:cstheme="minorBidi"/>
              <w:noProof/>
              <w:lang w:eastAsia="en-AU"/>
            </w:rPr>
          </w:pPr>
          <w:hyperlink w:anchor="_Toc39837446"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Overarching questions and answers</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_Toc39837446 \h </w:instrText>
            </w:r>
            <w:r w:rsidR="000731DF">
              <w:rPr>
                <w:noProof/>
                <w:webHidden/>
              </w:rPr>
            </w:r>
            <w:r w:rsidR="000731DF">
              <w:rPr>
                <w:noProof/>
                <w:webHidden/>
              </w:rPr>
              <w:fldChar w:fldCharType="separate"/>
            </w:r>
            <w:r w:rsidR="00860798">
              <w:rPr>
                <w:noProof/>
                <w:webHidden/>
              </w:rPr>
              <w:t>4</w:t>
            </w:r>
            <w:r w:rsidR="000731DF">
              <w:rPr>
                <w:noProof/>
                <w:webHidden/>
              </w:rPr>
              <w:fldChar w:fldCharType="end"/>
            </w:r>
          </w:hyperlink>
        </w:p>
        <w:p w14:paraId="1022E1A5" w14:textId="1D716F50" w:rsidR="000731DF" w:rsidRDefault="003A0534">
          <w:pPr>
            <w:pStyle w:val="TOC1"/>
            <w:rPr>
              <w:rFonts w:asciiTheme="minorHAnsi" w:eastAsiaTheme="minorEastAsia" w:hAnsiTheme="minorHAnsi" w:cstheme="minorBidi"/>
              <w:noProof/>
              <w:lang w:eastAsia="en-AU"/>
            </w:rPr>
          </w:pPr>
          <w:hyperlink w:anchor="_Toc39837447"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Responses to consultation feedback</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_Toc39837447 \h </w:instrText>
            </w:r>
            <w:r w:rsidR="000731DF">
              <w:rPr>
                <w:noProof/>
                <w:webHidden/>
              </w:rPr>
            </w:r>
            <w:r w:rsidR="000731DF">
              <w:rPr>
                <w:noProof/>
                <w:webHidden/>
              </w:rPr>
              <w:fldChar w:fldCharType="separate"/>
            </w:r>
            <w:r w:rsidR="00860798">
              <w:rPr>
                <w:noProof/>
                <w:webHidden/>
              </w:rPr>
              <w:t>7</w:t>
            </w:r>
            <w:r w:rsidR="000731DF">
              <w:rPr>
                <w:noProof/>
                <w:webHidden/>
              </w:rPr>
              <w:fldChar w:fldCharType="end"/>
            </w:r>
          </w:hyperlink>
        </w:p>
        <w:p w14:paraId="25372EFD" w14:textId="4E53133D" w:rsidR="000731DF" w:rsidRDefault="003A0534">
          <w:pPr>
            <w:pStyle w:val="TOC2"/>
            <w:tabs>
              <w:tab w:val="left" w:pos="1320"/>
              <w:tab w:val="right" w:leader="dot" w:pos="10457"/>
            </w:tabs>
            <w:rPr>
              <w:rFonts w:asciiTheme="minorHAnsi" w:eastAsiaTheme="minorEastAsia" w:hAnsiTheme="minorHAnsi" w:cstheme="minorBidi"/>
              <w:noProof/>
              <w:lang w:eastAsia="en-AU"/>
            </w:rPr>
          </w:pPr>
          <w:hyperlink w:anchor="_Toc39837448"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Table A.</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rFonts w:asciiTheme="minorHAnsi" w:eastAsiaTheme="minorEastAsia" w:hAnsiTheme="minorHAnsi" w:cstheme="minorBidi"/>
                <w:noProof/>
                <w:lang w:eastAsia="en-AU"/>
              </w:rPr>
              <w:tab/>
            </w:r>
            <w:r w:rsidR="00635E8A">
              <w:rPr>
                <w:rFonts w:ascii="ZWAdobeF" w:eastAsiaTheme="minorEastAsia" w:hAnsi="ZWAdobeF" w:cs="ZWAdobeF"/>
                <w:noProof/>
                <w:sz w:val="2"/>
                <w:szCs w:val="2"/>
                <w:lang w:eastAsia="en-AU"/>
              </w:rPr>
              <w:t>36T</w:t>
            </w:r>
            <w:r w:rsidR="00860798">
              <w:rPr>
                <w:rFonts w:ascii="ZWAdobeF" w:eastAsiaTheme="minorEastAsia" w:hAnsi="ZWAdobeF" w:cs="ZWAdobeF"/>
                <w:noProof/>
                <w:sz w:val="2"/>
                <w:szCs w:val="2"/>
                <w:lang w:eastAsia="en-AU"/>
              </w:rPr>
              <w:t>36T</w:t>
            </w:r>
            <w:r w:rsidR="000731DF" w:rsidRPr="00892147">
              <w:rPr>
                <w:rStyle w:val="Hyperlink"/>
                <w:noProof/>
              </w:rPr>
              <w:t>Environmental guideline values</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_Toc39837448 \h </w:instrText>
            </w:r>
            <w:r w:rsidR="000731DF">
              <w:rPr>
                <w:noProof/>
                <w:webHidden/>
              </w:rPr>
            </w:r>
            <w:r w:rsidR="000731DF">
              <w:rPr>
                <w:noProof/>
                <w:webHidden/>
              </w:rPr>
              <w:fldChar w:fldCharType="separate"/>
            </w:r>
            <w:r w:rsidR="00860798">
              <w:rPr>
                <w:noProof/>
                <w:webHidden/>
              </w:rPr>
              <w:t>8</w:t>
            </w:r>
            <w:r w:rsidR="000731DF">
              <w:rPr>
                <w:noProof/>
                <w:webHidden/>
              </w:rPr>
              <w:fldChar w:fldCharType="end"/>
            </w:r>
          </w:hyperlink>
        </w:p>
        <w:p w14:paraId="511274A7" w14:textId="3991450F" w:rsidR="000731DF" w:rsidRDefault="003A0534">
          <w:pPr>
            <w:pStyle w:val="TOC2"/>
            <w:tabs>
              <w:tab w:val="left" w:pos="1320"/>
              <w:tab w:val="right" w:leader="dot" w:pos="10457"/>
            </w:tabs>
            <w:rPr>
              <w:rFonts w:asciiTheme="minorHAnsi" w:eastAsiaTheme="minorEastAsia" w:hAnsiTheme="minorHAnsi" w:cstheme="minorBidi"/>
              <w:noProof/>
              <w:lang w:eastAsia="en-AU"/>
            </w:rPr>
          </w:pPr>
          <w:hyperlink w:anchor="_Toc39837449"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Table B.</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rFonts w:asciiTheme="minorHAnsi" w:eastAsiaTheme="minorEastAsia" w:hAnsiTheme="minorHAnsi" w:cstheme="minorBidi"/>
                <w:noProof/>
                <w:lang w:eastAsia="en-AU"/>
              </w:rPr>
              <w:tab/>
            </w:r>
            <w:r w:rsidR="00635E8A">
              <w:rPr>
                <w:rFonts w:ascii="ZWAdobeF" w:eastAsiaTheme="minorEastAsia" w:hAnsi="ZWAdobeF" w:cs="ZWAdobeF"/>
                <w:noProof/>
                <w:sz w:val="2"/>
                <w:szCs w:val="2"/>
                <w:lang w:eastAsia="en-AU"/>
              </w:rPr>
              <w:t>36T</w:t>
            </w:r>
            <w:r w:rsidR="00860798">
              <w:rPr>
                <w:rFonts w:ascii="ZWAdobeF" w:eastAsiaTheme="minorEastAsia" w:hAnsi="ZWAdobeF" w:cs="ZWAdobeF"/>
                <w:noProof/>
                <w:sz w:val="2"/>
                <w:szCs w:val="2"/>
                <w:lang w:eastAsia="en-AU"/>
              </w:rPr>
              <w:t>36T</w:t>
            </w:r>
            <w:r w:rsidR="000731DF" w:rsidRPr="00892147">
              <w:rPr>
                <w:rStyle w:val="Hyperlink"/>
                <w:noProof/>
              </w:rPr>
              <w:t>Soil reuse</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_Toc39837449 \h </w:instrText>
            </w:r>
            <w:r w:rsidR="000731DF">
              <w:rPr>
                <w:noProof/>
                <w:webHidden/>
              </w:rPr>
            </w:r>
            <w:r w:rsidR="000731DF">
              <w:rPr>
                <w:noProof/>
                <w:webHidden/>
              </w:rPr>
              <w:fldChar w:fldCharType="separate"/>
            </w:r>
            <w:r w:rsidR="00860798">
              <w:rPr>
                <w:noProof/>
                <w:webHidden/>
              </w:rPr>
              <w:t>18</w:t>
            </w:r>
            <w:r w:rsidR="000731DF">
              <w:rPr>
                <w:noProof/>
                <w:webHidden/>
              </w:rPr>
              <w:fldChar w:fldCharType="end"/>
            </w:r>
          </w:hyperlink>
        </w:p>
        <w:p w14:paraId="4C121537" w14:textId="17C67309" w:rsidR="000731DF" w:rsidRDefault="003A0534">
          <w:pPr>
            <w:pStyle w:val="TOC2"/>
            <w:tabs>
              <w:tab w:val="left" w:pos="1320"/>
              <w:tab w:val="right" w:leader="dot" w:pos="10457"/>
            </w:tabs>
            <w:rPr>
              <w:rFonts w:asciiTheme="minorHAnsi" w:eastAsiaTheme="minorEastAsia" w:hAnsiTheme="minorHAnsi" w:cstheme="minorBidi"/>
              <w:noProof/>
              <w:lang w:eastAsia="en-AU"/>
            </w:rPr>
          </w:pPr>
          <w:hyperlink w:anchor="_Toc39837450"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Table C.</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rFonts w:asciiTheme="minorHAnsi" w:eastAsiaTheme="minorEastAsia" w:hAnsiTheme="minorHAnsi" w:cstheme="minorBidi"/>
                <w:noProof/>
                <w:lang w:eastAsia="en-AU"/>
              </w:rPr>
              <w:tab/>
            </w:r>
            <w:r w:rsidR="00635E8A">
              <w:rPr>
                <w:rFonts w:ascii="ZWAdobeF" w:eastAsiaTheme="minorEastAsia" w:hAnsi="ZWAdobeF" w:cs="ZWAdobeF"/>
                <w:noProof/>
                <w:sz w:val="2"/>
                <w:szCs w:val="2"/>
                <w:lang w:eastAsia="en-AU"/>
              </w:rPr>
              <w:t>36T</w:t>
            </w:r>
            <w:r w:rsidR="00860798">
              <w:rPr>
                <w:rFonts w:ascii="ZWAdobeF" w:eastAsiaTheme="minorEastAsia" w:hAnsi="ZWAdobeF" w:cs="ZWAdobeF"/>
                <w:noProof/>
                <w:sz w:val="2"/>
                <w:szCs w:val="2"/>
                <w:lang w:eastAsia="en-AU"/>
              </w:rPr>
              <w:t>36T</w:t>
            </w:r>
            <w:r w:rsidR="000731DF" w:rsidRPr="00892147">
              <w:rPr>
                <w:rStyle w:val="Hyperlink"/>
                <w:noProof/>
              </w:rPr>
              <w:t>Wastewater management</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_Toc39837450 \h </w:instrText>
            </w:r>
            <w:r w:rsidR="000731DF">
              <w:rPr>
                <w:noProof/>
                <w:webHidden/>
              </w:rPr>
            </w:r>
            <w:r w:rsidR="000731DF">
              <w:rPr>
                <w:noProof/>
                <w:webHidden/>
              </w:rPr>
              <w:fldChar w:fldCharType="separate"/>
            </w:r>
            <w:r w:rsidR="00860798">
              <w:rPr>
                <w:noProof/>
                <w:webHidden/>
              </w:rPr>
              <w:t>24</w:t>
            </w:r>
            <w:r w:rsidR="000731DF">
              <w:rPr>
                <w:noProof/>
                <w:webHidden/>
              </w:rPr>
              <w:fldChar w:fldCharType="end"/>
            </w:r>
          </w:hyperlink>
        </w:p>
        <w:p w14:paraId="6CC4C40E" w14:textId="0346CF95" w:rsidR="000731DF" w:rsidRDefault="003A0534">
          <w:pPr>
            <w:pStyle w:val="TOC2"/>
            <w:tabs>
              <w:tab w:val="left" w:pos="1320"/>
              <w:tab w:val="right" w:leader="dot" w:pos="10457"/>
            </w:tabs>
            <w:rPr>
              <w:rFonts w:asciiTheme="minorHAnsi" w:eastAsiaTheme="minorEastAsia" w:hAnsiTheme="minorHAnsi" w:cstheme="minorBidi"/>
              <w:noProof/>
              <w:lang w:eastAsia="en-AU"/>
            </w:rPr>
          </w:pPr>
          <w:hyperlink w:anchor="_Toc39837451"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Table D</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rFonts w:asciiTheme="minorHAnsi" w:eastAsiaTheme="minorEastAsia" w:hAnsiTheme="minorHAnsi" w:cstheme="minorBidi"/>
                <w:noProof/>
                <w:lang w:eastAsia="en-AU"/>
              </w:rPr>
              <w:tab/>
            </w:r>
            <w:r w:rsidR="00635E8A">
              <w:rPr>
                <w:rFonts w:ascii="ZWAdobeF" w:eastAsiaTheme="minorEastAsia" w:hAnsi="ZWAdobeF" w:cs="ZWAdobeF"/>
                <w:noProof/>
                <w:sz w:val="2"/>
                <w:szCs w:val="2"/>
                <w:lang w:eastAsia="en-AU"/>
              </w:rPr>
              <w:t>36T</w:t>
            </w:r>
            <w:r w:rsidR="00860798">
              <w:rPr>
                <w:rFonts w:ascii="ZWAdobeF" w:eastAsiaTheme="minorEastAsia" w:hAnsi="ZWAdobeF" w:cs="ZWAdobeF"/>
                <w:noProof/>
                <w:sz w:val="2"/>
                <w:szCs w:val="2"/>
                <w:lang w:eastAsia="en-AU"/>
              </w:rPr>
              <w:t>36T</w:t>
            </w:r>
            <w:r w:rsidR="000731DF" w:rsidRPr="00892147">
              <w:rPr>
                <w:rStyle w:val="Hyperlink"/>
                <w:noProof/>
              </w:rPr>
              <w:t>On-site containment</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_Toc39837451 \h </w:instrText>
            </w:r>
            <w:r w:rsidR="000731DF">
              <w:rPr>
                <w:noProof/>
                <w:webHidden/>
              </w:rPr>
            </w:r>
            <w:r w:rsidR="000731DF">
              <w:rPr>
                <w:noProof/>
                <w:webHidden/>
              </w:rPr>
              <w:fldChar w:fldCharType="separate"/>
            </w:r>
            <w:r w:rsidR="00860798">
              <w:rPr>
                <w:noProof/>
                <w:webHidden/>
              </w:rPr>
              <w:t>31</w:t>
            </w:r>
            <w:r w:rsidR="000731DF">
              <w:rPr>
                <w:noProof/>
                <w:webHidden/>
              </w:rPr>
              <w:fldChar w:fldCharType="end"/>
            </w:r>
          </w:hyperlink>
        </w:p>
        <w:p w14:paraId="53A24E90" w14:textId="766CA5CC" w:rsidR="000731DF" w:rsidRDefault="003A0534">
          <w:pPr>
            <w:pStyle w:val="TOC2"/>
            <w:tabs>
              <w:tab w:val="left" w:pos="1320"/>
              <w:tab w:val="right" w:leader="dot" w:pos="10457"/>
            </w:tabs>
            <w:rPr>
              <w:rFonts w:asciiTheme="minorHAnsi" w:eastAsiaTheme="minorEastAsia" w:hAnsiTheme="minorHAnsi" w:cstheme="minorBidi"/>
              <w:noProof/>
              <w:lang w:eastAsia="en-AU"/>
            </w:rPr>
          </w:pPr>
          <w:hyperlink w:anchor="_Toc39837452"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Table E.</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rFonts w:asciiTheme="minorHAnsi" w:eastAsiaTheme="minorEastAsia" w:hAnsiTheme="minorHAnsi" w:cstheme="minorBidi"/>
                <w:noProof/>
                <w:lang w:eastAsia="en-AU"/>
              </w:rPr>
              <w:tab/>
            </w:r>
            <w:r w:rsidR="00635E8A">
              <w:rPr>
                <w:rFonts w:ascii="ZWAdobeF" w:eastAsiaTheme="minorEastAsia" w:hAnsi="ZWAdobeF" w:cs="ZWAdobeF"/>
                <w:noProof/>
                <w:sz w:val="2"/>
                <w:szCs w:val="2"/>
                <w:lang w:eastAsia="en-AU"/>
              </w:rPr>
              <w:t>36T</w:t>
            </w:r>
            <w:r w:rsidR="00860798">
              <w:rPr>
                <w:rFonts w:ascii="ZWAdobeF" w:eastAsiaTheme="minorEastAsia" w:hAnsi="ZWAdobeF" w:cs="ZWAdobeF"/>
                <w:noProof/>
                <w:sz w:val="2"/>
                <w:szCs w:val="2"/>
                <w:lang w:eastAsia="en-AU"/>
              </w:rPr>
              <w:t>36T</w:t>
            </w:r>
            <w:r w:rsidR="000731DF" w:rsidRPr="00892147">
              <w:rPr>
                <w:rStyle w:val="Hyperlink"/>
                <w:noProof/>
              </w:rPr>
              <w:t>Out of scope matters</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_Toc39837452 \h </w:instrText>
            </w:r>
            <w:r w:rsidR="000731DF">
              <w:rPr>
                <w:noProof/>
                <w:webHidden/>
              </w:rPr>
            </w:r>
            <w:r w:rsidR="000731DF">
              <w:rPr>
                <w:noProof/>
                <w:webHidden/>
              </w:rPr>
              <w:fldChar w:fldCharType="separate"/>
            </w:r>
            <w:r w:rsidR="00860798">
              <w:rPr>
                <w:noProof/>
                <w:webHidden/>
              </w:rPr>
              <w:t>42</w:t>
            </w:r>
            <w:r w:rsidR="000731DF">
              <w:rPr>
                <w:noProof/>
                <w:webHidden/>
              </w:rPr>
              <w:fldChar w:fldCharType="end"/>
            </w:r>
          </w:hyperlink>
        </w:p>
        <w:p w14:paraId="14ACBF5C" w14:textId="3AD786EB" w:rsidR="000731DF" w:rsidRDefault="003A0534">
          <w:pPr>
            <w:pStyle w:val="TOC1"/>
            <w:rPr>
              <w:rFonts w:asciiTheme="minorHAnsi" w:eastAsiaTheme="minorEastAsia" w:hAnsiTheme="minorHAnsi" w:cstheme="minorBidi"/>
              <w:noProof/>
              <w:lang w:eastAsia="en-AU"/>
            </w:rPr>
          </w:pPr>
          <w:hyperlink w:anchor="_Toc39837453" w:history="1">
            <w:r w:rsidR="00635E8A">
              <w:rPr>
                <w:rFonts w:ascii="ZWAdobeF" w:hAnsi="ZWAdobeF" w:cs="ZWAdobeF"/>
                <w:sz w:val="2"/>
                <w:szCs w:val="2"/>
              </w:rPr>
              <w:t>36T</w:t>
            </w:r>
            <w:r w:rsidR="00860798">
              <w:rPr>
                <w:rFonts w:ascii="ZWAdobeF" w:hAnsi="ZWAdobeF" w:cs="ZWAdobeF"/>
                <w:sz w:val="2"/>
                <w:szCs w:val="2"/>
              </w:rPr>
              <w:t>36T</w:t>
            </w:r>
            <w:r w:rsidR="000731DF" w:rsidRPr="00892147">
              <w:rPr>
                <w:rStyle w:val="Hyperlink"/>
                <w:noProof/>
              </w:rPr>
              <w:t>Attachment A. Submissions received</w:t>
            </w:r>
            <w:r w:rsidR="00635E8A">
              <w:rPr>
                <w:rStyle w:val="Hyperlink"/>
                <w:rFonts w:ascii="ZWAdobeF" w:hAnsi="ZWAdobeF" w:cs="ZWAdobeF"/>
                <w:noProof/>
                <w:color w:val="auto"/>
                <w:sz w:val="2"/>
                <w:szCs w:val="2"/>
                <w:u w:val="none"/>
              </w:rPr>
              <w:t>36T</w:t>
            </w:r>
            <w:r w:rsidR="00860798">
              <w:rPr>
                <w:rStyle w:val="Hyperlink"/>
                <w:rFonts w:ascii="ZWAdobeF" w:hAnsi="ZWAdobeF" w:cs="ZWAdobeF"/>
                <w:noProof/>
                <w:color w:val="auto"/>
                <w:sz w:val="2"/>
                <w:szCs w:val="2"/>
                <w:u w:val="none"/>
              </w:rPr>
              <w:t>36T</w:t>
            </w:r>
            <w:r w:rsidR="000731DF">
              <w:rPr>
                <w:noProof/>
                <w:webHidden/>
              </w:rPr>
              <w:tab/>
            </w:r>
            <w:r w:rsidR="000731DF">
              <w:rPr>
                <w:noProof/>
                <w:webHidden/>
              </w:rPr>
              <w:fldChar w:fldCharType="begin"/>
            </w:r>
            <w:r w:rsidR="000731DF">
              <w:rPr>
                <w:noProof/>
                <w:webHidden/>
              </w:rPr>
              <w:instrText xml:space="preserve"> PAGEREF _Toc39837453 \h </w:instrText>
            </w:r>
            <w:r w:rsidR="000731DF">
              <w:rPr>
                <w:noProof/>
                <w:webHidden/>
              </w:rPr>
            </w:r>
            <w:r w:rsidR="000731DF">
              <w:rPr>
                <w:noProof/>
                <w:webHidden/>
              </w:rPr>
              <w:fldChar w:fldCharType="separate"/>
            </w:r>
            <w:r w:rsidR="00860798">
              <w:rPr>
                <w:noProof/>
                <w:webHidden/>
              </w:rPr>
              <w:t>57</w:t>
            </w:r>
            <w:r w:rsidR="000731DF">
              <w:rPr>
                <w:noProof/>
                <w:webHidden/>
              </w:rPr>
              <w:fldChar w:fldCharType="end"/>
            </w:r>
          </w:hyperlink>
        </w:p>
        <w:p w14:paraId="5DB9A586" w14:textId="6633866D" w:rsidR="00922B7B" w:rsidRDefault="00922B7B" w:rsidP="00216A24">
          <w:pPr>
            <w:tabs>
              <w:tab w:val="right" w:leader="dot" w:pos="10348"/>
            </w:tabs>
            <w:spacing w:beforeLines="200" w:before="480" w:afterLines="200" w:after="480"/>
            <w:rPr>
              <w:rFonts w:cs="Arial"/>
              <w:b/>
              <w:sz w:val="20"/>
              <w:szCs w:val="20"/>
            </w:rPr>
          </w:pPr>
          <w:r w:rsidRPr="00410E97">
            <w:rPr>
              <w:rFonts w:cs="Arial"/>
              <w:b/>
              <w:bCs/>
              <w:noProof/>
              <w:sz w:val="20"/>
              <w:szCs w:val="20"/>
            </w:rPr>
            <w:fldChar w:fldCharType="end"/>
          </w:r>
        </w:p>
      </w:sdtContent>
    </w:sdt>
    <w:p w14:paraId="7BA066CD" w14:textId="77777777" w:rsidR="00490A72" w:rsidRPr="00410E97" w:rsidRDefault="00490A72" w:rsidP="00E076A3"/>
    <w:p w14:paraId="18E21D62" w14:textId="4FD4FC47" w:rsidR="00922B7B" w:rsidRDefault="00922B7B" w:rsidP="00E076A3">
      <w:pPr>
        <w:rPr>
          <w:rFonts w:eastAsiaTheme="majorEastAsia" w:cstheme="majorBidi"/>
          <w:color w:val="00B374"/>
          <w:sz w:val="32"/>
          <w:szCs w:val="32"/>
        </w:rPr>
      </w:pPr>
      <w:r>
        <w:br w:type="page"/>
      </w:r>
    </w:p>
    <w:p w14:paraId="156D62D3" w14:textId="581E2E46" w:rsidR="00071AE6" w:rsidRPr="00410E97" w:rsidRDefault="00071AE6" w:rsidP="008A099B">
      <w:pPr>
        <w:pStyle w:val="Heading1"/>
      </w:pPr>
      <w:bookmarkStart w:id="2" w:name="_Toc39837442"/>
      <w:r w:rsidRPr="00410E97">
        <w:lastRenderedPageBreak/>
        <w:t>Preface</w:t>
      </w:r>
      <w:bookmarkEnd w:id="2"/>
    </w:p>
    <w:p w14:paraId="2074F6D8" w14:textId="6B7C0ADB" w:rsidR="00071AE6" w:rsidRPr="000354EF" w:rsidRDefault="00071AE6" w:rsidP="003120E5">
      <w:pPr>
        <w:spacing w:beforeLines="120" w:before="288" w:afterLines="120" w:after="288" w:line="259" w:lineRule="auto"/>
        <w:rPr>
          <w:rFonts w:cs="Arial"/>
        </w:rPr>
      </w:pPr>
      <w:r w:rsidRPr="000354EF">
        <w:rPr>
          <w:rFonts w:cs="Arial"/>
        </w:rPr>
        <w:t xml:space="preserve">The purpose of this document is to </w:t>
      </w:r>
      <w:r w:rsidR="001B5712" w:rsidRPr="000354EF">
        <w:rPr>
          <w:rFonts w:cs="Arial"/>
        </w:rPr>
        <w:t>explain</w:t>
      </w:r>
      <w:r w:rsidRPr="000354EF">
        <w:rPr>
          <w:rFonts w:cs="Arial"/>
        </w:rPr>
        <w:t xml:space="preserve"> </w:t>
      </w:r>
      <w:r w:rsidR="001B5712" w:rsidRPr="000354EF">
        <w:rPr>
          <w:rFonts w:cs="Arial"/>
        </w:rPr>
        <w:t xml:space="preserve">how the National Chemicals Working Group (NCWG) </w:t>
      </w:r>
      <w:r w:rsidR="00C07D3C">
        <w:rPr>
          <w:rFonts w:cs="Arial"/>
        </w:rPr>
        <w:t xml:space="preserve">of the Heads of EPAs Australia and New Zealand </w:t>
      </w:r>
      <w:r w:rsidR="00E76BD4">
        <w:rPr>
          <w:rFonts w:cs="Arial"/>
        </w:rPr>
        <w:t xml:space="preserve">(HEPA) </w:t>
      </w:r>
      <w:r w:rsidR="001B5712" w:rsidRPr="000354EF">
        <w:rPr>
          <w:rFonts w:cs="Arial"/>
        </w:rPr>
        <w:t>has considered and responded to</w:t>
      </w:r>
      <w:r w:rsidR="005E1B1B">
        <w:rPr>
          <w:rFonts w:cs="Arial"/>
        </w:rPr>
        <w:t xml:space="preserve"> </w:t>
      </w:r>
      <w:r w:rsidR="00933016">
        <w:rPr>
          <w:rFonts w:cs="Arial"/>
        </w:rPr>
        <w:t xml:space="preserve">feedback provided in </w:t>
      </w:r>
      <w:r w:rsidR="0042326F">
        <w:rPr>
          <w:rFonts w:cs="Arial"/>
        </w:rPr>
        <w:t xml:space="preserve">public </w:t>
      </w:r>
      <w:r w:rsidR="00933016">
        <w:rPr>
          <w:rFonts w:cs="Arial"/>
        </w:rPr>
        <w:t>consultation on</w:t>
      </w:r>
      <w:r w:rsidR="001B5712" w:rsidRPr="000354EF">
        <w:rPr>
          <w:rFonts w:cs="Arial"/>
        </w:rPr>
        <w:t xml:space="preserve"> the second version of the per- and poly-fluoroalkyl substances (</w:t>
      </w:r>
      <w:r w:rsidRPr="000354EF">
        <w:rPr>
          <w:rFonts w:cs="Arial"/>
        </w:rPr>
        <w:t>PFAS</w:t>
      </w:r>
      <w:r w:rsidR="001B5712" w:rsidRPr="000354EF">
        <w:rPr>
          <w:rFonts w:cs="Arial"/>
        </w:rPr>
        <w:t>) National Environmental Management Plan (</w:t>
      </w:r>
      <w:r w:rsidR="00831EDB">
        <w:rPr>
          <w:rFonts w:cs="Arial"/>
        </w:rPr>
        <w:t xml:space="preserve">the </w:t>
      </w:r>
      <w:r w:rsidR="00AD4F65">
        <w:rPr>
          <w:rFonts w:cs="Arial"/>
        </w:rPr>
        <w:t xml:space="preserve">PFAS </w:t>
      </w:r>
      <w:r w:rsidR="001B5712" w:rsidRPr="000354EF">
        <w:rPr>
          <w:rFonts w:cs="Arial"/>
        </w:rPr>
        <w:t>NEMP</w:t>
      </w:r>
      <w:r w:rsidR="00831EDB">
        <w:rPr>
          <w:rFonts w:cs="Arial"/>
        </w:rPr>
        <w:t xml:space="preserve"> 2.0</w:t>
      </w:r>
      <w:r w:rsidR="001B5712" w:rsidRPr="000354EF">
        <w:rPr>
          <w:rFonts w:cs="Arial"/>
        </w:rPr>
        <w:t>)</w:t>
      </w:r>
      <w:r w:rsidRPr="000354EF">
        <w:rPr>
          <w:rFonts w:cs="Arial"/>
        </w:rPr>
        <w:t xml:space="preserve">. </w:t>
      </w:r>
    </w:p>
    <w:p w14:paraId="422E8D2B" w14:textId="2EA638FF" w:rsidR="00071AE6" w:rsidRPr="00EF20FA" w:rsidRDefault="00F367B4" w:rsidP="00EF20FA">
      <w:pPr>
        <w:pStyle w:val="Heading2"/>
      </w:pPr>
      <w:bookmarkStart w:id="3" w:name="_Toc39837443"/>
      <w:r w:rsidRPr="00EF20FA">
        <w:t>The</w:t>
      </w:r>
      <w:r w:rsidR="00071AE6" w:rsidRPr="00EF20FA">
        <w:t xml:space="preserve"> PFAS NEMP 2.0</w:t>
      </w:r>
      <w:r w:rsidRPr="00EF20FA">
        <w:t xml:space="preserve"> consultation process</w:t>
      </w:r>
      <w:bookmarkEnd w:id="3"/>
    </w:p>
    <w:p w14:paraId="1C7D1B0C" w14:textId="3316EE8F" w:rsidR="00FD2D18" w:rsidRDefault="001B5712" w:rsidP="000354EF">
      <w:r>
        <w:t xml:space="preserve">The draft </w:t>
      </w:r>
      <w:r w:rsidR="00AD4F65">
        <w:t xml:space="preserve">PFAS </w:t>
      </w:r>
      <w:r>
        <w:t>NEMP 2.0 was published on 28 February 2019</w:t>
      </w:r>
      <w:r w:rsidR="00831EDB">
        <w:t xml:space="preserve"> for public consultation</w:t>
      </w:r>
      <w:r>
        <w:t xml:space="preserve">. </w:t>
      </w:r>
      <w:r w:rsidR="00831EDB">
        <w:t>It provided new and updated guidance on the environmental management of PFAS contamination in Australia, along with clarification of some of the guidance retained from the first version of the PFAS NEMP (the PFAS NEMP 1.0) published in February 2018.</w:t>
      </w:r>
    </w:p>
    <w:p w14:paraId="0EEA7627" w14:textId="545189DC" w:rsidR="00071AE6" w:rsidRPr="00410E97" w:rsidRDefault="001B5712" w:rsidP="000354EF">
      <w:r>
        <w:t>The NCWG held public</w:t>
      </w:r>
      <w:r w:rsidRPr="00410E97">
        <w:t xml:space="preserve"> </w:t>
      </w:r>
      <w:r w:rsidR="00071AE6" w:rsidRPr="00410E97">
        <w:t xml:space="preserve">consultation sessions </w:t>
      </w:r>
      <w:r w:rsidR="00831EDB">
        <w:t xml:space="preserve">on the draft PFAS NEMP 2.0 </w:t>
      </w:r>
      <w:r w:rsidR="00071AE6" w:rsidRPr="00410E97">
        <w:t xml:space="preserve">in all </w:t>
      </w:r>
      <w:r>
        <w:t xml:space="preserve">state and territory </w:t>
      </w:r>
      <w:r w:rsidR="00071AE6" w:rsidRPr="00410E97">
        <w:t xml:space="preserve">capital cities </w:t>
      </w:r>
      <w:r w:rsidR="00831EDB">
        <w:t>in</w:t>
      </w:r>
      <w:r w:rsidR="00831EDB" w:rsidRPr="00410E97">
        <w:t xml:space="preserve"> </w:t>
      </w:r>
      <w:r w:rsidR="00071AE6" w:rsidRPr="00410E97">
        <w:t>March and April 2019. Around 550 people</w:t>
      </w:r>
      <w:r>
        <w:t>, representing a wide range of industry, government and community stakeholders,</w:t>
      </w:r>
      <w:r w:rsidR="00071AE6" w:rsidRPr="00410E97">
        <w:t xml:space="preserve"> attended the sessions. There was a high level of engagement in the post-presentation questions and answers. </w:t>
      </w:r>
      <w:r w:rsidR="00831EDB">
        <w:t>Attendance and engagement</w:t>
      </w:r>
      <w:r w:rsidR="00DE5DF2">
        <w:t xml:space="preserve"> </w:t>
      </w:r>
      <w:r w:rsidR="00831EDB">
        <w:t>were</w:t>
      </w:r>
      <w:r w:rsidR="00831EDB" w:rsidRPr="00410E97">
        <w:t xml:space="preserve"> </w:t>
      </w:r>
      <w:r w:rsidR="00705568">
        <w:t>much</w:t>
      </w:r>
      <w:r w:rsidR="00705568" w:rsidRPr="00410E97">
        <w:t xml:space="preserve"> </w:t>
      </w:r>
      <w:r w:rsidR="00071AE6" w:rsidRPr="00410E97">
        <w:t>higher than</w:t>
      </w:r>
      <w:r w:rsidR="00DE5DF2">
        <w:t xml:space="preserve"> for</w:t>
      </w:r>
      <w:r w:rsidR="00071AE6" w:rsidRPr="00410E97">
        <w:t xml:space="preserve"> the</w:t>
      </w:r>
      <w:r w:rsidR="00AD4F65">
        <w:t xml:space="preserve"> PFAS</w:t>
      </w:r>
      <w:r w:rsidR="00071AE6" w:rsidRPr="00410E97">
        <w:t xml:space="preserve"> </w:t>
      </w:r>
      <w:r w:rsidR="00A61860">
        <w:t xml:space="preserve">NEMP 1.0 </w:t>
      </w:r>
      <w:r w:rsidR="00831EDB">
        <w:t>consultation process</w:t>
      </w:r>
      <w:r w:rsidR="00071AE6" w:rsidRPr="00410E97" w:rsidDel="00D444FD">
        <w:t xml:space="preserve"> </w:t>
      </w:r>
      <w:r w:rsidR="00071AE6" w:rsidRPr="00410E97">
        <w:t>in August and September 2017.</w:t>
      </w:r>
    </w:p>
    <w:p w14:paraId="53C36D3D" w14:textId="228E0329" w:rsidR="00071AE6" w:rsidRPr="000354EF" w:rsidRDefault="00071AE6" w:rsidP="000354EF">
      <w:pPr>
        <w:rPr>
          <w:rFonts w:cs="Arial"/>
        </w:rPr>
      </w:pPr>
      <w:r w:rsidRPr="00410E97">
        <w:t xml:space="preserve">Feedback was invited on </w:t>
      </w:r>
      <w:r w:rsidR="001B5712" w:rsidRPr="000354EF">
        <w:rPr>
          <w:rFonts w:cs="Arial"/>
        </w:rPr>
        <w:t xml:space="preserve">four topics with </w:t>
      </w:r>
      <w:r w:rsidRPr="000354EF">
        <w:rPr>
          <w:rFonts w:cs="Arial"/>
          <w:lang w:val="en"/>
        </w:rPr>
        <w:t xml:space="preserve">new or significantly revised </w:t>
      </w:r>
      <w:r w:rsidR="001B5712" w:rsidRPr="000354EF">
        <w:rPr>
          <w:rFonts w:cs="Arial"/>
        </w:rPr>
        <w:t xml:space="preserve">content </w:t>
      </w:r>
      <w:r w:rsidR="00831EDB">
        <w:rPr>
          <w:rFonts w:cs="Arial"/>
          <w:lang w:val="en"/>
        </w:rPr>
        <w:t xml:space="preserve">that </w:t>
      </w:r>
      <w:r w:rsidR="001B5712" w:rsidRPr="000354EF">
        <w:rPr>
          <w:rFonts w:cs="Arial"/>
        </w:rPr>
        <w:t>were considered</w:t>
      </w:r>
      <w:r w:rsidRPr="000354EF">
        <w:rPr>
          <w:rFonts w:cs="Arial"/>
        </w:rPr>
        <w:t xml:space="preserve"> in-scope for the </w:t>
      </w:r>
      <w:r w:rsidR="001B5712" w:rsidRPr="000354EF">
        <w:rPr>
          <w:rFonts w:cs="Arial"/>
        </w:rPr>
        <w:t>consultation process</w:t>
      </w:r>
      <w:r w:rsidRPr="000354EF">
        <w:rPr>
          <w:rFonts w:cs="Arial"/>
        </w:rPr>
        <w:t>:</w:t>
      </w:r>
    </w:p>
    <w:p w14:paraId="0B42AA69" w14:textId="77777777" w:rsidR="00071AE6" w:rsidRPr="000354EF" w:rsidRDefault="00071AE6" w:rsidP="000354EF">
      <w:pPr>
        <w:pStyle w:val="ListLetters"/>
        <w:rPr>
          <w:rFonts w:cs="Arial"/>
        </w:rPr>
      </w:pPr>
      <w:r w:rsidRPr="000354EF">
        <w:rPr>
          <w:rFonts w:cs="Arial"/>
        </w:rPr>
        <w:t>Environmental guideline values</w:t>
      </w:r>
    </w:p>
    <w:p w14:paraId="17902B2E" w14:textId="77777777" w:rsidR="00071AE6" w:rsidRPr="000354EF" w:rsidRDefault="00071AE6" w:rsidP="000354EF">
      <w:pPr>
        <w:pStyle w:val="ListLetters"/>
        <w:rPr>
          <w:rFonts w:cs="Arial"/>
        </w:rPr>
      </w:pPr>
      <w:r w:rsidRPr="000354EF">
        <w:rPr>
          <w:rFonts w:cs="Arial"/>
        </w:rPr>
        <w:t>Soil reuse</w:t>
      </w:r>
    </w:p>
    <w:p w14:paraId="10D53D8F" w14:textId="38BBB6BC" w:rsidR="00071AE6" w:rsidRPr="000354EF" w:rsidRDefault="00F232CE" w:rsidP="000354EF">
      <w:pPr>
        <w:pStyle w:val="ListLetters"/>
        <w:rPr>
          <w:rFonts w:cs="Arial"/>
        </w:rPr>
      </w:pPr>
      <w:r w:rsidRPr="000354EF">
        <w:rPr>
          <w:rFonts w:cs="Arial"/>
        </w:rPr>
        <w:t>Wastewater management</w:t>
      </w:r>
    </w:p>
    <w:p w14:paraId="312C7A45" w14:textId="0C9D7E2B" w:rsidR="00071AE6" w:rsidRPr="000354EF" w:rsidRDefault="00071AE6" w:rsidP="000354EF">
      <w:pPr>
        <w:pStyle w:val="ListLetters"/>
        <w:spacing w:after="0" w:line="240" w:lineRule="auto"/>
        <w:rPr>
          <w:rFonts w:cs="Arial"/>
        </w:rPr>
      </w:pPr>
      <w:r w:rsidRPr="000354EF">
        <w:rPr>
          <w:rFonts w:cs="Arial"/>
        </w:rPr>
        <w:t>On-site containment</w:t>
      </w:r>
    </w:p>
    <w:p w14:paraId="125B70C7" w14:textId="11149DD5" w:rsidR="00071AE6" w:rsidRPr="000354EF" w:rsidRDefault="00705568" w:rsidP="003120E5">
      <w:pPr>
        <w:spacing w:beforeLines="120" w:before="288" w:afterLines="120" w:after="288" w:line="259" w:lineRule="auto"/>
        <w:rPr>
          <w:rFonts w:cs="Arial"/>
        </w:rPr>
      </w:pPr>
      <w:r>
        <w:rPr>
          <w:rFonts w:cs="Arial"/>
        </w:rPr>
        <w:t>Fifty</w:t>
      </w:r>
      <w:r w:rsidRPr="000354EF">
        <w:rPr>
          <w:rFonts w:cs="Arial"/>
        </w:rPr>
        <w:t xml:space="preserve"> </w:t>
      </w:r>
      <w:r w:rsidR="00071AE6" w:rsidRPr="000354EF">
        <w:rPr>
          <w:rFonts w:cs="Arial"/>
        </w:rPr>
        <w:t>written submissions</w:t>
      </w:r>
      <w:r w:rsidR="00A61860">
        <w:rPr>
          <w:rFonts w:cs="Arial"/>
        </w:rPr>
        <w:t xml:space="preserve"> </w:t>
      </w:r>
      <w:r w:rsidR="00E76BD4">
        <w:rPr>
          <w:rFonts w:cs="Arial"/>
        </w:rPr>
        <w:t xml:space="preserve">were </w:t>
      </w:r>
      <w:r w:rsidR="00071AE6" w:rsidRPr="000354EF">
        <w:rPr>
          <w:rFonts w:cs="Arial"/>
        </w:rPr>
        <w:t>received</w:t>
      </w:r>
      <w:r w:rsidR="00DE5DF2">
        <w:rPr>
          <w:rFonts w:cs="Arial"/>
        </w:rPr>
        <w:t xml:space="preserve"> </w:t>
      </w:r>
      <w:r w:rsidR="000731DF">
        <w:rPr>
          <w:rFonts w:cs="Arial"/>
        </w:rPr>
        <w:t>from</w:t>
      </w:r>
      <w:r w:rsidR="00831EDB">
        <w:rPr>
          <w:rFonts w:cs="Arial"/>
        </w:rPr>
        <w:t xml:space="preserve"> </w:t>
      </w:r>
      <w:r w:rsidR="000731DF">
        <w:rPr>
          <w:rFonts w:cs="Arial"/>
        </w:rPr>
        <w:t xml:space="preserve">the </w:t>
      </w:r>
      <w:r w:rsidR="00A61860">
        <w:rPr>
          <w:rFonts w:cs="Arial"/>
        </w:rPr>
        <w:t>forty-</w:t>
      </w:r>
      <w:r w:rsidR="000731DF">
        <w:rPr>
          <w:rFonts w:cs="Arial"/>
        </w:rPr>
        <w:t>nine</w:t>
      </w:r>
      <w:r w:rsidR="00831EDB">
        <w:rPr>
          <w:rFonts w:cs="Arial"/>
        </w:rPr>
        <w:t xml:space="preserve"> </w:t>
      </w:r>
      <w:r w:rsidR="00A61860">
        <w:rPr>
          <w:rFonts w:cs="Arial"/>
        </w:rPr>
        <w:t>organisations and</w:t>
      </w:r>
      <w:r w:rsidR="00831EDB">
        <w:rPr>
          <w:rFonts w:cs="Arial"/>
        </w:rPr>
        <w:t xml:space="preserve"> one</w:t>
      </w:r>
      <w:r w:rsidR="00A61860">
        <w:rPr>
          <w:rFonts w:cs="Arial"/>
        </w:rPr>
        <w:t xml:space="preserve"> individua</w:t>
      </w:r>
      <w:r w:rsidR="00786F06">
        <w:rPr>
          <w:rFonts w:cs="Arial"/>
        </w:rPr>
        <w:t>l</w:t>
      </w:r>
      <w:r w:rsidR="000731DF">
        <w:rPr>
          <w:rFonts w:cs="Arial"/>
        </w:rPr>
        <w:t xml:space="preserve"> listed at Attachment A</w:t>
      </w:r>
      <w:r w:rsidR="00071AE6" w:rsidRPr="000354EF">
        <w:rPr>
          <w:rFonts w:cs="Arial"/>
        </w:rPr>
        <w:t>.</w:t>
      </w:r>
      <w:r>
        <w:rPr>
          <w:rFonts w:cs="Arial"/>
        </w:rPr>
        <w:t xml:space="preserve"> The</w:t>
      </w:r>
      <w:r w:rsidR="000731DF">
        <w:rPr>
          <w:rFonts w:cs="Arial"/>
        </w:rPr>
        <w:t>se</w:t>
      </w:r>
      <w:r>
        <w:rPr>
          <w:rFonts w:cs="Arial"/>
        </w:rPr>
        <w:t xml:space="preserve"> submissions raised more than 900 items of feedback, including more than 800 items of in-scope feedback. Additional feedback was received verbally in the public consultation sessions.</w:t>
      </w:r>
    </w:p>
    <w:p w14:paraId="1A7BF735" w14:textId="4DBA7C89" w:rsidR="00327F4E" w:rsidRPr="000354EF" w:rsidRDefault="00071AE6" w:rsidP="0061542C">
      <w:pPr>
        <w:spacing w:beforeLines="120" w:before="288" w:afterLines="120" w:after="288" w:line="259" w:lineRule="auto"/>
        <w:rPr>
          <w:rFonts w:cs="Arial"/>
        </w:rPr>
      </w:pPr>
      <w:r w:rsidRPr="000354EF">
        <w:rPr>
          <w:rFonts w:cs="Arial"/>
        </w:rPr>
        <w:t xml:space="preserve">The </w:t>
      </w:r>
      <w:r w:rsidR="00327F4E" w:rsidRPr="000354EF">
        <w:rPr>
          <w:rFonts w:cs="Arial"/>
        </w:rPr>
        <w:t>NCWG</w:t>
      </w:r>
      <w:r w:rsidRPr="000354EF">
        <w:rPr>
          <w:rFonts w:cs="Arial"/>
        </w:rPr>
        <w:t xml:space="preserve"> considered </w:t>
      </w:r>
      <w:r w:rsidR="00705568">
        <w:rPr>
          <w:rFonts w:cs="Arial"/>
        </w:rPr>
        <w:t xml:space="preserve">all </w:t>
      </w:r>
      <w:r w:rsidRPr="000354EF">
        <w:rPr>
          <w:rFonts w:cs="Arial"/>
        </w:rPr>
        <w:t xml:space="preserve">in-scope </w:t>
      </w:r>
      <w:r w:rsidR="00327F4E" w:rsidRPr="000354EF">
        <w:rPr>
          <w:rFonts w:cs="Arial"/>
        </w:rPr>
        <w:t>and</w:t>
      </w:r>
      <w:r w:rsidRPr="000354EF">
        <w:rPr>
          <w:rFonts w:cs="Arial"/>
        </w:rPr>
        <w:t xml:space="preserve"> out</w:t>
      </w:r>
      <w:r w:rsidR="00327F4E" w:rsidRPr="000354EF">
        <w:rPr>
          <w:rFonts w:cs="Arial"/>
        </w:rPr>
        <w:t>-of-</w:t>
      </w:r>
      <w:r w:rsidR="005E1B1B">
        <w:rPr>
          <w:rFonts w:cs="Arial"/>
        </w:rPr>
        <w:t>scope feedback</w:t>
      </w:r>
      <w:r w:rsidR="00705568">
        <w:rPr>
          <w:rFonts w:cs="Arial"/>
        </w:rPr>
        <w:t xml:space="preserve"> received</w:t>
      </w:r>
      <w:r w:rsidR="005E1B1B">
        <w:rPr>
          <w:rFonts w:cs="Arial"/>
        </w:rPr>
        <w:t>.</w:t>
      </w:r>
    </w:p>
    <w:p w14:paraId="43DB837D" w14:textId="3ECC0E72" w:rsidR="00071AE6" w:rsidRPr="000354EF" w:rsidRDefault="00327F4E" w:rsidP="0061542C">
      <w:pPr>
        <w:spacing w:beforeLines="120" w:before="288" w:afterLines="120" w:after="288" w:line="259" w:lineRule="auto"/>
        <w:rPr>
          <w:rFonts w:cs="Arial"/>
        </w:rPr>
      </w:pPr>
      <w:r w:rsidRPr="000354EF">
        <w:rPr>
          <w:rFonts w:cs="Arial"/>
        </w:rPr>
        <w:t>The out-of-</w:t>
      </w:r>
      <w:r w:rsidR="00071AE6" w:rsidRPr="000354EF">
        <w:rPr>
          <w:rFonts w:cs="Arial"/>
        </w:rPr>
        <w:t>scope feedback included:</w:t>
      </w:r>
    </w:p>
    <w:p w14:paraId="3BA9EECF" w14:textId="3C87752F" w:rsidR="00071AE6" w:rsidRPr="000527CB" w:rsidRDefault="00F232CE" w:rsidP="002000B1">
      <w:pPr>
        <w:pStyle w:val="bullet1"/>
        <w:rPr>
          <w:sz w:val="22"/>
        </w:rPr>
      </w:pPr>
      <w:r w:rsidRPr="004E1816">
        <w:rPr>
          <w:sz w:val="22"/>
        </w:rPr>
        <w:t>feedback relating to</w:t>
      </w:r>
      <w:r w:rsidR="00071AE6" w:rsidRPr="00E13A68">
        <w:rPr>
          <w:sz w:val="22"/>
        </w:rPr>
        <w:t xml:space="preserve"> external frameworks that are authorised through existing processes (e.g. </w:t>
      </w:r>
      <w:r w:rsidR="00E76BD4" w:rsidRPr="00E13A68">
        <w:rPr>
          <w:sz w:val="22"/>
        </w:rPr>
        <w:t xml:space="preserve">the </w:t>
      </w:r>
      <w:r w:rsidR="00E76BD4">
        <w:rPr>
          <w:sz w:val="22"/>
        </w:rPr>
        <w:t xml:space="preserve">Australian and New Zealand </w:t>
      </w:r>
      <w:r w:rsidR="00071AE6" w:rsidRPr="00E13A68">
        <w:rPr>
          <w:sz w:val="22"/>
        </w:rPr>
        <w:t>Water Quality Guidelines</w:t>
      </w:r>
      <w:r w:rsidRPr="000527CB">
        <w:rPr>
          <w:sz w:val="22"/>
        </w:rPr>
        <w:t xml:space="preserve"> and human health advice</w:t>
      </w:r>
      <w:r w:rsidR="00071AE6" w:rsidRPr="000527CB">
        <w:rPr>
          <w:sz w:val="22"/>
        </w:rPr>
        <w:t>)</w:t>
      </w:r>
    </w:p>
    <w:p w14:paraId="20CDA5DB" w14:textId="6E7B3004" w:rsidR="00F232CE" w:rsidRPr="004E1816" w:rsidRDefault="00F232CE" w:rsidP="002000B1">
      <w:pPr>
        <w:pStyle w:val="bullet1"/>
        <w:rPr>
          <w:sz w:val="22"/>
        </w:rPr>
      </w:pPr>
      <w:r w:rsidRPr="000527CB">
        <w:rPr>
          <w:sz w:val="22"/>
        </w:rPr>
        <w:t>feedback relating to implementation of the</w:t>
      </w:r>
      <w:r w:rsidR="00AD4F65">
        <w:rPr>
          <w:sz w:val="22"/>
        </w:rPr>
        <w:t xml:space="preserve"> PFAS</w:t>
      </w:r>
      <w:r w:rsidRPr="000527CB">
        <w:rPr>
          <w:sz w:val="22"/>
        </w:rPr>
        <w:t xml:space="preserve"> NEMP</w:t>
      </w:r>
      <w:r w:rsidRPr="007120B3">
        <w:t xml:space="preserve"> </w:t>
      </w:r>
      <w:r w:rsidRPr="00A87BA9">
        <w:rPr>
          <w:sz w:val="22"/>
        </w:rPr>
        <w:t>in each jurisdiction</w:t>
      </w:r>
    </w:p>
    <w:p w14:paraId="16CFB259" w14:textId="199397C3" w:rsidR="00F232CE" w:rsidRPr="000527CB" w:rsidRDefault="00F232CE" w:rsidP="002000B1">
      <w:pPr>
        <w:pStyle w:val="bullet1"/>
        <w:rPr>
          <w:sz w:val="22"/>
        </w:rPr>
      </w:pPr>
      <w:r w:rsidRPr="000527CB">
        <w:rPr>
          <w:sz w:val="22"/>
        </w:rPr>
        <w:t>feedback relating to regulatory policy, including the application of principles such as the polluter pays principle, the precautionary principle, and conservation of biodiversity and ecological integrity</w:t>
      </w:r>
    </w:p>
    <w:p w14:paraId="64F6C080" w14:textId="7F04525F" w:rsidR="00F232CE" w:rsidRPr="004E1816" w:rsidRDefault="00F232CE" w:rsidP="002000B1">
      <w:pPr>
        <w:pStyle w:val="bullet1"/>
        <w:rPr>
          <w:sz w:val="22"/>
        </w:rPr>
      </w:pPr>
      <w:r w:rsidRPr="000527CB">
        <w:rPr>
          <w:sz w:val="22"/>
        </w:rPr>
        <w:t xml:space="preserve">feedback relevant to future PFAS NEMP </w:t>
      </w:r>
      <w:r w:rsidRPr="004E1816">
        <w:rPr>
          <w:sz w:val="22"/>
        </w:rPr>
        <w:t xml:space="preserve">work </w:t>
      </w:r>
    </w:p>
    <w:p w14:paraId="40060B0C" w14:textId="0D541D57" w:rsidR="00071AE6" w:rsidRPr="000354EF" w:rsidRDefault="00D81240" w:rsidP="005E1B1B">
      <w:pPr>
        <w:rPr>
          <w:rFonts w:cs="Arial"/>
        </w:rPr>
      </w:pPr>
      <w:r>
        <w:rPr>
          <w:rFonts w:cs="Arial"/>
        </w:rPr>
        <w:t xml:space="preserve">All </w:t>
      </w:r>
      <w:r w:rsidRPr="000354EF">
        <w:rPr>
          <w:rFonts w:cs="Arial"/>
        </w:rPr>
        <w:t xml:space="preserve">out-of-scope feedback </w:t>
      </w:r>
      <w:r w:rsidR="00E76BD4">
        <w:rPr>
          <w:rFonts w:cs="Arial"/>
        </w:rPr>
        <w:t>was</w:t>
      </w:r>
      <w:r>
        <w:rPr>
          <w:rFonts w:cs="Arial"/>
        </w:rPr>
        <w:t xml:space="preserve"> referred </w:t>
      </w:r>
      <w:r w:rsidRPr="000354EF">
        <w:rPr>
          <w:rFonts w:cs="Arial"/>
        </w:rPr>
        <w:t>for appropriate</w:t>
      </w:r>
      <w:r w:rsidRPr="00D81240">
        <w:rPr>
          <w:rFonts w:cs="Arial"/>
        </w:rPr>
        <w:t xml:space="preserve"> </w:t>
      </w:r>
      <w:r w:rsidRPr="000354EF">
        <w:rPr>
          <w:rFonts w:cs="Arial"/>
        </w:rPr>
        <w:t xml:space="preserve">consideration including, where relevant, </w:t>
      </w:r>
      <w:r w:rsidR="00071AE6" w:rsidRPr="000354EF">
        <w:rPr>
          <w:rFonts w:cs="Arial"/>
        </w:rPr>
        <w:t xml:space="preserve">in the </w:t>
      </w:r>
      <w:r w:rsidR="00AD4F65">
        <w:rPr>
          <w:rFonts w:cs="Arial"/>
        </w:rPr>
        <w:t xml:space="preserve">PFAS </w:t>
      </w:r>
      <w:r w:rsidR="00071AE6" w:rsidRPr="000354EF">
        <w:rPr>
          <w:rFonts w:cs="Arial"/>
        </w:rPr>
        <w:t xml:space="preserve">NEMP future work program </w:t>
      </w:r>
      <w:r>
        <w:rPr>
          <w:rFonts w:cs="Arial"/>
        </w:rPr>
        <w:t xml:space="preserve">described </w:t>
      </w:r>
      <w:r w:rsidR="00071AE6" w:rsidRPr="000354EF">
        <w:rPr>
          <w:rFonts w:cs="Arial"/>
        </w:rPr>
        <w:t>below</w:t>
      </w:r>
      <w:r>
        <w:rPr>
          <w:rFonts w:cs="Arial"/>
        </w:rPr>
        <w:t xml:space="preserve"> </w:t>
      </w:r>
      <w:r w:rsidRPr="000354EF">
        <w:rPr>
          <w:rFonts w:cs="Arial"/>
        </w:rPr>
        <w:t xml:space="preserve">and/or in the formal review of the </w:t>
      </w:r>
      <w:r w:rsidR="00AD4F65">
        <w:rPr>
          <w:rFonts w:cs="Arial"/>
        </w:rPr>
        <w:t xml:space="preserve">PFAS </w:t>
      </w:r>
      <w:r w:rsidRPr="000354EF">
        <w:rPr>
          <w:rFonts w:cs="Arial"/>
        </w:rPr>
        <w:t>NEMP scheduled for 2023</w:t>
      </w:r>
      <w:r w:rsidR="00071AE6" w:rsidRPr="000354EF">
        <w:rPr>
          <w:rFonts w:cs="Arial"/>
        </w:rPr>
        <w:t>.</w:t>
      </w:r>
    </w:p>
    <w:p w14:paraId="42E2A8B8" w14:textId="74E9002A" w:rsidR="00071AE6" w:rsidRPr="00410E97" w:rsidRDefault="00BC7992" w:rsidP="00EF20FA">
      <w:pPr>
        <w:pStyle w:val="Heading2"/>
      </w:pPr>
      <w:bookmarkStart w:id="4" w:name="_Ref33102169"/>
      <w:bookmarkStart w:id="5" w:name="_Ref33102174"/>
      <w:bookmarkStart w:id="6" w:name="_Toc39837444"/>
      <w:r>
        <w:lastRenderedPageBreak/>
        <w:t>The</w:t>
      </w:r>
      <w:r w:rsidRPr="00410E97">
        <w:t xml:space="preserve"> </w:t>
      </w:r>
      <w:r w:rsidR="00AD4F65">
        <w:t xml:space="preserve">PFAS </w:t>
      </w:r>
      <w:r w:rsidR="00071AE6" w:rsidRPr="00410E97">
        <w:t xml:space="preserve">NEMP </w:t>
      </w:r>
      <w:r w:rsidR="00F367B4">
        <w:t>future work program</w:t>
      </w:r>
      <w:bookmarkEnd w:id="4"/>
      <w:bookmarkEnd w:id="5"/>
      <w:bookmarkEnd w:id="6"/>
    </w:p>
    <w:p w14:paraId="7176F7E0" w14:textId="6EF653DE" w:rsidR="001A441F" w:rsidRPr="001A441F" w:rsidRDefault="00E76BD4" w:rsidP="00596F38">
      <w:pPr>
        <w:rPr>
          <w:lang w:val="en" w:eastAsia="en-AU"/>
        </w:rPr>
      </w:pPr>
      <w:r>
        <w:rPr>
          <w:lang w:val="en" w:eastAsia="en-AU"/>
        </w:rPr>
        <w:t>The</w:t>
      </w:r>
      <w:r w:rsidR="00071AE6" w:rsidRPr="00410E97">
        <w:rPr>
          <w:lang w:val="en" w:eastAsia="en-AU"/>
        </w:rPr>
        <w:t xml:space="preserve"> </w:t>
      </w:r>
      <w:r w:rsidR="00AD4F65">
        <w:rPr>
          <w:lang w:val="en" w:eastAsia="en-AU"/>
        </w:rPr>
        <w:t xml:space="preserve">PFAS </w:t>
      </w:r>
      <w:r w:rsidR="00071AE6" w:rsidRPr="00410E97">
        <w:rPr>
          <w:lang w:val="en" w:eastAsia="en-AU"/>
        </w:rPr>
        <w:t xml:space="preserve">NEMP future work program </w:t>
      </w:r>
      <w:r>
        <w:rPr>
          <w:lang w:val="en" w:eastAsia="en-AU"/>
        </w:rPr>
        <w:t xml:space="preserve">is grouped </w:t>
      </w:r>
      <w:r w:rsidR="00071AE6" w:rsidRPr="00410E97">
        <w:rPr>
          <w:lang w:val="en" w:eastAsia="en-AU"/>
        </w:rPr>
        <w:t>into six themes to focus resources and expertise and help drive progress on the main priorities</w:t>
      </w:r>
      <w:r>
        <w:rPr>
          <w:lang w:val="en" w:eastAsia="en-AU"/>
        </w:rPr>
        <w:t>, as noted by HEPA in March 2019</w:t>
      </w:r>
      <w:r w:rsidR="00071AE6" w:rsidRPr="00410E97">
        <w:rPr>
          <w:lang w:val="en" w:eastAsia="en-AU"/>
        </w:rPr>
        <w:t>.</w:t>
      </w:r>
      <w:r w:rsidR="0061542C" w:rsidRPr="00410E97">
        <w:rPr>
          <w:lang w:val="en" w:eastAsia="en-AU"/>
        </w:rPr>
        <w:t xml:space="preserve"> </w:t>
      </w:r>
      <w:r w:rsidR="00071AE6" w:rsidRPr="00410E97">
        <w:rPr>
          <w:lang w:val="en" w:eastAsia="en-AU"/>
        </w:rPr>
        <w:t>The six themes are:</w:t>
      </w:r>
    </w:p>
    <w:p w14:paraId="5DB60720" w14:textId="3C363065" w:rsidR="00071AE6" w:rsidRPr="00EF20FA" w:rsidRDefault="00071AE6" w:rsidP="003120E5">
      <w:pPr>
        <w:spacing w:beforeLines="120" w:before="288" w:afterLines="120" w:after="288" w:line="259" w:lineRule="auto"/>
        <w:ind w:left="720"/>
        <w:rPr>
          <w:rFonts w:cs="Arial"/>
          <w:szCs w:val="20"/>
          <w:lang w:val="en" w:eastAsia="en-AU"/>
        </w:rPr>
      </w:pPr>
      <w:r w:rsidRPr="00EF20FA">
        <w:rPr>
          <w:rFonts w:cs="Arial"/>
          <w:i/>
          <w:color w:val="00B050"/>
          <w:szCs w:val="20"/>
          <w:lang w:val="en" w:eastAsia="en-AU"/>
        </w:rPr>
        <w:t>Theme 1:</w:t>
      </w:r>
      <w:r w:rsidRPr="00EF20FA">
        <w:rPr>
          <w:rFonts w:cs="Arial"/>
          <w:color w:val="00B050"/>
          <w:szCs w:val="20"/>
          <w:lang w:val="en" w:eastAsia="en-AU"/>
        </w:rPr>
        <w:t xml:space="preserve"> </w:t>
      </w:r>
      <w:r w:rsidRPr="00EF20FA">
        <w:rPr>
          <w:rFonts w:cs="Arial"/>
          <w:szCs w:val="20"/>
          <w:lang w:val="en" w:eastAsia="en-AU"/>
        </w:rPr>
        <w:t xml:space="preserve">Understanding and managing the PFAS chemical family. This includes, for example, validation of analytical methods including </w:t>
      </w:r>
      <w:r w:rsidR="00BC7992" w:rsidRPr="00EF20FA">
        <w:rPr>
          <w:rFonts w:cs="Arial"/>
          <w:szCs w:val="20"/>
          <w:lang w:val="en" w:eastAsia="en-AU"/>
        </w:rPr>
        <w:t xml:space="preserve">the </w:t>
      </w:r>
      <w:r w:rsidRPr="00EF20FA">
        <w:rPr>
          <w:rFonts w:cs="Arial"/>
          <w:szCs w:val="20"/>
          <w:lang w:val="en" w:eastAsia="en-AU"/>
        </w:rPr>
        <w:t>TOP</w:t>
      </w:r>
      <w:r w:rsidR="00BC7992" w:rsidRPr="00EF20FA">
        <w:rPr>
          <w:rFonts w:cs="Arial"/>
          <w:szCs w:val="20"/>
          <w:lang w:val="en" w:eastAsia="en-AU"/>
        </w:rPr>
        <w:t xml:space="preserve"> </w:t>
      </w:r>
      <w:r w:rsidRPr="00EF20FA">
        <w:rPr>
          <w:rFonts w:cs="Arial"/>
          <w:szCs w:val="20"/>
          <w:lang w:val="en" w:eastAsia="en-AU"/>
        </w:rPr>
        <w:t>A</w:t>
      </w:r>
      <w:r w:rsidR="00BC7992" w:rsidRPr="00EF20FA">
        <w:rPr>
          <w:rFonts w:cs="Arial"/>
          <w:szCs w:val="20"/>
          <w:lang w:val="en" w:eastAsia="en-AU"/>
        </w:rPr>
        <w:t>ssay</w:t>
      </w:r>
      <w:r w:rsidRPr="00EF20FA">
        <w:rPr>
          <w:rFonts w:cs="Arial"/>
          <w:szCs w:val="20"/>
          <w:lang w:val="en" w:eastAsia="en-AU"/>
        </w:rPr>
        <w:t xml:space="preserve">, additional guidance on sampling and analysis of PFAS other than </w:t>
      </w:r>
      <w:r w:rsidR="00E76BD4">
        <w:rPr>
          <w:rFonts w:cs="Arial"/>
          <w:szCs w:val="20"/>
          <w:lang w:val="en" w:eastAsia="en-AU"/>
        </w:rPr>
        <w:t>perfluorooctane sulfonic acid (</w:t>
      </w:r>
      <w:r w:rsidRPr="00EF20FA">
        <w:rPr>
          <w:rFonts w:cs="Arial"/>
          <w:szCs w:val="20"/>
          <w:lang w:val="en" w:eastAsia="en-AU"/>
        </w:rPr>
        <w:t>PFOS</w:t>
      </w:r>
      <w:r w:rsidR="00E76BD4">
        <w:rPr>
          <w:rFonts w:cs="Arial"/>
          <w:szCs w:val="20"/>
          <w:lang w:val="en" w:eastAsia="en-AU"/>
        </w:rPr>
        <w:t>)</w:t>
      </w:r>
      <w:r w:rsidRPr="00EF20FA">
        <w:rPr>
          <w:rFonts w:cs="Arial"/>
          <w:szCs w:val="20"/>
          <w:lang w:val="en" w:eastAsia="en-AU"/>
        </w:rPr>
        <w:t xml:space="preserve">, </w:t>
      </w:r>
      <w:r w:rsidR="00E76BD4">
        <w:rPr>
          <w:rFonts w:cs="Arial"/>
          <w:szCs w:val="20"/>
          <w:lang w:val="en" w:eastAsia="en-AU"/>
        </w:rPr>
        <w:t>perfluorooctanoic acid (</w:t>
      </w:r>
      <w:r w:rsidRPr="00EF20FA">
        <w:rPr>
          <w:rFonts w:cs="Arial"/>
          <w:szCs w:val="20"/>
          <w:lang w:val="en" w:eastAsia="en-AU"/>
        </w:rPr>
        <w:t>PFOA</w:t>
      </w:r>
      <w:r w:rsidR="00E76BD4">
        <w:rPr>
          <w:rFonts w:cs="Arial"/>
          <w:szCs w:val="20"/>
          <w:lang w:val="en" w:eastAsia="en-AU"/>
        </w:rPr>
        <w:t>)</w:t>
      </w:r>
      <w:r w:rsidRPr="00EF20FA">
        <w:rPr>
          <w:rFonts w:cs="Arial"/>
          <w:szCs w:val="20"/>
          <w:lang w:val="en" w:eastAsia="en-AU"/>
        </w:rPr>
        <w:t xml:space="preserve"> and </w:t>
      </w:r>
      <w:r w:rsidR="00E76BD4">
        <w:rPr>
          <w:rFonts w:cs="Arial"/>
          <w:szCs w:val="20"/>
          <w:lang w:val="en" w:eastAsia="en-AU"/>
        </w:rPr>
        <w:t>perfluorohexane sulfonic acid (</w:t>
      </w:r>
      <w:r w:rsidRPr="00EF20FA">
        <w:rPr>
          <w:rFonts w:cs="Arial"/>
          <w:szCs w:val="20"/>
          <w:lang w:val="en" w:eastAsia="en-AU"/>
        </w:rPr>
        <w:t>PFHxS</w:t>
      </w:r>
      <w:r w:rsidR="00E76BD4">
        <w:rPr>
          <w:rFonts w:cs="Arial"/>
          <w:szCs w:val="20"/>
          <w:lang w:val="en" w:eastAsia="en-AU"/>
        </w:rPr>
        <w:t>)</w:t>
      </w:r>
      <w:r w:rsidRPr="00EF20FA">
        <w:rPr>
          <w:rFonts w:cs="Arial"/>
          <w:szCs w:val="20"/>
          <w:lang w:val="en" w:eastAsia="en-AU"/>
        </w:rPr>
        <w:t>, and consideration of the need for additional advice on</w:t>
      </w:r>
      <w:r w:rsidR="00E76BD4">
        <w:rPr>
          <w:rFonts w:cs="Arial"/>
          <w:szCs w:val="20"/>
          <w:lang w:val="en" w:eastAsia="en-AU"/>
        </w:rPr>
        <w:t xml:space="preserve"> perfluoroalkyl acid</w:t>
      </w:r>
      <w:r w:rsidR="000731DF">
        <w:rPr>
          <w:rFonts w:cs="Arial"/>
          <w:szCs w:val="20"/>
          <w:lang w:val="en" w:eastAsia="en-AU"/>
        </w:rPr>
        <w:t xml:space="preserve"> </w:t>
      </w:r>
      <w:r w:rsidR="00E76BD4">
        <w:rPr>
          <w:rFonts w:cs="Arial"/>
          <w:szCs w:val="20"/>
          <w:lang w:val="en" w:eastAsia="en-AU"/>
        </w:rPr>
        <w:t>(</w:t>
      </w:r>
      <w:r w:rsidRPr="00EF20FA">
        <w:rPr>
          <w:rFonts w:cs="Arial"/>
          <w:szCs w:val="20"/>
          <w:lang w:val="en" w:eastAsia="en-AU"/>
        </w:rPr>
        <w:t>PFAA</w:t>
      </w:r>
      <w:r w:rsidR="00E76BD4">
        <w:rPr>
          <w:rFonts w:cs="Arial"/>
          <w:szCs w:val="20"/>
          <w:lang w:val="en" w:eastAsia="en-AU"/>
        </w:rPr>
        <w:t>)</w:t>
      </w:r>
      <w:r w:rsidRPr="00EF20FA">
        <w:rPr>
          <w:rFonts w:cs="Arial"/>
          <w:szCs w:val="20"/>
          <w:lang w:val="en" w:eastAsia="en-AU"/>
        </w:rPr>
        <w:t xml:space="preserve"> precursors. </w:t>
      </w:r>
    </w:p>
    <w:p w14:paraId="2B3C3CAE" w14:textId="05EB6724" w:rsidR="00071AE6" w:rsidRPr="00EF20FA" w:rsidRDefault="00071AE6" w:rsidP="003120E5">
      <w:pPr>
        <w:spacing w:beforeLines="120" w:before="288" w:afterLines="120" w:after="288" w:line="259" w:lineRule="auto"/>
        <w:ind w:left="720"/>
        <w:rPr>
          <w:rFonts w:cs="Arial"/>
          <w:szCs w:val="20"/>
          <w:lang w:val="en" w:eastAsia="en-AU"/>
        </w:rPr>
      </w:pPr>
      <w:r w:rsidRPr="00EF20FA">
        <w:rPr>
          <w:rFonts w:cs="Arial"/>
          <w:i/>
          <w:color w:val="00B050"/>
          <w:szCs w:val="20"/>
          <w:lang w:val="en" w:eastAsia="en-AU"/>
        </w:rPr>
        <w:t>Theme 2:</w:t>
      </w:r>
      <w:r w:rsidRPr="00EF20FA">
        <w:rPr>
          <w:rFonts w:cs="Arial"/>
          <w:szCs w:val="20"/>
          <w:lang w:val="en" w:eastAsia="en-AU"/>
        </w:rPr>
        <w:t xml:space="preserve"> Environmental data and monitoring. This includes, for example, ambient monitoring and data sharing. </w:t>
      </w:r>
    </w:p>
    <w:p w14:paraId="40F0A1D3" w14:textId="06EAF2C1" w:rsidR="00071AE6" w:rsidRPr="00EF20FA" w:rsidRDefault="00071AE6" w:rsidP="003120E5">
      <w:pPr>
        <w:spacing w:beforeLines="120" w:before="288" w:afterLines="120" w:after="288" w:line="259" w:lineRule="auto"/>
        <w:ind w:left="720"/>
        <w:rPr>
          <w:rFonts w:cs="Arial"/>
          <w:szCs w:val="20"/>
          <w:lang w:val="en" w:eastAsia="en-AU"/>
        </w:rPr>
      </w:pPr>
      <w:r w:rsidRPr="00EF20FA">
        <w:rPr>
          <w:rFonts w:cs="Arial"/>
          <w:i/>
          <w:color w:val="00B050"/>
          <w:szCs w:val="20"/>
          <w:lang w:val="en" w:eastAsia="en-AU"/>
        </w:rPr>
        <w:t>Theme 3:</w:t>
      </w:r>
      <w:r w:rsidRPr="00EF20FA">
        <w:rPr>
          <w:rFonts w:cs="Arial"/>
          <w:szCs w:val="20"/>
          <w:lang w:val="en" w:eastAsia="en-AU"/>
        </w:rPr>
        <w:t xml:space="preserve"> Water. This includes, for example, development of ecological guideline values and underpinning research, additional guidance on managing PFAS in wastewater including biosolids, wastewater treatment effluent and groundwater, and further guidance on the importance of considering bioaccumulation in risk assessment. </w:t>
      </w:r>
    </w:p>
    <w:p w14:paraId="6A7CE17C" w14:textId="2E6990B5" w:rsidR="00071AE6" w:rsidRPr="00EF20FA" w:rsidRDefault="00071AE6" w:rsidP="003120E5">
      <w:pPr>
        <w:spacing w:beforeLines="120" w:before="288" w:afterLines="120" w:after="288" w:line="259" w:lineRule="auto"/>
        <w:ind w:left="720"/>
        <w:rPr>
          <w:rFonts w:cs="Arial"/>
          <w:szCs w:val="20"/>
          <w:lang w:val="en" w:eastAsia="en-AU"/>
        </w:rPr>
      </w:pPr>
      <w:r w:rsidRPr="00EF20FA">
        <w:rPr>
          <w:rFonts w:cs="Arial"/>
          <w:i/>
          <w:color w:val="00B050"/>
          <w:szCs w:val="20"/>
          <w:lang w:val="en" w:eastAsia="en-AU"/>
        </w:rPr>
        <w:t>Theme 4:</w:t>
      </w:r>
      <w:r w:rsidRPr="00EF20FA">
        <w:rPr>
          <w:rFonts w:cs="Arial"/>
          <w:szCs w:val="20"/>
          <w:lang w:val="en" w:eastAsia="en-AU"/>
        </w:rPr>
        <w:t xml:space="preserve"> Soil. This includes, for example, further development of indirect and direct ecological guideline values for soil, PFA</w:t>
      </w:r>
      <w:r w:rsidR="00596F38">
        <w:rPr>
          <w:rFonts w:cs="Arial"/>
          <w:szCs w:val="20"/>
          <w:lang w:val="en" w:eastAsia="en-AU"/>
        </w:rPr>
        <w:t>S</w:t>
      </w:r>
      <w:r w:rsidRPr="00EF20FA">
        <w:rPr>
          <w:rFonts w:cs="Arial"/>
          <w:szCs w:val="20"/>
          <w:lang w:val="en" w:eastAsia="en-AU"/>
        </w:rPr>
        <w:t xml:space="preserve"> behaviour and the influence of soil chemistry, and guidance on managing PFAS in soil, such as potential criteria for reuse of soil. </w:t>
      </w:r>
    </w:p>
    <w:p w14:paraId="53E336F9" w14:textId="22E1373D" w:rsidR="00071AE6" w:rsidRPr="00EF20FA" w:rsidRDefault="00071AE6" w:rsidP="003120E5">
      <w:pPr>
        <w:spacing w:beforeLines="120" w:before="288" w:afterLines="120" w:after="288" w:line="259" w:lineRule="auto"/>
        <w:ind w:left="720"/>
        <w:rPr>
          <w:rFonts w:cs="Arial"/>
          <w:szCs w:val="20"/>
          <w:lang w:val="en" w:eastAsia="en-AU"/>
        </w:rPr>
      </w:pPr>
      <w:r w:rsidRPr="00EF20FA">
        <w:rPr>
          <w:rFonts w:cs="Arial"/>
          <w:i/>
          <w:color w:val="00B050"/>
          <w:szCs w:val="20"/>
          <w:lang w:val="en" w:eastAsia="en-AU"/>
        </w:rPr>
        <w:t>Theme 5:</w:t>
      </w:r>
      <w:r w:rsidRPr="00EF20FA">
        <w:rPr>
          <w:rFonts w:cs="Arial"/>
          <w:szCs w:val="20"/>
          <w:lang w:val="en" w:eastAsia="en-AU"/>
        </w:rPr>
        <w:t xml:space="preserve"> Resource recovery and waste management. This includes, for example, development of additional guidance on managing PFAS in resource recovery for non-organic and organic waste, and sampling of unusual matrices including those found in construction waste. </w:t>
      </w:r>
    </w:p>
    <w:p w14:paraId="4EC0E1FF" w14:textId="3510DD94" w:rsidR="00071AE6" w:rsidRPr="00EF20FA" w:rsidRDefault="00071AE6" w:rsidP="003120E5">
      <w:pPr>
        <w:spacing w:beforeLines="120" w:before="288" w:afterLines="120" w:after="288" w:line="259" w:lineRule="auto"/>
        <w:ind w:left="720"/>
        <w:rPr>
          <w:rFonts w:cs="Arial"/>
          <w:szCs w:val="20"/>
          <w:lang w:val="en" w:eastAsia="en-AU"/>
        </w:rPr>
      </w:pPr>
      <w:r w:rsidRPr="00EF20FA">
        <w:rPr>
          <w:rFonts w:cs="Arial"/>
          <w:i/>
          <w:color w:val="00B050"/>
          <w:szCs w:val="20"/>
          <w:lang w:val="en" w:eastAsia="en-AU"/>
        </w:rPr>
        <w:t>Theme 6:</w:t>
      </w:r>
      <w:r w:rsidRPr="00EF20FA">
        <w:rPr>
          <w:rFonts w:cs="Arial"/>
          <w:szCs w:val="20"/>
          <w:lang w:val="en" w:eastAsia="en-AU"/>
        </w:rPr>
        <w:t xml:space="preserve"> Detailed advice on application of the PFAS NEMP guidance. This includes, for example, site assessment, remediation and treatment trials, site prioritisation, sampling, and on-site containment. </w:t>
      </w:r>
    </w:p>
    <w:p w14:paraId="58AAD0EC" w14:textId="27B5E571" w:rsidR="00071AE6" w:rsidRPr="00410E97" w:rsidRDefault="00377E6D" w:rsidP="00EF20FA">
      <w:pPr>
        <w:pStyle w:val="Heading2"/>
      </w:pPr>
      <w:bookmarkStart w:id="7" w:name="_Toc39837445"/>
      <w:r>
        <w:t>Responses</w:t>
      </w:r>
      <w:r w:rsidRPr="00410E97">
        <w:t xml:space="preserve"> </w:t>
      </w:r>
      <w:r w:rsidR="00071AE6" w:rsidRPr="00410E97">
        <w:t>to consultation feedback</w:t>
      </w:r>
      <w:bookmarkEnd w:id="7"/>
    </w:p>
    <w:p w14:paraId="2C1DCD0B" w14:textId="25EF6E64" w:rsidR="00071AE6" w:rsidRPr="00410E97" w:rsidRDefault="00071AE6" w:rsidP="00EF20FA">
      <w:r w:rsidRPr="00410E97">
        <w:t xml:space="preserve">To assist the reader, </w:t>
      </w:r>
      <w:r w:rsidR="00E76BD4">
        <w:t xml:space="preserve">the Responses to Consultation Feedback section of </w:t>
      </w:r>
      <w:r w:rsidRPr="00410E97">
        <w:t>th</w:t>
      </w:r>
      <w:r w:rsidR="00BC7992">
        <w:t xml:space="preserve">is document </w:t>
      </w:r>
      <w:r w:rsidR="00E76BD4">
        <w:t xml:space="preserve">sets out </w:t>
      </w:r>
      <w:r w:rsidR="00BC7992">
        <w:t>th</w:t>
      </w:r>
      <w:r w:rsidRPr="00410E97">
        <w:t xml:space="preserve">e </w:t>
      </w:r>
      <w:r w:rsidR="00E76BD4">
        <w:t xml:space="preserve">consultation </w:t>
      </w:r>
      <w:r w:rsidRPr="00410E97">
        <w:t xml:space="preserve">feedback and </w:t>
      </w:r>
      <w:r w:rsidR="00E76BD4">
        <w:t xml:space="preserve">NCWG </w:t>
      </w:r>
      <w:r w:rsidRPr="00410E97">
        <w:t xml:space="preserve">responses </w:t>
      </w:r>
      <w:r w:rsidR="00875A82">
        <w:t xml:space="preserve">in </w:t>
      </w:r>
      <w:r w:rsidRPr="00410E97">
        <w:t xml:space="preserve">five tables </w:t>
      </w:r>
      <w:r w:rsidR="00264E30">
        <w:t>corresponding to</w:t>
      </w:r>
      <w:r w:rsidRPr="00410E97">
        <w:t xml:space="preserve"> the</w:t>
      </w:r>
      <w:r w:rsidR="00E76BD4">
        <w:t xml:space="preserve"> four in-scope consultation topics along with the out-of-scope feedback</w:t>
      </w:r>
      <w:r w:rsidRPr="00410E97">
        <w:t>:</w:t>
      </w:r>
    </w:p>
    <w:p w14:paraId="0E4FFAA3" w14:textId="711B96D3" w:rsidR="00071AE6" w:rsidRPr="00264E30" w:rsidRDefault="00264E30" w:rsidP="00EF20FA">
      <w:pPr>
        <w:ind w:left="720"/>
      </w:pPr>
      <w:r>
        <w:t xml:space="preserve">Table A. </w:t>
      </w:r>
      <w:r w:rsidR="00EF20FA">
        <w:tab/>
      </w:r>
      <w:r w:rsidR="00071AE6" w:rsidRPr="00264E30">
        <w:t xml:space="preserve">Environmental guideline values </w:t>
      </w:r>
    </w:p>
    <w:p w14:paraId="2D4EF850" w14:textId="526F0345" w:rsidR="00071AE6" w:rsidRPr="00264E30" w:rsidRDefault="00264E30" w:rsidP="00EF20FA">
      <w:pPr>
        <w:ind w:left="720"/>
      </w:pPr>
      <w:r>
        <w:t xml:space="preserve">Table B. </w:t>
      </w:r>
      <w:r w:rsidR="00EF20FA">
        <w:tab/>
      </w:r>
      <w:r w:rsidR="00071AE6" w:rsidRPr="00264E30">
        <w:t xml:space="preserve">Soil reuse </w:t>
      </w:r>
    </w:p>
    <w:p w14:paraId="4998D846" w14:textId="789D5A41" w:rsidR="00071AE6" w:rsidRPr="00264E30" w:rsidRDefault="00264E30" w:rsidP="00EF20FA">
      <w:pPr>
        <w:ind w:left="720"/>
      </w:pPr>
      <w:r>
        <w:t xml:space="preserve">Table C. </w:t>
      </w:r>
      <w:r w:rsidR="00EF20FA">
        <w:tab/>
      </w:r>
      <w:r w:rsidR="00437D3D" w:rsidRPr="00264E30">
        <w:t>Wastewater management</w:t>
      </w:r>
      <w:r w:rsidR="00071AE6" w:rsidRPr="00264E30">
        <w:t xml:space="preserve"> </w:t>
      </w:r>
    </w:p>
    <w:p w14:paraId="07ADCCA6" w14:textId="433208C3" w:rsidR="00071AE6" w:rsidRPr="00264E30" w:rsidRDefault="00264E30" w:rsidP="00EF20FA">
      <w:pPr>
        <w:ind w:left="720"/>
      </w:pPr>
      <w:r>
        <w:t xml:space="preserve">Table D. </w:t>
      </w:r>
      <w:r w:rsidR="00EF20FA">
        <w:tab/>
      </w:r>
      <w:r w:rsidR="00437D3D" w:rsidRPr="00264E30">
        <w:t>On-site containment</w:t>
      </w:r>
      <w:r w:rsidR="00071AE6" w:rsidRPr="00264E30">
        <w:t xml:space="preserve"> </w:t>
      </w:r>
    </w:p>
    <w:p w14:paraId="3190C044" w14:textId="65F66CB7" w:rsidR="00071AE6" w:rsidRPr="00264E30" w:rsidRDefault="00264E30" w:rsidP="00EF20FA">
      <w:pPr>
        <w:ind w:left="720"/>
      </w:pPr>
      <w:r>
        <w:t xml:space="preserve">Table E. </w:t>
      </w:r>
      <w:r w:rsidR="00EF20FA">
        <w:tab/>
      </w:r>
      <w:r w:rsidR="00071AE6" w:rsidRPr="00264E30">
        <w:t xml:space="preserve">Out of scope </w:t>
      </w:r>
    </w:p>
    <w:p w14:paraId="192CC0E1" w14:textId="31CA44B0" w:rsidR="00071AE6" w:rsidRPr="00410E97" w:rsidRDefault="0061542C" w:rsidP="00EF20FA">
      <w:r w:rsidRPr="00410E97">
        <w:t xml:space="preserve">Each table </w:t>
      </w:r>
      <w:r w:rsidR="00071AE6" w:rsidRPr="00410E97">
        <w:t>include</w:t>
      </w:r>
      <w:r w:rsidRPr="00410E97">
        <w:t>s</w:t>
      </w:r>
      <w:r w:rsidR="00071AE6" w:rsidRPr="00410E97">
        <w:t xml:space="preserve"> four columns:  </w:t>
      </w:r>
    </w:p>
    <w:p w14:paraId="64F038D9" w14:textId="7FA8C901" w:rsidR="00071AE6" w:rsidRPr="000527CB" w:rsidRDefault="00BC7992" w:rsidP="002000B1">
      <w:pPr>
        <w:pStyle w:val="bullet1"/>
        <w:rPr>
          <w:sz w:val="22"/>
        </w:rPr>
      </w:pPr>
      <w:r w:rsidRPr="004E1816">
        <w:rPr>
          <w:sz w:val="22"/>
        </w:rPr>
        <w:t xml:space="preserve">Theme – the key theme of </w:t>
      </w:r>
      <w:r w:rsidR="00307950" w:rsidRPr="00941E08">
        <w:rPr>
          <w:sz w:val="22"/>
        </w:rPr>
        <w:t>the feedback being responded to.</w:t>
      </w:r>
    </w:p>
    <w:p w14:paraId="6EC1D71D" w14:textId="30BAD240" w:rsidR="00071AE6" w:rsidRPr="000527CB" w:rsidRDefault="00E76BD4" w:rsidP="002000B1">
      <w:pPr>
        <w:pStyle w:val="bullet1"/>
        <w:rPr>
          <w:sz w:val="22"/>
        </w:rPr>
      </w:pPr>
      <w:r>
        <w:rPr>
          <w:sz w:val="22"/>
        </w:rPr>
        <w:t>Summary of feedback</w:t>
      </w:r>
      <w:r w:rsidR="00BC7992" w:rsidRPr="000527CB">
        <w:rPr>
          <w:sz w:val="22"/>
        </w:rPr>
        <w:t xml:space="preserve"> </w:t>
      </w:r>
      <w:r w:rsidR="005356A9" w:rsidRPr="004E1816">
        <w:rPr>
          <w:sz w:val="22"/>
        </w:rPr>
        <w:t>–</w:t>
      </w:r>
      <w:r w:rsidR="00BC7992" w:rsidRPr="000527CB">
        <w:rPr>
          <w:sz w:val="22"/>
        </w:rPr>
        <w:t xml:space="preserve"> the key messages in </w:t>
      </w:r>
      <w:r w:rsidR="00071AE6" w:rsidRPr="000527CB">
        <w:rPr>
          <w:sz w:val="22"/>
        </w:rPr>
        <w:t xml:space="preserve">the feedback </w:t>
      </w:r>
      <w:r w:rsidR="00264E30" w:rsidRPr="000527CB">
        <w:rPr>
          <w:sz w:val="22"/>
        </w:rPr>
        <w:t>included in</w:t>
      </w:r>
      <w:r w:rsidR="00071AE6" w:rsidRPr="000527CB">
        <w:rPr>
          <w:sz w:val="22"/>
        </w:rPr>
        <w:t xml:space="preserve"> the theme</w:t>
      </w:r>
      <w:r w:rsidR="00307950" w:rsidRPr="000527CB">
        <w:rPr>
          <w:sz w:val="22"/>
        </w:rPr>
        <w:t>.</w:t>
      </w:r>
    </w:p>
    <w:p w14:paraId="1D665E29" w14:textId="09F95BDB" w:rsidR="00071AE6" w:rsidRPr="000527CB" w:rsidRDefault="00E76BD4" w:rsidP="00233330">
      <w:pPr>
        <w:pStyle w:val="bullet1"/>
      </w:pPr>
      <w:r>
        <w:rPr>
          <w:sz w:val="22"/>
        </w:rPr>
        <w:lastRenderedPageBreak/>
        <w:t>Submissions commenting</w:t>
      </w:r>
      <w:r w:rsidRPr="000527CB">
        <w:rPr>
          <w:sz w:val="22"/>
        </w:rPr>
        <w:t xml:space="preserve"> </w:t>
      </w:r>
      <w:r w:rsidR="00BC7992" w:rsidRPr="000527CB">
        <w:rPr>
          <w:sz w:val="22"/>
        </w:rPr>
        <w:t>–</w:t>
      </w:r>
      <w:r w:rsidRPr="00E76BD4">
        <w:rPr>
          <w:sz w:val="22"/>
        </w:rPr>
        <w:t xml:space="preserve"> </w:t>
      </w:r>
      <w:r w:rsidRPr="000527CB">
        <w:rPr>
          <w:sz w:val="22"/>
        </w:rPr>
        <w:t>the</w:t>
      </w:r>
      <w:r>
        <w:rPr>
          <w:sz w:val="22"/>
        </w:rPr>
        <w:t xml:space="preserve"> non-confidential written</w:t>
      </w:r>
      <w:r w:rsidRPr="000527CB">
        <w:rPr>
          <w:sz w:val="22"/>
        </w:rPr>
        <w:t xml:space="preserve"> </w:t>
      </w:r>
      <w:r>
        <w:rPr>
          <w:sz w:val="22"/>
        </w:rPr>
        <w:t xml:space="preserve">submissions that provided </w:t>
      </w:r>
      <w:r w:rsidRPr="000527CB">
        <w:rPr>
          <w:sz w:val="22"/>
        </w:rPr>
        <w:t>feedback included in the theme.</w:t>
      </w:r>
    </w:p>
    <w:p w14:paraId="7B3710A6" w14:textId="3E4598FB" w:rsidR="00071AE6" w:rsidRPr="000527CB" w:rsidRDefault="00071AE6" w:rsidP="002000B1">
      <w:pPr>
        <w:pStyle w:val="bullet1"/>
        <w:rPr>
          <w:sz w:val="22"/>
        </w:rPr>
      </w:pPr>
      <w:r w:rsidRPr="000527CB">
        <w:rPr>
          <w:sz w:val="22"/>
        </w:rPr>
        <w:t xml:space="preserve">Response </w:t>
      </w:r>
      <w:r w:rsidR="00BC7992" w:rsidRPr="000527CB">
        <w:rPr>
          <w:sz w:val="22"/>
        </w:rPr>
        <w:t xml:space="preserve">– the NCWG response </w:t>
      </w:r>
      <w:r w:rsidRPr="000527CB">
        <w:rPr>
          <w:sz w:val="22"/>
        </w:rPr>
        <w:t xml:space="preserve">to the </w:t>
      </w:r>
      <w:r w:rsidR="00C83FEA" w:rsidRPr="000527CB">
        <w:rPr>
          <w:sz w:val="22"/>
        </w:rPr>
        <w:t xml:space="preserve">summarised </w:t>
      </w:r>
      <w:r w:rsidRPr="000527CB">
        <w:rPr>
          <w:sz w:val="22"/>
        </w:rPr>
        <w:t>feedback</w:t>
      </w:r>
      <w:r w:rsidR="00E76BD4">
        <w:rPr>
          <w:sz w:val="22"/>
        </w:rPr>
        <w:t xml:space="preserve"> for the theme</w:t>
      </w:r>
      <w:r w:rsidRPr="000527CB">
        <w:rPr>
          <w:sz w:val="22"/>
        </w:rPr>
        <w:t xml:space="preserve">. </w:t>
      </w:r>
    </w:p>
    <w:p w14:paraId="0A86B4A2" w14:textId="661B0E1D" w:rsidR="00071AE6" w:rsidRPr="00410E97" w:rsidRDefault="00071AE6" w:rsidP="00922B7B">
      <w:r w:rsidRPr="00410E97">
        <w:t xml:space="preserve">Where </w:t>
      </w:r>
      <w:r w:rsidR="00264E30">
        <w:t xml:space="preserve">submitters raised the same or similar questions within a theme, </w:t>
      </w:r>
      <w:r w:rsidRPr="00410E97">
        <w:t xml:space="preserve">one response is provided. The </w:t>
      </w:r>
      <w:r w:rsidR="00264E30">
        <w:t xml:space="preserve">tables include </w:t>
      </w:r>
      <w:r w:rsidR="005E4F51">
        <w:t xml:space="preserve">only substantive feedback, and do not include </w:t>
      </w:r>
      <w:r w:rsidR="00264E30">
        <w:t xml:space="preserve">some </w:t>
      </w:r>
      <w:r w:rsidRPr="00410E97">
        <w:t xml:space="preserve">less significant matters </w:t>
      </w:r>
      <w:r w:rsidR="005E4F51">
        <w:t>such as</w:t>
      </w:r>
      <w:r w:rsidRPr="00410E97">
        <w:t xml:space="preserve"> minor edits.</w:t>
      </w:r>
    </w:p>
    <w:p w14:paraId="76099CAB" w14:textId="77777777" w:rsidR="00071AE6" w:rsidRPr="00BC7992" w:rsidRDefault="00071AE6" w:rsidP="00BC7992">
      <w:pPr>
        <w:pStyle w:val="Head3"/>
      </w:pPr>
      <w:r w:rsidRPr="00BC7992">
        <w:t>Clarifications and editorial changes</w:t>
      </w:r>
    </w:p>
    <w:p w14:paraId="5DBB5C59" w14:textId="0DC9B830" w:rsidR="00071AE6" w:rsidRPr="00410E97" w:rsidRDefault="00BC7992" w:rsidP="00B75BA5">
      <w:r>
        <w:t xml:space="preserve">The consultation draft of the </w:t>
      </w:r>
      <w:r w:rsidR="00B0415F">
        <w:t xml:space="preserve">PRAS </w:t>
      </w:r>
      <w:r>
        <w:t xml:space="preserve">NEMP 2.0 included a range of editorial clarifications where stakeholder feedback indicated that </w:t>
      </w:r>
      <w:r w:rsidR="00F367B4">
        <w:t>this might be useful to clarify the</w:t>
      </w:r>
      <w:r>
        <w:t xml:space="preserve"> intent of </w:t>
      </w:r>
      <w:r w:rsidR="00F367B4">
        <w:t>the text in</w:t>
      </w:r>
      <w:r w:rsidR="00B0415F">
        <w:t xml:space="preserve"> the PFAS</w:t>
      </w:r>
      <w:r w:rsidR="00F367B4">
        <w:t xml:space="preserve"> NEMP 1.0</w:t>
      </w:r>
      <w:r>
        <w:t xml:space="preserve">. </w:t>
      </w:r>
      <w:r w:rsidR="00F367B4">
        <w:t xml:space="preserve">Additional opportunities for clarification were suggested by some of the consultation </w:t>
      </w:r>
      <w:r w:rsidR="00071AE6" w:rsidRPr="00410E97">
        <w:t>submissions</w:t>
      </w:r>
      <w:r w:rsidR="00F367B4">
        <w:t xml:space="preserve">. The NCWG identified further clarifications where the consultation feedback suggested that some stakeholders may have found certain matters unclear or confusing. </w:t>
      </w:r>
      <w:r w:rsidR="005E4F51">
        <w:t xml:space="preserve">Consideration of these opportunities for clarification led to </w:t>
      </w:r>
      <w:r w:rsidR="00071AE6" w:rsidRPr="00410E97">
        <w:t>numerous</w:t>
      </w:r>
      <w:r w:rsidR="005E4F51">
        <w:t xml:space="preserve"> routine</w:t>
      </w:r>
      <w:r w:rsidR="00071AE6" w:rsidRPr="00410E97">
        <w:t xml:space="preserve"> editorial changes to improve clarity</w:t>
      </w:r>
      <w:r w:rsidR="005E4F51">
        <w:t xml:space="preserve"> that</w:t>
      </w:r>
      <w:r w:rsidR="00F367B4" w:rsidRPr="00410E97">
        <w:t xml:space="preserve"> </w:t>
      </w:r>
      <w:r w:rsidR="00071AE6" w:rsidRPr="00410E97">
        <w:t>are not discussed in this document.</w:t>
      </w:r>
    </w:p>
    <w:p w14:paraId="650EBD8B" w14:textId="7953F71D" w:rsidR="00071AE6" w:rsidRDefault="00071AE6" w:rsidP="00875A82">
      <w:pPr>
        <w:pStyle w:val="Heading2"/>
      </w:pPr>
      <w:bookmarkStart w:id="8" w:name="_Toc39837446"/>
      <w:r w:rsidRPr="00410E97">
        <w:t xml:space="preserve">Overarching </w:t>
      </w:r>
      <w:r w:rsidR="00875A82">
        <w:t>q</w:t>
      </w:r>
      <w:r w:rsidR="00307950">
        <w:t xml:space="preserve">uestions and </w:t>
      </w:r>
      <w:r w:rsidR="00875A82">
        <w:t>a</w:t>
      </w:r>
      <w:r w:rsidR="00307950">
        <w:t>nswers</w:t>
      </w:r>
      <w:bookmarkEnd w:id="8"/>
    </w:p>
    <w:p w14:paraId="447D279D" w14:textId="6FF67219" w:rsidR="00F367B4" w:rsidRPr="00410E97" w:rsidRDefault="00875A82" w:rsidP="00922B7B">
      <w:r>
        <w:t>The f</w:t>
      </w:r>
      <w:r w:rsidR="00F367B4" w:rsidRPr="00410E97">
        <w:t>eedback</w:t>
      </w:r>
      <w:r w:rsidR="005E4F51">
        <w:t xml:space="preserve"> also</w:t>
      </w:r>
      <w:r w:rsidR="00F367B4" w:rsidRPr="00410E97">
        <w:t xml:space="preserve"> raised </w:t>
      </w:r>
      <w:r w:rsidR="005E4F51">
        <w:t xml:space="preserve">several </w:t>
      </w:r>
      <w:r>
        <w:t xml:space="preserve">overarching </w:t>
      </w:r>
      <w:r w:rsidR="00F367B4" w:rsidRPr="00410E97">
        <w:t xml:space="preserve">questions addressed in a Q&amp;A </w:t>
      </w:r>
      <w:r w:rsidR="005E4F51">
        <w:t>format</w:t>
      </w:r>
      <w:r w:rsidR="005E4F51" w:rsidRPr="00410E97">
        <w:t xml:space="preserve"> </w:t>
      </w:r>
      <w:r w:rsidR="00F367B4" w:rsidRPr="00410E97">
        <w:t>below.</w:t>
      </w:r>
    </w:p>
    <w:p w14:paraId="2BD13911" w14:textId="77777777" w:rsidR="00321059" w:rsidRPr="00875A82" w:rsidRDefault="00071AE6" w:rsidP="00875A82">
      <w:pPr>
        <w:pStyle w:val="HighlightitalicnotinTOC"/>
      </w:pPr>
      <w:r w:rsidRPr="00875A82">
        <w:t>Question 1: Wh</w:t>
      </w:r>
      <w:r w:rsidR="00321059" w:rsidRPr="00875A82">
        <w:t>at is the PFAS NEMP 2.0?</w:t>
      </w:r>
    </w:p>
    <w:p w14:paraId="151B5A8B" w14:textId="03DE86D6" w:rsidR="00861AFB" w:rsidRPr="00875A82" w:rsidRDefault="00861AFB" w:rsidP="00875A82">
      <w:pPr>
        <w:pStyle w:val="HighlightnotinTOC"/>
      </w:pPr>
      <w:r w:rsidRPr="00875A82">
        <w:t>Relevant N</w:t>
      </w:r>
      <w:r w:rsidR="001E7EF1">
        <w:t>EMP 2.0 reference: Section 1.1 and Section 3</w:t>
      </w:r>
    </w:p>
    <w:p w14:paraId="4847280D" w14:textId="5C840C6F" w:rsidR="00B0415F" w:rsidRDefault="00321059" w:rsidP="00861AFB">
      <w:r w:rsidRPr="004D28F7">
        <w:t xml:space="preserve">The </w:t>
      </w:r>
      <w:r>
        <w:t xml:space="preserve">PFAS </w:t>
      </w:r>
      <w:r w:rsidRPr="004D28F7">
        <w:t>NEMP provides nationally consistent guidance on the environmental management of PFAS contamination to protect flora and fauna, ecological communities and ecosystems, and human health</w:t>
      </w:r>
      <w:r w:rsidRPr="00410E97">
        <w:t xml:space="preserve">, including </w:t>
      </w:r>
      <w:r>
        <w:t xml:space="preserve">guidance </w:t>
      </w:r>
      <w:r w:rsidRPr="00410E97">
        <w:t>on prevention of the spread of contamination.</w:t>
      </w:r>
      <w:r w:rsidR="00B0415F">
        <w:t xml:space="preserve"> </w:t>
      </w:r>
      <w:r w:rsidR="00071AE6" w:rsidRPr="00410E97">
        <w:t>It supports collaborative action on PFAS by Commonwealth, state and territory and local government</w:t>
      </w:r>
      <w:r w:rsidR="00335FEE">
        <w:t>s</w:t>
      </w:r>
      <w:r w:rsidR="00071AE6" w:rsidRPr="00410E97">
        <w:t xml:space="preserve"> around Australia and </w:t>
      </w:r>
      <w:r w:rsidR="005E4F51">
        <w:t>in</w:t>
      </w:r>
      <w:r w:rsidR="00071AE6" w:rsidRPr="00410E97">
        <w:t xml:space="preserve"> New Zealand. </w:t>
      </w:r>
    </w:p>
    <w:p w14:paraId="36646BF6" w14:textId="6C4383CF" w:rsidR="00071AE6" w:rsidRPr="00410E97" w:rsidRDefault="00071AE6" w:rsidP="00861AFB">
      <w:r w:rsidRPr="00410E97">
        <w:t xml:space="preserve">The </w:t>
      </w:r>
      <w:r w:rsidR="00B0415F">
        <w:t xml:space="preserve">PFAS </w:t>
      </w:r>
      <w:r w:rsidRPr="00410E97">
        <w:t xml:space="preserve">NEMP is appended to the Intergovernmental Agreement on a National Framework </w:t>
      </w:r>
      <w:r w:rsidR="001527AA">
        <w:t xml:space="preserve">for </w:t>
      </w:r>
      <w:r w:rsidRPr="00410E97">
        <w:t>Responding to PFAS Contamination</w:t>
      </w:r>
      <w:r w:rsidR="005E4F51">
        <w:t>, available on the Council of Australian Governments (COAG) website</w:t>
      </w:r>
      <w:r w:rsidRPr="00410E97">
        <w:t>.</w:t>
      </w:r>
    </w:p>
    <w:p w14:paraId="40FFC22C" w14:textId="6EAB5C06" w:rsidR="0061542C" w:rsidRDefault="0061542C" w:rsidP="00922B7B">
      <w:r w:rsidRPr="00410E97">
        <w:t xml:space="preserve">The PFAS NEMP 2.0 updates four specific priority areas of the PFAS NEMP 1.0 which was published in January 2018. An overarching review of the PFAS NEMP </w:t>
      </w:r>
      <w:r w:rsidR="005E4F51">
        <w:t>is scheduled for 2023</w:t>
      </w:r>
      <w:r w:rsidR="00FE62E6">
        <w:t>.</w:t>
      </w:r>
    </w:p>
    <w:p w14:paraId="143C25FA" w14:textId="382B174E" w:rsidR="00422A20" w:rsidRPr="004D28F7" w:rsidRDefault="00335FEE" w:rsidP="00422A20">
      <w:r>
        <w:t>R</w:t>
      </w:r>
      <w:r w:rsidR="00422A20" w:rsidRPr="004D28F7">
        <w:t xml:space="preserve">egulation and implementation </w:t>
      </w:r>
      <w:r w:rsidR="00DE277A" w:rsidRPr="004D28F7">
        <w:t>remain</w:t>
      </w:r>
      <w:r w:rsidR="00422A20" w:rsidRPr="004D28F7">
        <w:t xml:space="preserve"> the responsibility of each jurisdiction as part of its broader environmental regulation responsibilities, drawing on established principles of sound environmental regulation as outlined in Section 3 of the </w:t>
      </w:r>
      <w:r w:rsidR="00B0415F">
        <w:t xml:space="preserve">PFAS </w:t>
      </w:r>
      <w:r w:rsidR="00422A20" w:rsidRPr="004D28F7">
        <w:t>NEMP</w:t>
      </w:r>
      <w:r w:rsidR="00D444FD">
        <w:t xml:space="preserve"> 2.0</w:t>
      </w:r>
      <w:r w:rsidR="00422A20" w:rsidRPr="004D28F7">
        <w:t>. Consequently, implementation matters such as prioritisation of specific sites or types of site, potential restrictions on resource recovery, and potential financial impacts are out of scope for the</w:t>
      </w:r>
      <w:r w:rsidR="00B0415F">
        <w:t xml:space="preserve"> </w:t>
      </w:r>
      <w:r w:rsidR="005E4F51">
        <w:t xml:space="preserve">PFAS </w:t>
      </w:r>
      <w:r w:rsidR="00422A20" w:rsidRPr="004D28F7">
        <w:t>NEMP.</w:t>
      </w:r>
    </w:p>
    <w:p w14:paraId="6D16810E" w14:textId="77777777" w:rsidR="00321059" w:rsidRPr="00875A82" w:rsidRDefault="00071AE6" w:rsidP="00875A82">
      <w:pPr>
        <w:pStyle w:val="HighlightitalicnotinTOC"/>
      </w:pPr>
      <w:r w:rsidRPr="00875A82">
        <w:t xml:space="preserve">Question 2: What </w:t>
      </w:r>
      <w:r w:rsidR="00D401F9" w:rsidRPr="00875A82">
        <w:t xml:space="preserve">does the </w:t>
      </w:r>
      <w:r w:rsidRPr="00875A82">
        <w:t>PFAS NEMP 2.0 not</w:t>
      </w:r>
      <w:r w:rsidR="00D401F9" w:rsidRPr="00875A82">
        <w:t xml:space="preserve"> do?</w:t>
      </w:r>
      <w:r w:rsidR="00321059" w:rsidRPr="00875A82">
        <w:t xml:space="preserve"> </w:t>
      </w:r>
    </w:p>
    <w:p w14:paraId="3A20548E" w14:textId="1EB38E36" w:rsidR="00861AFB" w:rsidRPr="00321059" w:rsidRDefault="00321059" w:rsidP="00875A82">
      <w:pPr>
        <w:pStyle w:val="HighlightnotinTOC"/>
      </w:pPr>
      <w:r w:rsidRPr="00321059">
        <w:t>Relevant NEMP 2.0 reference</w:t>
      </w:r>
      <w:r w:rsidR="001E7EF1">
        <w:t>: Section 1.1 and Section 3.</w:t>
      </w:r>
    </w:p>
    <w:p w14:paraId="658AE2B3" w14:textId="02BE8229" w:rsidR="00071AE6" w:rsidRDefault="00071AE6" w:rsidP="00922B7B">
      <w:r w:rsidRPr="00277BD7">
        <w:t>The PFAS NEMP 2.0 is not regulation</w:t>
      </w:r>
      <w:r w:rsidR="005E4F51">
        <w:t xml:space="preserve">. Its focus is </w:t>
      </w:r>
      <w:r w:rsidR="00140FE5">
        <w:t>contamination</w:t>
      </w:r>
      <w:r w:rsidR="00FE62E6">
        <w:t xml:space="preserve"> </w:t>
      </w:r>
      <w:r w:rsidR="005E4F51">
        <w:t xml:space="preserve">management, and </w:t>
      </w:r>
      <w:r w:rsidR="00314404">
        <w:t>it</w:t>
      </w:r>
      <w:r w:rsidR="00140FE5">
        <w:t xml:space="preserve"> does not cover </w:t>
      </w:r>
      <w:r w:rsidR="00314404">
        <w:t xml:space="preserve">PFAS </w:t>
      </w:r>
      <w:r w:rsidR="00140FE5">
        <w:t>import and use</w:t>
      </w:r>
      <w:r w:rsidRPr="00277BD7">
        <w:t>.</w:t>
      </w:r>
      <w:r w:rsidRPr="00277BD7" w:rsidDel="0012040D">
        <w:t xml:space="preserve"> </w:t>
      </w:r>
      <w:r w:rsidRPr="00277BD7">
        <w:t xml:space="preserve">It relies on implementation by the relevant regulator. As implementing regulations or policies may vary from jurisdiction to jurisdiction, local impact assessment requirements apply where appropriate. </w:t>
      </w:r>
      <w:r w:rsidR="005E4F51">
        <w:t>R</w:t>
      </w:r>
      <w:r w:rsidR="001527AA" w:rsidRPr="00277BD7">
        <w:t xml:space="preserve">egulation </w:t>
      </w:r>
      <w:r w:rsidRPr="00277BD7">
        <w:t>impact statements are not required for national guidance</w:t>
      </w:r>
      <w:r w:rsidR="00335FEE" w:rsidRPr="00277BD7">
        <w:t xml:space="preserve">, such as the </w:t>
      </w:r>
      <w:r w:rsidR="009A51C6">
        <w:t xml:space="preserve">PFAS </w:t>
      </w:r>
      <w:r w:rsidR="00335FEE" w:rsidRPr="00277BD7">
        <w:t>NEMP,</w:t>
      </w:r>
      <w:r w:rsidRPr="00277BD7">
        <w:t xml:space="preserve"> as</w:t>
      </w:r>
      <w:r w:rsidR="005E4F51">
        <w:t xml:space="preserve"> the details of</w:t>
      </w:r>
      <w:r w:rsidRPr="00277BD7">
        <w:t xml:space="preserve"> implementation </w:t>
      </w:r>
      <w:r w:rsidR="00335FEE" w:rsidRPr="00277BD7">
        <w:t xml:space="preserve">mechanisms, timeframes and </w:t>
      </w:r>
      <w:r w:rsidRPr="00277BD7">
        <w:t xml:space="preserve">expectations </w:t>
      </w:r>
      <w:r w:rsidR="00335FEE" w:rsidRPr="00277BD7">
        <w:t xml:space="preserve">are likely to </w:t>
      </w:r>
      <w:r w:rsidRPr="00277BD7">
        <w:t>vary from jurisdiction to jurisdiction.</w:t>
      </w:r>
    </w:p>
    <w:p w14:paraId="2806253A" w14:textId="2E4C4321" w:rsidR="00422A20" w:rsidRPr="00410E97" w:rsidRDefault="00422A20" w:rsidP="00422A20">
      <w:r>
        <w:lastRenderedPageBreak/>
        <w:t>I</w:t>
      </w:r>
      <w:r w:rsidRPr="004D28F7">
        <w:t xml:space="preserve">mplementation matters such as </w:t>
      </w:r>
      <w:r w:rsidR="00986D2E">
        <w:t xml:space="preserve">jurisdictional </w:t>
      </w:r>
      <w:r w:rsidRPr="004D28F7">
        <w:t xml:space="preserve">prioritisation of specific sites or types of site, </w:t>
      </w:r>
      <w:r w:rsidR="00E265A5">
        <w:t xml:space="preserve">decisions on water quality objectives for the area, </w:t>
      </w:r>
      <w:r w:rsidRPr="004D28F7">
        <w:t xml:space="preserve">potential restrictions on resource recovery, and potential financial impacts are out of scope for the </w:t>
      </w:r>
      <w:r w:rsidR="005E4F51">
        <w:t xml:space="preserve">PFAS </w:t>
      </w:r>
      <w:r w:rsidRPr="004D28F7">
        <w:t>NEMP.</w:t>
      </w:r>
    </w:p>
    <w:p w14:paraId="1C27E8E3" w14:textId="75825B14" w:rsidR="00071AE6" w:rsidRPr="00922B7B" w:rsidRDefault="00071AE6" w:rsidP="00875A82">
      <w:pPr>
        <w:pStyle w:val="HighlightitalicnotinTOC"/>
      </w:pPr>
      <w:r w:rsidRPr="00922B7B">
        <w:t xml:space="preserve">Question 3: </w:t>
      </w:r>
      <w:r w:rsidR="00805CD6">
        <w:t xml:space="preserve">Is the </w:t>
      </w:r>
      <w:r w:rsidRPr="00922B7B">
        <w:t xml:space="preserve">PFAS NEMP 2.0 </w:t>
      </w:r>
      <w:r w:rsidR="00805CD6">
        <w:t xml:space="preserve">applicable in </w:t>
      </w:r>
      <w:r w:rsidRPr="00922B7B">
        <w:t>New Zealand</w:t>
      </w:r>
      <w:r w:rsidR="00875A82">
        <w:t>?</w:t>
      </w:r>
    </w:p>
    <w:p w14:paraId="3869B712" w14:textId="2CCBC748" w:rsidR="00861AFB" w:rsidRPr="00861AFB" w:rsidRDefault="00861AFB" w:rsidP="00875A82">
      <w:pPr>
        <w:pStyle w:val="HighlightnotinTOC"/>
      </w:pPr>
      <w:r>
        <w:t xml:space="preserve">Relevant </w:t>
      </w:r>
      <w:r w:rsidRPr="00861AFB">
        <w:t xml:space="preserve">NEMP 2.0 reference: </w:t>
      </w:r>
      <w:r>
        <w:t>nil</w:t>
      </w:r>
    </w:p>
    <w:p w14:paraId="421E099B" w14:textId="3EF8B334" w:rsidR="00071AE6" w:rsidRPr="00410E97" w:rsidRDefault="00071AE6" w:rsidP="00861AFB">
      <w:r w:rsidRPr="00410E97">
        <w:t xml:space="preserve">The </w:t>
      </w:r>
      <w:r w:rsidR="005E4F51">
        <w:t xml:space="preserve">New Zealand </w:t>
      </w:r>
      <w:r w:rsidRPr="00410E97">
        <w:t>Ministry for the Environment</w:t>
      </w:r>
      <w:r w:rsidR="0012040D" w:rsidRPr="00410E97">
        <w:t xml:space="preserve"> (</w:t>
      </w:r>
      <w:r w:rsidR="00377E6D" w:rsidRPr="00410E97">
        <w:t>M</w:t>
      </w:r>
      <w:r w:rsidR="00377E6D">
        <w:t>f</w:t>
      </w:r>
      <w:r w:rsidR="00377E6D" w:rsidRPr="00410E97">
        <w:t>E</w:t>
      </w:r>
      <w:r w:rsidR="0012040D" w:rsidRPr="00410E97">
        <w:t>)</w:t>
      </w:r>
      <w:r w:rsidRPr="00410E97">
        <w:t xml:space="preserve"> and the New Zealand </w:t>
      </w:r>
      <w:r w:rsidR="0061542C" w:rsidRPr="00410E97">
        <w:t xml:space="preserve">Environment Protection </w:t>
      </w:r>
      <w:r w:rsidR="004864BA" w:rsidRPr="00410E97">
        <w:t>Authority</w:t>
      </w:r>
      <w:r w:rsidR="00134378">
        <w:t xml:space="preserve"> (EPA)</w:t>
      </w:r>
      <w:r w:rsidRPr="00410E97">
        <w:t xml:space="preserve"> have participated in the development of the PFAS NEMP 2.0</w:t>
      </w:r>
      <w:r w:rsidR="00140FE5">
        <w:t>.</w:t>
      </w:r>
      <w:r w:rsidR="00DE277A">
        <w:t xml:space="preserve"> </w:t>
      </w:r>
      <w:r w:rsidR="00140FE5">
        <w:t>They have advised that</w:t>
      </w:r>
      <w:r w:rsidRPr="00410E97">
        <w:t xml:space="preserve"> </w:t>
      </w:r>
      <w:r w:rsidR="009A51C6">
        <w:t xml:space="preserve">the PFAS </w:t>
      </w:r>
      <w:r w:rsidRPr="00410E97">
        <w:t xml:space="preserve">NEMP 2.0 is a joint Australian/New Zealand document, similar to the Australian and New Zealand Guidelines for Fresh and Marine Water Quality. The PFAS NEMP 2.0 is therefore applicable to the management of PFAS in New Zealand. Whilst </w:t>
      </w:r>
      <w:r w:rsidR="00377E6D" w:rsidRPr="00410E97">
        <w:t>M</w:t>
      </w:r>
      <w:r w:rsidR="00377E6D">
        <w:t>f</w:t>
      </w:r>
      <w:r w:rsidR="00377E6D" w:rsidRPr="00410E97">
        <w:t xml:space="preserve">E </w:t>
      </w:r>
      <w:r w:rsidRPr="00410E97">
        <w:t xml:space="preserve">and the EPA have identified that some aspects could be clarified to assist in the interpretation and application of the </w:t>
      </w:r>
      <w:r w:rsidR="009A51C6">
        <w:t xml:space="preserve">PFAS </w:t>
      </w:r>
      <w:r w:rsidRPr="00410E97">
        <w:t xml:space="preserve">NEMP 2.0 in New Zealand, this could be addressed through the next versions of the PFAS NEMP (i.e. </w:t>
      </w:r>
      <w:r w:rsidR="009A51C6">
        <w:t xml:space="preserve">the PFAS </w:t>
      </w:r>
      <w:r w:rsidRPr="00410E97">
        <w:t>NEMP 3.0).</w:t>
      </w:r>
    </w:p>
    <w:p w14:paraId="1563618B" w14:textId="2BDD0DA0" w:rsidR="00071AE6" w:rsidRPr="00922B7B" w:rsidRDefault="00071AE6" w:rsidP="00875A82">
      <w:pPr>
        <w:pStyle w:val="HighlightitalicnotinTOC"/>
      </w:pPr>
      <w:r w:rsidRPr="00922B7B">
        <w:t xml:space="preserve">Question 4: </w:t>
      </w:r>
      <w:r w:rsidR="00805CD6">
        <w:t xml:space="preserve">Will the </w:t>
      </w:r>
      <w:r w:rsidRPr="00922B7B">
        <w:t xml:space="preserve">PFAS NEMP </w:t>
      </w:r>
      <w:r w:rsidR="00805CD6">
        <w:t xml:space="preserve">be amended when there are </w:t>
      </w:r>
      <w:r w:rsidRPr="00922B7B">
        <w:t>changes in referenced national frameworks</w:t>
      </w:r>
      <w:r w:rsidR="00875A82">
        <w:t>?</w:t>
      </w:r>
    </w:p>
    <w:p w14:paraId="4EDDDB45" w14:textId="0028575E" w:rsidR="00861AFB" w:rsidRPr="00861AFB" w:rsidRDefault="00861AFB" w:rsidP="00875A82">
      <w:pPr>
        <w:pStyle w:val="HighlightnotinTOC"/>
      </w:pPr>
      <w:r>
        <w:t xml:space="preserve">Relevant </w:t>
      </w:r>
      <w:r w:rsidR="007A49AF">
        <w:t xml:space="preserve">PFAS </w:t>
      </w:r>
      <w:r w:rsidRPr="00861AFB">
        <w:t xml:space="preserve">NEMP 2.0 reference: </w:t>
      </w:r>
      <w:r>
        <w:t>nil</w:t>
      </w:r>
    </w:p>
    <w:p w14:paraId="4F290A18" w14:textId="6A91B275" w:rsidR="005E4F51" w:rsidRPr="00410E97" w:rsidRDefault="005E4F51" w:rsidP="005E4F51">
      <w:pPr>
        <w:rPr>
          <w:lang w:val="en-NZ"/>
        </w:rPr>
      </w:pPr>
      <w:r>
        <w:rPr>
          <w:lang w:val="en-NZ"/>
        </w:rPr>
        <w:t>Th</w:t>
      </w:r>
      <w:r w:rsidRPr="00410E97">
        <w:rPr>
          <w:lang w:val="en-NZ"/>
        </w:rPr>
        <w:t xml:space="preserve">e PFAS NEMP will be updated </w:t>
      </w:r>
      <w:r>
        <w:rPr>
          <w:lang w:val="en-NZ"/>
        </w:rPr>
        <w:t xml:space="preserve">to reflect changes to </w:t>
      </w:r>
      <w:r w:rsidRPr="00410E97">
        <w:rPr>
          <w:lang w:val="en-NZ"/>
        </w:rPr>
        <w:t xml:space="preserve">relevant </w:t>
      </w:r>
      <w:r w:rsidRPr="00410E97">
        <w:t>aspects</w:t>
      </w:r>
      <w:r w:rsidRPr="00410E97">
        <w:rPr>
          <w:lang w:val="en-NZ"/>
        </w:rPr>
        <w:t xml:space="preserve"> of the national frameworks referenced in the PFAS NEMP 2.0</w:t>
      </w:r>
      <w:r>
        <w:rPr>
          <w:lang w:val="en-NZ"/>
        </w:rPr>
        <w:t>, such as the National Health and Medical Research Council (NHMRC) guidelines for managing risks in recreational water</w:t>
      </w:r>
      <w:r w:rsidRPr="00410E97">
        <w:rPr>
          <w:lang w:val="en-NZ"/>
        </w:rPr>
        <w:t>.</w:t>
      </w:r>
    </w:p>
    <w:p w14:paraId="0A5EAAB6" w14:textId="492F10A9" w:rsidR="00071AE6" w:rsidRPr="00922B7B" w:rsidRDefault="00805CD6" w:rsidP="00875A82">
      <w:pPr>
        <w:pStyle w:val="HighlightitalicnotinTOC"/>
      </w:pPr>
      <w:r w:rsidRPr="00861AFB">
        <w:t>Question 5</w:t>
      </w:r>
      <w:r w:rsidR="00071AE6" w:rsidRPr="00861AFB">
        <w:t>: What are the Water Quality Guidelines?</w:t>
      </w:r>
      <w:r w:rsidR="00051C43" w:rsidRPr="00861AFB">
        <w:tab/>
      </w:r>
    </w:p>
    <w:p w14:paraId="6BB937F3" w14:textId="025CAC47" w:rsidR="00861AFB" w:rsidRPr="00861AFB" w:rsidRDefault="00861AFB" w:rsidP="005A66DC">
      <w:pPr>
        <w:pStyle w:val="HighlightnotinTOC"/>
      </w:pPr>
      <w:r>
        <w:t>Relevant</w:t>
      </w:r>
      <w:r w:rsidR="007A49AF">
        <w:t xml:space="preserve"> PFAS</w:t>
      </w:r>
      <w:r>
        <w:t xml:space="preserve"> </w:t>
      </w:r>
      <w:r w:rsidRPr="00861AFB">
        <w:t xml:space="preserve">NEMP 2.0 reference: </w:t>
      </w:r>
      <w:r w:rsidR="00986D2E">
        <w:t>Section 8.6.3.</w:t>
      </w:r>
    </w:p>
    <w:p w14:paraId="682286B5" w14:textId="77777777" w:rsidR="005E4F51" w:rsidRDefault="00D970C2" w:rsidP="00861AFB">
      <w:pPr>
        <w:rPr>
          <w:lang w:val="en"/>
        </w:rPr>
      </w:pPr>
      <w:r w:rsidRPr="00277BD7">
        <w:rPr>
          <w:lang w:val="en"/>
        </w:rPr>
        <w:t xml:space="preserve">The </w:t>
      </w:r>
      <w:r w:rsidR="008D00CA" w:rsidRPr="00410E97">
        <w:t xml:space="preserve">Australian and New Zealand Guidelines for Fresh and Marine Water Quality (Water Quality Guidelines) </w:t>
      </w:r>
      <w:r w:rsidRPr="00277BD7">
        <w:rPr>
          <w:lang w:val="en"/>
        </w:rPr>
        <w:t xml:space="preserve">provide </w:t>
      </w:r>
      <w:r w:rsidR="00257DE5" w:rsidRPr="00277BD7">
        <w:rPr>
          <w:lang w:val="en"/>
        </w:rPr>
        <w:t xml:space="preserve">nationally agreed </w:t>
      </w:r>
      <w:r w:rsidRPr="00277BD7">
        <w:rPr>
          <w:lang w:val="en"/>
        </w:rPr>
        <w:t>guidance that water managers can use for water quality planning</w:t>
      </w:r>
      <w:r w:rsidR="00335FEE" w:rsidRPr="00277BD7">
        <w:rPr>
          <w:lang w:val="en"/>
        </w:rPr>
        <w:t>,</w:t>
      </w:r>
      <w:r w:rsidR="0009011A" w:rsidRPr="00277BD7">
        <w:t xml:space="preserve"> </w:t>
      </w:r>
      <w:r w:rsidR="00335FEE" w:rsidRPr="00277BD7">
        <w:t xml:space="preserve">setting </w:t>
      </w:r>
      <w:r w:rsidR="0009011A" w:rsidRPr="00277BD7">
        <w:t>objectives</w:t>
      </w:r>
      <w:r w:rsidRPr="00277BD7">
        <w:rPr>
          <w:lang w:val="en"/>
        </w:rPr>
        <w:t xml:space="preserve">, approvals, licensing and compliance, monitoring and assessment. </w:t>
      </w:r>
      <w:r w:rsidR="0009011A" w:rsidRPr="00277BD7">
        <w:rPr>
          <w:lang w:val="en"/>
        </w:rPr>
        <w:t xml:space="preserve">For example, </w:t>
      </w:r>
      <w:r w:rsidR="00335FEE" w:rsidRPr="00277BD7">
        <w:rPr>
          <w:lang w:val="en"/>
        </w:rPr>
        <w:t>w</w:t>
      </w:r>
      <w:r w:rsidR="0009011A" w:rsidRPr="00277BD7">
        <w:rPr>
          <w:lang w:val="en"/>
        </w:rPr>
        <w:t xml:space="preserve">ater quality managers, local government environment officers, farmers and irrigators, and authorities can use the Water Quality Guidelines to develop water quality management plans. </w:t>
      </w:r>
    </w:p>
    <w:p w14:paraId="59B542AF" w14:textId="03A4E645" w:rsidR="0009011A" w:rsidRDefault="00D970C2" w:rsidP="00861AFB">
      <w:pPr>
        <w:rPr>
          <w:lang w:val="en"/>
        </w:rPr>
      </w:pPr>
      <w:r w:rsidRPr="00277BD7">
        <w:rPr>
          <w:lang w:val="en"/>
        </w:rPr>
        <w:t>The guidance and guidelines values in the Water Quality Guidelines are not mandatory</w:t>
      </w:r>
      <w:r w:rsidR="0009011A" w:rsidRPr="00277BD7">
        <w:t xml:space="preserve"> and governments can use them as they see fit, taking into account local conditions and requirements.</w:t>
      </w:r>
    </w:p>
    <w:p w14:paraId="393C3D8B" w14:textId="77777777" w:rsidR="0009011A" w:rsidRDefault="00071AE6" w:rsidP="00805CD6">
      <w:r w:rsidRPr="00410E97">
        <w:t>The Guidelines are a joint</w:t>
      </w:r>
      <w:r w:rsidR="002308EA">
        <w:t xml:space="preserve"> </w:t>
      </w:r>
      <w:r w:rsidRPr="00410E97">
        <w:t xml:space="preserve">initiative of Australian </w:t>
      </w:r>
      <w:r w:rsidR="005E1B1B">
        <w:t>C</w:t>
      </w:r>
      <w:r w:rsidRPr="00410E97">
        <w:t xml:space="preserve">ommonwealth, state and territory governments, and the Government of New Zealand. They have been actively used by governments since 1992 and most recently revised and updated in 2018. </w:t>
      </w:r>
    </w:p>
    <w:p w14:paraId="1562B531" w14:textId="5711DD54" w:rsidR="003C727F" w:rsidRDefault="00071AE6" w:rsidP="00805CD6">
      <w:r w:rsidRPr="00410E97">
        <w:t xml:space="preserve">The Guidelines are part of the National Water Quality Management Strategy (NWQMS), a joint national approach to improving water quality in Australian natural and semi-natural waterways. They are referred to </w:t>
      </w:r>
      <w:r w:rsidR="00AA64AE">
        <w:t xml:space="preserve">as </w:t>
      </w:r>
      <w:r w:rsidRPr="00410E97">
        <w:t>the Water Quality Guidelines</w:t>
      </w:r>
      <w:r w:rsidR="00AA64AE">
        <w:t xml:space="preserve"> in this document</w:t>
      </w:r>
      <w:r w:rsidRPr="00410E97">
        <w:t>.</w:t>
      </w:r>
    </w:p>
    <w:p w14:paraId="3AE0A108" w14:textId="2F8B1A48" w:rsidR="00805CD6" w:rsidRPr="00482F4F" w:rsidRDefault="00805CD6" w:rsidP="00875A82">
      <w:pPr>
        <w:pStyle w:val="HighlightitalicnotinTOC"/>
      </w:pPr>
      <w:r w:rsidRPr="00482F4F">
        <w:t xml:space="preserve">Question 6: </w:t>
      </w:r>
      <w:r w:rsidRPr="00482F4F">
        <w:tab/>
        <w:t xml:space="preserve">How do </w:t>
      </w:r>
      <w:r w:rsidR="00E405C9" w:rsidRPr="00482F4F">
        <w:t xml:space="preserve">I </w:t>
      </w:r>
      <w:r w:rsidRPr="00482F4F">
        <w:t xml:space="preserve">use the </w:t>
      </w:r>
      <w:r w:rsidR="007A49AF">
        <w:t xml:space="preserve">PFAS </w:t>
      </w:r>
      <w:r w:rsidRPr="00482F4F">
        <w:t>NEMP in management?</w:t>
      </w:r>
    </w:p>
    <w:p w14:paraId="688E7B1E" w14:textId="2B1036EB" w:rsidR="00861AFB" w:rsidRDefault="00861AFB" w:rsidP="00875A82">
      <w:pPr>
        <w:pStyle w:val="HighlightnotinTOC"/>
      </w:pPr>
      <w:r>
        <w:t xml:space="preserve">Relevant </w:t>
      </w:r>
      <w:r w:rsidR="007A49AF">
        <w:t xml:space="preserve">PFAS </w:t>
      </w:r>
      <w:r w:rsidRPr="00861AFB">
        <w:t xml:space="preserve">NEMP 2.0 reference: </w:t>
      </w:r>
      <w:r>
        <w:t xml:space="preserve">Section </w:t>
      </w:r>
      <w:r w:rsidR="00482F4F">
        <w:t>20</w:t>
      </w:r>
    </w:p>
    <w:p w14:paraId="69A28AD2" w14:textId="30126199" w:rsidR="00E82939" w:rsidRDefault="00875A82" w:rsidP="00482F4F">
      <w:pPr>
        <w:rPr>
          <w:rFonts w:cs="Arial"/>
        </w:rPr>
      </w:pPr>
      <w:r w:rsidRPr="00277BD7">
        <w:rPr>
          <w:rFonts w:cs="Arial"/>
        </w:rPr>
        <w:t xml:space="preserve">The </w:t>
      </w:r>
      <w:r w:rsidR="002750CA">
        <w:rPr>
          <w:rFonts w:cs="Arial"/>
        </w:rPr>
        <w:t xml:space="preserve">PFAS </w:t>
      </w:r>
      <w:r w:rsidRPr="00277BD7">
        <w:rPr>
          <w:rFonts w:cs="Arial"/>
        </w:rPr>
        <w:t xml:space="preserve">NEMP is designed to supplement existing management frameworks, including </w:t>
      </w:r>
      <w:r w:rsidR="00140FE5" w:rsidRPr="00290989">
        <w:rPr>
          <w:rFonts w:cs="Arial"/>
          <w:color w:val="000000"/>
          <w:shd w:val="clear" w:color="auto" w:fill="FFFFFF"/>
        </w:rPr>
        <w:t>the </w:t>
      </w:r>
      <w:r w:rsidR="00635E8A">
        <w:rPr>
          <w:rFonts w:ascii="ZWAdobeF" w:hAnsi="ZWAdobeF" w:cs="ZWAdobeF"/>
          <w:sz w:val="2"/>
          <w:szCs w:val="2"/>
          <w:shd w:val="clear" w:color="auto" w:fill="FFFFFF"/>
        </w:rPr>
        <w:t>16T</w:t>
      </w:r>
      <w:r w:rsidR="00860798">
        <w:rPr>
          <w:rFonts w:ascii="ZWAdobeF" w:hAnsi="ZWAdobeF" w:cs="ZWAdobeF"/>
          <w:sz w:val="2"/>
          <w:szCs w:val="2"/>
          <w:shd w:val="clear" w:color="auto" w:fill="FFFFFF"/>
        </w:rPr>
        <w:t>16T</w:t>
      </w:r>
      <w:r w:rsidR="00140FE5" w:rsidRPr="00290989">
        <w:rPr>
          <w:rStyle w:val="Emphasis"/>
          <w:rFonts w:cs="Arial"/>
          <w:color w:val="000000"/>
          <w:bdr w:val="none" w:sz="0" w:space="0" w:color="auto" w:frame="1"/>
          <w:shd w:val="clear" w:color="auto" w:fill="FFFFFF"/>
        </w:rPr>
        <w:t>National Environment Protection (Assessment of Site Contamination) Measure 1999</w:t>
      </w:r>
      <w:r w:rsidR="00635E8A">
        <w:rPr>
          <w:rStyle w:val="Emphasis"/>
          <w:rFonts w:ascii="ZWAdobeF" w:hAnsi="ZWAdobeF" w:cs="ZWAdobeF"/>
          <w:i w:val="0"/>
          <w:sz w:val="2"/>
          <w:szCs w:val="2"/>
          <w:bdr w:val="none" w:sz="0" w:space="0" w:color="auto" w:frame="1"/>
          <w:shd w:val="clear" w:color="auto" w:fill="FFFFFF"/>
        </w:rPr>
        <w:t>16T</w:t>
      </w:r>
      <w:r w:rsidR="00860798">
        <w:rPr>
          <w:rStyle w:val="Emphasis"/>
          <w:rFonts w:ascii="ZWAdobeF" w:hAnsi="ZWAdobeF" w:cs="ZWAdobeF"/>
          <w:i w:val="0"/>
          <w:sz w:val="2"/>
          <w:szCs w:val="2"/>
          <w:bdr w:val="none" w:sz="0" w:space="0" w:color="auto" w:frame="1"/>
          <w:shd w:val="clear" w:color="auto" w:fill="FFFFFF"/>
        </w:rPr>
        <w:t>16T</w:t>
      </w:r>
      <w:r w:rsidR="00140FE5" w:rsidRPr="00290989">
        <w:rPr>
          <w:rFonts w:cs="Arial"/>
          <w:color w:val="000000"/>
          <w:shd w:val="clear" w:color="auto" w:fill="FFFFFF"/>
        </w:rPr>
        <w:t> (the ASC NEPM)</w:t>
      </w:r>
      <w:r w:rsidRPr="00290989">
        <w:rPr>
          <w:rFonts w:cs="Arial"/>
        </w:rPr>
        <w:t xml:space="preserve">. </w:t>
      </w:r>
      <w:r w:rsidRPr="00277BD7">
        <w:rPr>
          <w:rFonts w:cs="Arial"/>
        </w:rPr>
        <w:t xml:space="preserve">This is reflected in its structure, content, </w:t>
      </w:r>
      <w:r w:rsidR="0058412A" w:rsidRPr="00277BD7">
        <w:rPr>
          <w:rFonts w:cs="Arial"/>
        </w:rPr>
        <w:t xml:space="preserve">and development process, which has focused on developing </w:t>
      </w:r>
      <w:r w:rsidRPr="00277BD7">
        <w:rPr>
          <w:rFonts w:cs="Arial"/>
        </w:rPr>
        <w:t xml:space="preserve">guidance </w:t>
      </w:r>
      <w:r w:rsidR="0058412A" w:rsidRPr="00277BD7">
        <w:rPr>
          <w:rFonts w:cs="Arial"/>
        </w:rPr>
        <w:t>on PFAS-specific matters that is not available elsewhere</w:t>
      </w:r>
      <w:r w:rsidRPr="00277BD7">
        <w:rPr>
          <w:rFonts w:cs="Arial"/>
        </w:rPr>
        <w:t>.</w:t>
      </w:r>
      <w:r w:rsidR="0058412A" w:rsidRPr="00277BD7">
        <w:rPr>
          <w:rFonts w:cs="Arial"/>
        </w:rPr>
        <w:t xml:space="preserve"> For example, Section 10 of the </w:t>
      </w:r>
      <w:r w:rsidR="007A49AF">
        <w:rPr>
          <w:rFonts w:cs="Arial"/>
        </w:rPr>
        <w:t xml:space="preserve">PFAS </w:t>
      </w:r>
      <w:r w:rsidR="0058412A" w:rsidRPr="00277BD7">
        <w:rPr>
          <w:rFonts w:cs="Arial"/>
        </w:rPr>
        <w:t xml:space="preserve">NEMP </w:t>
      </w:r>
      <w:r w:rsidR="007A49AF">
        <w:rPr>
          <w:rFonts w:cs="Arial"/>
        </w:rPr>
        <w:t xml:space="preserve">2.0 </w:t>
      </w:r>
      <w:r w:rsidR="0058412A" w:rsidRPr="00277BD7">
        <w:rPr>
          <w:rFonts w:cs="Arial"/>
        </w:rPr>
        <w:lastRenderedPageBreak/>
        <w:t>provides PFAS-specific guidance on stockpiling, storage and containment that is cross-referenced to existing management frameworks where relevant.</w:t>
      </w:r>
      <w:r w:rsidRPr="00277BD7">
        <w:rPr>
          <w:rFonts w:cs="Arial"/>
        </w:rPr>
        <w:t xml:space="preserve"> </w:t>
      </w:r>
    </w:p>
    <w:p w14:paraId="4943B127" w14:textId="7F7E6A58" w:rsidR="00482F4F" w:rsidRPr="00482F4F" w:rsidRDefault="00482F4F" w:rsidP="00482F4F">
      <w:pPr>
        <w:rPr>
          <w:lang w:val="en" w:eastAsia="en-AU"/>
        </w:rPr>
      </w:pPr>
      <w:r w:rsidRPr="00277BD7">
        <w:rPr>
          <w:rFonts w:cs="Arial"/>
        </w:rPr>
        <w:t xml:space="preserve">While site-specific application of the </w:t>
      </w:r>
      <w:r w:rsidR="007A49AF">
        <w:rPr>
          <w:rFonts w:cs="Arial"/>
        </w:rPr>
        <w:t xml:space="preserve">PFAS </w:t>
      </w:r>
      <w:r w:rsidRPr="00277BD7">
        <w:rPr>
          <w:rFonts w:cs="Arial"/>
        </w:rPr>
        <w:t xml:space="preserve">NEMP </w:t>
      </w:r>
      <w:r w:rsidR="000527CB">
        <w:rPr>
          <w:rFonts w:cs="Arial"/>
        </w:rPr>
        <w:t>2.0</w:t>
      </w:r>
      <w:r w:rsidRPr="00277BD7">
        <w:rPr>
          <w:rFonts w:cs="Arial"/>
        </w:rPr>
        <w:t xml:space="preserve"> guidance is </w:t>
      </w:r>
      <w:r w:rsidR="00E82939">
        <w:rPr>
          <w:rFonts w:cs="Arial"/>
        </w:rPr>
        <w:t xml:space="preserve">overseen </w:t>
      </w:r>
      <w:r w:rsidRPr="00277BD7">
        <w:rPr>
          <w:rFonts w:cs="Arial"/>
        </w:rPr>
        <w:t xml:space="preserve">by the local regulatory authority, future </w:t>
      </w:r>
      <w:r w:rsidR="00E82939" w:rsidRPr="00277BD7">
        <w:rPr>
          <w:rFonts w:cs="Arial"/>
        </w:rPr>
        <w:t xml:space="preserve">work </w:t>
      </w:r>
      <w:r w:rsidR="00E82939">
        <w:rPr>
          <w:rFonts w:cs="Arial"/>
        </w:rPr>
        <w:t xml:space="preserve">is planned to develop guidance on priority matters as part of </w:t>
      </w:r>
      <w:r w:rsidRPr="00277BD7">
        <w:rPr>
          <w:rFonts w:cs="Arial"/>
        </w:rPr>
        <w:t>Theme 6 – site-specifi</w:t>
      </w:r>
      <w:r w:rsidR="00A63E05">
        <w:rPr>
          <w:rFonts w:cs="Arial"/>
        </w:rPr>
        <w:t xml:space="preserve">c application of </w:t>
      </w:r>
      <w:r w:rsidR="007A49AF">
        <w:rPr>
          <w:rFonts w:cs="Arial"/>
        </w:rPr>
        <w:t xml:space="preserve">PFAS </w:t>
      </w:r>
      <w:r w:rsidR="00A63E05">
        <w:rPr>
          <w:rFonts w:cs="Arial"/>
        </w:rPr>
        <w:t>NEMP guidance.</w:t>
      </w:r>
      <w:r w:rsidR="00E82939">
        <w:rPr>
          <w:rFonts w:cs="Arial"/>
        </w:rPr>
        <w:t xml:space="preserve"> </w:t>
      </w:r>
    </w:p>
    <w:p w14:paraId="669D98BD" w14:textId="37D20715" w:rsidR="00C43187" w:rsidRDefault="00C0213D" w:rsidP="00875A82">
      <w:pPr>
        <w:pStyle w:val="HighlightitalicnotinTOC"/>
      </w:pPr>
      <w:r w:rsidRPr="001765CA">
        <w:t>Question 7</w:t>
      </w:r>
      <w:r w:rsidR="00C43187" w:rsidRPr="001765CA">
        <w:t xml:space="preserve">: </w:t>
      </w:r>
      <w:r w:rsidR="00C43187" w:rsidRPr="001765CA">
        <w:tab/>
        <w:t xml:space="preserve">Will the </w:t>
      </w:r>
      <w:r w:rsidR="006357A5">
        <w:t xml:space="preserve">PFAS </w:t>
      </w:r>
      <w:r w:rsidR="00C43187" w:rsidRPr="001765CA">
        <w:t>NEMP improve the availability of technologies to remediate PFAS</w:t>
      </w:r>
      <w:r w:rsidR="006357A5">
        <w:noBreakHyphen/>
      </w:r>
      <w:r w:rsidR="00C43187" w:rsidRPr="001765CA">
        <w:t>contaminated soil and water and disposal facilities for solid wastes</w:t>
      </w:r>
      <w:r w:rsidR="00E83845" w:rsidRPr="001765CA">
        <w:t xml:space="preserve">, including </w:t>
      </w:r>
      <w:r w:rsidR="006357A5">
        <w:t>wastes</w:t>
      </w:r>
      <w:r w:rsidR="00C43187" w:rsidRPr="001765CA">
        <w:t xml:space="preserve"> containing more than 50 mg/kg?</w:t>
      </w:r>
    </w:p>
    <w:p w14:paraId="2DA55FD7" w14:textId="37E3385E" w:rsidR="00861AFB" w:rsidRPr="00861AFB" w:rsidRDefault="00861AFB" w:rsidP="00875A82">
      <w:pPr>
        <w:pStyle w:val="HighlightnotinTOC"/>
      </w:pPr>
      <w:r>
        <w:t xml:space="preserve">Relevant </w:t>
      </w:r>
      <w:r w:rsidRPr="00861AFB">
        <w:t xml:space="preserve">NEMP 2.0 reference: </w:t>
      </w:r>
      <w:r w:rsidR="00C74160">
        <w:t>Appendix C</w:t>
      </w:r>
    </w:p>
    <w:p w14:paraId="06EED686" w14:textId="348BBDB1" w:rsidR="006357A5" w:rsidRDefault="00E83845" w:rsidP="00A9079A">
      <w:r w:rsidRPr="001765CA">
        <w:t>As the</w:t>
      </w:r>
      <w:r w:rsidR="00206404">
        <w:t xml:space="preserve"> focus of the</w:t>
      </w:r>
      <w:r w:rsidRPr="001765CA">
        <w:t xml:space="preserve"> </w:t>
      </w:r>
      <w:r w:rsidR="006357A5">
        <w:t xml:space="preserve">PFAS </w:t>
      </w:r>
      <w:r w:rsidRPr="001765CA">
        <w:t xml:space="preserve">NEMP </w:t>
      </w:r>
      <w:r w:rsidR="00206404">
        <w:t>is</w:t>
      </w:r>
      <w:r w:rsidR="00206404" w:rsidRPr="001765CA">
        <w:t xml:space="preserve"> </w:t>
      </w:r>
      <w:r w:rsidRPr="001765CA">
        <w:t>guidance</w:t>
      </w:r>
      <w:r w:rsidR="00374455">
        <w:t xml:space="preserve"> on matters to consider to adequately address risk</w:t>
      </w:r>
      <w:r w:rsidRPr="001765CA">
        <w:t xml:space="preserve">, it is not intended to </w:t>
      </w:r>
      <w:r w:rsidR="00206404">
        <w:t>provide advice on</w:t>
      </w:r>
      <w:r w:rsidR="00206404" w:rsidRPr="001765CA">
        <w:t xml:space="preserve"> </w:t>
      </w:r>
      <w:r w:rsidR="00374455">
        <w:t>commercial</w:t>
      </w:r>
      <w:r w:rsidR="00374455" w:rsidRPr="001765CA">
        <w:t xml:space="preserve"> </w:t>
      </w:r>
      <w:r w:rsidR="00206404">
        <w:t>considerations</w:t>
      </w:r>
      <w:r w:rsidR="00206404" w:rsidRPr="001765CA">
        <w:t xml:space="preserve"> </w:t>
      </w:r>
      <w:r w:rsidRPr="001765CA">
        <w:t xml:space="preserve">such as the availability of remediation and disposal services. However, environmental regulators are conscious of the challenges associated with PFAS remediation and disposal, particularly in locations where </w:t>
      </w:r>
      <w:r w:rsidR="00C74160" w:rsidRPr="001765CA">
        <w:t xml:space="preserve">environmentally sound and cost-effective </w:t>
      </w:r>
      <w:r w:rsidRPr="001765CA">
        <w:t>solutions</w:t>
      </w:r>
      <w:r w:rsidR="00C74160" w:rsidRPr="001765CA">
        <w:t xml:space="preserve"> are yet to be provided by the market.</w:t>
      </w:r>
    </w:p>
    <w:p w14:paraId="429CE4CD" w14:textId="180251DC" w:rsidR="006357A5" w:rsidRDefault="00C74160" w:rsidP="00A9079A">
      <w:r w:rsidRPr="001765CA">
        <w:t xml:space="preserve">The Commonwealth and state and territory governments are supporting research into PFAS remediation and destruction, in collaboration with industry and the tertiary sector. </w:t>
      </w:r>
    </w:p>
    <w:p w14:paraId="1B651D2E" w14:textId="13A88256" w:rsidR="003C727F" w:rsidRPr="002256FA" w:rsidRDefault="00C74160" w:rsidP="00A9079A">
      <w:pPr>
        <w:sectPr w:rsidR="003C727F" w:rsidRPr="002256FA" w:rsidSect="00C07D3C">
          <w:headerReference w:type="default" r:id="rId18"/>
          <w:footerReference w:type="default" r:id="rId19"/>
          <w:headerReference w:type="first" r:id="rId20"/>
          <w:footerReference w:type="first" r:id="rId21"/>
          <w:pgSz w:w="11907" w:h="16839" w:code="9"/>
          <w:pgMar w:top="1560" w:right="720" w:bottom="720" w:left="720" w:header="708" w:footer="708" w:gutter="0"/>
          <w:pgNumType w:start="1"/>
          <w:cols w:space="708"/>
          <w:docGrid w:linePitch="360"/>
        </w:sectPr>
      </w:pPr>
      <w:r w:rsidRPr="001765CA">
        <w:t xml:space="preserve">Extensive new guidance has also been provided in Section 10 of the </w:t>
      </w:r>
      <w:r w:rsidR="006357A5">
        <w:t xml:space="preserve">PFAS </w:t>
      </w:r>
      <w:r w:rsidRPr="001765CA">
        <w:t xml:space="preserve">NEMP </w:t>
      </w:r>
      <w:r w:rsidR="00383D80">
        <w:t xml:space="preserve">2.0 </w:t>
      </w:r>
      <w:r w:rsidRPr="001765CA">
        <w:t>to support the environmentally sound stockpiling, storage and containment of PFAS-contaminated waste awaiting permanent remediation or disposal.</w:t>
      </w:r>
    </w:p>
    <w:p w14:paraId="549F9B91" w14:textId="2B13DC1E" w:rsidR="000A1D9E" w:rsidRPr="000A1D9E" w:rsidRDefault="00C75CAF" w:rsidP="000A1D9E">
      <w:pPr>
        <w:pStyle w:val="Heading1"/>
        <w:sectPr w:rsidR="000A1D9E" w:rsidRPr="000A1D9E" w:rsidSect="00752938">
          <w:headerReference w:type="default" r:id="rId22"/>
          <w:headerReference w:type="first" r:id="rId23"/>
          <w:pgSz w:w="16839" w:h="11907" w:orient="landscape" w:code="9"/>
          <w:pgMar w:top="720" w:right="720" w:bottom="720" w:left="720" w:header="708" w:footer="708" w:gutter="0"/>
          <w:cols w:space="708"/>
          <w:titlePg/>
          <w:docGrid w:linePitch="360"/>
        </w:sectPr>
      </w:pPr>
      <w:bookmarkStart w:id="9" w:name="_Toc39837447"/>
      <w:bookmarkStart w:id="10" w:name="_Toc24644149"/>
      <w:bookmarkStart w:id="11" w:name="_Toc24720638"/>
      <w:r>
        <w:lastRenderedPageBreak/>
        <w:t>Responses to consultation feedback</w:t>
      </w:r>
      <w:bookmarkEnd w:id="9"/>
    </w:p>
    <w:p w14:paraId="2E1FE677" w14:textId="7BFDD9F6" w:rsidR="00617EC3" w:rsidRPr="002668A9" w:rsidRDefault="00D204C7" w:rsidP="00DC0FE0">
      <w:pPr>
        <w:pStyle w:val="Heading2"/>
        <w:rPr>
          <w:rFonts w:eastAsiaTheme="minorHAnsi"/>
        </w:rPr>
      </w:pPr>
      <w:bookmarkStart w:id="12" w:name="_Toc39837448"/>
      <w:r>
        <w:rPr>
          <w:rFonts w:eastAsiaTheme="minorHAnsi"/>
        </w:rPr>
        <w:lastRenderedPageBreak/>
        <w:t xml:space="preserve">Table </w:t>
      </w:r>
      <w:r w:rsidR="001E3D6F" w:rsidRPr="002668A9">
        <w:rPr>
          <w:rFonts w:eastAsiaTheme="minorHAnsi"/>
        </w:rPr>
        <w:t>A.</w:t>
      </w:r>
      <w:r w:rsidR="001E3D6F" w:rsidRPr="002668A9">
        <w:rPr>
          <w:rFonts w:eastAsiaTheme="minorHAnsi"/>
        </w:rPr>
        <w:tab/>
        <w:t xml:space="preserve">Environmental </w:t>
      </w:r>
      <w:r w:rsidR="00261EE7" w:rsidRPr="002668A9">
        <w:rPr>
          <w:rFonts w:eastAsiaTheme="minorHAnsi"/>
        </w:rPr>
        <w:t>guideline values</w:t>
      </w:r>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404"/>
        <w:gridCol w:w="3970"/>
        <w:gridCol w:w="2835"/>
        <w:gridCol w:w="6180"/>
      </w:tblGrid>
      <w:tr w:rsidR="002668A9" w:rsidRPr="002668A9" w14:paraId="7B9AB56B" w14:textId="77777777" w:rsidTr="00681106">
        <w:trPr>
          <w:tblHeader/>
        </w:trPr>
        <w:tc>
          <w:tcPr>
            <w:tcW w:w="781" w:type="pct"/>
            <w:shd w:val="clear" w:color="auto" w:fill="DEEAF6" w:themeFill="accent1" w:themeFillTint="33"/>
          </w:tcPr>
          <w:p w14:paraId="18D939A0" w14:textId="77777777" w:rsidR="002668A9" w:rsidRPr="002668A9" w:rsidRDefault="002668A9" w:rsidP="00D75095">
            <w:pPr>
              <w:rPr>
                <w:rFonts w:cs="Arial"/>
                <w:b/>
                <w:bCs/>
                <w:sz w:val="20"/>
                <w:szCs w:val="20"/>
              </w:rPr>
            </w:pPr>
            <w:r w:rsidRPr="002668A9">
              <w:rPr>
                <w:rFonts w:cs="Arial"/>
                <w:b/>
                <w:bCs/>
                <w:sz w:val="20"/>
                <w:szCs w:val="20"/>
              </w:rPr>
              <w:t xml:space="preserve"> Theme</w:t>
            </w:r>
          </w:p>
        </w:tc>
        <w:tc>
          <w:tcPr>
            <w:tcW w:w="1290" w:type="pct"/>
            <w:shd w:val="clear" w:color="auto" w:fill="DEEAF6" w:themeFill="accent1" w:themeFillTint="33"/>
          </w:tcPr>
          <w:p w14:paraId="60847329" w14:textId="4FD2493F" w:rsidR="002668A9" w:rsidRPr="002668A9" w:rsidRDefault="005622D6" w:rsidP="00D75095">
            <w:pPr>
              <w:rPr>
                <w:rFonts w:cs="Arial"/>
                <w:b/>
                <w:bCs/>
                <w:sz w:val="20"/>
                <w:szCs w:val="20"/>
              </w:rPr>
            </w:pPr>
            <w:r>
              <w:rPr>
                <w:rFonts w:cs="Arial"/>
                <w:b/>
                <w:bCs/>
                <w:sz w:val="20"/>
                <w:szCs w:val="20"/>
              </w:rPr>
              <w:t>Summary of feedback</w:t>
            </w:r>
          </w:p>
        </w:tc>
        <w:tc>
          <w:tcPr>
            <w:tcW w:w="921" w:type="pct"/>
            <w:shd w:val="clear" w:color="auto" w:fill="DEEAF6" w:themeFill="accent1" w:themeFillTint="33"/>
          </w:tcPr>
          <w:p w14:paraId="5442C309" w14:textId="386DC446" w:rsidR="002668A9" w:rsidRPr="002668A9" w:rsidRDefault="000D2812" w:rsidP="00D75095">
            <w:pPr>
              <w:rPr>
                <w:rFonts w:cs="Arial"/>
                <w:b/>
                <w:bCs/>
                <w:sz w:val="20"/>
                <w:szCs w:val="20"/>
              </w:rPr>
            </w:pPr>
            <w:r>
              <w:rPr>
                <w:rFonts w:cs="Arial"/>
                <w:b/>
                <w:bCs/>
                <w:sz w:val="20"/>
                <w:szCs w:val="20"/>
              </w:rPr>
              <w:t>Submissions commenting</w:t>
            </w:r>
          </w:p>
        </w:tc>
        <w:tc>
          <w:tcPr>
            <w:tcW w:w="2008" w:type="pct"/>
            <w:shd w:val="clear" w:color="auto" w:fill="DEEAF6" w:themeFill="accent1" w:themeFillTint="33"/>
            <w:tcMar>
              <w:top w:w="0" w:type="dxa"/>
              <w:left w:w="108" w:type="dxa"/>
              <w:bottom w:w="0" w:type="dxa"/>
              <w:right w:w="108" w:type="dxa"/>
            </w:tcMar>
          </w:tcPr>
          <w:p w14:paraId="204113A0" w14:textId="77777777" w:rsidR="002668A9" w:rsidRPr="002668A9" w:rsidRDefault="002668A9" w:rsidP="00D75095">
            <w:pPr>
              <w:rPr>
                <w:rFonts w:cs="Arial"/>
                <w:b/>
                <w:bCs/>
                <w:sz w:val="20"/>
                <w:szCs w:val="20"/>
              </w:rPr>
            </w:pPr>
            <w:r w:rsidRPr="002668A9">
              <w:rPr>
                <w:rFonts w:cs="Arial"/>
                <w:b/>
                <w:bCs/>
                <w:sz w:val="20"/>
                <w:szCs w:val="20"/>
              </w:rPr>
              <w:t>Response</w:t>
            </w:r>
          </w:p>
        </w:tc>
      </w:tr>
      <w:tr w:rsidR="002668A9" w:rsidRPr="002668A9" w14:paraId="50C38708" w14:textId="77777777" w:rsidTr="00681106">
        <w:trPr>
          <w:trHeight w:val="464"/>
        </w:trPr>
        <w:tc>
          <w:tcPr>
            <w:tcW w:w="781" w:type="pct"/>
            <w:vMerge w:val="restart"/>
            <w:shd w:val="clear" w:color="auto" w:fill="auto"/>
          </w:tcPr>
          <w:p w14:paraId="792EB0F8" w14:textId="77777777" w:rsidR="002668A9" w:rsidRPr="002668A9" w:rsidRDefault="002668A9" w:rsidP="00D75095">
            <w:pPr>
              <w:rPr>
                <w:rFonts w:cs="Arial"/>
                <w:sz w:val="20"/>
                <w:szCs w:val="20"/>
              </w:rPr>
            </w:pPr>
            <w:r w:rsidRPr="002668A9">
              <w:rPr>
                <w:rFonts w:cs="Arial"/>
                <w:sz w:val="20"/>
                <w:szCs w:val="20"/>
              </w:rPr>
              <w:t>Bioaccumulation &amp; mixing zones and the Water Quality Guidelines</w:t>
            </w:r>
          </w:p>
        </w:tc>
        <w:tc>
          <w:tcPr>
            <w:tcW w:w="1290" w:type="pct"/>
            <w:vMerge w:val="restart"/>
          </w:tcPr>
          <w:p w14:paraId="0F4817E7" w14:textId="77777777" w:rsidR="002668A9" w:rsidRPr="002668A9" w:rsidRDefault="002668A9" w:rsidP="00D75095">
            <w:pPr>
              <w:rPr>
                <w:rFonts w:cs="Arial"/>
                <w:sz w:val="20"/>
                <w:szCs w:val="20"/>
              </w:rPr>
            </w:pPr>
            <w:r w:rsidRPr="002668A9">
              <w:rPr>
                <w:rFonts w:cs="Arial"/>
                <w:sz w:val="20"/>
                <w:szCs w:val="20"/>
              </w:rPr>
              <w:t xml:space="preserve">Feedback provided on the implementation of the draft Australian and New Zealand Guidelines for Fresh and Marine Water Quality (Water Quality Guidelines) </w:t>
            </w:r>
            <w:r w:rsidRPr="00981A08">
              <w:rPr>
                <w:rFonts w:cs="Arial"/>
                <w:sz w:val="20"/>
                <w:szCs w:val="20"/>
              </w:rPr>
              <w:t xml:space="preserve">default guideline values, including views on the species protection values themselves, </w:t>
            </w:r>
            <w:r w:rsidRPr="003921AD">
              <w:rPr>
                <w:rFonts w:cs="Arial"/>
                <w:sz w:val="20"/>
                <w:szCs w:val="20"/>
              </w:rPr>
              <w:t>the relevance of background levels and</w:t>
            </w:r>
            <w:r w:rsidRPr="002668A9">
              <w:rPr>
                <w:rFonts w:cs="Arial"/>
                <w:sz w:val="20"/>
                <w:szCs w:val="20"/>
              </w:rPr>
              <w:t xml:space="preserve"> limit of reporting, and whether mixing zones should be allowed for bioaccumulative substances such as PFAS.</w:t>
            </w:r>
          </w:p>
          <w:p w14:paraId="63C9222C" w14:textId="77777777" w:rsidR="002668A9" w:rsidRDefault="002668A9" w:rsidP="00D75095">
            <w:pPr>
              <w:rPr>
                <w:rFonts w:cs="Arial"/>
                <w:sz w:val="20"/>
                <w:szCs w:val="20"/>
              </w:rPr>
            </w:pPr>
            <w:r w:rsidRPr="002668A9">
              <w:rPr>
                <w:rFonts w:cs="Arial"/>
                <w:sz w:val="20"/>
                <w:szCs w:val="20"/>
              </w:rPr>
              <w:t>Extensive feedback that is also relevant to this theme is summarised elsewhere in this document, particularly in Section C on wastewater and Section D on the water quality guideline values.</w:t>
            </w:r>
          </w:p>
          <w:p w14:paraId="0D637D26" w14:textId="77777777" w:rsidR="001A441F" w:rsidRPr="001A441F" w:rsidRDefault="001A441F" w:rsidP="001A441F">
            <w:pPr>
              <w:rPr>
                <w:rFonts w:cs="Arial"/>
                <w:sz w:val="20"/>
                <w:szCs w:val="20"/>
              </w:rPr>
            </w:pPr>
          </w:p>
          <w:p w14:paraId="66F09D64" w14:textId="77777777" w:rsidR="001A441F" w:rsidRPr="001A441F" w:rsidRDefault="001A441F" w:rsidP="001A441F">
            <w:pPr>
              <w:rPr>
                <w:rFonts w:cs="Arial"/>
                <w:sz w:val="20"/>
                <w:szCs w:val="20"/>
              </w:rPr>
            </w:pPr>
          </w:p>
          <w:p w14:paraId="359F030B" w14:textId="77777777" w:rsidR="001A441F" w:rsidRPr="001A441F" w:rsidRDefault="001A441F" w:rsidP="001A441F">
            <w:pPr>
              <w:rPr>
                <w:rFonts w:cs="Arial"/>
                <w:sz w:val="20"/>
                <w:szCs w:val="20"/>
              </w:rPr>
            </w:pPr>
          </w:p>
          <w:p w14:paraId="531918E1" w14:textId="77777777" w:rsidR="001A441F" w:rsidRPr="001A441F" w:rsidRDefault="001A441F" w:rsidP="001A441F">
            <w:pPr>
              <w:rPr>
                <w:rFonts w:cs="Arial"/>
                <w:sz w:val="20"/>
                <w:szCs w:val="20"/>
              </w:rPr>
            </w:pPr>
          </w:p>
          <w:p w14:paraId="116A0B2A" w14:textId="77777777" w:rsidR="001A441F" w:rsidRPr="001A441F" w:rsidRDefault="001A441F" w:rsidP="001A441F">
            <w:pPr>
              <w:rPr>
                <w:rFonts w:cs="Arial"/>
                <w:sz w:val="20"/>
                <w:szCs w:val="20"/>
              </w:rPr>
            </w:pPr>
          </w:p>
          <w:p w14:paraId="5BC9AB7E" w14:textId="04DC45AF" w:rsidR="001A441F" w:rsidRPr="001A441F" w:rsidRDefault="001A441F" w:rsidP="001A441F">
            <w:pPr>
              <w:rPr>
                <w:rFonts w:cs="Arial"/>
                <w:sz w:val="20"/>
                <w:szCs w:val="20"/>
              </w:rPr>
            </w:pPr>
          </w:p>
        </w:tc>
        <w:tc>
          <w:tcPr>
            <w:tcW w:w="921" w:type="pct"/>
            <w:vMerge w:val="restart"/>
          </w:tcPr>
          <w:p w14:paraId="2F8DD699" w14:textId="77777777" w:rsidR="0053563F" w:rsidRDefault="0053563F" w:rsidP="001F12C0">
            <w:pPr>
              <w:rPr>
                <w:rFonts w:cs="Arial"/>
                <w:sz w:val="20"/>
                <w:szCs w:val="20"/>
              </w:rPr>
            </w:pPr>
            <w:r>
              <w:rPr>
                <w:rFonts w:cs="Arial"/>
                <w:sz w:val="20"/>
                <w:szCs w:val="20"/>
              </w:rPr>
              <w:t>Australasian Land and Groundwater Association – submission 1</w:t>
            </w:r>
          </w:p>
          <w:p w14:paraId="6F6E84D2" w14:textId="77777777" w:rsidR="0053563F" w:rsidRDefault="0053563F" w:rsidP="001F12C0">
            <w:pPr>
              <w:rPr>
                <w:rFonts w:cs="Arial"/>
                <w:sz w:val="20"/>
                <w:szCs w:val="20"/>
              </w:rPr>
            </w:pPr>
            <w:r>
              <w:rPr>
                <w:rFonts w:cs="Arial"/>
                <w:sz w:val="20"/>
                <w:szCs w:val="20"/>
              </w:rPr>
              <w:t xml:space="preserve">City of Busselton </w:t>
            </w:r>
          </w:p>
          <w:p w14:paraId="7DEA52F0" w14:textId="77777777" w:rsidR="0053563F" w:rsidRDefault="0053563F" w:rsidP="001F12C0">
            <w:pPr>
              <w:rPr>
                <w:rFonts w:cs="Arial"/>
                <w:sz w:val="20"/>
                <w:szCs w:val="20"/>
              </w:rPr>
            </w:pPr>
            <w:r>
              <w:rPr>
                <w:rFonts w:cs="Arial"/>
                <w:sz w:val="20"/>
                <w:szCs w:val="20"/>
              </w:rPr>
              <w:t>Hunter Water</w:t>
            </w:r>
          </w:p>
          <w:p w14:paraId="217CBBB3" w14:textId="77777777" w:rsidR="0053563F" w:rsidRPr="002668A9" w:rsidRDefault="0053563F" w:rsidP="00D75095">
            <w:pPr>
              <w:rPr>
                <w:rFonts w:cs="Arial"/>
                <w:sz w:val="20"/>
                <w:szCs w:val="20"/>
              </w:rPr>
            </w:pPr>
            <w:r>
              <w:rPr>
                <w:rFonts w:cs="Arial"/>
                <w:sz w:val="20"/>
                <w:szCs w:val="20"/>
              </w:rPr>
              <w:t>Queensland Urban Utilities</w:t>
            </w:r>
          </w:p>
          <w:p w14:paraId="493974E7" w14:textId="77777777" w:rsidR="0053563F" w:rsidRDefault="0053563F" w:rsidP="001F12C0">
            <w:pPr>
              <w:rPr>
                <w:rFonts w:cs="Arial"/>
                <w:sz w:val="20"/>
                <w:szCs w:val="20"/>
              </w:rPr>
            </w:pPr>
            <w:r>
              <w:rPr>
                <w:rFonts w:cs="Arial"/>
                <w:sz w:val="20"/>
                <w:szCs w:val="20"/>
              </w:rPr>
              <w:t>Sydney Water</w:t>
            </w:r>
          </w:p>
          <w:p w14:paraId="4616EC41" w14:textId="3C46A892" w:rsidR="001F12C0" w:rsidRPr="002668A9" w:rsidRDefault="0053563F" w:rsidP="00D75095">
            <w:pPr>
              <w:rPr>
                <w:rFonts w:cs="Arial"/>
                <w:sz w:val="20"/>
                <w:szCs w:val="20"/>
              </w:rPr>
            </w:pPr>
            <w:r>
              <w:rPr>
                <w:rFonts w:cs="Arial"/>
                <w:sz w:val="20"/>
                <w:szCs w:val="20"/>
              </w:rPr>
              <w:t>WA Government</w:t>
            </w:r>
          </w:p>
        </w:tc>
        <w:tc>
          <w:tcPr>
            <w:tcW w:w="2008" w:type="pct"/>
            <w:vMerge w:val="restart"/>
            <w:shd w:val="clear" w:color="auto" w:fill="auto"/>
            <w:tcMar>
              <w:top w:w="0" w:type="dxa"/>
              <w:left w:w="108" w:type="dxa"/>
              <w:bottom w:w="0" w:type="dxa"/>
              <w:right w:w="108" w:type="dxa"/>
            </w:tcMar>
          </w:tcPr>
          <w:p w14:paraId="7872619C" w14:textId="58B5010A" w:rsidR="002668A9" w:rsidRPr="002668A9" w:rsidRDefault="002668A9" w:rsidP="00D75095">
            <w:pPr>
              <w:rPr>
                <w:rFonts w:cs="Arial"/>
                <w:sz w:val="20"/>
                <w:szCs w:val="20"/>
              </w:rPr>
            </w:pPr>
            <w:r w:rsidRPr="002668A9">
              <w:rPr>
                <w:rFonts w:cs="Arial"/>
                <w:sz w:val="20"/>
                <w:szCs w:val="20"/>
              </w:rPr>
              <w:t>Setting the species protection values is out of scope of the NEMP as it falls under the auspices of a separate national framework – the National Water Quality Management Strategy</w:t>
            </w:r>
            <w:r w:rsidR="00AC44CC">
              <w:rPr>
                <w:rFonts w:cs="Arial"/>
                <w:sz w:val="20"/>
                <w:szCs w:val="20"/>
              </w:rPr>
              <w:t xml:space="preserve"> and the associated Water Quality Guidelines</w:t>
            </w:r>
            <w:r w:rsidRPr="002668A9">
              <w:rPr>
                <w:rFonts w:cs="Arial"/>
                <w:sz w:val="20"/>
                <w:szCs w:val="20"/>
              </w:rPr>
              <w:t>.</w:t>
            </w:r>
          </w:p>
          <w:p w14:paraId="5717A25E" w14:textId="49BD5ECD" w:rsidR="002668A9" w:rsidRDefault="002668A9" w:rsidP="00D75095">
            <w:pPr>
              <w:rPr>
                <w:rFonts w:cs="Arial"/>
                <w:sz w:val="20"/>
                <w:szCs w:val="20"/>
              </w:rPr>
            </w:pPr>
            <w:r w:rsidRPr="002668A9">
              <w:rPr>
                <w:rFonts w:cs="Arial"/>
                <w:sz w:val="20"/>
                <w:szCs w:val="20"/>
              </w:rPr>
              <w:t>To assist users of the NEMP</w:t>
            </w:r>
            <w:r w:rsidR="00480D4D">
              <w:rPr>
                <w:rFonts w:cs="Arial"/>
                <w:sz w:val="20"/>
                <w:szCs w:val="20"/>
              </w:rPr>
              <w:t xml:space="preserve"> </w:t>
            </w:r>
            <w:r w:rsidR="000527CB">
              <w:rPr>
                <w:rFonts w:cs="Arial"/>
                <w:sz w:val="20"/>
                <w:szCs w:val="20"/>
              </w:rPr>
              <w:t>2.0</w:t>
            </w:r>
            <w:r w:rsidRPr="002668A9">
              <w:rPr>
                <w:rFonts w:cs="Arial"/>
                <w:sz w:val="20"/>
                <w:szCs w:val="20"/>
              </w:rPr>
              <w:t xml:space="preserve">, clarification has been provided on the application of </w:t>
            </w:r>
            <w:r w:rsidR="00AC44CC" w:rsidRPr="002668A9">
              <w:rPr>
                <w:rFonts w:cs="Arial"/>
                <w:sz w:val="20"/>
                <w:szCs w:val="20"/>
              </w:rPr>
              <w:t>Water Quality Guideline</w:t>
            </w:r>
            <w:r w:rsidR="00AC44CC">
              <w:rPr>
                <w:rFonts w:cs="Arial"/>
                <w:sz w:val="20"/>
                <w:szCs w:val="20"/>
              </w:rPr>
              <w:t xml:space="preserve"> </w:t>
            </w:r>
            <w:r w:rsidRPr="002668A9">
              <w:rPr>
                <w:rFonts w:cs="Arial"/>
                <w:sz w:val="20"/>
                <w:szCs w:val="20"/>
              </w:rPr>
              <w:t>values in aquatic systems to account for both direct toxicity and bioaccumulation, including consideration of mixing zones, acknowledging that application of these may differ across jurisdictions.</w:t>
            </w:r>
          </w:p>
          <w:p w14:paraId="712410D4" w14:textId="1439EB46" w:rsidR="00D46390" w:rsidRDefault="00A16CE6" w:rsidP="00D75095">
            <w:pPr>
              <w:rPr>
                <w:rFonts w:cs="Arial"/>
                <w:sz w:val="20"/>
                <w:szCs w:val="20"/>
              </w:rPr>
            </w:pPr>
            <w:r w:rsidRPr="006D3397">
              <w:rPr>
                <w:rFonts w:cs="Arial"/>
                <w:sz w:val="20"/>
                <w:szCs w:val="20"/>
              </w:rPr>
              <w:t>The</w:t>
            </w:r>
            <w:r w:rsidRPr="006D3397" w:rsidDel="00D46390">
              <w:rPr>
                <w:rFonts w:cs="Arial"/>
                <w:sz w:val="20"/>
                <w:szCs w:val="20"/>
              </w:rPr>
              <w:t xml:space="preserve"> </w:t>
            </w:r>
            <w:r w:rsidR="00D46390">
              <w:rPr>
                <w:rFonts w:cs="Arial"/>
                <w:sz w:val="20"/>
                <w:szCs w:val="20"/>
              </w:rPr>
              <w:t xml:space="preserve">Water Quality Guidelines </w:t>
            </w:r>
            <w:r w:rsidRPr="006D3397">
              <w:rPr>
                <w:rFonts w:cs="Arial"/>
                <w:sz w:val="20"/>
                <w:szCs w:val="20"/>
              </w:rPr>
              <w:t xml:space="preserve">and the </w:t>
            </w:r>
            <w:r w:rsidR="00635E8A">
              <w:rPr>
                <w:rFonts w:ascii="ZWAdobeF" w:hAnsi="ZWAdobeF" w:cs="ZWAdobeF"/>
                <w:sz w:val="2"/>
                <w:szCs w:val="2"/>
              </w:rPr>
              <w:t>16T</w:t>
            </w:r>
            <w:r w:rsidR="00860798">
              <w:rPr>
                <w:rFonts w:ascii="ZWAdobeF" w:hAnsi="ZWAdobeF" w:cs="ZWAdobeF"/>
                <w:sz w:val="2"/>
                <w:szCs w:val="2"/>
              </w:rPr>
              <w:t>16T</w:t>
            </w:r>
            <w:r w:rsidR="00140FE5">
              <w:rPr>
                <w:rStyle w:val="Emphasis"/>
                <w:rFonts w:cs="Arial"/>
                <w:color w:val="000000"/>
                <w:sz w:val="20"/>
                <w:szCs w:val="20"/>
                <w:bdr w:val="none" w:sz="0" w:space="0" w:color="auto" w:frame="1"/>
                <w:shd w:val="clear" w:color="auto" w:fill="FFFFFF"/>
              </w:rPr>
              <w:t>National Environment Protection (Assessment of Site Contamination) Measure 1999</w:t>
            </w:r>
            <w:r w:rsidR="00635E8A">
              <w:rPr>
                <w:rStyle w:val="Emphasis"/>
                <w:rFonts w:ascii="ZWAdobeF" w:hAnsi="ZWAdobeF" w:cs="ZWAdobeF"/>
                <w:i w:val="0"/>
                <w:sz w:val="2"/>
                <w:szCs w:val="2"/>
                <w:bdr w:val="none" w:sz="0" w:space="0" w:color="auto" w:frame="1"/>
                <w:shd w:val="clear" w:color="auto" w:fill="FFFFFF"/>
              </w:rPr>
              <w:t>16T</w:t>
            </w:r>
            <w:r w:rsidR="00860798">
              <w:rPr>
                <w:rStyle w:val="Emphasis"/>
                <w:rFonts w:ascii="ZWAdobeF" w:hAnsi="ZWAdobeF" w:cs="ZWAdobeF"/>
                <w:i w:val="0"/>
                <w:sz w:val="2"/>
                <w:szCs w:val="2"/>
                <w:bdr w:val="none" w:sz="0" w:space="0" w:color="auto" w:frame="1"/>
                <w:shd w:val="clear" w:color="auto" w:fill="FFFFFF"/>
              </w:rPr>
              <w:t>16T</w:t>
            </w:r>
            <w:r w:rsidR="00140FE5">
              <w:rPr>
                <w:rFonts w:cs="Arial"/>
                <w:color w:val="000000"/>
                <w:sz w:val="20"/>
                <w:szCs w:val="20"/>
                <w:shd w:val="clear" w:color="auto" w:fill="FFFFFF"/>
              </w:rPr>
              <w:t> (the ASC NEPM)</w:t>
            </w:r>
            <w:r w:rsidR="00DE277A">
              <w:rPr>
                <w:rFonts w:cs="Arial"/>
                <w:color w:val="000000"/>
                <w:sz w:val="20"/>
                <w:szCs w:val="20"/>
                <w:shd w:val="clear" w:color="auto" w:fill="FFFFFF"/>
              </w:rPr>
              <w:t xml:space="preserve"> </w:t>
            </w:r>
            <w:r w:rsidRPr="006D3397">
              <w:rPr>
                <w:rFonts w:cs="Arial"/>
                <w:sz w:val="20"/>
                <w:szCs w:val="20"/>
              </w:rPr>
              <w:t>provide definitions of background, and background ambient, noting that, as an anthropogenic contaminant with no natural sources, PFAS does not have a natural safe background</w:t>
            </w:r>
            <w:r w:rsidR="00D46390">
              <w:rPr>
                <w:rFonts w:cs="Arial"/>
                <w:sz w:val="20"/>
                <w:szCs w:val="20"/>
              </w:rPr>
              <w:t xml:space="preserve">. For </w:t>
            </w:r>
            <w:r w:rsidR="00AC44CC">
              <w:rPr>
                <w:rFonts w:cs="Arial"/>
                <w:sz w:val="20"/>
                <w:szCs w:val="20"/>
              </w:rPr>
              <w:t xml:space="preserve">example, for </w:t>
            </w:r>
            <w:r w:rsidR="00D46390">
              <w:rPr>
                <w:rFonts w:cs="Arial"/>
                <w:sz w:val="20"/>
                <w:szCs w:val="20"/>
              </w:rPr>
              <w:t>toxicants generated by human activities such as PFAS, the Water Quality Guidelines provides the following guidance:</w:t>
            </w:r>
          </w:p>
          <w:p w14:paraId="33685E9E" w14:textId="36A81E2B" w:rsidR="00D46390" w:rsidRPr="006D3397" w:rsidRDefault="00D46390" w:rsidP="006D3397">
            <w:pPr>
              <w:ind w:left="373"/>
              <w:rPr>
                <w:rFonts w:cs="Arial"/>
                <w:i/>
                <w:sz w:val="20"/>
                <w:szCs w:val="20"/>
              </w:rPr>
            </w:pPr>
            <w:r w:rsidRPr="006D3397">
              <w:rPr>
                <w:rFonts w:cs="Arial"/>
                <w:i/>
                <w:sz w:val="20"/>
                <w:szCs w:val="20"/>
              </w:rPr>
              <w:t>For toxicants generated by human activities, detection at any concentration could be grounds for investigating their source and for management intervention. For globally distributed chemicals, such as residues of DDT (dichlorodiphenyltrichloroethane), it may be necessary to apply representative background concentrations — as for naturally occurring toxicants.</w:t>
            </w:r>
          </w:p>
          <w:p w14:paraId="40BCE45D" w14:textId="77777777" w:rsidR="002668A9" w:rsidRPr="002668A9" w:rsidRDefault="002668A9" w:rsidP="00D75095">
            <w:pPr>
              <w:rPr>
                <w:rFonts w:cs="Arial"/>
                <w:sz w:val="20"/>
                <w:szCs w:val="20"/>
              </w:rPr>
            </w:pPr>
            <w:r w:rsidRPr="002668A9">
              <w:rPr>
                <w:rFonts w:cs="Arial"/>
                <w:sz w:val="20"/>
                <w:szCs w:val="20"/>
              </w:rPr>
              <w:t>Additional guidance is included around undertaking biota measurements.</w:t>
            </w:r>
          </w:p>
          <w:p w14:paraId="29919310" w14:textId="77777777" w:rsidR="002668A9" w:rsidRPr="002668A9" w:rsidRDefault="002668A9" w:rsidP="00D75095">
            <w:pPr>
              <w:rPr>
                <w:rFonts w:cs="Arial"/>
                <w:sz w:val="20"/>
                <w:szCs w:val="20"/>
              </w:rPr>
            </w:pPr>
            <w:r w:rsidRPr="002668A9">
              <w:rPr>
                <w:rFonts w:cs="Arial"/>
                <w:sz w:val="20"/>
                <w:szCs w:val="20"/>
              </w:rPr>
              <w:lastRenderedPageBreak/>
              <w:t>Comments on jurisdiction-specific matters have been noted by the relevant jurisdiction for consideration as appropriate.</w:t>
            </w:r>
          </w:p>
        </w:tc>
      </w:tr>
      <w:tr w:rsidR="002668A9" w:rsidRPr="002668A9" w14:paraId="131617FB" w14:textId="77777777" w:rsidTr="00681106">
        <w:trPr>
          <w:trHeight w:val="504"/>
        </w:trPr>
        <w:tc>
          <w:tcPr>
            <w:tcW w:w="781" w:type="pct"/>
            <w:vMerge/>
            <w:shd w:val="clear" w:color="auto" w:fill="auto"/>
          </w:tcPr>
          <w:p w14:paraId="78201CEA" w14:textId="1912ABF0" w:rsidR="002668A9" w:rsidRPr="002668A9" w:rsidRDefault="002668A9" w:rsidP="00D75095">
            <w:pPr>
              <w:rPr>
                <w:rFonts w:cs="Arial"/>
                <w:sz w:val="20"/>
                <w:szCs w:val="20"/>
              </w:rPr>
            </w:pPr>
          </w:p>
        </w:tc>
        <w:tc>
          <w:tcPr>
            <w:tcW w:w="1290" w:type="pct"/>
            <w:vMerge/>
          </w:tcPr>
          <w:p w14:paraId="03022324" w14:textId="77777777" w:rsidR="002668A9" w:rsidRPr="002668A9" w:rsidRDefault="002668A9" w:rsidP="00D75095">
            <w:pPr>
              <w:rPr>
                <w:rFonts w:cs="Arial"/>
                <w:sz w:val="20"/>
                <w:szCs w:val="20"/>
              </w:rPr>
            </w:pPr>
          </w:p>
        </w:tc>
        <w:tc>
          <w:tcPr>
            <w:tcW w:w="921" w:type="pct"/>
            <w:vMerge/>
          </w:tcPr>
          <w:p w14:paraId="040ABF60"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2B5C6832" w14:textId="77777777" w:rsidR="002668A9" w:rsidRPr="002668A9" w:rsidRDefault="002668A9" w:rsidP="00D75095">
            <w:pPr>
              <w:rPr>
                <w:rFonts w:cs="Arial"/>
                <w:sz w:val="20"/>
                <w:szCs w:val="20"/>
              </w:rPr>
            </w:pPr>
          </w:p>
        </w:tc>
      </w:tr>
      <w:tr w:rsidR="002668A9" w:rsidRPr="002668A9" w14:paraId="7632E271" w14:textId="77777777" w:rsidTr="00681106">
        <w:trPr>
          <w:trHeight w:val="504"/>
        </w:trPr>
        <w:tc>
          <w:tcPr>
            <w:tcW w:w="781" w:type="pct"/>
            <w:vMerge/>
            <w:shd w:val="clear" w:color="auto" w:fill="auto"/>
          </w:tcPr>
          <w:p w14:paraId="51A2A9E6" w14:textId="77777777" w:rsidR="002668A9" w:rsidRPr="002668A9" w:rsidRDefault="002668A9" w:rsidP="00D75095">
            <w:pPr>
              <w:rPr>
                <w:rFonts w:cs="Arial"/>
                <w:sz w:val="20"/>
                <w:szCs w:val="20"/>
              </w:rPr>
            </w:pPr>
          </w:p>
        </w:tc>
        <w:tc>
          <w:tcPr>
            <w:tcW w:w="1290" w:type="pct"/>
            <w:vMerge/>
          </w:tcPr>
          <w:p w14:paraId="685CB71A" w14:textId="77777777" w:rsidR="002668A9" w:rsidRPr="002668A9" w:rsidRDefault="002668A9" w:rsidP="00D75095">
            <w:pPr>
              <w:rPr>
                <w:rFonts w:cs="Arial"/>
                <w:sz w:val="20"/>
                <w:szCs w:val="20"/>
              </w:rPr>
            </w:pPr>
          </w:p>
        </w:tc>
        <w:tc>
          <w:tcPr>
            <w:tcW w:w="921" w:type="pct"/>
            <w:vMerge/>
          </w:tcPr>
          <w:p w14:paraId="47E9612C"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5F41B112" w14:textId="77777777" w:rsidR="002668A9" w:rsidRPr="002668A9" w:rsidRDefault="002668A9" w:rsidP="00D75095">
            <w:pPr>
              <w:rPr>
                <w:rFonts w:cs="Arial"/>
                <w:sz w:val="20"/>
                <w:szCs w:val="20"/>
              </w:rPr>
            </w:pPr>
          </w:p>
        </w:tc>
      </w:tr>
      <w:tr w:rsidR="002668A9" w:rsidRPr="002668A9" w14:paraId="3EA25FB0" w14:textId="77777777" w:rsidTr="00681106">
        <w:trPr>
          <w:trHeight w:val="504"/>
        </w:trPr>
        <w:tc>
          <w:tcPr>
            <w:tcW w:w="781" w:type="pct"/>
            <w:vMerge/>
            <w:shd w:val="clear" w:color="auto" w:fill="auto"/>
          </w:tcPr>
          <w:p w14:paraId="19260044" w14:textId="77777777" w:rsidR="002668A9" w:rsidRPr="002668A9" w:rsidRDefault="002668A9" w:rsidP="00D75095">
            <w:pPr>
              <w:rPr>
                <w:rFonts w:cs="Arial"/>
                <w:sz w:val="20"/>
                <w:szCs w:val="20"/>
              </w:rPr>
            </w:pPr>
          </w:p>
        </w:tc>
        <w:tc>
          <w:tcPr>
            <w:tcW w:w="1290" w:type="pct"/>
            <w:vMerge/>
          </w:tcPr>
          <w:p w14:paraId="61E4E3E1" w14:textId="77777777" w:rsidR="002668A9" w:rsidRPr="002668A9" w:rsidRDefault="002668A9" w:rsidP="00D75095">
            <w:pPr>
              <w:rPr>
                <w:rFonts w:cs="Arial"/>
                <w:sz w:val="20"/>
                <w:szCs w:val="20"/>
              </w:rPr>
            </w:pPr>
          </w:p>
        </w:tc>
        <w:tc>
          <w:tcPr>
            <w:tcW w:w="921" w:type="pct"/>
            <w:vMerge/>
          </w:tcPr>
          <w:p w14:paraId="25070AE7"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1A3A036E" w14:textId="77777777" w:rsidR="002668A9" w:rsidRPr="002668A9" w:rsidRDefault="002668A9" w:rsidP="00D75095">
            <w:pPr>
              <w:rPr>
                <w:rFonts w:cs="Arial"/>
                <w:sz w:val="20"/>
                <w:szCs w:val="20"/>
              </w:rPr>
            </w:pPr>
          </w:p>
        </w:tc>
      </w:tr>
      <w:tr w:rsidR="002668A9" w:rsidRPr="002668A9" w14:paraId="009C5219" w14:textId="77777777" w:rsidTr="00681106">
        <w:trPr>
          <w:trHeight w:val="504"/>
        </w:trPr>
        <w:tc>
          <w:tcPr>
            <w:tcW w:w="781" w:type="pct"/>
            <w:vMerge/>
            <w:shd w:val="clear" w:color="auto" w:fill="auto"/>
          </w:tcPr>
          <w:p w14:paraId="763DBCC6" w14:textId="77777777" w:rsidR="002668A9" w:rsidRPr="002668A9" w:rsidRDefault="002668A9" w:rsidP="00D75095">
            <w:pPr>
              <w:rPr>
                <w:rFonts w:cs="Arial"/>
                <w:sz w:val="20"/>
                <w:szCs w:val="20"/>
              </w:rPr>
            </w:pPr>
          </w:p>
        </w:tc>
        <w:tc>
          <w:tcPr>
            <w:tcW w:w="1290" w:type="pct"/>
            <w:vMerge/>
          </w:tcPr>
          <w:p w14:paraId="397FEFF7" w14:textId="77777777" w:rsidR="002668A9" w:rsidRPr="002668A9" w:rsidRDefault="002668A9" w:rsidP="00D75095">
            <w:pPr>
              <w:rPr>
                <w:rFonts w:cs="Arial"/>
                <w:sz w:val="20"/>
                <w:szCs w:val="20"/>
              </w:rPr>
            </w:pPr>
          </w:p>
        </w:tc>
        <w:tc>
          <w:tcPr>
            <w:tcW w:w="921" w:type="pct"/>
            <w:vMerge/>
          </w:tcPr>
          <w:p w14:paraId="7C25B044"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4CE8233A" w14:textId="77777777" w:rsidR="002668A9" w:rsidRPr="002668A9" w:rsidRDefault="002668A9" w:rsidP="00D75095">
            <w:pPr>
              <w:rPr>
                <w:rFonts w:cs="Arial"/>
                <w:sz w:val="20"/>
                <w:szCs w:val="20"/>
              </w:rPr>
            </w:pPr>
          </w:p>
        </w:tc>
      </w:tr>
      <w:tr w:rsidR="002668A9" w:rsidRPr="002668A9" w14:paraId="594C77BB" w14:textId="77777777" w:rsidTr="00681106">
        <w:trPr>
          <w:trHeight w:val="504"/>
        </w:trPr>
        <w:tc>
          <w:tcPr>
            <w:tcW w:w="781" w:type="pct"/>
            <w:vMerge/>
            <w:shd w:val="clear" w:color="auto" w:fill="auto"/>
          </w:tcPr>
          <w:p w14:paraId="08063D63" w14:textId="77777777" w:rsidR="002668A9" w:rsidRPr="002668A9" w:rsidRDefault="002668A9" w:rsidP="00D75095">
            <w:pPr>
              <w:rPr>
                <w:rFonts w:cs="Arial"/>
                <w:sz w:val="20"/>
                <w:szCs w:val="20"/>
              </w:rPr>
            </w:pPr>
          </w:p>
        </w:tc>
        <w:tc>
          <w:tcPr>
            <w:tcW w:w="1290" w:type="pct"/>
            <w:vMerge/>
          </w:tcPr>
          <w:p w14:paraId="726DAA32" w14:textId="77777777" w:rsidR="002668A9" w:rsidRPr="002668A9" w:rsidRDefault="002668A9" w:rsidP="00D75095">
            <w:pPr>
              <w:rPr>
                <w:rFonts w:cs="Arial"/>
                <w:sz w:val="20"/>
                <w:szCs w:val="20"/>
              </w:rPr>
            </w:pPr>
          </w:p>
        </w:tc>
        <w:tc>
          <w:tcPr>
            <w:tcW w:w="921" w:type="pct"/>
            <w:vMerge/>
          </w:tcPr>
          <w:p w14:paraId="74274472"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2179D0D0" w14:textId="77777777" w:rsidR="002668A9" w:rsidRPr="002668A9" w:rsidRDefault="002668A9" w:rsidP="00D75095">
            <w:pPr>
              <w:rPr>
                <w:rFonts w:cs="Arial"/>
                <w:sz w:val="20"/>
                <w:szCs w:val="20"/>
              </w:rPr>
            </w:pPr>
          </w:p>
        </w:tc>
      </w:tr>
      <w:tr w:rsidR="002668A9" w:rsidRPr="002668A9" w14:paraId="1C1AFE2C" w14:textId="77777777" w:rsidTr="00681106">
        <w:tc>
          <w:tcPr>
            <w:tcW w:w="781" w:type="pct"/>
            <w:shd w:val="clear" w:color="auto" w:fill="auto"/>
          </w:tcPr>
          <w:p w14:paraId="659A154D" w14:textId="77777777" w:rsidR="002668A9" w:rsidRPr="002668A9" w:rsidRDefault="002668A9" w:rsidP="00D75095">
            <w:pPr>
              <w:rPr>
                <w:rFonts w:cs="Arial"/>
                <w:sz w:val="20"/>
                <w:szCs w:val="20"/>
              </w:rPr>
            </w:pPr>
            <w:r w:rsidRPr="002668A9">
              <w:rPr>
                <w:rFonts w:cs="Arial"/>
                <w:sz w:val="20"/>
                <w:szCs w:val="20"/>
              </w:rPr>
              <w:t>Application of the guideline values to wastewater treatment outputs including biosolids, recycled water and effluent</w:t>
            </w:r>
          </w:p>
        </w:tc>
        <w:tc>
          <w:tcPr>
            <w:tcW w:w="1290" w:type="pct"/>
          </w:tcPr>
          <w:p w14:paraId="6330190A" w14:textId="77777777" w:rsidR="002668A9" w:rsidRPr="002668A9" w:rsidRDefault="002668A9" w:rsidP="00D75095">
            <w:pPr>
              <w:rPr>
                <w:rFonts w:cs="Arial"/>
                <w:sz w:val="20"/>
                <w:szCs w:val="20"/>
              </w:rPr>
            </w:pPr>
            <w:r w:rsidRPr="002668A9">
              <w:rPr>
                <w:rFonts w:cs="Arial"/>
                <w:sz w:val="20"/>
                <w:szCs w:val="20"/>
              </w:rPr>
              <w:t>Is it is intended that the soil guideline values apply to biosolids or compost?</w:t>
            </w:r>
          </w:p>
          <w:p w14:paraId="473D8E51" w14:textId="77777777" w:rsidR="002668A9" w:rsidRPr="002668A9" w:rsidRDefault="002668A9" w:rsidP="00D75095">
            <w:pPr>
              <w:rPr>
                <w:rFonts w:cs="Arial"/>
                <w:sz w:val="20"/>
                <w:szCs w:val="20"/>
              </w:rPr>
            </w:pPr>
            <w:r w:rsidRPr="002668A9">
              <w:rPr>
                <w:rFonts w:cs="Arial"/>
                <w:sz w:val="20"/>
                <w:szCs w:val="20"/>
              </w:rPr>
              <w:t>Extensive feedback that is also relevant to this theme is summarised elsewhere in this document, particularly in Section C on wastewater and Section D on the water quality guideline values and on future work under Theme 3 - water.</w:t>
            </w:r>
          </w:p>
        </w:tc>
        <w:tc>
          <w:tcPr>
            <w:tcW w:w="921" w:type="pct"/>
          </w:tcPr>
          <w:p w14:paraId="1F8992AB" w14:textId="0980D8D7" w:rsidR="002668A9" w:rsidRPr="002668A9" w:rsidRDefault="00F22860" w:rsidP="00D75095">
            <w:pPr>
              <w:rPr>
                <w:rFonts w:cs="Arial"/>
                <w:sz w:val="20"/>
                <w:szCs w:val="20"/>
              </w:rPr>
            </w:pPr>
            <w:r>
              <w:rPr>
                <w:rFonts w:cs="Arial"/>
                <w:sz w:val="20"/>
                <w:szCs w:val="20"/>
              </w:rPr>
              <w:t>Sydney Water</w:t>
            </w:r>
          </w:p>
        </w:tc>
        <w:tc>
          <w:tcPr>
            <w:tcW w:w="2008" w:type="pct"/>
            <w:tcMar>
              <w:top w:w="0" w:type="dxa"/>
              <w:left w:w="108" w:type="dxa"/>
              <w:bottom w:w="0" w:type="dxa"/>
              <w:right w:w="108" w:type="dxa"/>
            </w:tcMar>
          </w:tcPr>
          <w:p w14:paraId="7BCC6A68" w14:textId="6F10EA6F" w:rsidR="002668A9" w:rsidRPr="002668A9" w:rsidRDefault="002668A9" w:rsidP="00D75095">
            <w:pPr>
              <w:rPr>
                <w:rFonts w:cs="Arial"/>
                <w:sz w:val="20"/>
                <w:szCs w:val="20"/>
              </w:rPr>
            </w:pPr>
            <w:r w:rsidRPr="002668A9">
              <w:rPr>
                <w:rFonts w:cs="Arial"/>
                <w:sz w:val="20"/>
                <w:szCs w:val="20"/>
              </w:rPr>
              <w:t xml:space="preserve">The guidance on environmental guideline values in section 8, and the guidance on soil reuse in section 12, apply to soils amended with materials such as biosolids or compost, but not to biosolids or compost </w:t>
            </w:r>
            <w:r w:rsidRPr="00DE277A">
              <w:rPr>
                <w:rFonts w:cs="Arial"/>
                <w:i/>
                <w:sz w:val="20"/>
                <w:szCs w:val="20"/>
              </w:rPr>
              <w:t>per se</w:t>
            </w:r>
            <w:r w:rsidRPr="002668A9">
              <w:rPr>
                <w:rFonts w:cs="Arial"/>
                <w:sz w:val="20"/>
                <w:szCs w:val="20"/>
              </w:rPr>
              <w:t>, noting that the environmental guideline values are not remediation or clean-up values</w:t>
            </w:r>
            <w:r w:rsidR="001971D1">
              <w:rPr>
                <w:rFonts w:cs="Arial"/>
                <w:sz w:val="20"/>
                <w:szCs w:val="20"/>
              </w:rPr>
              <w:t xml:space="preserve"> nor pollute up to values</w:t>
            </w:r>
            <w:r w:rsidRPr="002668A9">
              <w:rPr>
                <w:rFonts w:cs="Arial"/>
                <w:sz w:val="20"/>
                <w:szCs w:val="20"/>
              </w:rPr>
              <w:t>.</w:t>
            </w:r>
          </w:p>
          <w:p w14:paraId="532A62BE" w14:textId="5C5DAB08" w:rsidR="002668A9" w:rsidRPr="002668A9" w:rsidRDefault="002668A9" w:rsidP="00DE277A">
            <w:pPr>
              <w:rPr>
                <w:rFonts w:cs="Arial"/>
                <w:sz w:val="20"/>
                <w:szCs w:val="20"/>
              </w:rPr>
            </w:pPr>
            <w:r w:rsidRPr="002668A9">
              <w:rPr>
                <w:rFonts w:cs="Arial"/>
                <w:sz w:val="20"/>
                <w:szCs w:val="20"/>
              </w:rPr>
              <w:t>The development of guidance on wastewater treatment outputs is a priority for future work under Theme 3 – Water</w:t>
            </w:r>
            <w:r w:rsidR="00140FE5">
              <w:rPr>
                <w:rFonts w:cs="Arial"/>
                <w:sz w:val="20"/>
                <w:szCs w:val="20"/>
              </w:rPr>
              <w:t xml:space="preserve"> as described on </w:t>
            </w:r>
            <w:r w:rsidR="001A5373">
              <w:rPr>
                <w:rFonts w:cs="Arial"/>
                <w:sz w:val="20"/>
                <w:szCs w:val="20"/>
              </w:rPr>
              <w:t>p.</w:t>
            </w:r>
            <w:r w:rsidR="00DE277A">
              <w:rPr>
                <w:rFonts w:cs="Arial"/>
                <w:sz w:val="20"/>
                <w:szCs w:val="20"/>
              </w:rPr>
              <w:t> </w:t>
            </w:r>
            <w:r w:rsidR="00140FE5">
              <w:rPr>
                <w:rFonts w:cs="Arial"/>
                <w:sz w:val="20"/>
                <w:szCs w:val="20"/>
              </w:rPr>
              <w:t>6.</w:t>
            </w:r>
          </w:p>
        </w:tc>
      </w:tr>
      <w:tr w:rsidR="002668A9" w:rsidRPr="002668A9" w14:paraId="626FAB8D" w14:textId="77777777" w:rsidTr="00681106">
        <w:trPr>
          <w:trHeight w:val="2102"/>
        </w:trPr>
        <w:tc>
          <w:tcPr>
            <w:tcW w:w="781" w:type="pct"/>
            <w:shd w:val="clear" w:color="auto" w:fill="auto"/>
          </w:tcPr>
          <w:p w14:paraId="5295AE15" w14:textId="77777777" w:rsidR="002668A9" w:rsidRPr="002668A9" w:rsidRDefault="002668A9" w:rsidP="00D75095">
            <w:pPr>
              <w:rPr>
                <w:rFonts w:cs="Arial"/>
                <w:sz w:val="20"/>
                <w:szCs w:val="20"/>
              </w:rPr>
            </w:pPr>
            <w:r w:rsidRPr="002668A9">
              <w:rPr>
                <w:rFonts w:cs="Arial"/>
                <w:sz w:val="20"/>
                <w:szCs w:val="20"/>
              </w:rPr>
              <w:t>Risk-based management</w:t>
            </w:r>
          </w:p>
        </w:tc>
        <w:tc>
          <w:tcPr>
            <w:tcW w:w="1290" w:type="pct"/>
          </w:tcPr>
          <w:p w14:paraId="53443C23" w14:textId="77777777" w:rsidR="002668A9" w:rsidRPr="002668A9" w:rsidRDefault="002668A9" w:rsidP="00D75095">
            <w:pPr>
              <w:rPr>
                <w:rFonts w:cs="Arial"/>
                <w:sz w:val="20"/>
                <w:szCs w:val="20"/>
              </w:rPr>
            </w:pPr>
            <w:r w:rsidRPr="002668A9">
              <w:rPr>
                <w:rFonts w:cs="Arial"/>
                <w:sz w:val="20"/>
                <w:szCs w:val="20"/>
              </w:rPr>
              <w:t>Feedback provided on aspects of risk-based management. Changing guideline values can change the interpretation of site investigations. Suggestion was made to consider the impacts of PFOS and PFHxS independently as well as when added together.</w:t>
            </w:r>
          </w:p>
        </w:tc>
        <w:tc>
          <w:tcPr>
            <w:tcW w:w="921" w:type="pct"/>
          </w:tcPr>
          <w:p w14:paraId="2C015F59" w14:textId="77777777" w:rsidR="0053563F" w:rsidRPr="002668A9" w:rsidRDefault="0053563F" w:rsidP="00D75095">
            <w:pPr>
              <w:rPr>
                <w:rFonts w:cs="Arial"/>
                <w:sz w:val="20"/>
                <w:szCs w:val="20"/>
              </w:rPr>
            </w:pPr>
            <w:r>
              <w:rPr>
                <w:rFonts w:cs="Arial"/>
                <w:sz w:val="20"/>
                <w:szCs w:val="20"/>
              </w:rPr>
              <w:t>BP Australia</w:t>
            </w:r>
          </w:p>
          <w:p w14:paraId="24DEF05D" w14:textId="4BB3A7DB" w:rsidR="002668A9" w:rsidRPr="002668A9" w:rsidRDefault="0053563F" w:rsidP="00D75095">
            <w:pPr>
              <w:rPr>
                <w:rFonts w:cs="Arial"/>
                <w:sz w:val="20"/>
                <w:szCs w:val="20"/>
              </w:rPr>
            </w:pPr>
            <w:r>
              <w:rPr>
                <w:rFonts w:cs="Arial"/>
                <w:sz w:val="20"/>
                <w:szCs w:val="20"/>
              </w:rPr>
              <w:t>WA Government</w:t>
            </w:r>
          </w:p>
        </w:tc>
        <w:tc>
          <w:tcPr>
            <w:tcW w:w="2008" w:type="pct"/>
            <w:shd w:val="clear" w:color="auto" w:fill="auto"/>
            <w:tcMar>
              <w:top w:w="0" w:type="dxa"/>
              <w:left w:w="108" w:type="dxa"/>
              <w:bottom w:w="0" w:type="dxa"/>
              <w:right w:w="108" w:type="dxa"/>
            </w:tcMar>
          </w:tcPr>
          <w:p w14:paraId="17B7E925" w14:textId="77777777" w:rsidR="002668A9" w:rsidRPr="002668A9" w:rsidRDefault="002668A9" w:rsidP="00D75095">
            <w:pPr>
              <w:rPr>
                <w:rFonts w:cs="Arial"/>
                <w:sz w:val="20"/>
                <w:szCs w:val="20"/>
              </w:rPr>
            </w:pPr>
            <w:r w:rsidRPr="002668A9">
              <w:rPr>
                <w:rFonts w:cs="Arial"/>
                <w:sz w:val="20"/>
                <w:szCs w:val="20"/>
              </w:rPr>
              <w:t xml:space="preserve">Noted. </w:t>
            </w:r>
          </w:p>
          <w:p w14:paraId="0577DD41" w14:textId="77777777" w:rsidR="002668A9" w:rsidRPr="002668A9" w:rsidRDefault="002668A9" w:rsidP="00D75095">
            <w:pPr>
              <w:rPr>
                <w:rFonts w:cs="Arial"/>
                <w:sz w:val="20"/>
                <w:szCs w:val="20"/>
              </w:rPr>
            </w:pPr>
            <w:r w:rsidRPr="002668A9">
              <w:rPr>
                <w:rFonts w:cs="Arial"/>
                <w:sz w:val="20"/>
                <w:szCs w:val="20"/>
              </w:rPr>
              <w:t>These matters will be further considered in the future work program including under Theme 1 – the PFAS family and Theme 6 - site-specific application of the NEMP guidance.</w:t>
            </w:r>
          </w:p>
        </w:tc>
      </w:tr>
      <w:tr w:rsidR="002668A9" w:rsidRPr="002668A9" w14:paraId="487F22DE" w14:textId="77777777" w:rsidTr="00681106">
        <w:trPr>
          <w:trHeight w:val="464"/>
        </w:trPr>
        <w:tc>
          <w:tcPr>
            <w:tcW w:w="781" w:type="pct"/>
            <w:vMerge w:val="restart"/>
            <w:shd w:val="clear" w:color="auto" w:fill="auto"/>
          </w:tcPr>
          <w:p w14:paraId="71152F1D" w14:textId="77777777" w:rsidR="002668A9" w:rsidRPr="002668A9" w:rsidRDefault="002668A9" w:rsidP="00D75095">
            <w:pPr>
              <w:rPr>
                <w:rFonts w:cs="Arial"/>
                <w:sz w:val="20"/>
                <w:szCs w:val="20"/>
              </w:rPr>
            </w:pPr>
            <w:r w:rsidRPr="002668A9">
              <w:rPr>
                <w:rFonts w:cs="Arial"/>
                <w:sz w:val="20"/>
                <w:szCs w:val="20"/>
              </w:rPr>
              <w:t>Status and derivation of ecological guidelines</w:t>
            </w:r>
          </w:p>
        </w:tc>
        <w:tc>
          <w:tcPr>
            <w:tcW w:w="1290" w:type="pct"/>
            <w:vMerge w:val="restart"/>
          </w:tcPr>
          <w:p w14:paraId="54BD6525" w14:textId="1C4884CC" w:rsidR="002668A9" w:rsidRPr="002668A9" w:rsidRDefault="002668A9" w:rsidP="00D75095">
            <w:pPr>
              <w:rPr>
                <w:rFonts w:cs="Arial"/>
                <w:sz w:val="20"/>
                <w:szCs w:val="20"/>
              </w:rPr>
            </w:pPr>
            <w:r w:rsidRPr="002668A9">
              <w:rPr>
                <w:rFonts w:cs="Arial"/>
                <w:sz w:val="20"/>
                <w:szCs w:val="20"/>
              </w:rPr>
              <w:t xml:space="preserve">Requests for additional information about the derivation process and authorisation for the </w:t>
            </w:r>
            <w:r w:rsidR="00A11C41">
              <w:rPr>
                <w:rFonts w:cs="Arial"/>
                <w:sz w:val="20"/>
                <w:szCs w:val="20"/>
              </w:rPr>
              <w:t xml:space="preserve">ecological </w:t>
            </w:r>
            <w:r w:rsidRPr="002668A9">
              <w:rPr>
                <w:rFonts w:cs="Arial"/>
                <w:sz w:val="20"/>
                <w:szCs w:val="20"/>
              </w:rPr>
              <w:t>guideline values (i.e. whether they were derived as part of the NEMP process or another national framework); what data are used in developing guideline values and in what circumstances this needs to be only on Australian species. Questions about the applicability of the ECCC guidelines.</w:t>
            </w:r>
            <w:r w:rsidR="0055284A">
              <w:rPr>
                <w:rFonts w:cs="Arial"/>
                <w:sz w:val="20"/>
                <w:szCs w:val="20"/>
              </w:rPr>
              <w:t xml:space="preserve"> </w:t>
            </w:r>
            <w:r w:rsidR="000D13C8">
              <w:rPr>
                <w:rFonts w:cs="Arial"/>
                <w:sz w:val="20"/>
                <w:szCs w:val="20"/>
              </w:rPr>
              <w:lastRenderedPageBreak/>
              <w:t>Questions on whe</w:t>
            </w:r>
            <w:r w:rsidR="00DE277A">
              <w:rPr>
                <w:rFonts w:cs="Arial"/>
                <w:sz w:val="20"/>
                <w:szCs w:val="20"/>
              </w:rPr>
              <w:t>n</w:t>
            </w:r>
            <w:r w:rsidR="000D13C8">
              <w:rPr>
                <w:rFonts w:cs="Arial"/>
                <w:sz w:val="20"/>
                <w:szCs w:val="20"/>
              </w:rPr>
              <w:t xml:space="preserve"> </w:t>
            </w:r>
            <w:r w:rsidR="0055284A">
              <w:rPr>
                <w:rFonts w:cs="Arial"/>
                <w:sz w:val="20"/>
                <w:szCs w:val="20"/>
              </w:rPr>
              <w:t xml:space="preserve">the technical work underpinning the guideline values </w:t>
            </w:r>
            <w:r w:rsidR="000D13C8">
              <w:rPr>
                <w:rFonts w:cs="Arial"/>
                <w:sz w:val="20"/>
                <w:szCs w:val="20"/>
              </w:rPr>
              <w:t xml:space="preserve">will </w:t>
            </w:r>
            <w:r w:rsidR="0055284A">
              <w:rPr>
                <w:rFonts w:cs="Arial"/>
                <w:sz w:val="20"/>
                <w:szCs w:val="20"/>
              </w:rPr>
              <w:t>be published</w:t>
            </w:r>
            <w:r w:rsidR="000D13C8">
              <w:rPr>
                <w:rFonts w:cs="Arial"/>
                <w:sz w:val="20"/>
                <w:szCs w:val="20"/>
              </w:rPr>
              <w:t>.</w:t>
            </w:r>
          </w:p>
        </w:tc>
        <w:tc>
          <w:tcPr>
            <w:tcW w:w="921" w:type="pct"/>
            <w:vMerge w:val="restart"/>
          </w:tcPr>
          <w:p w14:paraId="412E9BC0" w14:textId="77777777" w:rsidR="0053563F" w:rsidRPr="002668A9" w:rsidRDefault="0053563F" w:rsidP="00D75095">
            <w:pPr>
              <w:rPr>
                <w:rFonts w:cs="Arial"/>
                <w:sz w:val="20"/>
                <w:szCs w:val="20"/>
              </w:rPr>
            </w:pPr>
            <w:r>
              <w:rPr>
                <w:rFonts w:cs="Arial"/>
                <w:sz w:val="20"/>
                <w:szCs w:val="20"/>
              </w:rPr>
              <w:lastRenderedPageBreak/>
              <w:t>South East Water</w:t>
            </w:r>
          </w:p>
          <w:p w14:paraId="61EA26C2" w14:textId="3419E992" w:rsidR="002668A9" w:rsidRPr="002668A9" w:rsidRDefault="0053563F" w:rsidP="00D75095">
            <w:pPr>
              <w:rPr>
                <w:rFonts w:cs="Arial"/>
                <w:sz w:val="20"/>
                <w:szCs w:val="20"/>
              </w:rPr>
            </w:pPr>
            <w:r>
              <w:rPr>
                <w:rFonts w:cs="Arial"/>
                <w:sz w:val="20"/>
                <w:szCs w:val="20"/>
              </w:rPr>
              <w:t>Water Services Association of Australia</w:t>
            </w:r>
          </w:p>
        </w:tc>
        <w:tc>
          <w:tcPr>
            <w:tcW w:w="2008" w:type="pct"/>
            <w:vMerge w:val="restart"/>
            <w:shd w:val="clear" w:color="auto" w:fill="auto"/>
            <w:tcMar>
              <w:top w:w="0" w:type="dxa"/>
              <w:left w:w="108" w:type="dxa"/>
              <w:bottom w:w="0" w:type="dxa"/>
              <w:right w:w="108" w:type="dxa"/>
            </w:tcMar>
          </w:tcPr>
          <w:p w14:paraId="6EDDD656" w14:textId="77777777" w:rsidR="002668A9" w:rsidRPr="002668A9" w:rsidRDefault="002668A9" w:rsidP="00D75095">
            <w:pPr>
              <w:rPr>
                <w:rFonts w:cs="Arial"/>
                <w:sz w:val="20"/>
                <w:szCs w:val="20"/>
              </w:rPr>
            </w:pPr>
            <w:r w:rsidRPr="002668A9">
              <w:rPr>
                <w:rFonts w:cs="Arial"/>
                <w:sz w:val="20"/>
                <w:szCs w:val="20"/>
              </w:rPr>
              <w:t xml:space="preserve">Noted. </w:t>
            </w:r>
          </w:p>
          <w:p w14:paraId="4F74A231" w14:textId="18FB12DB" w:rsidR="002668A9" w:rsidRPr="002668A9" w:rsidRDefault="002668A9" w:rsidP="00551619">
            <w:pPr>
              <w:rPr>
                <w:rFonts w:cs="Arial"/>
                <w:sz w:val="20"/>
                <w:szCs w:val="20"/>
              </w:rPr>
            </w:pPr>
            <w:r w:rsidRPr="002668A9">
              <w:rPr>
                <w:rFonts w:cs="Arial"/>
                <w:sz w:val="20"/>
                <w:szCs w:val="20"/>
              </w:rPr>
              <w:t>Explanation</w:t>
            </w:r>
            <w:r w:rsidR="00A11C41">
              <w:rPr>
                <w:rFonts w:cs="Arial"/>
                <w:sz w:val="20"/>
                <w:szCs w:val="20"/>
              </w:rPr>
              <w:t>s</w:t>
            </w:r>
            <w:r w:rsidRPr="002668A9">
              <w:rPr>
                <w:rFonts w:cs="Arial"/>
                <w:sz w:val="20"/>
                <w:szCs w:val="20"/>
              </w:rPr>
              <w:t xml:space="preserve"> of</w:t>
            </w:r>
            <w:r w:rsidR="00A16CE6">
              <w:rPr>
                <w:rFonts w:cs="Arial"/>
                <w:sz w:val="20"/>
                <w:szCs w:val="20"/>
              </w:rPr>
              <w:t xml:space="preserve"> the</w:t>
            </w:r>
            <w:r w:rsidRPr="002668A9">
              <w:rPr>
                <w:rFonts w:cs="Arial"/>
                <w:sz w:val="20"/>
                <w:szCs w:val="20"/>
              </w:rPr>
              <w:t xml:space="preserve"> </w:t>
            </w:r>
            <w:r w:rsidR="00A11C41">
              <w:rPr>
                <w:rFonts w:cs="Arial"/>
                <w:sz w:val="20"/>
                <w:szCs w:val="20"/>
              </w:rPr>
              <w:t xml:space="preserve">derivation of the </w:t>
            </w:r>
            <w:r w:rsidRPr="002668A9">
              <w:rPr>
                <w:rFonts w:cs="Arial"/>
                <w:sz w:val="20"/>
                <w:szCs w:val="20"/>
              </w:rPr>
              <w:t xml:space="preserve">Canadian </w:t>
            </w:r>
            <w:r w:rsidR="00A11C41">
              <w:rPr>
                <w:rFonts w:cs="Arial"/>
                <w:sz w:val="20"/>
                <w:szCs w:val="20"/>
              </w:rPr>
              <w:t xml:space="preserve">(ecological guideline </w:t>
            </w:r>
            <w:r w:rsidRPr="002668A9">
              <w:rPr>
                <w:rFonts w:cs="Arial"/>
                <w:sz w:val="20"/>
                <w:szCs w:val="20"/>
              </w:rPr>
              <w:t>value</w:t>
            </w:r>
            <w:r w:rsidR="00A11C41">
              <w:rPr>
                <w:rFonts w:cs="Arial"/>
                <w:sz w:val="20"/>
                <w:szCs w:val="20"/>
              </w:rPr>
              <w:t>s, including</w:t>
            </w:r>
            <w:r w:rsidRPr="002668A9">
              <w:rPr>
                <w:rFonts w:cs="Arial"/>
                <w:sz w:val="20"/>
                <w:szCs w:val="20"/>
              </w:rPr>
              <w:t xml:space="preserve"> </w:t>
            </w:r>
            <w:r w:rsidR="00A16CE6">
              <w:rPr>
                <w:rFonts w:cs="Arial"/>
                <w:sz w:val="20"/>
                <w:szCs w:val="20"/>
              </w:rPr>
              <w:t xml:space="preserve">for indirect ecological soil protection </w:t>
            </w:r>
            <w:r w:rsidR="00A11C41">
              <w:rPr>
                <w:rFonts w:cs="Arial"/>
                <w:sz w:val="20"/>
                <w:szCs w:val="20"/>
              </w:rPr>
              <w:t>have</w:t>
            </w:r>
            <w:r w:rsidR="00A11C41" w:rsidRPr="002668A9">
              <w:rPr>
                <w:rFonts w:cs="Arial"/>
                <w:sz w:val="20"/>
                <w:szCs w:val="20"/>
              </w:rPr>
              <w:t xml:space="preserve"> </w:t>
            </w:r>
            <w:r w:rsidRPr="002668A9">
              <w:rPr>
                <w:rFonts w:cs="Arial"/>
                <w:sz w:val="20"/>
                <w:szCs w:val="20"/>
              </w:rPr>
              <w:t>been included in the NEMP</w:t>
            </w:r>
            <w:r w:rsidR="000527CB">
              <w:rPr>
                <w:rFonts w:cs="Arial"/>
                <w:sz w:val="20"/>
                <w:szCs w:val="20"/>
              </w:rPr>
              <w:t xml:space="preserve"> 2.0</w:t>
            </w:r>
            <w:r w:rsidR="00A16CE6">
              <w:rPr>
                <w:rFonts w:cs="Arial"/>
                <w:sz w:val="20"/>
                <w:szCs w:val="20"/>
              </w:rPr>
              <w:t xml:space="preserve">, including further clarity on how it is to be applied </w:t>
            </w:r>
            <w:r w:rsidR="00DE277A">
              <w:rPr>
                <w:rFonts w:cs="Arial"/>
                <w:sz w:val="20"/>
                <w:szCs w:val="20"/>
              </w:rPr>
              <w:t>and what</w:t>
            </w:r>
            <w:r w:rsidR="00A16CE6">
              <w:rPr>
                <w:rFonts w:cs="Arial"/>
                <w:sz w:val="20"/>
                <w:szCs w:val="20"/>
              </w:rPr>
              <w:t xml:space="preserve"> the criteria </w:t>
            </w:r>
            <w:r w:rsidR="00A11C41">
              <w:rPr>
                <w:rFonts w:cs="Arial"/>
                <w:sz w:val="20"/>
                <w:szCs w:val="20"/>
              </w:rPr>
              <w:t xml:space="preserve">are </w:t>
            </w:r>
            <w:r w:rsidR="00A16CE6">
              <w:rPr>
                <w:rFonts w:cs="Arial"/>
                <w:sz w:val="20"/>
                <w:szCs w:val="20"/>
              </w:rPr>
              <w:t>intended to protect (</w:t>
            </w:r>
            <w:r w:rsidR="000B0C8E">
              <w:rPr>
                <w:rFonts w:cs="Arial"/>
                <w:sz w:val="20"/>
                <w:szCs w:val="20"/>
              </w:rPr>
              <w:t>e.g.</w:t>
            </w:r>
            <w:r w:rsidR="00A11C41">
              <w:rPr>
                <w:rFonts w:cs="Arial"/>
                <w:sz w:val="20"/>
                <w:szCs w:val="20"/>
              </w:rPr>
              <w:t xml:space="preserve"> </w:t>
            </w:r>
            <w:r w:rsidR="00A16CE6">
              <w:rPr>
                <w:rFonts w:cs="Arial"/>
                <w:sz w:val="20"/>
                <w:szCs w:val="20"/>
              </w:rPr>
              <w:t>secondary consumers)</w:t>
            </w:r>
            <w:r w:rsidRPr="002668A9">
              <w:rPr>
                <w:rFonts w:cs="Arial"/>
                <w:sz w:val="20"/>
                <w:szCs w:val="20"/>
              </w:rPr>
              <w:t xml:space="preserve">. </w:t>
            </w:r>
            <w:r w:rsidR="00551619">
              <w:rPr>
                <w:rFonts w:cs="Arial"/>
                <w:sz w:val="20"/>
                <w:szCs w:val="20"/>
              </w:rPr>
              <w:t>The preparation of a</w:t>
            </w:r>
            <w:r w:rsidRPr="002668A9">
              <w:rPr>
                <w:rFonts w:cs="Arial"/>
                <w:sz w:val="20"/>
                <w:szCs w:val="20"/>
              </w:rPr>
              <w:t xml:space="preserve"> technical report is </w:t>
            </w:r>
            <w:r w:rsidR="00551619">
              <w:rPr>
                <w:rFonts w:cs="Arial"/>
                <w:sz w:val="20"/>
                <w:szCs w:val="20"/>
              </w:rPr>
              <w:t>underway</w:t>
            </w:r>
            <w:r w:rsidR="00551619" w:rsidRPr="002668A9">
              <w:rPr>
                <w:rFonts w:cs="Arial"/>
                <w:sz w:val="20"/>
                <w:szCs w:val="20"/>
              </w:rPr>
              <w:t xml:space="preserve"> </w:t>
            </w:r>
            <w:r w:rsidRPr="002668A9">
              <w:rPr>
                <w:rFonts w:cs="Arial"/>
                <w:sz w:val="20"/>
                <w:szCs w:val="20"/>
              </w:rPr>
              <w:t>and this will be add</w:t>
            </w:r>
            <w:r w:rsidR="003D4B71">
              <w:rPr>
                <w:rFonts w:cs="Arial"/>
                <w:sz w:val="20"/>
                <w:szCs w:val="20"/>
              </w:rPr>
              <w:t>ressed further in future works.</w:t>
            </w:r>
            <w:r w:rsidRPr="002668A9">
              <w:rPr>
                <w:rFonts w:cs="Arial"/>
                <w:sz w:val="20"/>
                <w:szCs w:val="20"/>
              </w:rPr>
              <w:t xml:space="preserve"> Some additional background on rationale and selection of the ecological criteria has been added.</w:t>
            </w:r>
          </w:p>
        </w:tc>
      </w:tr>
      <w:tr w:rsidR="002668A9" w:rsidRPr="002668A9" w14:paraId="00D8F093" w14:textId="77777777" w:rsidTr="00681106">
        <w:trPr>
          <w:trHeight w:val="504"/>
        </w:trPr>
        <w:tc>
          <w:tcPr>
            <w:tcW w:w="781" w:type="pct"/>
            <w:vMerge/>
            <w:shd w:val="clear" w:color="auto" w:fill="auto"/>
          </w:tcPr>
          <w:p w14:paraId="50697C29" w14:textId="77777777" w:rsidR="002668A9" w:rsidRPr="002668A9" w:rsidRDefault="002668A9" w:rsidP="00D75095">
            <w:pPr>
              <w:rPr>
                <w:rFonts w:cs="Arial"/>
                <w:sz w:val="20"/>
                <w:szCs w:val="20"/>
              </w:rPr>
            </w:pPr>
          </w:p>
        </w:tc>
        <w:tc>
          <w:tcPr>
            <w:tcW w:w="1290" w:type="pct"/>
            <w:vMerge/>
          </w:tcPr>
          <w:p w14:paraId="79CCFEBE" w14:textId="77777777" w:rsidR="002668A9" w:rsidRPr="002668A9" w:rsidRDefault="002668A9" w:rsidP="00D75095">
            <w:pPr>
              <w:rPr>
                <w:rFonts w:cs="Arial"/>
                <w:sz w:val="20"/>
                <w:szCs w:val="20"/>
              </w:rPr>
            </w:pPr>
          </w:p>
        </w:tc>
        <w:tc>
          <w:tcPr>
            <w:tcW w:w="921" w:type="pct"/>
            <w:vMerge/>
          </w:tcPr>
          <w:p w14:paraId="4855B4A9"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1B009821" w14:textId="77777777" w:rsidR="002668A9" w:rsidRPr="002668A9" w:rsidRDefault="002668A9" w:rsidP="00D75095">
            <w:pPr>
              <w:rPr>
                <w:rFonts w:cs="Arial"/>
                <w:sz w:val="20"/>
                <w:szCs w:val="20"/>
              </w:rPr>
            </w:pPr>
          </w:p>
        </w:tc>
      </w:tr>
      <w:tr w:rsidR="002668A9" w:rsidRPr="002668A9" w14:paraId="63BB9A88" w14:textId="77777777" w:rsidTr="00681106">
        <w:trPr>
          <w:trHeight w:val="504"/>
        </w:trPr>
        <w:tc>
          <w:tcPr>
            <w:tcW w:w="781" w:type="pct"/>
            <w:vMerge/>
            <w:shd w:val="clear" w:color="auto" w:fill="auto"/>
          </w:tcPr>
          <w:p w14:paraId="1D91EEED" w14:textId="77777777" w:rsidR="002668A9" w:rsidRPr="002668A9" w:rsidRDefault="002668A9" w:rsidP="00D75095">
            <w:pPr>
              <w:rPr>
                <w:rFonts w:cs="Arial"/>
                <w:sz w:val="20"/>
                <w:szCs w:val="20"/>
              </w:rPr>
            </w:pPr>
          </w:p>
        </w:tc>
        <w:tc>
          <w:tcPr>
            <w:tcW w:w="1290" w:type="pct"/>
            <w:vMerge/>
          </w:tcPr>
          <w:p w14:paraId="0287C46F" w14:textId="77777777" w:rsidR="002668A9" w:rsidRPr="002668A9" w:rsidRDefault="002668A9" w:rsidP="00D75095">
            <w:pPr>
              <w:rPr>
                <w:rFonts w:cs="Arial"/>
                <w:sz w:val="20"/>
                <w:szCs w:val="20"/>
              </w:rPr>
            </w:pPr>
          </w:p>
        </w:tc>
        <w:tc>
          <w:tcPr>
            <w:tcW w:w="921" w:type="pct"/>
            <w:vMerge/>
          </w:tcPr>
          <w:p w14:paraId="2D877622"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40CBC118" w14:textId="77777777" w:rsidR="002668A9" w:rsidRPr="002668A9" w:rsidRDefault="002668A9" w:rsidP="00D75095">
            <w:pPr>
              <w:rPr>
                <w:rFonts w:cs="Arial"/>
                <w:sz w:val="20"/>
                <w:szCs w:val="20"/>
              </w:rPr>
            </w:pPr>
          </w:p>
        </w:tc>
      </w:tr>
      <w:tr w:rsidR="002668A9" w:rsidRPr="002668A9" w14:paraId="5D6CAD63" w14:textId="77777777" w:rsidTr="00681106">
        <w:trPr>
          <w:trHeight w:val="464"/>
        </w:trPr>
        <w:tc>
          <w:tcPr>
            <w:tcW w:w="781" w:type="pct"/>
            <w:vMerge w:val="restart"/>
            <w:shd w:val="clear" w:color="auto" w:fill="auto"/>
          </w:tcPr>
          <w:p w14:paraId="2F244FA4" w14:textId="6AFB9D4A" w:rsidR="002668A9" w:rsidRPr="002668A9" w:rsidRDefault="002668A9" w:rsidP="00D75095">
            <w:pPr>
              <w:rPr>
                <w:rFonts w:cs="Arial"/>
                <w:sz w:val="20"/>
                <w:szCs w:val="20"/>
              </w:rPr>
            </w:pPr>
            <w:r w:rsidRPr="002668A9">
              <w:rPr>
                <w:rFonts w:cs="Arial"/>
                <w:sz w:val="20"/>
                <w:szCs w:val="20"/>
              </w:rPr>
              <w:t xml:space="preserve">Clarification of </w:t>
            </w:r>
            <w:r w:rsidR="00A11C41">
              <w:rPr>
                <w:rFonts w:cs="Arial"/>
                <w:sz w:val="20"/>
                <w:szCs w:val="20"/>
              </w:rPr>
              <w:t xml:space="preserve">the </w:t>
            </w:r>
            <w:r w:rsidRPr="002668A9">
              <w:rPr>
                <w:rFonts w:cs="Arial"/>
                <w:sz w:val="20"/>
                <w:szCs w:val="20"/>
              </w:rPr>
              <w:t xml:space="preserve">bird egg </w:t>
            </w:r>
            <w:r w:rsidR="00A11C41">
              <w:rPr>
                <w:rFonts w:cs="Arial"/>
                <w:sz w:val="20"/>
                <w:szCs w:val="20"/>
              </w:rPr>
              <w:t xml:space="preserve">ecological guideline </w:t>
            </w:r>
            <w:r w:rsidRPr="002668A9">
              <w:rPr>
                <w:rFonts w:cs="Arial"/>
                <w:sz w:val="20"/>
                <w:szCs w:val="20"/>
              </w:rPr>
              <w:t>value</w:t>
            </w:r>
          </w:p>
        </w:tc>
        <w:tc>
          <w:tcPr>
            <w:tcW w:w="1290" w:type="pct"/>
            <w:vMerge w:val="restart"/>
          </w:tcPr>
          <w:p w14:paraId="1F100033" w14:textId="6B3E0FC1" w:rsidR="002668A9" w:rsidRPr="002668A9" w:rsidRDefault="002668A9" w:rsidP="00D75095">
            <w:pPr>
              <w:rPr>
                <w:rFonts w:cs="Arial"/>
                <w:sz w:val="20"/>
                <w:szCs w:val="20"/>
              </w:rPr>
            </w:pPr>
            <w:r w:rsidRPr="002668A9">
              <w:rPr>
                <w:rFonts w:cs="Arial"/>
                <w:sz w:val="20"/>
                <w:szCs w:val="20"/>
              </w:rPr>
              <w:t>Editorial suggestions regarding Table 4, including identification of a typo in one of the units.</w:t>
            </w:r>
          </w:p>
          <w:p w14:paraId="43E47227" w14:textId="77777777" w:rsidR="002668A9" w:rsidRPr="002668A9" w:rsidRDefault="002668A9" w:rsidP="00D75095">
            <w:pPr>
              <w:rPr>
                <w:rFonts w:cs="Arial"/>
                <w:sz w:val="20"/>
                <w:szCs w:val="20"/>
              </w:rPr>
            </w:pPr>
            <w:r w:rsidRPr="002668A9">
              <w:rPr>
                <w:rFonts w:cs="Arial"/>
                <w:sz w:val="20"/>
                <w:szCs w:val="20"/>
              </w:rPr>
              <w:t>Requests for background information for the proposed changes in the bird egg value.</w:t>
            </w:r>
          </w:p>
          <w:p w14:paraId="2DFC22E7" w14:textId="77777777" w:rsidR="002668A9" w:rsidRPr="002668A9" w:rsidRDefault="002668A9" w:rsidP="00D75095">
            <w:pPr>
              <w:rPr>
                <w:rFonts w:cs="Arial"/>
                <w:sz w:val="20"/>
                <w:szCs w:val="20"/>
              </w:rPr>
            </w:pPr>
            <w:r w:rsidRPr="002668A9">
              <w:rPr>
                <w:rFonts w:cs="Arial"/>
                <w:sz w:val="20"/>
                <w:szCs w:val="20"/>
              </w:rPr>
              <w:t>Seeking clarification on the use and appropriateness of a bird egg value including endangered species.</w:t>
            </w:r>
          </w:p>
        </w:tc>
        <w:tc>
          <w:tcPr>
            <w:tcW w:w="921" w:type="pct"/>
            <w:vMerge w:val="restart"/>
          </w:tcPr>
          <w:p w14:paraId="5D50858D" w14:textId="77777777" w:rsidR="0053563F" w:rsidRPr="002668A9" w:rsidRDefault="0053563F" w:rsidP="00D75095">
            <w:pPr>
              <w:rPr>
                <w:rFonts w:cs="Arial"/>
                <w:sz w:val="20"/>
                <w:szCs w:val="20"/>
              </w:rPr>
            </w:pPr>
            <w:r>
              <w:rPr>
                <w:rFonts w:cs="Arial"/>
                <w:sz w:val="20"/>
                <w:szCs w:val="20"/>
              </w:rPr>
              <w:t>Australasian Land and Groundwater Association – submission 1</w:t>
            </w:r>
          </w:p>
          <w:p w14:paraId="75205E0B" w14:textId="77777777" w:rsidR="0053563F" w:rsidRPr="002668A9" w:rsidRDefault="0053563F" w:rsidP="00D75095">
            <w:pPr>
              <w:rPr>
                <w:rFonts w:cs="Arial"/>
                <w:sz w:val="20"/>
                <w:szCs w:val="20"/>
              </w:rPr>
            </w:pPr>
            <w:r>
              <w:rPr>
                <w:rFonts w:cs="Arial"/>
                <w:sz w:val="20"/>
                <w:szCs w:val="20"/>
              </w:rPr>
              <w:t>Brisbane Airport Corporation</w:t>
            </w:r>
          </w:p>
          <w:p w14:paraId="75C4B471" w14:textId="77777777" w:rsidR="0053563F" w:rsidRPr="002668A9" w:rsidRDefault="0053563F" w:rsidP="00D75095">
            <w:pPr>
              <w:rPr>
                <w:rFonts w:cs="Arial"/>
                <w:sz w:val="20"/>
                <w:szCs w:val="20"/>
              </w:rPr>
            </w:pPr>
            <w:r>
              <w:rPr>
                <w:rFonts w:cs="Arial"/>
                <w:sz w:val="20"/>
                <w:szCs w:val="20"/>
              </w:rPr>
              <w:t>ExxonMobil Australia</w:t>
            </w:r>
          </w:p>
          <w:p w14:paraId="164B5B59" w14:textId="77777777" w:rsidR="0053563F" w:rsidRDefault="0053563F" w:rsidP="00D75095">
            <w:pPr>
              <w:rPr>
                <w:rFonts w:cs="Arial"/>
                <w:sz w:val="20"/>
                <w:szCs w:val="20"/>
              </w:rPr>
            </w:pPr>
            <w:r>
              <w:rPr>
                <w:rFonts w:cs="Arial"/>
                <w:sz w:val="20"/>
                <w:szCs w:val="20"/>
              </w:rPr>
              <w:t>NZ Ministry for the Environment</w:t>
            </w:r>
          </w:p>
          <w:p w14:paraId="246F6640" w14:textId="63FC2864" w:rsidR="002668A9" w:rsidRPr="002668A9" w:rsidRDefault="0053563F" w:rsidP="00D75095">
            <w:pPr>
              <w:rPr>
                <w:rFonts w:cs="Arial"/>
                <w:sz w:val="20"/>
                <w:szCs w:val="20"/>
              </w:rPr>
            </w:pPr>
            <w:r>
              <w:rPr>
                <w:rFonts w:cs="Arial"/>
                <w:sz w:val="20"/>
                <w:szCs w:val="20"/>
              </w:rPr>
              <w:t>Queensland Airports Ltd</w:t>
            </w:r>
          </w:p>
        </w:tc>
        <w:tc>
          <w:tcPr>
            <w:tcW w:w="2008" w:type="pct"/>
            <w:vMerge w:val="restart"/>
            <w:shd w:val="clear" w:color="auto" w:fill="auto"/>
            <w:tcMar>
              <w:top w:w="0" w:type="dxa"/>
              <w:left w:w="108" w:type="dxa"/>
              <w:bottom w:w="0" w:type="dxa"/>
              <w:right w:w="108" w:type="dxa"/>
            </w:tcMar>
          </w:tcPr>
          <w:p w14:paraId="60B272A6" w14:textId="2201AC74" w:rsidR="002668A9" w:rsidRPr="002668A9" w:rsidRDefault="002668A9" w:rsidP="00D75095">
            <w:pPr>
              <w:rPr>
                <w:rFonts w:cs="Arial"/>
                <w:sz w:val="20"/>
                <w:szCs w:val="20"/>
              </w:rPr>
            </w:pPr>
            <w:r w:rsidRPr="002668A9">
              <w:rPr>
                <w:rFonts w:cs="Arial"/>
                <w:sz w:val="20"/>
                <w:szCs w:val="20"/>
              </w:rPr>
              <w:t xml:space="preserve">Additional text has been included in the NEMP </w:t>
            </w:r>
            <w:r w:rsidR="000527CB">
              <w:rPr>
                <w:rFonts w:cs="Arial"/>
                <w:sz w:val="20"/>
                <w:szCs w:val="20"/>
              </w:rPr>
              <w:t xml:space="preserve">2.0 </w:t>
            </w:r>
            <w:r w:rsidRPr="002668A9">
              <w:rPr>
                <w:rFonts w:cs="Arial"/>
                <w:sz w:val="20"/>
                <w:szCs w:val="20"/>
              </w:rPr>
              <w:t xml:space="preserve">explaining why an additional safety factor was applied (due to limited data and uncertainty). </w:t>
            </w:r>
            <w:r w:rsidR="00A16CE6">
              <w:rPr>
                <w:rFonts w:cs="Arial"/>
                <w:sz w:val="20"/>
                <w:szCs w:val="20"/>
              </w:rPr>
              <w:t>T</w:t>
            </w:r>
            <w:r w:rsidRPr="002668A9">
              <w:rPr>
                <w:rFonts w:cs="Arial"/>
                <w:sz w:val="20"/>
                <w:szCs w:val="20"/>
              </w:rPr>
              <w:t>he unit typo was fixed.</w:t>
            </w:r>
          </w:p>
          <w:p w14:paraId="38E53C7F" w14:textId="646B8145" w:rsidR="002668A9" w:rsidRPr="002668A9" w:rsidRDefault="002668A9" w:rsidP="00D75095">
            <w:pPr>
              <w:rPr>
                <w:rFonts w:cs="Arial"/>
                <w:sz w:val="20"/>
                <w:szCs w:val="20"/>
              </w:rPr>
            </w:pPr>
            <w:r w:rsidRPr="002668A9">
              <w:rPr>
                <w:rFonts w:cs="Arial"/>
                <w:sz w:val="20"/>
                <w:szCs w:val="20"/>
              </w:rPr>
              <w:t xml:space="preserve">More information has been provided in the NEMP </w:t>
            </w:r>
            <w:r w:rsidR="000527CB">
              <w:rPr>
                <w:rFonts w:cs="Arial"/>
                <w:sz w:val="20"/>
                <w:szCs w:val="20"/>
              </w:rPr>
              <w:t xml:space="preserve">2.0 </w:t>
            </w:r>
            <w:r w:rsidRPr="002668A9">
              <w:rPr>
                <w:rFonts w:cs="Arial"/>
                <w:sz w:val="20"/>
                <w:szCs w:val="20"/>
              </w:rPr>
              <w:t>on the use of the bird egg value, along with the other wildlife values.</w:t>
            </w:r>
          </w:p>
          <w:p w14:paraId="4D4EA715" w14:textId="77777777" w:rsidR="002668A9" w:rsidRPr="002668A9" w:rsidRDefault="002668A9" w:rsidP="00D75095">
            <w:pPr>
              <w:rPr>
                <w:rFonts w:cs="Arial"/>
                <w:sz w:val="20"/>
                <w:szCs w:val="20"/>
              </w:rPr>
            </w:pPr>
            <w:r w:rsidRPr="002668A9">
              <w:rPr>
                <w:rFonts w:cs="Arial"/>
                <w:sz w:val="20"/>
                <w:szCs w:val="20"/>
              </w:rPr>
              <w:t xml:space="preserve">The Canadian guidelines refer to whole egg - this has been clarified in the table. </w:t>
            </w:r>
          </w:p>
        </w:tc>
      </w:tr>
      <w:tr w:rsidR="002668A9" w:rsidRPr="002668A9" w14:paraId="054A1774" w14:textId="77777777" w:rsidTr="00681106">
        <w:trPr>
          <w:trHeight w:val="464"/>
        </w:trPr>
        <w:tc>
          <w:tcPr>
            <w:tcW w:w="781" w:type="pct"/>
            <w:vMerge/>
            <w:shd w:val="clear" w:color="auto" w:fill="auto"/>
          </w:tcPr>
          <w:p w14:paraId="2D44AA39" w14:textId="77777777" w:rsidR="002668A9" w:rsidRPr="002668A9" w:rsidRDefault="002668A9" w:rsidP="00D75095">
            <w:pPr>
              <w:rPr>
                <w:rFonts w:cs="Arial"/>
                <w:sz w:val="20"/>
                <w:szCs w:val="20"/>
              </w:rPr>
            </w:pPr>
          </w:p>
        </w:tc>
        <w:tc>
          <w:tcPr>
            <w:tcW w:w="1290" w:type="pct"/>
            <w:vMerge/>
          </w:tcPr>
          <w:p w14:paraId="3E431ED4" w14:textId="77777777" w:rsidR="002668A9" w:rsidRPr="002668A9" w:rsidRDefault="002668A9" w:rsidP="00D75095">
            <w:pPr>
              <w:rPr>
                <w:rFonts w:cs="Arial"/>
                <w:sz w:val="20"/>
                <w:szCs w:val="20"/>
              </w:rPr>
            </w:pPr>
          </w:p>
        </w:tc>
        <w:tc>
          <w:tcPr>
            <w:tcW w:w="921" w:type="pct"/>
            <w:vMerge/>
          </w:tcPr>
          <w:p w14:paraId="300287DA" w14:textId="77777777" w:rsidR="002668A9" w:rsidRPr="002668A9" w:rsidRDefault="002668A9" w:rsidP="00D75095">
            <w:pPr>
              <w:rPr>
                <w:rFonts w:cs="Arial"/>
                <w:sz w:val="20"/>
                <w:szCs w:val="20"/>
              </w:rPr>
            </w:pPr>
          </w:p>
        </w:tc>
        <w:tc>
          <w:tcPr>
            <w:tcW w:w="2008" w:type="pct"/>
            <w:vMerge/>
            <w:shd w:val="clear" w:color="auto" w:fill="auto"/>
            <w:tcMar>
              <w:top w:w="0" w:type="dxa"/>
              <w:left w:w="108" w:type="dxa"/>
              <w:bottom w:w="0" w:type="dxa"/>
              <w:right w:w="108" w:type="dxa"/>
            </w:tcMar>
          </w:tcPr>
          <w:p w14:paraId="6C22920E" w14:textId="77777777" w:rsidR="002668A9" w:rsidRPr="002668A9" w:rsidRDefault="002668A9" w:rsidP="00D75095">
            <w:pPr>
              <w:rPr>
                <w:rFonts w:cs="Arial"/>
                <w:sz w:val="20"/>
                <w:szCs w:val="20"/>
              </w:rPr>
            </w:pPr>
          </w:p>
        </w:tc>
      </w:tr>
      <w:tr w:rsidR="002668A9" w:rsidRPr="002668A9" w14:paraId="52BB6489" w14:textId="77777777" w:rsidTr="00681106">
        <w:trPr>
          <w:trHeight w:val="504"/>
        </w:trPr>
        <w:tc>
          <w:tcPr>
            <w:tcW w:w="781" w:type="pct"/>
            <w:vMerge/>
            <w:shd w:val="clear" w:color="auto" w:fill="auto"/>
          </w:tcPr>
          <w:p w14:paraId="06727411" w14:textId="77777777" w:rsidR="002668A9" w:rsidRPr="002668A9" w:rsidRDefault="002668A9" w:rsidP="00D75095">
            <w:pPr>
              <w:rPr>
                <w:rFonts w:cs="Arial"/>
                <w:sz w:val="20"/>
                <w:szCs w:val="20"/>
              </w:rPr>
            </w:pPr>
          </w:p>
        </w:tc>
        <w:tc>
          <w:tcPr>
            <w:tcW w:w="1290" w:type="pct"/>
            <w:vMerge/>
          </w:tcPr>
          <w:p w14:paraId="6FDB691E" w14:textId="77777777" w:rsidR="002668A9" w:rsidRPr="002668A9" w:rsidRDefault="002668A9" w:rsidP="00D75095">
            <w:pPr>
              <w:rPr>
                <w:rFonts w:cs="Arial"/>
                <w:sz w:val="20"/>
                <w:szCs w:val="20"/>
              </w:rPr>
            </w:pPr>
          </w:p>
        </w:tc>
        <w:tc>
          <w:tcPr>
            <w:tcW w:w="921" w:type="pct"/>
            <w:vMerge/>
          </w:tcPr>
          <w:p w14:paraId="4F5CA5E6"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30554817" w14:textId="77777777" w:rsidR="002668A9" w:rsidRPr="002668A9" w:rsidRDefault="002668A9" w:rsidP="00D75095">
            <w:pPr>
              <w:rPr>
                <w:rFonts w:cs="Arial"/>
                <w:sz w:val="20"/>
                <w:szCs w:val="20"/>
              </w:rPr>
            </w:pPr>
          </w:p>
        </w:tc>
      </w:tr>
      <w:tr w:rsidR="002668A9" w:rsidRPr="002668A9" w14:paraId="268530D7" w14:textId="77777777" w:rsidTr="00681106">
        <w:trPr>
          <w:trHeight w:val="464"/>
        </w:trPr>
        <w:tc>
          <w:tcPr>
            <w:tcW w:w="781" w:type="pct"/>
            <w:vMerge w:val="restart"/>
            <w:shd w:val="clear" w:color="auto" w:fill="auto"/>
          </w:tcPr>
          <w:p w14:paraId="7A0CAEDD" w14:textId="2FCD2818" w:rsidR="002668A9" w:rsidRPr="002668A9" w:rsidRDefault="002668A9" w:rsidP="00D75095">
            <w:pPr>
              <w:rPr>
                <w:rFonts w:cs="Arial"/>
                <w:sz w:val="20"/>
                <w:szCs w:val="20"/>
              </w:rPr>
            </w:pPr>
            <w:r w:rsidRPr="002668A9">
              <w:rPr>
                <w:rFonts w:cs="Arial"/>
                <w:sz w:val="20"/>
                <w:szCs w:val="20"/>
              </w:rPr>
              <w:t xml:space="preserve">Clarification of </w:t>
            </w:r>
            <w:r w:rsidR="00A11C41">
              <w:rPr>
                <w:rFonts w:cs="Arial"/>
                <w:sz w:val="20"/>
                <w:szCs w:val="20"/>
              </w:rPr>
              <w:t xml:space="preserve">the </w:t>
            </w:r>
            <w:r w:rsidR="00A11C41" w:rsidRPr="002668A9">
              <w:rPr>
                <w:rFonts w:cs="Arial"/>
                <w:sz w:val="20"/>
                <w:szCs w:val="20"/>
              </w:rPr>
              <w:t xml:space="preserve">soil </w:t>
            </w:r>
            <w:r w:rsidRPr="002668A9">
              <w:rPr>
                <w:rFonts w:cs="Arial"/>
                <w:sz w:val="20"/>
                <w:szCs w:val="20"/>
              </w:rPr>
              <w:t>ecological guideline value</w:t>
            </w:r>
          </w:p>
        </w:tc>
        <w:tc>
          <w:tcPr>
            <w:tcW w:w="1290" w:type="pct"/>
            <w:vMerge w:val="restart"/>
          </w:tcPr>
          <w:p w14:paraId="539D3EFB" w14:textId="77777777" w:rsidR="002668A9" w:rsidRPr="002668A9" w:rsidRDefault="002668A9" w:rsidP="00D75095">
            <w:pPr>
              <w:rPr>
                <w:rFonts w:cs="Arial"/>
                <w:sz w:val="20"/>
                <w:szCs w:val="20"/>
              </w:rPr>
            </w:pPr>
            <w:r w:rsidRPr="002668A9">
              <w:rPr>
                <w:rFonts w:cs="Arial"/>
                <w:sz w:val="20"/>
                <w:szCs w:val="20"/>
              </w:rPr>
              <w:t>Comments on the ecological soil guideline values:</w:t>
            </w:r>
          </w:p>
          <w:p w14:paraId="52861633" w14:textId="254D4C19" w:rsidR="002668A9" w:rsidRPr="002668A9" w:rsidRDefault="002668A9" w:rsidP="00D75095">
            <w:pPr>
              <w:rPr>
                <w:rFonts w:cs="Arial"/>
                <w:sz w:val="20"/>
                <w:szCs w:val="20"/>
              </w:rPr>
            </w:pPr>
            <w:r w:rsidRPr="002668A9">
              <w:rPr>
                <w:rFonts w:cs="Arial"/>
                <w:sz w:val="20"/>
                <w:szCs w:val="20"/>
              </w:rPr>
              <w:t>- indicated a preference for higher guideline values (</w:t>
            </w:r>
            <w:r w:rsidR="000B0C8E">
              <w:rPr>
                <w:rFonts w:cs="Arial"/>
                <w:sz w:val="20"/>
                <w:szCs w:val="20"/>
              </w:rPr>
              <w:t>i</w:t>
            </w:r>
            <w:r w:rsidR="000B0C8E" w:rsidRPr="002668A9">
              <w:rPr>
                <w:rFonts w:cs="Arial"/>
                <w:sz w:val="20"/>
                <w:szCs w:val="20"/>
              </w:rPr>
              <w:t>.e.</w:t>
            </w:r>
            <w:r w:rsidRPr="002668A9">
              <w:rPr>
                <w:rFonts w:cs="Arial"/>
                <w:sz w:val="20"/>
                <w:szCs w:val="20"/>
              </w:rPr>
              <w:t xml:space="preserve"> less protective) for land classified as industrial/commercial land;</w:t>
            </w:r>
          </w:p>
          <w:p w14:paraId="7D0E7565" w14:textId="77777777" w:rsidR="002668A9" w:rsidRPr="002668A9" w:rsidRDefault="002668A9" w:rsidP="00D75095">
            <w:pPr>
              <w:rPr>
                <w:rFonts w:cs="Arial"/>
                <w:sz w:val="20"/>
                <w:szCs w:val="20"/>
              </w:rPr>
            </w:pPr>
            <w:r w:rsidRPr="002668A9">
              <w:rPr>
                <w:rFonts w:cs="Arial"/>
                <w:sz w:val="20"/>
                <w:szCs w:val="20"/>
              </w:rPr>
              <w:t xml:space="preserve">- reflected confusion about the removal of land use categories that were not considered relevant for their intended purpose; </w:t>
            </w:r>
          </w:p>
          <w:p w14:paraId="2EBA9FD9" w14:textId="7EC22EDE" w:rsidR="002668A9" w:rsidRPr="002668A9" w:rsidRDefault="002668A9" w:rsidP="00D75095">
            <w:pPr>
              <w:rPr>
                <w:rFonts w:cs="Arial"/>
                <w:sz w:val="20"/>
                <w:szCs w:val="20"/>
              </w:rPr>
            </w:pPr>
            <w:r w:rsidRPr="002668A9">
              <w:rPr>
                <w:rFonts w:cs="Arial"/>
                <w:sz w:val="20"/>
                <w:szCs w:val="20"/>
              </w:rPr>
              <w:lastRenderedPageBreak/>
              <w:t>- sought clarification on the changed status of the 0.14 mg/kg guideline valu</w:t>
            </w:r>
            <w:r w:rsidR="00E75F40">
              <w:rPr>
                <w:rFonts w:cs="Arial"/>
                <w:sz w:val="20"/>
                <w:szCs w:val="20"/>
              </w:rPr>
              <w:t>e</w:t>
            </w:r>
            <w:r w:rsidR="00480D4D">
              <w:rPr>
                <w:rFonts w:cs="Arial"/>
                <w:sz w:val="20"/>
                <w:szCs w:val="20"/>
              </w:rPr>
              <w:t>;</w:t>
            </w:r>
          </w:p>
          <w:p w14:paraId="1D59515D" w14:textId="79C57BA2" w:rsidR="000E7B79" w:rsidRDefault="002668A9" w:rsidP="00D75095">
            <w:pPr>
              <w:rPr>
                <w:rFonts w:cs="Arial"/>
                <w:sz w:val="20"/>
                <w:szCs w:val="20"/>
              </w:rPr>
            </w:pPr>
            <w:r w:rsidRPr="002668A9">
              <w:rPr>
                <w:rFonts w:cs="Arial"/>
                <w:sz w:val="20"/>
                <w:szCs w:val="20"/>
              </w:rPr>
              <w:t>-pointed out risk assessments take time and are a cost for industry</w:t>
            </w:r>
            <w:r w:rsidR="00E75F40">
              <w:rPr>
                <w:rFonts w:cs="Arial"/>
                <w:sz w:val="20"/>
                <w:szCs w:val="20"/>
              </w:rPr>
              <w:t>; and</w:t>
            </w:r>
          </w:p>
          <w:p w14:paraId="2824EE43" w14:textId="02980919" w:rsidR="00E75F40" w:rsidRDefault="00E75F40" w:rsidP="00D75095">
            <w:pPr>
              <w:rPr>
                <w:rFonts w:cs="Arial"/>
                <w:sz w:val="20"/>
                <w:szCs w:val="20"/>
              </w:rPr>
            </w:pPr>
            <w:r>
              <w:rPr>
                <w:rFonts w:cs="Arial"/>
                <w:sz w:val="20"/>
                <w:szCs w:val="20"/>
              </w:rPr>
              <w:t>- raised concern the screening value would be used as a default remediation criteria</w:t>
            </w:r>
          </w:p>
          <w:p w14:paraId="489320EC" w14:textId="29349FF3" w:rsidR="002668A9" w:rsidRPr="002668A9" w:rsidRDefault="009801B3" w:rsidP="00D75095">
            <w:pPr>
              <w:rPr>
                <w:rFonts w:cs="Arial"/>
                <w:sz w:val="20"/>
                <w:szCs w:val="20"/>
              </w:rPr>
            </w:pPr>
            <w:r>
              <w:rPr>
                <w:rFonts w:cs="Arial"/>
                <w:sz w:val="20"/>
                <w:szCs w:val="20"/>
              </w:rPr>
              <w:t>-</w:t>
            </w:r>
            <w:r w:rsidR="000E7B79">
              <w:rPr>
                <w:rFonts w:cs="Arial"/>
                <w:sz w:val="20"/>
                <w:szCs w:val="20"/>
              </w:rPr>
              <w:t xml:space="preserve"> </w:t>
            </w:r>
            <w:r>
              <w:rPr>
                <w:rFonts w:cs="Arial"/>
                <w:sz w:val="20"/>
                <w:szCs w:val="20"/>
              </w:rPr>
              <w:t xml:space="preserve">Comment sought </w:t>
            </w:r>
            <w:r w:rsidR="000E7B79">
              <w:rPr>
                <w:rFonts w:cs="Arial"/>
                <w:sz w:val="20"/>
                <w:szCs w:val="20"/>
              </w:rPr>
              <w:t xml:space="preserve">regulatory impact analysis to be </w:t>
            </w:r>
            <w:r>
              <w:rPr>
                <w:rFonts w:cs="Arial"/>
                <w:sz w:val="20"/>
                <w:szCs w:val="20"/>
              </w:rPr>
              <w:t>undertaken</w:t>
            </w:r>
          </w:p>
          <w:p w14:paraId="4F62D673" w14:textId="77777777" w:rsidR="002668A9" w:rsidRPr="002668A9" w:rsidRDefault="002668A9" w:rsidP="00D75095">
            <w:pPr>
              <w:rPr>
                <w:rFonts w:cs="Arial"/>
                <w:sz w:val="20"/>
                <w:szCs w:val="20"/>
              </w:rPr>
            </w:pPr>
            <w:r w:rsidRPr="002668A9">
              <w:rPr>
                <w:rFonts w:cs="Arial"/>
                <w:sz w:val="20"/>
                <w:szCs w:val="20"/>
              </w:rPr>
              <w:t>Extensive feedback also relevant to this theme is summarised elsewhere in this document in Section D on implementation of NEMP 1.0 and on regulatory policy.</w:t>
            </w:r>
          </w:p>
        </w:tc>
        <w:tc>
          <w:tcPr>
            <w:tcW w:w="921" w:type="pct"/>
            <w:vMerge w:val="restart"/>
          </w:tcPr>
          <w:p w14:paraId="352ED0B2" w14:textId="77777777" w:rsidR="006B3A71" w:rsidRDefault="006B3A71" w:rsidP="00D75095">
            <w:pPr>
              <w:rPr>
                <w:rFonts w:cs="Arial"/>
                <w:sz w:val="20"/>
                <w:szCs w:val="20"/>
              </w:rPr>
            </w:pPr>
            <w:r>
              <w:rPr>
                <w:rFonts w:cs="Arial"/>
                <w:sz w:val="20"/>
                <w:szCs w:val="20"/>
              </w:rPr>
              <w:lastRenderedPageBreak/>
              <w:t>Australasian Land and Groundwater Association – submissions 1 and 2</w:t>
            </w:r>
          </w:p>
          <w:p w14:paraId="60091F1E" w14:textId="77777777" w:rsidR="006B3A71" w:rsidRPr="002668A9" w:rsidRDefault="006B3A71" w:rsidP="00D75095">
            <w:pPr>
              <w:rPr>
                <w:rFonts w:cs="Arial"/>
                <w:sz w:val="20"/>
                <w:szCs w:val="20"/>
              </w:rPr>
            </w:pPr>
            <w:r>
              <w:rPr>
                <w:rFonts w:cs="Arial"/>
                <w:sz w:val="20"/>
                <w:szCs w:val="20"/>
              </w:rPr>
              <w:t>Australian Government - DITCRD</w:t>
            </w:r>
          </w:p>
          <w:p w14:paraId="58FBB5A9" w14:textId="77777777" w:rsidR="006B3A71" w:rsidRPr="002668A9" w:rsidRDefault="006B3A71" w:rsidP="00D75095">
            <w:pPr>
              <w:rPr>
                <w:rFonts w:cs="Arial"/>
                <w:sz w:val="20"/>
                <w:szCs w:val="20"/>
              </w:rPr>
            </w:pPr>
            <w:r>
              <w:rPr>
                <w:rFonts w:cs="Arial"/>
                <w:sz w:val="20"/>
                <w:szCs w:val="20"/>
              </w:rPr>
              <w:t>BP Australia</w:t>
            </w:r>
          </w:p>
          <w:p w14:paraId="4B750696" w14:textId="77777777" w:rsidR="006B3A71" w:rsidRDefault="006B3A71" w:rsidP="00D75095">
            <w:pPr>
              <w:rPr>
                <w:rFonts w:cs="Arial"/>
                <w:sz w:val="20"/>
                <w:szCs w:val="20"/>
              </w:rPr>
            </w:pPr>
            <w:r>
              <w:rPr>
                <w:rFonts w:cs="Arial"/>
                <w:sz w:val="20"/>
                <w:szCs w:val="20"/>
              </w:rPr>
              <w:t>Canberra Airport</w:t>
            </w:r>
          </w:p>
          <w:p w14:paraId="638A7B70" w14:textId="77777777" w:rsidR="006B3A71" w:rsidRDefault="006B3A71" w:rsidP="00D75095">
            <w:pPr>
              <w:rPr>
                <w:rFonts w:cs="Arial"/>
                <w:sz w:val="20"/>
                <w:szCs w:val="20"/>
              </w:rPr>
            </w:pPr>
            <w:r>
              <w:rPr>
                <w:rFonts w:cs="Arial"/>
                <w:sz w:val="20"/>
                <w:szCs w:val="20"/>
              </w:rPr>
              <w:t>CRC CARE</w:t>
            </w:r>
          </w:p>
          <w:p w14:paraId="52AE5473" w14:textId="77777777" w:rsidR="006B3A71" w:rsidRDefault="006B3A71" w:rsidP="00D75095">
            <w:pPr>
              <w:rPr>
                <w:rFonts w:cs="Arial"/>
                <w:sz w:val="20"/>
                <w:szCs w:val="20"/>
              </w:rPr>
            </w:pPr>
            <w:r>
              <w:rPr>
                <w:rFonts w:cs="Arial"/>
                <w:sz w:val="20"/>
                <w:szCs w:val="20"/>
              </w:rPr>
              <w:t>Golder Associates</w:t>
            </w:r>
          </w:p>
          <w:p w14:paraId="04EA94AD" w14:textId="77777777" w:rsidR="006B3A71" w:rsidRPr="002668A9" w:rsidRDefault="006B3A71" w:rsidP="00D75095">
            <w:pPr>
              <w:rPr>
                <w:rFonts w:cs="Arial"/>
                <w:sz w:val="20"/>
                <w:szCs w:val="20"/>
              </w:rPr>
            </w:pPr>
            <w:r>
              <w:rPr>
                <w:rFonts w:cs="Arial"/>
                <w:sz w:val="20"/>
                <w:szCs w:val="20"/>
              </w:rPr>
              <w:lastRenderedPageBreak/>
              <w:t>Queensland Airports Ltd</w:t>
            </w:r>
          </w:p>
          <w:p w14:paraId="36565C9B" w14:textId="77777777" w:rsidR="006B3A71" w:rsidRDefault="006B3A71" w:rsidP="00D75095">
            <w:pPr>
              <w:rPr>
                <w:rFonts w:cs="Arial"/>
                <w:sz w:val="20"/>
                <w:szCs w:val="20"/>
              </w:rPr>
            </w:pPr>
            <w:r>
              <w:rPr>
                <w:rFonts w:cs="Arial"/>
                <w:sz w:val="20"/>
                <w:szCs w:val="20"/>
              </w:rPr>
              <w:t>Senversa</w:t>
            </w:r>
          </w:p>
          <w:p w14:paraId="6F87EAE8" w14:textId="77777777" w:rsidR="0053563F" w:rsidRDefault="0053563F" w:rsidP="00D75095">
            <w:pPr>
              <w:rPr>
                <w:rFonts w:cs="Arial"/>
                <w:sz w:val="20"/>
                <w:szCs w:val="20"/>
              </w:rPr>
            </w:pPr>
            <w:r>
              <w:rPr>
                <w:rFonts w:cs="Arial"/>
                <w:sz w:val="20"/>
                <w:szCs w:val="20"/>
              </w:rPr>
              <w:t>Viva Energy Australia</w:t>
            </w:r>
          </w:p>
          <w:p w14:paraId="0D199080" w14:textId="4C4BC0DD" w:rsidR="002668A9" w:rsidRPr="002668A9" w:rsidRDefault="0053563F" w:rsidP="00D75095">
            <w:pPr>
              <w:rPr>
                <w:rFonts w:cs="Arial"/>
                <w:sz w:val="20"/>
                <w:szCs w:val="20"/>
              </w:rPr>
            </w:pPr>
            <w:r>
              <w:rPr>
                <w:rFonts w:cs="Arial"/>
                <w:sz w:val="20"/>
                <w:szCs w:val="20"/>
              </w:rPr>
              <w:t>WA Government</w:t>
            </w:r>
          </w:p>
        </w:tc>
        <w:tc>
          <w:tcPr>
            <w:tcW w:w="2008" w:type="pct"/>
            <w:vMerge w:val="restart"/>
            <w:shd w:val="clear" w:color="auto" w:fill="auto"/>
            <w:tcMar>
              <w:top w:w="0" w:type="dxa"/>
              <w:left w:w="108" w:type="dxa"/>
              <w:bottom w:w="0" w:type="dxa"/>
              <w:right w:w="108" w:type="dxa"/>
            </w:tcMar>
          </w:tcPr>
          <w:p w14:paraId="28C94349" w14:textId="68C614AA" w:rsidR="002668A9" w:rsidRPr="002668A9" w:rsidRDefault="002668A9" w:rsidP="00D75095">
            <w:pPr>
              <w:rPr>
                <w:rFonts w:cs="Arial"/>
                <w:sz w:val="20"/>
                <w:szCs w:val="20"/>
              </w:rPr>
            </w:pPr>
            <w:r w:rsidRPr="002668A9">
              <w:rPr>
                <w:rFonts w:cs="Arial"/>
                <w:sz w:val="20"/>
                <w:szCs w:val="20"/>
              </w:rPr>
              <w:lastRenderedPageBreak/>
              <w:t xml:space="preserve">Clarification has been provided in Section 2 - Scope regarding the use of terms such as PFAS contamination and PFAS-contaminated when referring to environmental media in which detectable levels of PFAS are present. </w:t>
            </w:r>
          </w:p>
          <w:p w14:paraId="4C27179E" w14:textId="6F5A265A" w:rsidR="002668A9" w:rsidRPr="002668A9" w:rsidRDefault="002668A9" w:rsidP="00D75095">
            <w:pPr>
              <w:rPr>
                <w:rFonts w:cs="Arial"/>
                <w:sz w:val="20"/>
                <w:szCs w:val="20"/>
              </w:rPr>
            </w:pPr>
            <w:r w:rsidRPr="002668A9">
              <w:rPr>
                <w:rFonts w:cs="Arial"/>
                <w:sz w:val="20"/>
                <w:szCs w:val="20"/>
              </w:rPr>
              <w:t xml:space="preserve">Further clarification is provided on ecological criteria, what the guidance is intended to protect, and </w:t>
            </w:r>
            <w:r w:rsidR="003D4B71">
              <w:rPr>
                <w:rFonts w:cs="Arial"/>
                <w:sz w:val="20"/>
                <w:szCs w:val="20"/>
              </w:rPr>
              <w:t xml:space="preserve">how this relates to land uses. </w:t>
            </w:r>
            <w:r w:rsidRPr="002668A9">
              <w:rPr>
                <w:rFonts w:cs="Arial"/>
                <w:sz w:val="20"/>
                <w:szCs w:val="20"/>
              </w:rPr>
              <w:t xml:space="preserve">Consideration must be given to the wildlife and exposure pathways present rather than a land use planning classification. </w:t>
            </w:r>
          </w:p>
          <w:p w14:paraId="12C1E8E9" w14:textId="03B8D637" w:rsidR="002668A9" w:rsidRPr="002668A9" w:rsidRDefault="002668A9" w:rsidP="00D75095">
            <w:pPr>
              <w:rPr>
                <w:rFonts w:cs="Arial"/>
                <w:sz w:val="20"/>
                <w:szCs w:val="20"/>
              </w:rPr>
            </w:pPr>
            <w:r w:rsidRPr="002668A9">
              <w:rPr>
                <w:rFonts w:cs="Arial"/>
                <w:sz w:val="20"/>
                <w:szCs w:val="20"/>
              </w:rPr>
              <w:t xml:space="preserve">A consistent land use category is provided, titled </w:t>
            </w:r>
            <w:r w:rsidR="00C04EFE">
              <w:rPr>
                <w:rFonts w:cs="Arial"/>
                <w:sz w:val="20"/>
                <w:szCs w:val="20"/>
              </w:rPr>
              <w:t>‘</w:t>
            </w:r>
            <w:r w:rsidRPr="002668A9">
              <w:rPr>
                <w:rFonts w:cs="Arial"/>
                <w:sz w:val="20"/>
                <w:szCs w:val="20"/>
              </w:rPr>
              <w:t>All land uses</w:t>
            </w:r>
            <w:r w:rsidR="00C04EFE">
              <w:rPr>
                <w:rFonts w:cs="Arial"/>
                <w:sz w:val="20"/>
                <w:szCs w:val="20"/>
              </w:rPr>
              <w:t>’</w:t>
            </w:r>
            <w:r w:rsidRPr="002668A9">
              <w:rPr>
                <w:rFonts w:cs="Arial"/>
                <w:sz w:val="20"/>
                <w:szCs w:val="20"/>
              </w:rPr>
              <w:t xml:space="preserve">, for all ecological soil guideline values – the single land use category for direct exposure was previously titled </w:t>
            </w:r>
            <w:r w:rsidR="00C04EFE">
              <w:rPr>
                <w:rFonts w:cs="Arial"/>
                <w:sz w:val="20"/>
                <w:szCs w:val="20"/>
              </w:rPr>
              <w:t>‘</w:t>
            </w:r>
            <w:r w:rsidRPr="002668A9">
              <w:rPr>
                <w:rFonts w:cs="Arial"/>
                <w:sz w:val="20"/>
                <w:szCs w:val="20"/>
              </w:rPr>
              <w:t>Public open space</w:t>
            </w:r>
            <w:r w:rsidR="00C04EFE">
              <w:rPr>
                <w:rFonts w:cs="Arial"/>
                <w:sz w:val="20"/>
                <w:szCs w:val="20"/>
              </w:rPr>
              <w:t>’</w:t>
            </w:r>
            <w:r w:rsidRPr="002668A9">
              <w:rPr>
                <w:rFonts w:cs="Arial"/>
                <w:sz w:val="20"/>
                <w:szCs w:val="20"/>
              </w:rPr>
              <w:t>. This was done to improve consistency and reduce confusion.</w:t>
            </w:r>
          </w:p>
          <w:p w14:paraId="3410E453" w14:textId="3C5F9BDF" w:rsidR="002668A9" w:rsidRPr="002668A9" w:rsidRDefault="002668A9" w:rsidP="00D75095">
            <w:pPr>
              <w:rPr>
                <w:rFonts w:cs="Arial"/>
                <w:sz w:val="20"/>
                <w:szCs w:val="20"/>
              </w:rPr>
            </w:pPr>
            <w:r w:rsidRPr="002668A9">
              <w:rPr>
                <w:rFonts w:cs="Arial"/>
                <w:sz w:val="20"/>
                <w:szCs w:val="20"/>
              </w:rPr>
              <w:lastRenderedPageBreak/>
              <w:t xml:space="preserve">The NEMP </w:t>
            </w:r>
            <w:r w:rsidR="000527CB">
              <w:rPr>
                <w:rFonts w:cs="Arial"/>
                <w:sz w:val="20"/>
                <w:szCs w:val="20"/>
              </w:rPr>
              <w:t>2.0</w:t>
            </w:r>
            <w:r w:rsidRPr="002668A9">
              <w:rPr>
                <w:rFonts w:cs="Arial"/>
                <w:sz w:val="20"/>
                <w:szCs w:val="20"/>
              </w:rPr>
              <w:t xml:space="preserve"> allows for considering site-specific characteristics that may justify the use of a higher value (up to 0.14 mg/kg) as the trigger for a detailed </w:t>
            </w:r>
            <w:r w:rsidR="00DE277A" w:rsidRPr="002668A9">
              <w:rPr>
                <w:rFonts w:cs="Arial"/>
                <w:sz w:val="20"/>
                <w:szCs w:val="20"/>
              </w:rPr>
              <w:t>site-specific</w:t>
            </w:r>
            <w:r w:rsidRPr="002668A9">
              <w:rPr>
                <w:rFonts w:cs="Arial"/>
                <w:sz w:val="20"/>
                <w:szCs w:val="20"/>
              </w:rPr>
              <w:t xml:space="preserve"> investigation of risk. </w:t>
            </w:r>
            <w:r w:rsidR="00A16CE6">
              <w:rPr>
                <w:rFonts w:cs="Arial"/>
                <w:sz w:val="20"/>
                <w:szCs w:val="20"/>
              </w:rPr>
              <w:t>T</w:t>
            </w:r>
            <w:r w:rsidRPr="002668A9">
              <w:rPr>
                <w:rFonts w:cs="Arial"/>
                <w:sz w:val="20"/>
                <w:szCs w:val="20"/>
              </w:rPr>
              <w:t>hese characteristics could justify the use of a higher value.</w:t>
            </w:r>
          </w:p>
          <w:p w14:paraId="43396F93" w14:textId="79F06C71" w:rsidR="000E7B79" w:rsidRDefault="0016224D" w:rsidP="00D75095">
            <w:pPr>
              <w:rPr>
                <w:rFonts w:cs="Arial"/>
                <w:sz w:val="20"/>
                <w:szCs w:val="20"/>
              </w:rPr>
            </w:pPr>
            <w:r>
              <w:rPr>
                <w:rFonts w:cs="Arial"/>
                <w:sz w:val="20"/>
                <w:szCs w:val="20"/>
              </w:rPr>
              <w:t>Regulatory impact analysis is undertaken when proposing new regulat</w:t>
            </w:r>
            <w:r w:rsidR="000D13C8">
              <w:rPr>
                <w:rFonts w:cs="Arial"/>
                <w:sz w:val="20"/>
                <w:szCs w:val="20"/>
              </w:rPr>
              <w:t xml:space="preserve">ory </w:t>
            </w:r>
            <w:r>
              <w:rPr>
                <w:rFonts w:cs="Arial"/>
                <w:sz w:val="20"/>
                <w:szCs w:val="20"/>
              </w:rPr>
              <w:t xml:space="preserve">policy approaches. </w:t>
            </w:r>
            <w:r w:rsidR="000E7B79">
              <w:rPr>
                <w:rFonts w:cs="Arial"/>
                <w:sz w:val="20"/>
                <w:szCs w:val="20"/>
              </w:rPr>
              <w:t>The</w:t>
            </w:r>
            <w:r w:rsidR="002668A9" w:rsidRPr="002668A9">
              <w:rPr>
                <w:rFonts w:cs="Arial"/>
                <w:sz w:val="20"/>
                <w:szCs w:val="20"/>
              </w:rPr>
              <w:t xml:space="preserve"> NEMP is guidance </w:t>
            </w:r>
            <w:r w:rsidR="00A16CE6">
              <w:rPr>
                <w:rFonts w:cs="Arial"/>
                <w:sz w:val="20"/>
                <w:szCs w:val="20"/>
              </w:rPr>
              <w:t xml:space="preserve">that </w:t>
            </w:r>
            <w:r w:rsidR="00551619">
              <w:rPr>
                <w:rFonts w:cs="Arial"/>
                <w:sz w:val="20"/>
                <w:szCs w:val="20"/>
              </w:rPr>
              <w:t>relates to</w:t>
            </w:r>
            <w:r w:rsidR="000D13C8">
              <w:rPr>
                <w:rFonts w:cs="Arial"/>
                <w:sz w:val="20"/>
                <w:szCs w:val="20"/>
              </w:rPr>
              <w:t>,</w:t>
            </w:r>
            <w:r w:rsidR="00551619">
              <w:rPr>
                <w:rFonts w:cs="Arial"/>
                <w:sz w:val="20"/>
                <w:szCs w:val="20"/>
              </w:rPr>
              <w:t xml:space="preserve"> and is implemented under</w:t>
            </w:r>
            <w:r w:rsidR="000D13C8">
              <w:rPr>
                <w:rFonts w:cs="Arial"/>
                <w:sz w:val="20"/>
                <w:szCs w:val="20"/>
              </w:rPr>
              <w:t>,</w:t>
            </w:r>
            <w:r w:rsidR="00551619">
              <w:rPr>
                <w:rFonts w:cs="Arial"/>
                <w:sz w:val="20"/>
                <w:szCs w:val="20"/>
              </w:rPr>
              <w:t xml:space="preserve"> </w:t>
            </w:r>
            <w:r w:rsidR="00A16CE6">
              <w:rPr>
                <w:rFonts w:cs="Arial"/>
                <w:sz w:val="20"/>
                <w:szCs w:val="20"/>
              </w:rPr>
              <w:t xml:space="preserve">existing regulatory regimes that already cover water quality, </w:t>
            </w:r>
            <w:r w:rsidR="000D13C8">
              <w:rPr>
                <w:rFonts w:cs="Arial"/>
                <w:sz w:val="20"/>
                <w:szCs w:val="20"/>
              </w:rPr>
              <w:t xml:space="preserve">already cover </w:t>
            </w:r>
            <w:r w:rsidR="00A16CE6">
              <w:rPr>
                <w:rFonts w:cs="Arial"/>
                <w:sz w:val="20"/>
                <w:szCs w:val="20"/>
              </w:rPr>
              <w:t xml:space="preserve">site </w:t>
            </w:r>
            <w:r w:rsidR="000E7B79">
              <w:rPr>
                <w:rFonts w:cs="Arial"/>
                <w:sz w:val="20"/>
                <w:szCs w:val="20"/>
              </w:rPr>
              <w:t xml:space="preserve">assessment for </w:t>
            </w:r>
            <w:r w:rsidR="000D13C8">
              <w:rPr>
                <w:rFonts w:cs="Arial"/>
                <w:sz w:val="20"/>
                <w:szCs w:val="20"/>
              </w:rPr>
              <w:t xml:space="preserve">all </w:t>
            </w:r>
            <w:r>
              <w:rPr>
                <w:rFonts w:cs="Arial"/>
                <w:sz w:val="20"/>
                <w:szCs w:val="20"/>
              </w:rPr>
              <w:t>other</w:t>
            </w:r>
            <w:r w:rsidR="000E7B79">
              <w:rPr>
                <w:rFonts w:cs="Arial"/>
                <w:sz w:val="20"/>
                <w:szCs w:val="20"/>
              </w:rPr>
              <w:t xml:space="preserve"> </w:t>
            </w:r>
            <w:r>
              <w:rPr>
                <w:rFonts w:cs="Arial"/>
                <w:sz w:val="20"/>
                <w:szCs w:val="20"/>
              </w:rPr>
              <w:t>contaminants</w:t>
            </w:r>
            <w:r w:rsidR="000E7B79">
              <w:rPr>
                <w:rFonts w:cs="Arial"/>
                <w:sz w:val="20"/>
                <w:szCs w:val="20"/>
              </w:rPr>
              <w:t>,</w:t>
            </w:r>
            <w:r w:rsidR="000D13C8">
              <w:rPr>
                <w:rFonts w:cs="Arial"/>
                <w:sz w:val="20"/>
                <w:szCs w:val="20"/>
              </w:rPr>
              <w:t xml:space="preserve"> </w:t>
            </w:r>
            <w:r w:rsidR="00DE277A">
              <w:rPr>
                <w:rFonts w:cs="Arial"/>
                <w:sz w:val="20"/>
                <w:szCs w:val="20"/>
              </w:rPr>
              <w:t xml:space="preserve">and </w:t>
            </w:r>
            <w:r w:rsidR="000D13C8">
              <w:rPr>
                <w:rFonts w:cs="Arial"/>
                <w:sz w:val="20"/>
                <w:szCs w:val="20"/>
              </w:rPr>
              <w:t>already cover</w:t>
            </w:r>
            <w:r w:rsidR="000E7B79">
              <w:rPr>
                <w:rFonts w:cs="Arial"/>
                <w:sz w:val="20"/>
                <w:szCs w:val="20"/>
              </w:rPr>
              <w:t xml:space="preserve"> transport and waste. Final d</w:t>
            </w:r>
            <w:r w:rsidR="00A16CE6">
              <w:rPr>
                <w:rFonts w:cs="Arial"/>
                <w:sz w:val="20"/>
                <w:szCs w:val="20"/>
              </w:rPr>
              <w:t xml:space="preserve">ecisions on what is </w:t>
            </w:r>
            <w:r w:rsidR="000E7B79">
              <w:rPr>
                <w:rFonts w:cs="Arial"/>
                <w:sz w:val="20"/>
                <w:szCs w:val="20"/>
              </w:rPr>
              <w:t xml:space="preserve">specifically </w:t>
            </w:r>
            <w:r w:rsidR="00A16CE6">
              <w:rPr>
                <w:rFonts w:cs="Arial"/>
                <w:sz w:val="20"/>
                <w:szCs w:val="20"/>
              </w:rPr>
              <w:t xml:space="preserve">required </w:t>
            </w:r>
            <w:r w:rsidR="00551619">
              <w:rPr>
                <w:rFonts w:cs="Arial"/>
                <w:sz w:val="20"/>
                <w:szCs w:val="20"/>
              </w:rPr>
              <w:t xml:space="preserve">need </w:t>
            </w:r>
            <w:r w:rsidR="00A16CE6">
              <w:rPr>
                <w:rFonts w:cs="Arial"/>
                <w:sz w:val="20"/>
                <w:szCs w:val="20"/>
              </w:rPr>
              <w:t xml:space="preserve">site by site </w:t>
            </w:r>
            <w:r w:rsidR="000E7B79">
              <w:rPr>
                <w:rFonts w:cs="Arial"/>
                <w:sz w:val="20"/>
                <w:szCs w:val="20"/>
              </w:rPr>
              <w:t>consideration</w:t>
            </w:r>
            <w:r>
              <w:rPr>
                <w:rFonts w:cs="Arial"/>
                <w:sz w:val="20"/>
                <w:szCs w:val="20"/>
              </w:rPr>
              <w:t>,</w:t>
            </w:r>
            <w:r w:rsidDel="00C82251">
              <w:rPr>
                <w:rFonts w:cs="Arial"/>
                <w:sz w:val="20"/>
                <w:szCs w:val="20"/>
              </w:rPr>
              <w:t xml:space="preserve"> </w:t>
            </w:r>
            <w:r>
              <w:rPr>
                <w:rFonts w:cs="Arial"/>
                <w:sz w:val="20"/>
                <w:szCs w:val="20"/>
              </w:rPr>
              <w:t>as for other contaminants. Accordingly,</w:t>
            </w:r>
            <w:r>
              <w:t xml:space="preserve"> </w:t>
            </w:r>
            <w:r>
              <w:rPr>
                <w:rFonts w:cs="Arial"/>
                <w:sz w:val="20"/>
                <w:szCs w:val="20"/>
              </w:rPr>
              <w:t>r</w:t>
            </w:r>
            <w:r w:rsidRPr="0016224D">
              <w:rPr>
                <w:rFonts w:cs="Arial"/>
                <w:sz w:val="20"/>
                <w:szCs w:val="20"/>
              </w:rPr>
              <w:t>egulatory impact analysis</w:t>
            </w:r>
            <w:r>
              <w:rPr>
                <w:rFonts w:cs="Arial"/>
                <w:sz w:val="20"/>
                <w:szCs w:val="20"/>
              </w:rPr>
              <w:t xml:space="preserve"> would not apply.</w:t>
            </w:r>
          </w:p>
          <w:p w14:paraId="0714080B" w14:textId="77F9FC8D" w:rsidR="002668A9" w:rsidRPr="002668A9" w:rsidRDefault="000E7B79" w:rsidP="00FD58FE">
            <w:pPr>
              <w:rPr>
                <w:rFonts w:cs="Arial"/>
                <w:sz w:val="20"/>
                <w:szCs w:val="20"/>
              </w:rPr>
            </w:pPr>
            <w:r>
              <w:rPr>
                <w:rFonts w:cs="Arial"/>
                <w:sz w:val="20"/>
                <w:szCs w:val="20"/>
              </w:rPr>
              <w:t>It is noted that there is often con</w:t>
            </w:r>
            <w:r w:rsidR="000D13C8">
              <w:rPr>
                <w:rFonts w:cs="Arial"/>
                <w:sz w:val="20"/>
                <w:szCs w:val="20"/>
              </w:rPr>
              <w:t>flation</w:t>
            </w:r>
            <w:r>
              <w:rPr>
                <w:rFonts w:cs="Arial"/>
                <w:sz w:val="20"/>
                <w:szCs w:val="20"/>
              </w:rPr>
              <w:t xml:space="preserve"> between </w:t>
            </w:r>
            <w:r w:rsidR="00130790">
              <w:rPr>
                <w:rFonts w:cs="Arial"/>
                <w:sz w:val="20"/>
                <w:szCs w:val="20"/>
              </w:rPr>
              <w:t xml:space="preserve">screening </w:t>
            </w:r>
            <w:r>
              <w:rPr>
                <w:rFonts w:cs="Arial"/>
                <w:sz w:val="20"/>
                <w:szCs w:val="20"/>
              </w:rPr>
              <w:t xml:space="preserve">guideline values, how they are implemented and what </w:t>
            </w:r>
            <w:r w:rsidR="00130790">
              <w:rPr>
                <w:rFonts w:cs="Arial"/>
                <w:sz w:val="20"/>
                <w:szCs w:val="20"/>
              </w:rPr>
              <w:t>they</w:t>
            </w:r>
            <w:r>
              <w:rPr>
                <w:rFonts w:cs="Arial"/>
                <w:sz w:val="20"/>
                <w:szCs w:val="20"/>
              </w:rPr>
              <w:t xml:space="preserve"> mean in terms of clean up. The methodology for deriving guideline values is, nec</w:t>
            </w:r>
            <w:r w:rsidR="00130790">
              <w:rPr>
                <w:rFonts w:cs="Arial"/>
                <w:sz w:val="20"/>
                <w:szCs w:val="20"/>
              </w:rPr>
              <w:t xml:space="preserve">essarily, a scientific process based on effects data. </w:t>
            </w:r>
            <w:r>
              <w:rPr>
                <w:rFonts w:cs="Arial"/>
                <w:sz w:val="20"/>
                <w:szCs w:val="20"/>
              </w:rPr>
              <w:t xml:space="preserve">The </w:t>
            </w:r>
            <w:r w:rsidR="00C82251">
              <w:rPr>
                <w:rFonts w:cs="Arial"/>
                <w:sz w:val="20"/>
                <w:szCs w:val="20"/>
              </w:rPr>
              <w:t xml:space="preserve">screening </w:t>
            </w:r>
            <w:r>
              <w:rPr>
                <w:rFonts w:cs="Arial"/>
                <w:sz w:val="20"/>
                <w:szCs w:val="20"/>
              </w:rPr>
              <w:t xml:space="preserve">values </w:t>
            </w:r>
            <w:r w:rsidR="00130790">
              <w:rPr>
                <w:rFonts w:cs="Arial"/>
                <w:sz w:val="20"/>
                <w:szCs w:val="20"/>
              </w:rPr>
              <w:t>then sit</w:t>
            </w:r>
            <w:r>
              <w:rPr>
                <w:rFonts w:cs="Arial"/>
                <w:sz w:val="20"/>
                <w:szCs w:val="20"/>
              </w:rPr>
              <w:t xml:space="preserve"> within an implementation framework which </w:t>
            </w:r>
            <w:r w:rsidR="00C82251">
              <w:rPr>
                <w:rFonts w:cs="Arial"/>
                <w:sz w:val="20"/>
                <w:szCs w:val="20"/>
              </w:rPr>
              <w:t xml:space="preserve">appropriately </w:t>
            </w:r>
            <w:r>
              <w:rPr>
                <w:rFonts w:cs="Arial"/>
                <w:sz w:val="20"/>
                <w:szCs w:val="20"/>
              </w:rPr>
              <w:t>considers costs to business. Decisions are made</w:t>
            </w:r>
            <w:r w:rsidR="00130790">
              <w:rPr>
                <w:rFonts w:cs="Arial"/>
                <w:sz w:val="20"/>
                <w:szCs w:val="20"/>
              </w:rPr>
              <w:t xml:space="preserve"> on a site by site basis. Changing </w:t>
            </w:r>
            <w:r w:rsidR="00DE277A">
              <w:rPr>
                <w:rFonts w:cs="Arial"/>
                <w:sz w:val="20"/>
                <w:szCs w:val="20"/>
              </w:rPr>
              <w:t>science-based</w:t>
            </w:r>
            <w:r w:rsidR="000D13C8">
              <w:rPr>
                <w:rFonts w:cs="Arial"/>
                <w:sz w:val="20"/>
                <w:szCs w:val="20"/>
              </w:rPr>
              <w:t xml:space="preserve"> </w:t>
            </w:r>
            <w:r w:rsidR="00C82251">
              <w:rPr>
                <w:rFonts w:cs="Arial"/>
                <w:sz w:val="20"/>
                <w:szCs w:val="20"/>
              </w:rPr>
              <w:t xml:space="preserve">screening </w:t>
            </w:r>
            <w:r w:rsidR="00130790">
              <w:rPr>
                <w:rFonts w:cs="Arial"/>
                <w:sz w:val="20"/>
                <w:szCs w:val="20"/>
              </w:rPr>
              <w:t xml:space="preserve">values because of </w:t>
            </w:r>
            <w:r w:rsidR="000D13C8">
              <w:rPr>
                <w:rFonts w:cs="Arial"/>
                <w:sz w:val="20"/>
                <w:szCs w:val="20"/>
              </w:rPr>
              <w:t xml:space="preserve">perceived </w:t>
            </w:r>
            <w:r w:rsidR="00130790">
              <w:rPr>
                <w:rFonts w:cs="Arial"/>
                <w:sz w:val="20"/>
                <w:szCs w:val="20"/>
              </w:rPr>
              <w:t>cost implications brin</w:t>
            </w:r>
            <w:r w:rsidR="00C82251">
              <w:rPr>
                <w:rFonts w:cs="Arial"/>
                <w:sz w:val="20"/>
                <w:szCs w:val="20"/>
              </w:rPr>
              <w:t>gs cost</w:t>
            </w:r>
            <w:r w:rsidR="00130790">
              <w:rPr>
                <w:rFonts w:cs="Arial"/>
                <w:sz w:val="20"/>
                <w:szCs w:val="20"/>
              </w:rPr>
              <w:t xml:space="preserve"> consideration</w:t>
            </w:r>
            <w:r w:rsidR="00C82251">
              <w:rPr>
                <w:rFonts w:cs="Arial"/>
                <w:sz w:val="20"/>
                <w:szCs w:val="20"/>
              </w:rPr>
              <w:t>s</w:t>
            </w:r>
            <w:r w:rsidR="00130790">
              <w:rPr>
                <w:rFonts w:cs="Arial"/>
                <w:sz w:val="20"/>
                <w:szCs w:val="20"/>
              </w:rPr>
              <w:t xml:space="preserve"> into the incorrect part of the process</w:t>
            </w:r>
            <w:r w:rsidR="007C34F3">
              <w:rPr>
                <w:rFonts w:cs="Arial"/>
                <w:sz w:val="20"/>
                <w:szCs w:val="20"/>
              </w:rPr>
              <w:t xml:space="preserve">, the </w:t>
            </w:r>
            <w:r w:rsidR="00DE277A">
              <w:rPr>
                <w:rFonts w:cs="Arial"/>
                <w:sz w:val="20"/>
                <w:szCs w:val="20"/>
              </w:rPr>
              <w:t>science-based</w:t>
            </w:r>
            <w:r w:rsidR="007C34F3">
              <w:rPr>
                <w:rFonts w:cs="Arial"/>
                <w:sz w:val="20"/>
                <w:szCs w:val="20"/>
              </w:rPr>
              <w:t xml:space="preserve"> effects, rather than implementation</w:t>
            </w:r>
            <w:r w:rsidR="00130790">
              <w:rPr>
                <w:rFonts w:cs="Arial"/>
                <w:sz w:val="20"/>
                <w:szCs w:val="20"/>
              </w:rPr>
              <w:t xml:space="preserve"> and </w:t>
            </w:r>
            <w:r w:rsidR="006D5609">
              <w:rPr>
                <w:rFonts w:cs="Arial"/>
                <w:sz w:val="20"/>
                <w:szCs w:val="20"/>
              </w:rPr>
              <w:t>c</w:t>
            </w:r>
            <w:r w:rsidR="00130790">
              <w:rPr>
                <w:rFonts w:cs="Arial"/>
                <w:sz w:val="20"/>
                <w:szCs w:val="20"/>
              </w:rPr>
              <w:t xml:space="preserve">ould </w:t>
            </w:r>
            <w:r w:rsidR="00C82251">
              <w:rPr>
                <w:rFonts w:cs="Arial"/>
                <w:sz w:val="20"/>
                <w:szCs w:val="20"/>
              </w:rPr>
              <w:t xml:space="preserve">undermine </w:t>
            </w:r>
            <w:r w:rsidR="00130790">
              <w:rPr>
                <w:rFonts w:cs="Arial"/>
                <w:sz w:val="20"/>
                <w:szCs w:val="20"/>
              </w:rPr>
              <w:t>risk</w:t>
            </w:r>
            <w:r w:rsidR="006D5609">
              <w:rPr>
                <w:rFonts w:cs="Arial"/>
                <w:sz w:val="20"/>
                <w:szCs w:val="20"/>
              </w:rPr>
              <w:t>-</w:t>
            </w:r>
            <w:r w:rsidR="00130790">
              <w:rPr>
                <w:rFonts w:cs="Arial"/>
                <w:sz w:val="20"/>
                <w:szCs w:val="20"/>
              </w:rPr>
              <w:t>based decision</w:t>
            </w:r>
            <w:r w:rsidR="00C82251">
              <w:rPr>
                <w:rFonts w:cs="Arial"/>
                <w:sz w:val="20"/>
                <w:szCs w:val="20"/>
              </w:rPr>
              <w:t xml:space="preserve"> making.</w:t>
            </w:r>
          </w:p>
        </w:tc>
      </w:tr>
      <w:tr w:rsidR="002668A9" w:rsidRPr="002668A9" w14:paraId="535E68DE" w14:textId="77777777" w:rsidTr="00681106">
        <w:trPr>
          <w:trHeight w:val="504"/>
        </w:trPr>
        <w:tc>
          <w:tcPr>
            <w:tcW w:w="781" w:type="pct"/>
            <w:vMerge/>
            <w:shd w:val="clear" w:color="auto" w:fill="auto"/>
          </w:tcPr>
          <w:p w14:paraId="5EAF6D56" w14:textId="2BD55649" w:rsidR="002668A9" w:rsidRPr="002668A9" w:rsidRDefault="002668A9" w:rsidP="00D75095">
            <w:pPr>
              <w:rPr>
                <w:rFonts w:cs="Arial"/>
                <w:sz w:val="20"/>
                <w:szCs w:val="20"/>
              </w:rPr>
            </w:pPr>
          </w:p>
        </w:tc>
        <w:tc>
          <w:tcPr>
            <w:tcW w:w="1290" w:type="pct"/>
            <w:vMerge/>
          </w:tcPr>
          <w:p w14:paraId="0B027627" w14:textId="77777777" w:rsidR="002668A9" w:rsidRPr="002668A9" w:rsidRDefault="002668A9" w:rsidP="00D75095">
            <w:pPr>
              <w:rPr>
                <w:rFonts w:cs="Arial"/>
                <w:sz w:val="20"/>
                <w:szCs w:val="20"/>
              </w:rPr>
            </w:pPr>
          </w:p>
        </w:tc>
        <w:tc>
          <w:tcPr>
            <w:tcW w:w="921" w:type="pct"/>
            <w:vMerge/>
          </w:tcPr>
          <w:p w14:paraId="787B7DF2"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349BAD91" w14:textId="77777777" w:rsidR="002668A9" w:rsidRPr="002668A9" w:rsidRDefault="002668A9" w:rsidP="00D75095">
            <w:pPr>
              <w:rPr>
                <w:rFonts w:cs="Arial"/>
                <w:sz w:val="20"/>
                <w:szCs w:val="20"/>
              </w:rPr>
            </w:pPr>
          </w:p>
        </w:tc>
      </w:tr>
      <w:tr w:rsidR="002668A9" w:rsidRPr="002668A9" w14:paraId="4F281402" w14:textId="77777777" w:rsidTr="00681106">
        <w:trPr>
          <w:trHeight w:val="504"/>
        </w:trPr>
        <w:tc>
          <w:tcPr>
            <w:tcW w:w="781" w:type="pct"/>
            <w:vMerge/>
            <w:shd w:val="clear" w:color="auto" w:fill="auto"/>
          </w:tcPr>
          <w:p w14:paraId="67E9FAA4" w14:textId="77777777" w:rsidR="002668A9" w:rsidRPr="002668A9" w:rsidRDefault="002668A9" w:rsidP="00D75095">
            <w:pPr>
              <w:rPr>
                <w:rFonts w:cs="Arial"/>
                <w:sz w:val="20"/>
                <w:szCs w:val="20"/>
              </w:rPr>
            </w:pPr>
          </w:p>
        </w:tc>
        <w:tc>
          <w:tcPr>
            <w:tcW w:w="1290" w:type="pct"/>
            <w:vMerge/>
          </w:tcPr>
          <w:p w14:paraId="1641584C" w14:textId="77777777" w:rsidR="002668A9" w:rsidRPr="002668A9" w:rsidRDefault="002668A9" w:rsidP="00D75095">
            <w:pPr>
              <w:rPr>
                <w:rFonts w:cs="Arial"/>
                <w:sz w:val="20"/>
                <w:szCs w:val="20"/>
              </w:rPr>
            </w:pPr>
          </w:p>
        </w:tc>
        <w:tc>
          <w:tcPr>
            <w:tcW w:w="921" w:type="pct"/>
            <w:vMerge/>
          </w:tcPr>
          <w:p w14:paraId="63E5129B"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6607AA95" w14:textId="77777777" w:rsidR="002668A9" w:rsidRPr="002668A9" w:rsidRDefault="002668A9" w:rsidP="00D75095">
            <w:pPr>
              <w:rPr>
                <w:rFonts w:cs="Arial"/>
                <w:sz w:val="20"/>
                <w:szCs w:val="20"/>
              </w:rPr>
            </w:pPr>
          </w:p>
        </w:tc>
      </w:tr>
      <w:tr w:rsidR="002668A9" w:rsidRPr="002668A9" w14:paraId="1442F399" w14:textId="77777777" w:rsidTr="00681106">
        <w:trPr>
          <w:trHeight w:val="504"/>
        </w:trPr>
        <w:tc>
          <w:tcPr>
            <w:tcW w:w="781" w:type="pct"/>
            <w:vMerge/>
            <w:shd w:val="clear" w:color="auto" w:fill="auto"/>
          </w:tcPr>
          <w:p w14:paraId="4F94708F" w14:textId="77777777" w:rsidR="002668A9" w:rsidRPr="002668A9" w:rsidRDefault="002668A9" w:rsidP="00D75095">
            <w:pPr>
              <w:rPr>
                <w:rFonts w:cs="Arial"/>
                <w:sz w:val="20"/>
                <w:szCs w:val="20"/>
              </w:rPr>
            </w:pPr>
          </w:p>
        </w:tc>
        <w:tc>
          <w:tcPr>
            <w:tcW w:w="1290" w:type="pct"/>
            <w:vMerge/>
          </w:tcPr>
          <w:p w14:paraId="0CAF0401" w14:textId="77777777" w:rsidR="002668A9" w:rsidRPr="002668A9" w:rsidRDefault="002668A9" w:rsidP="00D75095">
            <w:pPr>
              <w:rPr>
                <w:rFonts w:cs="Arial"/>
                <w:sz w:val="20"/>
                <w:szCs w:val="20"/>
              </w:rPr>
            </w:pPr>
          </w:p>
        </w:tc>
        <w:tc>
          <w:tcPr>
            <w:tcW w:w="921" w:type="pct"/>
            <w:vMerge/>
          </w:tcPr>
          <w:p w14:paraId="31395CFA"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00B0A8A8" w14:textId="77777777" w:rsidR="002668A9" w:rsidRPr="002668A9" w:rsidRDefault="002668A9" w:rsidP="00D75095">
            <w:pPr>
              <w:rPr>
                <w:rFonts w:cs="Arial"/>
                <w:sz w:val="20"/>
                <w:szCs w:val="20"/>
              </w:rPr>
            </w:pPr>
          </w:p>
        </w:tc>
      </w:tr>
      <w:tr w:rsidR="002668A9" w:rsidRPr="002668A9" w14:paraId="18ECA795" w14:textId="77777777" w:rsidTr="00681106">
        <w:trPr>
          <w:trHeight w:val="504"/>
        </w:trPr>
        <w:tc>
          <w:tcPr>
            <w:tcW w:w="781" w:type="pct"/>
            <w:vMerge/>
            <w:shd w:val="clear" w:color="auto" w:fill="auto"/>
          </w:tcPr>
          <w:p w14:paraId="678801C2" w14:textId="77777777" w:rsidR="002668A9" w:rsidRPr="002668A9" w:rsidRDefault="002668A9" w:rsidP="00D75095">
            <w:pPr>
              <w:rPr>
                <w:rFonts w:cs="Arial"/>
                <w:sz w:val="20"/>
                <w:szCs w:val="20"/>
              </w:rPr>
            </w:pPr>
          </w:p>
        </w:tc>
        <w:tc>
          <w:tcPr>
            <w:tcW w:w="1290" w:type="pct"/>
            <w:vMerge/>
          </w:tcPr>
          <w:p w14:paraId="67B85843" w14:textId="77777777" w:rsidR="002668A9" w:rsidRPr="002668A9" w:rsidRDefault="002668A9" w:rsidP="00D75095">
            <w:pPr>
              <w:rPr>
                <w:rFonts w:cs="Arial"/>
                <w:sz w:val="20"/>
                <w:szCs w:val="20"/>
              </w:rPr>
            </w:pPr>
          </w:p>
        </w:tc>
        <w:tc>
          <w:tcPr>
            <w:tcW w:w="921" w:type="pct"/>
            <w:vMerge/>
          </w:tcPr>
          <w:p w14:paraId="261EF056"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0BF6DF99" w14:textId="77777777" w:rsidR="002668A9" w:rsidRPr="002668A9" w:rsidRDefault="002668A9" w:rsidP="00D75095">
            <w:pPr>
              <w:rPr>
                <w:rFonts w:cs="Arial"/>
                <w:sz w:val="20"/>
                <w:szCs w:val="20"/>
              </w:rPr>
            </w:pPr>
          </w:p>
        </w:tc>
      </w:tr>
      <w:tr w:rsidR="002668A9" w:rsidRPr="002668A9" w14:paraId="54E3237E" w14:textId="77777777" w:rsidTr="00681106">
        <w:trPr>
          <w:trHeight w:val="504"/>
        </w:trPr>
        <w:tc>
          <w:tcPr>
            <w:tcW w:w="781" w:type="pct"/>
            <w:vMerge/>
            <w:shd w:val="clear" w:color="auto" w:fill="auto"/>
          </w:tcPr>
          <w:p w14:paraId="49E5BF0B" w14:textId="77777777" w:rsidR="002668A9" w:rsidRPr="002668A9" w:rsidRDefault="002668A9" w:rsidP="00D75095">
            <w:pPr>
              <w:rPr>
                <w:rFonts w:cs="Arial"/>
                <w:sz w:val="20"/>
                <w:szCs w:val="20"/>
              </w:rPr>
            </w:pPr>
          </w:p>
        </w:tc>
        <w:tc>
          <w:tcPr>
            <w:tcW w:w="1290" w:type="pct"/>
            <w:vMerge/>
          </w:tcPr>
          <w:p w14:paraId="0DDEE084" w14:textId="77777777" w:rsidR="002668A9" w:rsidRPr="002668A9" w:rsidRDefault="002668A9" w:rsidP="00D75095">
            <w:pPr>
              <w:rPr>
                <w:rFonts w:cs="Arial"/>
                <w:sz w:val="20"/>
                <w:szCs w:val="20"/>
              </w:rPr>
            </w:pPr>
          </w:p>
        </w:tc>
        <w:tc>
          <w:tcPr>
            <w:tcW w:w="921" w:type="pct"/>
            <w:vMerge/>
          </w:tcPr>
          <w:p w14:paraId="3A57E16C"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586FD249" w14:textId="77777777" w:rsidR="002668A9" w:rsidRPr="002668A9" w:rsidRDefault="002668A9" w:rsidP="00D75095">
            <w:pPr>
              <w:rPr>
                <w:rFonts w:cs="Arial"/>
                <w:sz w:val="20"/>
                <w:szCs w:val="20"/>
              </w:rPr>
            </w:pPr>
          </w:p>
        </w:tc>
      </w:tr>
      <w:tr w:rsidR="002668A9" w:rsidRPr="002668A9" w14:paraId="09C22948" w14:textId="77777777" w:rsidTr="00681106">
        <w:trPr>
          <w:trHeight w:val="504"/>
        </w:trPr>
        <w:tc>
          <w:tcPr>
            <w:tcW w:w="781" w:type="pct"/>
            <w:vMerge/>
            <w:shd w:val="clear" w:color="auto" w:fill="auto"/>
          </w:tcPr>
          <w:p w14:paraId="28D584F9" w14:textId="77777777" w:rsidR="002668A9" w:rsidRPr="002668A9" w:rsidRDefault="002668A9" w:rsidP="00D75095">
            <w:pPr>
              <w:rPr>
                <w:rFonts w:cs="Arial"/>
                <w:sz w:val="20"/>
                <w:szCs w:val="20"/>
              </w:rPr>
            </w:pPr>
          </w:p>
        </w:tc>
        <w:tc>
          <w:tcPr>
            <w:tcW w:w="1290" w:type="pct"/>
            <w:vMerge/>
          </w:tcPr>
          <w:p w14:paraId="225B0306" w14:textId="77777777" w:rsidR="002668A9" w:rsidRPr="002668A9" w:rsidRDefault="002668A9" w:rsidP="00D75095">
            <w:pPr>
              <w:rPr>
                <w:rFonts w:cs="Arial"/>
                <w:sz w:val="20"/>
                <w:szCs w:val="20"/>
              </w:rPr>
            </w:pPr>
          </w:p>
        </w:tc>
        <w:tc>
          <w:tcPr>
            <w:tcW w:w="921" w:type="pct"/>
            <w:vMerge/>
          </w:tcPr>
          <w:p w14:paraId="188FCA5C"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5F52E258" w14:textId="77777777" w:rsidR="002668A9" w:rsidRPr="002668A9" w:rsidRDefault="002668A9" w:rsidP="00D75095">
            <w:pPr>
              <w:rPr>
                <w:rFonts w:cs="Arial"/>
                <w:sz w:val="20"/>
                <w:szCs w:val="20"/>
              </w:rPr>
            </w:pPr>
          </w:p>
        </w:tc>
      </w:tr>
      <w:tr w:rsidR="002668A9" w:rsidRPr="002668A9" w14:paraId="5FCB0797" w14:textId="77777777" w:rsidTr="00681106">
        <w:trPr>
          <w:trHeight w:val="504"/>
        </w:trPr>
        <w:tc>
          <w:tcPr>
            <w:tcW w:w="781" w:type="pct"/>
            <w:vMerge/>
            <w:shd w:val="clear" w:color="auto" w:fill="auto"/>
          </w:tcPr>
          <w:p w14:paraId="78B6646D" w14:textId="77777777" w:rsidR="002668A9" w:rsidRPr="002668A9" w:rsidRDefault="002668A9" w:rsidP="00D75095">
            <w:pPr>
              <w:rPr>
                <w:rFonts w:cs="Arial"/>
                <w:sz w:val="20"/>
                <w:szCs w:val="20"/>
              </w:rPr>
            </w:pPr>
          </w:p>
        </w:tc>
        <w:tc>
          <w:tcPr>
            <w:tcW w:w="1290" w:type="pct"/>
            <w:vMerge/>
          </w:tcPr>
          <w:p w14:paraId="0837AF6C" w14:textId="77777777" w:rsidR="002668A9" w:rsidRPr="002668A9" w:rsidRDefault="002668A9" w:rsidP="00D75095">
            <w:pPr>
              <w:rPr>
                <w:rFonts w:cs="Arial"/>
                <w:sz w:val="20"/>
                <w:szCs w:val="20"/>
              </w:rPr>
            </w:pPr>
          </w:p>
        </w:tc>
        <w:tc>
          <w:tcPr>
            <w:tcW w:w="921" w:type="pct"/>
            <w:vMerge/>
          </w:tcPr>
          <w:p w14:paraId="5B518598"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617EFD5F" w14:textId="77777777" w:rsidR="002668A9" w:rsidRPr="002668A9" w:rsidRDefault="002668A9" w:rsidP="00D75095">
            <w:pPr>
              <w:rPr>
                <w:rFonts w:cs="Arial"/>
                <w:sz w:val="20"/>
                <w:szCs w:val="20"/>
              </w:rPr>
            </w:pPr>
          </w:p>
        </w:tc>
      </w:tr>
      <w:tr w:rsidR="002668A9" w:rsidRPr="002668A9" w14:paraId="76BFEEEB" w14:textId="77777777" w:rsidTr="00681106">
        <w:trPr>
          <w:trHeight w:val="464"/>
        </w:trPr>
        <w:tc>
          <w:tcPr>
            <w:tcW w:w="781" w:type="pct"/>
            <w:vMerge w:val="restart"/>
            <w:shd w:val="clear" w:color="auto" w:fill="auto"/>
          </w:tcPr>
          <w:p w14:paraId="0AEF2325" w14:textId="77777777" w:rsidR="002668A9" w:rsidRPr="002668A9" w:rsidRDefault="002668A9" w:rsidP="00D75095">
            <w:pPr>
              <w:rPr>
                <w:rFonts w:cs="Arial"/>
                <w:sz w:val="20"/>
                <w:szCs w:val="20"/>
              </w:rPr>
            </w:pPr>
            <w:r w:rsidRPr="002668A9">
              <w:rPr>
                <w:rFonts w:cs="Arial"/>
                <w:sz w:val="20"/>
                <w:szCs w:val="20"/>
              </w:rPr>
              <w:t>Clarification of ecological guideline values - wildlife</w:t>
            </w:r>
          </w:p>
        </w:tc>
        <w:tc>
          <w:tcPr>
            <w:tcW w:w="1290" w:type="pct"/>
            <w:vMerge w:val="restart"/>
          </w:tcPr>
          <w:p w14:paraId="1323FC84" w14:textId="77777777" w:rsidR="002668A9" w:rsidRPr="002668A9" w:rsidRDefault="002668A9" w:rsidP="00D75095">
            <w:pPr>
              <w:rPr>
                <w:rFonts w:cs="Arial"/>
                <w:sz w:val="20"/>
                <w:szCs w:val="20"/>
              </w:rPr>
            </w:pPr>
            <w:r w:rsidRPr="002668A9">
              <w:rPr>
                <w:rFonts w:cs="Arial"/>
                <w:sz w:val="20"/>
                <w:szCs w:val="20"/>
              </w:rPr>
              <w:t>The NEMP values are not remediation values and further guidance is requested about using them appropriately.</w:t>
            </w:r>
          </w:p>
          <w:p w14:paraId="669AFEA9" w14:textId="77777777" w:rsidR="002668A9" w:rsidRPr="002668A9" w:rsidRDefault="002668A9" w:rsidP="00D75095">
            <w:pPr>
              <w:rPr>
                <w:rFonts w:cs="Arial"/>
                <w:sz w:val="20"/>
                <w:szCs w:val="20"/>
              </w:rPr>
            </w:pPr>
            <w:r w:rsidRPr="002668A9">
              <w:rPr>
                <w:rFonts w:cs="Arial"/>
                <w:sz w:val="20"/>
                <w:szCs w:val="20"/>
              </w:rPr>
              <w:lastRenderedPageBreak/>
              <w:t>The examples of relevant considerations for assessing risks to secondary consumers need be more pragmatic for the ecological indirect guidance.</w:t>
            </w:r>
          </w:p>
          <w:p w14:paraId="632887C3" w14:textId="77777777" w:rsidR="002668A9" w:rsidRPr="002668A9" w:rsidRDefault="002668A9" w:rsidP="00D75095">
            <w:pPr>
              <w:rPr>
                <w:rFonts w:cs="Arial"/>
                <w:sz w:val="20"/>
                <w:szCs w:val="20"/>
              </w:rPr>
            </w:pPr>
            <w:r w:rsidRPr="002668A9">
              <w:rPr>
                <w:rFonts w:cs="Arial"/>
                <w:sz w:val="20"/>
                <w:szCs w:val="20"/>
              </w:rPr>
              <w:t>What does ww mean? Can more information be provided about the Uncertainty factor used in table 4?</w:t>
            </w:r>
          </w:p>
          <w:p w14:paraId="24ED3309" w14:textId="77777777" w:rsidR="002668A9" w:rsidRPr="002668A9" w:rsidRDefault="002668A9" w:rsidP="00D75095">
            <w:pPr>
              <w:rPr>
                <w:rFonts w:cs="Arial"/>
                <w:sz w:val="20"/>
                <w:szCs w:val="20"/>
              </w:rPr>
            </w:pPr>
            <w:r w:rsidRPr="002668A9">
              <w:rPr>
                <w:rFonts w:cs="Arial"/>
                <w:sz w:val="20"/>
                <w:szCs w:val="20"/>
              </w:rPr>
              <w:t>The Canadian guidelines are for PFOS only - why is the heading in table 4 PFOS+PFHxS? Is this a typo?</w:t>
            </w:r>
          </w:p>
        </w:tc>
        <w:tc>
          <w:tcPr>
            <w:tcW w:w="921" w:type="pct"/>
            <w:vMerge w:val="restart"/>
          </w:tcPr>
          <w:p w14:paraId="4465E30F" w14:textId="77777777" w:rsidR="00014C8A" w:rsidRPr="002668A9" w:rsidRDefault="00014C8A" w:rsidP="00D75095">
            <w:pPr>
              <w:rPr>
                <w:rFonts w:cs="Arial"/>
                <w:sz w:val="20"/>
                <w:szCs w:val="20"/>
              </w:rPr>
            </w:pPr>
            <w:r>
              <w:rPr>
                <w:rFonts w:cs="Arial"/>
                <w:sz w:val="20"/>
                <w:szCs w:val="20"/>
              </w:rPr>
              <w:lastRenderedPageBreak/>
              <w:t>Australia Pacific Airports Corporation</w:t>
            </w:r>
          </w:p>
          <w:p w14:paraId="13C4965C" w14:textId="401A1E0F" w:rsidR="00014C8A" w:rsidRPr="002668A9" w:rsidRDefault="00406A71" w:rsidP="00D75095">
            <w:pPr>
              <w:rPr>
                <w:rFonts w:cs="Arial"/>
                <w:sz w:val="20"/>
                <w:szCs w:val="20"/>
              </w:rPr>
            </w:pPr>
            <w:r>
              <w:rPr>
                <w:rFonts w:cs="Arial"/>
                <w:sz w:val="20"/>
                <w:szCs w:val="20"/>
              </w:rPr>
              <w:lastRenderedPageBreak/>
              <w:t>Burdekin Shire Council and Bligh Tanner</w:t>
            </w:r>
          </w:p>
          <w:p w14:paraId="77C90E14" w14:textId="77777777" w:rsidR="00014C8A" w:rsidRDefault="00014C8A" w:rsidP="00D75095">
            <w:pPr>
              <w:rPr>
                <w:rFonts w:cs="Arial"/>
                <w:sz w:val="20"/>
                <w:szCs w:val="20"/>
              </w:rPr>
            </w:pPr>
            <w:r>
              <w:rPr>
                <w:rFonts w:cs="Arial"/>
                <w:sz w:val="20"/>
                <w:szCs w:val="20"/>
              </w:rPr>
              <w:t>EnRiskS</w:t>
            </w:r>
          </w:p>
          <w:p w14:paraId="772DFA1E" w14:textId="67A063FE" w:rsidR="00014C8A" w:rsidRPr="002668A9" w:rsidRDefault="001A0C05" w:rsidP="00D75095">
            <w:pPr>
              <w:rPr>
                <w:rFonts w:cs="Arial"/>
                <w:sz w:val="20"/>
                <w:szCs w:val="20"/>
              </w:rPr>
            </w:pPr>
            <w:r>
              <w:rPr>
                <w:rFonts w:cs="Arial"/>
                <w:sz w:val="20"/>
                <w:szCs w:val="20"/>
              </w:rPr>
              <w:t>NZ Regional</w:t>
            </w:r>
            <w:r w:rsidR="00406A71">
              <w:rPr>
                <w:rFonts w:cs="Arial"/>
                <w:sz w:val="20"/>
                <w:szCs w:val="20"/>
              </w:rPr>
              <w:t xml:space="preserve"> and Unitary Councils - Contaminated Land and Waste Special Interest Group</w:t>
            </w:r>
          </w:p>
          <w:p w14:paraId="6AAA4FEA" w14:textId="39E13D9F" w:rsidR="001B3561" w:rsidRPr="002668A9" w:rsidRDefault="00014C8A" w:rsidP="00D75095">
            <w:pPr>
              <w:rPr>
                <w:rFonts w:cs="Arial"/>
                <w:sz w:val="20"/>
                <w:szCs w:val="20"/>
              </w:rPr>
            </w:pPr>
            <w:r>
              <w:rPr>
                <w:rFonts w:cs="Arial"/>
                <w:sz w:val="20"/>
                <w:szCs w:val="20"/>
              </w:rPr>
              <w:t>Queensland Airports Ltd</w:t>
            </w:r>
          </w:p>
        </w:tc>
        <w:tc>
          <w:tcPr>
            <w:tcW w:w="2008" w:type="pct"/>
            <w:vMerge w:val="restart"/>
            <w:shd w:val="clear" w:color="auto" w:fill="auto"/>
            <w:tcMar>
              <w:top w:w="0" w:type="dxa"/>
              <w:left w:w="108" w:type="dxa"/>
              <w:bottom w:w="0" w:type="dxa"/>
              <w:right w:w="108" w:type="dxa"/>
            </w:tcMar>
          </w:tcPr>
          <w:p w14:paraId="22C8B36E" w14:textId="77777777" w:rsidR="002668A9" w:rsidRPr="002668A9" w:rsidRDefault="002668A9" w:rsidP="00D75095">
            <w:pPr>
              <w:rPr>
                <w:rFonts w:cs="Arial"/>
                <w:sz w:val="20"/>
                <w:szCs w:val="20"/>
              </w:rPr>
            </w:pPr>
            <w:r w:rsidRPr="002668A9">
              <w:rPr>
                <w:rFonts w:cs="Arial"/>
                <w:sz w:val="20"/>
                <w:szCs w:val="20"/>
              </w:rPr>
              <w:lastRenderedPageBreak/>
              <w:t>Additional clarification has been provided on:</w:t>
            </w:r>
          </w:p>
          <w:p w14:paraId="08983A43" w14:textId="77777777" w:rsidR="002668A9" w:rsidRPr="002668A9" w:rsidRDefault="002668A9" w:rsidP="00635E8A">
            <w:pPr>
              <w:numPr>
                <w:ilvl w:val="0"/>
                <w:numId w:val="2"/>
              </w:numPr>
              <w:rPr>
                <w:rFonts w:cs="Arial"/>
                <w:sz w:val="20"/>
                <w:szCs w:val="20"/>
              </w:rPr>
            </w:pPr>
            <w:r w:rsidRPr="002668A9">
              <w:rPr>
                <w:rFonts w:cs="Arial"/>
                <w:sz w:val="20"/>
                <w:szCs w:val="20"/>
              </w:rPr>
              <w:lastRenderedPageBreak/>
              <w:t>how the guideline values are to be used, including updates in the table;</w:t>
            </w:r>
          </w:p>
          <w:p w14:paraId="52FFD1C3" w14:textId="12ED9DBC" w:rsidR="002668A9" w:rsidRPr="002668A9" w:rsidRDefault="002668A9" w:rsidP="00635E8A">
            <w:pPr>
              <w:numPr>
                <w:ilvl w:val="0"/>
                <w:numId w:val="2"/>
              </w:numPr>
              <w:rPr>
                <w:rFonts w:cs="Arial"/>
                <w:sz w:val="20"/>
                <w:szCs w:val="20"/>
              </w:rPr>
            </w:pPr>
            <w:r w:rsidRPr="002668A9">
              <w:rPr>
                <w:rFonts w:cs="Arial"/>
                <w:sz w:val="20"/>
                <w:szCs w:val="20"/>
              </w:rPr>
              <w:t>wet weight</w:t>
            </w:r>
            <w:r w:rsidR="00480D4D">
              <w:rPr>
                <w:rFonts w:cs="Arial"/>
                <w:sz w:val="20"/>
                <w:szCs w:val="20"/>
              </w:rPr>
              <w:t xml:space="preserve"> (ww)</w:t>
            </w:r>
            <w:r w:rsidRPr="002668A9">
              <w:rPr>
                <w:rFonts w:cs="Arial"/>
                <w:sz w:val="20"/>
                <w:szCs w:val="20"/>
              </w:rPr>
              <w:t>; and</w:t>
            </w:r>
          </w:p>
          <w:p w14:paraId="3B1F133C" w14:textId="77777777" w:rsidR="002668A9" w:rsidRPr="002668A9" w:rsidRDefault="002668A9" w:rsidP="00635E8A">
            <w:pPr>
              <w:numPr>
                <w:ilvl w:val="0"/>
                <w:numId w:val="2"/>
              </w:numPr>
              <w:rPr>
                <w:rFonts w:cs="Arial"/>
                <w:sz w:val="20"/>
                <w:szCs w:val="20"/>
              </w:rPr>
            </w:pPr>
            <w:r w:rsidRPr="002668A9">
              <w:rPr>
                <w:rFonts w:cs="Arial"/>
                <w:sz w:val="20"/>
                <w:szCs w:val="20"/>
              </w:rPr>
              <w:t xml:space="preserve">Canadian guidelines which are for PFOS only, </w:t>
            </w:r>
          </w:p>
          <w:p w14:paraId="3231C621" w14:textId="352E84A2" w:rsidR="002668A9" w:rsidRPr="002668A9" w:rsidRDefault="002668A9" w:rsidP="00D75095">
            <w:pPr>
              <w:rPr>
                <w:rFonts w:cs="Arial"/>
                <w:sz w:val="20"/>
                <w:szCs w:val="20"/>
              </w:rPr>
            </w:pPr>
            <w:r w:rsidRPr="002668A9">
              <w:rPr>
                <w:rFonts w:cs="Arial"/>
                <w:sz w:val="20"/>
                <w:szCs w:val="20"/>
              </w:rPr>
              <w:t xml:space="preserve">For the NEMP </w:t>
            </w:r>
            <w:r w:rsidR="000527CB">
              <w:rPr>
                <w:rFonts w:cs="Arial"/>
                <w:sz w:val="20"/>
                <w:szCs w:val="20"/>
              </w:rPr>
              <w:t>2.0</w:t>
            </w:r>
            <w:r w:rsidR="00DE277A">
              <w:rPr>
                <w:rFonts w:cs="Arial"/>
                <w:sz w:val="20"/>
                <w:szCs w:val="20"/>
              </w:rPr>
              <w:t>,</w:t>
            </w:r>
            <w:r w:rsidRPr="002668A9">
              <w:rPr>
                <w:rFonts w:cs="Arial"/>
                <w:sz w:val="20"/>
                <w:szCs w:val="20"/>
              </w:rPr>
              <w:t xml:space="preserve"> </w:t>
            </w:r>
            <w:r w:rsidR="007C34F3">
              <w:rPr>
                <w:rFonts w:cs="Arial"/>
                <w:sz w:val="20"/>
                <w:szCs w:val="20"/>
              </w:rPr>
              <w:t>criteria are given as</w:t>
            </w:r>
            <w:r w:rsidRPr="002668A9">
              <w:rPr>
                <w:rFonts w:cs="Arial"/>
                <w:sz w:val="20"/>
                <w:szCs w:val="20"/>
              </w:rPr>
              <w:t xml:space="preserve"> the sum of PFOS</w:t>
            </w:r>
            <w:r w:rsidR="007C34F3">
              <w:rPr>
                <w:rFonts w:cs="Arial"/>
                <w:sz w:val="20"/>
                <w:szCs w:val="20"/>
              </w:rPr>
              <w:t xml:space="preserve"> and</w:t>
            </w:r>
            <w:r w:rsidR="00DE277A">
              <w:rPr>
                <w:rFonts w:cs="Arial"/>
                <w:sz w:val="20"/>
                <w:szCs w:val="20"/>
              </w:rPr>
              <w:t xml:space="preserve"> </w:t>
            </w:r>
            <w:r w:rsidRPr="002668A9">
              <w:rPr>
                <w:rFonts w:cs="Arial"/>
                <w:sz w:val="20"/>
                <w:szCs w:val="20"/>
              </w:rPr>
              <w:t>PFHxS</w:t>
            </w:r>
            <w:r w:rsidR="007C34F3">
              <w:rPr>
                <w:rFonts w:cs="Arial"/>
                <w:sz w:val="20"/>
                <w:szCs w:val="20"/>
              </w:rPr>
              <w:t xml:space="preserve"> to account for the toxicity of both</w:t>
            </w:r>
            <w:r w:rsidRPr="002668A9">
              <w:rPr>
                <w:rFonts w:cs="Arial"/>
                <w:sz w:val="20"/>
                <w:szCs w:val="20"/>
              </w:rPr>
              <w:t xml:space="preserve">. Additional text has been added to the NEMP </w:t>
            </w:r>
            <w:r w:rsidR="000527CB">
              <w:rPr>
                <w:rFonts w:cs="Arial"/>
                <w:sz w:val="20"/>
                <w:szCs w:val="20"/>
              </w:rPr>
              <w:t>2.0</w:t>
            </w:r>
            <w:r w:rsidRPr="002668A9">
              <w:rPr>
                <w:rFonts w:cs="Arial"/>
                <w:sz w:val="20"/>
                <w:szCs w:val="20"/>
              </w:rPr>
              <w:t xml:space="preserve"> to explain this and indicate it is not a typo.</w:t>
            </w:r>
          </w:p>
          <w:p w14:paraId="3A8AB7F4" w14:textId="77777777" w:rsidR="002668A9" w:rsidRPr="002668A9" w:rsidRDefault="002668A9" w:rsidP="00D75095">
            <w:pPr>
              <w:rPr>
                <w:rFonts w:cs="Arial"/>
                <w:sz w:val="20"/>
                <w:szCs w:val="20"/>
              </w:rPr>
            </w:pPr>
            <w:r w:rsidRPr="002668A9">
              <w:rPr>
                <w:rFonts w:cs="Arial"/>
                <w:sz w:val="20"/>
                <w:szCs w:val="20"/>
              </w:rPr>
              <w:t>Clarification is provided that the guideline values are for site investigations and not intended as clean-up criteria.</w:t>
            </w:r>
          </w:p>
        </w:tc>
      </w:tr>
      <w:tr w:rsidR="002668A9" w:rsidRPr="002668A9" w14:paraId="1078AA17" w14:textId="77777777" w:rsidTr="00681106">
        <w:trPr>
          <w:trHeight w:val="504"/>
        </w:trPr>
        <w:tc>
          <w:tcPr>
            <w:tcW w:w="781" w:type="pct"/>
            <w:vMerge/>
            <w:shd w:val="clear" w:color="auto" w:fill="auto"/>
          </w:tcPr>
          <w:p w14:paraId="3C3DA110" w14:textId="77777777" w:rsidR="002668A9" w:rsidRPr="002668A9" w:rsidRDefault="002668A9" w:rsidP="00D75095">
            <w:pPr>
              <w:rPr>
                <w:rFonts w:cs="Arial"/>
                <w:sz w:val="20"/>
                <w:szCs w:val="20"/>
              </w:rPr>
            </w:pPr>
          </w:p>
        </w:tc>
        <w:tc>
          <w:tcPr>
            <w:tcW w:w="1290" w:type="pct"/>
            <w:vMerge/>
          </w:tcPr>
          <w:p w14:paraId="2358A7AC" w14:textId="77777777" w:rsidR="002668A9" w:rsidRPr="002668A9" w:rsidRDefault="002668A9" w:rsidP="00D75095">
            <w:pPr>
              <w:rPr>
                <w:rFonts w:cs="Arial"/>
                <w:sz w:val="20"/>
                <w:szCs w:val="20"/>
              </w:rPr>
            </w:pPr>
          </w:p>
        </w:tc>
        <w:tc>
          <w:tcPr>
            <w:tcW w:w="921" w:type="pct"/>
            <w:vMerge/>
          </w:tcPr>
          <w:p w14:paraId="1B25488E"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005D259D" w14:textId="77777777" w:rsidR="002668A9" w:rsidRPr="002668A9" w:rsidRDefault="002668A9" w:rsidP="00D75095">
            <w:pPr>
              <w:rPr>
                <w:rFonts w:cs="Arial"/>
                <w:sz w:val="20"/>
                <w:szCs w:val="20"/>
              </w:rPr>
            </w:pPr>
          </w:p>
        </w:tc>
      </w:tr>
      <w:tr w:rsidR="002668A9" w:rsidRPr="002668A9" w14:paraId="0C0A3C25" w14:textId="77777777" w:rsidTr="00681106">
        <w:trPr>
          <w:trHeight w:val="504"/>
        </w:trPr>
        <w:tc>
          <w:tcPr>
            <w:tcW w:w="781" w:type="pct"/>
            <w:vMerge/>
            <w:shd w:val="clear" w:color="auto" w:fill="auto"/>
          </w:tcPr>
          <w:p w14:paraId="0021F4B9" w14:textId="77777777" w:rsidR="002668A9" w:rsidRPr="002668A9" w:rsidRDefault="002668A9" w:rsidP="00D75095">
            <w:pPr>
              <w:rPr>
                <w:rFonts w:cs="Arial"/>
                <w:sz w:val="20"/>
                <w:szCs w:val="20"/>
              </w:rPr>
            </w:pPr>
          </w:p>
        </w:tc>
        <w:tc>
          <w:tcPr>
            <w:tcW w:w="1290" w:type="pct"/>
            <w:vMerge/>
          </w:tcPr>
          <w:p w14:paraId="31B6202D" w14:textId="77777777" w:rsidR="002668A9" w:rsidRPr="002668A9" w:rsidRDefault="002668A9" w:rsidP="00D75095">
            <w:pPr>
              <w:rPr>
                <w:rFonts w:cs="Arial"/>
                <w:sz w:val="20"/>
                <w:szCs w:val="20"/>
              </w:rPr>
            </w:pPr>
          </w:p>
        </w:tc>
        <w:tc>
          <w:tcPr>
            <w:tcW w:w="921" w:type="pct"/>
            <w:vMerge/>
          </w:tcPr>
          <w:p w14:paraId="32FD2883"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3507EC8A" w14:textId="77777777" w:rsidR="002668A9" w:rsidRPr="002668A9" w:rsidRDefault="002668A9" w:rsidP="00D75095">
            <w:pPr>
              <w:rPr>
                <w:rFonts w:cs="Arial"/>
                <w:sz w:val="20"/>
                <w:szCs w:val="20"/>
              </w:rPr>
            </w:pPr>
          </w:p>
        </w:tc>
      </w:tr>
      <w:tr w:rsidR="002668A9" w:rsidRPr="002668A9" w14:paraId="10B3ED83" w14:textId="77777777" w:rsidTr="00681106">
        <w:trPr>
          <w:trHeight w:val="504"/>
        </w:trPr>
        <w:tc>
          <w:tcPr>
            <w:tcW w:w="781" w:type="pct"/>
            <w:vMerge/>
            <w:shd w:val="clear" w:color="auto" w:fill="auto"/>
          </w:tcPr>
          <w:p w14:paraId="7FB216A4" w14:textId="77777777" w:rsidR="002668A9" w:rsidRPr="002668A9" w:rsidRDefault="002668A9" w:rsidP="00D75095">
            <w:pPr>
              <w:rPr>
                <w:rFonts w:cs="Arial"/>
                <w:sz w:val="20"/>
                <w:szCs w:val="20"/>
              </w:rPr>
            </w:pPr>
          </w:p>
        </w:tc>
        <w:tc>
          <w:tcPr>
            <w:tcW w:w="1290" w:type="pct"/>
            <w:vMerge/>
          </w:tcPr>
          <w:p w14:paraId="6E1B86CD" w14:textId="77777777" w:rsidR="002668A9" w:rsidRPr="002668A9" w:rsidRDefault="002668A9" w:rsidP="00D75095">
            <w:pPr>
              <w:rPr>
                <w:rFonts w:cs="Arial"/>
                <w:sz w:val="20"/>
                <w:szCs w:val="20"/>
              </w:rPr>
            </w:pPr>
          </w:p>
        </w:tc>
        <w:tc>
          <w:tcPr>
            <w:tcW w:w="921" w:type="pct"/>
            <w:vMerge/>
          </w:tcPr>
          <w:p w14:paraId="310F5A63"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350B61CE" w14:textId="77777777" w:rsidR="002668A9" w:rsidRPr="002668A9" w:rsidRDefault="002668A9" w:rsidP="00D75095">
            <w:pPr>
              <w:rPr>
                <w:rFonts w:cs="Arial"/>
                <w:sz w:val="20"/>
                <w:szCs w:val="20"/>
              </w:rPr>
            </w:pPr>
          </w:p>
        </w:tc>
      </w:tr>
      <w:tr w:rsidR="002668A9" w:rsidRPr="002668A9" w14:paraId="116CF584" w14:textId="77777777" w:rsidTr="00681106">
        <w:trPr>
          <w:trHeight w:val="504"/>
        </w:trPr>
        <w:tc>
          <w:tcPr>
            <w:tcW w:w="781" w:type="pct"/>
            <w:vMerge/>
            <w:shd w:val="clear" w:color="auto" w:fill="auto"/>
          </w:tcPr>
          <w:p w14:paraId="61AB6D9D" w14:textId="77777777" w:rsidR="002668A9" w:rsidRPr="002668A9" w:rsidRDefault="002668A9" w:rsidP="00D75095">
            <w:pPr>
              <w:rPr>
                <w:rFonts w:cs="Arial"/>
                <w:sz w:val="20"/>
                <w:szCs w:val="20"/>
              </w:rPr>
            </w:pPr>
          </w:p>
        </w:tc>
        <w:tc>
          <w:tcPr>
            <w:tcW w:w="1290" w:type="pct"/>
            <w:vMerge/>
          </w:tcPr>
          <w:p w14:paraId="089914A1" w14:textId="77777777" w:rsidR="002668A9" w:rsidRPr="002668A9" w:rsidRDefault="002668A9" w:rsidP="00D75095">
            <w:pPr>
              <w:rPr>
                <w:rFonts w:cs="Arial"/>
                <w:sz w:val="20"/>
                <w:szCs w:val="20"/>
              </w:rPr>
            </w:pPr>
          </w:p>
        </w:tc>
        <w:tc>
          <w:tcPr>
            <w:tcW w:w="921" w:type="pct"/>
            <w:vMerge/>
          </w:tcPr>
          <w:p w14:paraId="73B909E0"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1CBCC8B8" w14:textId="77777777" w:rsidR="002668A9" w:rsidRPr="002668A9" w:rsidRDefault="002668A9" w:rsidP="00D75095">
            <w:pPr>
              <w:rPr>
                <w:rFonts w:cs="Arial"/>
                <w:sz w:val="20"/>
                <w:szCs w:val="20"/>
              </w:rPr>
            </w:pPr>
          </w:p>
        </w:tc>
      </w:tr>
      <w:tr w:rsidR="002668A9" w:rsidRPr="002668A9" w14:paraId="7B887A3E" w14:textId="77777777" w:rsidTr="00681106">
        <w:trPr>
          <w:trHeight w:val="464"/>
        </w:trPr>
        <w:tc>
          <w:tcPr>
            <w:tcW w:w="781" w:type="pct"/>
            <w:vMerge w:val="restart"/>
            <w:shd w:val="clear" w:color="auto" w:fill="auto"/>
          </w:tcPr>
          <w:p w14:paraId="1C13850C" w14:textId="434E4ADE" w:rsidR="002668A9" w:rsidRPr="002668A9" w:rsidRDefault="002668A9" w:rsidP="00D75095">
            <w:pPr>
              <w:rPr>
                <w:rFonts w:cs="Arial"/>
                <w:sz w:val="20"/>
                <w:szCs w:val="20"/>
              </w:rPr>
            </w:pPr>
            <w:r w:rsidRPr="002668A9">
              <w:rPr>
                <w:rFonts w:cs="Arial"/>
                <w:sz w:val="20"/>
                <w:szCs w:val="20"/>
              </w:rPr>
              <w:t>Human health and ecol</w:t>
            </w:r>
            <w:r w:rsidR="003D4B71">
              <w:rPr>
                <w:rFonts w:cs="Arial"/>
                <w:sz w:val="20"/>
                <w:szCs w:val="20"/>
              </w:rPr>
              <w:t xml:space="preserve">ogical guidelines – publishing </w:t>
            </w:r>
            <w:r w:rsidRPr="002668A9">
              <w:rPr>
                <w:rFonts w:cs="Arial"/>
                <w:sz w:val="20"/>
                <w:szCs w:val="20"/>
              </w:rPr>
              <w:t>supporting analysis</w:t>
            </w:r>
          </w:p>
        </w:tc>
        <w:tc>
          <w:tcPr>
            <w:tcW w:w="1290" w:type="pct"/>
            <w:vMerge w:val="restart"/>
          </w:tcPr>
          <w:p w14:paraId="33E3EAC3" w14:textId="77777777" w:rsidR="002668A9" w:rsidRPr="002668A9" w:rsidRDefault="002668A9" w:rsidP="00D75095">
            <w:pPr>
              <w:rPr>
                <w:rFonts w:cs="Arial"/>
                <w:sz w:val="20"/>
                <w:szCs w:val="20"/>
              </w:rPr>
            </w:pPr>
            <w:r w:rsidRPr="002668A9">
              <w:rPr>
                <w:rFonts w:cs="Arial"/>
                <w:sz w:val="20"/>
                <w:szCs w:val="20"/>
              </w:rPr>
              <w:t>Publish the data, assumptions and calculations used to determine the human health and ecological guidelines.</w:t>
            </w:r>
          </w:p>
          <w:p w14:paraId="49B206AB" w14:textId="77777777" w:rsidR="002668A9" w:rsidRPr="002668A9" w:rsidRDefault="002668A9" w:rsidP="00D75095">
            <w:pPr>
              <w:rPr>
                <w:rFonts w:cs="Arial"/>
                <w:sz w:val="20"/>
                <w:szCs w:val="20"/>
              </w:rPr>
            </w:pPr>
            <w:r w:rsidRPr="002668A9">
              <w:rPr>
                <w:rFonts w:cs="Arial"/>
                <w:sz w:val="20"/>
                <w:szCs w:val="20"/>
              </w:rPr>
              <w:t>Clarify the land use scenarios.</w:t>
            </w:r>
          </w:p>
        </w:tc>
        <w:tc>
          <w:tcPr>
            <w:tcW w:w="921" w:type="pct"/>
            <w:vMerge w:val="restart"/>
          </w:tcPr>
          <w:p w14:paraId="12C7EBD8" w14:textId="77777777" w:rsidR="00014C8A" w:rsidRPr="002668A9" w:rsidRDefault="00014C8A" w:rsidP="004051EA">
            <w:pPr>
              <w:rPr>
                <w:rFonts w:cs="Arial"/>
                <w:sz w:val="20"/>
                <w:szCs w:val="20"/>
              </w:rPr>
            </w:pPr>
            <w:r>
              <w:rPr>
                <w:rFonts w:cs="Arial"/>
                <w:sz w:val="20"/>
                <w:szCs w:val="20"/>
              </w:rPr>
              <w:t>Australasian Land and Groundwater Association – submission 1</w:t>
            </w:r>
          </w:p>
          <w:p w14:paraId="1AAF6C3A" w14:textId="77777777" w:rsidR="00014C8A" w:rsidRDefault="00014C8A" w:rsidP="00D75095">
            <w:pPr>
              <w:rPr>
                <w:rFonts w:cs="Arial"/>
                <w:sz w:val="20"/>
                <w:szCs w:val="20"/>
              </w:rPr>
            </w:pPr>
            <w:r>
              <w:rPr>
                <w:rFonts w:cs="Arial"/>
                <w:sz w:val="20"/>
                <w:szCs w:val="20"/>
              </w:rPr>
              <w:t>Australian Airports Association</w:t>
            </w:r>
          </w:p>
          <w:p w14:paraId="56D7ADBB" w14:textId="33DCE752" w:rsidR="00014C8A" w:rsidRDefault="001A0C05" w:rsidP="00D75095">
            <w:pPr>
              <w:rPr>
                <w:rFonts w:cs="Arial"/>
                <w:sz w:val="20"/>
                <w:szCs w:val="20"/>
              </w:rPr>
            </w:pPr>
            <w:r>
              <w:rPr>
                <w:rFonts w:cs="Arial"/>
                <w:sz w:val="20"/>
                <w:szCs w:val="20"/>
              </w:rPr>
              <w:t>NZ Regional</w:t>
            </w:r>
            <w:r w:rsidR="00406A71">
              <w:rPr>
                <w:rFonts w:cs="Arial"/>
                <w:sz w:val="20"/>
                <w:szCs w:val="20"/>
              </w:rPr>
              <w:t xml:space="preserve"> and Unitary Councils - Contaminated Land and Waste Special Interest Group</w:t>
            </w:r>
          </w:p>
          <w:p w14:paraId="2B30D5C5" w14:textId="77777777" w:rsidR="00014C8A" w:rsidRDefault="00014C8A" w:rsidP="00D75095">
            <w:pPr>
              <w:rPr>
                <w:rFonts w:cs="Arial"/>
                <w:sz w:val="20"/>
                <w:szCs w:val="20"/>
              </w:rPr>
            </w:pPr>
            <w:r>
              <w:rPr>
                <w:rFonts w:cs="Arial"/>
                <w:sz w:val="20"/>
                <w:szCs w:val="20"/>
              </w:rPr>
              <w:t>Sydney Airport</w:t>
            </w:r>
          </w:p>
          <w:p w14:paraId="724DE5EF" w14:textId="244E4031" w:rsidR="002668A9" w:rsidRPr="002668A9" w:rsidRDefault="002668A9" w:rsidP="00D75095">
            <w:pPr>
              <w:rPr>
                <w:rFonts w:cs="Arial"/>
                <w:sz w:val="20"/>
                <w:szCs w:val="20"/>
              </w:rPr>
            </w:pPr>
          </w:p>
        </w:tc>
        <w:tc>
          <w:tcPr>
            <w:tcW w:w="2008" w:type="pct"/>
            <w:vMerge w:val="restart"/>
            <w:shd w:val="clear" w:color="auto" w:fill="auto"/>
            <w:tcMar>
              <w:top w:w="0" w:type="dxa"/>
              <w:left w:w="108" w:type="dxa"/>
              <w:bottom w:w="0" w:type="dxa"/>
              <w:right w:w="108" w:type="dxa"/>
            </w:tcMar>
          </w:tcPr>
          <w:p w14:paraId="6B70AE57" w14:textId="77777777" w:rsidR="007C34F3" w:rsidRPr="002668A9" w:rsidRDefault="007C34F3" w:rsidP="007C34F3">
            <w:pPr>
              <w:rPr>
                <w:rFonts w:cs="Arial"/>
                <w:sz w:val="20"/>
                <w:szCs w:val="20"/>
              </w:rPr>
            </w:pPr>
            <w:r>
              <w:rPr>
                <w:rFonts w:cs="Arial"/>
                <w:sz w:val="20"/>
                <w:szCs w:val="20"/>
              </w:rPr>
              <w:t>The</w:t>
            </w:r>
            <w:r w:rsidRPr="002668A9">
              <w:rPr>
                <w:rFonts w:cs="Arial"/>
                <w:sz w:val="20"/>
                <w:szCs w:val="20"/>
              </w:rPr>
              <w:t xml:space="preserve"> NSW OEH Report </w:t>
            </w:r>
            <w:r>
              <w:rPr>
                <w:rFonts w:cs="Arial"/>
                <w:sz w:val="20"/>
                <w:szCs w:val="20"/>
              </w:rPr>
              <w:t xml:space="preserve">which summarised the considerations undertaken by a multi-jurisdictional team established under the NEMP 2.0 work program, </w:t>
            </w:r>
            <w:r w:rsidRPr="002668A9">
              <w:rPr>
                <w:rFonts w:cs="Arial"/>
                <w:sz w:val="20"/>
                <w:szCs w:val="20"/>
              </w:rPr>
              <w:t>was provided and the consultation period was extended to allow for stakeholder consideration. This report includes information on derivation of the soil criteria based on the ASC NEPM.</w:t>
            </w:r>
          </w:p>
          <w:p w14:paraId="317AFD15" w14:textId="62AA4939" w:rsidR="002668A9" w:rsidRPr="002668A9" w:rsidRDefault="002668A9" w:rsidP="00D75095">
            <w:pPr>
              <w:rPr>
                <w:rFonts w:cs="Arial"/>
                <w:sz w:val="20"/>
                <w:szCs w:val="20"/>
              </w:rPr>
            </w:pPr>
            <w:r w:rsidRPr="002668A9">
              <w:rPr>
                <w:rFonts w:cs="Arial"/>
                <w:sz w:val="20"/>
                <w:szCs w:val="20"/>
              </w:rPr>
              <w:t>on derivation of the soil criteria based on the ASC NEPM.</w:t>
            </w:r>
          </w:p>
          <w:p w14:paraId="564BE0D3" w14:textId="16A62F44" w:rsidR="002668A9" w:rsidRPr="002668A9" w:rsidRDefault="002668A9" w:rsidP="00D75095">
            <w:pPr>
              <w:rPr>
                <w:rFonts w:cs="Arial"/>
                <w:sz w:val="20"/>
                <w:szCs w:val="20"/>
              </w:rPr>
            </w:pPr>
            <w:r w:rsidRPr="002668A9">
              <w:rPr>
                <w:rFonts w:cs="Arial"/>
                <w:sz w:val="20"/>
                <w:szCs w:val="20"/>
              </w:rPr>
              <w:t>Additional text on assumptions and land use have been added in the NEMP</w:t>
            </w:r>
            <w:r w:rsidR="003D4B71">
              <w:rPr>
                <w:rFonts w:cs="Arial"/>
                <w:sz w:val="20"/>
                <w:szCs w:val="20"/>
              </w:rPr>
              <w:t xml:space="preserve"> 2.0</w:t>
            </w:r>
            <w:r w:rsidRPr="002668A9">
              <w:rPr>
                <w:rFonts w:cs="Arial"/>
                <w:sz w:val="20"/>
                <w:szCs w:val="20"/>
              </w:rPr>
              <w:t xml:space="preserve">. </w:t>
            </w:r>
          </w:p>
          <w:p w14:paraId="37FCE275" w14:textId="39C7F3E3" w:rsidR="002668A9" w:rsidRPr="002668A9" w:rsidRDefault="002668A9" w:rsidP="00D75095">
            <w:pPr>
              <w:rPr>
                <w:rFonts w:cs="Arial"/>
                <w:sz w:val="20"/>
                <w:szCs w:val="20"/>
              </w:rPr>
            </w:pPr>
            <w:r w:rsidRPr="002668A9">
              <w:rPr>
                <w:rFonts w:cs="Arial"/>
                <w:sz w:val="20"/>
                <w:szCs w:val="20"/>
              </w:rPr>
              <w:t xml:space="preserve">Consultation comments which remain relevant will also be considered in further developing associated supporting reports and in future reviews of the NEMP. </w:t>
            </w:r>
          </w:p>
        </w:tc>
      </w:tr>
      <w:tr w:rsidR="002668A9" w:rsidRPr="002668A9" w14:paraId="6D41017F" w14:textId="77777777" w:rsidTr="00681106">
        <w:trPr>
          <w:trHeight w:val="504"/>
        </w:trPr>
        <w:tc>
          <w:tcPr>
            <w:tcW w:w="781" w:type="pct"/>
            <w:vMerge/>
            <w:shd w:val="clear" w:color="auto" w:fill="auto"/>
          </w:tcPr>
          <w:p w14:paraId="3DC69143" w14:textId="77777777" w:rsidR="002668A9" w:rsidRPr="002668A9" w:rsidRDefault="002668A9" w:rsidP="00D75095">
            <w:pPr>
              <w:rPr>
                <w:rFonts w:cs="Arial"/>
                <w:sz w:val="20"/>
                <w:szCs w:val="20"/>
              </w:rPr>
            </w:pPr>
          </w:p>
        </w:tc>
        <w:tc>
          <w:tcPr>
            <w:tcW w:w="1290" w:type="pct"/>
            <w:vMerge/>
          </w:tcPr>
          <w:p w14:paraId="05BF912F" w14:textId="77777777" w:rsidR="002668A9" w:rsidRPr="002668A9" w:rsidRDefault="002668A9" w:rsidP="00D75095">
            <w:pPr>
              <w:rPr>
                <w:rFonts w:cs="Arial"/>
                <w:sz w:val="20"/>
                <w:szCs w:val="20"/>
              </w:rPr>
            </w:pPr>
          </w:p>
        </w:tc>
        <w:tc>
          <w:tcPr>
            <w:tcW w:w="921" w:type="pct"/>
            <w:vMerge/>
          </w:tcPr>
          <w:p w14:paraId="21316363" w14:textId="77777777" w:rsidR="002668A9" w:rsidRPr="002668A9" w:rsidRDefault="002668A9" w:rsidP="00D75095">
            <w:pPr>
              <w:rPr>
                <w:rFonts w:cs="Arial"/>
                <w:sz w:val="20"/>
                <w:szCs w:val="20"/>
              </w:rPr>
            </w:pPr>
          </w:p>
        </w:tc>
        <w:tc>
          <w:tcPr>
            <w:tcW w:w="2008" w:type="pct"/>
            <w:vMerge/>
            <w:shd w:val="clear" w:color="auto" w:fill="auto"/>
            <w:tcMar>
              <w:top w:w="0" w:type="dxa"/>
              <w:left w:w="108" w:type="dxa"/>
              <w:bottom w:w="0" w:type="dxa"/>
              <w:right w:w="108" w:type="dxa"/>
            </w:tcMar>
          </w:tcPr>
          <w:p w14:paraId="7EBE7FFD" w14:textId="77777777" w:rsidR="002668A9" w:rsidRPr="002668A9" w:rsidRDefault="002668A9" w:rsidP="00D75095">
            <w:pPr>
              <w:rPr>
                <w:rFonts w:cs="Arial"/>
                <w:sz w:val="20"/>
                <w:szCs w:val="20"/>
              </w:rPr>
            </w:pPr>
          </w:p>
        </w:tc>
      </w:tr>
      <w:tr w:rsidR="002668A9" w:rsidRPr="002668A9" w14:paraId="2A949C99" w14:textId="77777777" w:rsidTr="00681106">
        <w:trPr>
          <w:trHeight w:val="504"/>
        </w:trPr>
        <w:tc>
          <w:tcPr>
            <w:tcW w:w="781" w:type="pct"/>
            <w:vMerge/>
            <w:shd w:val="clear" w:color="auto" w:fill="auto"/>
          </w:tcPr>
          <w:p w14:paraId="71E35740" w14:textId="77777777" w:rsidR="002668A9" w:rsidRPr="002668A9" w:rsidRDefault="002668A9" w:rsidP="00D75095">
            <w:pPr>
              <w:rPr>
                <w:rFonts w:cs="Arial"/>
                <w:sz w:val="20"/>
                <w:szCs w:val="20"/>
              </w:rPr>
            </w:pPr>
          </w:p>
        </w:tc>
        <w:tc>
          <w:tcPr>
            <w:tcW w:w="1290" w:type="pct"/>
            <w:vMerge/>
          </w:tcPr>
          <w:p w14:paraId="399724AB" w14:textId="77777777" w:rsidR="002668A9" w:rsidRPr="002668A9" w:rsidRDefault="002668A9" w:rsidP="00D75095">
            <w:pPr>
              <w:rPr>
                <w:rFonts w:cs="Arial"/>
                <w:sz w:val="20"/>
                <w:szCs w:val="20"/>
              </w:rPr>
            </w:pPr>
          </w:p>
        </w:tc>
        <w:tc>
          <w:tcPr>
            <w:tcW w:w="921" w:type="pct"/>
            <w:vMerge/>
          </w:tcPr>
          <w:p w14:paraId="766675AE"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53BD91F1" w14:textId="77777777" w:rsidR="002668A9" w:rsidRPr="002668A9" w:rsidRDefault="002668A9" w:rsidP="00D75095">
            <w:pPr>
              <w:rPr>
                <w:rFonts w:cs="Arial"/>
                <w:sz w:val="20"/>
                <w:szCs w:val="20"/>
              </w:rPr>
            </w:pPr>
          </w:p>
        </w:tc>
      </w:tr>
      <w:tr w:rsidR="002668A9" w:rsidRPr="002668A9" w14:paraId="281E6751" w14:textId="77777777" w:rsidTr="00681106">
        <w:trPr>
          <w:trHeight w:val="504"/>
        </w:trPr>
        <w:tc>
          <w:tcPr>
            <w:tcW w:w="781" w:type="pct"/>
            <w:vMerge/>
            <w:shd w:val="clear" w:color="auto" w:fill="auto"/>
          </w:tcPr>
          <w:p w14:paraId="22486F74" w14:textId="77777777" w:rsidR="002668A9" w:rsidRPr="002668A9" w:rsidRDefault="002668A9" w:rsidP="00D75095">
            <w:pPr>
              <w:rPr>
                <w:rFonts w:cs="Arial"/>
                <w:sz w:val="20"/>
                <w:szCs w:val="20"/>
              </w:rPr>
            </w:pPr>
          </w:p>
        </w:tc>
        <w:tc>
          <w:tcPr>
            <w:tcW w:w="1290" w:type="pct"/>
            <w:vMerge/>
          </w:tcPr>
          <w:p w14:paraId="4FE86EC3" w14:textId="77777777" w:rsidR="002668A9" w:rsidRPr="002668A9" w:rsidRDefault="002668A9" w:rsidP="00D75095">
            <w:pPr>
              <w:rPr>
                <w:rFonts w:cs="Arial"/>
                <w:sz w:val="20"/>
                <w:szCs w:val="20"/>
              </w:rPr>
            </w:pPr>
          </w:p>
        </w:tc>
        <w:tc>
          <w:tcPr>
            <w:tcW w:w="921" w:type="pct"/>
            <w:vMerge/>
          </w:tcPr>
          <w:p w14:paraId="22EDFC78"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1EFB41F7" w14:textId="77777777" w:rsidR="002668A9" w:rsidRPr="002668A9" w:rsidRDefault="002668A9" w:rsidP="00D75095">
            <w:pPr>
              <w:rPr>
                <w:rFonts w:cs="Arial"/>
                <w:sz w:val="20"/>
                <w:szCs w:val="20"/>
              </w:rPr>
            </w:pPr>
          </w:p>
        </w:tc>
      </w:tr>
      <w:tr w:rsidR="002668A9" w:rsidRPr="002668A9" w14:paraId="50A90486" w14:textId="77777777" w:rsidTr="00681106">
        <w:trPr>
          <w:trHeight w:val="4386"/>
        </w:trPr>
        <w:tc>
          <w:tcPr>
            <w:tcW w:w="781" w:type="pct"/>
            <w:vMerge w:val="restart"/>
            <w:shd w:val="clear" w:color="auto" w:fill="auto"/>
          </w:tcPr>
          <w:p w14:paraId="316E45F3" w14:textId="77777777" w:rsidR="002668A9" w:rsidRPr="002668A9" w:rsidRDefault="002668A9" w:rsidP="00D75095">
            <w:pPr>
              <w:rPr>
                <w:rFonts w:cs="Arial"/>
                <w:sz w:val="20"/>
                <w:szCs w:val="20"/>
              </w:rPr>
            </w:pPr>
            <w:r w:rsidRPr="002668A9">
              <w:rPr>
                <w:rFonts w:cs="Arial"/>
                <w:sz w:val="20"/>
                <w:szCs w:val="20"/>
              </w:rPr>
              <w:lastRenderedPageBreak/>
              <w:t xml:space="preserve">Human health guidelines - soil </w:t>
            </w:r>
          </w:p>
        </w:tc>
        <w:tc>
          <w:tcPr>
            <w:tcW w:w="1290" w:type="pct"/>
            <w:vMerge w:val="restart"/>
          </w:tcPr>
          <w:p w14:paraId="6E7E459B" w14:textId="77777777" w:rsidR="002668A9" w:rsidRPr="002668A9" w:rsidRDefault="002668A9" w:rsidP="00D75095">
            <w:pPr>
              <w:rPr>
                <w:rFonts w:cs="Arial"/>
                <w:sz w:val="20"/>
                <w:szCs w:val="20"/>
              </w:rPr>
            </w:pPr>
            <w:r w:rsidRPr="002668A9">
              <w:rPr>
                <w:rFonts w:cs="Arial"/>
                <w:sz w:val="20"/>
                <w:szCs w:val="20"/>
              </w:rPr>
              <w:t xml:space="preserve">Changes to two human health investigation levels (HILs) (PFOS + PFHxS, and PFOA) had been proposed in the draft NEMP 2.0 for the residential with garden/accessible soil scenario (HIL A). </w:t>
            </w:r>
          </w:p>
          <w:p w14:paraId="7D412C56" w14:textId="77777777" w:rsidR="002668A9" w:rsidRPr="002668A9" w:rsidRDefault="002668A9" w:rsidP="00D75095">
            <w:pPr>
              <w:rPr>
                <w:rFonts w:cs="Arial"/>
                <w:sz w:val="20"/>
                <w:szCs w:val="20"/>
              </w:rPr>
            </w:pPr>
            <w:r w:rsidRPr="002668A9">
              <w:rPr>
                <w:rFonts w:cs="Arial"/>
                <w:sz w:val="20"/>
                <w:szCs w:val="20"/>
              </w:rPr>
              <w:t xml:space="preserve">Comments requested: </w:t>
            </w:r>
          </w:p>
          <w:p w14:paraId="484EE823" w14:textId="77777777" w:rsidR="002668A9" w:rsidRPr="002668A9" w:rsidRDefault="002668A9" w:rsidP="001D2768">
            <w:pPr>
              <w:pStyle w:val="bullet1"/>
            </w:pPr>
            <w:r w:rsidRPr="002668A9">
              <w:t xml:space="preserve">non-standard calculations for specific circumstances; </w:t>
            </w:r>
          </w:p>
          <w:p w14:paraId="162C5B29" w14:textId="77777777" w:rsidR="002668A9" w:rsidRPr="002668A9" w:rsidRDefault="002668A9" w:rsidP="001D2768">
            <w:pPr>
              <w:pStyle w:val="bullet1"/>
            </w:pPr>
            <w:r w:rsidRPr="002668A9">
              <w:t xml:space="preserve">clarification on the underlying assumptions; </w:t>
            </w:r>
          </w:p>
          <w:p w14:paraId="3EB20292" w14:textId="77777777" w:rsidR="002668A9" w:rsidRPr="002668A9" w:rsidRDefault="002668A9" w:rsidP="001D2768">
            <w:pPr>
              <w:pStyle w:val="bullet1"/>
            </w:pPr>
            <w:r w:rsidRPr="002668A9">
              <w:t xml:space="preserve">consistency in terminology with the ASC NEPM; </w:t>
            </w:r>
          </w:p>
          <w:p w14:paraId="4E196A3D" w14:textId="77777777" w:rsidR="002668A9" w:rsidRPr="002668A9" w:rsidRDefault="002668A9" w:rsidP="001D2768">
            <w:pPr>
              <w:pStyle w:val="bullet1"/>
            </w:pPr>
            <w:r w:rsidRPr="002668A9">
              <w:lastRenderedPageBreak/>
              <w:t xml:space="preserve">access to the technical reports by NSW and QLD outlining the detailed calculations (this was subsequently released); and </w:t>
            </w:r>
          </w:p>
          <w:p w14:paraId="400D7FC6" w14:textId="77777777" w:rsidR="002668A9" w:rsidRPr="002668A9" w:rsidRDefault="002668A9" w:rsidP="001D2768">
            <w:pPr>
              <w:pStyle w:val="bullet1"/>
            </w:pPr>
            <w:r w:rsidRPr="002668A9">
              <w:t xml:space="preserve">a scientific review of new literature on transfer factors and incorporation of findings from this review into the calculations. </w:t>
            </w:r>
          </w:p>
          <w:p w14:paraId="60EBB20F" w14:textId="77777777" w:rsidR="002668A9" w:rsidRPr="002668A9" w:rsidRDefault="002668A9" w:rsidP="00D75095">
            <w:pPr>
              <w:rPr>
                <w:rFonts w:cs="Arial"/>
                <w:sz w:val="20"/>
                <w:szCs w:val="20"/>
              </w:rPr>
            </w:pPr>
            <w:r w:rsidRPr="002668A9">
              <w:rPr>
                <w:rFonts w:cs="Arial"/>
                <w:sz w:val="20"/>
                <w:szCs w:val="20"/>
              </w:rPr>
              <w:t xml:space="preserve">Clarification was also requested on: </w:t>
            </w:r>
          </w:p>
          <w:p w14:paraId="4D1ACF34" w14:textId="61496C27" w:rsidR="002668A9" w:rsidRPr="002668A9" w:rsidRDefault="002668A9" w:rsidP="001D2768">
            <w:pPr>
              <w:pStyle w:val="bullet1"/>
            </w:pPr>
            <w:r w:rsidRPr="002668A9">
              <w:t>background intake and exposure pathways</w:t>
            </w:r>
            <w:r w:rsidR="0004368C">
              <w:t xml:space="preserve"> including how the values</w:t>
            </w:r>
            <w:r w:rsidR="0026387C">
              <w:t xml:space="preserve"> in table 2 should be used</w:t>
            </w:r>
          </w:p>
          <w:p w14:paraId="188BCAFF" w14:textId="77777777" w:rsidR="002668A9" w:rsidRPr="002668A9" w:rsidRDefault="002668A9" w:rsidP="001D2768">
            <w:pPr>
              <w:pStyle w:val="bullet1"/>
            </w:pPr>
            <w:r w:rsidRPr="002668A9">
              <w:t>the sampling methods required</w:t>
            </w:r>
          </w:p>
          <w:p w14:paraId="45F74897" w14:textId="77777777" w:rsidR="002668A9" w:rsidRPr="002668A9" w:rsidRDefault="002668A9" w:rsidP="001D2768">
            <w:pPr>
              <w:pStyle w:val="bullet1"/>
            </w:pPr>
            <w:r w:rsidRPr="002668A9">
              <w:t>whether the updated investigation values for gardens with accessible soil apply to mulch and compost</w:t>
            </w:r>
          </w:p>
          <w:p w14:paraId="3AA8AC49" w14:textId="77777777" w:rsidR="002668A9" w:rsidRPr="002668A9" w:rsidRDefault="002668A9" w:rsidP="001D2768">
            <w:pPr>
              <w:pStyle w:val="bullet1"/>
            </w:pPr>
            <w:r w:rsidRPr="002668A9">
              <w:t>why values are considered more reliable</w:t>
            </w:r>
          </w:p>
          <w:p w14:paraId="73E647C8" w14:textId="77777777" w:rsidR="002668A9" w:rsidRPr="002668A9" w:rsidRDefault="002668A9" w:rsidP="001D2768">
            <w:pPr>
              <w:pStyle w:val="bullet1"/>
            </w:pPr>
            <w:r w:rsidRPr="002668A9">
              <w:t>home grown produce assumptions</w:t>
            </w:r>
          </w:p>
          <w:p w14:paraId="645CA6A2" w14:textId="77777777" w:rsidR="002668A9" w:rsidRPr="002668A9" w:rsidRDefault="002668A9" w:rsidP="001D2768">
            <w:pPr>
              <w:pStyle w:val="bullet1"/>
            </w:pPr>
            <w:r w:rsidRPr="002668A9">
              <w:t>the explanatory text around application of the guideline values</w:t>
            </w:r>
          </w:p>
          <w:p w14:paraId="5171931B" w14:textId="4E6D6F3C" w:rsidR="002668A9" w:rsidRPr="002668A9" w:rsidRDefault="002668A9" w:rsidP="001D2768">
            <w:pPr>
              <w:pStyle w:val="bullet1"/>
            </w:pPr>
            <w:r w:rsidRPr="002668A9">
              <w:t>when site specific values might be used</w:t>
            </w:r>
          </w:p>
          <w:p w14:paraId="47760558" w14:textId="77777777" w:rsidR="002668A9" w:rsidRDefault="002668A9" w:rsidP="001D2768">
            <w:pPr>
              <w:pStyle w:val="bullet1"/>
            </w:pPr>
            <w:r w:rsidRPr="002668A9">
              <w:lastRenderedPageBreak/>
              <w:t>why PFOS + PFHxS is used and not PFOS and PFHxS separately</w:t>
            </w:r>
          </w:p>
          <w:p w14:paraId="0D254F20" w14:textId="31F4F290" w:rsidR="00D4528C" w:rsidRPr="002668A9" w:rsidRDefault="00014C8A" w:rsidP="001D2768">
            <w:pPr>
              <w:pStyle w:val="bullet1"/>
            </w:pPr>
            <w:r>
              <w:t>whether</w:t>
            </w:r>
            <w:r w:rsidR="00D4528C">
              <w:t xml:space="preserve"> the guidelines</w:t>
            </w:r>
            <w:r>
              <w:t xml:space="preserve"> are</w:t>
            </w:r>
            <w:r w:rsidR="00D4528C">
              <w:t xml:space="preserve"> for PFAS (total) or PFAS (TOPA)</w:t>
            </w:r>
          </w:p>
        </w:tc>
        <w:tc>
          <w:tcPr>
            <w:tcW w:w="921" w:type="pct"/>
            <w:vMerge w:val="restart"/>
          </w:tcPr>
          <w:p w14:paraId="78784D84" w14:textId="77777777" w:rsidR="00014C8A" w:rsidRDefault="00014C8A" w:rsidP="00D75095">
            <w:pPr>
              <w:rPr>
                <w:rFonts w:cs="Arial"/>
                <w:sz w:val="20"/>
                <w:szCs w:val="20"/>
              </w:rPr>
            </w:pPr>
            <w:r>
              <w:rPr>
                <w:rFonts w:cs="Arial"/>
                <w:sz w:val="20"/>
                <w:szCs w:val="20"/>
              </w:rPr>
              <w:lastRenderedPageBreak/>
              <w:t>Australasian Land and Groundwater Association – submission 2</w:t>
            </w:r>
          </w:p>
          <w:p w14:paraId="3A42B086" w14:textId="77777777" w:rsidR="00014C8A" w:rsidRDefault="00014C8A" w:rsidP="00D75095">
            <w:pPr>
              <w:rPr>
                <w:rFonts w:cs="Arial"/>
                <w:sz w:val="20"/>
                <w:szCs w:val="20"/>
              </w:rPr>
            </w:pPr>
            <w:r>
              <w:rPr>
                <w:rFonts w:cs="Arial"/>
                <w:sz w:val="20"/>
                <w:szCs w:val="20"/>
              </w:rPr>
              <w:t>Burdekin Shire Council and Blight Tanner</w:t>
            </w:r>
          </w:p>
          <w:p w14:paraId="2B7AC9FD" w14:textId="77777777" w:rsidR="00014C8A" w:rsidRDefault="00014C8A" w:rsidP="00D75095">
            <w:pPr>
              <w:rPr>
                <w:rFonts w:cs="Arial"/>
                <w:sz w:val="20"/>
                <w:szCs w:val="20"/>
              </w:rPr>
            </w:pPr>
            <w:r>
              <w:rPr>
                <w:rFonts w:cs="Arial"/>
                <w:sz w:val="20"/>
                <w:szCs w:val="20"/>
              </w:rPr>
              <w:t>EnRiskS</w:t>
            </w:r>
          </w:p>
          <w:p w14:paraId="20A3C96D" w14:textId="77777777" w:rsidR="00014C8A" w:rsidRDefault="00014C8A" w:rsidP="00D75095">
            <w:pPr>
              <w:rPr>
                <w:rFonts w:cs="Arial"/>
                <w:sz w:val="20"/>
                <w:szCs w:val="20"/>
              </w:rPr>
            </w:pPr>
            <w:r>
              <w:rPr>
                <w:rFonts w:cs="Arial"/>
                <w:sz w:val="20"/>
                <w:szCs w:val="20"/>
              </w:rPr>
              <w:t>ExxonMobil Australia</w:t>
            </w:r>
          </w:p>
          <w:p w14:paraId="46731E42" w14:textId="77777777" w:rsidR="00014C8A" w:rsidRDefault="00014C8A" w:rsidP="00D75095">
            <w:pPr>
              <w:rPr>
                <w:rFonts w:cs="Arial"/>
                <w:sz w:val="20"/>
                <w:szCs w:val="20"/>
              </w:rPr>
            </w:pPr>
            <w:r>
              <w:rPr>
                <w:rFonts w:cs="Arial"/>
                <w:sz w:val="20"/>
                <w:szCs w:val="20"/>
              </w:rPr>
              <w:t>Friends of the Earth Australia</w:t>
            </w:r>
          </w:p>
          <w:p w14:paraId="495CA4A4" w14:textId="77777777" w:rsidR="00014C8A" w:rsidRDefault="00014C8A" w:rsidP="00D75095">
            <w:pPr>
              <w:rPr>
                <w:rFonts w:cs="Arial"/>
                <w:sz w:val="20"/>
                <w:szCs w:val="20"/>
              </w:rPr>
            </w:pPr>
            <w:r>
              <w:rPr>
                <w:rFonts w:cs="Arial"/>
                <w:sz w:val="20"/>
                <w:szCs w:val="20"/>
              </w:rPr>
              <w:t>GHD</w:t>
            </w:r>
          </w:p>
          <w:p w14:paraId="0224F92E" w14:textId="77777777" w:rsidR="00014C8A" w:rsidRDefault="00014C8A" w:rsidP="00D75095">
            <w:pPr>
              <w:rPr>
                <w:rFonts w:cs="Arial"/>
                <w:sz w:val="20"/>
                <w:szCs w:val="20"/>
              </w:rPr>
            </w:pPr>
            <w:r>
              <w:rPr>
                <w:rFonts w:cs="Arial"/>
                <w:sz w:val="20"/>
                <w:szCs w:val="20"/>
              </w:rPr>
              <w:t>Golder Associates</w:t>
            </w:r>
          </w:p>
          <w:p w14:paraId="5F7805C4" w14:textId="77777777" w:rsidR="00014C8A" w:rsidRDefault="00014C8A" w:rsidP="00D75095">
            <w:pPr>
              <w:rPr>
                <w:rFonts w:cs="Arial"/>
                <w:sz w:val="20"/>
                <w:szCs w:val="20"/>
              </w:rPr>
            </w:pPr>
            <w:r>
              <w:rPr>
                <w:rFonts w:cs="Arial"/>
                <w:sz w:val="20"/>
                <w:szCs w:val="20"/>
              </w:rPr>
              <w:lastRenderedPageBreak/>
              <w:t>qldwater</w:t>
            </w:r>
          </w:p>
          <w:p w14:paraId="1A8228EB" w14:textId="77777777" w:rsidR="00014C8A" w:rsidRDefault="00014C8A" w:rsidP="00D75095">
            <w:pPr>
              <w:rPr>
                <w:rFonts w:cs="Arial"/>
                <w:sz w:val="20"/>
                <w:szCs w:val="20"/>
              </w:rPr>
            </w:pPr>
            <w:r>
              <w:rPr>
                <w:rFonts w:cs="Arial"/>
                <w:sz w:val="20"/>
                <w:szCs w:val="20"/>
              </w:rPr>
              <w:t>Queensland Airports Ltd</w:t>
            </w:r>
          </w:p>
          <w:p w14:paraId="0E687B64" w14:textId="77777777" w:rsidR="00014C8A" w:rsidRPr="002668A9" w:rsidRDefault="00014C8A" w:rsidP="00D75095">
            <w:pPr>
              <w:rPr>
                <w:rFonts w:cs="Arial"/>
                <w:sz w:val="20"/>
                <w:szCs w:val="20"/>
              </w:rPr>
            </w:pPr>
            <w:r>
              <w:rPr>
                <w:rFonts w:cs="Arial"/>
                <w:sz w:val="20"/>
                <w:szCs w:val="20"/>
              </w:rPr>
              <w:t>Queensland Urban Utilities</w:t>
            </w:r>
          </w:p>
          <w:p w14:paraId="595271C2" w14:textId="77777777" w:rsidR="00014C8A" w:rsidRDefault="00014C8A" w:rsidP="00D75095">
            <w:pPr>
              <w:rPr>
                <w:rFonts w:cs="Arial"/>
                <w:sz w:val="20"/>
                <w:szCs w:val="20"/>
              </w:rPr>
            </w:pPr>
            <w:r>
              <w:rPr>
                <w:rFonts w:cs="Arial"/>
                <w:sz w:val="20"/>
                <w:szCs w:val="20"/>
              </w:rPr>
              <w:t>Sydney Water</w:t>
            </w:r>
          </w:p>
          <w:p w14:paraId="4AE315CA" w14:textId="77777777" w:rsidR="00014C8A" w:rsidRDefault="00014C8A" w:rsidP="00D75095">
            <w:pPr>
              <w:rPr>
                <w:rFonts w:cs="Arial"/>
                <w:sz w:val="20"/>
                <w:szCs w:val="20"/>
              </w:rPr>
            </w:pPr>
            <w:r>
              <w:rPr>
                <w:rFonts w:cs="Arial"/>
                <w:sz w:val="20"/>
                <w:szCs w:val="20"/>
              </w:rPr>
              <w:t>WA Government</w:t>
            </w:r>
          </w:p>
          <w:p w14:paraId="1FA82DF7" w14:textId="04C7B8F5" w:rsidR="002668A9" w:rsidRPr="002668A9" w:rsidRDefault="00014C8A" w:rsidP="00D75095">
            <w:pPr>
              <w:rPr>
                <w:rFonts w:cs="Arial"/>
                <w:sz w:val="20"/>
                <w:szCs w:val="20"/>
              </w:rPr>
            </w:pPr>
            <w:r>
              <w:rPr>
                <w:rFonts w:cs="Arial"/>
                <w:sz w:val="20"/>
                <w:szCs w:val="20"/>
              </w:rPr>
              <w:t>Water Services Association of Australia</w:t>
            </w:r>
          </w:p>
        </w:tc>
        <w:tc>
          <w:tcPr>
            <w:tcW w:w="2008" w:type="pct"/>
            <w:vMerge w:val="restart"/>
            <w:shd w:val="clear" w:color="auto" w:fill="auto"/>
            <w:tcMar>
              <w:top w:w="0" w:type="dxa"/>
              <w:left w:w="108" w:type="dxa"/>
              <w:bottom w:w="0" w:type="dxa"/>
              <w:right w:w="108" w:type="dxa"/>
            </w:tcMar>
          </w:tcPr>
          <w:p w14:paraId="11F82DBB" w14:textId="6CD23229" w:rsidR="002668A9" w:rsidRPr="002668A9" w:rsidRDefault="003122D0" w:rsidP="00D75095">
            <w:pPr>
              <w:rPr>
                <w:rFonts w:cs="Arial"/>
                <w:sz w:val="20"/>
                <w:szCs w:val="20"/>
              </w:rPr>
            </w:pPr>
            <w:r>
              <w:rPr>
                <w:rFonts w:cs="Arial"/>
                <w:sz w:val="20"/>
                <w:szCs w:val="20"/>
              </w:rPr>
              <w:lastRenderedPageBreak/>
              <w:t>The</w:t>
            </w:r>
            <w:r w:rsidR="002668A9" w:rsidRPr="002668A9">
              <w:rPr>
                <w:rFonts w:cs="Arial"/>
                <w:sz w:val="20"/>
                <w:szCs w:val="20"/>
              </w:rPr>
              <w:t xml:space="preserve"> NSW OEH Report </w:t>
            </w:r>
            <w:r>
              <w:rPr>
                <w:rFonts w:cs="Arial"/>
                <w:sz w:val="20"/>
                <w:szCs w:val="20"/>
              </w:rPr>
              <w:t xml:space="preserve">which summarised the considerations undertaken by a multi-jurisdictional team established under the NEMP </w:t>
            </w:r>
            <w:r w:rsidR="000527CB">
              <w:rPr>
                <w:rFonts w:cs="Arial"/>
                <w:sz w:val="20"/>
                <w:szCs w:val="20"/>
              </w:rPr>
              <w:t>2.0</w:t>
            </w:r>
            <w:r>
              <w:rPr>
                <w:rFonts w:cs="Arial"/>
                <w:sz w:val="20"/>
                <w:szCs w:val="20"/>
              </w:rPr>
              <w:t xml:space="preserve"> work program, </w:t>
            </w:r>
            <w:r w:rsidR="002668A9" w:rsidRPr="002668A9">
              <w:rPr>
                <w:rFonts w:cs="Arial"/>
                <w:sz w:val="20"/>
                <w:szCs w:val="20"/>
              </w:rPr>
              <w:t>was provided and the consultation period was extended to allow for stakeholder consideration. This report includes information on derivation of the soil criteria based on the ASC NEPM.</w:t>
            </w:r>
          </w:p>
          <w:p w14:paraId="78FF1FF8" w14:textId="39E16CC7" w:rsidR="002668A9" w:rsidRPr="002668A9" w:rsidRDefault="002668A9" w:rsidP="00D75095">
            <w:pPr>
              <w:rPr>
                <w:rFonts w:cs="Arial"/>
                <w:sz w:val="20"/>
                <w:szCs w:val="20"/>
              </w:rPr>
            </w:pPr>
            <w:r w:rsidRPr="002668A9">
              <w:rPr>
                <w:rFonts w:cs="Arial"/>
                <w:sz w:val="20"/>
                <w:szCs w:val="20"/>
              </w:rPr>
              <w:t xml:space="preserve">Changes made to the NEMP </w:t>
            </w:r>
            <w:r w:rsidR="000527CB">
              <w:rPr>
                <w:rFonts w:cs="Arial"/>
                <w:sz w:val="20"/>
                <w:szCs w:val="20"/>
              </w:rPr>
              <w:t>2.0</w:t>
            </w:r>
            <w:r w:rsidRPr="002668A9">
              <w:rPr>
                <w:rFonts w:cs="Arial"/>
                <w:sz w:val="20"/>
                <w:szCs w:val="20"/>
              </w:rPr>
              <w:t xml:space="preserve"> include: </w:t>
            </w:r>
          </w:p>
          <w:p w14:paraId="6E7A6068" w14:textId="77777777" w:rsidR="002668A9" w:rsidRPr="002668A9" w:rsidRDefault="002668A9" w:rsidP="001D2768">
            <w:pPr>
              <w:pStyle w:val="bullet1"/>
            </w:pPr>
            <w:r w:rsidRPr="002668A9">
              <w:t xml:space="preserve">additional text and background information is provided on how the values were derived; </w:t>
            </w:r>
          </w:p>
          <w:p w14:paraId="67D16499" w14:textId="77777777" w:rsidR="002668A9" w:rsidRPr="002668A9" w:rsidRDefault="002668A9" w:rsidP="001D2768">
            <w:pPr>
              <w:pStyle w:val="bullet1"/>
            </w:pPr>
            <w:r w:rsidRPr="002668A9">
              <w:t xml:space="preserve">additional example scenarios (such as for a higher level of produce consumption from home gardens) and example calculations (for soils with higher PFHxS than PFOS content); and </w:t>
            </w:r>
          </w:p>
          <w:p w14:paraId="670D344C" w14:textId="70A36E11" w:rsidR="002668A9" w:rsidRPr="002668A9" w:rsidRDefault="002668A9" w:rsidP="001D2768">
            <w:pPr>
              <w:pStyle w:val="bullet1"/>
            </w:pPr>
            <w:r w:rsidRPr="002668A9">
              <w:lastRenderedPageBreak/>
              <w:t xml:space="preserve">reversal of the </w:t>
            </w:r>
            <w:r w:rsidR="003122D0">
              <w:t xml:space="preserve">proposed new </w:t>
            </w:r>
            <w:r w:rsidRPr="002668A9">
              <w:t xml:space="preserve">PFOA HIL A back to the value </w:t>
            </w:r>
            <w:r w:rsidR="003122D0">
              <w:t>already in operation</w:t>
            </w:r>
            <w:r w:rsidR="003122D0" w:rsidRPr="002668A9">
              <w:t xml:space="preserve"> </w:t>
            </w:r>
            <w:r w:rsidRPr="002668A9">
              <w:t xml:space="preserve">in NEMP 1.0 due to the volume of new literature on transfer factors that drive the guideline value in opposite directions. This value could potentially be revisited in future versions. </w:t>
            </w:r>
          </w:p>
          <w:p w14:paraId="009C24F9" w14:textId="77777777" w:rsidR="002668A9" w:rsidRPr="002668A9" w:rsidRDefault="002668A9" w:rsidP="001D2768">
            <w:pPr>
              <w:pStyle w:val="bullet1"/>
              <w:numPr>
                <w:ilvl w:val="0"/>
                <w:numId w:val="0"/>
              </w:numPr>
            </w:pPr>
            <w:r w:rsidRPr="002668A9">
              <w:t>Further clarification is also provided on the following:</w:t>
            </w:r>
          </w:p>
          <w:p w14:paraId="01432460" w14:textId="508A6EE1" w:rsidR="002668A9" w:rsidRPr="002668A9" w:rsidRDefault="002668A9" w:rsidP="001D2768">
            <w:pPr>
              <w:pStyle w:val="bullet1"/>
            </w:pPr>
            <w:r w:rsidRPr="002668A9">
              <w:t xml:space="preserve">additional text on exposure pathways to consider for PFASs </w:t>
            </w:r>
            <w:r w:rsidR="00DE277A">
              <w:t>which</w:t>
            </w:r>
            <w:r w:rsidRPr="002668A9">
              <w:t xml:space="preserve"> relates to </w:t>
            </w:r>
            <w:r w:rsidR="007C34F3">
              <w:t xml:space="preserve">assuming </w:t>
            </w:r>
            <w:r w:rsidRPr="002668A9">
              <w:t xml:space="preserve">80% of exposure </w:t>
            </w:r>
            <w:r w:rsidR="007C34F3">
              <w:t xml:space="preserve">comes from </w:t>
            </w:r>
            <w:r w:rsidRPr="002668A9">
              <w:t>other pathways;</w:t>
            </w:r>
          </w:p>
          <w:p w14:paraId="07D72808" w14:textId="3012E782" w:rsidR="002668A9" w:rsidRPr="002668A9" w:rsidRDefault="0026387C" w:rsidP="001D2768">
            <w:pPr>
              <w:pStyle w:val="bullet1"/>
            </w:pPr>
            <w:r>
              <w:t>Acceptable exposure levels</w:t>
            </w:r>
            <w:r w:rsidR="002668A9" w:rsidRPr="002668A9">
              <w:t xml:space="preserve"> used in generating in Table 2 include </w:t>
            </w:r>
            <w:r w:rsidR="00170A21">
              <w:t xml:space="preserve">intake from </w:t>
            </w:r>
            <w:r w:rsidR="002668A9" w:rsidRPr="002668A9">
              <w:t xml:space="preserve">background and other exposure pathways. </w:t>
            </w:r>
          </w:p>
          <w:p w14:paraId="64277FE0" w14:textId="7AFCFF66" w:rsidR="002668A9" w:rsidRPr="002668A9" w:rsidRDefault="002668A9" w:rsidP="001D2768">
            <w:pPr>
              <w:pStyle w:val="bullet1"/>
            </w:pPr>
            <w:r w:rsidRPr="002668A9">
              <w:t xml:space="preserve">Text on </w:t>
            </w:r>
            <w:r w:rsidR="00DA120B">
              <w:t xml:space="preserve">guideline values </w:t>
            </w:r>
            <w:r w:rsidRPr="002668A9">
              <w:t xml:space="preserve">has been clarified, noting that the </w:t>
            </w:r>
            <w:r w:rsidR="00DA120B">
              <w:t>values</w:t>
            </w:r>
            <w:r w:rsidR="00DA120B" w:rsidRPr="002668A9">
              <w:t xml:space="preserve"> </w:t>
            </w:r>
            <w:r w:rsidRPr="002668A9">
              <w:t>are conservative and cover different access scenarios to soil. Further clarity on land uses has been provided.</w:t>
            </w:r>
          </w:p>
          <w:p w14:paraId="5A619215" w14:textId="49F68B36" w:rsidR="002668A9" w:rsidRPr="002668A9" w:rsidRDefault="00656B42" w:rsidP="001D2768">
            <w:pPr>
              <w:pStyle w:val="bullet1"/>
            </w:pPr>
            <w:r>
              <w:t xml:space="preserve">The use of </w:t>
            </w:r>
            <w:r w:rsidR="002668A9" w:rsidRPr="002668A9">
              <w:t xml:space="preserve">TOPA and </w:t>
            </w:r>
            <w:r>
              <w:t>handling of</w:t>
            </w:r>
            <w:r w:rsidR="002668A9" w:rsidRPr="002668A9">
              <w:t xml:space="preserve"> precursors are dealt with in a different section of the NEMP</w:t>
            </w:r>
            <w:r w:rsidR="000527CB">
              <w:t xml:space="preserve"> 2.0</w:t>
            </w:r>
            <w:r w:rsidR="002668A9" w:rsidRPr="002668A9">
              <w:t xml:space="preserve">, and requirements are likely </w:t>
            </w:r>
            <w:r w:rsidR="000B0C8E">
              <w:t xml:space="preserve">to </w:t>
            </w:r>
            <w:r>
              <w:t>vary between</w:t>
            </w:r>
            <w:r w:rsidR="002668A9" w:rsidRPr="002668A9">
              <w:t xml:space="preserve"> jurisdiction</w:t>
            </w:r>
            <w:r>
              <w:t>s</w:t>
            </w:r>
            <w:r w:rsidR="002668A9" w:rsidRPr="002668A9">
              <w:t>.</w:t>
            </w:r>
            <w:r w:rsidR="0026387C">
              <w:t xml:space="preserve"> </w:t>
            </w:r>
            <w:r>
              <w:t>G</w:t>
            </w:r>
            <w:r w:rsidR="0026387C">
              <w:t xml:space="preserve">uideline values given in the NEMP </w:t>
            </w:r>
            <w:r w:rsidR="000527CB">
              <w:t>2.0</w:t>
            </w:r>
            <w:r w:rsidR="0026387C">
              <w:t xml:space="preserve"> </w:t>
            </w:r>
            <w:r w:rsidR="00D4528C">
              <w:t xml:space="preserve">for human health </w:t>
            </w:r>
            <w:r w:rsidR="0026387C">
              <w:t>are for PFOS + PFHxS and PFOA</w:t>
            </w:r>
            <w:r w:rsidR="00D4528C">
              <w:t>.</w:t>
            </w:r>
            <w:r w:rsidR="0026387C">
              <w:t xml:space="preserve"> </w:t>
            </w:r>
          </w:p>
          <w:p w14:paraId="6C2E0AF7" w14:textId="54E27F65" w:rsidR="002668A9" w:rsidRPr="002668A9" w:rsidRDefault="002668A9" w:rsidP="001D2768">
            <w:pPr>
              <w:pStyle w:val="bullet1"/>
            </w:pPr>
            <w:r w:rsidRPr="002668A9">
              <w:t xml:space="preserve">The NEMP </w:t>
            </w:r>
            <w:r w:rsidR="000527CB">
              <w:t xml:space="preserve">2.0 </w:t>
            </w:r>
            <w:r w:rsidRPr="002668A9">
              <w:t xml:space="preserve">guidance and </w:t>
            </w:r>
            <w:r w:rsidR="003122D0">
              <w:t>guideline values</w:t>
            </w:r>
            <w:r w:rsidR="003122D0" w:rsidRPr="002668A9">
              <w:t xml:space="preserve"> </w:t>
            </w:r>
            <w:r w:rsidRPr="002668A9">
              <w:t xml:space="preserve">are not intended for compost/ biosolids. Therefore the NEMP </w:t>
            </w:r>
            <w:r w:rsidR="000527CB">
              <w:t>2.0</w:t>
            </w:r>
            <w:r w:rsidRPr="002668A9">
              <w:t xml:space="preserve"> provides further clarity on the intent of the guideline values, along with more consistent terminology.</w:t>
            </w:r>
            <w:r w:rsidR="00D4528C">
              <w:t xml:space="preserve"> The Australian Government </w:t>
            </w:r>
            <w:r w:rsidR="00656B42">
              <w:t>Department</w:t>
            </w:r>
            <w:r w:rsidR="00D4528C">
              <w:t xml:space="preserve"> of Health has advised that the PFOS tolerable daily intake (TDI) determined by Foo</w:t>
            </w:r>
            <w:r w:rsidR="00656B42">
              <w:t>d</w:t>
            </w:r>
            <w:r w:rsidR="00D4528C">
              <w:t xml:space="preserve"> Standards Australia and New Zealand (FSANZ) should also apply to PFHxS therefore </w:t>
            </w:r>
            <w:r w:rsidRPr="002668A9">
              <w:t xml:space="preserve">combined PFOS+PFHxS </w:t>
            </w:r>
            <w:r w:rsidR="00D4528C">
              <w:t xml:space="preserve">guidance values </w:t>
            </w:r>
            <w:r w:rsidRPr="002668A9">
              <w:t xml:space="preserve">have been retained. More clarity </w:t>
            </w:r>
            <w:r w:rsidR="00656B42">
              <w:t>is</w:t>
            </w:r>
            <w:r w:rsidRPr="002668A9">
              <w:t xml:space="preserve"> provided on how the value was derived, as well </w:t>
            </w:r>
            <w:r w:rsidRPr="002668A9">
              <w:lastRenderedPageBreak/>
              <w:t xml:space="preserve">as additional text on background and multiple exposure pathways. </w:t>
            </w:r>
          </w:p>
          <w:p w14:paraId="3D678FAE" w14:textId="77777777" w:rsidR="002668A9" w:rsidRPr="002668A9" w:rsidRDefault="002668A9" w:rsidP="001D2768">
            <w:pPr>
              <w:pStyle w:val="bullet1"/>
            </w:pPr>
            <w:r w:rsidRPr="002668A9">
              <w:t>Note, there have been changes in the adopted values in the revised NEMP 2.0 - this is as further review of the literature for the PFOA transfer factor to plants is being undertaken.</w:t>
            </w:r>
          </w:p>
          <w:p w14:paraId="48FFDA0E" w14:textId="778FD845" w:rsidR="002668A9" w:rsidRPr="002668A9" w:rsidRDefault="002668A9" w:rsidP="001D2768">
            <w:pPr>
              <w:pStyle w:val="bullet1"/>
            </w:pPr>
            <w:r w:rsidRPr="002668A9">
              <w:t>Language has been clarified to be more consistent with the ASC NEP</w:t>
            </w:r>
            <w:r w:rsidR="000527CB">
              <w:t>M</w:t>
            </w:r>
            <w:r w:rsidRPr="002668A9">
              <w:t>.</w:t>
            </w:r>
          </w:p>
          <w:p w14:paraId="1A5D2EBE" w14:textId="1CD641D6" w:rsidR="002668A9" w:rsidRPr="002668A9" w:rsidRDefault="002668A9" w:rsidP="001D2768">
            <w:pPr>
              <w:pStyle w:val="bullet1"/>
            </w:pPr>
            <w:r w:rsidRPr="002668A9">
              <w:t>Added clarity is provided in the text on</w:t>
            </w:r>
            <w:r w:rsidR="007577FD">
              <w:t xml:space="preserve"> consumption of </w:t>
            </w:r>
            <w:r w:rsidR="00DE277A">
              <w:t>home-grown</w:t>
            </w:r>
            <w:r w:rsidR="007577FD">
              <w:t xml:space="preserve"> </w:t>
            </w:r>
            <w:r w:rsidRPr="002668A9">
              <w:t xml:space="preserve">eggs </w:t>
            </w:r>
            <w:r w:rsidR="007577FD">
              <w:t>which</w:t>
            </w:r>
            <w:r w:rsidRPr="002668A9">
              <w:t xml:space="preserve"> requires</w:t>
            </w:r>
            <w:r w:rsidR="007577FD">
              <w:t xml:space="preserve"> additional assessment of</w:t>
            </w:r>
            <w:r w:rsidRPr="002668A9">
              <w:t xml:space="preserve"> risk. This is exposure specific.</w:t>
            </w:r>
          </w:p>
          <w:p w14:paraId="03D6F8D5" w14:textId="77777777" w:rsidR="002668A9" w:rsidRPr="002668A9" w:rsidRDefault="002668A9" w:rsidP="001D2768">
            <w:pPr>
              <w:pStyle w:val="bullet1"/>
            </w:pPr>
            <w:r w:rsidRPr="002668A9">
              <w:t>In vivo precursor transformation cannot be quantitatively included in a guideline at this stage and is out of scope for this section. Noting that precursors should be considered where appropriate.</w:t>
            </w:r>
          </w:p>
          <w:p w14:paraId="6914B3A1" w14:textId="356EAA68" w:rsidR="002668A9" w:rsidRPr="002668A9" w:rsidRDefault="002668A9" w:rsidP="001D2768">
            <w:pPr>
              <w:pStyle w:val="bullet1"/>
            </w:pPr>
            <w:r w:rsidRPr="002668A9">
              <w:t>The 50</w:t>
            </w:r>
            <w:r w:rsidR="001D2768">
              <w:t xml:space="preserve"> </w:t>
            </w:r>
            <w:r w:rsidRPr="002668A9">
              <w:t xml:space="preserve">mg/kg refers to the Low Content Limit for </w:t>
            </w:r>
            <w:r w:rsidR="003C7875">
              <w:t xml:space="preserve">waste for </w:t>
            </w:r>
            <w:r w:rsidRPr="002668A9">
              <w:t xml:space="preserve">PFOS set under the Basel Convention, which </w:t>
            </w:r>
            <w:r w:rsidR="003C7875">
              <w:t>is then applied by the</w:t>
            </w:r>
            <w:r w:rsidRPr="002668A9">
              <w:t xml:space="preserve"> Stockholm Convention.</w:t>
            </w:r>
            <w:r w:rsidR="003C7875">
              <w:t xml:space="preserve"> Note, this is the limit that establishes levels in waste that are considered hazardous enough to warrant extremely </w:t>
            </w:r>
            <w:r w:rsidR="00DE277A">
              <w:t>high-level</w:t>
            </w:r>
            <w:r w:rsidR="003C7875">
              <w:t xml:space="preserve"> destruction or disposal requirements. </w:t>
            </w:r>
          </w:p>
          <w:p w14:paraId="5A3C26CA" w14:textId="77777777" w:rsidR="002668A9" w:rsidRPr="002668A9" w:rsidRDefault="002668A9" w:rsidP="001D2768">
            <w:pPr>
              <w:pStyle w:val="bullet1"/>
            </w:pPr>
            <w:r w:rsidRPr="002668A9">
              <w:t>Additional information is added as a footnote.</w:t>
            </w:r>
          </w:p>
        </w:tc>
      </w:tr>
      <w:tr w:rsidR="002668A9" w:rsidRPr="002668A9" w14:paraId="41F1968C" w14:textId="77777777" w:rsidTr="00681106">
        <w:trPr>
          <w:trHeight w:val="4386"/>
        </w:trPr>
        <w:tc>
          <w:tcPr>
            <w:tcW w:w="781" w:type="pct"/>
            <w:vMerge/>
            <w:shd w:val="clear" w:color="auto" w:fill="auto"/>
          </w:tcPr>
          <w:p w14:paraId="7F1F6D28" w14:textId="2387E25A" w:rsidR="002668A9" w:rsidRPr="002668A9" w:rsidRDefault="002668A9" w:rsidP="00D75095">
            <w:pPr>
              <w:rPr>
                <w:rFonts w:cs="Arial"/>
                <w:sz w:val="20"/>
                <w:szCs w:val="20"/>
              </w:rPr>
            </w:pPr>
          </w:p>
        </w:tc>
        <w:tc>
          <w:tcPr>
            <w:tcW w:w="1290" w:type="pct"/>
            <w:vMerge/>
          </w:tcPr>
          <w:p w14:paraId="73AB879F" w14:textId="77777777" w:rsidR="002668A9" w:rsidRPr="002668A9" w:rsidRDefault="002668A9" w:rsidP="00D75095">
            <w:pPr>
              <w:rPr>
                <w:rFonts w:cs="Arial"/>
                <w:sz w:val="20"/>
                <w:szCs w:val="20"/>
              </w:rPr>
            </w:pPr>
          </w:p>
        </w:tc>
        <w:tc>
          <w:tcPr>
            <w:tcW w:w="921" w:type="pct"/>
            <w:vMerge/>
          </w:tcPr>
          <w:p w14:paraId="167ED4C7" w14:textId="77777777" w:rsidR="002668A9" w:rsidRPr="002668A9" w:rsidRDefault="002668A9" w:rsidP="00D75095">
            <w:pPr>
              <w:rPr>
                <w:rFonts w:cs="Arial"/>
                <w:sz w:val="20"/>
                <w:szCs w:val="20"/>
              </w:rPr>
            </w:pPr>
          </w:p>
        </w:tc>
        <w:tc>
          <w:tcPr>
            <w:tcW w:w="2008" w:type="pct"/>
            <w:vMerge/>
            <w:shd w:val="clear" w:color="auto" w:fill="auto"/>
            <w:tcMar>
              <w:top w:w="0" w:type="dxa"/>
              <w:left w:w="108" w:type="dxa"/>
              <w:bottom w:w="0" w:type="dxa"/>
              <w:right w:w="108" w:type="dxa"/>
            </w:tcMar>
          </w:tcPr>
          <w:p w14:paraId="1AB58D11" w14:textId="77777777" w:rsidR="002668A9" w:rsidRPr="002668A9" w:rsidRDefault="002668A9" w:rsidP="00D75095">
            <w:pPr>
              <w:rPr>
                <w:rFonts w:cs="Arial"/>
                <w:sz w:val="20"/>
                <w:szCs w:val="20"/>
              </w:rPr>
            </w:pPr>
          </w:p>
        </w:tc>
      </w:tr>
      <w:tr w:rsidR="002668A9" w:rsidRPr="002668A9" w14:paraId="7E679347" w14:textId="77777777" w:rsidTr="00681106">
        <w:trPr>
          <w:trHeight w:val="504"/>
        </w:trPr>
        <w:tc>
          <w:tcPr>
            <w:tcW w:w="781" w:type="pct"/>
            <w:vMerge/>
            <w:shd w:val="clear" w:color="auto" w:fill="auto"/>
          </w:tcPr>
          <w:p w14:paraId="6C295CBD" w14:textId="77777777" w:rsidR="002668A9" w:rsidRPr="002668A9" w:rsidRDefault="002668A9" w:rsidP="00D75095">
            <w:pPr>
              <w:rPr>
                <w:rFonts w:cs="Arial"/>
                <w:sz w:val="20"/>
                <w:szCs w:val="20"/>
              </w:rPr>
            </w:pPr>
          </w:p>
        </w:tc>
        <w:tc>
          <w:tcPr>
            <w:tcW w:w="1290" w:type="pct"/>
            <w:vMerge/>
          </w:tcPr>
          <w:p w14:paraId="09D79D60" w14:textId="77777777" w:rsidR="002668A9" w:rsidRPr="002668A9" w:rsidRDefault="002668A9" w:rsidP="00D75095">
            <w:pPr>
              <w:rPr>
                <w:rFonts w:cs="Arial"/>
                <w:sz w:val="20"/>
                <w:szCs w:val="20"/>
              </w:rPr>
            </w:pPr>
          </w:p>
        </w:tc>
        <w:tc>
          <w:tcPr>
            <w:tcW w:w="921" w:type="pct"/>
            <w:vMerge/>
          </w:tcPr>
          <w:p w14:paraId="2FBD0FC4"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0312AC45" w14:textId="77777777" w:rsidR="002668A9" w:rsidRPr="002668A9" w:rsidRDefault="002668A9" w:rsidP="00D75095">
            <w:pPr>
              <w:rPr>
                <w:rFonts w:cs="Arial"/>
                <w:sz w:val="20"/>
                <w:szCs w:val="20"/>
              </w:rPr>
            </w:pPr>
          </w:p>
        </w:tc>
      </w:tr>
      <w:tr w:rsidR="002668A9" w:rsidRPr="002668A9" w14:paraId="3334843C" w14:textId="77777777" w:rsidTr="00681106">
        <w:trPr>
          <w:trHeight w:val="504"/>
        </w:trPr>
        <w:tc>
          <w:tcPr>
            <w:tcW w:w="781" w:type="pct"/>
            <w:vMerge/>
            <w:shd w:val="clear" w:color="auto" w:fill="auto"/>
          </w:tcPr>
          <w:p w14:paraId="6689FE2F" w14:textId="77777777" w:rsidR="002668A9" w:rsidRPr="002668A9" w:rsidRDefault="002668A9" w:rsidP="00D75095">
            <w:pPr>
              <w:rPr>
                <w:rFonts w:cs="Arial"/>
                <w:sz w:val="20"/>
                <w:szCs w:val="20"/>
              </w:rPr>
            </w:pPr>
          </w:p>
        </w:tc>
        <w:tc>
          <w:tcPr>
            <w:tcW w:w="1290" w:type="pct"/>
            <w:vMerge/>
          </w:tcPr>
          <w:p w14:paraId="56E93780" w14:textId="77777777" w:rsidR="002668A9" w:rsidRPr="002668A9" w:rsidRDefault="002668A9" w:rsidP="00D75095">
            <w:pPr>
              <w:rPr>
                <w:rFonts w:cs="Arial"/>
                <w:sz w:val="20"/>
                <w:szCs w:val="20"/>
              </w:rPr>
            </w:pPr>
          </w:p>
        </w:tc>
        <w:tc>
          <w:tcPr>
            <w:tcW w:w="921" w:type="pct"/>
            <w:vMerge/>
          </w:tcPr>
          <w:p w14:paraId="4C030EF4"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2C617E3C" w14:textId="77777777" w:rsidR="002668A9" w:rsidRPr="002668A9" w:rsidRDefault="002668A9" w:rsidP="00D75095">
            <w:pPr>
              <w:rPr>
                <w:rFonts w:cs="Arial"/>
                <w:sz w:val="20"/>
                <w:szCs w:val="20"/>
              </w:rPr>
            </w:pPr>
          </w:p>
        </w:tc>
      </w:tr>
      <w:tr w:rsidR="002668A9" w:rsidRPr="002668A9" w14:paraId="12EE3BC6" w14:textId="77777777" w:rsidTr="00681106">
        <w:trPr>
          <w:trHeight w:val="504"/>
        </w:trPr>
        <w:tc>
          <w:tcPr>
            <w:tcW w:w="781" w:type="pct"/>
            <w:vMerge/>
            <w:shd w:val="clear" w:color="auto" w:fill="auto"/>
          </w:tcPr>
          <w:p w14:paraId="00C1D3BB" w14:textId="77777777" w:rsidR="002668A9" w:rsidRPr="002668A9" w:rsidRDefault="002668A9" w:rsidP="00D75095">
            <w:pPr>
              <w:rPr>
                <w:rFonts w:cs="Arial"/>
                <w:sz w:val="20"/>
                <w:szCs w:val="20"/>
              </w:rPr>
            </w:pPr>
          </w:p>
        </w:tc>
        <w:tc>
          <w:tcPr>
            <w:tcW w:w="1290" w:type="pct"/>
            <w:vMerge/>
          </w:tcPr>
          <w:p w14:paraId="26E46FEC" w14:textId="77777777" w:rsidR="002668A9" w:rsidRPr="002668A9" w:rsidRDefault="002668A9" w:rsidP="00D75095">
            <w:pPr>
              <w:rPr>
                <w:rFonts w:cs="Arial"/>
                <w:sz w:val="20"/>
                <w:szCs w:val="20"/>
              </w:rPr>
            </w:pPr>
          </w:p>
        </w:tc>
        <w:tc>
          <w:tcPr>
            <w:tcW w:w="921" w:type="pct"/>
            <w:vMerge/>
          </w:tcPr>
          <w:p w14:paraId="24A6730D"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20986F30" w14:textId="77777777" w:rsidR="002668A9" w:rsidRPr="002668A9" w:rsidRDefault="002668A9" w:rsidP="00D75095">
            <w:pPr>
              <w:rPr>
                <w:rFonts w:cs="Arial"/>
                <w:sz w:val="20"/>
                <w:szCs w:val="20"/>
              </w:rPr>
            </w:pPr>
          </w:p>
        </w:tc>
      </w:tr>
      <w:tr w:rsidR="002668A9" w:rsidRPr="002668A9" w14:paraId="07B73B45" w14:textId="77777777" w:rsidTr="00681106">
        <w:trPr>
          <w:trHeight w:val="504"/>
        </w:trPr>
        <w:tc>
          <w:tcPr>
            <w:tcW w:w="781" w:type="pct"/>
            <w:vMerge/>
            <w:shd w:val="clear" w:color="auto" w:fill="auto"/>
          </w:tcPr>
          <w:p w14:paraId="5877E705" w14:textId="77777777" w:rsidR="002668A9" w:rsidRPr="002668A9" w:rsidRDefault="002668A9" w:rsidP="00D75095">
            <w:pPr>
              <w:rPr>
                <w:rFonts w:cs="Arial"/>
                <w:sz w:val="20"/>
                <w:szCs w:val="20"/>
              </w:rPr>
            </w:pPr>
          </w:p>
        </w:tc>
        <w:tc>
          <w:tcPr>
            <w:tcW w:w="1290" w:type="pct"/>
            <w:vMerge/>
          </w:tcPr>
          <w:p w14:paraId="0AE682F9" w14:textId="77777777" w:rsidR="002668A9" w:rsidRPr="002668A9" w:rsidRDefault="002668A9" w:rsidP="00D75095">
            <w:pPr>
              <w:rPr>
                <w:rFonts w:cs="Arial"/>
                <w:sz w:val="20"/>
                <w:szCs w:val="20"/>
              </w:rPr>
            </w:pPr>
          </w:p>
        </w:tc>
        <w:tc>
          <w:tcPr>
            <w:tcW w:w="921" w:type="pct"/>
            <w:vMerge/>
          </w:tcPr>
          <w:p w14:paraId="483B45A6"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24EBDE2D" w14:textId="77777777" w:rsidR="002668A9" w:rsidRPr="002668A9" w:rsidRDefault="002668A9" w:rsidP="00D75095">
            <w:pPr>
              <w:rPr>
                <w:rFonts w:cs="Arial"/>
                <w:sz w:val="20"/>
                <w:szCs w:val="20"/>
              </w:rPr>
            </w:pPr>
          </w:p>
        </w:tc>
      </w:tr>
      <w:tr w:rsidR="002668A9" w:rsidRPr="002668A9" w14:paraId="432C49B5" w14:textId="77777777" w:rsidTr="00681106">
        <w:trPr>
          <w:trHeight w:val="464"/>
        </w:trPr>
        <w:tc>
          <w:tcPr>
            <w:tcW w:w="781" w:type="pct"/>
            <w:vMerge w:val="restart"/>
            <w:shd w:val="clear" w:color="auto" w:fill="auto"/>
          </w:tcPr>
          <w:p w14:paraId="1B696E28" w14:textId="77777777" w:rsidR="002668A9" w:rsidRPr="002668A9" w:rsidRDefault="002668A9" w:rsidP="00D75095">
            <w:pPr>
              <w:rPr>
                <w:rFonts w:cs="Arial"/>
                <w:sz w:val="20"/>
                <w:szCs w:val="20"/>
              </w:rPr>
            </w:pPr>
            <w:r w:rsidRPr="002668A9">
              <w:rPr>
                <w:rFonts w:cs="Arial"/>
                <w:sz w:val="20"/>
                <w:szCs w:val="20"/>
              </w:rPr>
              <w:t xml:space="preserve">Human health guidelines - soil – NSW Office of </w:t>
            </w:r>
            <w:r w:rsidRPr="002668A9">
              <w:rPr>
                <w:rFonts w:cs="Arial"/>
                <w:sz w:val="20"/>
                <w:szCs w:val="20"/>
              </w:rPr>
              <w:lastRenderedPageBreak/>
              <w:t>Environment and Heritage report</w:t>
            </w:r>
          </w:p>
        </w:tc>
        <w:tc>
          <w:tcPr>
            <w:tcW w:w="1290" w:type="pct"/>
            <w:vMerge w:val="restart"/>
            <w:shd w:val="clear" w:color="auto" w:fill="auto"/>
          </w:tcPr>
          <w:p w14:paraId="36B3AED4" w14:textId="77777777" w:rsidR="002668A9" w:rsidRPr="002668A9" w:rsidRDefault="002668A9" w:rsidP="00D75095">
            <w:pPr>
              <w:rPr>
                <w:rFonts w:cs="Arial"/>
                <w:sz w:val="20"/>
                <w:szCs w:val="20"/>
              </w:rPr>
            </w:pPr>
            <w:r w:rsidRPr="002668A9">
              <w:rPr>
                <w:rFonts w:cs="Arial"/>
                <w:sz w:val="20"/>
                <w:szCs w:val="20"/>
              </w:rPr>
              <w:lastRenderedPageBreak/>
              <w:t>A range of technical comments on various aspects of the NSW OEH report including:</w:t>
            </w:r>
          </w:p>
          <w:p w14:paraId="2646BAA2" w14:textId="77777777" w:rsidR="002668A9" w:rsidRPr="002668A9" w:rsidRDefault="002668A9" w:rsidP="001D2768">
            <w:pPr>
              <w:pStyle w:val="bullet1"/>
            </w:pPr>
            <w:r w:rsidRPr="002668A9">
              <w:lastRenderedPageBreak/>
              <w:t>transfer factors</w:t>
            </w:r>
          </w:p>
          <w:p w14:paraId="02729480" w14:textId="77777777" w:rsidR="002668A9" w:rsidRPr="002668A9" w:rsidRDefault="002668A9" w:rsidP="001D2768">
            <w:pPr>
              <w:pStyle w:val="bullet1"/>
            </w:pPr>
            <w:r w:rsidRPr="002668A9">
              <w:t>edible portions</w:t>
            </w:r>
          </w:p>
          <w:p w14:paraId="00B79618" w14:textId="77777777" w:rsidR="002668A9" w:rsidRPr="002668A9" w:rsidRDefault="002668A9" w:rsidP="001D2768">
            <w:pPr>
              <w:pStyle w:val="bullet1"/>
            </w:pPr>
            <w:r w:rsidRPr="002668A9">
              <w:t>sampling methods</w:t>
            </w:r>
          </w:p>
          <w:p w14:paraId="1E05D4EA" w14:textId="77777777" w:rsidR="002668A9" w:rsidRPr="002668A9" w:rsidRDefault="002668A9" w:rsidP="001D2768">
            <w:pPr>
              <w:pStyle w:val="bullet1"/>
            </w:pPr>
            <w:r w:rsidRPr="002668A9">
              <w:t>assumptions</w:t>
            </w:r>
          </w:p>
          <w:p w14:paraId="60C5D656" w14:textId="77777777" w:rsidR="002668A9" w:rsidRPr="002668A9" w:rsidRDefault="002668A9" w:rsidP="001D2768">
            <w:pPr>
              <w:pStyle w:val="bullet1"/>
            </w:pPr>
            <w:r w:rsidRPr="002668A9">
              <w:t>calculations</w:t>
            </w:r>
          </w:p>
          <w:p w14:paraId="20BC9D4A" w14:textId="77777777" w:rsidR="002668A9" w:rsidRPr="002668A9" w:rsidRDefault="002668A9" w:rsidP="001D2768">
            <w:pPr>
              <w:pStyle w:val="bullet1"/>
            </w:pPr>
            <w:r w:rsidRPr="002668A9">
              <w:t>why PFOS + PFHxS is used as a sum rather than PFOS and PFHxS separately</w:t>
            </w:r>
          </w:p>
        </w:tc>
        <w:tc>
          <w:tcPr>
            <w:tcW w:w="921" w:type="pct"/>
            <w:vMerge w:val="restart"/>
            <w:shd w:val="clear" w:color="auto" w:fill="auto"/>
          </w:tcPr>
          <w:p w14:paraId="07B1A168" w14:textId="77777777" w:rsidR="00014C8A" w:rsidRDefault="00014C8A" w:rsidP="00D75095">
            <w:pPr>
              <w:rPr>
                <w:rFonts w:cs="Arial"/>
                <w:sz w:val="20"/>
                <w:szCs w:val="20"/>
              </w:rPr>
            </w:pPr>
            <w:r>
              <w:rPr>
                <w:rFonts w:cs="Arial"/>
                <w:sz w:val="20"/>
                <w:szCs w:val="20"/>
              </w:rPr>
              <w:lastRenderedPageBreak/>
              <w:t>Australasian Land and Groundwater Association – submission 1</w:t>
            </w:r>
          </w:p>
          <w:p w14:paraId="4489D684" w14:textId="1062F475" w:rsidR="00014C8A" w:rsidRDefault="00014C8A" w:rsidP="00D75095">
            <w:pPr>
              <w:rPr>
                <w:rFonts w:cs="Arial"/>
                <w:sz w:val="20"/>
                <w:szCs w:val="20"/>
              </w:rPr>
            </w:pPr>
            <w:r>
              <w:rPr>
                <w:rFonts w:cs="Arial"/>
                <w:sz w:val="20"/>
                <w:szCs w:val="20"/>
              </w:rPr>
              <w:lastRenderedPageBreak/>
              <w:t>Australasian Land and Groundwater Association - submission 2</w:t>
            </w:r>
          </w:p>
          <w:p w14:paraId="3F48DE7B" w14:textId="1D40543D" w:rsidR="006B3A71" w:rsidRDefault="006B3A71" w:rsidP="00D75095">
            <w:pPr>
              <w:rPr>
                <w:rFonts w:cs="Arial"/>
                <w:sz w:val="20"/>
                <w:szCs w:val="20"/>
              </w:rPr>
            </w:pPr>
            <w:r>
              <w:rPr>
                <w:rFonts w:cs="Arial"/>
                <w:sz w:val="20"/>
                <w:szCs w:val="20"/>
              </w:rPr>
              <w:t>Australian Government - Airservices Australia</w:t>
            </w:r>
          </w:p>
          <w:p w14:paraId="76F76795" w14:textId="77777777" w:rsidR="00014C8A" w:rsidRDefault="00014C8A" w:rsidP="00D75095">
            <w:pPr>
              <w:rPr>
                <w:rFonts w:cs="Arial"/>
                <w:sz w:val="20"/>
                <w:szCs w:val="20"/>
              </w:rPr>
            </w:pPr>
            <w:r>
              <w:rPr>
                <w:rFonts w:cs="Arial"/>
                <w:sz w:val="20"/>
                <w:szCs w:val="20"/>
              </w:rPr>
              <w:t>GHD</w:t>
            </w:r>
          </w:p>
          <w:p w14:paraId="0C4DB2F9" w14:textId="77777777" w:rsidR="00014C8A" w:rsidRDefault="00014C8A" w:rsidP="00D75095">
            <w:pPr>
              <w:rPr>
                <w:rFonts w:cs="Arial"/>
                <w:sz w:val="20"/>
                <w:szCs w:val="20"/>
              </w:rPr>
            </w:pPr>
            <w:r>
              <w:rPr>
                <w:rFonts w:cs="Arial"/>
                <w:sz w:val="20"/>
                <w:szCs w:val="20"/>
              </w:rPr>
              <w:t>Golder Associates</w:t>
            </w:r>
          </w:p>
          <w:p w14:paraId="1BD7A70B" w14:textId="77777777" w:rsidR="00014C8A" w:rsidRDefault="00014C8A" w:rsidP="00D75095">
            <w:pPr>
              <w:rPr>
                <w:rFonts w:cs="Arial"/>
                <w:sz w:val="20"/>
                <w:szCs w:val="20"/>
              </w:rPr>
            </w:pPr>
            <w:r>
              <w:rPr>
                <w:rFonts w:cs="Arial"/>
                <w:sz w:val="20"/>
                <w:szCs w:val="20"/>
              </w:rPr>
              <w:t>NZ Ministry for the Environment</w:t>
            </w:r>
          </w:p>
          <w:p w14:paraId="3B300765" w14:textId="56020D55" w:rsidR="00014C8A" w:rsidRPr="002668A9" w:rsidRDefault="001A0C05" w:rsidP="00D75095">
            <w:pPr>
              <w:rPr>
                <w:rFonts w:cs="Arial"/>
                <w:sz w:val="20"/>
                <w:szCs w:val="20"/>
              </w:rPr>
            </w:pPr>
            <w:r>
              <w:rPr>
                <w:rFonts w:cs="Arial"/>
                <w:sz w:val="20"/>
                <w:szCs w:val="20"/>
              </w:rPr>
              <w:t>NZ Regional</w:t>
            </w:r>
            <w:r w:rsidR="00406A71">
              <w:rPr>
                <w:rFonts w:cs="Arial"/>
                <w:sz w:val="20"/>
                <w:szCs w:val="20"/>
              </w:rPr>
              <w:t xml:space="preserve"> and Unitary Councils - Contaminated Land and Waste Special Interest Group</w:t>
            </w:r>
          </w:p>
          <w:p w14:paraId="3C988296" w14:textId="77777777" w:rsidR="00014C8A" w:rsidRDefault="00014C8A" w:rsidP="00D75095">
            <w:pPr>
              <w:rPr>
                <w:rFonts w:cs="Arial"/>
                <w:sz w:val="20"/>
                <w:szCs w:val="20"/>
              </w:rPr>
            </w:pPr>
            <w:r>
              <w:rPr>
                <w:rFonts w:cs="Arial"/>
                <w:sz w:val="20"/>
                <w:szCs w:val="20"/>
              </w:rPr>
              <w:t>Queensland Airports Ltd</w:t>
            </w:r>
          </w:p>
          <w:p w14:paraId="41D6869D" w14:textId="77777777" w:rsidR="00014C8A" w:rsidRPr="002668A9" w:rsidRDefault="00014C8A" w:rsidP="00D75095">
            <w:pPr>
              <w:rPr>
                <w:rFonts w:cs="Arial"/>
                <w:sz w:val="20"/>
                <w:szCs w:val="20"/>
              </w:rPr>
            </w:pPr>
            <w:r>
              <w:rPr>
                <w:rFonts w:cs="Arial"/>
                <w:sz w:val="20"/>
                <w:szCs w:val="20"/>
              </w:rPr>
              <w:t>Queensland Urban Utilities</w:t>
            </w:r>
          </w:p>
          <w:p w14:paraId="5DF711DF" w14:textId="77777777" w:rsidR="00014C8A" w:rsidRPr="002668A9" w:rsidRDefault="00014C8A" w:rsidP="00D75095">
            <w:pPr>
              <w:rPr>
                <w:rFonts w:cs="Arial"/>
                <w:sz w:val="20"/>
                <w:szCs w:val="20"/>
              </w:rPr>
            </w:pPr>
            <w:r>
              <w:rPr>
                <w:rFonts w:cs="Arial"/>
                <w:sz w:val="20"/>
                <w:szCs w:val="20"/>
              </w:rPr>
              <w:t>Senversa</w:t>
            </w:r>
          </w:p>
          <w:p w14:paraId="6A7573DF" w14:textId="77777777" w:rsidR="00014C8A" w:rsidRPr="002668A9" w:rsidRDefault="00014C8A" w:rsidP="00D75095">
            <w:pPr>
              <w:rPr>
                <w:rFonts w:cs="Arial"/>
                <w:sz w:val="20"/>
                <w:szCs w:val="20"/>
              </w:rPr>
            </w:pPr>
            <w:r>
              <w:rPr>
                <w:rFonts w:cs="Arial"/>
                <w:sz w:val="20"/>
                <w:szCs w:val="20"/>
              </w:rPr>
              <w:t>South East Water</w:t>
            </w:r>
          </w:p>
          <w:p w14:paraId="364117C9" w14:textId="36EB2660" w:rsidR="002668A9" w:rsidRPr="002668A9" w:rsidRDefault="00014C8A" w:rsidP="00D75095">
            <w:pPr>
              <w:rPr>
                <w:rFonts w:cs="Arial"/>
                <w:sz w:val="20"/>
                <w:szCs w:val="20"/>
              </w:rPr>
            </w:pPr>
            <w:r>
              <w:rPr>
                <w:rFonts w:cs="Arial"/>
                <w:sz w:val="20"/>
                <w:szCs w:val="20"/>
              </w:rPr>
              <w:t>WA Government</w:t>
            </w:r>
          </w:p>
        </w:tc>
        <w:tc>
          <w:tcPr>
            <w:tcW w:w="2008" w:type="pct"/>
            <w:vMerge w:val="restart"/>
            <w:shd w:val="clear" w:color="auto" w:fill="auto"/>
            <w:tcMar>
              <w:top w:w="0" w:type="dxa"/>
              <w:left w:w="108" w:type="dxa"/>
              <w:bottom w:w="0" w:type="dxa"/>
              <w:right w:w="108" w:type="dxa"/>
            </w:tcMar>
          </w:tcPr>
          <w:p w14:paraId="7A3A525B" w14:textId="654F785D" w:rsidR="002668A9" w:rsidRPr="002668A9" w:rsidRDefault="003C7875" w:rsidP="00D75095">
            <w:pPr>
              <w:rPr>
                <w:rFonts w:cs="Arial"/>
                <w:sz w:val="20"/>
                <w:szCs w:val="20"/>
              </w:rPr>
            </w:pPr>
            <w:r>
              <w:rPr>
                <w:rFonts w:cs="Arial"/>
                <w:sz w:val="20"/>
                <w:szCs w:val="20"/>
              </w:rPr>
              <w:lastRenderedPageBreak/>
              <w:t>T</w:t>
            </w:r>
            <w:r w:rsidR="002668A9" w:rsidRPr="002668A9">
              <w:rPr>
                <w:rFonts w:cs="Arial"/>
                <w:sz w:val="20"/>
                <w:szCs w:val="20"/>
              </w:rPr>
              <w:t xml:space="preserve">he NSW OEH Report was </w:t>
            </w:r>
            <w:r w:rsidR="00DE277A" w:rsidRPr="002668A9">
              <w:rPr>
                <w:rFonts w:cs="Arial"/>
                <w:sz w:val="20"/>
                <w:szCs w:val="20"/>
              </w:rPr>
              <w:t>provided,</w:t>
            </w:r>
            <w:r w:rsidR="002668A9" w:rsidRPr="002668A9">
              <w:rPr>
                <w:rFonts w:cs="Arial"/>
                <w:sz w:val="20"/>
                <w:szCs w:val="20"/>
              </w:rPr>
              <w:t xml:space="preserve"> </w:t>
            </w:r>
            <w:r>
              <w:rPr>
                <w:rFonts w:cs="Arial"/>
                <w:sz w:val="20"/>
                <w:szCs w:val="20"/>
              </w:rPr>
              <w:t>a</w:t>
            </w:r>
            <w:r w:rsidR="002668A9" w:rsidRPr="002668A9">
              <w:rPr>
                <w:rFonts w:cs="Arial"/>
                <w:sz w:val="20"/>
                <w:szCs w:val="20"/>
              </w:rPr>
              <w:t xml:space="preserve">nd the consultation period was extended to allow for stakeholder consideration. That report </w:t>
            </w:r>
            <w:r w:rsidR="002668A9" w:rsidRPr="002668A9">
              <w:rPr>
                <w:rFonts w:cs="Arial"/>
                <w:sz w:val="20"/>
                <w:szCs w:val="20"/>
              </w:rPr>
              <w:lastRenderedPageBreak/>
              <w:t>includes information on derivation of the soil criteria based on the ASC NEPM.</w:t>
            </w:r>
          </w:p>
          <w:p w14:paraId="2A76732F" w14:textId="77777777" w:rsidR="002668A9" w:rsidRPr="002668A9" w:rsidRDefault="002668A9" w:rsidP="00D75095">
            <w:pPr>
              <w:rPr>
                <w:rFonts w:cs="Arial"/>
                <w:sz w:val="20"/>
                <w:szCs w:val="20"/>
              </w:rPr>
            </w:pPr>
            <w:r w:rsidRPr="002668A9">
              <w:rPr>
                <w:rFonts w:cs="Arial"/>
                <w:sz w:val="20"/>
                <w:szCs w:val="20"/>
              </w:rPr>
              <w:t>This feedback will also need to be followed up as part of theme 4 (Soil) in the NEMP future work program. This theme includes, for example, activities to progress the further development of indirect and direct ecological guideline values for soil, PFAA behaviour and the influence of soil chemistry, and guidance on managing PFAS in soil, such as potential criteria for reuse of soil.</w:t>
            </w:r>
          </w:p>
          <w:p w14:paraId="1D2D8AF2" w14:textId="77777777" w:rsidR="002668A9" w:rsidRPr="002668A9" w:rsidRDefault="002668A9" w:rsidP="00D75095">
            <w:pPr>
              <w:rPr>
                <w:rFonts w:cs="Arial"/>
                <w:sz w:val="20"/>
                <w:szCs w:val="20"/>
              </w:rPr>
            </w:pPr>
            <w:r w:rsidRPr="002668A9">
              <w:rPr>
                <w:rFonts w:cs="Arial"/>
                <w:sz w:val="20"/>
                <w:szCs w:val="20"/>
              </w:rPr>
              <w:t>Some aspects of NEMP 2.0 have been clarified in response to the feedback including:</w:t>
            </w:r>
          </w:p>
          <w:p w14:paraId="35D84B46" w14:textId="77777777" w:rsidR="00656B42" w:rsidRDefault="002668A9" w:rsidP="001D2768">
            <w:pPr>
              <w:pStyle w:val="bullet1"/>
            </w:pPr>
            <w:r w:rsidRPr="002668A9">
              <w:t>Based on FSANZ information, combined PFOS+PFHxS criteria have been retained. More clarity is provided on how the value was derived, as well as text on background and multiple exposure pathways.</w:t>
            </w:r>
          </w:p>
          <w:p w14:paraId="77383A94" w14:textId="1A3D5A08" w:rsidR="002668A9" w:rsidRPr="002668A9" w:rsidRDefault="002668A9" w:rsidP="001D2768">
            <w:pPr>
              <w:pStyle w:val="bullet1"/>
            </w:pPr>
            <w:r w:rsidRPr="002668A9">
              <w:t>Also there was not sufficient data to derive one TF for PFHxS. Additional information is also available in the OEH Report.</w:t>
            </w:r>
          </w:p>
        </w:tc>
      </w:tr>
      <w:tr w:rsidR="002668A9" w:rsidRPr="002668A9" w14:paraId="496C1ECE" w14:textId="77777777" w:rsidTr="00681106">
        <w:trPr>
          <w:trHeight w:val="464"/>
        </w:trPr>
        <w:tc>
          <w:tcPr>
            <w:tcW w:w="781" w:type="pct"/>
            <w:vMerge/>
            <w:shd w:val="clear" w:color="auto" w:fill="auto"/>
          </w:tcPr>
          <w:p w14:paraId="15148E08" w14:textId="77777777" w:rsidR="002668A9" w:rsidRPr="002668A9" w:rsidRDefault="002668A9" w:rsidP="00D75095">
            <w:pPr>
              <w:rPr>
                <w:rFonts w:cs="Arial"/>
                <w:sz w:val="20"/>
                <w:szCs w:val="20"/>
              </w:rPr>
            </w:pPr>
          </w:p>
        </w:tc>
        <w:tc>
          <w:tcPr>
            <w:tcW w:w="1290" w:type="pct"/>
            <w:vMerge/>
            <w:shd w:val="clear" w:color="auto" w:fill="auto"/>
          </w:tcPr>
          <w:p w14:paraId="50998440" w14:textId="77777777" w:rsidR="002668A9" w:rsidRPr="002668A9" w:rsidRDefault="002668A9" w:rsidP="00D75095">
            <w:pPr>
              <w:rPr>
                <w:rFonts w:cs="Arial"/>
                <w:sz w:val="20"/>
                <w:szCs w:val="20"/>
              </w:rPr>
            </w:pPr>
          </w:p>
        </w:tc>
        <w:tc>
          <w:tcPr>
            <w:tcW w:w="921" w:type="pct"/>
            <w:vMerge/>
            <w:shd w:val="clear" w:color="auto" w:fill="auto"/>
          </w:tcPr>
          <w:p w14:paraId="2C735FB2" w14:textId="77777777" w:rsidR="002668A9" w:rsidRPr="002668A9" w:rsidRDefault="002668A9" w:rsidP="00D75095">
            <w:pPr>
              <w:rPr>
                <w:rFonts w:cs="Arial"/>
                <w:sz w:val="20"/>
                <w:szCs w:val="20"/>
              </w:rPr>
            </w:pPr>
          </w:p>
        </w:tc>
        <w:tc>
          <w:tcPr>
            <w:tcW w:w="2008" w:type="pct"/>
            <w:vMerge/>
            <w:shd w:val="clear" w:color="auto" w:fill="auto"/>
            <w:tcMar>
              <w:top w:w="0" w:type="dxa"/>
              <w:left w:w="108" w:type="dxa"/>
              <w:bottom w:w="0" w:type="dxa"/>
              <w:right w:w="108" w:type="dxa"/>
            </w:tcMar>
          </w:tcPr>
          <w:p w14:paraId="612AFE56" w14:textId="77777777" w:rsidR="002668A9" w:rsidRPr="002668A9" w:rsidRDefault="002668A9" w:rsidP="00D75095">
            <w:pPr>
              <w:rPr>
                <w:rFonts w:cs="Arial"/>
                <w:sz w:val="20"/>
                <w:szCs w:val="20"/>
              </w:rPr>
            </w:pPr>
          </w:p>
        </w:tc>
      </w:tr>
      <w:tr w:rsidR="002668A9" w:rsidRPr="002668A9" w14:paraId="39B0EEE8" w14:textId="77777777" w:rsidTr="00681106">
        <w:trPr>
          <w:trHeight w:val="504"/>
        </w:trPr>
        <w:tc>
          <w:tcPr>
            <w:tcW w:w="781" w:type="pct"/>
            <w:vMerge/>
            <w:shd w:val="clear" w:color="auto" w:fill="auto"/>
          </w:tcPr>
          <w:p w14:paraId="53E69E73" w14:textId="77777777" w:rsidR="002668A9" w:rsidRPr="002668A9" w:rsidRDefault="002668A9" w:rsidP="00D75095">
            <w:pPr>
              <w:rPr>
                <w:rFonts w:cs="Arial"/>
                <w:sz w:val="20"/>
                <w:szCs w:val="20"/>
              </w:rPr>
            </w:pPr>
          </w:p>
        </w:tc>
        <w:tc>
          <w:tcPr>
            <w:tcW w:w="1290" w:type="pct"/>
            <w:vMerge/>
            <w:shd w:val="clear" w:color="auto" w:fill="auto"/>
          </w:tcPr>
          <w:p w14:paraId="515984E8" w14:textId="77777777" w:rsidR="002668A9" w:rsidRPr="002668A9" w:rsidRDefault="002668A9" w:rsidP="00D75095">
            <w:pPr>
              <w:rPr>
                <w:rFonts w:cs="Arial"/>
                <w:sz w:val="20"/>
                <w:szCs w:val="20"/>
              </w:rPr>
            </w:pPr>
          </w:p>
        </w:tc>
        <w:tc>
          <w:tcPr>
            <w:tcW w:w="921" w:type="pct"/>
            <w:vMerge/>
            <w:shd w:val="clear" w:color="auto" w:fill="auto"/>
          </w:tcPr>
          <w:p w14:paraId="724C9E08" w14:textId="77777777" w:rsidR="002668A9" w:rsidRPr="002668A9" w:rsidRDefault="002668A9" w:rsidP="00D75095">
            <w:pPr>
              <w:rPr>
                <w:rFonts w:cs="Arial"/>
                <w:sz w:val="20"/>
                <w:szCs w:val="20"/>
              </w:rPr>
            </w:pPr>
          </w:p>
        </w:tc>
        <w:tc>
          <w:tcPr>
            <w:tcW w:w="2008" w:type="pct"/>
            <w:vMerge/>
            <w:shd w:val="clear" w:color="auto" w:fill="auto"/>
            <w:tcMar>
              <w:top w:w="0" w:type="dxa"/>
              <w:left w:w="108" w:type="dxa"/>
              <w:bottom w:w="0" w:type="dxa"/>
              <w:right w:w="108" w:type="dxa"/>
            </w:tcMar>
          </w:tcPr>
          <w:p w14:paraId="00578C60" w14:textId="77777777" w:rsidR="002668A9" w:rsidRPr="002668A9" w:rsidRDefault="002668A9" w:rsidP="00D75095">
            <w:pPr>
              <w:rPr>
                <w:rFonts w:cs="Arial"/>
                <w:sz w:val="20"/>
                <w:szCs w:val="20"/>
              </w:rPr>
            </w:pPr>
          </w:p>
        </w:tc>
      </w:tr>
      <w:tr w:rsidR="002668A9" w:rsidRPr="002668A9" w14:paraId="422E8B8F" w14:textId="77777777" w:rsidTr="00681106">
        <w:trPr>
          <w:trHeight w:val="504"/>
        </w:trPr>
        <w:tc>
          <w:tcPr>
            <w:tcW w:w="781" w:type="pct"/>
            <w:vMerge/>
            <w:shd w:val="clear" w:color="auto" w:fill="auto"/>
          </w:tcPr>
          <w:p w14:paraId="53C9FE51" w14:textId="77777777" w:rsidR="002668A9" w:rsidRPr="002668A9" w:rsidRDefault="002668A9" w:rsidP="00D75095">
            <w:pPr>
              <w:rPr>
                <w:rFonts w:cs="Arial"/>
                <w:sz w:val="20"/>
                <w:szCs w:val="20"/>
              </w:rPr>
            </w:pPr>
          </w:p>
        </w:tc>
        <w:tc>
          <w:tcPr>
            <w:tcW w:w="1290" w:type="pct"/>
            <w:vMerge/>
          </w:tcPr>
          <w:p w14:paraId="072E4EF5" w14:textId="77777777" w:rsidR="002668A9" w:rsidRPr="002668A9" w:rsidRDefault="002668A9" w:rsidP="00D75095">
            <w:pPr>
              <w:rPr>
                <w:rFonts w:cs="Arial"/>
                <w:sz w:val="20"/>
                <w:szCs w:val="20"/>
              </w:rPr>
            </w:pPr>
          </w:p>
        </w:tc>
        <w:tc>
          <w:tcPr>
            <w:tcW w:w="921" w:type="pct"/>
            <w:vMerge/>
          </w:tcPr>
          <w:p w14:paraId="1697C534"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57751835" w14:textId="77777777" w:rsidR="002668A9" w:rsidRPr="002668A9" w:rsidRDefault="002668A9" w:rsidP="00D75095">
            <w:pPr>
              <w:rPr>
                <w:rFonts w:cs="Arial"/>
                <w:sz w:val="20"/>
                <w:szCs w:val="20"/>
              </w:rPr>
            </w:pPr>
          </w:p>
        </w:tc>
      </w:tr>
      <w:tr w:rsidR="002668A9" w:rsidRPr="002668A9" w14:paraId="72247AA6" w14:textId="77777777" w:rsidTr="00681106">
        <w:trPr>
          <w:trHeight w:val="504"/>
        </w:trPr>
        <w:tc>
          <w:tcPr>
            <w:tcW w:w="781" w:type="pct"/>
            <w:vMerge/>
            <w:shd w:val="clear" w:color="auto" w:fill="auto"/>
          </w:tcPr>
          <w:p w14:paraId="0EACD2C8" w14:textId="77777777" w:rsidR="002668A9" w:rsidRPr="002668A9" w:rsidRDefault="002668A9" w:rsidP="00D75095">
            <w:pPr>
              <w:rPr>
                <w:rFonts w:cs="Arial"/>
                <w:sz w:val="20"/>
                <w:szCs w:val="20"/>
              </w:rPr>
            </w:pPr>
          </w:p>
        </w:tc>
        <w:tc>
          <w:tcPr>
            <w:tcW w:w="1290" w:type="pct"/>
            <w:vMerge/>
          </w:tcPr>
          <w:p w14:paraId="171EF05E" w14:textId="77777777" w:rsidR="002668A9" w:rsidRPr="002668A9" w:rsidRDefault="002668A9" w:rsidP="00D75095">
            <w:pPr>
              <w:rPr>
                <w:rFonts w:cs="Arial"/>
                <w:sz w:val="20"/>
                <w:szCs w:val="20"/>
              </w:rPr>
            </w:pPr>
          </w:p>
        </w:tc>
        <w:tc>
          <w:tcPr>
            <w:tcW w:w="921" w:type="pct"/>
            <w:vMerge/>
          </w:tcPr>
          <w:p w14:paraId="18F7F1FC"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7B0B0DFC" w14:textId="77777777" w:rsidR="002668A9" w:rsidRPr="002668A9" w:rsidRDefault="002668A9" w:rsidP="00D75095">
            <w:pPr>
              <w:rPr>
                <w:rFonts w:cs="Arial"/>
                <w:sz w:val="20"/>
                <w:szCs w:val="20"/>
              </w:rPr>
            </w:pPr>
          </w:p>
        </w:tc>
      </w:tr>
      <w:tr w:rsidR="002668A9" w:rsidRPr="002668A9" w14:paraId="6C44B2FC" w14:textId="77777777" w:rsidTr="00681106">
        <w:trPr>
          <w:trHeight w:val="504"/>
        </w:trPr>
        <w:tc>
          <w:tcPr>
            <w:tcW w:w="781" w:type="pct"/>
            <w:vMerge/>
            <w:shd w:val="clear" w:color="auto" w:fill="auto"/>
          </w:tcPr>
          <w:p w14:paraId="7C82271D" w14:textId="77777777" w:rsidR="002668A9" w:rsidRPr="002668A9" w:rsidRDefault="002668A9" w:rsidP="00D75095">
            <w:pPr>
              <w:rPr>
                <w:rFonts w:cs="Arial"/>
                <w:sz w:val="20"/>
                <w:szCs w:val="20"/>
              </w:rPr>
            </w:pPr>
          </w:p>
        </w:tc>
        <w:tc>
          <w:tcPr>
            <w:tcW w:w="1290" w:type="pct"/>
            <w:vMerge/>
          </w:tcPr>
          <w:p w14:paraId="28238AA2" w14:textId="77777777" w:rsidR="002668A9" w:rsidRPr="002668A9" w:rsidRDefault="002668A9" w:rsidP="00D75095">
            <w:pPr>
              <w:rPr>
                <w:rFonts w:cs="Arial"/>
                <w:sz w:val="20"/>
                <w:szCs w:val="20"/>
              </w:rPr>
            </w:pPr>
          </w:p>
        </w:tc>
        <w:tc>
          <w:tcPr>
            <w:tcW w:w="921" w:type="pct"/>
            <w:vMerge/>
          </w:tcPr>
          <w:p w14:paraId="768A2F82"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2E4D7315" w14:textId="77777777" w:rsidR="002668A9" w:rsidRPr="002668A9" w:rsidRDefault="002668A9" w:rsidP="00D75095">
            <w:pPr>
              <w:rPr>
                <w:rFonts w:cs="Arial"/>
                <w:sz w:val="20"/>
                <w:szCs w:val="20"/>
              </w:rPr>
            </w:pPr>
          </w:p>
        </w:tc>
      </w:tr>
      <w:tr w:rsidR="002668A9" w:rsidRPr="002668A9" w14:paraId="77147ED4" w14:textId="77777777" w:rsidTr="00681106">
        <w:trPr>
          <w:trHeight w:val="504"/>
        </w:trPr>
        <w:tc>
          <w:tcPr>
            <w:tcW w:w="781" w:type="pct"/>
            <w:vMerge/>
            <w:shd w:val="clear" w:color="auto" w:fill="auto"/>
          </w:tcPr>
          <w:p w14:paraId="22935CE4" w14:textId="77777777" w:rsidR="002668A9" w:rsidRPr="002668A9" w:rsidRDefault="002668A9" w:rsidP="00D75095">
            <w:pPr>
              <w:rPr>
                <w:rFonts w:cs="Arial"/>
                <w:sz w:val="20"/>
                <w:szCs w:val="20"/>
              </w:rPr>
            </w:pPr>
          </w:p>
        </w:tc>
        <w:tc>
          <w:tcPr>
            <w:tcW w:w="1290" w:type="pct"/>
            <w:vMerge/>
          </w:tcPr>
          <w:p w14:paraId="0A5F6DAC" w14:textId="77777777" w:rsidR="002668A9" w:rsidRPr="002668A9" w:rsidRDefault="002668A9" w:rsidP="00D75095">
            <w:pPr>
              <w:rPr>
                <w:rFonts w:cs="Arial"/>
                <w:sz w:val="20"/>
                <w:szCs w:val="20"/>
              </w:rPr>
            </w:pPr>
          </w:p>
        </w:tc>
        <w:tc>
          <w:tcPr>
            <w:tcW w:w="921" w:type="pct"/>
            <w:vMerge/>
          </w:tcPr>
          <w:p w14:paraId="09FF26F8"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1C86B683" w14:textId="77777777" w:rsidR="002668A9" w:rsidRPr="002668A9" w:rsidRDefault="002668A9" w:rsidP="00D75095">
            <w:pPr>
              <w:rPr>
                <w:rFonts w:cs="Arial"/>
                <w:sz w:val="20"/>
                <w:szCs w:val="20"/>
              </w:rPr>
            </w:pPr>
          </w:p>
        </w:tc>
      </w:tr>
      <w:tr w:rsidR="002668A9" w:rsidRPr="002668A9" w14:paraId="105C5043" w14:textId="77777777" w:rsidTr="00681106">
        <w:trPr>
          <w:trHeight w:val="1951"/>
        </w:trPr>
        <w:tc>
          <w:tcPr>
            <w:tcW w:w="781" w:type="pct"/>
            <w:vMerge/>
            <w:shd w:val="clear" w:color="auto" w:fill="auto"/>
          </w:tcPr>
          <w:p w14:paraId="6852708B" w14:textId="77777777" w:rsidR="002668A9" w:rsidRPr="002668A9" w:rsidRDefault="002668A9" w:rsidP="00D75095">
            <w:pPr>
              <w:rPr>
                <w:rFonts w:cs="Arial"/>
                <w:sz w:val="20"/>
                <w:szCs w:val="20"/>
              </w:rPr>
            </w:pPr>
          </w:p>
        </w:tc>
        <w:tc>
          <w:tcPr>
            <w:tcW w:w="1290" w:type="pct"/>
            <w:vMerge/>
          </w:tcPr>
          <w:p w14:paraId="3DB46322" w14:textId="77777777" w:rsidR="002668A9" w:rsidRPr="002668A9" w:rsidRDefault="002668A9" w:rsidP="00D75095">
            <w:pPr>
              <w:rPr>
                <w:rFonts w:cs="Arial"/>
                <w:sz w:val="20"/>
                <w:szCs w:val="20"/>
              </w:rPr>
            </w:pPr>
          </w:p>
        </w:tc>
        <w:tc>
          <w:tcPr>
            <w:tcW w:w="921" w:type="pct"/>
            <w:vMerge/>
          </w:tcPr>
          <w:p w14:paraId="4C4BD2A3"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13DC9567" w14:textId="77777777" w:rsidR="002668A9" w:rsidRPr="002668A9" w:rsidRDefault="002668A9" w:rsidP="00D75095">
            <w:pPr>
              <w:rPr>
                <w:rFonts w:cs="Arial"/>
                <w:sz w:val="20"/>
                <w:szCs w:val="20"/>
              </w:rPr>
            </w:pPr>
          </w:p>
        </w:tc>
      </w:tr>
      <w:tr w:rsidR="002668A9" w:rsidRPr="002668A9" w14:paraId="5A9F6A99" w14:textId="77777777" w:rsidTr="00681106">
        <w:trPr>
          <w:trHeight w:val="464"/>
        </w:trPr>
        <w:tc>
          <w:tcPr>
            <w:tcW w:w="781" w:type="pct"/>
            <w:vMerge w:val="restart"/>
            <w:shd w:val="clear" w:color="auto" w:fill="auto"/>
          </w:tcPr>
          <w:p w14:paraId="407FC486" w14:textId="77777777" w:rsidR="002668A9" w:rsidRPr="002668A9" w:rsidRDefault="002668A9" w:rsidP="00D75095">
            <w:pPr>
              <w:rPr>
                <w:rFonts w:cs="Arial"/>
                <w:sz w:val="20"/>
                <w:szCs w:val="20"/>
              </w:rPr>
            </w:pPr>
            <w:r w:rsidRPr="002668A9">
              <w:rPr>
                <w:rFonts w:cs="Arial"/>
                <w:sz w:val="20"/>
                <w:szCs w:val="20"/>
              </w:rPr>
              <w:t>Recreational waters</w:t>
            </w:r>
          </w:p>
        </w:tc>
        <w:tc>
          <w:tcPr>
            <w:tcW w:w="1290" w:type="pct"/>
            <w:vMerge w:val="restart"/>
          </w:tcPr>
          <w:p w14:paraId="00A32CA3" w14:textId="7709BE75" w:rsidR="002668A9" w:rsidRPr="002668A9" w:rsidRDefault="002668A9" w:rsidP="00D75095">
            <w:pPr>
              <w:rPr>
                <w:rFonts w:cs="Arial"/>
                <w:sz w:val="20"/>
                <w:szCs w:val="20"/>
              </w:rPr>
            </w:pPr>
            <w:r w:rsidRPr="002668A9">
              <w:rPr>
                <w:rFonts w:cs="Arial"/>
                <w:sz w:val="20"/>
                <w:szCs w:val="20"/>
              </w:rPr>
              <w:t xml:space="preserve">In 2019, the NHMRC published updated recreational water guideline values. </w:t>
            </w:r>
            <w:r w:rsidR="00393B30">
              <w:rPr>
                <w:rFonts w:cs="Arial"/>
                <w:sz w:val="20"/>
                <w:szCs w:val="20"/>
              </w:rPr>
              <w:t>Were</w:t>
            </w:r>
            <w:r w:rsidRPr="002668A9">
              <w:rPr>
                <w:rFonts w:cs="Arial"/>
                <w:sz w:val="20"/>
                <w:szCs w:val="20"/>
              </w:rPr>
              <w:t xml:space="preserve"> th</w:t>
            </w:r>
            <w:r w:rsidR="00393B30">
              <w:rPr>
                <w:rFonts w:cs="Arial"/>
                <w:sz w:val="20"/>
                <w:szCs w:val="20"/>
              </w:rPr>
              <w:t>ese</w:t>
            </w:r>
            <w:r w:rsidRPr="002668A9">
              <w:rPr>
                <w:rFonts w:cs="Arial"/>
                <w:sz w:val="20"/>
                <w:szCs w:val="20"/>
              </w:rPr>
              <w:t xml:space="preserve"> included in the NEMP</w:t>
            </w:r>
            <w:r w:rsidR="000527CB">
              <w:rPr>
                <w:rFonts w:cs="Arial"/>
                <w:sz w:val="20"/>
                <w:szCs w:val="20"/>
              </w:rPr>
              <w:t xml:space="preserve"> 2.0</w:t>
            </w:r>
            <w:r w:rsidRPr="002668A9">
              <w:rPr>
                <w:rFonts w:cs="Arial"/>
                <w:sz w:val="20"/>
                <w:szCs w:val="20"/>
              </w:rPr>
              <w:t>?</w:t>
            </w:r>
          </w:p>
          <w:p w14:paraId="0EF42888" w14:textId="1DB820D2" w:rsidR="002668A9" w:rsidRPr="002668A9" w:rsidRDefault="002668A9" w:rsidP="00D75095">
            <w:pPr>
              <w:rPr>
                <w:rFonts w:cs="Arial"/>
                <w:sz w:val="20"/>
                <w:szCs w:val="20"/>
              </w:rPr>
            </w:pPr>
            <w:r w:rsidRPr="002668A9">
              <w:rPr>
                <w:rFonts w:cs="Arial"/>
                <w:sz w:val="20"/>
                <w:szCs w:val="20"/>
              </w:rPr>
              <w:lastRenderedPageBreak/>
              <w:t>Do the recreational value</w:t>
            </w:r>
            <w:r w:rsidR="00393B30">
              <w:rPr>
                <w:rFonts w:cs="Arial"/>
                <w:sz w:val="20"/>
                <w:szCs w:val="20"/>
              </w:rPr>
              <w:t>s</w:t>
            </w:r>
            <w:r w:rsidRPr="002668A9">
              <w:rPr>
                <w:rFonts w:cs="Arial"/>
                <w:sz w:val="20"/>
                <w:szCs w:val="20"/>
              </w:rPr>
              <w:t xml:space="preserve"> take into account other exposures e.g. drinking water?</w:t>
            </w:r>
          </w:p>
        </w:tc>
        <w:tc>
          <w:tcPr>
            <w:tcW w:w="921" w:type="pct"/>
            <w:vMerge w:val="restart"/>
          </w:tcPr>
          <w:p w14:paraId="77E21513" w14:textId="77777777" w:rsidR="00014C8A" w:rsidRPr="002668A9" w:rsidRDefault="00014C8A" w:rsidP="00D75095">
            <w:pPr>
              <w:rPr>
                <w:rFonts w:cs="Arial"/>
                <w:sz w:val="20"/>
                <w:szCs w:val="20"/>
              </w:rPr>
            </w:pPr>
            <w:r>
              <w:rPr>
                <w:rFonts w:cs="Arial"/>
                <w:sz w:val="20"/>
                <w:szCs w:val="20"/>
              </w:rPr>
              <w:lastRenderedPageBreak/>
              <w:t>Canberra Airport</w:t>
            </w:r>
          </w:p>
          <w:p w14:paraId="374F6474" w14:textId="77777777" w:rsidR="00014C8A" w:rsidRPr="002668A9" w:rsidRDefault="00014C8A" w:rsidP="00D75095">
            <w:pPr>
              <w:rPr>
                <w:rFonts w:cs="Arial"/>
                <w:sz w:val="20"/>
                <w:szCs w:val="20"/>
              </w:rPr>
            </w:pPr>
            <w:r>
              <w:rPr>
                <w:rFonts w:cs="Arial"/>
                <w:sz w:val="20"/>
                <w:szCs w:val="20"/>
              </w:rPr>
              <w:t>Queensland Urban Utilities</w:t>
            </w:r>
          </w:p>
          <w:p w14:paraId="5411CF48" w14:textId="7BCD7501" w:rsidR="002668A9" w:rsidRPr="002668A9" w:rsidRDefault="00014C8A" w:rsidP="00D75095">
            <w:pPr>
              <w:rPr>
                <w:rFonts w:cs="Arial"/>
                <w:sz w:val="20"/>
                <w:szCs w:val="20"/>
              </w:rPr>
            </w:pPr>
            <w:r>
              <w:rPr>
                <w:rFonts w:cs="Arial"/>
                <w:sz w:val="20"/>
                <w:szCs w:val="20"/>
              </w:rPr>
              <w:lastRenderedPageBreak/>
              <w:t>WA Government</w:t>
            </w:r>
          </w:p>
        </w:tc>
        <w:tc>
          <w:tcPr>
            <w:tcW w:w="2008" w:type="pct"/>
            <w:vMerge w:val="restart"/>
            <w:shd w:val="clear" w:color="auto" w:fill="auto"/>
            <w:tcMar>
              <w:top w:w="0" w:type="dxa"/>
              <w:left w:w="108" w:type="dxa"/>
              <w:bottom w:w="0" w:type="dxa"/>
              <w:right w:w="108" w:type="dxa"/>
            </w:tcMar>
          </w:tcPr>
          <w:p w14:paraId="20F3778E" w14:textId="00856DA1" w:rsidR="003C7875" w:rsidRPr="002668A9" w:rsidRDefault="003C7875" w:rsidP="00D75095">
            <w:pPr>
              <w:rPr>
                <w:rFonts w:cs="Arial"/>
                <w:sz w:val="20"/>
                <w:szCs w:val="20"/>
              </w:rPr>
            </w:pPr>
            <w:r w:rsidRPr="002668A9">
              <w:rPr>
                <w:rFonts w:cs="Arial"/>
                <w:sz w:val="20"/>
                <w:szCs w:val="20"/>
              </w:rPr>
              <w:lastRenderedPageBreak/>
              <w:t xml:space="preserve">The updated recreational guideline values </w:t>
            </w:r>
            <w:r>
              <w:rPr>
                <w:rFonts w:cs="Arial"/>
                <w:sz w:val="20"/>
                <w:szCs w:val="20"/>
              </w:rPr>
              <w:t>are</w:t>
            </w:r>
            <w:r w:rsidRPr="002668A9">
              <w:rPr>
                <w:rFonts w:cs="Arial"/>
                <w:sz w:val="20"/>
                <w:szCs w:val="20"/>
              </w:rPr>
              <w:t xml:space="preserve"> included in the NEMP </w:t>
            </w:r>
            <w:r w:rsidR="000527CB">
              <w:rPr>
                <w:rFonts w:cs="Arial"/>
                <w:sz w:val="20"/>
                <w:szCs w:val="20"/>
              </w:rPr>
              <w:t>2.0</w:t>
            </w:r>
            <w:r w:rsidRPr="002668A9">
              <w:rPr>
                <w:rFonts w:cs="Arial"/>
                <w:sz w:val="20"/>
                <w:szCs w:val="20"/>
              </w:rPr>
              <w:t xml:space="preserve"> with clarification around the</w:t>
            </w:r>
            <w:r>
              <w:rPr>
                <w:rFonts w:cs="Arial"/>
                <w:sz w:val="20"/>
                <w:szCs w:val="20"/>
              </w:rPr>
              <w:t xml:space="preserve"> underlying</w:t>
            </w:r>
            <w:r w:rsidRPr="002668A9">
              <w:rPr>
                <w:rFonts w:cs="Arial"/>
                <w:sz w:val="20"/>
                <w:szCs w:val="20"/>
              </w:rPr>
              <w:t xml:space="preserve"> assumptions</w:t>
            </w:r>
            <w:r>
              <w:rPr>
                <w:rFonts w:cs="Arial"/>
                <w:sz w:val="20"/>
                <w:szCs w:val="20"/>
              </w:rPr>
              <w:t>.</w:t>
            </w:r>
          </w:p>
          <w:p w14:paraId="4A49CCA8" w14:textId="77777777" w:rsidR="002668A9" w:rsidRPr="002668A9" w:rsidRDefault="002668A9" w:rsidP="00D75095">
            <w:pPr>
              <w:rPr>
                <w:rFonts w:cs="Arial"/>
                <w:sz w:val="20"/>
                <w:szCs w:val="20"/>
              </w:rPr>
            </w:pPr>
            <w:r w:rsidRPr="002668A9">
              <w:rPr>
                <w:rFonts w:cs="Arial"/>
                <w:sz w:val="20"/>
                <w:szCs w:val="20"/>
              </w:rPr>
              <w:lastRenderedPageBreak/>
              <w:t>Editorial changes were made to provide further clarity on human health exposure pathways, and on how guideline values account for other exposure pathways.</w:t>
            </w:r>
          </w:p>
          <w:p w14:paraId="1ED4892E" w14:textId="77777777" w:rsidR="002668A9" w:rsidRPr="002668A9" w:rsidRDefault="002668A9" w:rsidP="00D75095">
            <w:pPr>
              <w:rPr>
                <w:rFonts w:cs="Arial"/>
                <w:sz w:val="20"/>
                <w:szCs w:val="20"/>
              </w:rPr>
            </w:pPr>
            <w:r w:rsidRPr="002668A9">
              <w:rPr>
                <w:rFonts w:cs="Arial"/>
                <w:sz w:val="20"/>
                <w:szCs w:val="20"/>
              </w:rPr>
              <w:t>Further work is planned on wastewater outputs, including recycled water, as part of Theme 3 – water.</w:t>
            </w:r>
          </w:p>
        </w:tc>
      </w:tr>
      <w:tr w:rsidR="002668A9" w:rsidRPr="002668A9" w14:paraId="717542D8" w14:textId="77777777" w:rsidTr="00681106">
        <w:trPr>
          <w:trHeight w:val="504"/>
        </w:trPr>
        <w:tc>
          <w:tcPr>
            <w:tcW w:w="781" w:type="pct"/>
            <w:vMerge/>
            <w:shd w:val="clear" w:color="auto" w:fill="auto"/>
          </w:tcPr>
          <w:p w14:paraId="30C954F6" w14:textId="77777777" w:rsidR="002668A9" w:rsidRPr="002668A9" w:rsidRDefault="002668A9" w:rsidP="00D75095">
            <w:pPr>
              <w:rPr>
                <w:rFonts w:cs="Arial"/>
                <w:sz w:val="20"/>
                <w:szCs w:val="20"/>
              </w:rPr>
            </w:pPr>
          </w:p>
        </w:tc>
        <w:tc>
          <w:tcPr>
            <w:tcW w:w="1290" w:type="pct"/>
            <w:vMerge/>
          </w:tcPr>
          <w:p w14:paraId="36CD31FE" w14:textId="77777777" w:rsidR="002668A9" w:rsidRPr="002668A9" w:rsidRDefault="002668A9" w:rsidP="00D75095">
            <w:pPr>
              <w:rPr>
                <w:rFonts w:cs="Arial"/>
                <w:sz w:val="20"/>
                <w:szCs w:val="20"/>
              </w:rPr>
            </w:pPr>
          </w:p>
        </w:tc>
        <w:tc>
          <w:tcPr>
            <w:tcW w:w="921" w:type="pct"/>
            <w:vMerge/>
          </w:tcPr>
          <w:p w14:paraId="7903A1D4"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1B6449F0" w14:textId="77777777" w:rsidR="002668A9" w:rsidRPr="002668A9" w:rsidRDefault="002668A9" w:rsidP="00D75095">
            <w:pPr>
              <w:rPr>
                <w:rFonts w:cs="Arial"/>
                <w:sz w:val="20"/>
                <w:szCs w:val="20"/>
              </w:rPr>
            </w:pPr>
          </w:p>
        </w:tc>
      </w:tr>
      <w:tr w:rsidR="002668A9" w:rsidRPr="002668A9" w14:paraId="724175D7" w14:textId="77777777" w:rsidTr="00681106">
        <w:trPr>
          <w:trHeight w:val="504"/>
        </w:trPr>
        <w:tc>
          <w:tcPr>
            <w:tcW w:w="781" w:type="pct"/>
            <w:vMerge/>
            <w:shd w:val="clear" w:color="auto" w:fill="auto"/>
          </w:tcPr>
          <w:p w14:paraId="3A923D53" w14:textId="77777777" w:rsidR="002668A9" w:rsidRPr="002668A9" w:rsidRDefault="002668A9" w:rsidP="00D75095">
            <w:pPr>
              <w:rPr>
                <w:rFonts w:cs="Arial"/>
                <w:sz w:val="20"/>
                <w:szCs w:val="20"/>
              </w:rPr>
            </w:pPr>
          </w:p>
        </w:tc>
        <w:tc>
          <w:tcPr>
            <w:tcW w:w="1290" w:type="pct"/>
            <w:vMerge/>
          </w:tcPr>
          <w:p w14:paraId="17475F83" w14:textId="77777777" w:rsidR="002668A9" w:rsidRPr="002668A9" w:rsidRDefault="002668A9" w:rsidP="00D75095">
            <w:pPr>
              <w:rPr>
                <w:rFonts w:cs="Arial"/>
                <w:sz w:val="20"/>
                <w:szCs w:val="20"/>
              </w:rPr>
            </w:pPr>
          </w:p>
        </w:tc>
        <w:tc>
          <w:tcPr>
            <w:tcW w:w="921" w:type="pct"/>
            <w:vMerge/>
          </w:tcPr>
          <w:p w14:paraId="2827ED92" w14:textId="77777777" w:rsidR="002668A9" w:rsidRPr="002668A9" w:rsidRDefault="002668A9" w:rsidP="00D75095">
            <w:pPr>
              <w:rPr>
                <w:rFonts w:cs="Arial"/>
                <w:sz w:val="20"/>
                <w:szCs w:val="20"/>
              </w:rPr>
            </w:pPr>
          </w:p>
        </w:tc>
        <w:tc>
          <w:tcPr>
            <w:tcW w:w="2008" w:type="pct"/>
            <w:vMerge/>
            <w:tcMar>
              <w:top w:w="0" w:type="dxa"/>
              <w:left w:w="108" w:type="dxa"/>
              <w:bottom w:w="0" w:type="dxa"/>
              <w:right w:w="108" w:type="dxa"/>
            </w:tcMar>
          </w:tcPr>
          <w:p w14:paraId="1ED1D0BC" w14:textId="77777777" w:rsidR="002668A9" w:rsidRPr="002668A9" w:rsidRDefault="002668A9" w:rsidP="00D75095">
            <w:pPr>
              <w:rPr>
                <w:rFonts w:cs="Arial"/>
                <w:sz w:val="20"/>
                <w:szCs w:val="20"/>
              </w:rPr>
            </w:pPr>
          </w:p>
        </w:tc>
      </w:tr>
    </w:tbl>
    <w:p w14:paraId="5452A620" w14:textId="5CD6C34D" w:rsidR="002668A9" w:rsidRPr="002668A9" w:rsidRDefault="002668A9" w:rsidP="002668A9">
      <w:pPr>
        <w:rPr>
          <w:rFonts w:cs="Arial"/>
          <w:sz w:val="20"/>
          <w:szCs w:val="20"/>
        </w:rPr>
        <w:sectPr w:rsidR="002668A9" w:rsidRPr="002668A9" w:rsidSect="00752938">
          <w:pgSz w:w="16839" w:h="11907" w:orient="landscape" w:code="9"/>
          <w:pgMar w:top="720" w:right="720" w:bottom="720" w:left="720" w:header="708" w:footer="708" w:gutter="0"/>
          <w:cols w:space="708"/>
          <w:titlePg/>
          <w:docGrid w:linePitch="360"/>
        </w:sectPr>
      </w:pPr>
    </w:p>
    <w:p w14:paraId="01BBFE8F" w14:textId="6EB56C65" w:rsidR="00333E92" w:rsidRPr="002668A9" w:rsidRDefault="0075060B" w:rsidP="00DC0FE0">
      <w:pPr>
        <w:pStyle w:val="Heading2"/>
      </w:pPr>
      <w:bookmarkStart w:id="13" w:name="_Toc24644150"/>
      <w:bookmarkStart w:id="14" w:name="_Toc24720639"/>
      <w:bookmarkStart w:id="15" w:name="_Toc39837449"/>
      <w:r>
        <w:lastRenderedPageBreak/>
        <w:t xml:space="preserve">Table </w:t>
      </w:r>
      <w:r w:rsidR="001E3D6F" w:rsidRPr="002668A9">
        <w:t>B.</w:t>
      </w:r>
      <w:r w:rsidR="001E3D6F" w:rsidRPr="002668A9">
        <w:tab/>
        <w:t>Soil reuse</w:t>
      </w:r>
      <w:bookmarkEnd w:id="13"/>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419"/>
        <w:gridCol w:w="3955"/>
        <w:gridCol w:w="2835"/>
        <w:gridCol w:w="6180"/>
      </w:tblGrid>
      <w:tr w:rsidR="002668A9" w:rsidRPr="002668A9" w14:paraId="4A9968C2" w14:textId="77777777" w:rsidTr="00C36741">
        <w:trPr>
          <w:trHeight w:val="255"/>
          <w:tblHeader/>
        </w:trPr>
        <w:tc>
          <w:tcPr>
            <w:tcW w:w="786" w:type="pct"/>
            <w:shd w:val="clear" w:color="auto" w:fill="DEEAF6" w:themeFill="accent1" w:themeFillTint="33"/>
          </w:tcPr>
          <w:p w14:paraId="24215AC4" w14:textId="77777777" w:rsidR="002668A9" w:rsidRPr="002668A9" w:rsidRDefault="002668A9" w:rsidP="002668A9">
            <w:pPr>
              <w:rPr>
                <w:rFonts w:cs="Arial"/>
                <w:b/>
                <w:bCs/>
                <w:sz w:val="20"/>
                <w:szCs w:val="20"/>
              </w:rPr>
            </w:pPr>
            <w:r w:rsidRPr="002668A9">
              <w:rPr>
                <w:rFonts w:cs="Arial"/>
                <w:b/>
                <w:bCs/>
                <w:sz w:val="20"/>
                <w:szCs w:val="20"/>
              </w:rPr>
              <w:t>Theme</w:t>
            </w:r>
          </w:p>
        </w:tc>
        <w:tc>
          <w:tcPr>
            <w:tcW w:w="1285" w:type="pct"/>
            <w:shd w:val="clear" w:color="auto" w:fill="DEEAF6" w:themeFill="accent1" w:themeFillTint="33"/>
          </w:tcPr>
          <w:p w14:paraId="2EA3C821" w14:textId="553ABC0A" w:rsidR="002668A9" w:rsidRPr="002668A9" w:rsidRDefault="000200C5" w:rsidP="002668A9">
            <w:pPr>
              <w:rPr>
                <w:rFonts w:cs="Arial"/>
                <w:b/>
                <w:bCs/>
                <w:sz w:val="20"/>
                <w:szCs w:val="20"/>
              </w:rPr>
            </w:pPr>
            <w:r>
              <w:rPr>
                <w:rFonts w:cs="Arial"/>
                <w:b/>
                <w:bCs/>
                <w:sz w:val="20"/>
                <w:szCs w:val="20"/>
              </w:rPr>
              <w:t>Summary of feedback</w:t>
            </w:r>
          </w:p>
        </w:tc>
        <w:tc>
          <w:tcPr>
            <w:tcW w:w="921" w:type="pct"/>
            <w:shd w:val="clear" w:color="auto" w:fill="DEEAF6" w:themeFill="accent1" w:themeFillTint="33"/>
          </w:tcPr>
          <w:p w14:paraId="5C4169EF" w14:textId="2546FA95" w:rsidR="002668A9" w:rsidRPr="002668A9" w:rsidRDefault="000200C5" w:rsidP="002668A9">
            <w:pPr>
              <w:rPr>
                <w:rFonts w:cs="Arial"/>
                <w:b/>
                <w:bCs/>
                <w:sz w:val="20"/>
                <w:szCs w:val="20"/>
              </w:rPr>
            </w:pPr>
            <w:r>
              <w:rPr>
                <w:rFonts w:cs="Arial"/>
                <w:b/>
                <w:bCs/>
                <w:sz w:val="20"/>
                <w:szCs w:val="20"/>
              </w:rPr>
              <w:t>Submissions commenting</w:t>
            </w:r>
          </w:p>
        </w:tc>
        <w:tc>
          <w:tcPr>
            <w:tcW w:w="2008" w:type="pct"/>
            <w:shd w:val="clear" w:color="auto" w:fill="DEEAF6" w:themeFill="accent1" w:themeFillTint="33"/>
            <w:tcMar>
              <w:top w:w="0" w:type="dxa"/>
              <w:left w:w="108" w:type="dxa"/>
              <w:bottom w:w="0" w:type="dxa"/>
              <w:right w:w="108" w:type="dxa"/>
            </w:tcMar>
            <w:hideMark/>
          </w:tcPr>
          <w:p w14:paraId="5489EEC2" w14:textId="77777777" w:rsidR="002668A9" w:rsidRPr="002668A9" w:rsidRDefault="002668A9" w:rsidP="002668A9">
            <w:pPr>
              <w:rPr>
                <w:rFonts w:cs="Arial"/>
                <w:b/>
                <w:bCs/>
                <w:sz w:val="20"/>
                <w:szCs w:val="20"/>
              </w:rPr>
            </w:pPr>
            <w:r w:rsidRPr="002668A9">
              <w:rPr>
                <w:rFonts w:cs="Arial"/>
                <w:b/>
                <w:bCs/>
                <w:sz w:val="20"/>
                <w:szCs w:val="20"/>
              </w:rPr>
              <w:t>Response</w:t>
            </w:r>
          </w:p>
        </w:tc>
      </w:tr>
      <w:tr w:rsidR="002668A9" w:rsidRPr="002668A9" w14:paraId="0D405702" w14:textId="77777777" w:rsidTr="00C36741">
        <w:trPr>
          <w:trHeight w:val="464"/>
        </w:trPr>
        <w:tc>
          <w:tcPr>
            <w:tcW w:w="786" w:type="pct"/>
            <w:vMerge w:val="restart"/>
            <w:tcBorders>
              <w:top w:val="single" w:sz="4" w:space="0" w:color="auto"/>
              <w:left w:val="single" w:sz="4" w:space="0" w:color="auto"/>
              <w:right w:val="single" w:sz="4" w:space="0" w:color="auto"/>
            </w:tcBorders>
            <w:shd w:val="clear" w:color="auto" w:fill="auto"/>
          </w:tcPr>
          <w:p w14:paraId="7A54C3F9" w14:textId="77777777" w:rsidR="002668A9" w:rsidRPr="002668A9" w:rsidRDefault="002668A9" w:rsidP="002668A9">
            <w:pPr>
              <w:rPr>
                <w:rFonts w:cs="Arial"/>
                <w:sz w:val="20"/>
                <w:szCs w:val="20"/>
              </w:rPr>
            </w:pPr>
            <w:r w:rsidRPr="002668A9">
              <w:rPr>
                <w:rFonts w:cs="Arial"/>
                <w:sz w:val="20"/>
                <w:szCs w:val="20"/>
              </w:rPr>
              <w:t>Application of the decision tree</w:t>
            </w:r>
          </w:p>
        </w:tc>
        <w:tc>
          <w:tcPr>
            <w:tcW w:w="1285" w:type="pct"/>
            <w:vMerge w:val="restart"/>
            <w:tcBorders>
              <w:top w:val="single" w:sz="4" w:space="0" w:color="auto"/>
              <w:left w:val="single" w:sz="4" w:space="0" w:color="auto"/>
              <w:right w:val="single" w:sz="4" w:space="0" w:color="auto"/>
            </w:tcBorders>
          </w:tcPr>
          <w:p w14:paraId="20EF1E12" w14:textId="77777777" w:rsidR="002668A9" w:rsidRPr="002668A9" w:rsidRDefault="002668A9" w:rsidP="002668A9">
            <w:pPr>
              <w:rPr>
                <w:rFonts w:cs="Arial"/>
                <w:sz w:val="20"/>
                <w:szCs w:val="20"/>
              </w:rPr>
            </w:pPr>
            <w:r w:rsidRPr="002668A9">
              <w:rPr>
                <w:rFonts w:cs="Arial"/>
                <w:sz w:val="20"/>
                <w:szCs w:val="20"/>
              </w:rPr>
              <w:t>Responses expressed the view that the decision tree was too conservative because of the requirement around soil leachate concentrations. Submissions asserted that soil leachate concentrations would always exceed the ecological water guideline value referenced in the decision tree, meaning that, in practice, an assessment of risk would be required for any soil with PFAS. Comments also indicated the cost of risk assessments is expected to be an issue.</w:t>
            </w:r>
          </w:p>
          <w:p w14:paraId="106160B3" w14:textId="11BC22E0" w:rsidR="002668A9" w:rsidRPr="002668A9" w:rsidRDefault="002668A9" w:rsidP="002668A9">
            <w:pPr>
              <w:rPr>
                <w:rFonts w:cs="Arial"/>
                <w:sz w:val="20"/>
                <w:szCs w:val="20"/>
              </w:rPr>
            </w:pPr>
            <w:r w:rsidRPr="002668A9">
              <w:rPr>
                <w:rFonts w:cs="Arial"/>
                <w:sz w:val="20"/>
                <w:szCs w:val="20"/>
              </w:rPr>
              <w:t xml:space="preserve">Clarifications were sought </w:t>
            </w:r>
            <w:r w:rsidR="004B007B">
              <w:rPr>
                <w:rFonts w:cs="Arial"/>
                <w:sz w:val="20"/>
                <w:szCs w:val="20"/>
              </w:rPr>
              <w:t xml:space="preserve">or suggestions made </w:t>
            </w:r>
            <w:r w:rsidRPr="002668A9">
              <w:rPr>
                <w:rFonts w:cs="Arial"/>
                <w:sz w:val="20"/>
                <w:szCs w:val="20"/>
              </w:rPr>
              <w:t>in relation to these and other related matters including:</w:t>
            </w:r>
          </w:p>
          <w:p w14:paraId="02C7636F" w14:textId="28B0107E" w:rsidR="002668A9" w:rsidRPr="002668A9" w:rsidRDefault="002668A9" w:rsidP="001D2768">
            <w:pPr>
              <w:pStyle w:val="bullet1"/>
            </w:pPr>
            <w:r w:rsidRPr="002668A9">
              <w:t>the ability to re-use soils in areas where the material has PFAS concentrations (in soil or leachate) that are equal to, or lower than, the destination site</w:t>
            </w:r>
            <w:r w:rsidR="00D21289">
              <w:t>;</w:t>
            </w:r>
          </w:p>
          <w:p w14:paraId="363E59D7" w14:textId="2269889B" w:rsidR="002668A9" w:rsidRPr="002668A9" w:rsidRDefault="002668A9" w:rsidP="001D2768">
            <w:pPr>
              <w:pStyle w:val="bullet1"/>
            </w:pPr>
            <w:r w:rsidRPr="002668A9">
              <w:t>use of compost material or topsoil bought in smaller quantities by residential or commercial operators</w:t>
            </w:r>
            <w:r w:rsidR="00D21289">
              <w:t>;</w:t>
            </w:r>
          </w:p>
          <w:p w14:paraId="428B89C2" w14:textId="460794A7" w:rsidR="00270C2C" w:rsidRPr="00931462" w:rsidRDefault="00270C2C" w:rsidP="001D2768">
            <w:pPr>
              <w:pStyle w:val="bullet1"/>
            </w:pPr>
            <w:r w:rsidRPr="00270C2C">
              <w:t xml:space="preserve">the suggested </w:t>
            </w:r>
            <w:r>
              <w:t>use</w:t>
            </w:r>
            <w:r w:rsidRPr="00270C2C">
              <w:t xml:space="preserve"> of a ‘detect’ threshold for PFAS in freshwater and marine water, due to </w:t>
            </w:r>
            <w:r>
              <w:t xml:space="preserve">practicality (of </w:t>
            </w:r>
            <w:r>
              <w:lastRenderedPageBreak/>
              <w:t xml:space="preserve">using the current 99% species protection level) </w:t>
            </w:r>
            <w:r w:rsidRPr="00270C2C">
              <w:t>to assess leachate</w:t>
            </w:r>
          </w:p>
          <w:p w14:paraId="2D4142D0" w14:textId="1B0A2D86" w:rsidR="002668A9" w:rsidRPr="002668A9" w:rsidRDefault="002668A9" w:rsidP="001D2768">
            <w:pPr>
              <w:pStyle w:val="bullet1"/>
            </w:pPr>
            <w:r w:rsidRPr="002668A9">
              <w:t>suggestions regarding application of the decision tree to different land uses</w:t>
            </w:r>
          </w:p>
          <w:p w14:paraId="3BACDF2F" w14:textId="77777777" w:rsidR="002668A9" w:rsidRPr="002668A9" w:rsidRDefault="002668A9" w:rsidP="001D2768">
            <w:pPr>
              <w:pStyle w:val="bullet1"/>
            </w:pPr>
            <w:r w:rsidRPr="002668A9">
              <w:t>the lack of a pathway in the decision tree for comparison of total soil concentrations to background levels in soil</w:t>
            </w:r>
          </w:p>
        </w:tc>
        <w:tc>
          <w:tcPr>
            <w:tcW w:w="921" w:type="pct"/>
            <w:vMerge w:val="restart"/>
            <w:tcBorders>
              <w:top w:val="single" w:sz="4" w:space="0" w:color="auto"/>
              <w:left w:val="single" w:sz="4" w:space="0" w:color="auto"/>
              <w:right w:val="single" w:sz="4" w:space="0" w:color="auto"/>
            </w:tcBorders>
          </w:tcPr>
          <w:p w14:paraId="12D08976" w14:textId="77777777" w:rsidR="00014C8A" w:rsidRPr="002668A9" w:rsidRDefault="00014C8A" w:rsidP="002668A9">
            <w:pPr>
              <w:rPr>
                <w:rFonts w:cs="Arial"/>
                <w:sz w:val="20"/>
                <w:szCs w:val="20"/>
              </w:rPr>
            </w:pPr>
            <w:r>
              <w:rPr>
                <w:rFonts w:cs="Arial"/>
                <w:sz w:val="20"/>
                <w:szCs w:val="20"/>
              </w:rPr>
              <w:lastRenderedPageBreak/>
              <w:t>Australasian Land and Groundwater Association – submission 1</w:t>
            </w:r>
          </w:p>
          <w:p w14:paraId="65362BB0" w14:textId="77777777" w:rsidR="00014C8A" w:rsidRDefault="00014C8A" w:rsidP="002668A9">
            <w:pPr>
              <w:rPr>
                <w:rFonts w:cs="Arial"/>
                <w:sz w:val="20"/>
                <w:szCs w:val="20"/>
              </w:rPr>
            </w:pPr>
            <w:r>
              <w:rPr>
                <w:rFonts w:cs="Arial"/>
                <w:sz w:val="20"/>
                <w:szCs w:val="20"/>
              </w:rPr>
              <w:t>Australia Pacific Airports Corporation</w:t>
            </w:r>
          </w:p>
          <w:p w14:paraId="6A36E523" w14:textId="13DC7554" w:rsidR="00014C8A" w:rsidRDefault="00014C8A" w:rsidP="002668A9">
            <w:pPr>
              <w:rPr>
                <w:rFonts w:cs="Arial"/>
                <w:sz w:val="20"/>
                <w:szCs w:val="20"/>
              </w:rPr>
            </w:pPr>
            <w:r>
              <w:rPr>
                <w:rFonts w:cs="Arial"/>
                <w:sz w:val="20"/>
                <w:szCs w:val="20"/>
              </w:rPr>
              <w:t>Australian Airports Association</w:t>
            </w:r>
          </w:p>
          <w:p w14:paraId="0B8DC0BB" w14:textId="3E6FF897" w:rsidR="006B3A71" w:rsidRDefault="006B3A71" w:rsidP="002668A9">
            <w:pPr>
              <w:rPr>
                <w:rFonts w:cs="Arial"/>
                <w:sz w:val="20"/>
                <w:szCs w:val="20"/>
              </w:rPr>
            </w:pPr>
            <w:r>
              <w:rPr>
                <w:rFonts w:cs="Arial"/>
                <w:sz w:val="20"/>
                <w:szCs w:val="20"/>
              </w:rPr>
              <w:t>Australian Government - DITCRD</w:t>
            </w:r>
          </w:p>
          <w:p w14:paraId="570166A0" w14:textId="77777777" w:rsidR="00014C8A" w:rsidRDefault="00014C8A" w:rsidP="002668A9">
            <w:pPr>
              <w:rPr>
                <w:rFonts w:cs="Arial"/>
                <w:sz w:val="20"/>
                <w:szCs w:val="20"/>
              </w:rPr>
            </w:pPr>
            <w:r>
              <w:rPr>
                <w:rFonts w:cs="Arial"/>
                <w:sz w:val="20"/>
                <w:szCs w:val="20"/>
              </w:rPr>
              <w:t>Brisbane Airport Corporation</w:t>
            </w:r>
          </w:p>
          <w:p w14:paraId="62CFA0F1" w14:textId="77777777" w:rsidR="00014C8A" w:rsidRDefault="00014C8A" w:rsidP="002668A9">
            <w:pPr>
              <w:rPr>
                <w:rFonts w:cs="Arial"/>
                <w:sz w:val="20"/>
                <w:szCs w:val="20"/>
              </w:rPr>
            </w:pPr>
            <w:r>
              <w:rPr>
                <w:rFonts w:cs="Arial"/>
                <w:sz w:val="20"/>
                <w:szCs w:val="20"/>
              </w:rPr>
              <w:t>ExxonMobil Australia</w:t>
            </w:r>
          </w:p>
          <w:p w14:paraId="525E2A1F" w14:textId="77777777" w:rsidR="00014C8A" w:rsidRPr="002668A9" w:rsidRDefault="00014C8A" w:rsidP="002668A9">
            <w:pPr>
              <w:rPr>
                <w:rFonts w:cs="Arial"/>
                <w:sz w:val="20"/>
                <w:szCs w:val="20"/>
              </w:rPr>
            </w:pPr>
            <w:r>
              <w:rPr>
                <w:rFonts w:cs="Arial"/>
                <w:sz w:val="20"/>
                <w:szCs w:val="20"/>
              </w:rPr>
              <w:t>Hunter Water</w:t>
            </w:r>
          </w:p>
          <w:p w14:paraId="0182C8AC" w14:textId="77777777" w:rsidR="00014C8A" w:rsidRDefault="00014C8A" w:rsidP="002668A9">
            <w:pPr>
              <w:rPr>
                <w:rFonts w:cs="Arial"/>
                <w:sz w:val="20"/>
                <w:szCs w:val="20"/>
              </w:rPr>
            </w:pPr>
            <w:r>
              <w:rPr>
                <w:rFonts w:cs="Arial"/>
                <w:sz w:val="20"/>
                <w:szCs w:val="20"/>
              </w:rPr>
              <w:t>Qantas</w:t>
            </w:r>
          </w:p>
          <w:p w14:paraId="1159270F" w14:textId="77777777" w:rsidR="00014C8A" w:rsidRDefault="00014C8A" w:rsidP="002668A9">
            <w:pPr>
              <w:rPr>
                <w:rFonts w:cs="Arial"/>
                <w:sz w:val="20"/>
                <w:szCs w:val="20"/>
              </w:rPr>
            </w:pPr>
            <w:r>
              <w:rPr>
                <w:rFonts w:cs="Arial"/>
                <w:sz w:val="20"/>
                <w:szCs w:val="20"/>
              </w:rPr>
              <w:t>Queensland Airports Ltd</w:t>
            </w:r>
          </w:p>
          <w:p w14:paraId="243C2340" w14:textId="77777777" w:rsidR="00014C8A" w:rsidRPr="002668A9" w:rsidRDefault="00014C8A" w:rsidP="002668A9">
            <w:pPr>
              <w:rPr>
                <w:rFonts w:cs="Arial"/>
                <w:sz w:val="20"/>
                <w:szCs w:val="20"/>
              </w:rPr>
            </w:pPr>
            <w:r>
              <w:rPr>
                <w:rFonts w:cs="Arial"/>
                <w:sz w:val="20"/>
                <w:szCs w:val="20"/>
              </w:rPr>
              <w:t>Senversa</w:t>
            </w:r>
          </w:p>
          <w:p w14:paraId="32210117" w14:textId="77777777" w:rsidR="00014C8A" w:rsidRDefault="00014C8A" w:rsidP="002668A9">
            <w:pPr>
              <w:rPr>
                <w:rFonts w:cs="Arial"/>
                <w:sz w:val="20"/>
                <w:szCs w:val="20"/>
              </w:rPr>
            </w:pPr>
            <w:r>
              <w:rPr>
                <w:rFonts w:cs="Arial"/>
                <w:sz w:val="20"/>
                <w:szCs w:val="20"/>
              </w:rPr>
              <w:t>South East Water</w:t>
            </w:r>
          </w:p>
          <w:p w14:paraId="37339F58" w14:textId="77777777" w:rsidR="00014C8A" w:rsidRDefault="00014C8A" w:rsidP="002668A9">
            <w:pPr>
              <w:rPr>
                <w:rFonts w:cs="Arial"/>
                <w:sz w:val="20"/>
                <w:szCs w:val="20"/>
              </w:rPr>
            </w:pPr>
            <w:r>
              <w:rPr>
                <w:rFonts w:cs="Arial"/>
                <w:sz w:val="20"/>
                <w:szCs w:val="20"/>
              </w:rPr>
              <w:t>Sydney Airport</w:t>
            </w:r>
          </w:p>
          <w:p w14:paraId="5274B5D7" w14:textId="77777777" w:rsidR="00014C8A" w:rsidRDefault="00014C8A" w:rsidP="002668A9">
            <w:pPr>
              <w:rPr>
                <w:rFonts w:cs="Arial"/>
                <w:sz w:val="20"/>
                <w:szCs w:val="20"/>
              </w:rPr>
            </w:pPr>
            <w:r>
              <w:rPr>
                <w:rFonts w:cs="Arial"/>
                <w:sz w:val="20"/>
                <w:szCs w:val="20"/>
              </w:rPr>
              <w:t>Viva Energy Australia</w:t>
            </w:r>
          </w:p>
          <w:p w14:paraId="234B2013" w14:textId="6270EA8C" w:rsidR="002668A9" w:rsidRPr="002668A9" w:rsidRDefault="00014C8A" w:rsidP="002668A9">
            <w:pPr>
              <w:rPr>
                <w:rFonts w:cs="Arial"/>
                <w:sz w:val="20"/>
                <w:szCs w:val="20"/>
              </w:rPr>
            </w:pPr>
            <w:r>
              <w:rPr>
                <w:rFonts w:cs="Arial"/>
                <w:sz w:val="20"/>
                <w:szCs w:val="20"/>
              </w:rPr>
              <w:t>WA Government</w:t>
            </w:r>
          </w:p>
        </w:tc>
        <w:tc>
          <w:tcPr>
            <w:tcW w:w="2008"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41A3273" w14:textId="77777777" w:rsidR="002668A9" w:rsidRPr="002668A9" w:rsidRDefault="002668A9" w:rsidP="002668A9">
            <w:pPr>
              <w:rPr>
                <w:rFonts w:cs="Arial"/>
                <w:sz w:val="20"/>
                <w:szCs w:val="20"/>
              </w:rPr>
            </w:pPr>
            <w:r w:rsidRPr="002668A9">
              <w:rPr>
                <w:rFonts w:cs="Arial"/>
                <w:sz w:val="20"/>
                <w:szCs w:val="20"/>
              </w:rPr>
              <w:t>The decision tree for soil reuse has been modified:</w:t>
            </w:r>
          </w:p>
          <w:p w14:paraId="4C0E2C6F" w14:textId="58583C8E" w:rsidR="002668A9" w:rsidRPr="002668A9" w:rsidRDefault="002668A9" w:rsidP="005A66DC">
            <w:pPr>
              <w:pStyle w:val="bullet1"/>
            </w:pPr>
            <w:r w:rsidRPr="002668A9">
              <w:t>The key change is removal of the previous reference to the 99% species protection level for aquatic ecosystems from Box C [noting that a rigorous and nationally</w:t>
            </w:r>
            <w:r w:rsidRPr="002668A9">
              <w:noBreakHyphen/>
              <w:t>agreed approach was used to generate the freshwater PFOS and PFOA DGVs].</w:t>
            </w:r>
            <w:r w:rsidR="00270C2C">
              <w:t xml:space="preserve"> Regulators believe this addresses the suggestion in the comments for adoption of a detect threshold rather than using the current freshwater WQG 99% species protection level for PFOS.</w:t>
            </w:r>
          </w:p>
          <w:p w14:paraId="56CB832D" w14:textId="77777777" w:rsidR="002668A9" w:rsidRPr="002668A9" w:rsidRDefault="002668A9" w:rsidP="005A66DC">
            <w:pPr>
              <w:pStyle w:val="bullet1"/>
            </w:pPr>
            <w:r w:rsidRPr="002668A9">
              <w:t>Note 7 has been modified to stress the importance of the assessment being supported by appropriate data on background/ ambient concentrations at the destination site.</w:t>
            </w:r>
          </w:p>
          <w:p w14:paraId="587441EB" w14:textId="77777777" w:rsidR="002668A9" w:rsidRPr="002668A9" w:rsidRDefault="002668A9" w:rsidP="005A66DC">
            <w:pPr>
              <w:pStyle w:val="bullet1"/>
            </w:pPr>
            <w:r w:rsidRPr="002668A9">
              <w:t>Additional notes have been added to clarify that, while it may often be acceptable to place soil with low levels of PFAS in areas with higher ambient concentrations of PFAS there is still a need to consider existing impacts at the destination site (from ambient levels), and potential additional adverse impacts to aquatic receptors from the proposed reuse.</w:t>
            </w:r>
          </w:p>
          <w:p w14:paraId="7F11B5C6" w14:textId="4368CCAA" w:rsidR="002668A9" w:rsidRPr="002668A9" w:rsidRDefault="003C7875" w:rsidP="002668A9">
            <w:pPr>
              <w:rPr>
                <w:rFonts w:cs="Arial"/>
                <w:sz w:val="20"/>
                <w:szCs w:val="20"/>
              </w:rPr>
            </w:pPr>
            <w:r>
              <w:rPr>
                <w:rFonts w:cs="Arial"/>
                <w:sz w:val="20"/>
                <w:szCs w:val="20"/>
              </w:rPr>
              <w:t>Importantly,</w:t>
            </w:r>
            <w:r w:rsidR="002668A9" w:rsidRPr="002668A9">
              <w:rPr>
                <w:rFonts w:cs="Arial"/>
                <w:sz w:val="20"/>
                <w:szCs w:val="20"/>
              </w:rPr>
              <w:t xml:space="preserve"> the decision tree does not prevent the reuse of soil for which a risk assessment has been undertaken.</w:t>
            </w:r>
          </w:p>
          <w:p w14:paraId="6577723A" w14:textId="34CCC11B" w:rsidR="002668A9" w:rsidRPr="002668A9" w:rsidRDefault="00D21289" w:rsidP="002668A9">
            <w:pPr>
              <w:rPr>
                <w:rFonts w:cs="Arial"/>
                <w:sz w:val="20"/>
                <w:szCs w:val="20"/>
              </w:rPr>
            </w:pPr>
            <w:r>
              <w:rPr>
                <w:rFonts w:cs="Arial"/>
                <w:sz w:val="20"/>
                <w:szCs w:val="20"/>
              </w:rPr>
              <w:t>Note i</w:t>
            </w:r>
            <w:r w:rsidR="002668A9" w:rsidRPr="002668A9">
              <w:rPr>
                <w:rFonts w:cs="Arial"/>
                <w:sz w:val="20"/>
                <w:szCs w:val="20"/>
              </w:rPr>
              <w:t>t is intended that relevant regulators be consulted in regard to any proposals for reuse, and that the decision tree will guide assessment, by both proponents and regulators, of all reuse proposals. However, text has been included to the fourth paragraph of Section 12 allowing for the use of holistic PFAS management plans for large sites or large organisations.</w:t>
            </w:r>
          </w:p>
          <w:p w14:paraId="3265FA4E" w14:textId="77777777" w:rsidR="002668A9" w:rsidRPr="002668A9" w:rsidRDefault="002668A9" w:rsidP="002668A9">
            <w:pPr>
              <w:rPr>
                <w:rFonts w:cs="Arial"/>
                <w:sz w:val="20"/>
                <w:szCs w:val="20"/>
              </w:rPr>
            </w:pPr>
            <w:r w:rsidRPr="002668A9">
              <w:rPr>
                <w:rFonts w:cs="Arial"/>
                <w:sz w:val="20"/>
                <w:szCs w:val="20"/>
              </w:rPr>
              <w:lastRenderedPageBreak/>
              <w:t>Note that development of agreed 'uncontaminated soil' criteria or minimum intervention criteria remains an aim for future PFAS NEMP work (theme 4). Ongoing investigations of ambient concentrations around Australia are expected to assist with this.</w:t>
            </w:r>
          </w:p>
        </w:tc>
      </w:tr>
      <w:tr w:rsidR="002668A9" w:rsidRPr="002668A9" w14:paraId="75A84E1E" w14:textId="77777777" w:rsidTr="00C36741">
        <w:trPr>
          <w:trHeight w:val="504"/>
        </w:trPr>
        <w:tc>
          <w:tcPr>
            <w:tcW w:w="786" w:type="pct"/>
            <w:vMerge/>
            <w:tcBorders>
              <w:top w:val="single" w:sz="4" w:space="0" w:color="auto"/>
              <w:left w:val="single" w:sz="4" w:space="0" w:color="auto"/>
              <w:right w:val="single" w:sz="4" w:space="0" w:color="auto"/>
            </w:tcBorders>
            <w:shd w:val="clear" w:color="auto" w:fill="auto"/>
          </w:tcPr>
          <w:p w14:paraId="7856A4F1" w14:textId="77777777" w:rsidR="002668A9" w:rsidRPr="002668A9" w:rsidRDefault="002668A9" w:rsidP="002668A9">
            <w:pPr>
              <w:rPr>
                <w:rFonts w:cs="Arial"/>
                <w:sz w:val="20"/>
                <w:szCs w:val="20"/>
              </w:rPr>
            </w:pPr>
          </w:p>
        </w:tc>
        <w:tc>
          <w:tcPr>
            <w:tcW w:w="1285" w:type="pct"/>
            <w:vMerge/>
            <w:tcBorders>
              <w:top w:val="single" w:sz="4" w:space="0" w:color="auto"/>
              <w:left w:val="single" w:sz="4" w:space="0" w:color="auto"/>
              <w:right w:val="single" w:sz="4" w:space="0" w:color="auto"/>
            </w:tcBorders>
          </w:tcPr>
          <w:p w14:paraId="2F029AC0" w14:textId="77777777" w:rsidR="002668A9" w:rsidRPr="002668A9" w:rsidRDefault="002668A9" w:rsidP="002668A9">
            <w:pPr>
              <w:rPr>
                <w:rFonts w:cs="Arial"/>
                <w:sz w:val="20"/>
                <w:szCs w:val="20"/>
              </w:rPr>
            </w:pPr>
          </w:p>
        </w:tc>
        <w:tc>
          <w:tcPr>
            <w:tcW w:w="921" w:type="pct"/>
            <w:vMerge/>
            <w:tcBorders>
              <w:top w:val="single" w:sz="4" w:space="0" w:color="auto"/>
              <w:left w:val="single" w:sz="4" w:space="0" w:color="auto"/>
              <w:right w:val="single" w:sz="4" w:space="0" w:color="auto"/>
            </w:tcBorders>
          </w:tcPr>
          <w:p w14:paraId="11F7927E" w14:textId="77777777" w:rsidR="002668A9" w:rsidRPr="002668A9" w:rsidRDefault="002668A9" w:rsidP="002668A9">
            <w:pPr>
              <w:rPr>
                <w:rFonts w:cs="Arial"/>
                <w:sz w:val="20"/>
                <w:szCs w:val="20"/>
              </w:rPr>
            </w:pPr>
          </w:p>
        </w:tc>
        <w:tc>
          <w:tcPr>
            <w:tcW w:w="2008" w:type="pct"/>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1BB9DF9" w14:textId="77777777" w:rsidR="002668A9" w:rsidRPr="002668A9" w:rsidRDefault="002668A9" w:rsidP="002668A9">
            <w:pPr>
              <w:rPr>
                <w:rFonts w:cs="Arial"/>
                <w:sz w:val="20"/>
                <w:szCs w:val="20"/>
              </w:rPr>
            </w:pPr>
          </w:p>
        </w:tc>
      </w:tr>
      <w:tr w:rsidR="002668A9" w:rsidRPr="002668A9" w14:paraId="3868D2F2" w14:textId="77777777" w:rsidTr="00C36741">
        <w:trPr>
          <w:trHeight w:val="504"/>
        </w:trPr>
        <w:tc>
          <w:tcPr>
            <w:tcW w:w="786" w:type="pct"/>
            <w:vMerge/>
            <w:tcBorders>
              <w:left w:val="single" w:sz="4" w:space="0" w:color="auto"/>
              <w:right w:val="single" w:sz="4" w:space="0" w:color="auto"/>
            </w:tcBorders>
            <w:shd w:val="clear" w:color="auto" w:fill="auto"/>
          </w:tcPr>
          <w:p w14:paraId="54C9CDFB"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5CF00467"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7EE5C4AC"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4FB6F1D8" w14:textId="77777777" w:rsidR="002668A9" w:rsidRPr="002668A9" w:rsidRDefault="002668A9" w:rsidP="002668A9">
            <w:pPr>
              <w:rPr>
                <w:rFonts w:cs="Arial"/>
                <w:sz w:val="20"/>
                <w:szCs w:val="20"/>
              </w:rPr>
            </w:pPr>
          </w:p>
        </w:tc>
      </w:tr>
      <w:tr w:rsidR="002668A9" w:rsidRPr="002668A9" w14:paraId="2AA63431" w14:textId="77777777" w:rsidTr="00C36741">
        <w:trPr>
          <w:trHeight w:val="504"/>
        </w:trPr>
        <w:tc>
          <w:tcPr>
            <w:tcW w:w="786" w:type="pct"/>
            <w:vMerge/>
            <w:tcBorders>
              <w:left w:val="single" w:sz="4" w:space="0" w:color="auto"/>
              <w:right w:val="single" w:sz="4" w:space="0" w:color="auto"/>
            </w:tcBorders>
            <w:shd w:val="clear" w:color="auto" w:fill="auto"/>
          </w:tcPr>
          <w:p w14:paraId="287161D6"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20C31301"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76BCD30B"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44F94A5A" w14:textId="77777777" w:rsidR="002668A9" w:rsidRPr="002668A9" w:rsidRDefault="002668A9" w:rsidP="002668A9">
            <w:pPr>
              <w:rPr>
                <w:rFonts w:cs="Arial"/>
                <w:sz w:val="20"/>
                <w:szCs w:val="20"/>
              </w:rPr>
            </w:pPr>
          </w:p>
        </w:tc>
      </w:tr>
      <w:tr w:rsidR="002668A9" w:rsidRPr="002668A9" w14:paraId="39B5BF44" w14:textId="77777777" w:rsidTr="00C36741">
        <w:trPr>
          <w:trHeight w:val="504"/>
        </w:trPr>
        <w:tc>
          <w:tcPr>
            <w:tcW w:w="786" w:type="pct"/>
            <w:vMerge/>
            <w:tcBorders>
              <w:left w:val="single" w:sz="4" w:space="0" w:color="auto"/>
              <w:right w:val="single" w:sz="4" w:space="0" w:color="auto"/>
            </w:tcBorders>
            <w:shd w:val="clear" w:color="auto" w:fill="auto"/>
          </w:tcPr>
          <w:p w14:paraId="452CF8F1"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695717C8"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4D383284"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7FF6CA24" w14:textId="77777777" w:rsidR="002668A9" w:rsidRPr="002668A9" w:rsidRDefault="002668A9" w:rsidP="002668A9">
            <w:pPr>
              <w:rPr>
                <w:rFonts w:cs="Arial"/>
                <w:sz w:val="20"/>
                <w:szCs w:val="20"/>
              </w:rPr>
            </w:pPr>
          </w:p>
        </w:tc>
      </w:tr>
      <w:tr w:rsidR="002668A9" w:rsidRPr="002668A9" w14:paraId="41305BAC" w14:textId="77777777" w:rsidTr="00C36741">
        <w:trPr>
          <w:trHeight w:val="504"/>
        </w:trPr>
        <w:tc>
          <w:tcPr>
            <w:tcW w:w="786" w:type="pct"/>
            <w:vMerge/>
            <w:tcBorders>
              <w:left w:val="single" w:sz="4" w:space="0" w:color="auto"/>
              <w:right w:val="single" w:sz="4" w:space="0" w:color="auto"/>
            </w:tcBorders>
            <w:shd w:val="clear" w:color="auto" w:fill="auto"/>
          </w:tcPr>
          <w:p w14:paraId="0C7754AB"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58F7EA1A"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39DCDA50"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68AFF3FF" w14:textId="77777777" w:rsidR="002668A9" w:rsidRPr="002668A9" w:rsidRDefault="002668A9" w:rsidP="002668A9">
            <w:pPr>
              <w:rPr>
                <w:rFonts w:cs="Arial"/>
                <w:sz w:val="20"/>
                <w:szCs w:val="20"/>
              </w:rPr>
            </w:pPr>
          </w:p>
        </w:tc>
      </w:tr>
      <w:tr w:rsidR="002668A9" w:rsidRPr="002668A9" w14:paraId="6AEE7578" w14:textId="77777777" w:rsidTr="00C36741">
        <w:trPr>
          <w:trHeight w:val="504"/>
        </w:trPr>
        <w:tc>
          <w:tcPr>
            <w:tcW w:w="786" w:type="pct"/>
            <w:vMerge/>
            <w:tcBorders>
              <w:left w:val="single" w:sz="4" w:space="0" w:color="auto"/>
              <w:right w:val="single" w:sz="4" w:space="0" w:color="auto"/>
            </w:tcBorders>
            <w:shd w:val="clear" w:color="auto" w:fill="auto"/>
          </w:tcPr>
          <w:p w14:paraId="7739ADBF"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7ACB7789"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6AB5CC69"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5B6FCBE8" w14:textId="77777777" w:rsidR="002668A9" w:rsidRPr="002668A9" w:rsidRDefault="002668A9" w:rsidP="002668A9">
            <w:pPr>
              <w:rPr>
                <w:rFonts w:cs="Arial"/>
                <w:sz w:val="20"/>
                <w:szCs w:val="20"/>
              </w:rPr>
            </w:pPr>
          </w:p>
        </w:tc>
      </w:tr>
      <w:tr w:rsidR="002668A9" w:rsidRPr="002668A9" w14:paraId="7F9C2F7F" w14:textId="77777777" w:rsidTr="00C36741">
        <w:trPr>
          <w:trHeight w:val="504"/>
        </w:trPr>
        <w:tc>
          <w:tcPr>
            <w:tcW w:w="786" w:type="pct"/>
            <w:vMerge/>
            <w:tcBorders>
              <w:left w:val="single" w:sz="4" w:space="0" w:color="auto"/>
              <w:right w:val="single" w:sz="4" w:space="0" w:color="auto"/>
            </w:tcBorders>
            <w:shd w:val="clear" w:color="auto" w:fill="auto"/>
          </w:tcPr>
          <w:p w14:paraId="591D75E7"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5A40FBC1"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0A06F6FB"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483DA2D2" w14:textId="77777777" w:rsidR="002668A9" w:rsidRPr="002668A9" w:rsidRDefault="002668A9" w:rsidP="002668A9">
            <w:pPr>
              <w:rPr>
                <w:rFonts w:cs="Arial"/>
                <w:sz w:val="20"/>
                <w:szCs w:val="20"/>
              </w:rPr>
            </w:pPr>
          </w:p>
        </w:tc>
      </w:tr>
      <w:tr w:rsidR="002668A9" w:rsidRPr="002668A9" w14:paraId="4E0D1E8C" w14:textId="77777777" w:rsidTr="00C36741">
        <w:trPr>
          <w:trHeight w:val="504"/>
        </w:trPr>
        <w:tc>
          <w:tcPr>
            <w:tcW w:w="786" w:type="pct"/>
            <w:vMerge/>
            <w:tcBorders>
              <w:left w:val="single" w:sz="4" w:space="0" w:color="auto"/>
              <w:right w:val="single" w:sz="4" w:space="0" w:color="auto"/>
            </w:tcBorders>
            <w:shd w:val="clear" w:color="auto" w:fill="auto"/>
          </w:tcPr>
          <w:p w14:paraId="25D719D8"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48072CF0"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5653D93D"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69C1E222" w14:textId="77777777" w:rsidR="002668A9" w:rsidRPr="002668A9" w:rsidRDefault="002668A9" w:rsidP="002668A9">
            <w:pPr>
              <w:rPr>
                <w:rFonts w:cs="Arial"/>
                <w:sz w:val="20"/>
                <w:szCs w:val="20"/>
              </w:rPr>
            </w:pPr>
          </w:p>
        </w:tc>
      </w:tr>
      <w:tr w:rsidR="002668A9" w:rsidRPr="002668A9" w14:paraId="38904272" w14:textId="77777777" w:rsidTr="00C36741">
        <w:trPr>
          <w:trHeight w:val="504"/>
        </w:trPr>
        <w:tc>
          <w:tcPr>
            <w:tcW w:w="786" w:type="pct"/>
            <w:vMerge/>
            <w:tcBorders>
              <w:left w:val="single" w:sz="4" w:space="0" w:color="auto"/>
              <w:right w:val="single" w:sz="4" w:space="0" w:color="auto"/>
            </w:tcBorders>
            <w:shd w:val="clear" w:color="auto" w:fill="auto"/>
          </w:tcPr>
          <w:p w14:paraId="6859C5C9"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5705A38F"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0E60823D"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2771171C" w14:textId="77777777" w:rsidR="002668A9" w:rsidRPr="002668A9" w:rsidRDefault="002668A9" w:rsidP="002668A9">
            <w:pPr>
              <w:rPr>
                <w:rFonts w:cs="Arial"/>
                <w:sz w:val="20"/>
                <w:szCs w:val="20"/>
              </w:rPr>
            </w:pPr>
          </w:p>
        </w:tc>
      </w:tr>
      <w:tr w:rsidR="002668A9" w:rsidRPr="002668A9" w14:paraId="0ACBFC71" w14:textId="77777777" w:rsidTr="00C36741">
        <w:trPr>
          <w:trHeight w:val="504"/>
        </w:trPr>
        <w:tc>
          <w:tcPr>
            <w:tcW w:w="786" w:type="pct"/>
            <w:vMerge/>
            <w:tcBorders>
              <w:left w:val="single" w:sz="4" w:space="0" w:color="auto"/>
              <w:right w:val="single" w:sz="4" w:space="0" w:color="auto"/>
            </w:tcBorders>
            <w:shd w:val="clear" w:color="auto" w:fill="auto"/>
          </w:tcPr>
          <w:p w14:paraId="1151EEE0"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0F45CA97"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0379B3B6"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6EF01113" w14:textId="77777777" w:rsidR="002668A9" w:rsidRPr="002668A9" w:rsidRDefault="002668A9" w:rsidP="002668A9">
            <w:pPr>
              <w:rPr>
                <w:rFonts w:cs="Arial"/>
                <w:sz w:val="20"/>
                <w:szCs w:val="20"/>
              </w:rPr>
            </w:pPr>
          </w:p>
        </w:tc>
      </w:tr>
      <w:tr w:rsidR="002668A9" w:rsidRPr="002668A9" w14:paraId="624959A5" w14:textId="77777777" w:rsidTr="00C36741">
        <w:trPr>
          <w:trHeight w:val="464"/>
        </w:trPr>
        <w:tc>
          <w:tcPr>
            <w:tcW w:w="786" w:type="pct"/>
            <w:vMerge w:val="restart"/>
            <w:tcBorders>
              <w:top w:val="single" w:sz="4" w:space="0" w:color="auto"/>
              <w:left w:val="single" w:sz="4" w:space="0" w:color="auto"/>
              <w:right w:val="single" w:sz="4" w:space="0" w:color="auto"/>
            </w:tcBorders>
            <w:shd w:val="clear" w:color="auto" w:fill="auto"/>
          </w:tcPr>
          <w:p w14:paraId="7436AAEA" w14:textId="37C53830" w:rsidR="002668A9" w:rsidRPr="002668A9" w:rsidRDefault="002668A9" w:rsidP="002668A9">
            <w:pPr>
              <w:rPr>
                <w:rFonts w:cs="Arial"/>
                <w:sz w:val="20"/>
                <w:szCs w:val="20"/>
              </w:rPr>
            </w:pPr>
            <w:r w:rsidRPr="002668A9">
              <w:rPr>
                <w:rFonts w:cs="Arial"/>
                <w:sz w:val="20"/>
                <w:szCs w:val="20"/>
              </w:rPr>
              <w:t>Clarification of the scope for application of decision tree</w:t>
            </w:r>
          </w:p>
        </w:tc>
        <w:tc>
          <w:tcPr>
            <w:tcW w:w="1285" w:type="pct"/>
            <w:vMerge w:val="restart"/>
            <w:tcBorders>
              <w:top w:val="single" w:sz="4" w:space="0" w:color="auto"/>
              <w:left w:val="single" w:sz="4" w:space="0" w:color="auto"/>
              <w:right w:val="single" w:sz="4" w:space="0" w:color="auto"/>
            </w:tcBorders>
          </w:tcPr>
          <w:p w14:paraId="7047DBC0" w14:textId="77777777" w:rsidR="002668A9" w:rsidRPr="002668A9" w:rsidRDefault="002668A9" w:rsidP="002668A9">
            <w:pPr>
              <w:rPr>
                <w:rFonts w:cs="Arial"/>
                <w:sz w:val="20"/>
                <w:szCs w:val="20"/>
              </w:rPr>
            </w:pPr>
            <w:r w:rsidRPr="002668A9">
              <w:rPr>
                <w:rFonts w:cs="Arial"/>
                <w:sz w:val="20"/>
                <w:szCs w:val="20"/>
              </w:rPr>
              <w:t>Stakeholders assumed that the reuse decision tree could also apply to biosolids or other organic waste and resource recovery products.</w:t>
            </w:r>
          </w:p>
          <w:p w14:paraId="0FC641A0" w14:textId="77777777" w:rsidR="002668A9" w:rsidRPr="002668A9" w:rsidRDefault="002668A9" w:rsidP="002668A9">
            <w:pPr>
              <w:rPr>
                <w:rFonts w:cs="Arial"/>
                <w:sz w:val="20"/>
                <w:szCs w:val="20"/>
              </w:rPr>
            </w:pPr>
            <w:r w:rsidRPr="002668A9">
              <w:rPr>
                <w:rFonts w:cs="Arial"/>
                <w:sz w:val="20"/>
                <w:szCs w:val="20"/>
              </w:rPr>
              <w:t>Clarifications were sought in regard to other related matters including:</w:t>
            </w:r>
          </w:p>
          <w:p w14:paraId="43D047C1" w14:textId="6923D895" w:rsidR="002668A9" w:rsidRPr="002668A9" w:rsidRDefault="002668A9" w:rsidP="00D21289">
            <w:pPr>
              <w:pStyle w:val="bullet1"/>
            </w:pPr>
            <w:r w:rsidRPr="002668A9">
              <w:t>the soil properties and impact on transport of PFAS from the initial receiving soils</w:t>
            </w:r>
            <w:r w:rsidR="00D21289">
              <w:t>;</w:t>
            </w:r>
          </w:p>
          <w:p w14:paraId="285D8C89" w14:textId="1F38CD28" w:rsidR="002668A9" w:rsidRPr="002668A9" w:rsidRDefault="002668A9" w:rsidP="00D21289">
            <w:pPr>
              <w:pStyle w:val="bullet1"/>
            </w:pPr>
            <w:r w:rsidRPr="002668A9">
              <w:t>transfer of PFAS from soil into agricultural produce</w:t>
            </w:r>
            <w:r w:rsidR="00D21289">
              <w:t>;</w:t>
            </w:r>
          </w:p>
          <w:p w14:paraId="27E519F2" w14:textId="6EF04878" w:rsidR="002668A9" w:rsidRPr="002668A9" w:rsidRDefault="002668A9" w:rsidP="00D21289">
            <w:pPr>
              <w:pStyle w:val="bullet1"/>
            </w:pPr>
            <w:r w:rsidRPr="002668A9">
              <w:t>the definition of on-site reuse vs permanent on-site containment</w:t>
            </w:r>
            <w:r w:rsidR="00D21289">
              <w:t>; and</w:t>
            </w:r>
          </w:p>
          <w:p w14:paraId="1B2118E8" w14:textId="7FAD7548" w:rsidR="002668A9" w:rsidRPr="002668A9" w:rsidRDefault="002668A9" w:rsidP="00635E8A">
            <w:pPr>
              <w:numPr>
                <w:ilvl w:val="0"/>
                <w:numId w:val="1"/>
              </w:numPr>
              <w:rPr>
                <w:rFonts w:cs="Arial"/>
                <w:sz w:val="20"/>
                <w:szCs w:val="20"/>
              </w:rPr>
            </w:pPr>
            <w:r w:rsidRPr="002668A9">
              <w:rPr>
                <w:rFonts w:cs="Arial"/>
                <w:sz w:val="20"/>
                <w:szCs w:val="20"/>
              </w:rPr>
              <w:lastRenderedPageBreak/>
              <w:t>management expectations for material with PFAS levels below the criteria</w:t>
            </w:r>
            <w:r w:rsidR="00D21289">
              <w:rPr>
                <w:rFonts w:cs="Arial"/>
                <w:sz w:val="20"/>
                <w:szCs w:val="20"/>
              </w:rPr>
              <w:t>.</w:t>
            </w:r>
          </w:p>
        </w:tc>
        <w:tc>
          <w:tcPr>
            <w:tcW w:w="921" w:type="pct"/>
            <w:vMerge w:val="restart"/>
            <w:tcBorders>
              <w:top w:val="single" w:sz="4" w:space="0" w:color="auto"/>
              <w:left w:val="single" w:sz="4" w:space="0" w:color="auto"/>
              <w:right w:val="single" w:sz="4" w:space="0" w:color="auto"/>
            </w:tcBorders>
          </w:tcPr>
          <w:p w14:paraId="2F7ADBCA" w14:textId="41FC6B60" w:rsidR="00CA213E" w:rsidRDefault="00CA213E" w:rsidP="002668A9">
            <w:pPr>
              <w:rPr>
                <w:rFonts w:cs="Arial"/>
                <w:sz w:val="20"/>
                <w:szCs w:val="20"/>
              </w:rPr>
            </w:pPr>
            <w:r>
              <w:rPr>
                <w:rFonts w:cs="Arial"/>
                <w:sz w:val="20"/>
                <w:szCs w:val="20"/>
              </w:rPr>
              <w:lastRenderedPageBreak/>
              <w:t xml:space="preserve">Australasian Land and Groundwater </w:t>
            </w:r>
            <w:r w:rsidR="008C753C">
              <w:rPr>
                <w:rFonts w:cs="Arial"/>
                <w:sz w:val="20"/>
                <w:szCs w:val="20"/>
              </w:rPr>
              <w:t>Association</w:t>
            </w:r>
            <w:r>
              <w:rPr>
                <w:rFonts w:cs="Arial"/>
                <w:sz w:val="20"/>
                <w:szCs w:val="20"/>
              </w:rPr>
              <w:t xml:space="preserve"> – submission 1</w:t>
            </w:r>
          </w:p>
          <w:p w14:paraId="174E998B" w14:textId="7378EB03" w:rsidR="00CA213E" w:rsidRDefault="00406A71" w:rsidP="002668A9">
            <w:pPr>
              <w:rPr>
                <w:rFonts w:cs="Arial"/>
                <w:sz w:val="20"/>
                <w:szCs w:val="20"/>
              </w:rPr>
            </w:pPr>
            <w:r>
              <w:rPr>
                <w:rFonts w:cs="Arial"/>
                <w:sz w:val="20"/>
                <w:szCs w:val="20"/>
              </w:rPr>
              <w:t>Burdekin Shire Council and Bligh Tanner</w:t>
            </w:r>
          </w:p>
          <w:p w14:paraId="3D653613" w14:textId="77777777" w:rsidR="00CA213E" w:rsidRDefault="00CA213E" w:rsidP="002668A9">
            <w:pPr>
              <w:rPr>
                <w:rFonts w:cs="Arial"/>
                <w:sz w:val="20"/>
                <w:szCs w:val="20"/>
              </w:rPr>
            </w:pPr>
            <w:r>
              <w:rPr>
                <w:rFonts w:cs="Arial"/>
                <w:sz w:val="20"/>
                <w:szCs w:val="20"/>
              </w:rPr>
              <w:t>Hunter Water</w:t>
            </w:r>
          </w:p>
          <w:p w14:paraId="6ED842CD" w14:textId="6FD46060" w:rsidR="00CA213E" w:rsidRPr="002668A9" w:rsidRDefault="001A0C05" w:rsidP="002668A9">
            <w:pPr>
              <w:rPr>
                <w:rFonts w:cs="Arial"/>
                <w:sz w:val="20"/>
                <w:szCs w:val="20"/>
              </w:rPr>
            </w:pPr>
            <w:r>
              <w:rPr>
                <w:rFonts w:cs="Arial"/>
                <w:sz w:val="20"/>
                <w:szCs w:val="20"/>
              </w:rPr>
              <w:t>NZ Regional</w:t>
            </w:r>
            <w:r w:rsidR="00406A71">
              <w:rPr>
                <w:rFonts w:cs="Arial"/>
                <w:sz w:val="20"/>
                <w:szCs w:val="20"/>
              </w:rPr>
              <w:t xml:space="preserve"> and Unitary Councils - Contaminated Land and Waste Special Interest Group</w:t>
            </w:r>
          </w:p>
          <w:p w14:paraId="7987B2BF" w14:textId="77777777" w:rsidR="00CA213E" w:rsidRPr="002668A9" w:rsidRDefault="00CA213E" w:rsidP="002668A9">
            <w:pPr>
              <w:rPr>
                <w:rFonts w:cs="Arial"/>
                <w:sz w:val="20"/>
                <w:szCs w:val="20"/>
              </w:rPr>
            </w:pPr>
            <w:r>
              <w:rPr>
                <w:rFonts w:cs="Arial"/>
                <w:sz w:val="20"/>
                <w:szCs w:val="20"/>
              </w:rPr>
              <w:t>qldwater</w:t>
            </w:r>
          </w:p>
          <w:p w14:paraId="65E14863" w14:textId="77777777" w:rsidR="00CA213E" w:rsidRDefault="00CA213E" w:rsidP="002668A9">
            <w:pPr>
              <w:rPr>
                <w:rFonts w:cs="Arial"/>
                <w:sz w:val="20"/>
                <w:szCs w:val="20"/>
              </w:rPr>
            </w:pPr>
            <w:r>
              <w:rPr>
                <w:rFonts w:cs="Arial"/>
                <w:sz w:val="20"/>
                <w:szCs w:val="20"/>
              </w:rPr>
              <w:t>Queensland Airports Ltd</w:t>
            </w:r>
          </w:p>
          <w:p w14:paraId="0EA2F9AD" w14:textId="77777777" w:rsidR="00CA213E" w:rsidRDefault="00CA213E" w:rsidP="002668A9">
            <w:pPr>
              <w:rPr>
                <w:rFonts w:cs="Arial"/>
                <w:sz w:val="20"/>
                <w:szCs w:val="20"/>
              </w:rPr>
            </w:pPr>
            <w:r>
              <w:rPr>
                <w:rFonts w:cs="Arial"/>
                <w:sz w:val="20"/>
                <w:szCs w:val="20"/>
              </w:rPr>
              <w:t>Queensland Farmers’ Federation</w:t>
            </w:r>
          </w:p>
          <w:p w14:paraId="1D51110E" w14:textId="77777777" w:rsidR="00CA213E" w:rsidRPr="002668A9" w:rsidRDefault="00CA213E" w:rsidP="002668A9">
            <w:pPr>
              <w:rPr>
                <w:rFonts w:cs="Arial"/>
                <w:sz w:val="20"/>
                <w:szCs w:val="20"/>
              </w:rPr>
            </w:pPr>
            <w:r>
              <w:rPr>
                <w:rFonts w:cs="Arial"/>
                <w:sz w:val="20"/>
                <w:szCs w:val="20"/>
              </w:rPr>
              <w:lastRenderedPageBreak/>
              <w:t>Queensland Urban Utilities</w:t>
            </w:r>
          </w:p>
          <w:p w14:paraId="4A080A32" w14:textId="77777777" w:rsidR="00CA213E" w:rsidRDefault="00CA213E" w:rsidP="002668A9">
            <w:pPr>
              <w:rPr>
                <w:rFonts w:cs="Arial"/>
                <w:sz w:val="20"/>
                <w:szCs w:val="20"/>
              </w:rPr>
            </w:pPr>
            <w:r>
              <w:rPr>
                <w:rFonts w:cs="Arial"/>
                <w:sz w:val="20"/>
                <w:szCs w:val="20"/>
              </w:rPr>
              <w:t>Senversa</w:t>
            </w:r>
          </w:p>
          <w:p w14:paraId="317BFE46" w14:textId="77777777" w:rsidR="00CA213E" w:rsidRDefault="00CA213E" w:rsidP="002668A9">
            <w:pPr>
              <w:rPr>
                <w:rFonts w:cs="Arial"/>
                <w:sz w:val="20"/>
                <w:szCs w:val="20"/>
              </w:rPr>
            </w:pPr>
            <w:r>
              <w:rPr>
                <w:rFonts w:cs="Arial"/>
                <w:sz w:val="20"/>
                <w:szCs w:val="20"/>
              </w:rPr>
              <w:t>WA Government</w:t>
            </w:r>
          </w:p>
          <w:p w14:paraId="084B250D" w14:textId="7CD6A2A9" w:rsidR="002668A9" w:rsidRPr="002668A9" w:rsidRDefault="00CA213E" w:rsidP="002668A9">
            <w:pPr>
              <w:rPr>
                <w:rFonts w:cs="Arial"/>
                <w:sz w:val="20"/>
                <w:szCs w:val="20"/>
              </w:rPr>
            </w:pPr>
            <w:r>
              <w:rPr>
                <w:rFonts w:cs="Arial"/>
                <w:sz w:val="20"/>
                <w:szCs w:val="20"/>
              </w:rPr>
              <w:t>Waste Management and Resource Recovery Association</w:t>
            </w:r>
          </w:p>
        </w:tc>
        <w:tc>
          <w:tcPr>
            <w:tcW w:w="2008"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5D91B9E" w14:textId="77777777" w:rsidR="002668A9" w:rsidRPr="002668A9" w:rsidRDefault="002668A9" w:rsidP="002668A9">
            <w:pPr>
              <w:rPr>
                <w:rFonts w:cs="Arial"/>
                <w:sz w:val="20"/>
                <w:szCs w:val="20"/>
              </w:rPr>
            </w:pPr>
            <w:r w:rsidRPr="002668A9">
              <w:rPr>
                <w:rFonts w:cs="Arial"/>
                <w:sz w:val="20"/>
                <w:szCs w:val="20"/>
              </w:rPr>
              <w:lastRenderedPageBreak/>
              <w:t>Section 12.1 has been re-drafted to improve clarity, noting that further work is to be undertaken for a future NEMP on soil (Theme 4) and water (Theme 3).</w:t>
            </w:r>
          </w:p>
          <w:p w14:paraId="35056992" w14:textId="16C98DC5" w:rsidR="002668A9" w:rsidRPr="002668A9" w:rsidRDefault="002668A9" w:rsidP="002668A9">
            <w:pPr>
              <w:rPr>
                <w:rFonts w:cs="Arial"/>
                <w:sz w:val="20"/>
                <w:szCs w:val="20"/>
              </w:rPr>
            </w:pPr>
            <w:r w:rsidRPr="002668A9">
              <w:rPr>
                <w:rFonts w:cs="Arial"/>
                <w:sz w:val="20"/>
                <w:szCs w:val="20"/>
              </w:rPr>
              <w:t xml:space="preserve">While the title of Section 12 reflects the content of the section: Reuse of PFAS-contaminated materials including soils and water, the title of section 12.1 (which contains the decision tree) now reads </w:t>
            </w:r>
            <w:r w:rsidR="00C04EFE">
              <w:rPr>
                <w:rFonts w:cs="Arial"/>
                <w:sz w:val="20"/>
                <w:szCs w:val="20"/>
              </w:rPr>
              <w:t>‘</w:t>
            </w:r>
            <w:r w:rsidRPr="002668A9">
              <w:rPr>
                <w:rFonts w:cs="Arial"/>
                <w:sz w:val="20"/>
                <w:szCs w:val="20"/>
              </w:rPr>
              <w:t>Reuse of soil'.</w:t>
            </w:r>
          </w:p>
          <w:p w14:paraId="2BAFD278" w14:textId="77777777" w:rsidR="002668A9" w:rsidRPr="002668A9" w:rsidRDefault="002668A9" w:rsidP="002668A9">
            <w:pPr>
              <w:rPr>
                <w:rFonts w:cs="Arial"/>
                <w:sz w:val="20"/>
                <w:szCs w:val="20"/>
              </w:rPr>
            </w:pPr>
            <w:r w:rsidRPr="002668A9">
              <w:rPr>
                <w:rFonts w:cs="Arial"/>
                <w:sz w:val="20"/>
                <w:szCs w:val="20"/>
              </w:rPr>
              <w:t xml:space="preserve">Also, additional text has been added to the second paragraph of Section 12.1 noting that the decision tree is to be applied only to soil reuse and not to materials such as biosolids or other organic waste recovery products. </w:t>
            </w:r>
          </w:p>
          <w:p w14:paraId="132A0390" w14:textId="77777777" w:rsidR="002668A9" w:rsidRPr="002668A9" w:rsidRDefault="002668A9" w:rsidP="002668A9">
            <w:pPr>
              <w:rPr>
                <w:rFonts w:cs="Arial"/>
                <w:sz w:val="20"/>
                <w:szCs w:val="20"/>
              </w:rPr>
            </w:pPr>
            <w:r w:rsidRPr="002668A9">
              <w:rPr>
                <w:rFonts w:cs="Arial"/>
                <w:sz w:val="20"/>
                <w:szCs w:val="20"/>
              </w:rPr>
              <w:t>Clarifying text has been also added in several areas including to the second paragraph of Section 12.1 noting:</w:t>
            </w:r>
          </w:p>
          <w:p w14:paraId="4DD7671B" w14:textId="77777777" w:rsidR="002668A9" w:rsidRPr="002668A9" w:rsidRDefault="002668A9" w:rsidP="00D21289">
            <w:pPr>
              <w:pStyle w:val="bullet1"/>
            </w:pPr>
            <w:r w:rsidRPr="002668A9">
              <w:t>that the decision tree does not apply to soils intended for agricultural purposes</w:t>
            </w:r>
          </w:p>
          <w:p w14:paraId="5B9B4EB3" w14:textId="3F181715" w:rsidR="002668A9" w:rsidRPr="002668A9" w:rsidRDefault="002668A9" w:rsidP="00D21289">
            <w:pPr>
              <w:pStyle w:val="bullet1"/>
            </w:pPr>
            <w:r w:rsidRPr="002668A9">
              <w:lastRenderedPageBreak/>
              <w:t xml:space="preserve">while </w:t>
            </w:r>
            <w:r>
              <w:t>the decision tree</w:t>
            </w:r>
            <w:r w:rsidRPr="002668A9">
              <w:t xml:space="preserve"> does not apply to biosolids it would apply to soils previously been amended with biosolids; and</w:t>
            </w:r>
          </w:p>
          <w:p w14:paraId="70270556" w14:textId="40FAB2AB" w:rsidR="002668A9" w:rsidRPr="002668A9" w:rsidRDefault="002668A9" w:rsidP="00D21289">
            <w:pPr>
              <w:pStyle w:val="bullet1"/>
            </w:pPr>
            <w:r w:rsidRPr="002668A9">
              <w:t>the meaning of reuse.</w:t>
            </w:r>
          </w:p>
          <w:p w14:paraId="2404AC0E" w14:textId="77777777" w:rsidR="002668A9" w:rsidRPr="002668A9" w:rsidRDefault="002668A9" w:rsidP="002668A9">
            <w:pPr>
              <w:rPr>
                <w:rFonts w:cs="Arial"/>
                <w:sz w:val="20"/>
                <w:szCs w:val="20"/>
              </w:rPr>
            </w:pPr>
            <w:r w:rsidRPr="002668A9">
              <w:rPr>
                <w:rFonts w:cs="Arial"/>
                <w:sz w:val="20"/>
                <w:szCs w:val="20"/>
              </w:rPr>
              <w:t>The National Chemicals Working Group will further engage and consult with stakeholders to develop further guidance on the recovery of other materials for inclusion on future versions of the NEMP (Themes 3 and 5).</w:t>
            </w:r>
          </w:p>
        </w:tc>
      </w:tr>
      <w:tr w:rsidR="002668A9" w:rsidRPr="002668A9" w14:paraId="097178FE" w14:textId="77777777" w:rsidTr="00C36741">
        <w:trPr>
          <w:trHeight w:val="464"/>
        </w:trPr>
        <w:tc>
          <w:tcPr>
            <w:tcW w:w="786" w:type="pct"/>
            <w:vMerge/>
            <w:tcBorders>
              <w:top w:val="single" w:sz="4" w:space="0" w:color="auto"/>
              <w:left w:val="single" w:sz="4" w:space="0" w:color="auto"/>
              <w:right w:val="single" w:sz="4" w:space="0" w:color="auto"/>
            </w:tcBorders>
            <w:shd w:val="clear" w:color="auto" w:fill="auto"/>
          </w:tcPr>
          <w:p w14:paraId="3300F080" w14:textId="77777777" w:rsidR="002668A9" w:rsidRPr="002668A9" w:rsidRDefault="002668A9" w:rsidP="002668A9">
            <w:pPr>
              <w:rPr>
                <w:rFonts w:cs="Arial"/>
                <w:sz w:val="20"/>
                <w:szCs w:val="20"/>
              </w:rPr>
            </w:pPr>
          </w:p>
        </w:tc>
        <w:tc>
          <w:tcPr>
            <w:tcW w:w="1285" w:type="pct"/>
            <w:vMerge/>
            <w:tcBorders>
              <w:top w:val="single" w:sz="4" w:space="0" w:color="auto"/>
              <w:left w:val="single" w:sz="4" w:space="0" w:color="auto"/>
              <w:right w:val="single" w:sz="4" w:space="0" w:color="auto"/>
            </w:tcBorders>
          </w:tcPr>
          <w:p w14:paraId="46172502" w14:textId="77777777" w:rsidR="002668A9" w:rsidRPr="002668A9" w:rsidRDefault="002668A9" w:rsidP="002668A9">
            <w:pPr>
              <w:rPr>
                <w:rFonts w:cs="Arial"/>
                <w:sz w:val="20"/>
                <w:szCs w:val="20"/>
              </w:rPr>
            </w:pPr>
          </w:p>
        </w:tc>
        <w:tc>
          <w:tcPr>
            <w:tcW w:w="921" w:type="pct"/>
            <w:vMerge/>
            <w:tcBorders>
              <w:top w:val="single" w:sz="4" w:space="0" w:color="auto"/>
              <w:left w:val="single" w:sz="4" w:space="0" w:color="auto"/>
              <w:right w:val="single" w:sz="4" w:space="0" w:color="auto"/>
            </w:tcBorders>
          </w:tcPr>
          <w:p w14:paraId="00F394A6" w14:textId="77777777" w:rsidR="002668A9" w:rsidRPr="002668A9" w:rsidRDefault="002668A9" w:rsidP="002668A9">
            <w:pPr>
              <w:rPr>
                <w:rFonts w:cs="Arial"/>
                <w:sz w:val="20"/>
                <w:szCs w:val="20"/>
              </w:rPr>
            </w:pPr>
          </w:p>
        </w:tc>
        <w:tc>
          <w:tcPr>
            <w:tcW w:w="2008" w:type="pct"/>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B9A4C65" w14:textId="77777777" w:rsidR="002668A9" w:rsidRPr="002668A9" w:rsidRDefault="002668A9" w:rsidP="002668A9">
            <w:pPr>
              <w:rPr>
                <w:rFonts w:cs="Arial"/>
                <w:sz w:val="20"/>
                <w:szCs w:val="20"/>
              </w:rPr>
            </w:pPr>
          </w:p>
        </w:tc>
      </w:tr>
      <w:tr w:rsidR="002668A9" w:rsidRPr="002668A9" w14:paraId="6E1BF17E" w14:textId="77777777" w:rsidTr="00C36741">
        <w:trPr>
          <w:trHeight w:val="504"/>
        </w:trPr>
        <w:tc>
          <w:tcPr>
            <w:tcW w:w="786" w:type="pct"/>
            <w:vMerge/>
            <w:tcBorders>
              <w:left w:val="single" w:sz="4" w:space="0" w:color="auto"/>
              <w:right w:val="single" w:sz="4" w:space="0" w:color="auto"/>
            </w:tcBorders>
            <w:shd w:val="clear" w:color="auto" w:fill="auto"/>
          </w:tcPr>
          <w:p w14:paraId="613B4D06"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3B06CFD6"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0F600F13"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732F0692" w14:textId="77777777" w:rsidR="002668A9" w:rsidRPr="002668A9" w:rsidRDefault="002668A9" w:rsidP="002668A9">
            <w:pPr>
              <w:rPr>
                <w:rFonts w:cs="Arial"/>
                <w:sz w:val="20"/>
                <w:szCs w:val="20"/>
              </w:rPr>
            </w:pPr>
          </w:p>
        </w:tc>
      </w:tr>
      <w:tr w:rsidR="002668A9" w:rsidRPr="002668A9" w14:paraId="4CA3D67D" w14:textId="77777777" w:rsidTr="00C36741">
        <w:trPr>
          <w:trHeight w:val="504"/>
        </w:trPr>
        <w:tc>
          <w:tcPr>
            <w:tcW w:w="786" w:type="pct"/>
            <w:vMerge/>
            <w:tcBorders>
              <w:left w:val="single" w:sz="4" w:space="0" w:color="auto"/>
              <w:right w:val="single" w:sz="4" w:space="0" w:color="auto"/>
            </w:tcBorders>
            <w:shd w:val="clear" w:color="auto" w:fill="auto"/>
          </w:tcPr>
          <w:p w14:paraId="410C62B0"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1332D3C8"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1FF34AF8"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538FBF1E" w14:textId="77777777" w:rsidR="002668A9" w:rsidRPr="002668A9" w:rsidRDefault="002668A9" w:rsidP="002668A9">
            <w:pPr>
              <w:rPr>
                <w:rFonts w:cs="Arial"/>
                <w:sz w:val="20"/>
                <w:szCs w:val="20"/>
              </w:rPr>
            </w:pPr>
          </w:p>
        </w:tc>
      </w:tr>
      <w:tr w:rsidR="002668A9" w:rsidRPr="002668A9" w14:paraId="1CE3BC86" w14:textId="77777777" w:rsidTr="00C36741">
        <w:trPr>
          <w:trHeight w:val="504"/>
        </w:trPr>
        <w:tc>
          <w:tcPr>
            <w:tcW w:w="786" w:type="pct"/>
            <w:vMerge/>
            <w:tcBorders>
              <w:left w:val="single" w:sz="4" w:space="0" w:color="auto"/>
              <w:right w:val="single" w:sz="4" w:space="0" w:color="auto"/>
            </w:tcBorders>
            <w:shd w:val="clear" w:color="auto" w:fill="auto"/>
          </w:tcPr>
          <w:p w14:paraId="4468452A"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6F32283C"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723E66AD"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5EF5F5CE" w14:textId="77777777" w:rsidR="002668A9" w:rsidRPr="002668A9" w:rsidRDefault="002668A9" w:rsidP="002668A9">
            <w:pPr>
              <w:rPr>
                <w:rFonts w:cs="Arial"/>
                <w:sz w:val="20"/>
                <w:szCs w:val="20"/>
              </w:rPr>
            </w:pPr>
          </w:p>
        </w:tc>
      </w:tr>
      <w:tr w:rsidR="002668A9" w:rsidRPr="002668A9" w14:paraId="3853946D" w14:textId="77777777" w:rsidTr="00C36741">
        <w:trPr>
          <w:trHeight w:val="504"/>
        </w:trPr>
        <w:tc>
          <w:tcPr>
            <w:tcW w:w="786" w:type="pct"/>
            <w:vMerge/>
            <w:tcBorders>
              <w:left w:val="single" w:sz="4" w:space="0" w:color="auto"/>
              <w:right w:val="single" w:sz="4" w:space="0" w:color="auto"/>
            </w:tcBorders>
            <w:shd w:val="clear" w:color="auto" w:fill="auto"/>
          </w:tcPr>
          <w:p w14:paraId="67C42E9A"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6C3CC68C"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7299EBAE"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15F3781C" w14:textId="77777777" w:rsidR="002668A9" w:rsidRPr="002668A9" w:rsidRDefault="002668A9" w:rsidP="002668A9">
            <w:pPr>
              <w:rPr>
                <w:rFonts w:cs="Arial"/>
                <w:sz w:val="20"/>
                <w:szCs w:val="20"/>
              </w:rPr>
            </w:pPr>
          </w:p>
        </w:tc>
      </w:tr>
      <w:tr w:rsidR="002668A9" w:rsidRPr="002668A9" w14:paraId="47770D22" w14:textId="77777777" w:rsidTr="00C36741">
        <w:trPr>
          <w:trHeight w:val="504"/>
        </w:trPr>
        <w:tc>
          <w:tcPr>
            <w:tcW w:w="786" w:type="pct"/>
            <w:vMerge/>
            <w:tcBorders>
              <w:left w:val="single" w:sz="4" w:space="0" w:color="auto"/>
              <w:right w:val="single" w:sz="4" w:space="0" w:color="auto"/>
            </w:tcBorders>
            <w:shd w:val="clear" w:color="auto" w:fill="auto"/>
          </w:tcPr>
          <w:p w14:paraId="7971F3A9"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239D80F9"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6C699D8E"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2ACE4D45" w14:textId="77777777" w:rsidR="002668A9" w:rsidRPr="002668A9" w:rsidRDefault="002668A9" w:rsidP="002668A9">
            <w:pPr>
              <w:rPr>
                <w:rFonts w:cs="Arial"/>
                <w:sz w:val="20"/>
                <w:szCs w:val="20"/>
              </w:rPr>
            </w:pPr>
          </w:p>
        </w:tc>
      </w:tr>
      <w:tr w:rsidR="002668A9" w:rsidRPr="002668A9" w14:paraId="53BFC4B6" w14:textId="77777777" w:rsidTr="00C36741">
        <w:trPr>
          <w:trHeight w:val="504"/>
        </w:trPr>
        <w:tc>
          <w:tcPr>
            <w:tcW w:w="786" w:type="pct"/>
            <w:vMerge/>
            <w:tcBorders>
              <w:left w:val="single" w:sz="4" w:space="0" w:color="auto"/>
              <w:right w:val="single" w:sz="4" w:space="0" w:color="auto"/>
            </w:tcBorders>
            <w:shd w:val="clear" w:color="auto" w:fill="auto"/>
          </w:tcPr>
          <w:p w14:paraId="3D3FAC9D"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4ECDE604"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4BFDFF45"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6A36CF68" w14:textId="77777777" w:rsidR="002668A9" w:rsidRPr="002668A9" w:rsidRDefault="002668A9" w:rsidP="002668A9">
            <w:pPr>
              <w:rPr>
                <w:rFonts w:cs="Arial"/>
                <w:sz w:val="20"/>
                <w:szCs w:val="20"/>
              </w:rPr>
            </w:pPr>
          </w:p>
        </w:tc>
      </w:tr>
      <w:tr w:rsidR="002668A9" w:rsidRPr="002668A9" w14:paraId="36053C23" w14:textId="77777777" w:rsidTr="00C36741">
        <w:trPr>
          <w:trHeight w:val="504"/>
        </w:trPr>
        <w:tc>
          <w:tcPr>
            <w:tcW w:w="786" w:type="pct"/>
            <w:vMerge/>
            <w:tcBorders>
              <w:left w:val="single" w:sz="4" w:space="0" w:color="auto"/>
              <w:right w:val="single" w:sz="4" w:space="0" w:color="auto"/>
            </w:tcBorders>
            <w:shd w:val="clear" w:color="auto" w:fill="auto"/>
          </w:tcPr>
          <w:p w14:paraId="7EEA6496"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0121D2F8"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09A72CF8"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6D74D466" w14:textId="77777777" w:rsidR="002668A9" w:rsidRPr="002668A9" w:rsidRDefault="002668A9" w:rsidP="002668A9">
            <w:pPr>
              <w:rPr>
                <w:rFonts w:cs="Arial"/>
                <w:sz w:val="20"/>
                <w:szCs w:val="20"/>
              </w:rPr>
            </w:pPr>
          </w:p>
        </w:tc>
      </w:tr>
      <w:tr w:rsidR="002668A9" w:rsidRPr="002668A9" w14:paraId="77F9F655" w14:textId="77777777" w:rsidTr="00C36741">
        <w:trPr>
          <w:trHeight w:val="504"/>
        </w:trPr>
        <w:tc>
          <w:tcPr>
            <w:tcW w:w="786" w:type="pct"/>
            <w:vMerge/>
            <w:tcBorders>
              <w:left w:val="single" w:sz="4" w:space="0" w:color="auto"/>
              <w:right w:val="single" w:sz="4" w:space="0" w:color="auto"/>
            </w:tcBorders>
            <w:shd w:val="clear" w:color="auto" w:fill="auto"/>
          </w:tcPr>
          <w:p w14:paraId="01E0DC51"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2A70BB7C"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41D55665"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30604313" w14:textId="77777777" w:rsidR="002668A9" w:rsidRPr="002668A9" w:rsidRDefault="002668A9" w:rsidP="002668A9">
            <w:pPr>
              <w:rPr>
                <w:rFonts w:cs="Arial"/>
                <w:sz w:val="20"/>
                <w:szCs w:val="20"/>
              </w:rPr>
            </w:pPr>
          </w:p>
        </w:tc>
      </w:tr>
      <w:tr w:rsidR="002668A9" w:rsidRPr="002668A9" w14:paraId="2546B7CB" w14:textId="77777777" w:rsidTr="00C36741">
        <w:trPr>
          <w:trHeight w:val="464"/>
        </w:trPr>
        <w:tc>
          <w:tcPr>
            <w:tcW w:w="786" w:type="pct"/>
            <w:vMerge w:val="restart"/>
            <w:tcBorders>
              <w:top w:val="single" w:sz="4" w:space="0" w:color="auto"/>
              <w:left w:val="single" w:sz="4" w:space="0" w:color="auto"/>
              <w:right w:val="single" w:sz="4" w:space="0" w:color="auto"/>
            </w:tcBorders>
            <w:shd w:val="clear" w:color="auto" w:fill="auto"/>
          </w:tcPr>
          <w:p w14:paraId="4B6C1131" w14:textId="77777777" w:rsidR="002668A9" w:rsidRPr="002668A9" w:rsidRDefault="002668A9" w:rsidP="002668A9">
            <w:pPr>
              <w:rPr>
                <w:rFonts w:cs="Arial"/>
                <w:sz w:val="20"/>
                <w:szCs w:val="20"/>
              </w:rPr>
            </w:pPr>
            <w:r w:rsidRPr="002668A9">
              <w:rPr>
                <w:rFonts w:cs="Arial"/>
                <w:sz w:val="20"/>
                <w:szCs w:val="20"/>
              </w:rPr>
              <w:t>Communication with environmental regulators / national consistency / Commonwealth regulators</w:t>
            </w:r>
          </w:p>
        </w:tc>
        <w:tc>
          <w:tcPr>
            <w:tcW w:w="1285" w:type="pct"/>
            <w:vMerge w:val="restart"/>
            <w:tcBorders>
              <w:top w:val="single" w:sz="4" w:space="0" w:color="auto"/>
              <w:left w:val="single" w:sz="4" w:space="0" w:color="auto"/>
              <w:right w:val="single" w:sz="4" w:space="0" w:color="auto"/>
            </w:tcBorders>
          </w:tcPr>
          <w:p w14:paraId="0BDC5773" w14:textId="228594EC" w:rsidR="002668A9" w:rsidRPr="002668A9" w:rsidRDefault="002668A9" w:rsidP="002668A9">
            <w:pPr>
              <w:rPr>
                <w:rFonts w:cs="Arial"/>
                <w:sz w:val="20"/>
                <w:szCs w:val="20"/>
              </w:rPr>
            </w:pPr>
            <w:r w:rsidRPr="002668A9">
              <w:rPr>
                <w:rFonts w:cs="Arial"/>
                <w:sz w:val="20"/>
                <w:szCs w:val="20"/>
              </w:rPr>
              <w:t xml:space="preserve">Submissions commented on </w:t>
            </w:r>
            <w:r w:rsidR="00BC2FEC">
              <w:rPr>
                <w:rFonts w:cs="Arial"/>
                <w:sz w:val="20"/>
                <w:szCs w:val="20"/>
              </w:rPr>
              <w:t>confusion about</w:t>
            </w:r>
            <w:r w:rsidRPr="002668A9" w:rsidDel="00BC2FEC">
              <w:rPr>
                <w:rFonts w:cs="Arial"/>
                <w:sz w:val="20"/>
                <w:szCs w:val="20"/>
              </w:rPr>
              <w:t xml:space="preserve"> </w:t>
            </w:r>
            <w:r w:rsidRPr="002668A9">
              <w:rPr>
                <w:rFonts w:cs="Arial"/>
                <w:sz w:val="20"/>
                <w:szCs w:val="20"/>
              </w:rPr>
              <w:t>consultation with environmental regulators</w:t>
            </w:r>
            <w:r w:rsidR="00BC2FEC">
              <w:rPr>
                <w:rFonts w:cs="Arial"/>
                <w:sz w:val="20"/>
                <w:szCs w:val="20"/>
              </w:rPr>
              <w:t xml:space="preserve"> on Commonwealth land</w:t>
            </w:r>
            <w:r w:rsidRPr="002668A9">
              <w:rPr>
                <w:rFonts w:cs="Arial"/>
                <w:sz w:val="20"/>
                <w:szCs w:val="20"/>
              </w:rPr>
              <w:t>, national consistency, and that the decision tree may not be consistent with the regulatory framework in place in New Zealand.</w:t>
            </w:r>
          </w:p>
        </w:tc>
        <w:tc>
          <w:tcPr>
            <w:tcW w:w="921" w:type="pct"/>
            <w:vMerge w:val="restart"/>
            <w:tcBorders>
              <w:top w:val="single" w:sz="4" w:space="0" w:color="auto"/>
              <w:left w:val="single" w:sz="4" w:space="0" w:color="auto"/>
              <w:right w:val="single" w:sz="4" w:space="0" w:color="auto"/>
            </w:tcBorders>
          </w:tcPr>
          <w:p w14:paraId="7FBAC153" w14:textId="77777777" w:rsidR="00CA213E" w:rsidRDefault="007956EC" w:rsidP="002668A9">
            <w:pPr>
              <w:rPr>
                <w:rFonts w:cs="Arial"/>
                <w:sz w:val="20"/>
                <w:szCs w:val="20"/>
              </w:rPr>
            </w:pPr>
            <w:r>
              <w:rPr>
                <w:rFonts w:cs="Arial"/>
                <w:sz w:val="20"/>
                <w:szCs w:val="20"/>
              </w:rPr>
              <w:t>Australian Airports Association</w:t>
            </w:r>
          </w:p>
          <w:p w14:paraId="212AC291" w14:textId="77777777" w:rsidR="00CA213E" w:rsidRDefault="00CA213E" w:rsidP="002668A9">
            <w:pPr>
              <w:rPr>
                <w:rFonts w:cs="Arial"/>
                <w:sz w:val="20"/>
                <w:szCs w:val="20"/>
              </w:rPr>
            </w:pPr>
            <w:r>
              <w:rPr>
                <w:rFonts w:cs="Arial"/>
                <w:sz w:val="20"/>
                <w:szCs w:val="20"/>
              </w:rPr>
              <w:t>Canberra Airport</w:t>
            </w:r>
          </w:p>
          <w:p w14:paraId="40FE1F2B" w14:textId="77777777" w:rsidR="002668A9" w:rsidRDefault="00CA213E" w:rsidP="002668A9">
            <w:pPr>
              <w:rPr>
                <w:rFonts w:cs="Arial"/>
                <w:sz w:val="20"/>
                <w:szCs w:val="20"/>
              </w:rPr>
            </w:pPr>
            <w:r>
              <w:rPr>
                <w:rFonts w:cs="Arial"/>
                <w:sz w:val="20"/>
                <w:szCs w:val="20"/>
              </w:rPr>
              <w:t>NZ Ministry for the Environment</w:t>
            </w:r>
          </w:p>
          <w:p w14:paraId="7EFEEBD0" w14:textId="0DC40DE0" w:rsidR="00CA213E" w:rsidRPr="002668A9" w:rsidRDefault="00CA213E" w:rsidP="002668A9">
            <w:pPr>
              <w:rPr>
                <w:rFonts w:cs="Arial"/>
                <w:sz w:val="20"/>
                <w:szCs w:val="20"/>
              </w:rPr>
            </w:pPr>
            <w:r>
              <w:rPr>
                <w:rFonts w:cs="Arial"/>
                <w:sz w:val="20"/>
                <w:szCs w:val="20"/>
              </w:rPr>
              <w:t>Queensland Airports Ltd</w:t>
            </w:r>
          </w:p>
        </w:tc>
        <w:tc>
          <w:tcPr>
            <w:tcW w:w="2008"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4A97770" w14:textId="77777777" w:rsidR="002668A9" w:rsidRPr="002668A9" w:rsidRDefault="002668A9" w:rsidP="002668A9">
            <w:pPr>
              <w:rPr>
                <w:rFonts w:cs="Arial"/>
                <w:sz w:val="20"/>
                <w:szCs w:val="20"/>
              </w:rPr>
            </w:pPr>
            <w:r w:rsidRPr="002668A9">
              <w:rPr>
                <w:rFonts w:cs="Arial"/>
                <w:sz w:val="20"/>
                <w:szCs w:val="20"/>
              </w:rPr>
              <w:t>The PFAS NEMP provides nationally agreed guidance on the management of PFAS contamination in the environment, including prevention of the spread of contamination. It supports collaborative action on PFAS by the Commonwealth, state and territory and local governments around Australia. The NEMP is an Appendix to the Intergovernmental Agreement on a National Framework Responding to PFAS Contamination.</w:t>
            </w:r>
          </w:p>
          <w:p w14:paraId="4457B451" w14:textId="42AC379E" w:rsidR="002668A9" w:rsidRPr="002668A9" w:rsidRDefault="002668A9" w:rsidP="002668A9">
            <w:pPr>
              <w:rPr>
                <w:rFonts w:cs="Arial"/>
                <w:sz w:val="20"/>
                <w:szCs w:val="20"/>
              </w:rPr>
            </w:pPr>
            <w:r w:rsidRPr="002668A9">
              <w:rPr>
                <w:rFonts w:cs="Arial"/>
                <w:sz w:val="20"/>
                <w:szCs w:val="20"/>
              </w:rPr>
              <w:t xml:space="preserve">The NEMP recognises the need for sound regulation of PFAS by each jurisdiction in a way that can adapt to local circumstances and emerging priorities. As such it is important to consult with the relevant regulator when considering reuse of PFAS containing material. </w:t>
            </w:r>
            <w:r w:rsidR="00120AAD">
              <w:rPr>
                <w:rFonts w:cs="Arial"/>
                <w:sz w:val="20"/>
                <w:szCs w:val="20"/>
              </w:rPr>
              <w:t>Feedback on the confusion about identifying regulators has been passed on to regulators.</w:t>
            </w:r>
          </w:p>
          <w:p w14:paraId="73AD5CD7" w14:textId="77777777" w:rsidR="002668A9" w:rsidRPr="002668A9" w:rsidRDefault="002668A9" w:rsidP="002668A9">
            <w:pPr>
              <w:rPr>
                <w:rFonts w:cs="Arial"/>
                <w:sz w:val="20"/>
                <w:szCs w:val="20"/>
              </w:rPr>
            </w:pPr>
            <w:r w:rsidRPr="002668A9">
              <w:rPr>
                <w:rFonts w:cs="Arial"/>
                <w:sz w:val="20"/>
                <w:szCs w:val="20"/>
              </w:rPr>
              <w:t>One of the principles of the NEMP is consistency across jurisdictions including the Commonwealth and this applies to future work, including on reuse of PFAS-impacted materials.</w:t>
            </w:r>
          </w:p>
          <w:p w14:paraId="5CCFA701" w14:textId="77777777" w:rsidR="002668A9" w:rsidRPr="002668A9" w:rsidRDefault="002668A9" w:rsidP="002668A9">
            <w:pPr>
              <w:rPr>
                <w:rFonts w:cs="Arial"/>
                <w:sz w:val="20"/>
                <w:szCs w:val="20"/>
              </w:rPr>
            </w:pPr>
            <w:r w:rsidRPr="002668A9">
              <w:rPr>
                <w:rFonts w:cs="Arial"/>
                <w:sz w:val="20"/>
                <w:szCs w:val="20"/>
              </w:rPr>
              <w:t>Note that a footnote has been added to Section 12.1 explaining that the decision tree for reuse of soil may not be applicable in New Zealand.</w:t>
            </w:r>
          </w:p>
        </w:tc>
      </w:tr>
      <w:tr w:rsidR="002668A9" w:rsidRPr="002668A9" w14:paraId="59F68C80" w14:textId="77777777" w:rsidTr="00C36741">
        <w:trPr>
          <w:trHeight w:val="504"/>
        </w:trPr>
        <w:tc>
          <w:tcPr>
            <w:tcW w:w="786" w:type="pct"/>
            <w:vMerge/>
            <w:tcBorders>
              <w:left w:val="single" w:sz="4" w:space="0" w:color="auto"/>
              <w:right w:val="single" w:sz="4" w:space="0" w:color="auto"/>
            </w:tcBorders>
            <w:shd w:val="clear" w:color="auto" w:fill="auto"/>
          </w:tcPr>
          <w:p w14:paraId="2505A5D6"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64B7DA55"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7C3FD5AD"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37F55625" w14:textId="77777777" w:rsidR="002668A9" w:rsidRPr="002668A9" w:rsidRDefault="002668A9" w:rsidP="002668A9">
            <w:pPr>
              <w:rPr>
                <w:rFonts w:cs="Arial"/>
                <w:sz w:val="20"/>
                <w:szCs w:val="20"/>
              </w:rPr>
            </w:pPr>
          </w:p>
        </w:tc>
      </w:tr>
      <w:tr w:rsidR="002668A9" w:rsidRPr="002668A9" w14:paraId="101A8B1B" w14:textId="77777777" w:rsidTr="00C36741">
        <w:trPr>
          <w:trHeight w:val="504"/>
        </w:trPr>
        <w:tc>
          <w:tcPr>
            <w:tcW w:w="786" w:type="pct"/>
            <w:vMerge/>
            <w:tcBorders>
              <w:left w:val="single" w:sz="4" w:space="0" w:color="auto"/>
              <w:right w:val="single" w:sz="4" w:space="0" w:color="auto"/>
            </w:tcBorders>
            <w:shd w:val="clear" w:color="auto" w:fill="auto"/>
          </w:tcPr>
          <w:p w14:paraId="6278FA24"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562129A4"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51476E5D"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3C61D44E" w14:textId="77777777" w:rsidR="002668A9" w:rsidRPr="002668A9" w:rsidRDefault="002668A9" w:rsidP="002668A9">
            <w:pPr>
              <w:rPr>
                <w:rFonts w:cs="Arial"/>
                <w:sz w:val="20"/>
                <w:szCs w:val="20"/>
              </w:rPr>
            </w:pPr>
          </w:p>
        </w:tc>
      </w:tr>
      <w:tr w:rsidR="002668A9" w:rsidRPr="002668A9" w14:paraId="3D8FE980" w14:textId="77777777" w:rsidTr="00C36741">
        <w:trPr>
          <w:trHeight w:val="504"/>
        </w:trPr>
        <w:tc>
          <w:tcPr>
            <w:tcW w:w="786" w:type="pct"/>
            <w:vMerge/>
            <w:tcBorders>
              <w:left w:val="single" w:sz="4" w:space="0" w:color="auto"/>
              <w:right w:val="single" w:sz="4" w:space="0" w:color="auto"/>
            </w:tcBorders>
            <w:shd w:val="clear" w:color="auto" w:fill="auto"/>
          </w:tcPr>
          <w:p w14:paraId="65574B52"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60F171B0"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29A3522B"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7993FE4E" w14:textId="77777777" w:rsidR="002668A9" w:rsidRPr="002668A9" w:rsidRDefault="002668A9" w:rsidP="002668A9">
            <w:pPr>
              <w:rPr>
                <w:rFonts w:cs="Arial"/>
                <w:sz w:val="20"/>
                <w:szCs w:val="20"/>
              </w:rPr>
            </w:pPr>
          </w:p>
        </w:tc>
      </w:tr>
      <w:tr w:rsidR="002668A9" w:rsidRPr="002668A9" w14:paraId="019BE86A" w14:textId="77777777" w:rsidTr="00C36741">
        <w:trPr>
          <w:trHeight w:val="504"/>
        </w:trPr>
        <w:tc>
          <w:tcPr>
            <w:tcW w:w="786" w:type="pct"/>
            <w:vMerge/>
            <w:tcBorders>
              <w:left w:val="single" w:sz="4" w:space="0" w:color="auto"/>
              <w:bottom w:val="single" w:sz="4" w:space="0" w:color="auto"/>
              <w:right w:val="single" w:sz="4" w:space="0" w:color="auto"/>
            </w:tcBorders>
            <w:shd w:val="clear" w:color="auto" w:fill="auto"/>
          </w:tcPr>
          <w:p w14:paraId="54FDB462" w14:textId="77777777" w:rsidR="002668A9" w:rsidRPr="002668A9" w:rsidRDefault="002668A9" w:rsidP="002668A9">
            <w:pPr>
              <w:rPr>
                <w:rFonts w:cs="Arial"/>
                <w:sz w:val="20"/>
                <w:szCs w:val="20"/>
              </w:rPr>
            </w:pPr>
          </w:p>
        </w:tc>
        <w:tc>
          <w:tcPr>
            <w:tcW w:w="1285" w:type="pct"/>
            <w:vMerge/>
            <w:tcBorders>
              <w:left w:val="single" w:sz="4" w:space="0" w:color="auto"/>
              <w:bottom w:val="single" w:sz="4" w:space="0" w:color="auto"/>
              <w:right w:val="single" w:sz="4" w:space="0" w:color="auto"/>
            </w:tcBorders>
          </w:tcPr>
          <w:p w14:paraId="23FDE81F" w14:textId="77777777" w:rsidR="002668A9" w:rsidRPr="002668A9" w:rsidRDefault="002668A9" w:rsidP="002668A9">
            <w:pPr>
              <w:rPr>
                <w:rFonts w:cs="Arial"/>
                <w:sz w:val="20"/>
                <w:szCs w:val="20"/>
              </w:rPr>
            </w:pPr>
          </w:p>
        </w:tc>
        <w:tc>
          <w:tcPr>
            <w:tcW w:w="921" w:type="pct"/>
            <w:vMerge/>
            <w:tcBorders>
              <w:left w:val="single" w:sz="4" w:space="0" w:color="auto"/>
              <w:bottom w:val="single" w:sz="4" w:space="0" w:color="auto"/>
              <w:right w:val="single" w:sz="4" w:space="0" w:color="auto"/>
            </w:tcBorders>
          </w:tcPr>
          <w:p w14:paraId="5EBEC2E7" w14:textId="77777777" w:rsidR="002668A9" w:rsidRPr="002668A9" w:rsidRDefault="002668A9" w:rsidP="002668A9">
            <w:pPr>
              <w:rPr>
                <w:rFonts w:cs="Arial"/>
                <w:sz w:val="20"/>
                <w:szCs w:val="20"/>
              </w:rPr>
            </w:pPr>
          </w:p>
        </w:tc>
        <w:tc>
          <w:tcPr>
            <w:tcW w:w="2008"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8095C" w14:textId="77777777" w:rsidR="002668A9" w:rsidRPr="002668A9" w:rsidRDefault="002668A9" w:rsidP="002668A9">
            <w:pPr>
              <w:rPr>
                <w:rFonts w:cs="Arial"/>
                <w:sz w:val="20"/>
                <w:szCs w:val="20"/>
              </w:rPr>
            </w:pPr>
          </w:p>
        </w:tc>
      </w:tr>
      <w:tr w:rsidR="002668A9" w:rsidRPr="002668A9" w14:paraId="7E57961E" w14:textId="77777777" w:rsidTr="00C36741">
        <w:trPr>
          <w:trHeight w:val="464"/>
        </w:trPr>
        <w:tc>
          <w:tcPr>
            <w:tcW w:w="786" w:type="pct"/>
            <w:vMerge w:val="restart"/>
            <w:tcBorders>
              <w:top w:val="single" w:sz="4" w:space="0" w:color="auto"/>
              <w:left w:val="single" w:sz="4" w:space="0" w:color="auto"/>
              <w:right w:val="single" w:sz="4" w:space="0" w:color="auto"/>
            </w:tcBorders>
            <w:shd w:val="clear" w:color="auto" w:fill="auto"/>
          </w:tcPr>
          <w:p w14:paraId="552FE3C1" w14:textId="77777777" w:rsidR="002668A9" w:rsidRPr="002668A9" w:rsidRDefault="002668A9" w:rsidP="002668A9">
            <w:pPr>
              <w:rPr>
                <w:rFonts w:cs="Arial"/>
                <w:sz w:val="20"/>
                <w:szCs w:val="20"/>
              </w:rPr>
            </w:pPr>
            <w:r w:rsidRPr="002668A9">
              <w:rPr>
                <w:rFonts w:cs="Arial"/>
                <w:sz w:val="20"/>
                <w:szCs w:val="20"/>
              </w:rPr>
              <w:lastRenderedPageBreak/>
              <w:t>Acknowledgement of usefulness of decision tree</w:t>
            </w:r>
          </w:p>
        </w:tc>
        <w:tc>
          <w:tcPr>
            <w:tcW w:w="1285" w:type="pct"/>
            <w:vMerge w:val="restart"/>
            <w:tcBorders>
              <w:top w:val="single" w:sz="4" w:space="0" w:color="auto"/>
              <w:left w:val="single" w:sz="4" w:space="0" w:color="auto"/>
              <w:right w:val="single" w:sz="4" w:space="0" w:color="auto"/>
            </w:tcBorders>
          </w:tcPr>
          <w:p w14:paraId="29413443" w14:textId="77777777" w:rsidR="002668A9" w:rsidRPr="002668A9" w:rsidRDefault="002668A9" w:rsidP="002668A9">
            <w:pPr>
              <w:rPr>
                <w:rFonts w:cs="Arial"/>
                <w:sz w:val="20"/>
                <w:szCs w:val="20"/>
              </w:rPr>
            </w:pPr>
            <w:r w:rsidRPr="002668A9">
              <w:rPr>
                <w:rFonts w:cs="Arial"/>
                <w:sz w:val="20"/>
                <w:szCs w:val="20"/>
              </w:rPr>
              <w:t>Support for the soil reuse decision tree as a useful tool.</w:t>
            </w:r>
          </w:p>
        </w:tc>
        <w:tc>
          <w:tcPr>
            <w:tcW w:w="921" w:type="pct"/>
            <w:vMerge w:val="restart"/>
            <w:tcBorders>
              <w:top w:val="single" w:sz="4" w:space="0" w:color="auto"/>
              <w:left w:val="single" w:sz="4" w:space="0" w:color="auto"/>
              <w:right w:val="single" w:sz="4" w:space="0" w:color="auto"/>
            </w:tcBorders>
          </w:tcPr>
          <w:p w14:paraId="457EC8C7" w14:textId="5D19F48A" w:rsidR="002668A9" w:rsidRPr="002668A9" w:rsidRDefault="00406A71" w:rsidP="002668A9">
            <w:pPr>
              <w:rPr>
                <w:rFonts w:cs="Arial"/>
                <w:sz w:val="20"/>
                <w:szCs w:val="20"/>
              </w:rPr>
            </w:pPr>
            <w:r>
              <w:rPr>
                <w:rFonts w:cs="Arial"/>
                <w:sz w:val="20"/>
                <w:szCs w:val="20"/>
              </w:rPr>
              <w:t>City of Rockingham - Millar</w:t>
            </w:r>
            <w:r w:rsidR="00891B7C">
              <w:rPr>
                <w:rFonts w:cs="Arial"/>
                <w:sz w:val="20"/>
                <w:szCs w:val="20"/>
              </w:rPr>
              <w:t xml:space="preserve"> Road Landfill</w:t>
            </w:r>
          </w:p>
        </w:tc>
        <w:tc>
          <w:tcPr>
            <w:tcW w:w="2008"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BE95D5A" w14:textId="77777777" w:rsidR="002668A9" w:rsidRPr="002668A9" w:rsidRDefault="002668A9" w:rsidP="002668A9">
            <w:pPr>
              <w:rPr>
                <w:rFonts w:cs="Arial"/>
                <w:sz w:val="20"/>
                <w:szCs w:val="20"/>
              </w:rPr>
            </w:pPr>
            <w:r w:rsidRPr="002668A9">
              <w:rPr>
                <w:rFonts w:cs="Arial"/>
                <w:sz w:val="20"/>
                <w:szCs w:val="20"/>
              </w:rPr>
              <w:t>Acknowledged.</w:t>
            </w:r>
          </w:p>
          <w:p w14:paraId="32AEFE1E" w14:textId="77777777" w:rsidR="002668A9" w:rsidRPr="002668A9" w:rsidRDefault="002668A9" w:rsidP="002668A9">
            <w:pPr>
              <w:rPr>
                <w:rFonts w:cs="Arial"/>
                <w:sz w:val="20"/>
                <w:szCs w:val="20"/>
              </w:rPr>
            </w:pPr>
            <w:r w:rsidRPr="002668A9">
              <w:rPr>
                <w:rFonts w:cs="Arial"/>
                <w:sz w:val="20"/>
                <w:szCs w:val="20"/>
              </w:rPr>
              <w:t>The NEMP as a whole will be reviewed in 2023. These comments will be provided to the review.</w:t>
            </w:r>
          </w:p>
        </w:tc>
      </w:tr>
      <w:tr w:rsidR="002668A9" w:rsidRPr="002668A9" w14:paraId="0D96C44E" w14:textId="77777777" w:rsidTr="00C36741">
        <w:trPr>
          <w:trHeight w:val="504"/>
        </w:trPr>
        <w:tc>
          <w:tcPr>
            <w:tcW w:w="786" w:type="pct"/>
            <w:vMerge/>
            <w:tcBorders>
              <w:left w:val="single" w:sz="4" w:space="0" w:color="auto"/>
              <w:bottom w:val="single" w:sz="4" w:space="0" w:color="auto"/>
              <w:right w:val="single" w:sz="4" w:space="0" w:color="auto"/>
            </w:tcBorders>
            <w:shd w:val="clear" w:color="auto" w:fill="auto"/>
          </w:tcPr>
          <w:p w14:paraId="0126F935" w14:textId="77777777" w:rsidR="002668A9" w:rsidRPr="002668A9" w:rsidRDefault="002668A9" w:rsidP="002668A9">
            <w:pPr>
              <w:rPr>
                <w:rFonts w:cs="Arial"/>
                <w:sz w:val="20"/>
                <w:szCs w:val="20"/>
              </w:rPr>
            </w:pPr>
          </w:p>
        </w:tc>
        <w:tc>
          <w:tcPr>
            <w:tcW w:w="1285" w:type="pct"/>
            <w:vMerge/>
            <w:tcBorders>
              <w:left w:val="single" w:sz="4" w:space="0" w:color="auto"/>
              <w:bottom w:val="single" w:sz="4" w:space="0" w:color="auto"/>
              <w:right w:val="single" w:sz="4" w:space="0" w:color="auto"/>
            </w:tcBorders>
          </w:tcPr>
          <w:p w14:paraId="4F3326EB" w14:textId="77777777" w:rsidR="002668A9" w:rsidRPr="002668A9" w:rsidRDefault="002668A9" w:rsidP="002668A9">
            <w:pPr>
              <w:rPr>
                <w:rFonts w:cs="Arial"/>
                <w:sz w:val="20"/>
                <w:szCs w:val="20"/>
              </w:rPr>
            </w:pPr>
          </w:p>
        </w:tc>
        <w:tc>
          <w:tcPr>
            <w:tcW w:w="921" w:type="pct"/>
            <w:vMerge/>
            <w:tcBorders>
              <w:left w:val="single" w:sz="4" w:space="0" w:color="auto"/>
              <w:bottom w:val="single" w:sz="4" w:space="0" w:color="auto"/>
              <w:right w:val="single" w:sz="4" w:space="0" w:color="auto"/>
            </w:tcBorders>
          </w:tcPr>
          <w:p w14:paraId="7868D5D8" w14:textId="77777777" w:rsidR="002668A9" w:rsidRPr="002668A9" w:rsidRDefault="002668A9" w:rsidP="002668A9">
            <w:pPr>
              <w:rPr>
                <w:rFonts w:cs="Arial"/>
                <w:sz w:val="20"/>
                <w:szCs w:val="20"/>
              </w:rPr>
            </w:pPr>
          </w:p>
        </w:tc>
        <w:tc>
          <w:tcPr>
            <w:tcW w:w="2008"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E0A7EB" w14:textId="77777777" w:rsidR="002668A9" w:rsidRPr="002668A9" w:rsidRDefault="002668A9" w:rsidP="002668A9">
            <w:pPr>
              <w:rPr>
                <w:rFonts w:cs="Arial"/>
                <w:sz w:val="20"/>
                <w:szCs w:val="20"/>
              </w:rPr>
            </w:pPr>
          </w:p>
        </w:tc>
      </w:tr>
      <w:tr w:rsidR="002668A9" w:rsidRPr="002668A9" w14:paraId="6DA012E6" w14:textId="77777777" w:rsidTr="00C36741">
        <w:trPr>
          <w:trHeight w:val="464"/>
        </w:trPr>
        <w:tc>
          <w:tcPr>
            <w:tcW w:w="786" w:type="pct"/>
            <w:vMerge w:val="restart"/>
            <w:tcBorders>
              <w:top w:val="single" w:sz="4" w:space="0" w:color="auto"/>
              <w:left w:val="single" w:sz="4" w:space="0" w:color="auto"/>
              <w:right w:val="single" w:sz="4" w:space="0" w:color="auto"/>
            </w:tcBorders>
            <w:shd w:val="clear" w:color="auto" w:fill="auto"/>
          </w:tcPr>
          <w:p w14:paraId="6BF5A752" w14:textId="77777777" w:rsidR="002668A9" w:rsidRPr="002668A9" w:rsidRDefault="002668A9" w:rsidP="002668A9">
            <w:pPr>
              <w:rPr>
                <w:rFonts w:cs="Arial"/>
                <w:sz w:val="20"/>
                <w:szCs w:val="20"/>
              </w:rPr>
            </w:pPr>
            <w:r w:rsidRPr="002668A9">
              <w:rPr>
                <w:rFonts w:cs="Arial"/>
                <w:sz w:val="20"/>
                <w:szCs w:val="20"/>
              </w:rPr>
              <w:t>Use of PFAS management plans to authorise soil reuse</w:t>
            </w:r>
          </w:p>
        </w:tc>
        <w:tc>
          <w:tcPr>
            <w:tcW w:w="1285" w:type="pct"/>
            <w:vMerge w:val="restart"/>
            <w:tcBorders>
              <w:top w:val="single" w:sz="4" w:space="0" w:color="auto"/>
              <w:left w:val="single" w:sz="4" w:space="0" w:color="auto"/>
              <w:right w:val="single" w:sz="4" w:space="0" w:color="auto"/>
            </w:tcBorders>
          </w:tcPr>
          <w:p w14:paraId="4A20DD77" w14:textId="77777777" w:rsidR="002668A9" w:rsidRPr="002668A9" w:rsidRDefault="002668A9" w:rsidP="002668A9">
            <w:pPr>
              <w:rPr>
                <w:rFonts w:cs="Arial"/>
                <w:sz w:val="20"/>
                <w:szCs w:val="20"/>
              </w:rPr>
            </w:pPr>
            <w:r w:rsidRPr="002668A9">
              <w:rPr>
                <w:rFonts w:cs="Arial"/>
                <w:sz w:val="20"/>
                <w:szCs w:val="20"/>
              </w:rPr>
              <w:t>Stakeholders with potentially ongoing soil reuse requirements (e.g. airports) expressed the view that being expected to refer every excavation and reuse scenario to their regulator would be unreasonable.</w:t>
            </w:r>
          </w:p>
        </w:tc>
        <w:tc>
          <w:tcPr>
            <w:tcW w:w="921" w:type="pct"/>
            <w:vMerge w:val="restart"/>
            <w:tcBorders>
              <w:top w:val="single" w:sz="4" w:space="0" w:color="auto"/>
              <w:left w:val="single" w:sz="4" w:space="0" w:color="auto"/>
              <w:right w:val="single" w:sz="4" w:space="0" w:color="auto"/>
            </w:tcBorders>
          </w:tcPr>
          <w:p w14:paraId="69DCEEA0" w14:textId="330518F2" w:rsidR="002668A9" w:rsidRPr="002668A9" w:rsidRDefault="00CA213E" w:rsidP="002668A9">
            <w:pPr>
              <w:rPr>
                <w:rFonts w:cs="Arial"/>
                <w:sz w:val="20"/>
                <w:szCs w:val="20"/>
              </w:rPr>
            </w:pPr>
            <w:r>
              <w:rPr>
                <w:rFonts w:cs="Arial"/>
                <w:sz w:val="20"/>
                <w:szCs w:val="20"/>
              </w:rPr>
              <w:t>Brisbane Airport Corporation</w:t>
            </w:r>
          </w:p>
        </w:tc>
        <w:tc>
          <w:tcPr>
            <w:tcW w:w="2008"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BBB6C81" w14:textId="77777777" w:rsidR="002668A9" w:rsidRPr="002668A9" w:rsidRDefault="002668A9" w:rsidP="002668A9">
            <w:pPr>
              <w:rPr>
                <w:rFonts w:cs="Arial"/>
                <w:sz w:val="20"/>
                <w:szCs w:val="20"/>
              </w:rPr>
            </w:pPr>
            <w:r w:rsidRPr="002668A9">
              <w:rPr>
                <w:rFonts w:cs="Arial"/>
                <w:sz w:val="20"/>
                <w:szCs w:val="20"/>
              </w:rPr>
              <w:t xml:space="preserve">Note that relevant regulators expect to be consulted regarding any proposals for reuse, and that the decision tree will guide assessment, by both proponents and regulators, of all reuse proposals. </w:t>
            </w:r>
          </w:p>
          <w:p w14:paraId="403E7EC9" w14:textId="4DE091F8" w:rsidR="002668A9" w:rsidRPr="002668A9" w:rsidRDefault="002668A9" w:rsidP="002668A9">
            <w:pPr>
              <w:rPr>
                <w:rFonts w:cs="Arial"/>
                <w:sz w:val="20"/>
                <w:szCs w:val="20"/>
              </w:rPr>
            </w:pPr>
            <w:r w:rsidRPr="002668A9">
              <w:rPr>
                <w:rFonts w:cs="Arial"/>
                <w:sz w:val="20"/>
                <w:szCs w:val="20"/>
              </w:rPr>
              <w:t>However, options providing for the development and use of holistic PFAS management plans for large sites</w:t>
            </w:r>
            <w:r w:rsidR="00B434C7">
              <w:rPr>
                <w:rFonts w:cs="Arial"/>
                <w:sz w:val="20"/>
                <w:szCs w:val="20"/>
              </w:rPr>
              <w:t>/precincts</w:t>
            </w:r>
            <w:r w:rsidRPr="002668A9">
              <w:rPr>
                <w:rFonts w:cs="Arial"/>
                <w:sz w:val="20"/>
                <w:szCs w:val="20"/>
              </w:rPr>
              <w:t xml:space="preserve"> or large organisations have been included in a text box in the decision tree and a paragraph in Section 12.1.1.</w:t>
            </w:r>
          </w:p>
          <w:p w14:paraId="3892AA67" w14:textId="77777777" w:rsidR="002668A9" w:rsidRPr="002668A9" w:rsidRDefault="002668A9" w:rsidP="002668A9">
            <w:pPr>
              <w:rPr>
                <w:rFonts w:cs="Arial"/>
                <w:sz w:val="20"/>
                <w:szCs w:val="20"/>
              </w:rPr>
            </w:pPr>
            <w:r w:rsidRPr="002668A9">
              <w:rPr>
                <w:rFonts w:cs="Arial"/>
                <w:sz w:val="20"/>
                <w:szCs w:val="20"/>
              </w:rPr>
              <w:t>The development of agreed 'uncontaminated soil' criteria or minimum intervention criteria remains an aim for future PFAS NEMP work (theme 4). Note also that ongoing investigations of ambient concentrations around Australia are expected to assist with this.</w:t>
            </w:r>
          </w:p>
        </w:tc>
      </w:tr>
      <w:tr w:rsidR="002668A9" w:rsidRPr="002668A9" w14:paraId="24658191" w14:textId="77777777" w:rsidTr="00C36741">
        <w:trPr>
          <w:trHeight w:val="504"/>
        </w:trPr>
        <w:tc>
          <w:tcPr>
            <w:tcW w:w="786" w:type="pct"/>
            <w:vMerge/>
            <w:tcBorders>
              <w:left w:val="single" w:sz="4" w:space="0" w:color="auto"/>
              <w:right w:val="single" w:sz="4" w:space="0" w:color="auto"/>
            </w:tcBorders>
            <w:shd w:val="clear" w:color="auto" w:fill="auto"/>
          </w:tcPr>
          <w:p w14:paraId="3101E775"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31194E8B"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32E6F893"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61DADD37" w14:textId="77777777" w:rsidR="002668A9" w:rsidRPr="002668A9" w:rsidRDefault="002668A9" w:rsidP="002668A9">
            <w:pPr>
              <w:rPr>
                <w:rFonts w:cs="Arial"/>
                <w:sz w:val="20"/>
                <w:szCs w:val="20"/>
              </w:rPr>
            </w:pPr>
          </w:p>
        </w:tc>
      </w:tr>
      <w:tr w:rsidR="002668A9" w:rsidRPr="002668A9" w14:paraId="399D0589" w14:textId="77777777" w:rsidTr="00C36741">
        <w:trPr>
          <w:trHeight w:val="504"/>
        </w:trPr>
        <w:tc>
          <w:tcPr>
            <w:tcW w:w="786" w:type="pct"/>
            <w:vMerge/>
            <w:tcBorders>
              <w:left w:val="single" w:sz="4" w:space="0" w:color="auto"/>
              <w:right w:val="single" w:sz="4" w:space="0" w:color="auto"/>
            </w:tcBorders>
            <w:shd w:val="clear" w:color="auto" w:fill="auto"/>
          </w:tcPr>
          <w:p w14:paraId="65285172"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56C95DFA"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06271851"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24DC7C65" w14:textId="77777777" w:rsidR="002668A9" w:rsidRPr="002668A9" w:rsidRDefault="002668A9" w:rsidP="002668A9">
            <w:pPr>
              <w:rPr>
                <w:rFonts w:cs="Arial"/>
                <w:sz w:val="20"/>
                <w:szCs w:val="20"/>
              </w:rPr>
            </w:pPr>
          </w:p>
        </w:tc>
      </w:tr>
      <w:tr w:rsidR="002668A9" w:rsidRPr="002668A9" w14:paraId="0A7646A8" w14:textId="77777777" w:rsidTr="00EE256A">
        <w:trPr>
          <w:trHeight w:val="504"/>
        </w:trPr>
        <w:tc>
          <w:tcPr>
            <w:tcW w:w="786" w:type="pct"/>
            <w:vMerge/>
            <w:tcBorders>
              <w:left w:val="single" w:sz="4" w:space="0" w:color="auto"/>
              <w:bottom w:val="single" w:sz="4" w:space="0" w:color="auto"/>
              <w:right w:val="single" w:sz="4" w:space="0" w:color="auto"/>
            </w:tcBorders>
            <w:shd w:val="clear" w:color="auto" w:fill="auto"/>
          </w:tcPr>
          <w:p w14:paraId="57EA2040" w14:textId="77777777" w:rsidR="002668A9" w:rsidRPr="002668A9" w:rsidRDefault="002668A9" w:rsidP="002668A9">
            <w:pPr>
              <w:rPr>
                <w:rFonts w:cs="Arial"/>
                <w:sz w:val="20"/>
                <w:szCs w:val="20"/>
              </w:rPr>
            </w:pPr>
          </w:p>
        </w:tc>
        <w:tc>
          <w:tcPr>
            <w:tcW w:w="1285" w:type="pct"/>
            <w:vMerge/>
            <w:tcBorders>
              <w:left w:val="single" w:sz="4" w:space="0" w:color="auto"/>
              <w:bottom w:val="single" w:sz="4" w:space="0" w:color="auto"/>
              <w:right w:val="single" w:sz="4" w:space="0" w:color="auto"/>
            </w:tcBorders>
          </w:tcPr>
          <w:p w14:paraId="4BE41C07" w14:textId="77777777" w:rsidR="002668A9" w:rsidRPr="002668A9" w:rsidRDefault="002668A9" w:rsidP="002668A9">
            <w:pPr>
              <w:rPr>
                <w:rFonts w:cs="Arial"/>
                <w:sz w:val="20"/>
                <w:szCs w:val="20"/>
              </w:rPr>
            </w:pPr>
          </w:p>
        </w:tc>
        <w:tc>
          <w:tcPr>
            <w:tcW w:w="921" w:type="pct"/>
            <w:vMerge/>
            <w:tcBorders>
              <w:left w:val="single" w:sz="4" w:space="0" w:color="auto"/>
              <w:bottom w:val="single" w:sz="4" w:space="0" w:color="auto"/>
              <w:right w:val="single" w:sz="4" w:space="0" w:color="auto"/>
            </w:tcBorders>
          </w:tcPr>
          <w:p w14:paraId="09141E26" w14:textId="77777777" w:rsidR="002668A9" w:rsidRPr="002668A9" w:rsidRDefault="002668A9" w:rsidP="002668A9">
            <w:pPr>
              <w:rPr>
                <w:rFonts w:cs="Arial"/>
                <w:sz w:val="20"/>
                <w:szCs w:val="20"/>
              </w:rPr>
            </w:pPr>
          </w:p>
        </w:tc>
        <w:tc>
          <w:tcPr>
            <w:tcW w:w="2008"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556F8" w14:textId="77777777" w:rsidR="002668A9" w:rsidRPr="002668A9" w:rsidRDefault="002668A9" w:rsidP="002668A9">
            <w:pPr>
              <w:rPr>
                <w:rFonts w:cs="Arial"/>
                <w:sz w:val="20"/>
                <w:szCs w:val="20"/>
              </w:rPr>
            </w:pPr>
          </w:p>
        </w:tc>
      </w:tr>
      <w:tr w:rsidR="002668A9" w:rsidRPr="002668A9" w14:paraId="6B5AC509" w14:textId="77777777" w:rsidTr="00EE256A">
        <w:trPr>
          <w:trHeight w:val="464"/>
        </w:trPr>
        <w:tc>
          <w:tcPr>
            <w:tcW w:w="786" w:type="pct"/>
            <w:vMerge w:val="restart"/>
            <w:tcBorders>
              <w:top w:val="single" w:sz="4" w:space="0" w:color="auto"/>
              <w:left w:val="single" w:sz="4" w:space="0" w:color="auto"/>
              <w:bottom w:val="nil"/>
              <w:right w:val="single" w:sz="4" w:space="0" w:color="auto"/>
            </w:tcBorders>
            <w:shd w:val="clear" w:color="auto" w:fill="auto"/>
          </w:tcPr>
          <w:p w14:paraId="76815758" w14:textId="77777777" w:rsidR="002668A9" w:rsidRPr="002668A9" w:rsidRDefault="002668A9" w:rsidP="002668A9">
            <w:pPr>
              <w:rPr>
                <w:rFonts w:cs="Arial"/>
                <w:sz w:val="20"/>
                <w:szCs w:val="20"/>
              </w:rPr>
            </w:pPr>
            <w:r w:rsidRPr="002668A9">
              <w:rPr>
                <w:rFonts w:cs="Arial"/>
                <w:sz w:val="20"/>
                <w:szCs w:val="20"/>
              </w:rPr>
              <w:t>Risk acceptability</w:t>
            </w:r>
          </w:p>
        </w:tc>
        <w:tc>
          <w:tcPr>
            <w:tcW w:w="1285" w:type="pct"/>
            <w:vMerge w:val="restart"/>
            <w:tcBorders>
              <w:top w:val="single" w:sz="4" w:space="0" w:color="auto"/>
              <w:left w:val="single" w:sz="4" w:space="0" w:color="auto"/>
              <w:bottom w:val="nil"/>
              <w:right w:val="single" w:sz="4" w:space="0" w:color="auto"/>
            </w:tcBorders>
          </w:tcPr>
          <w:p w14:paraId="5B00D3A3" w14:textId="5AABC21A" w:rsidR="002668A9" w:rsidRPr="002668A9" w:rsidRDefault="00CA213E" w:rsidP="002668A9">
            <w:pPr>
              <w:rPr>
                <w:rFonts w:cs="Arial"/>
                <w:sz w:val="20"/>
                <w:szCs w:val="20"/>
              </w:rPr>
            </w:pPr>
            <w:r>
              <w:rPr>
                <w:rFonts w:cs="Arial"/>
                <w:sz w:val="20"/>
                <w:szCs w:val="20"/>
              </w:rPr>
              <w:t xml:space="preserve">Comments </w:t>
            </w:r>
            <w:r w:rsidR="002668A9" w:rsidRPr="002668A9">
              <w:rPr>
                <w:rFonts w:cs="Arial"/>
                <w:sz w:val="20"/>
                <w:szCs w:val="20"/>
              </w:rPr>
              <w:t>on risk acceptability from different perspectives.</w:t>
            </w:r>
            <w:r w:rsidR="002668A9" w:rsidRPr="002668A9">
              <w:rPr>
                <w:rFonts w:cs="Arial"/>
                <w:sz w:val="20"/>
                <w:szCs w:val="20"/>
              </w:rPr>
              <w:tab/>
            </w:r>
          </w:p>
        </w:tc>
        <w:tc>
          <w:tcPr>
            <w:tcW w:w="921" w:type="pct"/>
            <w:vMerge w:val="restart"/>
            <w:tcBorders>
              <w:top w:val="single" w:sz="4" w:space="0" w:color="auto"/>
              <w:left w:val="single" w:sz="4" w:space="0" w:color="auto"/>
              <w:bottom w:val="nil"/>
              <w:right w:val="single" w:sz="4" w:space="0" w:color="auto"/>
            </w:tcBorders>
          </w:tcPr>
          <w:p w14:paraId="791D328E" w14:textId="77777777" w:rsidR="00CA213E" w:rsidRPr="002668A9" w:rsidRDefault="00CA213E" w:rsidP="002668A9">
            <w:pPr>
              <w:rPr>
                <w:rFonts w:cs="Arial"/>
                <w:sz w:val="20"/>
                <w:szCs w:val="20"/>
              </w:rPr>
            </w:pPr>
            <w:r>
              <w:rPr>
                <w:rFonts w:cs="Arial"/>
                <w:sz w:val="20"/>
                <w:szCs w:val="20"/>
              </w:rPr>
              <w:t>Australasian Land and Groundwater Association – submission 1</w:t>
            </w:r>
          </w:p>
          <w:p w14:paraId="702973A9" w14:textId="42FA41A7" w:rsidR="00CA213E" w:rsidRDefault="00406A71" w:rsidP="002668A9">
            <w:pPr>
              <w:rPr>
                <w:rFonts w:cs="Arial"/>
                <w:sz w:val="20"/>
                <w:szCs w:val="20"/>
              </w:rPr>
            </w:pPr>
            <w:r>
              <w:rPr>
                <w:rFonts w:cs="Arial"/>
                <w:sz w:val="20"/>
                <w:szCs w:val="20"/>
              </w:rPr>
              <w:t>NSW EPA - Hazardous Materials Unit</w:t>
            </w:r>
          </w:p>
          <w:p w14:paraId="35DEFA60" w14:textId="014700D3" w:rsidR="002668A9" w:rsidRPr="002668A9" w:rsidRDefault="00CA213E" w:rsidP="002668A9">
            <w:pPr>
              <w:rPr>
                <w:rFonts w:cs="Arial"/>
                <w:sz w:val="20"/>
                <w:szCs w:val="20"/>
              </w:rPr>
            </w:pPr>
            <w:r>
              <w:rPr>
                <w:rFonts w:cs="Arial"/>
                <w:sz w:val="20"/>
                <w:szCs w:val="20"/>
              </w:rPr>
              <w:t>Queensland Airports Ltd</w:t>
            </w:r>
          </w:p>
        </w:tc>
        <w:tc>
          <w:tcPr>
            <w:tcW w:w="2008" w:type="pct"/>
            <w:vMerge w:val="restart"/>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14:paraId="4637F264" w14:textId="5C0DCC88" w:rsidR="002668A9" w:rsidRPr="002668A9" w:rsidRDefault="002668A9" w:rsidP="00B434C7">
            <w:pPr>
              <w:rPr>
                <w:rFonts w:cs="Arial"/>
                <w:sz w:val="20"/>
                <w:szCs w:val="20"/>
              </w:rPr>
            </w:pPr>
            <w:r w:rsidRPr="002668A9">
              <w:rPr>
                <w:rFonts w:cs="Arial"/>
                <w:sz w:val="20"/>
                <w:szCs w:val="20"/>
              </w:rPr>
              <w:t>Assessment of soil reuse in the PFAS NEMP</w:t>
            </w:r>
            <w:r w:rsidR="00A855C2">
              <w:rPr>
                <w:rFonts w:cs="Arial"/>
                <w:sz w:val="20"/>
                <w:szCs w:val="20"/>
              </w:rPr>
              <w:t xml:space="preserve"> 2.0</w:t>
            </w:r>
            <w:r w:rsidRPr="002668A9">
              <w:rPr>
                <w:rFonts w:cs="Arial"/>
                <w:sz w:val="20"/>
                <w:szCs w:val="20"/>
              </w:rPr>
              <w:t xml:space="preserve"> is based on the principle</w:t>
            </w:r>
            <w:r w:rsidR="00E161D9">
              <w:rPr>
                <w:rFonts w:cs="Arial"/>
                <w:sz w:val="20"/>
                <w:szCs w:val="20"/>
              </w:rPr>
              <w:t>s</w:t>
            </w:r>
            <w:r w:rsidRPr="002668A9">
              <w:rPr>
                <w:rFonts w:cs="Arial"/>
                <w:sz w:val="20"/>
                <w:szCs w:val="20"/>
              </w:rPr>
              <w:t xml:space="preserve"> that </w:t>
            </w:r>
            <w:r w:rsidR="00E161D9" w:rsidRPr="00E161D9">
              <w:rPr>
                <w:rFonts w:cs="Arial"/>
                <w:sz w:val="20"/>
                <w:szCs w:val="20"/>
              </w:rPr>
              <w:t>reuse must not lead to an unacceptable risk to human health and/or the environment, or an</w:t>
            </w:r>
            <w:r w:rsidRPr="002668A9">
              <w:rPr>
                <w:rFonts w:cs="Arial"/>
                <w:sz w:val="20"/>
                <w:szCs w:val="20"/>
              </w:rPr>
              <w:t xml:space="preserve"> increase in </w:t>
            </w:r>
            <w:r w:rsidR="00E161D9" w:rsidRPr="00E161D9">
              <w:rPr>
                <w:rFonts w:cs="Arial"/>
                <w:sz w:val="20"/>
                <w:szCs w:val="20"/>
              </w:rPr>
              <w:t xml:space="preserve">the level of risk at or near the location in which it </w:t>
            </w:r>
            <w:r w:rsidRPr="002668A9">
              <w:rPr>
                <w:rFonts w:cs="Arial"/>
                <w:sz w:val="20"/>
                <w:szCs w:val="20"/>
              </w:rPr>
              <w:t xml:space="preserve">is </w:t>
            </w:r>
            <w:r w:rsidR="00E161D9" w:rsidRPr="00E161D9">
              <w:rPr>
                <w:rFonts w:cs="Arial"/>
                <w:sz w:val="20"/>
                <w:szCs w:val="20"/>
              </w:rPr>
              <w:t>used</w:t>
            </w:r>
            <w:r w:rsidR="00B434C7">
              <w:rPr>
                <w:rFonts w:cs="Arial"/>
                <w:sz w:val="20"/>
                <w:szCs w:val="20"/>
              </w:rPr>
              <w:t>, noting however that decisions on acceptability may be made on a case by case basis with the regulator.</w:t>
            </w:r>
            <w:r w:rsidRPr="002668A9">
              <w:rPr>
                <w:rFonts w:cs="Arial"/>
                <w:sz w:val="20"/>
                <w:szCs w:val="20"/>
              </w:rPr>
              <w:t xml:space="preserve"> In relation to risk, the terms 'acceptable' or 'unacceptable' have been selected in preference to 'insignificant' or 'significant'. </w:t>
            </w:r>
          </w:p>
        </w:tc>
      </w:tr>
      <w:tr w:rsidR="002668A9" w:rsidRPr="002668A9" w14:paraId="52FCBDEF" w14:textId="77777777" w:rsidTr="00EE256A">
        <w:trPr>
          <w:trHeight w:val="504"/>
        </w:trPr>
        <w:tc>
          <w:tcPr>
            <w:tcW w:w="786" w:type="pct"/>
            <w:vMerge/>
            <w:tcBorders>
              <w:top w:val="single" w:sz="4" w:space="0" w:color="auto"/>
              <w:left w:val="single" w:sz="4" w:space="0" w:color="auto"/>
              <w:bottom w:val="nil"/>
              <w:right w:val="single" w:sz="4" w:space="0" w:color="auto"/>
            </w:tcBorders>
            <w:shd w:val="clear" w:color="auto" w:fill="auto"/>
          </w:tcPr>
          <w:p w14:paraId="1445DAE4" w14:textId="77777777" w:rsidR="002668A9" w:rsidRPr="002668A9" w:rsidRDefault="002668A9" w:rsidP="002668A9">
            <w:pPr>
              <w:rPr>
                <w:rFonts w:cs="Arial"/>
                <w:sz w:val="20"/>
                <w:szCs w:val="20"/>
              </w:rPr>
            </w:pPr>
          </w:p>
        </w:tc>
        <w:tc>
          <w:tcPr>
            <w:tcW w:w="1285" w:type="pct"/>
            <w:vMerge/>
            <w:tcBorders>
              <w:top w:val="single" w:sz="4" w:space="0" w:color="auto"/>
              <w:left w:val="single" w:sz="4" w:space="0" w:color="auto"/>
              <w:bottom w:val="nil"/>
              <w:right w:val="single" w:sz="4" w:space="0" w:color="auto"/>
            </w:tcBorders>
          </w:tcPr>
          <w:p w14:paraId="56EB109A" w14:textId="77777777" w:rsidR="002668A9" w:rsidRPr="002668A9" w:rsidRDefault="002668A9" w:rsidP="002668A9">
            <w:pPr>
              <w:rPr>
                <w:rFonts w:cs="Arial"/>
                <w:sz w:val="20"/>
                <w:szCs w:val="20"/>
              </w:rPr>
            </w:pPr>
          </w:p>
        </w:tc>
        <w:tc>
          <w:tcPr>
            <w:tcW w:w="921" w:type="pct"/>
            <w:vMerge/>
            <w:tcBorders>
              <w:top w:val="single" w:sz="4" w:space="0" w:color="auto"/>
              <w:left w:val="single" w:sz="4" w:space="0" w:color="auto"/>
              <w:bottom w:val="nil"/>
              <w:right w:val="single" w:sz="4" w:space="0" w:color="auto"/>
            </w:tcBorders>
          </w:tcPr>
          <w:p w14:paraId="12E8D17E" w14:textId="77777777" w:rsidR="002668A9" w:rsidRPr="002668A9" w:rsidRDefault="002668A9" w:rsidP="002668A9">
            <w:pPr>
              <w:rPr>
                <w:rFonts w:cs="Arial"/>
                <w:sz w:val="20"/>
                <w:szCs w:val="20"/>
              </w:rPr>
            </w:pPr>
          </w:p>
        </w:tc>
        <w:tc>
          <w:tcPr>
            <w:tcW w:w="2008" w:type="pct"/>
            <w:vMerge/>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14:paraId="08B997AF" w14:textId="77777777" w:rsidR="002668A9" w:rsidRPr="002668A9" w:rsidRDefault="002668A9" w:rsidP="002668A9">
            <w:pPr>
              <w:rPr>
                <w:rFonts w:cs="Arial"/>
                <w:sz w:val="20"/>
                <w:szCs w:val="20"/>
              </w:rPr>
            </w:pPr>
          </w:p>
        </w:tc>
      </w:tr>
      <w:tr w:rsidR="002668A9" w:rsidRPr="002668A9" w14:paraId="7A23368D" w14:textId="77777777" w:rsidTr="00EE256A">
        <w:trPr>
          <w:trHeight w:val="464"/>
        </w:trPr>
        <w:tc>
          <w:tcPr>
            <w:tcW w:w="786" w:type="pct"/>
            <w:vMerge w:val="restart"/>
            <w:tcBorders>
              <w:top w:val="nil"/>
              <w:left w:val="single" w:sz="4" w:space="0" w:color="auto"/>
              <w:right w:val="single" w:sz="4" w:space="0" w:color="auto"/>
            </w:tcBorders>
            <w:shd w:val="clear" w:color="auto" w:fill="auto"/>
          </w:tcPr>
          <w:p w14:paraId="450F5DDA" w14:textId="77777777" w:rsidR="002668A9" w:rsidRPr="002668A9" w:rsidRDefault="002668A9" w:rsidP="002668A9">
            <w:pPr>
              <w:rPr>
                <w:rFonts w:cs="Arial"/>
                <w:sz w:val="20"/>
                <w:szCs w:val="20"/>
              </w:rPr>
            </w:pPr>
            <w:r w:rsidRPr="002668A9">
              <w:rPr>
                <w:rFonts w:cs="Arial"/>
                <w:sz w:val="20"/>
                <w:szCs w:val="20"/>
              </w:rPr>
              <w:t>Reuse with a detailed risk assessment</w:t>
            </w:r>
          </w:p>
        </w:tc>
        <w:tc>
          <w:tcPr>
            <w:tcW w:w="1285" w:type="pct"/>
            <w:vMerge w:val="restart"/>
            <w:tcBorders>
              <w:top w:val="nil"/>
              <w:left w:val="single" w:sz="4" w:space="0" w:color="auto"/>
              <w:right w:val="single" w:sz="4" w:space="0" w:color="auto"/>
            </w:tcBorders>
          </w:tcPr>
          <w:p w14:paraId="799060D7" w14:textId="77777777" w:rsidR="002668A9" w:rsidRPr="002668A9" w:rsidRDefault="002668A9" w:rsidP="002668A9">
            <w:pPr>
              <w:rPr>
                <w:rFonts w:cs="Arial"/>
                <w:sz w:val="20"/>
                <w:szCs w:val="20"/>
              </w:rPr>
            </w:pPr>
            <w:r w:rsidRPr="002668A9">
              <w:rPr>
                <w:rFonts w:cs="Arial"/>
                <w:sz w:val="20"/>
                <w:szCs w:val="20"/>
              </w:rPr>
              <w:t>Comments on Chapter 12.2 reuse with a detailed risk assessment including clarity around when reuse can occur and the rationale behind the requirements to consult a regulator where re-use situations may include exposure pathways to potentially sensitive receptors.</w:t>
            </w:r>
          </w:p>
        </w:tc>
        <w:tc>
          <w:tcPr>
            <w:tcW w:w="921" w:type="pct"/>
            <w:vMerge w:val="restart"/>
            <w:tcBorders>
              <w:top w:val="nil"/>
              <w:left w:val="single" w:sz="4" w:space="0" w:color="auto"/>
              <w:right w:val="single" w:sz="4" w:space="0" w:color="auto"/>
            </w:tcBorders>
          </w:tcPr>
          <w:p w14:paraId="69B41E75" w14:textId="77777777" w:rsidR="006B3A71" w:rsidRDefault="006B3A71" w:rsidP="002668A9">
            <w:pPr>
              <w:rPr>
                <w:rFonts w:cs="Arial"/>
                <w:sz w:val="20"/>
                <w:szCs w:val="20"/>
              </w:rPr>
            </w:pPr>
            <w:r>
              <w:rPr>
                <w:rFonts w:cs="Arial"/>
                <w:sz w:val="20"/>
                <w:szCs w:val="20"/>
              </w:rPr>
              <w:t>Australasian Land and Groundwater Association – submission 1</w:t>
            </w:r>
          </w:p>
          <w:p w14:paraId="567F4992" w14:textId="45730C85" w:rsidR="002668A9" w:rsidRPr="002668A9" w:rsidRDefault="00CA213E" w:rsidP="002668A9">
            <w:pPr>
              <w:rPr>
                <w:rFonts w:cs="Arial"/>
                <w:sz w:val="20"/>
                <w:szCs w:val="20"/>
              </w:rPr>
            </w:pPr>
            <w:r>
              <w:rPr>
                <w:rFonts w:cs="Arial"/>
                <w:sz w:val="20"/>
                <w:szCs w:val="20"/>
              </w:rPr>
              <w:t>Queensland Airports Ltd</w:t>
            </w:r>
          </w:p>
        </w:tc>
        <w:tc>
          <w:tcPr>
            <w:tcW w:w="2008" w:type="pct"/>
            <w:vMerge w:val="restart"/>
            <w:tcBorders>
              <w:top w:val="nil"/>
              <w:left w:val="single" w:sz="4" w:space="0" w:color="auto"/>
              <w:right w:val="single" w:sz="4" w:space="0" w:color="auto"/>
            </w:tcBorders>
            <w:shd w:val="clear" w:color="auto" w:fill="auto"/>
            <w:tcMar>
              <w:top w:w="0" w:type="dxa"/>
              <w:left w:w="108" w:type="dxa"/>
              <w:bottom w:w="0" w:type="dxa"/>
              <w:right w:w="108" w:type="dxa"/>
            </w:tcMar>
          </w:tcPr>
          <w:p w14:paraId="6C364C8A" w14:textId="77777777" w:rsidR="002668A9" w:rsidRPr="002668A9" w:rsidRDefault="002668A9" w:rsidP="002668A9">
            <w:pPr>
              <w:rPr>
                <w:rFonts w:cs="Arial"/>
                <w:sz w:val="20"/>
                <w:szCs w:val="20"/>
              </w:rPr>
            </w:pPr>
            <w:r w:rsidRPr="002668A9">
              <w:rPr>
                <w:rFonts w:cs="Arial"/>
                <w:sz w:val="20"/>
                <w:szCs w:val="20"/>
              </w:rPr>
              <w:t>The dot-point items listed under 'Reuse requiring consultation with the environmental regulator' are intended to identify scenarios that may pose a risk, and that may require more detailed consideration. Reuse in these situations is not ruled out, but it is noted that such proposal may require additional management measures to be implemented at the destination site. The separation distances listed in the dot points are intended to be approximate, but are considered appropriate as triggers for specific consultation with the regulator to ensure assessment and/or management strategies are considered.</w:t>
            </w:r>
          </w:p>
        </w:tc>
      </w:tr>
      <w:tr w:rsidR="002668A9" w:rsidRPr="002668A9" w14:paraId="178B16E5" w14:textId="77777777" w:rsidTr="00C36741">
        <w:trPr>
          <w:trHeight w:val="464"/>
        </w:trPr>
        <w:tc>
          <w:tcPr>
            <w:tcW w:w="786" w:type="pct"/>
            <w:vMerge/>
            <w:tcBorders>
              <w:top w:val="single" w:sz="4" w:space="0" w:color="auto"/>
              <w:left w:val="single" w:sz="4" w:space="0" w:color="auto"/>
              <w:right w:val="single" w:sz="4" w:space="0" w:color="auto"/>
            </w:tcBorders>
            <w:shd w:val="clear" w:color="auto" w:fill="auto"/>
          </w:tcPr>
          <w:p w14:paraId="33F0B922" w14:textId="77777777" w:rsidR="002668A9" w:rsidRPr="002668A9" w:rsidRDefault="002668A9" w:rsidP="002668A9">
            <w:pPr>
              <w:rPr>
                <w:rFonts w:cs="Arial"/>
                <w:sz w:val="20"/>
                <w:szCs w:val="20"/>
              </w:rPr>
            </w:pPr>
          </w:p>
        </w:tc>
        <w:tc>
          <w:tcPr>
            <w:tcW w:w="1285" w:type="pct"/>
            <w:vMerge/>
            <w:tcBorders>
              <w:top w:val="single" w:sz="4" w:space="0" w:color="auto"/>
              <w:left w:val="single" w:sz="4" w:space="0" w:color="auto"/>
              <w:right w:val="single" w:sz="4" w:space="0" w:color="auto"/>
            </w:tcBorders>
          </w:tcPr>
          <w:p w14:paraId="34FB1535" w14:textId="77777777" w:rsidR="002668A9" w:rsidRPr="002668A9" w:rsidRDefault="002668A9" w:rsidP="002668A9">
            <w:pPr>
              <w:rPr>
                <w:rFonts w:cs="Arial"/>
                <w:sz w:val="20"/>
                <w:szCs w:val="20"/>
              </w:rPr>
            </w:pPr>
          </w:p>
        </w:tc>
        <w:tc>
          <w:tcPr>
            <w:tcW w:w="921" w:type="pct"/>
            <w:vMerge/>
            <w:tcBorders>
              <w:top w:val="single" w:sz="4" w:space="0" w:color="auto"/>
              <w:left w:val="single" w:sz="4" w:space="0" w:color="auto"/>
              <w:right w:val="single" w:sz="4" w:space="0" w:color="auto"/>
            </w:tcBorders>
          </w:tcPr>
          <w:p w14:paraId="1F697383" w14:textId="77777777" w:rsidR="002668A9" w:rsidRPr="002668A9" w:rsidRDefault="002668A9" w:rsidP="002668A9">
            <w:pPr>
              <w:rPr>
                <w:rFonts w:cs="Arial"/>
                <w:sz w:val="20"/>
                <w:szCs w:val="20"/>
              </w:rPr>
            </w:pPr>
          </w:p>
        </w:tc>
        <w:tc>
          <w:tcPr>
            <w:tcW w:w="2008" w:type="pct"/>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B813997" w14:textId="77777777" w:rsidR="002668A9" w:rsidRPr="002668A9" w:rsidRDefault="002668A9" w:rsidP="002668A9">
            <w:pPr>
              <w:rPr>
                <w:rFonts w:cs="Arial"/>
                <w:sz w:val="20"/>
                <w:szCs w:val="20"/>
              </w:rPr>
            </w:pPr>
          </w:p>
        </w:tc>
      </w:tr>
      <w:tr w:rsidR="002668A9" w:rsidRPr="002668A9" w14:paraId="610152C3" w14:textId="77777777" w:rsidTr="00C36741">
        <w:trPr>
          <w:trHeight w:val="464"/>
        </w:trPr>
        <w:tc>
          <w:tcPr>
            <w:tcW w:w="786" w:type="pct"/>
            <w:vMerge/>
            <w:tcBorders>
              <w:top w:val="single" w:sz="4" w:space="0" w:color="auto"/>
              <w:left w:val="single" w:sz="4" w:space="0" w:color="auto"/>
              <w:right w:val="single" w:sz="4" w:space="0" w:color="auto"/>
            </w:tcBorders>
            <w:shd w:val="clear" w:color="auto" w:fill="auto"/>
          </w:tcPr>
          <w:p w14:paraId="4DFA1C24" w14:textId="77777777" w:rsidR="002668A9" w:rsidRPr="002668A9" w:rsidRDefault="002668A9" w:rsidP="002668A9">
            <w:pPr>
              <w:rPr>
                <w:rFonts w:cs="Arial"/>
                <w:sz w:val="20"/>
                <w:szCs w:val="20"/>
              </w:rPr>
            </w:pPr>
          </w:p>
        </w:tc>
        <w:tc>
          <w:tcPr>
            <w:tcW w:w="1285" w:type="pct"/>
            <w:vMerge/>
            <w:tcBorders>
              <w:top w:val="single" w:sz="4" w:space="0" w:color="auto"/>
              <w:left w:val="single" w:sz="4" w:space="0" w:color="auto"/>
              <w:right w:val="single" w:sz="4" w:space="0" w:color="auto"/>
            </w:tcBorders>
          </w:tcPr>
          <w:p w14:paraId="0F167FD3" w14:textId="77777777" w:rsidR="002668A9" w:rsidRPr="002668A9" w:rsidRDefault="002668A9" w:rsidP="002668A9">
            <w:pPr>
              <w:rPr>
                <w:rFonts w:cs="Arial"/>
                <w:sz w:val="20"/>
                <w:szCs w:val="20"/>
              </w:rPr>
            </w:pPr>
          </w:p>
        </w:tc>
        <w:tc>
          <w:tcPr>
            <w:tcW w:w="921" w:type="pct"/>
            <w:vMerge/>
            <w:tcBorders>
              <w:top w:val="single" w:sz="4" w:space="0" w:color="auto"/>
              <w:left w:val="single" w:sz="4" w:space="0" w:color="auto"/>
              <w:right w:val="single" w:sz="4" w:space="0" w:color="auto"/>
            </w:tcBorders>
          </w:tcPr>
          <w:p w14:paraId="6D3286F5" w14:textId="77777777" w:rsidR="002668A9" w:rsidRPr="002668A9" w:rsidRDefault="002668A9" w:rsidP="002668A9">
            <w:pPr>
              <w:rPr>
                <w:rFonts w:cs="Arial"/>
                <w:sz w:val="20"/>
                <w:szCs w:val="20"/>
              </w:rPr>
            </w:pPr>
          </w:p>
        </w:tc>
        <w:tc>
          <w:tcPr>
            <w:tcW w:w="2008" w:type="pct"/>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67065E1" w14:textId="77777777" w:rsidR="002668A9" w:rsidRPr="002668A9" w:rsidRDefault="002668A9" w:rsidP="002668A9">
            <w:pPr>
              <w:rPr>
                <w:rFonts w:cs="Arial"/>
                <w:sz w:val="20"/>
                <w:szCs w:val="20"/>
              </w:rPr>
            </w:pPr>
          </w:p>
        </w:tc>
      </w:tr>
      <w:tr w:rsidR="002668A9" w:rsidRPr="002668A9" w14:paraId="034BBBD1" w14:textId="77777777" w:rsidTr="00C36741">
        <w:trPr>
          <w:trHeight w:val="504"/>
        </w:trPr>
        <w:tc>
          <w:tcPr>
            <w:tcW w:w="786" w:type="pct"/>
            <w:vMerge/>
            <w:tcBorders>
              <w:left w:val="single" w:sz="4" w:space="0" w:color="auto"/>
              <w:right w:val="single" w:sz="4" w:space="0" w:color="auto"/>
            </w:tcBorders>
            <w:shd w:val="clear" w:color="auto" w:fill="auto"/>
          </w:tcPr>
          <w:p w14:paraId="0AD0DD82" w14:textId="77777777" w:rsidR="002668A9" w:rsidRPr="002668A9" w:rsidRDefault="002668A9" w:rsidP="002668A9">
            <w:pPr>
              <w:rPr>
                <w:rFonts w:cs="Arial"/>
                <w:sz w:val="20"/>
                <w:szCs w:val="20"/>
              </w:rPr>
            </w:pPr>
          </w:p>
        </w:tc>
        <w:tc>
          <w:tcPr>
            <w:tcW w:w="1285" w:type="pct"/>
            <w:vMerge/>
            <w:tcBorders>
              <w:left w:val="single" w:sz="4" w:space="0" w:color="auto"/>
              <w:right w:val="single" w:sz="4" w:space="0" w:color="auto"/>
            </w:tcBorders>
          </w:tcPr>
          <w:p w14:paraId="09CE6F77" w14:textId="77777777" w:rsidR="002668A9" w:rsidRPr="002668A9" w:rsidRDefault="002668A9" w:rsidP="002668A9">
            <w:pPr>
              <w:rPr>
                <w:rFonts w:cs="Arial"/>
                <w:sz w:val="20"/>
                <w:szCs w:val="20"/>
              </w:rPr>
            </w:pPr>
          </w:p>
        </w:tc>
        <w:tc>
          <w:tcPr>
            <w:tcW w:w="921" w:type="pct"/>
            <w:vMerge/>
            <w:tcBorders>
              <w:left w:val="single" w:sz="4" w:space="0" w:color="auto"/>
              <w:right w:val="single" w:sz="4" w:space="0" w:color="auto"/>
            </w:tcBorders>
          </w:tcPr>
          <w:p w14:paraId="4F96D44A" w14:textId="77777777" w:rsidR="002668A9" w:rsidRPr="002668A9" w:rsidRDefault="002668A9" w:rsidP="002668A9">
            <w:pPr>
              <w:rPr>
                <w:rFonts w:cs="Arial"/>
                <w:sz w:val="20"/>
                <w:szCs w:val="20"/>
              </w:rPr>
            </w:pPr>
          </w:p>
        </w:tc>
        <w:tc>
          <w:tcPr>
            <w:tcW w:w="2008" w:type="pct"/>
            <w:vMerge/>
            <w:tcBorders>
              <w:left w:val="single" w:sz="4" w:space="0" w:color="auto"/>
              <w:right w:val="single" w:sz="4" w:space="0" w:color="auto"/>
            </w:tcBorders>
            <w:shd w:val="clear" w:color="auto" w:fill="auto"/>
            <w:tcMar>
              <w:top w:w="0" w:type="dxa"/>
              <w:left w:w="108" w:type="dxa"/>
              <w:bottom w:w="0" w:type="dxa"/>
              <w:right w:w="108" w:type="dxa"/>
            </w:tcMar>
          </w:tcPr>
          <w:p w14:paraId="685AED3A" w14:textId="77777777" w:rsidR="002668A9" w:rsidRPr="002668A9" w:rsidRDefault="002668A9" w:rsidP="002668A9">
            <w:pPr>
              <w:rPr>
                <w:rFonts w:cs="Arial"/>
                <w:sz w:val="20"/>
                <w:szCs w:val="20"/>
              </w:rPr>
            </w:pPr>
          </w:p>
        </w:tc>
      </w:tr>
      <w:tr w:rsidR="002668A9" w:rsidRPr="002668A9" w14:paraId="6498F9BC" w14:textId="77777777" w:rsidTr="00C36741">
        <w:trPr>
          <w:trHeight w:val="464"/>
        </w:trPr>
        <w:tc>
          <w:tcPr>
            <w:tcW w:w="786" w:type="pct"/>
            <w:vMerge w:val="restart"/>
            <w:tcBorders>
              <w:top w:val="single" w:sz="4" w:space="0" w:color="auto"/>
              <w:left w:val="single" w:sz="4" w:space="0" w:color="auto"/>
              <w:right w:val="single" w:sz="4" w:space="0" w:color="auto"/>
            </w:tcBorders>
            <w:shd w:val="clear" w:color="auto" w:fill="auto"/>
          </w:tcPr>
          <w:p w14:paraId="0B70EA11" w14:textId="77777777" w:rsidR="002668A9" w:rsidRPr="002668A9" w:rsidRDefault="002668A9" w:rsidP="002668A9">
            <w:pPr>
              <w:rPr>
                <w:rFonts w:cs="Arial"/>
                <w:sz w:val="20"/>
                <w:szCs w:val="20"/>
              </w:rPr>
            </w:pPr>
            <w:r w:rsidRPr="002668A9">
              <w:rPr>
                <w:rFonts w:cs="Arial"/>
                <w:sz w:val="20"/>
                <w:szCs w:val="20"/>
              </w:rPr>
              <w:t>Uncontaminated or minimum intervention criteria</w:t>
            </w:r>
          </w:p>
        </w:tc>
        <w:tc>
          <w:tcPr>
            <w:tcW w:w="1285" w:type="pct"/>
            <w:vMerge w:val="restart"/>
            <w:tcBorders>
              <w:top w:val="single" w:sz="4" w:space="0" w:color="auto"/>
              <w:left w:val="single" w:sz="4" w:space="0" w:color="auto"/>
              <w:right w:val="single" w:sz="4" w:space="0" w:color="auto"/>
            </w:tcBorders>
          </w:tcPr>
          <w:p w14:paraId="05D036F1" w14:textId="77777777" w:rsidR="002668A9" w:rsidRPr="002668A9" w:rsidRDefault="002668A9" w:rsidP="002668A9">
            <w:pPr>
              <w:rPr>
                <w:rFonts w:cs="Arial"/>
                <w:sz w:val="20"/>
                <w:szCs w:val="20"/>
              </w:rPr>
            </w:pPr>
            <w:r w:rsidRPr="002668A9">
              <w:rPr>
                <w:rFonts w:cs="Arial"/>
                <w:sz w:val="20"/>
                <w:szCs w:val="20"/>
              </w:rPr>
              <w:t>Several submissions raised the need for further guidance and a criterion to identify soils which contain low or background levels of PFAS and could be considered as 'unrestricted' or suitable for fill. This relates in part to Virgin Excavated Natural Material (VENM) or Excavated Natural Material (ENM) that are commonly adopted in construction and development projects.</w:t>
            </w:r>
          </w:p>
        </w:tc>
        <w:tc>
          <w:tcPr>
            <w:tcW w:w="921" w:type="pct"/>
            <w:vMerge w:val="restart"/>
            <w:tcBorders>
              <w:top w:val="single" w:sz="4" w:space="0" w:color="auto"/>
              <w:left w:val="single" w:sz="4" w:space="0" w:color="auto"/>
              <w:right w:val="single" w:sz="4" w:space="0" w:color="auto"/>
            </w:tcBorders>
          </w:tcPr>
          <w:p w14:paraId="31E3FFF1" w14:textId="4A8E1A99" w:rsidR="00CA213E" w:rsidRDefault="00406A71" w:rsidP="002668A9">
            <w:pPr>
              <w:rPr>
                <w:rFonts w:cs="Arial"/>
                <w:sz w:val="20"/>
                <w:szCs w:val="20"/>
              </w:rPr>
            </w:pPr>
            <w:r>
              <w:rPr>
                <w:rFonts w:cs="Arial"/>
                <w:sz w:val="20"/>
                <w:szCs w:val="20"/>
              </w:rPr>
              <w:t>Australian Government - Airservices Australia</w:t>
            </w:r>
          </w:p>
          <w:p w14:paraId="12DE8437" w14:textId="77777777" w:rsidR="00CA213E" w:rsidRDefault="00CA213E" w:rsidP="002668A9">
            <w:pPr>
              <w:rPr>
                <w:rFonts w:cs="Arial"/>
                <w:sz w:val="20"/>
                <w:szCs w:val="20"/>
              </w:rPr>
            </w:pPr>
            <w:r>
              <w:rPr>
                <w:rFonts w:cs="Arial"/>
                <w:sz w:val="20"/>
                <w:szCs w:val="20"/>
              </w:rPr>
              <w:t>Queensland Airports Ltd</w:t>
            </w:r>
          </w:p>
          <w:p w14:paraId="7D82E647" w14:textId="77777777" w:rsidR="00CA213E" w:rsidRDefault="00CA213E" w:rsidP="002668A9">
            <w:pPr>
              <w:rPr>
                <w:rFonts w:cs="Arial"/>
                <w:sz w:val="20"/>
                <w:szCs w:val="20"/>
              </w:rPr>
            </w:pPr>
            <w:r>
              <w:rPr>
                <w:rFonts w:cs="Arial"/>
                <w:sz w:val="20"/>
                <w:szCs w:val="20"/>
              </w:rPr>
              <w:t>Sydney Airport</w:t>
            </w:r>
          </w:p>
          <w:p w14:paraId="70355E12" w14:textId="21C929C1" w:rsidR="002668A9" w:rsidRPr="002668A9" w:rsidRDefault="00CA213E" w:rsidP="002668A9">
            <w:pPr>
              <w:rPr>
                <w:rFonts w:cs="Arial"/>
                <w:sz w:val="20"/>
                <w:szCs w:val="20"/>
              </w:rPr>
            </w:pPr>
            <w:r>
              <w:rPr>
                <w:rFonts w:cs="Arial"/>
                <w:sz w:val="20"/>
                <w:szCs w:val="20"/>
              </w:rPr>
              <w:t>WA Government</w:t>
            </w:r>
          </w:p>
        </w:tc>
        <w:tc>
          <w:tcPr>
            <w:tcW w:w="2008"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A66CB7B" w14:textId="77777777" w:rsidR="002668A9" w:rsidRPr="002668A9" w:rsidRDefault="002668A9" w:rsidP="002668A9">
            <w:pPr>
              <w:rPr>
                <w:rFonts w:cs="Arial"/>
                <w:sz w:val="20"/>
                <w:szCs w:val="20"/>
              </w:rPr>
            </w:pPr>
            <w:r w:rsidRPr="002668A9">
              <w:rPr>
                <w:rFonts w:cs="Arial"/>
                <w:sz w:val="20"/>
                <w:szCs w:val="20"/>
              </w:rPr>
              <w:t>Development of agreed 'uncontaminated soil' criteria or minimum intervention criteria remains an aim for future PFAS NEMP work (theme 4). Ongoing investigations of ambient concentrations around Australia are expected to assist with this.</w:t>
            </w:r>
          </w:p>
        </w:tc>
      </w:tr>
      <w:tr w:rsidR="002668A9" w:rsidRPr="002668A9" w14:paraId="7A223D59" w14:textId="77777777" w:rsidTr="00C36741">
        <w:trPr>
          <w:trHeight w:val="464"/>
        </w:trPr>
        <w:tc>
          <w:tcPr>
            <w:tcW w:w="786" w:type="pct"/>
            <w:vMerge/>
            <w:tcBorders>
              <w:top w:val="single" w:sz="4" w:space="0" w:color="auto"/>
              <w:left w:val="single" w:sz="4" w:space="0" w:color="auto"/>
              <w:right w:val="single" w:sz="4" w:space="0" w:color="auto"/>
            </w:tcBorders>
            <w:shd w:val="clear" w:color="auto" w:fill="auto"/>
          </w:tcPr>
          <w:p w14:paraId="5BB18925" w14:textId="77777777" w:rsidR="002668A9" w:rsidRPr="002668A9" w:rsidRDefault="002668A9" w:rsidP="002668A9">
            <w:pPr>
              <w:rPr>
                <w:rFonts w:cs="Arial"/>
                <w:sz w:val="20"/>
                <w:szCs w:val="20"/>
              </w:rPr>
            </w:pPr>
          </w:p>
        </w:tc>
        <w:tc>
          <w:tcPr>
            <w:tcW w:w="1285" w:type="pct"/>
            <w:vMerge/>
            <w:tcBorders>
              <w:top w:val="single" w:sz="4" w:space="0" w:color="auto"/>
              <w:left w:val="single" w:sz="4" w:space="0" w:color="auto"/>
              <w:right w:val="single" w:sz="4" w:space="0" w:color="auto"/>
            </w:tcBorders>
          </w:tcPr>
          <w:p w14:paraId="44E74734" w14:textId="77777777" w:rsidR="002668A9" w:rsidRPr="002668A9" w:rsidRDefault="002668A9" w:rsidP="002668A9">
            <w:pPr>
              <w:rPr>
                <w:rFonts w:cs="Arial"/>
                <w:sz w:val="20"/>
                <w:szCs w:val="20"/>
              </w:rPr>
            </w:pPr>
          </w:p>
        </w:tc>
        <w:tc>
          <w:tcPr>
            <w:tcW w:w="921" w:type="pct"/>
            <w:vMerge/>
            <w:tcBorders>
              <w:top w:val="single" w:sz="4" w:space="0" w:color="auto"/>
              <w:left w:val="single" w:sz="4" w:space="0" w:color="auto"/>
              <w:right w:val="single" w:sz="4" w:space="0" w:color="auto"/>
            </w:tcBorders>
          </w:tcPr>
          <w:p w14:paraId="77A36BE8" w14:textId="77777777" w:rsidR="002668A9" w:rsidRPr="002668A9" w:rsidRDefault="002668A9" w:rsidP="002668A9">
            <w:pPr>
              <w:rPr>
                <w:rFonts w:cs="Arial"/>
                <w:sz w:val="20"/>
                <w:szCs w:val="20"/>
              </w:rPr>
            </w:pPr>
          </w:p>
        </w:tc>
        <w:tc>
          <w:tcPr>
            <w:tcW w:w="2008" w:type="pct"/>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36F9133" w14:textId="77777777" w:rsidR="002668A9" w:rsidRPr="002668A9" w:rsidRDefault="002668A9" w:rsidP="002668A9">
            <w:pPr>
              <w:rPr>
                <w:rFonts w:cs="Arial"/>
                <w:sz w:val="20"/>
                <w:szCs w:val="20"/>
              </w:rPr>
            </w:pPr>
          </w:p>
        </w:tc>
      </w:tr>
      <w:tr w:rsidR="002668A9" w:rsidRPr="002668A9" w14:paraId="45327CFB" w14:textId="77777777" w:rsidTr="00C36741">
        <w:trPr>
          <w:trHeight w:val="504"/>
        </w:trPr>
        <w:tc>
          <w:tcPr>
            <w:tcW w:w="786" w:type="pct"/>
            <w:vMerge/>
            <w:tcBorders>
              <w:top w:val="single" w:sz="4" w:space="0" w:color="auto"/>
              <w:left w:val="single" w:sz="4" w:space="0" w:color="auto"/>
              <w:right w:val="single" w:sz="4" w:space="0" w:color="auto"/>
            </w:tcBorders>
            <w:shd w:val="clear" w:color="auto" w:fill="auto"/>
          </w:tcPr>
          <w:p w14:paraId="0E9867C9" w14:textId="77777777" w:rsidR="002668A9" w:rsidRPr="002668A9" w:rsidRDefault="002668A9" w:rsidP="002668A9">
            <w:pPr>
              <w:rPr>
                <w:rFonts w:cs="Arial"/>
                <w:sz w:val="20"/>
                <w:szCs w:val="20"/>
              </w:rPr>
            </w:pPr>
          </w:p>
        </w:tc>
        <w:tc>
          <w:tcPr>
            <w:tcW w:w="1285" w:type="pct"/>
            <w:vMerge/>
            <w:tcBorders>
              <w:top w:val="single" w:sz="4" w:space="0" w:color="auto"/>
              <w:left w:val="single" w:sz="4" w:space="0" w:color="auto"/>
              <w:right w:val="single" w:sz="4" w:space="0" w:color="auto"/>
            </w:tcBorders>
          </w:tcPr>
          <w:p w14:paraId="07D24597" w14:textId="77777777" w:rsidR="002668A9" w:rsidRPr="002668A9" w:rsidRDefault="002668A9" w:rsidP="002668A9">
            <w:pPr>
              <w:rPr>
                <w:rFonts w:cs="Arial"/>
                <w:sz w:val="20"/>
                <w:szCs w:val="20"/>
              </w:rPr>
            </w:pPr>
          </w:p>
        </w:tc>
        <w:tc>
          <w:tcPr>
            <w:tcW w:w="921" w:type="pct"/>
            <w:vMerge/>
            <w:tcBorders>
              <w:top w:val="single" w:sz="4" w:space="0" w:color="auto"/>
              <w:left w:val="single" w:sz="4" w:space="0" w:color="auto"/>
              <w:right w:val="single" w:sz="4" w:space="0" w:color="auto"/>
            </w:tcBorders>
          </w:tcPr>
          <w:p w14:paraId="28C474D8" w14:textId="77777777" w:rsidR="002668A9" w:rsidRPr="002668A9" w:rsidRDefault="002668A9" w:rsidP="002668A9">
            <w:pPr>
              <w:rPr>
                <w:rFonts w:cs="Arial"/>
                <w:sz w:val="20"/>
                <w:szCs w:val="20"/>
              </w:rPr>
            </w:pPr>
          </w:p>
        </w:tc>
        <w:tc>
          <w:tcPr>
            <w:tcW w:w="2008" w:type="pct"/>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3C344C9" w14:textId="77777777" w:rsidR="002668A9" w:rsidRPr="002668A9" w:rsidRDefault="002668A9" w:rsidP="002668A9">
            <w:pPr>
              <w:rPr>
                <w:rFonts w:cs="Arial"/>
                <w:sz w:val="20"/>
                <w:szCs w:val="20"/>
              </w:rPr>
            </w:pPr>
          </w:p>
        </w:tc>
      </w:tr>
      <w:tr w:rsidR="002668A9" w:rsidRPr="002668A9" w14:paraId="1B52D842" w14:textId="77777777" w:rsidTr="00C36741">
        <w:trPr>
          <w:trHeight w:val="464"/>
        </w:trPr>
        <w:tc>
          <w:tcPr>
            <w:tcW w:w="786" w:type="pct"/>
            <w:vMerge w:val="restart"/>
            <w:tcBorders>
              <w:top w:val="single" w:sz="4" w:space="0" w:color="auto"/>
              <w:left w:val="single" w:sz="4" w:space="0" w:color="auto"/>
              <w:right w:val="single" w:sz="4" w:space="0" w:color="auto"/>
            </w:tcBorders>
            <w:shd w:val="clear" w:color="auto" w:fill="auto"/>
          </w:tcPr>
          <w:p w14:paraId="3CF1783C" w14:textId="77777777" w:rsidR="002668A9" w:rsidRPr="002668A9" w:rsidRDefault="002668A9" w:rsidP="002668A9">
            <w:pPr>
              <w:rPr>
                <w:rFonts w:cs="Arial"/>
                <w:sz w:val="20"/>
                <w:szCs w:val="20"/>
              </w:rPr>
            </w:pPr>
            <w:r w:rsidRPr="002668A9">
              <w:rPr>
                <w:rFonts w:cs="Arial"/>
                <w:sz w:val="20"/>
                <w:szCs w:val="20"/>
              </w:rPr>
              <w:t xml:space="preserve">Waste management including waste hierarchy, landfilling and resource recovery </w:t>
            </w:r>
          </w:p>
        </w:tc>
        <w:tc>
          <w:tcPr>
            <w:tcW w:w="1285" w:type="pct"/>
            <w:vMerge w:val="restart"/>
            <w:tcBorders>
              <w:top w:val="single" w:sz="4" w:space="0" w:color="auto"/>
              <w:left w:val="single" w:sz="4" w:space="0" w:color="auto"/>
              <w:right w:val="single" w:sz="4" w:space="0" w:color="auto"/>
            </w:tcBorders>
          </w:tcPr>
          <w:p w14:paraId="169E617A" w14:textId="77777777" w:rsidR="002668A9" w:rsidRPr="002668A9" w:rsidRDefault="002668A9" w:rsidP="002668A9">
            <w:pPr>
              <w:rPr>
                <w:rFonts w:cs="Arial"/>
                <w:sz w:val="20"/>
                <w:szCs w:val="20"/>
              </w:rPr>
            </w:pPr>
            <w:r w:rsidRPr="002668A9">
              <w:rPr>
                <w:rFonts w:cs="Arial"/>
                <w:sz w:val="20"/>
                <w:szCs w:val="20"/>
              </w:rPr>
              <w:t>Submissions highlighted confusion about application of the waste hierarchy and whether the NEMP was implying that soil re-use is less desirable than landfill disposal.</w:t>
            </w:r>
          </w:p>
        </w:tc>
        <w:tc>
          <w:tcPr>
            <w:tcW w:w="921" w:type="pct"/>
            <w:vMerge w:val="restart"/>
            <w:tcBorders>
              <w:top w:val="single" w:sz="4" w:space="0" w:color="auto"/>
              <w:left w:val="single" w:sz="4" w:space="0" w:color="auto"/>
              <w:right w:val="single" w:sz="4" w:space="0" w:color="auto"/>
            </w:tcBorders>
          </w:tcPr>
          <w:p w14:paraId="7C50D292" w14:textId="77777777" w:rsidR="00CA213E" w:rsidRPr="002668A9" w:rsidRDefault="00CA213E" w:rsidP="002668A9">
            <w:pPr>
              <w:rPr>
                <w:rFonts w:cs="Arial"/>
                <w:sz w:val="20"/>
                <w:szCs w:val="20"/>
              </w:rPr>
            </w:pPr>
            <w:r>
              <w:rPr>
                <w:rFonts w:cs="Arial"/>
                <w:sz w:val="20"/>
                <w:szCs w:val="20"/>
              </w:rPr>
              <w:t>Australian Landfill Owners’ Association</w:t>
            </w:r>
          </w:p>
          <w:p w14:paraId="43AB1D14" w14:textId="77777777" w:rsidR="00CA213E" w:rsidRDefault="00CA213E" w:rsidP="002668A9">
            <w:pPr>
              <w:rPr>
                <w:rFonts w:cs="Arial"/>
                <w:sz w:val="20"/>
                <w:szCs w:val="20"/>
              </w:rPr>
            </w:pPr>
            <w:r>
              <w:rPr>
                <w:rFonts w:cs="Arial"/>
                <w:sz w:val="20"/>
                <w:szCs w:val="20"/>
              </w:rPr>
              <w:t>ExxonMobil Australia</w:t>
            </w:r>
          </w:p>
          <w:p w14:paraId="168773CA" w14:textId="6BD995B6" w:rsidR="00CA213E" w:rsidRPr="002668A9" w:rsidRDefault="00406A71" w:rsidP="002668A9">
            <w:pPr>
              <w:rPr>
                <w:rFonts w:cs="Arial"/>
                <w:sz w:val="20"/>
                <w:szCs w:val="20"/>
              </w:rPr>
            </w:pPr>
            <w:r>
              <w:rPr>
                <w:rFonts w:cs="Arial"/>
                <w:sz w:val="20"/>
                <w:szCs w:val="20"/>
              </w:rPr>
              <w:t>NSW EPA - Hazardous Materials Unit</w:t>
            </w:r>
          </w:p>
          <w:p w14:paraId="6571D8F5" w14:textId="77777777" w:rsidR="00CA213E" w:rsidRDefault="00CA213E" w:rsidP="002668A9">
            <w:pPr>
              <w:rPr>
                <w:rFonts w:cs="Arial"/>
                <w:sz w:val="20"/>
                <w:szCs w:val="20"/>
              </w:rPr>
            </w:pPr>
            <w:r>
              <w:rPr>
                <w:rFonts w:cs="Arial"/>
                <w:sz w:val="20"/>
                <w:szCs w:val="20"/>
              </w:rPr>
              <w:t>South East Water</w:t>
            </w:r>
          </w:p>
          <w:p w14:paraId="5B9D2145" w14:textId="77777777" w:rsidR="00CA213E" w:rsidRPr="002668A9" w:rsidRDefault="00CA213E" w:rsidP="002668A9">
            <w:pPr>
              <w:rPr>
                <w:rFonts w:cs="Arial"/>
                <w:sz w:val="20"/>
                <w:szCs w:val="20"/>
              </w:rPr>
            </w:pPr>
            <w:r>
              <w:rPr>
                <w:rFonts w:cs="Arial"/>
                <w:sz w:val="20"/>
                <w:szCs w:val="20"/>
              </w:rPr>
              <w:lastRenderedPageBreak/>
              <w:t>Sydney Water</w:t>
            </w:r>
          </w:p>
          <w:p w14:paraId="7FB90707" w14:textId="36122DFB" w:rsidR="002668A9" w:rsidRPr="002668A9" w:rsidRDefault="00CA213E" w:rsidP="002668A9">
            <w:pPr>
              <w:rPr>
                <w:rFonts w:cs="Arial"/>
                <w:sz w:val="20"/>
                <w:szCs w:val="20"/>
              </w:rPr>
            </w:pPr>
            <w:r>
              <w:rPr>
                <w:rFonts w:cs="Arial"/>
                <w:sz w:val="20"/>
                <w:szCs w:val="20"/>
              </w:rPr>
              <w:t>Viva Energy Australia</w:t>
            </w:r>
          </w:p>
        </w:tc>
        <w:tc>
          <w:tcPr>
            <w:tcW w:w="2008"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84F9D96" w14:textId="77777777" w:rsidR="002668A9" w:rsidRPr="002668A9" w:rsidRDefault="002668A9" w:rsidP="002668A9">
            <w:pPr>
              <w:rPr>
                <w:rFonts w:cs="Arial"/>
                <w:sz w:val="20"/>
                <w:szCs w:val="20"/>
              </w:rPr>
            </w:pPr>
            <w:r w:rsidRPr="002668A9">
              <w:rPr>
                <w:rFonts w:cs="Arial"/>
                <w:sz w:val="20"/>
                <w:szCs w:val="20"/>
              </w:rPr>
              <w:lastRenderedPageBreak/>
              <w:t>The role of reuse in the waste hierarchy has been clarified in the text (Section 12.1)</w:t>
            </w:r>
          </w:p>
          <w:p w14:paraId="215D820C" w14:textId="77777777" w:rsidR="002668A9" w:rsidRPr="002668A9" w:rsidRDefault="002668A9" w:rsidP="002668A9">
            <w:pPr>
              <w:rPr>
                <w:rFonts w:cs="Arial"/>
                <w:sz w:val="20"/>
                <w:szCs w:val="20"/>
              </w:rPr>
            </w:pPr>
            <w:r w:rsidRPr="002668A9">
              <w:rPr>
                <w:rFonts w:cs="Arial"/>
                <w:sz w:val="20"/>
                <w:szCs w:val="20"/>
              </w:rPr>
              <w:t>Note that resource recovery and waste management is identified as a key theme of future PFAS NEMP work (Theme 5).</w:t>
            </w:r>
          </w:p>
        </w:tc>
      </w:tr>
      <w:tr w:rsidR="002668A9" w:rsidRPr="002668A9" w14:paraId="610D4436" w14:textId="77777777" w:rsidTr="00C36741">
        <w:trPr>
          <w:trHeight w:val="464"/>
        </w:trPr>
        <w:tc>
          <w:tcPr>
            <w:tcW w:w="786" w:type="pct"/>
            <w:vMerge/>
            <w:tcBorders>
              <w:top w:val="single" w:sz="4" w:space="0" w:color="auto"/>
              <w:left w:val="single" w:sz="4" w:space="0" w:color="auto"/>
              <w:right w:val="single" w:sz="4" w:space="0" w:color="auto"/>
            </w:tcBorders>
            <w:shd w:val="clear" w:color="auto" w:fill="auto"/>
          </w:tcPr>
          <w:p w14:paraId="543F23E8" w14:textId="77777777" w:rsidR="002668A9" w:rsidRPr="002668A9" w:rsidRDefault="002668A9" w:rsidP="002668A9">
            <w:pPr>
              <w:rPr>
                <w:rFonts w:cs="Arial"/>
                <w:sz w:val="20"/>
                <w:szCs w:val="20"/>
              </w:rPr>
            </w:pPr>
          </w:p>
        </w:tc>
        <w:tc>
          <w:tcPr>
            <w:tcW w:w="1285" w:type="pct"/>
            <w:vMerge/>
            <w:tcBorders>
              <w:top w:val="single" w:sz="4" w:space="0" w:color="auto"/>
              <w:left w:val="single" w:sz="4" w:space="0" w:color="auto"/>
              <w:right w:val="single" w:sz="4" w:space="0" w:color="auto"/>
            </w:tcBorders>
          </w:tcPr>
          <w:p w14:paraId="15516382" w14:textId="77777777" w:rsidR="002668A9" w:rsidRPr="002668A9" w:rsidRDefault="002668A9" w:rsidP="002668A9">
            <w:pPr>
              <w:rPr>
                <w:rFonts w:cs="Arial"/>
                <w:sz w:val="20"/>
                <w:szCs w:val="20"/>
              </w:rPr>
            </w:pPr>
          </w:p>
        </w:tc>
        <w:tc>
          <w:tcPr>
            <w:tcW w:w="921" w:type="pct"/>
            <w:vMerge/>
            <w:tcBorders>
              <w:top w:val="single" w:sz="4" w:space="0" w:color="auto"/>
              <w:left w:val="single" w:sz="4" w:space="0" w:color="auto"/>
              <w:right w:val="single" w:sz="4" w:space="0" w:color="auto"/>
            </w:tcBorders>
          </w:tcPr>
          <w:p w14:paraId="6E633F1A" w14:textId="77777777" w:rsidR="002668A9" w:rsidRPr="002668A9" w:rsidRDefault="002668A9" w:rsidP="002668A9">
            <w:pPr>
              <w:rPr>
                <w:rFonts w:cs="Arial"/>
                <w:sz w:val="20"/>
                <w:szCs w:val="20"/>
              </w:rPr>
            </w:pPr>
          </w:p>
        </w:tc>
        <w:tc>
          <w:tcPr>
            <w:tcW w:w="2008" w:type="pct"/>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078B038" w14:textId="77777777" w:rsidR="002668A9" w:rsidRPr="002668A9" w:rsidRDefault="002668A9" w:rsidP="002668A9">
            <w:pPr>
              <w:rPr>
                <w:rFonts w:cs="Arial"/>
                <w:sz w:val="20"/>
                <w:szCs w:val="20"/>
              </w:rPr>
            </w:pPr>
          </w:p>
        </w:tc>
      </w:tr>
    </w:tbl>
    <w:p w14:paraId="54FEACCC" w14:textId="77777777" w:rsidR="002668A9" w:rsidRPr="002668A9" w:rsidRDefault="002668A9" w:rsidP="002668A9">
      <w:pPr>
        <w:rPr>
          <w:rFonts w:cs="Arial"/>
          <w:sz w:val="20"/>
          <w:szCs w:val="20"/>
        </w:rPr>
        <w:sectPr w:rsidR="002668A9" w:rsidRPr="002668A9" w:rsidSect="00752938">
          <w:headerReference w:type="default" r:id="rId24"/>
          <w:headerReference w:type="first" r:id="rId25"/>
          <w:pgSz w:w="16839" w:h="11907" w:orient="landscape" w:code="9"/>
          <w:pgMar w:top="720" w:right="720" w:bottom="720" w:left="720" w:header="708" w:footer="708" w:gutter="0"/>
          <w:cols w:space="708"/>
          <w:titlePg/>
          <w:docGrid w:linePitch="360"/>
        </w:sectPr>
      </w:pPr>
    </w:p>
    <w:p w14:paraId="4937FE80" w14:textId="08A88343" w:rsidR="001E3D6F" w:rsidRPr="002668A9" w:rsidRDefault="0075060B" w:rsidP="00DC0FE0">
      <w:pPr>
        <w:pStyle w:val="Heading2"/>
      </w:pPr>
      <w:bookmarkStart w:id="16" w:name="_Toc24644151"/>
      <w:bookmarkStart w:id="17" w:name="_Toc24720640"/>
      <w:bookmarkStart w:id="18" w:name="_Toc39837450"/>
      <w:r>
        <w:lastRenderedPageBreak/>
        <w:t xml:space="preserve">Table </w:t>
      </w:r>
      <w:r w:rsidR="001E3D6F" w:rsidRPr="002668A9">
        <w:t>C.</w:t>
      </w:r>
      <w:r w:rsidR="001E3D6F" w:rsidRPr="002668A9">
        <w:tab/>
      </w:r>
      <w:bookmarkEnd w:id="16"/>
      <w:r w:rsidR="005A392F" w:rsidRPr="002668A9">
        <w:t>Wastewater management</w:t>
      </w:r>
      <w:bookmarkEnd w:id="17"/>
      <w:bookmarkEnd w:id="18"/>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383"/>
        <w:gridCol w:w="3991"/>
        <w:gridCol w:w="2834"/>
        <w:gridCol w:w="6310"/>
      </w:tblGrid>
      <w:tr w:rsidR="002668A9" w:rsidRPr="002668A9" w14:paraId="2EDACFCF" w14:textId="77777777" w:rsidTr="00C36741">
        <w:trPr>
          <w:trHeight w:val="255"/>
          <w:tblHeader/>
        </w:trPr>
        <w:tc>
          <w:tcPr>
            <w:tcW w:w="768" w:type="pct"/>
            <w:shd w:val="clear" w:color="auto" w:fill="DEEAF6" w:themeFill="accent1" w:themeFillTint="33"/>
          </w:tcPr>
          <w:p w14:paraId="042B6007" w14:textId="77777777" w:rsidR="002668A9" w:rsidRPr="002668A9" w:rsidRDefault="002668A9" w:rsidP="002668A9">
            <w:pPr>
              <w:rPr>
                <w:rFonts w:cs="Arial"/>
                <w:b/>
                <w:bCs/>
                <w:sz w:val="20"/>
                <w:szCs w:val="20"/>
              </w:rPr>
            </w:pPr>
            <w:r w:rsidRPr="002668A9">
              <w:rPr>
                <w:rFonts w:cs="Arial"/>
                <w:b/>
                <w:bCs/>
                <w:sz w:val="20"/>
                <w:szCs w:val="20"/>
              </w:rPr>
              <w:t>Theme</w:t>
            </w:r>
          </w:p>
        </w:tc>
        <w:tc>
          <w:tcPr>
            <w:tcW w:w="1286" w:type="pct"/>
            <w:shd w:val="clear" w:color="auto" w:fill="DEEAF6" w:themeFill="accent1" w:themeFillTint="33"/>
          </w:tcPr>
          <w:p w14:paraId="0F0F92C2" w14:textId="75D36AF7" w:rsidR="002668A9" w:rsidRPr="002668A9" w:rsidRDefault="000200C5" w:rsidP="002668A9">
            <w:pPr>
              <w:rPr>
                <w:rFonts w:cs="Arial"/>
                <w:b/>
                <w:bCs/>
                <w:sz w:val="20"/>
                <w:szCs w:val="20"/>
              </w:rPr>
            </w:pPr>
            <w:r>
              <w:rPr>
                <w:rFonts w:cs="Arial"/>
                <w:b/>
                <w:bCs/>
                <w:sz w:val="20"/>
                <w:szCs w:val="20"/>
              </w:rPr>
              <w:t>Summary of feedback</w:t>
            </w:r>
          </w:p>
        </w:tc>
        <w:tc>
          <w:tcPr>
            <w:tcW w:w="913" w:type="pct"/>
            <w:shd w:val="clear" w:color="auto" w:fill="DEEAF6" w:themeFill="accent1" w:themeFillTint="33"/>
          </w:tcPr>
          <w:p w14:paraId="637DE861" w14:textId="2B09D3F9" w:rsidR="002668A9" w:rsidRPr="002668A9" w:rsidRDefault="000200C5" w:rsidP="002668A9">
            <w:pPr>
              <w:rPr>
                <w:rFonts w:cs="Arial"/>
                <w:b/>
                <w:bCs/>
                <w:sz w:val="20"/>
                <w:szCs w:val="20"/>
              </w:rPr>
            </w:pPr>
            <w:r>
              <w:rPr>
                <w:rFonts w:cs="Arial"/>
                <w:b/>
                <w:bCs/>
                <w:sz w:val="20"/>
                <w:szCs w:val="20"/>
              </w:rPr>
              <w:t>Submissions commenting</w:t>
            </w:r>
          </w:p>
        </w:tc>
        <w:tc>
          <w:tcPr>
            <w:tcW w:w="2033" w:type="pct"/>
            <w:shd w:val="clear" w:color="auto" w:fill="DEEAF6" w:themeFill="accent1" w:themeFillTint="33"/>
            <w:tcMar>
              <w:top w:w="0" w:type="dxa"/>
              <w:left w:w="108" w:type="dxa"/>
              <w:bottom w:w="0" w:type="dxa"/>
              <w:right w:w="108" w:type="dxa"/>
            </w:tcMar>
            <w:hideMark/>
          </w:tcPr>
          <w:p w14:paraId="7048AB26" w14:textId="77777777" w:rsidR="002668A9" w:rsidRPr="002668A9" w:rsidRDefault="002668A9" w:rsidP="002668A9">
            <w:pPr>
              <w:rPr>
                <w:rFonts w:cs="Arial"/>
                <w:b/>
                <w:bCs/>
                <w:sz w:val="20"/>
                <w:szCs w:val="20"/>
              </w:rPr>
            </w:pPr>
            <w:r w:rsidRPr="002668A9">
              <w:rPr>
                <w:rFonts w:cs="Arial"/>
                <w:b/>
                <w:bCs/>
                <w:sz w:val="20"/>
                <w:szCs w:val="20"/>
              </w:rPr>
              <w:t>Response</w:t>
            </w:r>
          </w:p>
        </w:tc>
      </w:tr>
      <w:tr w:rsidR="00095A90" w:rsidRPr="002668A9" w14:paraId="7F5F0A7B" w14:textId="77777777" w:rsidTr="00C36741">
        <w:tc>
          <w:tcPr>
            <w:tcW w:w="768" w:type="pct"/>
            <w:tcBorders>
              <w:top w:val="single" w:sz="4" w:space="0" w:color="auto"/>
              <w:left w:val="single" w:sz="4" w:space="0" w:color="auto"/>
              <w:bottom w:val="single" w:sz="4" w:space="0" w:color="auto"/>
              <w:right w:val="single" w:sz="4" w:space="0" w:color="auto"/>
            </w:tcBorders>
            <w:shd w:val="clear" w:color="auto" w:fill="auto"/>
          </w:tcPr>
          <w:p w14:paraId="126C7F5D" w14:textId="70A43D62" w:rsidR="00095A90" w:rsidRPr="002668A9" w:rsidRDefault="00095A90" w:rsidP="00DE277A">
            <w:pPr>
              <w:rPr>
                <w:rFonts w:cs="Arial"/>
              </w:rPr>
            </w:pPr>
            <w:r w:rsidRPr="00095A90">
              <w:rPr>
                <w:rFonts w:cs="Arial"/>
                <w:bCs/>
                <w:sz w:val="20"/>
                <w:szCs w:val="20"/>
              </w:rPr>
              <w:t>Wastewater management</w:t>
            </w:r>
            <w:r w:rsidR="00116A2F">
              <w:rPr>
                <w:rFonts w:cs="Arial"/>
                <w:bCs/>
                <w:sz w:val="20"/>
                <w:szCs w:val="20"/>
              </w:rPr>
              <w:t xml:space="preserve"> </w:t>
            </w:r>
            <w:r w:rsidR="00116A2F" w:rsidRPr="00DE277A">
              <w:rPr>
                <w:rFonts w:cs="Arial"/>
                <w:bCs/>
                <w:sz w:val="20"/>
                <w:szCs w:val="20"/>
              </w:rPr>
              <w:t>overall</w:t>
            </w:r>
          </w:p>
        </w:tc>
        <w:tc>
          <w:tcPr>
            <w:tcW w:w="1286" w:type="pct"/>
            <w:tcBorders>
              <w:top w:val="single" w:sz="4" w:space="0" w:color="auto"/>
              <w:left w:val="single" w:sz="4" w:space="0" w:color="auto"/>
              <w:bottom w:val="single" w:sz="4" w:space="0" w:color="auto"/>
              <w:right w:val="single" w:sz="4" w:space="0" w:color="auto"/>
            </w:tcBorders>
          </w:tcPr>
          <w:p w14:paraId="378DC2B6" w14:textId="76BEED9C" w:rsidR="00095A90" w:rsidRDefault="00095A90" w:rsidP="00D6109B">
            <w:pPr>
              <w:rPr>
                <w:rFonts w:cs="Arial"/>
                <w:bCs/>
                <w:sz w:val="20"/>
                <w:szCs w:val="20"/>
              </w:rPr>
            </w:pPr>
            <w:r>
              <w:rPr>
                <w:rFonts w:cs="Arial"/>
                <w:bCs/>
                <w:sz w:val="20"/>
                <w:szCs w:val="20"/>
              </w:rPr>
              <w:t xml:space="preserve">A range of feedback was received that is best addressed or considered </w:t>
            </w:r>
            <w:r w:rsidR="00DD1CF5">
              <w:rPr>
                <w:rFonts w:cs="Arial"/>
                <w:bCs/>
                <w:sz w:val="20"/>
                <w:szCs w:val="20"/>
              </w:rPr>
              <w:t>in planned future work in</w:t>
            </w:r>
            <w:r>
              <w:rPr>
                <w:rFonts w:cs="Arial"/>
                <w:bCs/>
                <w:sz w:val="20"/>
                <w:szCs w:val="20"/>
              </w:rPr>
              <w:t xml:space="preserve"> discussion with water utilities. </w:t>
            </w:r>
            <w:r w:rsidR="00DD1CF5">
              <w:rPr>
                <w:rFonts w:cs="Arial"/>
                <w:bCs/>
                <w:sz w:val="20"/>
                <w:szCs w:val="20"/>
              </w:rPr>
              <w:t xml:space="preserve">This </w:t>
            </w:r>
            <w:r>
              <w:rPr>
                <w:rFonts w:cs="Arial"/>
                <w:bCs/>
                <w:sz w:val="20"/>
                <w:szCs w:val="20"/>
              </w:rPr>
              <w:t>include</w:t>
            </w:r>
            <w:r w:rsidR="00DD1CF5">
              <w:rPr>
                <w:rFonts w:cs="Arial"/>
                <w:bCs/>
                <w:sz w:val="20"/>
                <w:szCs w:val="20"/>
              </w:rPr>
              <w:t>s</w:t>
            </w:r>
            <w:r>
              <w:rPr>
                <w:rFonts w:cs="Arial"/>
                <w:bCs/>
                <w:sz w:val="20"/>
                <w:szCs w:val="20"/>
              </w:rPr>
              <w:t>:</w:t>
            </w:r>
          </w:p>
          <w:p w14:paraId="0362A122" w14:textId="5B19DB79" w:rsidR="00095A90" w:rsidRDefault="00095A90" w:rsidP="00D51D40">
            <w:pPr>
              <w:pStyle w:val="bullet1"/>
            </w:pPr>
            <w:r w:rsidRPr="00095A90">
              <w:t>Wastewater inputs including source/market controls</w:t>
            </w:r>
            <w:r w:rsidR="00DD1CF5">
              <w:t>;</w:t>
            </w:r>
          </w:p>
          <w:p w14:paraId="1F20CC03" w14:textId="5AAB6973" w:rsidR="00095A90" w:rsidRPr="00095A90" w:rsidRDefault="00095A90" w:rsidP="00D51D40">
            <w:pPr>
              <w:pStyle w:val="bullet1"/>
            </w:pPr>
            <w:r w:rsidRPr="002668A9">
              <w:t>Wastewater operations including treatment and cost recovery</w:t>
            </w:r>
            <w:r w:rsidR="00DD1CF5">
              <w:t>; and</w:t>
            </w:r>
          </w:p>
          <w:p w14:paraId="675EE0B5" w14:textId="6A8339A2" w:rsidR="00095A90" w:rsidRPr="00095A90" w:rsidRDefault="00095A90" w:rsidP="00D51D40">
            <w:pPr>
              <w:pStyle w:val="bullet1"/>
            </w:pPr>
            <w:r w:rsidRPr="002668A9">
              <w:t>Wastewater outputs including biosolids, recycled water, effluent, and residuals, and environmental monitoring and risk assessment</w:t>
            </w:r>
            <w:r w:rsidR="00DD1CF5">
              <w:t>.</w:t>
            </w:r>
          </w:p>
        </w:tc>
        <w:tc>
          <w:tcPr>
            <w:tcW w:w="913" w:type="pct"/>
            <w:tcBorders>
              <w:top w:val="single" w:sz="4" w:space="0" w:color="auto"/>
              <w:left w:val="single" w:sz="4" w:space="0" w:color="auto"/>
              <w:bottom w:val="single" w:sz="4" w:space="0" w:color="auto"/>
              <w:right w:val="single" w:sz="4" w:space="0" w:color="auto"/>
            </w:tcBorders>
          </w:tcPr>
          <w:p w14:paraId="3DDF7C5C" w14:textId="2426A130" w:rsidR="00095A90" w:rsidRPr="002668A9" w:rsidRDefault="006B3A71" w:rsidP="002668A9">
            <w:pPr>
              <w:rPr>
                <w:rFonts w:cs="Arial"/>
                <w:bCs/>
                <w:sz w:val="20"/>
                <w:szCs w:val="20"/>
              </w:rPr>
            </w:pPr>
            <w:r>
              <w:rPr>
                <w:rFonts w:cs="Arial"/>
                <w:bCs/>
                <w:sz w:val="20"/>
                <w:szCs w:val="20"/>
              </w:rPr>
              <w:t>Various submissions</w:t>
            </w:r>
          </w:p>
        </w:tc>
        <w:tc>
          <w:tcPr>
            <w:tcW w:w="20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00DE8E" w14:textId="70C5CAC1" w:rsidR="00095A90" w:rsidRDefault="00095A90" w:rsidP="00095A90">
            <w:pPr>
              <w:rPr>
                <w:rFonts w:cs="Arial"/>
                <w:sz w:val="20"/>
                <w:szCs w:val="20"/>
              </w:rPr>
            </w:pPr>
            <w:r>
              <w:rPr>
                <w:rFonts w:cs="Arial"/>
                <w:sz w:val="20"/>
                <w:szCs w:val="20"/>
              </w:rPr>
              <w:t>M</w:t>
            </w:r>
            <w:r w:rsidRPr="005B6783">
              <w:rPr>
                <w:rFonts w:cs="Arial"/>
                <w:sz w:val="20"/>
                <w:szCs w:val="20"/>
              </w:rPr>
              <w:t xml:space="preserve">ost matters raised </w:t>
            </w:r>
            <w:r>
              <w:rPr>
                <w:rFonts w:cs="Arial"/>
                <w:sz w:val="20"/>
                <w:szCs w:val="20"/>
              </w:rPr>
              <w:t xml:space="preserve">in </w:t>
            </w:r>
            <w:r w:rsidRPr="005B6783">
              <w:rPr>
                <w:rFonts w:cs="Arial"/>
                <w:sz w:val="20"/>
                <w:szCs w:val="20"/>
              </w:rPr>
              <w:t xml:space="preserve">feedback </w:t>
            </w:r>
            <w:r>
              <w:rPr>
                <w:rFonts w:cs="Arial"/>
                <w:sz w:val="20"/>
                <w:szCs w:val="20"/>
              </w:rPr>
              <w:t xml:space="preserve">on </w:t>
            </w:r>
            <w:r w:rsidRPr="005B6783">
              <w:rPr>
                <w:rFonts w:cs="Arial"/>
                <w:sz w:val="20"/>
                <w:szCs w:val="20"/>
              </w:rPr>
              <w:t xml:space="preserve">wastewater management </w:t>
            </w:r>
            <w:r>
              <w:rPr>
                <w:rFonts w:cs="Arial"/>
                <w:sz w:val="20"/>
                <w:szCs w:val="20"/>
              </w:rPr>
              <w:t xml:space="preserve">will considered in developing the </w:t>
            </w:r>
            <w:r w:rsidR="00A855C2">
              <w:rPr>
                <w:rFonts w:cs="Arial"/>
                <w:sz w:val="20"/>
                <w:szCs w:val="20"/>
              </w:rPr>
              <w:t xml:space="preserve">future </w:t>
            </w:r>
            <w:r w:rsidRPr="005B6783">
              <w:rPr>
                <w:rFonts w:cs="Arial"/>
                <w:sz w:val="20"/>
                <w:szCs w:val="20"/>
              </w:rPr>
              <w:t>NEMP work program</w:t>
            </w:r>
            <w:r>
              <w:rPr>
                <w:rFonts w:cs="Arial"/>
                <w:sz w:val="20"/>
                <w:szCs w:val="20"/>
              </w:rPr>
              <w:t xml:space="preserve"> on </w:t>
            </w:r>
            <w:r w:rsidR="000B0C8E">
              <w:rPr>
                <w:rFonts w:cs="Arial"/>
                <w:sz w:val="20"/>
                <w:szCs w:val="20"/>
              </w:rPr>
              <w:t>wastewater</w:t>
            </w:r>
            <w:r>
              <w:rPr>
                <w:rFonts w:cs="Arial"/>
                <w:sz w:val="20"/>
                <w:szCs w:val="20"/>
              </w:rPr>
              <w:t xml:space="preserve"> management, where appropriate</w:t>
            </w:r>
            <w:r w:rsidRPr="005B6783">
              <w:rPr>
                <w:rFonts w:cs="Arial"/>
                <w:sz w:val="20"/>
                <w:szCs w:val="20"/>
              </w:rPr>
              <w:t>.</w:t>
            </w:r>
            <w:r>
              <w:rPr>
                <w:rFonts w:cs="Arial"/>
                <w:sz w:val="20"/>
                <w:szCs w:val="20"/>
              </w:rPr>
              <w:t xml:space="preserve"> The NEMP</w:t>
            </w:r>
            <w:r w:rsidR="00A855C2">
              <w:rPr>
                <w:rFonts w:cs="Arial"/>
                <w:sz w:val="20"/>
                <w:szCs w:val="20"/>
              </w:rPr>
              <w:t xml:space="preserve"> 2.0</w:t>
            </w:r>
            <w:r>
              <w:rPr>
                <w:rFonts w:cs="Arial"/>
                <w:sz w:val="20"/>
                <w:szCs w:val="20"/>
              </w:rPr>
              <w:t xml:space="preserve"> states:</w:t>
            </w:r>
          </w:p>
          <w:p w14:paraId="5C83CF41" w14:textId="77777777" w:rsidR="00095A90" w:rsidRPr="00095A90" w:rsidRDefault="00095A90" w:rsidP="00095A90">
            <w:pPr>
              <w:ind w:left="381"/>
              <w:rPr>
                <w:rFonts w:cs="Arial"/>
                <w:i/>
                <w:sz w:val="20"/>
                <w:szCs w:val="20"/>
              </w:rPr>
            </w:pPr>
            <w:r w:rsidRPr="00095A90">
              <w:rPr>
                <w:rFonts w:cs="Arial"/>
                <w:i/>
                <w:sz w:val="20"/>
                <w:szCs w:val="20"/>
              </w:rPr>
              <w:t>Further work, in collaboration with the water industry, will be undertaken to establish PFAS management criteria and guidance for water authorities and environmental regulators based on current science, and will inform future versions of the NEMP.</w:t>
            </w:r>
          </w:p>
          <w:p w14:paraId="41B2B1E2" w14:textId="3E92E773" w:rsidR="00095A90" w:rsidRPr="00095A90" w:rsidRDefault="00116A2F" w:rsidP="00116A2F">
            <w:pPr>
              <w:rPr>
                <w:rFonts w:cs="Arial"/>
                <w:sz w:val="20"/>
                <w:szCs w:val="20"/>
              </w:rPr>
            </w:pPr>
            <w:r>
              <w:rPr>
                <w:rFonts w:cs="Arial"/>
                <w:sz w:val="20"/>
                <w:szCs w:val="20"/>
              </w:rPr>
              <w:t xml:space="preserve">Noting this, the opportunity has been taken in this document </w:t>
            </w:r>
            <w:r w:rsidR="00344D02">
              <w:rPr>
                <w:rFonts w:cs="Arial"/>
                <w:sz w:val="20"/>
                <w:szCs w:val="20"/>
              </w:rPr>
              <w:t xml:space="preserve">to provide </w:t>
            </w:r>
            <w:r>
              <w:rPr>
                <w:rFonts w:cs="Arial"/>
                <w:sz w:val="20"/>
                <w:szCs w:val="20"/>
              </w:rPr>
              <w:t xml:space="preserve">clarifications </w:t>
            </w:r>
            <w:r w:rsidR="00344D02">
              <w:rPr>
                <w:rFonts w:cs="Arial"/>
                <w:sz w:val="20"/>
                <w:szCs w:val="20"/>
              </w:rPr>
              <w:t xml:space="preserve">where this is considered </w:t>
            </w:r>
            <w:r>
              <w:rPr>
                <w:rFonts w:cs="Arial"/>
                <w:sz w:val="20"/>
                <w:szCs w:val="20"/>
              </w:rPr>
              <w:t>helpful.</w:t>
            </w:r>
          </w:p>
        </w:tc>
      </w:tr>
      <w:tr w:rsidR="002668A9" w:rsidRPr="002668A9" w14:paraId="0434BC8E" w14:textId="77777777" w:rsidTr="00C36741">
        <w:tc>
          <w:tcPr>
            <w:tcW w:w="768" w:type="pct"/>
            <w:tcBorders>
              <w:top w:val="single" w:sz="4" w:space="0" w:color="auto"/>
              <w:left w:val="single" w:sz="4" w:space="0" w:color="auto"/>
              <w:bottom w:val="single" w:sz="4" w:space="0" w:color="auto"/>
              <w:right w:val="single" w:sz="4" w:space="0" w:color="auto"/>
            </w:tcBorders>
            <w:shd w:val="clear" w:color="auto" w:fill="auto"/>
          </w:tcPr>
          <w:p w14:paraId="1B630D8C" w14:textId="5473923D" w:rsidR="002668A9" w:rsidRPr="002668A9" w:rsidRDefault="002668A9" w:rsidP="002668A9">
            <w:pPr>
              <w:rPr>
                <w:rFonts w:cs="Arial"/>
                <w:bCs/>
                <w:sz w:val="20"/>
                <w:szCs w:val="20"/>
              </w:rPr>
            </w:pPr>
            <w:r w:rsidRPr="002668A9">
              <w:rPr>
                <w:rFonts w:cs="Arial"/>
                <w:bCs/>
                <w:sz w:val="20"/>
                <w:szCs w:val="20"/>
              </w:rPr>
              <w:t>Wastewater inputs including source/market controls</w:t>
            </w:r>
          </w:p>
        </w:tc>
        <w:tc>
          <w:tcPr>
            <w:tcW w:w="1286" w:type="pct"/>
            <w:tcBorders>
              <w:top w:val="single" w:sz="4" w:space="0" w:color="auto"/>
              <w:left w:val="single" w:sz="4" w:space="0" w:color="auto"/>
              <w:bottom w:val="single" w:sz="4" w:space="0" w:color="auto"/>
              <w:right w:val="single" w:sz="4" w:space="0" w:color="auto"/>
            </w:tcBorders>
          </w:tcPr>
          <w:p w14:paraId="38C51D9D" w14:textId="1F50C0E9" w:rsidR="00D6109B" w:rsidRPr="005B6783" w:rsidRDefault="00095A90" w:rsidP="00D6109B">
            <w:pPr>
              <w:rPr>
                <w:rFonts w:cs="Arial"/>
                <w:bCs/>
                <w:sz w:val="20"/>
                <w:szCs w:val="20"/>
              </w:rPr>
            </w:pPr>
            <w:r>
              <w:rPr>
                <w:sz w:val="20"/>
                <w:szCs w:val="20"/>
              </w:rPr>
              <w:t>R</w:t>
            </w:r>
            <w:r w:rsidR="00C95E04">
              <w:rPr>
                <w:sz w:val="20"/>
                <w:szCs w:val="20"/>
              </w:rPr>
              <w:t xml:space="preserve">equests for </w:t>
            </w:r>
            <w:r w:rsidR="00D6109B" w:rsidRPr="005B6783">
              <w:rPr>
                <w:sz w:val="20"/>
                <w:szCs w:val="20"/>
              </w:rPr>
              <w:t>clarification</w:t>
            </w:r>
            <w:r>
              <w:rPr>
                <w:rFonts w:cs="Arial"/>
                <w:bCs/>
                <w:sz w:val="20"/>
                <w:szCs w:val="20"/>
              </w:rPr>
              <w:t xml:space="preserve"> included the following:</w:t>
            </w:r>
          </w:p>
          <w:p w14:paraId="1933D9B1" w14:textId="20B1C237" w:rsidR="00D6109B" w:rsidRPr="00EE7A56" w:rsidRDefault="00E10DB1" w:rsidP="001F2932">
            <w:pPr>
              <w:pStyle w:val="bullet1"/>
            </w:pPr>
            <w:r w:rsidRPr="00EE7A56">
              <w:t>The</w:t>
            </w:r>
            <w:r w:rsidR="002668A9" w:rsidRPr="00EE7A56">
              <w:t xml:space="preserve"> management of PFAS inputs to the wastewater system, including domestic and other diffuse sources and trade waste and other point sources.</w:t>
            </w:r>
            <w:r w:rsidR="00D6109B" w:rsidRPr="00EE7A56">
              <w:t xml:space="preserve"> This concern was frequently cited as the main reason for expressing strong support for market controls on PFAS-containing products and articles, and ratification of the Stockholm Convention listings of </w:t>
            </w:r>
            <w:r w:rsidR="00D6109B" w:rsidRPr="00EE7A56">
              <w:lastRenderedPageBreak/>
              <w:t>PFOS and PFOA (and PFHxS, if listed in the future).</w:t>
            </w:r>
          </w:p>
          <w:p w14:paraId="036873B9" w14:textId="77777777" w:rsidR="00E10DB1" w:rsidRPr="00EE7A56" w:rsidRDefault="00E10DB1" w:rsidP="001F2932">
            <w:pPr>
              <w:pStyle w:val="bullet1"/>
            </w:pPr>
            <w:r w:rsidRPr="00EE7A56">
              <w:t>The i</w:t>
            </w:r>
            <w:r w:rsidR="00D6109B" w:rsidRPr="00EE7A56">
              <w:t>dentification and quantification of PFAS, noting that analytical standards and methodologies are available for only a small minority of the over 4,700 PFAS compounds identified to date, and there are technical challenges with measuring PFAS in complex mixtures such as wastewater. This is a threshold issue for utilities seeking to control PFAS in wastewater inputs.</w:t>
            </w:r>
          </w:p>
          <w:p w14:paraId="53F499CB" w14:textId="77777777" w:rsidR="00892A70" w:rsidRDefault="00E10DB1" w:rsidP="001F2932">
            <w:pPr>
              <w:pStyle w:val="bullet1"/>
            </w:pPr>
            <w:r w:rsidRPr="00EE7A56">
              <w:t>Opportunities and constraints associated with intervention at point sources of PFAS, particularly trade waste discharges, were a key focus for consultation feedback. For some utilities, reducing PFAS in trade waste (through measures such as education, enforcement, and differential pricing to encourage pre-treatment) could contribute to reductions in the PFAS mass load reaching wastewater treatment plants. For other utilities, particularly in regional and remote areas, trade waste may be a negligible contributor to PFAS mass load.</w:t>
            </w:r>
            <w:r w:rsidRPr="00E10DB1">
              <w:t xml:space="preserve"> </w:t>
            </w:r>
          </w:p>
          <w:p w14:paraId="420B6310" w14:textId="48B96C2D" w:rsidR="002668A9" w:rsidRPr="00E10DB1" w:rsidRDefault="00892A70" w:rsidP="001F2932">
            <w:pPr>
              <w:pStyle w:val="bullet1"/>
            </w:pPr>
            <w:r w:rsidRPr="00A13C0A">
              <w:t xml:space="preserve">Monitoring and control of input from the liquid waste industry, including </w:t>
            </w:r>
            <w:r w:rsidRPr="00A13C0A">
              <w:lastRenderedPageBreak/>
              <w:t xml:space="preserve">septic tankers, </w:t>
            </w:r>
            <w:r>
              <w:t>was also raised as</w:t>
            </w:r>
            <w:r w:rsidRPr="00A13C0A">
              <w:t xml:space="preserve"> another significant challenge.</w:t>
            </w:r>
          </w:p>
        </w:tc>
        <w:tc>
          <w:tcPr>
            <w:tcW w:w="913" w:type="pct"/>
            <w:tcBorders>
              <w:top w:val="single" w:sz="4" w:space="0" w:color="auto"/>
              <w:left w:val="single" w:sz="4" w:space="0" w:color="auto"/>
              <w:bottom w:val="single" w:sz="4" w:space="0" w:color="auto"/>
              <w:right w:val="single" w:sz="4" w:space="0" w:color="auto"/>
            </w:tcBorders>
          </w:tcPr>
          <w:p w14:paraId="55C90537" w14:textId="068AAA46" w:rsidR="00F30EC5" w:rsidRDefault="00F30EC5" w:rsidP="002668A9">
            <w:pPr>
              <w:rPr>
                <w:rFonts w:cs="Arial"/>
                <w:bCs/>
                <w:sz w:val="20"/>
                <w:szCs w:val="20"/>
              </w:rPr>
            </w:pPr>
            <w:r>
              <w:rPr>
                <w:rFonts w:cs="Arial"/>
                <w:bCs/>
                <w:sz w:val="20"/>
                <w:szCs w:val="20"/>
              </w:rPr>
              <w:lastRenderedPageBreak/>
              <w:t>Australasian Land and Groundwater Association – submission 1</w:t>
            </w:r>
          </w:p>
          <w:p w14:paraId="10B2FD79" w14:textId="79BE9521" w:rsidR="006B3A71" w:rsidRDefault="006B3A71" w:rsidP="002668A9">
            <w:pPr>
              <w:rPr>
                <w:rFonts w:cs="Arial"/>
                <w:bCs/>
                <w:sz w:val="20"/>
                <w:szCs w:val="20"/>
              </w:rPr>
            </w:pPr>
            <w:r>
              <w:rPr>
                <w:rFonts w:cs="Arial"/>
                <w:bCs/>
                <w:sz w:val="20"/>
                <w:szCs w:val="20"/>
              </w:rPr>
              <w:t>Australian Government - Airservices Australia</w:t>
            </w:r>
          </w:p>
          <w:p w14:paraId="1BD9EF6A" w14:textId="77777777" w:rsidR="00F30EC5" w:rsidRPr="002668A9" w:rsidRDefault="00F30EC5" w:rsidP="002668A9">
            <w:pPr>
              <w:rPr>
                <w:rFonts w:cs="Arial"/>
                <w:bCs/>
                <w:sz w:val="20"/>
                <w:szCs w:val="20"/>
              </w:rPr>
            </w:pPr>
            <w:r>
              <w:rPr>
                <w:rFonts w:cs="Arial"/>
                <w:bCs/>
                <w:sz w:val="20"/>
                <w:szCs w:val="20"/>
              </w:rPr>
              <w:t>Australian Landfill Owners’ Association</w:t>
            </w:r>
          </w:p>
          <w:p w14:paraId="12C28695" w14:textId="77777777" w:rsidR="00F30EC5" w:rsidRDefault="00F30EC5" w:rsidP="002668A9">
            <w:pPr>
              <w:rPr>
                <w:rFonts w:cs="Arial"/>
                <w:bCs/>
                <w:sz w:val="20"/>
                <w:szCs w:val="20"/>
              </w:rPr>
            </w:pPr>
            <w:r>
              <w:rPr>
                <w:rFonts w:cs="Arial"/>
                <w:bCs/>
                <w:sz w:val="20"/>
                <w:szCs w:val="20"/>
              </w:rPr>
              <w:t>Brisbane Airport Corporation</w:t>
            </w:r>
          </w:p>
          <w:p w14:paraId="4BB1CA22" w14:textId="316E2527" w:rsidR="00F30EC5" w:rsidRDefault="00406A71" w:rsidP="002668A9">
            <w:pPr>
              <w:rPr>
                <w:rFonts w:cs="Arial"/>
                <w:bCs/>
                <w:sz w:val="20"/>
                <w:szCs w:val="20"/>
              </w:rPr>
            </w:pPr>
            <w:r>
              <w:rPr>
                <w:rFonts w:cs="Arial"/>
                <w:bCs/>
                <w:sz w:val="20"/>
                <w:szCs w:val="20"/>
              </w:rPr>
              <w:t>Burdekin Shire Council and Bligh Tanner</w:t>
            </w:r>
          </w:p>
          <w:p w14:paraId="7EA4698B" w14:textId="438F0BD9" w:rsidR="00F30EC5" w:rsidRDefault="00406A71" w:rsidP="002668A9">
            <w:pPr>
              <w:rPr>
                <w:rFonts w:cs="Arial"/>
                <w:bCs/>
                <w:sz w:val="20"/>
                <w:szCs w:val="20"/>
              </w:rPr>
            </w:pPr>
            <w:r>
              <w:rPr>
                <w:rFonts w:cs="Arial"/>
                <w:bCs/>
                <w:sz w:val="20"/>
                <w:szCs w:val="20"/>
              </w:rPr>
              <w:lastRenderedPageBreak/>
              <w:t>City of Rockingham - Millar</w:t>
            </w:r>
            <w:r w:rsidR="00F30EC5">
              <w:rPr>
                <w:rFonts w:cs="Arial"/>
                <w:bCs/>
                <w:sz w:val="20"/>
                <w:szCs w:val="20"/>
              </w:rPr>
              <w:t xml:space="preserve"> Road Landfill</w:t>
            </w:r>
          </w:p>
          <w:p w14:paraId="0471E89E" w14:textId="77777777" w:rsidR="00F30EC5" w:rsidRDefault="00F30EC5" w:rsidP="002668A9">
            <w:pPr>
              <w:rPr>
                <w:rFonts w:cs="Arial"/>
                <w:bCs/>
                <w:sz w:val="20"/>
                <w:szCs w:val="20"/>
              </w:rPr>
            </w:pPr>
            <w:r>
              <w:rPr>
                <w:rFonts w:cs="Arial"/>
                <w:bCs/>
                <w:sz w:val="20"/>
                <w:szCs w:val="20"/>
              </w:rPr>
              <w:t>City West Water</w:t>
            </w:r>
          </w:p>
          <w:p w14:paraId="20F5B743" w14:textId="77777777" w:rsidR="00F30EC5" w:rsidRDefault="00F30EC5" w:rsidP="002668A9">
            <w:pPr>
              <w:rPr>
                <w:rFonts w:cs="Arial"/>
                <w:bCs/>
                <w:sz w:val="20"/>
                <w:szCs w:val="20"/>
              </w:rPr>
            </w:pPr>
            <w:r>
              <w:rPr>
                <w:rFonts w:cs="Arial"/>
                <w:bCs/>
                <w:sz w:val="20"/>
                <w:szCs w:val="20"/>
              </w:rPr>
              <w:t>Clarence Valley Council</w:t>
            </w:r>
          </w:p>
          <w:p w14:paraId="0D845238" w14:textId="5E842A10" w:rsidR="00F30EC5" w:rsidRDefault="00406A71" w:rsidP="002668A9">
            <w:pPr>
              <w:rPr>
                <w:rFonts w:cs="Arial"/>
                <w:bCs/>
                <w:sz w:val="20"/>
                <w:szCs w:val="20"/>
              </w:rPr>
            </w:pPr>
            <w:r>
              <w:rPr>
                <w:rFonts w:cs="Arial"/>
                <w:bCs/>
                <w:sz w:val="20"/>
                <w:szCs w:val="20"/>
              </w:rPr>
              <w:t>Australian Government - DITCRD</w:t>
            </w:r>
          </w:p>
          <w:p w14:paraId="2852EFC2" w14:textId="77777777" w:rsidR="00F30EC5" w:rsidRDefault="00F30EC5" w:rsidP="002668A9">
            <w:pPr>
              <w:rPr>
                <w:rFonts w:cs="Arial"/>
                <w:bCs/>
                <w:sz w:val="20"/>
                <w:szCs w:val="20"/>
              </w:rPr>
            </w:pPr>
            <w:r>
              <w:rPr>
                <w:rFonts w:cs="Arial"/>
                <w:bCs/>
                <w:sz w:val="20"/>
                <w:szCs w:val="20"/>
              </w:rPr>
              <w:t>Hunter Water</w:t>
            </w:r>
          </w:p>
          <w:p w14:paraId="10C4AEE9" w14:textId="77777777" w:rsidR="00F30EC5" w:rsidRDefault="00F30EC5" w:rsidP="002668A9">
            <w:pPr>
              <w:rPr>
                <w:rFonts w:cs="Arial"/>
                <w:bCs/>
                <w:sz w:val="20"/>
                <w:szCs w:val="20"/>
              </w:rPr>
            </w:pPr>
            <w:r>
              <w:rPr>
                <w:rFonts w:cs="Arial"/>
                <w:bCs/>
                <w:sz w:val="20"/>
                <w:szCs w:val="20"/>
              </w:rPr>
              <w:t>Melbourne Water</w:t>
            </w:r>
          </w:p>
          <w:p w14:paraId="6476D46B" w14:textId="77777777" w:rsidR="00F30EC5" w:rsidRPr="002668A9" w:rsidRDefault="00F30EC5" w:rsidP="002668A9">
            <w:pPr>
              <w:rPr>
                <w:rFonts w:cs="Arial"/>
                <w:bCs/>
                <w:sz w:val="20"/>
                <w:szCs w:val="20"/>
              </w:rPr>
            </w:pPr>
            <w:r>
              <w:rPr>
                <w:rFonts w:cs="Arial"/>
                <w:bCs/>
                <w:sz w:val="20"/>
                <w:szCs w:val="20"/>
              </w:rPr>
              <w:t>NSW Department of Industry</w:t>
            </w:r>
          </w:p>
          <w:p w14:paraId="3DBFFA6B" w14:textId="77777777" w:rsidR="00F30EC5" w:rsidRPr="002668A9" w:rsidRDefault="00F30EC5" w:rsidP="002668A9">
            <w:pPr>
              <w:rPr>
                <w:rFonts w:cs="Arial"/>
                <w:bCs/>
                <w:sz w:val="20"/>
                <w:szCs w:val="20"/>
              </w:rPr>
            </w:pPr>
            <w:r>
              <w:rPr>
                <w:rFonts w:cs="Arial"/>
                <w:bCs/>
                <w:sz w:val="20"/>
                <w:szCs w:val="20"/>
              </w:rPr>
              <w:t>Qantas</w:t>
            </w:r>
          </w:p>
          <w:p w14:paraId="08F6A3C8" w14:textId="77777777" w:rsidR="00F30EC5" w:rsidRDefault="00F30EC5" w:rsidP="00F30EC5">
            <w:pPr>
              <w:rPr>
                <w:rFonts w:cs="Arial"/>
                <w:bCs/>
                <w:sz w:val="20"/>
                <w:szCs w:val="20"/>
              </w:rPr>
            </w:pPr>
            <w:r>
              <w:rPr>
                <w:rFonts w:cs="Arial"/>
                <w:bCs/>
                <w:sz w:val="20"/>
                <w:szCs w:val="20"/>
              </w:rPr>
              <w:t>qldwater</w:t>
            </w:r>
          </w:p>
          <w:p w14:paraId="78F5D903" w14:textId="77777777" w:rsidR="00F30EC5" w:rsidRDefault="00F30EC5" w:rsidP="002668A9">
            <w:pPr>
              <w:rPr>
                <w:rFonts w:cs="Arial"/>
                <w:bCs/>
                <w:sz w:val="20"/>
                <w:szCs w:val="20"/>
              </w:rPr>
            </w:pPr>
            <w:r>
              <w:rPr>
                <w:rFonts w:cs="Arial"/>
                <w:bCs/>
                <w:sz w:val="20"/>
                <w:szCs w:val="20"/>
              </w:rPr>
              <w:t>Queensland Airports Ltd</w:t>
            </w:r>
          </w:p>
          <w:p w14:paraId="0A93527C" w14:textId="77777777" w:rsidR="00F30EC5" w:rsidRPr="002668A9" w:rsidRDefault="00F30EC5" w:rsidP="002668A9">
            <w:pPr>
              <w:rPr>
                <w:rFonts w:cs="Arial"/>
                <w:bCs/>
                <w:sz w:val="20"/>
                <w:szCs w:val="20"/>
              </w:rPr>
            </w:pPr>
            <w:r>
              <w:rPr>
                <w:rFonts w:cs="Arial"/>
                <w:bCs/>
                <w:sz w:val="20"/>
                <w:szCs w:val="20"/>
              </w:rPr>
              <w:t>Queensland Urban Utilities</w:t>
            </w:r>
          </w:p>
          <w:p w14:paraId="50D02567" w14:textId="77777777" w:rsidR="00F30EC5" w:rsidRPr="002668A9" w:rsidRDefault="00F30EC5" w:rsidP="002668A9">
            <w:pPr>
              <w:rPr>
                <w:rFonts w:cs="Arial"/>
                <w:bCs/>
                <w:sz w:val="20"/>
                <w:szCs w:val="20"/>
              </w:rPr>
            </w:pPr>
            <w:r>
              <w:rPr>
                <w:rFonts w:cs="Arial"/>
                <w:bCs/>
                <w:sz w:val="20"/>
                <w:szCs w:val="20"/>
              </w:rPr>
              <w:t>South East Water</w:t>
            </w:r>
          </w:p>
          <w:p w14:paraId="5C37CFC3" w14:textId="77777777" w:rsidR="00F30EC5" w:rsidRDefault="00F30EC5" w:rsidP="002668A9">
            <w:pPr>
              <w:rPr>
                <w:rFonts w:cs="Arial"/>
                <w:bCs/>
                <w:sz w:val="20"/>
                <w:szCs w:val="20"/>
              </w:rPr>
            </w:pPr>
            <w:r>
              <w:rPr>
                <w:rFonts w:cs="Arial"/>
                <w:bCs/>
                <w:sz w:val="20"/>
                <w:szCs w:val="20"/>
              </w:rPr>
              <w:t>Sydney Water</w:t>
            </w:r>
          </w:p>
          <w:p w14:paraId="642A4288" w14:textId="77777777" w:rsidR="00F30EC5" w:rsidRDefault="00F30EC5" w:rsidP="002668A9">
            <w:pPr>
              <w:rPr>
                <w:rFonts w:cs="Arial"/>
                <w:bCs/>
                <w:sz w:val="20"/>
                <w:szCs w:val="20"/>
              </w:rPr>
            </w:pPr>
            <w:r>
              <w:rPr>
                <w:rFonts w:cs="Arial"/>
                <w:bCs/>
                <w:sz w:val="20"/>
                <w:szCs w:val="20"/>
              </w:rPr>
              <w:t>Victorian Water Industry Association</w:t>
            </w:r>
          </w:p>
          <w:p w14:paraId="44473B51" w14:textId="77777777" w:rsidR="00F30EC5" w:rsidRDefault="00F30EC5" w:rsidP="002668A9">
            <w:pPr>
              <w:rPr>
                <w:rFonts w:cs="Arial"/>
                <w:bCs/>
                <w:sz w:val="20"/>
                <w:szCs w:val="20"/>
              </w:rPr>
            </w:pPr>
            <w:r>
              <w:rPr>
                <w:rFonts w:cs="Arial"/>
                <w:bCs/>
                <w:sz w:val="20"/>
                <w:szCs w:val="20"/>
              </w:rPr>
              <w:t>Viva Energy Australia</w:t>
            </w:r>
          </w:p>
          <w:p w14:paraId="7BBB5914" w14:textId="77777777" w:rsidR="00F30EC5" w:rsidRDefault="00F30EC5" w:rsidP="002668A9">
            <w:pPr>
              <w:rPr>
                <w:rFonts w:cs="Arial"/>
                <w:bCs/>
                <w:sz w:val="20"/>
                <w:szCs w:val="20"/>
              </w:rPr>
            </w:pPr>
            <w:r>
              <w:rPr>
                <w:rFonts w:cs="Arial"/>
                <w:bCs/>
                <w:sz w:val="20"/>
                <w:szCs w:val="20"/>
              </w:rPr>
              <w:t>WA Government</w:t>
            </w:r>
          </w:p>
          <w:p w14:paraId="5D555F7B" w14:textId="77777777" w:rsidR="00F30EC5" w:rsidRDefault="00F30EC5" w:rsidP="002668A9">
            <w:pPr>
              <w:rPr>
                <w:rFonts w:cs="Arial"/>
                <w:bCs/>
                <w:sz w:val="20"/>
                <w:szCs w:val="20"/>
              </w:rPr>
            </w:pPr>
            <w:r>
              <w:rPr>
                <w:rFonts w:cs="Arial"/>
                <w:bCs/>
                <w:sz w:val="20"/>
                <w:szCs w:val="20"/>
              </w:rPr>
              <w:lastRenderedPageBreak/>
              <w:t>Waste Management and Resource Recovery Association</w:t>
            </w:r>
          </w:p>
          <w:p w14:paraId="68B3704E" w14:textId="2F3CDE68" w:rsidR="002668A9" w:rsidRPr="002668A9" w:rsidRDefault="00F30EC5" w:rsidP="002668A9">
            <w:pPr>
              <w:rPr>
                <w:rFonts w:cs="Arial"/>
                <w:bCs/>
                <w:sz w:val="20"/>
                <w:szCs w:val="20"/>
              </w:rPr>
            </w:pPr>
            <w:r>
              <w:rPr>
                <w:rFonts w:cs="Arial"/>
                <w:bCs/>
                <w:sz w:val="20"/>
                <w:szCs w:val="20"/>
              </w:rPr>
              <w:t>Water Services Association of Australia</w:t>
            </w:r>
          </w:p>
        </w:tc>
        <w:tc>
          <w:tcPr>
            <w:tcW w:w="20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C3B47" w14:textId="496FD395" w:rsidR="00D6109B" w:rsidRPr="005B6783" w:rsidRDefault="00EE7A56" w:rsidP="002668A9">
            <w:pPr>
              <w:rPr>
                <w:rFonts w:cs="Arial"/>
                <w:sz w:val="20"/>
                <w:szCs w:val="20"/>
              </w:rPr>
            </w:pPr>
            <w:r>
              <w:rPr>
                <w:rFonts w:cs="Arial"/>
                <w:sz w:val="20"/>
                <w:szCs w:val="20"/>
              </w:rPr>
              <w:lastRenderedPageBreak/>
              <w:t>T</w:t>
            </w:r>
            <w:r w:rsidR="002668A9" w:rsidRPr="005B6783">
              <w:rPr>
                <w:rFonts w:cs="Arial"/>
                <w:sz w:val="20"/>
                <w:szCs w:val="20"/>
              </w:rPr>
              <w:t>he</w:t>
            </w:r>
            <w:r>
              <w:rPr>
                <w:rFonts w:cs="Arial"/>
                <w:sz w:val="20"/>
                <w:szCs w:val="20"/>
              </w:rPr>
              <w:t xml:space="preserve"> current</w:t>
            </w:r>
            <w:r w:rsidR="002668A9" w:rsidRPr="005B6783" w:rsidDel="00EE7A56">
              <w:rPr>
                <w:rFonts w:cs="Arial"/>
                <w:sz w:val="20"/>
                <w:szCs w:val="20"/>
              </w:rPr>
              <w:t xml:space="preserve"> </w:t>
            </w:r>
            <w:r w:rsidR="002668A9" w:rsidRPr="005B6783">
              <w:rPr>
                <w:rFonts w:cs="Arial"/>
                <w:sz w:val="20"/>
                <w:szCs w:val="20"/>
              </w:rPr>
              <w:t>NEMP</w:t>
            </w:r>
            <w:r w:rsidR="00A855C2">
              <w:rPr>
                <w:rFonts w:cs="Arial"/>
                <w:sz w:val="20"/>
                <w:szCs w:val="20"/>
              </w:rPr>
              <w:t xml:space="preserve"> 2.0</w:t>
            </w:r>
            <w:r w:rsidR="002668A9" w:rsidRPr="005B6783">
              <w:rPr>
                <w:rFonts w:cs="Arial"/>
                <w:sz w:val="20"/>
                <w:szCs w:val="20"/>
              </w:rPr>
              <w:t xml:space="preserve"> text has been revised to more clearly acknowledge that the majority of current PFAS contamination is thought to come from ongoing uses in domestic and commercial products and articles, with the remainder attributed to industrial trade waste and legacy contamination. This is supported by information provided in consultation feedback, particularly from utilities and waste management and resource recovery industry Moreover, there is often no way for domestic, commercial, and industrial customers to readily identify PFAS when purchasing products and articles.</w:t>
            </w:r>
            <w:r w:rsidR="00D6109B" w:rsidRPr="005B6783">
              <w:rPr>
                <w:rFonts w:cs="Arial"/>
                <w:sz w:val="20"/>
                <w:szCs w:val="20"/>
              </w:rPr>
              <w:t xml:space="preserve"> </w:t>
            </w:r>
          </w:p>
          <w:p w14:paraId="62EB6661" w14:textId="7DC04042" w:rsidR="002668A9" w:rsidRPr="005B6783" w:rsidRDefault="007A6983" w:rsidP="002668A9">
            <w:pPr>
              <w:rPr>
                <w:rFonts w:cs="Arial"/>
                <w:sz w:val="20"/>
                <w:szCs w:val="20"/>
              </w:rPr>
            </w:pPr>
            <w:r w:rsidRPr="005B6783">
              <w:rPr>
                <w:rFonts w:cs="Arial"/>
                <w:sz w:val="20"/>
                <w:szCs w:val="20"/>
              </w:rPr>
              <w:t>C</w:t>
            </w:r>
            <w:r w:rsidR="00D6109B" w:rsidRPr="005B6783">
              <w:rPr>
                <w:rFonts w:cs="Arial"/>
                <w:sz w:val="20"/>
                <w:szCs w:val="20"/>
              </w:rPr>
              <w:t>onsideration o</w:t>
            </w:r>
            <w:r w:rsidR="00C7736F" w:rsidRPr="005B6783">
              <w:rPr>
                <w:rFonts w:cs="Arial"/>
                <w:sz w:val="20"/>
                <w:szCs w:val="20"/>
              </w:rPr>
              <w:t xml:space="preserve">f potential market controls </w:t>
            </w:r>
            <w:r w:rsidR="00430EB4">
              <w:rPr>
                <w:rFonts w:cs="Arial"/>
                <w:sz w:val="20"/>
                <w:szCs w:val="20"/>
              </w:rPr>
              <w:t xml:space="preserve">remains </w:t>
            </w:r>
            <w:r w:rsidR="00D6109B" w:rsidRPr="005B6783">
              <w:rPr>
                <w:rFonts w:cs="Arial"/>
                <w:sz w:val="20"/>
                <w:szCs w:val="20"/>
              </w:rPr>
              <w:t xml:space="preserve">outside the scope of the NEMP. Consultation feedback received on this matter is being referred for consideration through relevant national processes </w:t>
            </w:r>
            <w:r w:rsidR="00D6109B" w:rsidRPr="005B6783">
              <w:rPr>
                <w:rFonts w:cs="Arial"/>
                <w:sz w:val="20"/>
                <w:szCs w:val="20"/>
              </w:rPr>
              <w:lastRenderedPageBreak/>
              <w:t>separate to the NEMP</w:t>
            </w:r>
            <w:r w:rsidR="005B6783">
              <w:rPr>
                <w:rFonts w:cs="Arial"/>
                <w:sz w:val="20"/>
                <w:szCs w:val="20"/>
              </w:rPr>
              <w:t xml:space="preserve"> (see question 9 of the overarching questions and answers at the start of this document)</w:t>
            </w:r>
            <w:r w:rsidR="00D6109B" w:rsidRPr="005B6783">
              <w:rPr>
                <w:rFonts w:cs="Arial"/>
                <w:sz w:val="20"/>
                <w:szCs w:val="20"/>
              </w:rPr>
              <w:t>.</w:t>
            </w:r>
          </w:p>
          <w:p w14:paraId="02F7E630" w14:textId="21B1351B" w:rsidR="00E10DB1" w:rsidRPr="005B6783" w:rsidRDefault="00E10DB1" w:rsidP="002668A9">
            <w:pPr>
              <w:rPr>
                <w:rFonts w:cs="Arial"/>
                <w:sz w:val="20"/>
                <w:szCs w:val="20"/>
              </w:rPr>
            </w:pPr>
            <w:r w:rsidRPr="005B6783">
              <w:rPr>
                <w:rFonts w:cs="Arial"/>
                <w:sz w:val="20"/>
                <w:szCs w:val="20"/>
              </w:rPr>
              <w:t xml:space="preserve">In regard to trade waste, </w:t>
            </w:r>
            <w:r w:rsidR="007A6983" w:rsidRPr="005B6783">
              <w:rPr>
                <w:rFonts w:cs="Arial"/>
                <w:sz w:val="20"/>
                <w:szCs w:val="20"/>
              </w:rPr>
              <w:t xml:space="preserve">environmental </w:t>
            </w:r>
            <w:r w:rsidRPr="005B6783">
              <w:rPr>
                <w:rFonts w:cs="Arial"/>
                <w:sz w:val="20"/>
                <w:szCs w:val="20"/>
              </w:rPr>
              <w:t>regulators recognise:</w:t>
            </w:r>
          </w:p>
          <w:p w14:paraId="574F8EDA" w14:textId="1EF8E697" w:rsidR="00E10DB1" w:rsidRPr="00476AF5" w:rsidRDefault="002668A9" w:rsidP="001F2932">
            <w:pPr>
              <w:pStyle w:val="bullet1"/>
              <w:rPr>
                <w:bCs/>
              </w:rPr>
            </w:pPr>
            <w:r w:rsidRPr="00476AF5">
              <w:t>The costs, benefits and unintended effects of trade waste interventions (such as suboptimal or non-compliant waste disposal) require careful consideration.</w:t>
            </w:r>
            <w:r w:rsidR="00476AF5">
              <w:t xml:space="preserve"> However, environmental regulators note that </w:t>
            </w:r>
          </w:p>
          <w:p w14:paraId="3BC71BB9" w14:textId="1154E0A6" w:rsidR="00496A3F" w:rsidRPr="00362B1B" w:rsidRDefault="002668A9" w:rsidP="001F2932">
            <w:pPr>
              <w:pStyle w:val="bullet1"/>
            </w:pPr>
            <w:r w:rsidRPr="00476AF5">
              <w:t>There may be difficulties in identifying, substantiating, and seeking remediation of, contamination from a specific entity. This can be a particular challenge in areas with multiple businesses and complex infrastructure, such as industrial estates, airports, and mixed-use areas</w:t>
            </w:r>
            <w:r w:rsidR="00892A70">
              <w:t>.</w:t>
            </w:r>
          </w:p>
          <w:p w14:paraId="17A731F8" w14:textId="4746721B" w:rsidR="002668A9" w:rsidRPr="00CC0A5C" w:rsidRDefault="00496A3F" w:rsidP="00362B1B">
            <w:pPr>
              <w:pStyle w:val="CommentText"/>
              <w:rPr>
                <w:bCs/>
              </w:rPr>
            </w:pPr>
            <w:r>
              <w:t xml:space="preserve">Note that water utilities </w:t>
            </w:r>
            <w:r w:rsidR="00073B26">
              <w:t xml:space="preserve">usually </w:t>
            </w:r>
            <w:r>
              <w:t>negotiate terms of their trade waste licences as part of commercial profit arrangements</w:t>
            </w:r>
            <w:r w:rsidR="00073B26">
              <w:t xml:space="preserve"> and this needs to be reflected in PFAS management criteria and guidance </w:t>
            </w:r>
            <w:r w:rsidR="00D95C64">
              <w:t xml:space="preserve">to be </w:t>
            </w:r>
            <w:r w:rsidR="00073B26">
              <w:t xml:space="preserve">developed for the NEMP. Such negotiations are not </w:t>
            </w:r>
            <w:r>
              <w:t>something gov</w:t>
            </w:r>
            <w:r w:rsidR="00073B26">
              <w:t xml:space="preserve">ernments generally </w:t>
            </w:r>
            <w:r>
              <w:t xml:space="preserve">do. </w:t>
            </w:r>
          </w:p>
        </w:tc>
      </w:tr>
      <w:tr w:rsidR="002668A9" w:rsidRPr="002668A9" w14:paraId="5D012BF5" w14:textId="77777777" w:rsidTr="00C36741">
        <w:tc>
          <w:tcPr>
            <w:tcW w:w="768" w:type="pct"/>
            <w:tcBorders>
              <w:top w:val="single" w:sz="4" w:space="0" w:color="auto"/>
              <w:left w:val="single" w:sz="4" w:space="0" w:color="auto"/>
              <w:bottom w:val="single" w:sz="4" w:space="0" w:color="auto"/>
              <w:right w:val="single" w:sz="4" w:space="0" w:color="auto"/>
            </w:tcBorders>
            <w:shd w:val="clear" w:color="auto" w:fill="auto"/>
          </w:tcPr>
          <w:p w14:paraId="763255AB" w14:textId="6C2C5239" w:rsidR="002668A9" w:rsidRPr="002668A9" w:rsidRDefault="002668A9" w:rsidP="002668A9">
            <w:pPr>
              <w:rPr>
                <w:rFonts w:cs="Arial"/>
                <w:bCs/>
                <w:sz w:val="20"/>
                <w:szCs w:val="20"/>
              </w:rPr>
            </w:pPr>
            <w:r w:rsidRPr="002668A9">
              <w:rPr>
                <w:rFonts w:cs="Arial"/>
                <w:bCs/>
                <w:sz w:val="20"/>
                <w:szCs w:val="20"/>
              </w:rPr>
              <w:lastRenderedPageBreak/>
              <w:t>Wastewater operations including treatment and cost recovery</w:t>
            </w:r>
          </w:p>
        </w:tc>
        <w:tc>
          <w:tcPr>
            <w:tcW w:w="1286" w:type="pct"/>
            <w:tcBorders>
              <w:top w:val="single" w:sz="4" w:space="0" w:color="auto"/>
              <w:left w:val="single" w:sz="4" w:space="0" w:color="auto"/>
              <w:bottom w:val="single" w:sz="4" w:space="0" w:color="auto"/>
              <w:right w:val="single" w:sz="4" w:space="0" w:color="auto"/>
            </w:tcBorders>
          </w:tcPr>
          <w:p w14:paraId="1CBA9563" w14:textId="0EA0E21E" w:rsidR="00AC1C7B" w:rsidRDefault="00AC1C7B" w:rsidP="002668A9">
            <w:pPr>
              <w:rPr>
                <w:rFonts w:cs="Arial"/>
                <w:bCs/>
                <w:sz w:val="20"/>
                <w:szCs w:val="20"/>
              </w:rPr>
            </w:pPr>
            <w:r>
              <w:rPr>
                <w:rFonts w:cs="Arial"/>
                <w:bCs/>
                <w:sz w:val="20"/>
                <w:szCs w:val="20"/>
              </w:rPr>
              <w:t>Feedback</w:t>
            </w:r>
            <w:r w:rsidR="00344D02">
              <w:rPr>
                <w:rFonts w:cs="Arial"/>
                <w:bCs/>
                <w:sz w:val="20"/>
                <w:szCs w:val="20"/>
              </w:rPr>
              <w:t xml:space="preserve"> received</w:t>
            </w:r>
            <w:r>
              <w:rPr>
                <w:rFonts w:cs="Arial"/>
                <w:bCs/>
                <w:sz w:val="20"/>
                <w:szCs w:val="20"/>
              </w:rPr>
              <w:t>:</w:t>
            </w:r>
          </w:p>
          <w:p w14:paraId="0FD745E3" w14:textId="509F6C5F" w:rsidR="00AC1C7B" w:rsidRPr="00AC1C7B" w:rsidRDefault="00AC1C7B" w:rsidP="00F321B6">
            <w:pPr>
              <w:pStyle w:val="bullet1"/>
            </w:pPr>
            <w:r w:rsidRPr="00AC1C7B">
              <w:t>Sought</w:t>
            </w:r>
            <w:r w:rsidR="002668A9" w:rsidRPr="00AC1C7B">
              <w:t xml:space="preserve"> clarification regarding the management of PFAS within the wastewater system, including operational and infrastructure considerations, availability, suitability and cost of pre-treatment, treatment and disposal options, and cost recovery including the polluter pays principle</w:t>
            </w:r>
            <w:r w:rsidR="008E644D">
              <w:t>;</w:t>
            </w:r>
          </w:p>
          <w:p w14:paraId="44212D86" w14:textId="45EC28C0" w:rsidR="00AC1C7B" w:rsidRPr="00AC1C7B" w:rsidRDefault="00AC1C7B" w:rsidP="00F321B6">
            <w:pPr>
              <w:pStyle w:val="bullet1"/>
            </w:pPr>
            <w:r w:rsidRPr="00AC1C7B">
              <w:t xml:space="preserve">Emphasised there are limited options available for treating and disposing of PFAS-contaminated materials, particularly in regional areas. Disposal of solid waste materials, although usually technically possible, is not necessarily affordable or feasible as a long-term option. For sewage, the consistent message from utilities is that there is no scientifically demonstrated, commercialised, scalable technology currently available in Australia that can meet the </w:t>
            </w:r>
            <w:r w:rsidRPr="00AC1C7B">
              <w:lastRenderedPageBreak/>
              <w:t xml:space="preserve">requirements of urban wastewater treatment plants. </w:t>
            </w:r>
          </w:p>
          <w:p w14:paraId="040D8945" w14:textId="1D475EE2" w:rsidR="00AC1C7B" w:rsidRPr="00AC1C7B" w:rsidRDefault="00AC1C7B" w:rsidP="00F321B6">
            <w:pPr>
              <w:pStyle w:val="bullet1"/>
            </w:pPr>
            <w:r w:rsidRPr="00AC1C7B">
              <w:t xml:space="preserve">Was provided on the threshold question of opportunities for cost recovery, consistent with the polluter pays principle. </w:t>
            </w:r>
          </w:p>
        </w:tc>
        <w:tc>
          <w:tcPr>
            <w:tcW w:w="913" w:type="pct"/>
            <w:tcBorders>
              <w:top w:val="single" w:sz="4" w:space="0" w:color="auto"/>
              <w:left w:val="single" w:sz="4" w:space="0" w:color="auto"/>
              <w:bottom w:val="single" w:sz="4" w:space="0" w:color="auto"/>
              <w:right w:val="single" w:sz="4" w:space="0" w:color="auto"/>
            </w:tcBorders>
          </w:tcPr>
          <w:p w14:paraId="4715F10E" w14:textId="77777777" w:rsidR="00F30EC5" w:rsidRPr="002668A9" w:rsidRDefault="00F30EC5" w:rsidP="002668A9">
            <w:pPr>
              <w:rPr>
                <w:rFonts w:cs="Arial"/>
                <w:bCs/>
                <w:sz w:val="20"/>
                <w:szCs w:val="20"/>
              </w:rPr>
            </w:pPr>
            <w:r>
              <w:rPr>
                <w:rFonts w:cs="Arial"/>
                <w:bCs/>
                <w:sz w:val="20"/>
                <w:szCs w:val="20"/>
              </w:rPr>
              <w:lastRenderedPageBreak/>
              <w:t>Australasian Land and Groundwater Association – submission 1</w:t>
            </w:r>
          </w:p>
          <w:p w14:paraId="2FCD7E0E" w14:textId="77777777" w:rsidR="00F30EC5" w:rsidRPr="002668A9" w:rsidRDefault="00F30EC5" w:rsidP="002668A9">
            <w:pPr>
              <w:rPr>
                <w:rFonts w:cs="Arial"/>
                <w:bCs/>
                <w:sz w:val="20"/>
                <w:szCs w:val="20"/>
              </w:rPr>
            </w:pPr>
            <w:r>
              <w:rPr>
                <w:rFonts w:cs="Arial"/>
                <w:bCs/>
                <w:sz w:val="20"/>
                <w:szCs w:val="20"/>
              </w:rPr>
              <w:t>Australian Landfill Owners’ Association</w:t>
            </w:r>
          </w:p>
          <w:p w14:paraId="79699C00" w14:textId="77777777" w:rsidR="00F30EC5" w:rsidRPr="002668A9" w:rsidRDefault="00F30EC5" w:rsidP="002668A9">
            <w:pPr>
              <w:rPr>
                <w:rFonts w:cs="Arial"/>
                <w:bCs/>
                <w:sz w:val="20"/>
                <w:szCs w:val="20"/>
              </w:rPr>
            </w:pPr>
            <w:r>
              <w:rPr>
                <w:rFonts w:cs="Arial"/>
                <w:bCs/>
                <w:sz w:val="20"/>
                <w:szCs w:val="20"/>
              </w:rPr>
              <w:t>Brisbane Airport Corporation</w:t>
            </w:r>
          </w:p>
          <w:p w14:paraId="63929FB0" w14:textId="6ED9F165" w:rsidR="00F30EC5" w:rsidRPr="002668A9" w:rsidRDefault="00406A71" w:rsidP="002668A9">
            <w:pPr>
              <w:rPr>
                <w:rFonts w:cs="Arial"/>
                <w:bCs/>
                <w:sz w:val="20"/>
                <w:szCs w:val="20"/>
              </w:rPr>
            </w:pPr>
            <w:r>
              <w:rPr>
                <w:rFonts w:cs="Arial"/>
                <w:bCs/>
                <w:sz w:val="20"/>
                <w:szCs w:val="20"/>
              </w:rPr>
              <w:t>Burdekin Shire Council and Bligh Tanner</w:t>
            </w:r>
          </w:p>
          <w:p w14:paraId="0B050E2A" w14:textId="77777777" w:rsidR="00F30EC5" w:rsidRDefault="00F30EC5" w:rsidP="002668A9">
            <w:pPr>
              <w:rPr>
                <w:rFonts w:cs="Arial"/>
                <w:bCs/>
                <w:sz w:val="20"/>
                <w:szCs w:val="20"/>
              </w:rPr>
            </w:pPr>
            <w:r>
              <w:rPr>
                <w:rFonts w:cs="Arial"/>
                <w:bCs/>
                <w:sz w:val="20"/>
                <w:szCs w:val="20"/>
              </w:rPr>
              <w:t>Clarence Valley Council</w:t>
            </w:r>
          </w:p>
          <w:p w14:paraId="5BFD11F6" w14:textId="77777777" w:rsidR="00F30EC5" w:rsidRDefault="00F30EC5" w:rsidP="002668A9">
            <w:pPr>
              <w:rPr>
                <w:rFonts w:cs="Arial"/>
                <w:bCs/>
                <w:sz w:val="20"/>
                <w:szCs w:val="20"/>
              </w:rPr>
            </w:pPr>
            <w:r>
              <w:rPr>
                <w:rFonts w:cs="Arial"/>
                <w:bCs/>
                <w:sz w:val="20"/>
                <w:szCs w:val="20"/>
              </w:rPr>
              <w:t>Friends of the Earth Australia</w:t>
            </w:r>
          </w:p>
          <w:p w14:paraId="16A6E6C2" w14:textId="77777777" w:rsidR="00F30EC5" w:rsidRDefault="00F30EC5" w:rsidP="002668A9">
            <w:pPr>
              <w:rPr>
                <w:rFonts w:cs="Arial"/>
                <w:bCs/>
                <w:sz w:val="20"/>
                <w:szCs w:val="20"/>
              </w:rPr>
            </w:pPr>
            <w:r>
              <w:rPr>
                <w:rFonts w:cs="Arial"/>
                <w:bCs/>
                <w:sz w:val="20"/>
                <w:szCs w:val="20"/>
              </w:rPr>
              <w:t>Hunter Water</w:t>
            </w:r>
          </w:p>
          <w:p w14:paraId="1BEF5288" w14:textId="77777777" w:rsidR="00F30EC5" w:rsidRDefault="00F30EC5" w:rsidP="002668A9">
            <w:pPr>
              <w:rPr>
                <w:rFonts w:cs="Arial"/>
                <w:bCs/>
                <w:sz w:val="20"/>
                <w:szCs w:val="20"/>
              </w:rPr>
            </w:pPr>
            <w:r>
              <w:rPr>
                <w:rFonts w:cs="Arial"/>
                <w:bCs/>
                <w:sz w:val="20"/>
                <w:szCs w:val="20"/>
              </w:rPr>
              <w:t>Melbourne Water</w:t>
            </w:r>
          </w:p>
          <w:p w14:paraId="473DEBC5" w14:textId="77777777" w:rsidR="00F30EC5" w:rsidRDefault="00F30EC5" w:rsidP="002668A9">
            <w:pPr>
              <w:rPr>
                <w:rFonts w:cs="Arial"/>
                <w:bCs/>
                <w:sz w:val="20"/>
                <w:szCs w:val="20"/>
              </w:rPr>
            </w:pPr>
            <w:r>
              <w:rPr>
                <w:rFonts w:cs="Arial"/>
                <w:bCs/>
                <w:sz w:val="20"/>
                <w:szCs w:val="20"/>
              </w:rPr>
              <w:t>NZ Ministry for the Environment</w:t>
            </w:r>
          </w:p>
          <w:p w14:paraId="2D8ABF88" w14:textId="77777777" w:rsidR="00F30EC5" w:rsidRPr="002668A9" w:rsidRDefault="00F30EC5" w:rsidP="002668A9">
            <w:pPr>
              <w:rPr>
                <w:rFonts w:cs="Arial"/>
                <w:bCs/>
                <w:sz w:val="20"/>
                <w:szCs w:val="20"/>
              </w:rPr>
            </w:pPr>
            <w:r>
              <w:rPr>
                <w:rFonts w:cs="Arial"/>
                <w:bCs/>
                <w:sz w:val="20"/>
                <w:szCs w:val="20"/>
              </w:rPr>
              <w:t>qldwater</w:t>
            </w:r>
          </w:p>
          <w:p w14:paraId="3EE28B83" w14:textId="77777777" w:rsidR="00F30EC5" w:rsidRDefault="00F30EC5" w:rsidP="002668A9">
            <w:pPr>
              <w:rPr>
                <w:rFonts w:cs="Arial"/>
                <w:bCs/>
                <w:sz w:val="20"/>
                <w:szCs w:val="20"/>
              </w:rPr>
            </w:pPr>
            <w:r>
              <w:rPr>
                <w:rFonts w:cs="Arial"/>
                <w:bCs/>
                <w:sz w:val="20"/>
                <w:szCs w:val="20"/>
              </w:rPr>
              <w:t>South East Water</w:t>
            </w:r>
          </w:p>
          <w:p w14:paraId="140F08E5" w14:textId="77777777" w:rsidR="00F30EC5" w:rsidRDefault="00F30EC5" w:rsidP="002668A9">
            <w:pPr>
              <w:rPr>
                <w:rFonts w:cs="Arial"/>
                <w:bCs/>
                <w:sz w:val="20"/>
                <w:szCs w:val="20"/>
              </w:rPr>
            </w:pPr>
            <w:r>
              <w:rPr>
                <w:rFonts w:cs="Arial"/>
                <w:bCs/>
                <w:sz w:val="20"/>
                <w:szCs w:val="20"/>
              </w:rPr>
              <w:lastRenderedPageBreak/>
              <w:t>Sydney Water</w:t>
            </w:r>
          </w:p>
          <w:p w14:paraId="1FD4E6AD" w14:textId="77777777" w:rsidR="00F30EC5" w:rsidRDefault="00F30EC5" w:rsidP="002668A9">
            <w:pPr>
              <w:rPr>
                <w:rFonts w:cs="Arial"/>
                <w:bCs/>
                <w:sz w:val="20"/>
                <w:szCs w:val="20"/>
              </w:rPr>
            </w:pPr>
            <w:r>
              <w:rPr>
                <w:rFonts w:cs="Arial"/>
                <w:bCs/>
                <w:sz w:val="20"/>
                <w:szCs w:val="20"/>
              </w:rPr>
              <w:t>Victorian Water Industry Association</w:t>
            </w:r>
          </w:p>
          <w:p w14:paraId="45A23824" w14:textId="77777777" w:rsidR="00F30EC5" w:rsidRDefault="00F30EC5" w:rsidP="002668A9">
            <w:pPr>
              <w:rPr>
                <w:rFonts w:cs="Arial"/>
                <w:bCs/>
                <w:sz w:val="20"/>
                <w:szCs w:val="20"/>
              </w:rPr>
            </w:pPr>
            <w:r>
              <w:rPr>
                <w:rFonts w:cs="Arial"/>
                <w:bCs/>
                <w:sz w:val="20"/>
                <w:szCs w:val="20"/>
              </w:rPr>
              <w:t>WA Government</w:t>
            </w:r>
          </w:p>
          <w:p w14:paraId="7B5086E1" w14:textId="77777777" w:rsidR="00F30EC5" w:rsidRDefault="00F30EC5" w:rsidP="002668A9">
            <w:pPr>
              <w:rPr>
                <w:rFonts w:cs="Arial"/>
                <w:bCs/>
                <w:sz w:val="20"/>
                <w:szCs w:val="20"/>
              </w:rPr>
            </w:pPr>
            <w:r>
              <w:rPr>
                <w:rFonts w:cs="Arial"/>
                <w:bCs/>
                <w:sz w:val="20"/>
                <w:szCs w:val="20"/>
              </w:rPr>
              <w:t xml:space="preserve">Warren Godson </w:t>
            </w:r>
          </w:p>
          <w:p w14:paraId="5B5362B8" w14:textId="77777777" w:rsidR="00F30EC5" w:rsidRDefault="00F30EC5" w:rsidP="002668A9">
            <w:pPr>
              <w:rPr>
                <w:rFonts w:cs="Arial"/>
                <w:bCs/>
                <w:sz w:val="20"/>
                <w:szCs w:val="20"/>
              </w:rPr>
            </w:pPr>
            <w:r>
              <w:rPr>
                <w:rFonts w:cs="Arial"/>
                <w:bCs/>
                <w:sz w:val="20"/>
                <w:szCs w:val="20"/>
              </w:rPr>
              <w:t>Waste Management and Resource Recovery Association</w:t>
            </w:r>
          </w:p>
          <w:p w14:paraId="13C6C271" w14:textId="28FF05C9" w:rsidR="002668A9" w:rsidRPr="002668A9" w:rsidRDefault="00F30EC5" w:rsidP="002668A9">
            <w:pPr>
              <w:rPr>
                <w:rFonts w:cs="Arial"/>
                <w:bCs/>
                <w:sz w:val="20"/>
                <w:szCs w:val="20"/>
              </w:rPr>
            </w:pPr>
            <w:r>
              <w:rPr>
                <w:rFonts w:cs="Arial"/>
                <w:bCs/>
                <w:sz w:val="20"/>
                <w:szCs w:val="20"/>
              </w:rPr>
              <w:t>Water Services Association of Australia</w:t>
            </w:r>
          </w:p>
        </w:tc>
        <w:tc>
          <w:tcPr>
            <w:tcW w:w="20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5CD092" w14:textId="459E63AB" w:rsidR="001C4EFE" w:rsidRPr="002668A9" w:rsidRDefault="001C4EFE" w:rsidP="002668A9">
            <w:pPr>
              <w:rPr>
                <w:rFonts w:cs="Arial"/>
                <w:bCs/>
                <w:sz w:val="20"/>
                <w:szCs w:val="20"/>
              </w:rPr>
            </w:pPr>
            <w:r>
              <w:rPr>
                <w:rFonts w:cs="Arial"/>
                <w:bCs/>
                <w:sz w:val="20"/>
                <w:szCs w:val="20"/>
              </w:rPr>
              <w:lastRenderedPageBreak/>
              <w:t>Regarding options to treat and dispose of PFAS-contaminated materials</w:t>
            </w:r>
            <w:r w:rsidR="00326B00">
              <w:rPr>
                <w:rFonts w:cs="Arial"/>
                <w:bCs/>
                <w:sz w:val="20"/>
                <w:szCs w:val="20"/>
              </w:rPr>
              <w:t xml:space="preserve">, environmental regulators note that while </w:t>
            </w:r>
            <w:r w:rsidR="00326B00" w:rsidRPr="00326B00">
              <w:rPr>
                <w:rFonts w:cs="Arial"/>
                <w:bCs/>
                <w:sz w:val="20"/>
                <w:szCs w:val="20"/>
              </w:rPr>
              <w:t xml:space="preserve">there are commercially available </w:t>
            </w:r>
            <w:r w:rsidR="00326B00">
              <w:rPr>
                <w:rFonts w:cs="Arial"/>
                <w:bCs/>
                <w:sz w:val="20"/>
                <w:szCs w:val="20"/>
              </w:rPr>
              <w:t xml:space="preserve">and </w:t>
            </w:r>
            <w:r w:rsidR="00326B00" w:rsidRPr="00326B00">
              <w:rPr>
                <w:rFonts w:cs="Arial"/>
                <w:bCs/>
                <w:sz w:val="20"/>
                <w:szCs w:val="20"/>
              </w:rPr>
              <w:t xml:space="preserve">effective water treatment technologies in use, </w:t>
            </w:r>
            <w:r w:rsidR="00326B00">
              <w:rPr>
                <w:rFonts w:cs="Arial"/>
                <w:bCs/>
                <w:sz w:val="20"/>
                <w:szCs w:val="20"/>
              </w:rPr>
              <w:t xml:space="preserve">a key matter is finding a </w:t>
            </w:r>
            <w:r w:rsidR="00DE277A">
              <w:rPr>
                <w:rFonts w:cs="Arial"/>
                <w:bCs/>
                <w:sz w:val="20"/>
                <w:szCs w:val="20"/>
              </w:rPr>
              <w:t>technology</w:t>
            </w:r>
            <w:r w:rsidR="00326B00">
              <w:rPr>
                <w:rFonts w:cs="Arial"/>
                <w:bCs/>
                <w:sz w:val="20"/>
                <w:szCs w:val="20"/>
              </w:rPr>
              <w:t xml:space="preserve"> that can </w:t>
            </w:r>
            <w:r w:rsidR="00326B00" w:rsidRPr="00326B00">
              <w:rPr>
                <w:rFonts w:cs="Arial"/>
                <w:bCs/>
                <w:sz w:val="20"/>
                <w:szCs w:val="20"/>
              </w:rPr>
              <w:t>handle the volumes</w:t>
            </w:r>
            <w:r w:rsidR="00326B00">
              <w:rPr>
                <w:rFonts w:cs="Arial"/>
                <w:bCs/>
                <w:sz w:val="20"/>
                <w:szCs w:val="20"/>
              </w:rPr>
              <w:t xml:space="preserve"> of material generated.</w:t>
            </w:r>
          </w:p>
          <w:p w14:paraId="4198671D" w14:textId="6F004CF7" w:rsidR="002668A9" w:rsidRPr="002668A9" w:rsidRDefault="009D6F76" w:rsidP="002668A9">
            <w:pPr>
              <w:rPr>
                <w:rFonts w:cs="Arial"/>
                <w:bCs/>
                <w:sz w:val="20"/>
                <w:szCs w:val="20"/>
              </w:rPr>
            </w:pPr>
            <w:r w:rsidRPr="002668A9">
              <w:rPr>
                <w:rFonts w:cs="Arial"/>
                <w:bCs/>
                <w:sz w:val="20"/>
                <w:szCs w:val="20"/>
              </w:rPr>
              <w:t xml:space="preserve">Cost recovery, if feasible, would enable utilities to set appropriate price signals for acceptance of contaminated wastewater from trade waste customers. </w:t>
            </w:r>
            <w:r w:rsidR="00D96A6B">
              <w:rPr>
                <w:rFonts w:cs="Arial"/>
                <w:bCs/>
                <w:sz w:val="20"/>
                <w:szCs w:val="20"/>
              </w:rPr>
              <w:t>Regarding</w:t>
            </w:r>
            <w:r w:rsidR="002668A9" w:rsidRPr="002668A9" w:rsidDel="00D96A6B">
              <w:rPr>
                <w:rFonts w:cs="Arial"/>
                <w:bCs/>
                <w:sz w:val="20"/>
                <w:szCs w:val="20"/>
              </w:rPr>
              <w:t xml:space="preserve"> </w:t>
            </w:r>
            <w:r w:rsidR="002668A9" w:rsidRPr="002668A9">
              <w:rPr>
                <w:rFonts w:cs="Arial"/>
                <w:bCs/>
                <w:sz w:val="20"/>
                <w:szCs w:val="20"/>
              </w:rPr>
              <w:t xml:space="preserve">opportunities for </w:t>
            </w:r>
            <w:r>
              <w:rPr>
                <w:rFonts w:cs="Arial"/>
                <w:bCs/>
                <w:sz w:val="20"/>
                <w:szCs w:val="20"/>
              </w:rPr>
              <w:t xml:space="preserve">wider </w:t>
            </w:r>
            <w:r w:rsidR="002668A9" w:rsidRPr="002668A9">
              <w:rPr>
                <w:rFonts w:cs="Arial"/>
                <w:bCs/>
                <w:sz w:val="20"/>
                <w:szCs w:val="20"/>
              </w:rPr>
              <w:t>cost recovery,</w:t>
            </w:r>
            <w:r w:rsidR="002668A9" w:rsidRPr="002668A9" w:rsidDel="00D96A6B">
              <w:rPr>
                <w:rFonts w:cs="Arial"/>
                <w:bCs/>
                <w:sz w:val="20"/>
                <w:szCs w:val="20"/>
              </w:rPr>
              <w:t xml:space="preserve"> </w:t>
            </w:r>
            <w:r w:rsidR="00D96A6B">
              <w:rPr>
                <w:rFonts w:cs="Arial"/>
                <w:bCs/>
                <w:sz w:val="20"/>
                <w:szCs w:val="20"/>
              </w:rPr>
              <w:t>t</w:t>
            </w:r>
            <w:r w:rsidR="002668A9" w:rsidRPr="002668A9">
              <w:rPr>
                <w:rFonts w:cs="Arial"/>
                <w:bCs/>
                <w:sz w:val="20"/>
                <w:szCs w:val="20"/>
              </w:rPr>
              <w:t>he text in the NEMP</w:t>
            </w:r>
            <w:r w:rsidR="00AD066D">
              <w:rPr>
                <w:rFonts w:cs="Arial"/>
                <w:bCs/>
                <w:sz w:val="20"/>
                <w:szCs w:val="20"/>
              </w:rPr>
              <w:t xml:space="preserve"> 2.0</w:t>
            </w:r>
            <w:r w:rsidR="002668A9" w:rsidRPr="002668A9">
              <w:rPr>
                <w:rFonts w:cs="Arial"/>
                <w:bCs/>
                <w:sz w:val="20"/>
                <w:szCs w:val="20"/>
              </w:rPr>
              <w:t xml:space="preserve"> has been clarified to acknowledge that utilities are secondary sources of PFAS with very limited ability to identify or control PFAS in wastewater from primary or diffuse </w:t>
            </w:r>
            <w:r>
              <w:rPr>
                <w:rFonts w:cs="Arial"/>
                <w:bCs/>
                <w:sz w:val="20"/>
                <w:szCs w:val="20"/>
              </w:rPr>
              <w:t>(</w:t>
            </w:r>
            <w:r w:rsidR="000B0C8E">
              <w:rPr>
                <w:rFonts w:cs="Arial"/>
                <w:bCs/>
                <w:sz w:val="20"/>
                <w:szCs w:val="20"/>
              </w:rPr>
              <w:t>i.e.</w:t>
            </w:r>
            <w:r>
              <w:rPr>
                <w:rFonts w:cs="Arial"/>
                <w:bCs/>
                <w:sz w:val="20"/>
                <w:szCs w:val="20"/>
              </w:rPr>
              <w:t xml:space="preserve"> domestic) </w:t>
            </w:r>
            <w:r w:rsidR="002668A9" w:rsidRPr="002668A9">
              <w:rPr>
                <w:rFonts w:cs="Arial"/>
                <w:bCs/>
                <w:sz w:val="20"/>
                <w:szCs w:val="20"/>
              </w:rPr>
              <w:t>sources.</w:t>
            </w:r>
            <w:r>
              <w:rPr>
                <w:rFonts w:cs="Arial"/>
                <w:bCs/>
                <w:sz w:val="20"/>
                <w:szCs w:val="20"/>
              </w:rPr>
              <w:t xml:space="preserve"> </w:t>
            </w:r>
            <w:r w:rsidR="002668A9" w:rsidRPr="002668A9">
              <w:rPr>
                <w:rFonts w:cs="Arial"/>
                <w:bCs/>
                <w:sz w:val="20"/>
                <w:szCs w:val="20"/>
              </w:rPr>
              <w:t>There are also uncertainties associated with stormwater and groundwater intrusion and potential legacy contamination of sewerage assets.</w:t>
            </w:r>
          </w:p>
          <w:p w14:paraId="0EB8A791" w14:textId="0DC213B5" w:rsidR="00FD4BCD" w:rsidRPr="002668A9" w:rsidRDefault="00D96A6B" w:rsidP="00D96A6B">
            <w:pPr>
              <w:rPr>
                <w:rFonts w:cs="Arial"/>
                <w:bCs/>
                <w:sz w:val="20"/>
                <w:szCs w:val="20"/>
              </w:rPr>
            </w:pPr>
            <w:r>
              <w:rPr>
                <w:rFonts w:cs="Arial"/>
                <w:bCs/>
                <w:sz w:val="20"/>
                <w:szCs w:val="20"/>
              </w:rPr>
              <w:t xml:space="preserve">Environmental regulators recognise that </w:t>
            </w:r>
            <w:r w:rsidR="002668A9" w:rsidRPr="002668A9">
              <w:rPr>
                <w:rFonts w:cs="Arial"/>
                <w:bCs/>
                <w:sz w:val="20"/>
                <w:szCs w:val="20"/>
              </w:rPr>
              <w:t xml:space="preserve">that establishing an integrated approach to containment, treatment and disposal of PFAS (and potentially other contaminants of emerging concern) in wastewater would not be a short-term project. It </w:t>
            </w:r>
            <w:r w:rsidR="001C4EFE" w:rsidRPr="002668A9">
              <w:rPr>
                <w:rFonts w:cs="Arial"/>
                <w:bCs/>
                <w:sz w:val="20"/>
                <w:szCs w:val="20"/>
              </w:rPr>
              <w:t>would involve</w:t>
            </w:r>
            <w:r w:rsidR="002668A9" w:rsidRPr="002668A9">
              <w:rPr>
                <w:rFonts w:cs="Arial"/>
                <w:bCs/>
                <w:sz w:val="20"/>
                <w:szCs w:val="20"/>
              </w:rPr>
              <w:t xml:space="preserve"> a significant collaborative effort between the water industry, researchers and regulators to identify pragmatic options, evaluate net environmental benefits, and make the case for additional investments where appropriate. A key consideration would be </w:t>
            </w:r>
            <w:r w:rsidR="002668A9" w:rsidRPr="002668A9">
              <w:rPr>
                <w:rFonts w:cs="Arial"/>
                <w:bCs/>
                <w:sz w:val="20"/>
                <w:szCs w:val="20"/>
              </w:rPr>
              <w:lastRenderedPageBreak/>
              <w:t>mechanisms to appropriately allocate costs, with reference to value for money, public benefit, and the polluter pays principle.</w:t>
            </w:r>
          </w:p>
        </w:tc>
      </w:tr>
      <w:tr w:rsidR="002668A9" w:rsidRPr="002668A9" w14:paraId="10D15340" w14:textId="77777777" w:rsidTr="00C36741">
        <w:tc>
          <w:tcPr>
            <w:tcW w:w="768" w:type="pct"/>
            <w:tcBorders>
              <w:top w:val="single" w:sz="4" w:space="0" w:color="auto"/>
              <w:left w:val="single" w:sz="4" w:space="0" w:color="auto"/>
              <w:bottom w:val="single" w:sz="4" w:space="0" w:color="auto"/>
              <w:right w:val="single" w:sz="4" w:space="0" w:color="auto"/>
            </w:tcBorders>
            <w:shd w:val="clear" w:color="auto" w:fill="auto"/>
          </w:tcPr>
          <w:p w14:paraId="11003E62" w14:textId="42A3D37B" w:rsidR="002668A9" w:rsidRPr="002668A9" w:rsidRDefault="002668A9" w:rsidP="002668A9">
            <w:pPr>
              <w:rPr>
                <w:rFonts w:cs="Arial"/>
                <w:bCs/>
                <w:sz w:val="20"/>
                <w:szCs w:val="20"/>
              </w:rPr>
            </w:pPr>
            <w:r w:rsidRPr="002668A9">
              <w:rPr>
                <w:rFonts w:cs="Arial"/>
                <w:bCs/>
                <w:sz w:val="20"/>
                <w:szCs w:val="20"/>
              </w:rPr>
              <w:lastRenderedPageBreak/>
              <w:t xml:space="preserve">Wastewater outputs including biosolids, recycled water, effluent, and residuals, and </w:t>
            </w:r>
            <w:r w:rsidR="006E7F84" w:rsidRPr="002668A9">
              <w:rPr>
                <w:rFonts w:cs="Arial"/>
                <w:bCs/>
                <w:sz w:val="20"/>
                <w:szCs w:val="20"/>
              </w:rPr>
              <w:t>environmental monitoring</w:t>
            </w:r>
            <w:r w:rsidRPr="002668A9">
              <w:rPr>
                <w:rFonts w:cs="Arial"/>
                <w:bCs/>
                <w:sz w:val="20"/>
                <w:szCs w:val="20"/>
              </w:rPr>
              <w:t xml:space="preserve"> and risk assessment</w:t>
            </w:r>
          </w:p>
        </w:tc>
        <w:tc>
          <w:tcPr>
            <w:tcW w:w="1286" w:type="pct"/>
            <w:tcBorders>
              <w:top w:val="single" w:sz="4" w:space="0" w:color="auto"/>
              <w:left w:val="single" w:sz="4" w:space="0" w:color="auto"/>
              <w:bottom w:val="single" w:sz="4" w:space="0" w:color="auto"/>
              <w:right w:val="single" w:sz="4" w:space="0" w:color="auto"/>
            </w:tcBorders>
          </w:tcPr>
          <w:p w14:paraId="5165EA0D" w14:textId="5A536A95" w:rsidR="002668A9" w:rsidRPr="002668A9" w:rsidRDefault="002668A9" w:rsidP="002668A9">
            <w:pPr>
              <w:rPr>
                <w:rFonts w:cs="Arial"/>
                <w:bCs/>
                <w:sz w:val="20"/>
                <w:szCs w:val="20"/>
              </w:rPr>
            </w:pPr>
            <w:r w:rsidRPr="002668A9">
              <w:rPr>
                <w:rFonts w:cs="Arial"/>
                <w:bCs/>
                <w:sz w:val="20"/>
                <w:szCs w:val="20"/>
              </w:rPr>
              <w:t>Comments seeking clarification regarding the management of PFAS outputs from the wastewater system, including biosolids, recycled water, effluent, and residuals, and environmental monitoring and risk assessment.</w:t>
            </w:r>
          </w:p>
        </w:tc>
        <w:tc>
          <w:tcPr>
            <w:tcW w:w="913" w:type="pct"/>
            <w:tcBorders>
              <w:top w:val="single" w:sz="4" w:space="0" w:color="auto"/>
              <w:left w:val="single" w:sz="4" w:space="0" w:color="auto"/>
              <w:bottom w:val="single" w:sz="4" w:space="0" w:color="auto"/>
              <w:right w:val="single" w:sz="4" w:space="0" w:color="auto"/>
            </w:tcBorders>
          </w:tcPr>
          <w:p w14:paraId="4FA243B7" w14:textId="77777777" w:rsidR="006B3A71" w:rsidRPr="002668A9" w:rsidRDefault="006B3A71" w:rsidP="006B3A71">
            <w:pPr>
              <w:rPr>
                <w:rFonts w:cs="Arial"/>
                <w:bCs/>
                <w:sz w:val="20"/>
                <w:szCs w:val="20"/>
              </w:rPr>
            </w:pPr>
            <w:r>
              <w:rPr>
                <w:rFonts w:cs="Arial"/>
                <w:bCs/>
                <w:sz w:val="20"/>
                <w:szCs w:val="20"/>
              </w:rPr>
              <w:t>Australasian Land and Groundwater Association – submission 1</w:t>
            </w:r>
          </w:p>
          <w:p w14:paraId="46F61103" w14:textId="215E3346" w:rsidR="0032684A" w:rsidRDefault="00406A71" w:rsidP="002668A9">
            <w:pPr>
              <w:rPr>
                <w:rFonts w:cs="Arial"/>
                <w:bCs/>
                <w:sz w:val="20"/>
                <w:szCs w:val="20"/>
              </w:rPr>
            </w:pPr>
            <w:r>
              <w:rPr>
                <w:rFonts w:cs="Arial"/>
                <w:bCs/>
                <w:sz w:val="20"/>
                <w:szCs w:val="20"/>
              </w:rPr>
              <w:t>Australian Government - Airservices Australia</w:t>
            </w:r>
          </w:p>
          <w:p w14:paraId="35E1C4DE" w14:textId="1A4B55F1" w:rsidR="006B3A71" w:rsidRDefault="006B3A71" w:rsidP="002668A9">
            <w:pPr>
              <w:rPr>
                <w:rFonts w:cs="Arial"/>
                <w:bCs/>
                <w:sz w:val="20"/>
                <w:szCs w:val="20"/>
              </w:rPr>
            </w:pPr>
            <w:r>
              <w:rPr>
                <w:rFonts w:cs="Arial"/>
                <w:bCs/>
                <w:sz w:val="20"/>
                <w:szCs w:val="20"/>
              </w:rPr>
              <w:t>Australian Government - DITCRD</w:t>
            </w:r>
          </w:p>
          <w:p w14:paraId="76E869D5" w14:textId="77777777" w:rsidR="0032684A" w:rsidRDefault="0032684A" w:rsidP="002668A9">
            <w:pPr>
              <w:rPr>
                <w:rFonts w:cs="Arial"/>
                <w:bCs/>
                <w:sz w:val="20"/>
                <w:szCs w:val="20"/>
              </w:rPr>
            </w:pPr>
            <w:r>
              <w:rPr>
                <w:rFonts w:cs="Arial"/>
                <w:bCs/>
                <w:sz w:val="20"/>
                <w:szCs w:val="20"/>
              </w:rPr>
              <w:t>Brisbane Airport Corporation</w:t>
            </w:r>
          </w:p>
          <w:p w14:paraId="4D30FDA0" w14:textId="5E81ECE7" w:rsidR="0032684A" w:rsidRDefault="00406A71" w:rsidP="002668A9">
            <w:pPr>
              <w:rPr>
                <w:rFonts w:cs="Arial"/>
                <w:bCs/>
                <w:sz w:val="20"/>
                <w:szCs w:val="20"/>
              </w:rPr>
            </w:pPr>
            <w:r>
              <w:rPr>
                <w:rFonts w:cs="Arial"/>
                <w:bCs/>
                <w:sz w:val="20"/>
                <w:szCs w:val="20"/>
              </w:rPr>
              <w:t>Burdekin Shire Council and Bligh Tanner</w:t>
            </w:r>
          </w:p>
          <w:p w14:paraId="6B7EB6AB" w14:textId="77777777" w:rsidR="0032684A" w:rsidRDefault="0032684A" w:rsidP="002668A9">
            <w:pPr>
              <w:rPr>
                <w:rFonts w:cs="Arial"/>
                <w:bCs/>
                <w:sz w:val="20"/>
                <w:szCs w:val="20"/>
              </w:rPr>
            </w:pPr>
            <w:r>
              <w:rPr>
                <w:rFonts w:cs="Arial"/>
                <w:bCs/>
                <w:sz w:val="20"/>
                <w:szCs w:val="20"/>
              </w:rPr>
              <w:t>Clarence Valley Council</w:t>
            </w:r>
          </w:p>
          <w:p w14:paraId="6E078724" w14:textId="77777777" w:rsidR="0032684A" w:rsidRDefault="0032684A" w:rsidP="002668A9">
            <w:pPr>
              <w:rPr>
                <w:rFonts w:cs="Arial"/>
                <w:bCs/>
                <w:sz w:val="20"/>
                <w:szCs w:val="20"/>
              </w:rPr>
            </w:pPr>
            <w:r>
              <w:rPr>
                <w:rFonts w:cs="Arial"/>
                <w:bCs/>
                <w:sz w:val="20"/>
                <w:szCs w:val="20"/>
              </w:rPr>
              <w:t>ExxonMobil Australia</w:t>
            </w:r>
          </w:p>
          <w:p w14:paraId="31D85336" w14:textId="77777777" w:rsidR="0032684A" w:rsidRDefault="0032684A" w:rsidP="002668A9">
            <w:pPr>
              <w:rPr>
                <w:rFonts w:cs="Arial"/>
                <w:bCs/>
                <w:sz w:val="20"/>
                <w:szCs w:val="20"/>
              </w:rPr>
            </w:pPr>
            <w:r>
              <w:rPr>
                <w:rFonts w:cs="Arial"/>
                <w:bCs/>
                <w:sz w:val="20"/>
                <w:szCs w:val="20"/>
              </w:rPr>
              <w:lastRenderedPageBreak/>
              <w:t>Friends of the Earth Australia</w:t>
            </w:r>
          </w:p>
          <w:p w14:paraId="52FCFE15" w14:textId="77777777" w:rsidR="0032684A" w:rsidRDefault="0032684A" w:rsidP="002668A9">
            <w:pPr>
              <w:rPr>
                <w:rFonts w:cs="Arial"/>
                <w:bCs/>
                <w:sz w:val="20"/>
                <w:szCs w:val="20"/>
              </w:rPr>
            </w:pPr>
            <w:r>
              <w:rPr>
                <w:rFonts w:cs="Arial"/>
                <w:bCs/>
                <w:sz w:val="20"/>
                <w:szCs w:val="20"/>
              </w:rPr>
              <w:t>Hunter Water</w:t>
            </w:r>
          </w:p>
          <w:p w14:paraId="4EAC3FB3" w14:textId="77777777" w:rsidR="0032684A" w:rsidRDefault="0032684A" w:rsidP="002668A9">
            <w:pPr>
              <w:rPr>
                <w:rFonts w:cs="Arial"/>
                <w:bCs/>
                <w:sz w:val="20"/>
                <w:szCs w:val="20"/>
              </w:rPr>
            </w:pPr>
            <w:r>
              <w:rPr>
                <w:rFonts w:cs="Arial"/>
                <w:bCs/>
                <w:sz w:val="20"/>
                <w:szCs w:val="20"/>
              </w:rPr>
              <w:t>Melbourne Water</w:t>
            </w:r>
          </w:p>
          <w:p w14:paraId="41148839" w14:textId="6B972D55" w:rsidR="0032684A" w:rsidRDefault="00406A71" w:rsidP="002668A9">
            <w:pPr>
              <w:rPr>
                <w:rFonts w:cs="Arial"/>
                <w:bCs/>
                <w:sz w:val="20"/>
                <w:szCs w:val="20"/>
              </w:rPr>
            </w:pPr>
            <w:r>
              <w:rPr>
                <w:rFonts w:cs="Arial"/>
                <w:bCs/>
                <w:sz w:val="20"/>
                <w:szCs w:val="20"/>
              </w:rPr>
              <w:t>NSW EPA - Hazardous Materials Unit</w:t>
            </w:r>
          </w:p>
          <w:p w14:paraId="4BBAD683" w14:textId="3E0C1FBC" w:rsidR="0032684A" w:rsidRPr="002668A9" w:rsidRDefault="001A0C05" w:rsidP="002668A9">
            <w:pPr>
              <w:rPr>
                <w:rFonts w:cs="Arial"/>
                <w:bCs/>
                <w:sz w:val="20"/>
                <w:szCs w:val="20"/>
              </w:rPr>
            </w:pPr>
            <w:r>
              <w:rPr>
                <w:rFonts w:cs="Arial"/>
                <w:bCs/>
                <w:sz w:val="20"/>
                <w:szCs w:val="20"/>
              </w:rPr>
              <w:t>NZ Regional</w:t>
            </w:r>
            <w:r w:rsidR="00406A71">
              <w:rPr>
                <w:rFonts w:cs="Arial"/>
                <w:bCs/>
                <w:sz w:val="20"/>
                <w:szCs w:val="20"/>
              </w:rPr>
              <w:t xml:space="preserve"> and Unitary Councils - Contaminated Land and Waste Special Interest Group</w:t>
            </w:r>
          </w:p>
          <w:p w14:paraId="59C43754" w14:textId="77777777" w:rsidR="0032684A" w:rsidRDefault="0032684A" w:rsidP="002668A9">
            <w:pPr>
              <w:rPr>
                <w:rFonts w:cs="Arial"/>
                <w:bCs/>
                <w:sz w:val="20"/>
                <w:szCs w:val="20"/>
              </w:rPr>
            </w:pPr>
            <w:r>
              <w:rPr>
                <w:rFonts w:cs="Arial"/>
                <w:bCs/>
                <w:sz w:val="20"/>
                <w:szCs w:val="20"/>
              </w:rPr>
              <w:t>qldwater</w:t>
            </w:r>
          </w:p>
          <w:p w14:paraId="578B8641" w14:textId="77777777" w:rsidR="0032684A" w:rsidRPr="002668A9" w:rsidRDefault="0032684A" w:rsidP="002668A9">
            <w:pPr>
              <w:rPr>
                <w:rFonts w:cs="Arial"/>
                <w:bCs/>
                <w:sz w:val="20"/>
                <w:szCs w:val="20"/>
              </w:rPr>
            </w:pPr>
            <w:r>
              <w:rPr>
                <w:rFonts w:cs="Arial"/>
                <w:bCs/>
                <w:sz w:val="20"/>
                <w:szCs w:val="20"/>
              </w:rPr>
              <w:t>Queensland Farmers’ Federation</w:t>
            </w:r>
          </w:p>
          <w:p w14:paraId="1EAA454E" w14:textId="77777777" w:rsidR="0032684A" w:rsidRPr="002668A9" w:rsidRDefault="0032684A" w:rsidP="002668A9">
            <w:pPr>
              <w:rPr>
                <w:rFonts w:cs="Arial"/>
                <w:bCs/>
                <w:sz w:val="20"/>
                <w:szCs w:val="20"/>
              </w:rPr>
            </w:pPr>
            <w:r>
              <w:rPr>
                <w:rFonts w:cs="Arial"/>
                <w:bCs/>
                <w:sz w:val="20"/>
                <w:szCs w:val="20"/>
              </w:rPr>
              <w:t>Queensland Urban Utilities</w:t>
            </w:r>
          </w:p>
          <w:p w14:paraId="05318513" w14:textId="77777777" w:rsidR="0032684A" w:rsidRDefault="0032684A" w:rsidP="002668A9">
            <w:pPr>
              <w:rPr>
                <w:rFonts w:cs="Arial"/>
                <w:bCs/>
                <w:sz w:val="20"/>
                <w:szCs w:val="20"/>
              </w:rPr>
            </w:pPr>
            <w:r>
              <w:rPr>
                <w:rFonts w:cs="Arial"/>
                <w:bCs/>
                <w:sz w:val="20"/>
                <w:szCs w:val="20"/>
              </w:rPr>
              <w:t>South East Water</w:t>
            </w:r>
          </w:p>
          <w:p w14:paraId="57CAE52B" w14:textId="77777777" w:rsidR="0032684A" w:rsidRDefault="0032684A" w:rsidP="002668A9">
            <w:pPr>
              <w:rPr>
                <w:rFonts w:cs="Arial"/>
                <w:bCs/>
                <w:sz w:val="20"/>
                <w:szCs w:val="20"/>
              </w:rPr>
            </w:pPr>
            <w:r>
              <w:rPr>
                <w:rFonts w:cs="Arial"/>
                <w:bCs/>
                <w:sz w:val="20"/>
                <w:szCs w:val="20"/>
              </w:rPr>
              <w:t>Sydney Water</w:t>
            </w:r>
          </w:p>
          <w:p w14:paraId="1DC69676" w14:textId="77777777" w:rsidR="0032684A" w:rsidRDefault="0032684A" w:rsidP="002668A9">
            <w:pPr>
              <w:rPr>
                <w:rFonts w:cs="Arial"/>
                <w:bCs/>
                <w:sz w:val="20"/>
                <w:szCs w:val="20"/>
              </w:rPr>
            </w:pPr>
            <w:r>
              <w:rPr>
                <w:rFonts w:cs="Arial"/>
                <w:bCs/>
                <w:sz w:val="20"/>
                <w:szCs w:val="20"/>
              </w:rPr>
              <w:t>Victorian Water Industry Association</w:t>
            </w:r>
          </w:p>
          <w:p w14:paraId="6686FFA9" w14:textId="77777777" w:rsidR="0032684A" w:rsidRDefault="0032684A" w:rsidP="002668A9">
            <w:pPr>
              <w:rPr>
                <w:rFonts w:cs="Arial"/>
                <w:bCs/>
                <w:sz w:val="20"/>
                <w:szCs w:val="20"/>
              </w:rPr>
            </w:pPr>
            <w:r>
              <w:rPr>
                <w:rFonts w:cs="Arial"/>
                <w:bCs/>
                <w:sz w:val="20"/>
                <w:szCs w:val="20"/>
              </w:rPr>
              <w:t>Viva Energy Australia</w:t>
            </w:r>
          </w:p>
          <w:p w14:paraId="640AEB95" w14:textId="77777777" w:rsidR="0032684A" w:rsidRDefault="0032684A" w:rsidP="002668A9">
            <w:pPr>
              <w:rPr>
                <w:rFonts w:cs="Arial"/>
                <w:bCs/>
                <w:sz w:val="20"/>
                <w:szCs w:val="20"/>
              </w:rPr>
            </w:pPr>
            <w:r>
              <w:rPr>
                <w:rFonts w:cs="Arial"/>
                <w:bCs/>
                <w:sz w:val="20"/>
                <w:szCs w:val="20"/>
              </w:rPr>
              <w:t>WA Government</w:t>
            </w:r>
          </w:p>
          <w:p w14:paraId="11FC9045" w14:textId="77777777" w:rsidR="0032684A" w:rsidRDefault="0032684A" w:rsidP="002668A9">
            <w:pPr>
              <w:rPr>
                <w:rFonts w:cs="Arial"/>
                <w:bCs/>
                <w:sz w:val="20"/>
                <w:szCs w:val="20"/>
              </w:rPr>
            </w:pPr>
            <w:r>
              <w:rPr>
                <w:rFonts w:cs="Arial"/>
                <w:bCs/>
                <w:sz w:val="20"/>
                <w:szCs w:val="20"/>
              </w:rPr>
              <w:t>Warren Godson</w:t>
            </w:r>
          </w:p>
          <w:p w14:paraId="21375214" w14:textId="77777777" w:rsidR="0032684A" w:rsidRDefault="0032684A" w:rsidP="002668A9">
            <w:pPr>
              <w:rPr>
                <w:rFonts w:cs="Arial"/>
                <w:bCs/>
                <w:sz w:val="20"/>
                <w:szCs w:val="20"/>
              </w:rPr>
            </w:pPr>
            <w:r>
              <w:rPr>
                <w:rFonts w:cs="Arial"/>
                <w:bCs/>
                <w:sz w:val="20"/>
                <w:szCs w:val="20"/>
              </w:rPr>
              <w:lastRenderedPageBreak/>
              <w:t>Waste Management and Resource Recovery Association</w:t>
            </w:r>
          </w:p>
          <w:p w14:paraId="625486C8" w14:textId="77777777" w:rsidR="0032684A" w:rsidRDefault="0032684A" w:rsidP="002668A9">
            <w:pPr>
              <w:rPr>
                <w:rFonts w:cs="Arial"/>
                <w:bCs/>
                <w:sz w:val="20"/>
                <w:szCs w:val="20"/>
              </w:rPr>
            </w:pPr>
            <w:r>
              <w:rPr>
                <w:rFonts w:cs="Arial"/>
                <w:bCs/>
                <w:sz w:val="20"/>
                <w:szCs w:val="20"/>
              </w:rPr>
              <w:t>Waster Ser4vices Association of Australia</w:t>
            </w:r>
          </w:p>
          <w:p w14:paraId="2FCA3C7D" w14:textId="5FC3855D" w:rsidR="002668A9" w:rsidRPr="002668A9" w:rsidRDefault="0032684A" w:rsidP="002668A9">
            <w:pPr>
              <w:rPr>
                <w:rFonts w:cs="Arial"/>
                <w:bCs/>
                <w:sz w:val="20"/>
                <w:szCs w:val="20"/>
              </w:rPr>
            </w:pPr>
            <w:r>
              <w:rPr>
                <w:rFonts w:cs="Arial"/>
                <w:bCs/>
                <w:sz w:val="20"/>
                <w:szCs w:val="20"/>
              </w:rPr>
              <w:t>Yarra Valley Water</w:t>
            </w:r>
          </w:p>
        </w:tc>
        <w:tc>
          <w:tcPr>
            <w:tcW w:w="20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F6345" w14:textId="2327C458" w:rsidR="002668A9" w:rsidRPr="002668A9" w:rsidRDefault="002668A9" w:rsidP="002668A9">
            <w:pPr>
              <w:rPr>
                <w:rFonts w:cs="Arial"/>
                <w:bCs/>
                <w:sz w:val="20"/>
                <w:szCs w:val="20"/>
              </w:rPr>
            </w:pPr>
            <w:r w:rsidRPr="002668A9">
              <w:rPr>
                <w:rFonts w:cs="Arial"/>
                <w:bCs/>
                <w:sz w:val="20"/>
                <w:szCs w:val="20"/>
              </w:rPr>
              <w:lastRenderedPageBreak/>
              <w:t>The important benefits from use of wastewater outputs for utilities, local governments, and industries including agriculture, mining and energy are recognised by environmental regulators</w:t>
            </w:r>
            <w:r w:rsidR="00BF6EAB">
              <w:rPr>
                <w:rFonts w:cs="Arial"/>
                <w:bCs/>
                <w:sz w:val="20"/>
                <w:szCs w:val="20"/>
              </w:rPr>
              <w:t xml:space="preserve"> and that </w:t>
            </w:r>
            <w:r w:rsidRPr="002668A9">
              <w:rPr>
                <w:rFonts w:cs="Arial"/>
                <w:bCs/>
                <w:sz w:val="20"/>
                <w:szCs w:val="20"/>
              </w:rPr>
              <w:t>it</w:t>
            </w:r>
            <w:r w:rsidRPr="002668A9" w:rsidDel="00BF6EAB">
              <w:rPr>
                <w:rFonts w:cs="Arial"/>
                <w:bCs/>
                <w:sz w:val="20"/>
                <w:szCs w:val="20"/>
              </w:rPr>
              <w:t xml:space="preserve"> </w:t>
            </w:r>
            <w:r w:rsidR="00BF6EAB">
              <w:rPr>
                <w:rFonts w:cs="Arial"/>
                <w:bCs/>
                <w:sz w:val="20"/>
                <w:szCs w:val="20"/>
              </w:rPr>
              <w:t>will be</w:t>
            </w:r>
            <w:r w:rsidR="00BF6EAB" w:rsidRPr="002668A9">
              <w:rPr>
                <w:rFonts w:cs="Arial"/>
                <w:bCs/>
                <w:sz w:val="20"/>
                <w:szCs w:val="20"/>
              </w:rPr>
              <w:t xml:space="preserve"> </w:t>
            </w:r>
            <w:r w:rsidRPr="002668A9">
              <w:rPr>
                <w:rFonts w:cs="Arial"/>
                <w:bCs/>
                <w:sz w:val="20"/>
                <w:szCs w:val="20"/>
              </w:rPr>
              <w:t xml:space="preserve">important to carefully consider and manage the introduction of any proposed changes to established practice. </w:t>
            </w:r>
            <w:r w:rsidR="00BF6EAB">
              <w:rPr>
                <w:rFonts w:cs="Arial"/>
                <w:bCs/>
                <w:sz w:val="20"/>
                <w:szCs w:val="20"/>
              </w:rPr>
              <w:t>C</w:t>
            </w:r>
            <w:r w:rsidRPr="002668A9">
              <w:rPr>
                <w:rFonts w:cs="Arial"/>
                <w:bCs/>
                <w:sz w:val="20"/>
                <w:szCs w:val="20"/>
              </w:rPr>
              <w:t>onsideration</w:t>
            </w:r>
            <w:r w:rsidR="00BF6EAB">
              <w:rPr>
                <w:rFonts w:cs="Arial"/>
                <w:bCs/>
                <w:sz w:val="20"/>
                <w:szCs w:val="20"/>
              </w:rPr>
              <w:t>s</w:t>
            </w:r>
            <w:r w:rsidRPr="002668A9">
              <w:rPr>
                <w:rFonts w:cs="Arial"/>
                <w:bCs/>
                <w:sz w:val="20"/>
                <w:szCs w:val="20"/>
              </w:rPr>
              <w:t xml:space="preserve"> </w:t>
            </w:r>
            <w:r w:rsidR="00BF6EAB">
              <w:rPr>
                <w:rFonts w:cs="Arial"/>
                <w:bCs/>
                <w:sz w:val="20"/>
                <w:szCs w:val="20"/>
              </w:rPr>
              <w:t>include</w:t>
            </w:r>
            <w:r w:rsidRPr="002668A9" w:rsidDel="00BF6EAB">
              <w:rPr>
                <w:rFonts w:cs="Arial"/>
                <w:bCs/>
                <w:sz w:val="20"/>
                <w:szCs w:val="20"/>
              </w:rPr>
              <w:t xml:space="preserve"> </w:t>
            </w:r>
            <w:r w:rsidRPr="002668A9">
              <w:rPr>
                <w:rFonts w:cs="Arial"/>
                <w:bCs/>
                <w:sz w:val="20"/>
                <w:szCs w:val="20"/>
              </w:rPr>
              <w:t>risk-based criteria, appropriate control points, and implications for the water industry and the broader waste management sector, including waste recycling and landfills. Site-specific and catchment-based or ambient monitoring programs are also suited to a considered, risk-based approach.</w:t>
            </w:r>
          </w:p>
          <w:p w14:paraId="3E10426E" w14:textId="4F70EF87" w:rsidR="002668A9" w:rsidRPr="002668A9" w:rsidRDefault="002668A9" w:rsidP="00BF6EAB">
            <w:pPr>
              <w:rPr>
                <w:rFonts w:cs="Arial"/>
                <w:bCs/>
                <w:sz w:val="20"/>
                <w:szCs w:val="20"/>
              </w:rPr>
            </w:pPr>
            <w:r w:rsidRPr="002668A9">
              <w:rPr>
                <w:rFonts w:cs="Arial"/>
                <w:bCs/>
                <w:sz w:val="20"/>
                <w:szCs w:val="20"/>
              </w:rPr>
              <w:t>Accordingly, the text in the NEMP</w:t>
            </w:r>
            <w:r w:rsidR="00AD066D">
              <w:rPr>
                <w:rFonts w:cs="Arial"/>
                <w:bCs/>
                <w:sz w:val="20"/>
                <w:szCs w:val="20"/>
              </w:rPr>
              <w:t xml:space="preserve"> 2.0</w:t>
            </w:r>
            <w:r w:rsidRPr="002668A9">
              <w:rPr>
                <w:rFonts w:cs="Arial"/>
                <w:bCs/>
                <w:sz w:val="20"/>
                <w:szCs w:val="20"/>
              </w:rPr>
              <w:t xml:space="preserve"> clarif</w:t>
            </w:r>
            <w:r w:rsidR="00BF6EAB">
              <w:rPr>
                <w:rFonts w:cs="Arial"/>
                <w:bCs/>
                <w:sz w:val="20"/>
                <w:szCs w:val="20"/>
              </w:rPr>
              <w:t>ies</w:t>
            </w:r>
            <w:r w:rsidRPr="002668A9">
              <w:rPr>
                <w:rFonts w:cs="Arial"/>
                <w:bCs/>
                <w:sz w:val="20"/>
                <w:szCs w:val="20"/>
              </w:rPr>
              <w:t xml:space="preserve"> whether guidance in other sections of the NEMP</w:t>
            </w:r>
            <w:r w:rsidR="00AD066D">
              <w:rPr>
                <w:rFonts w:cs="Arial"/>
                <w:bCs/>
                <w:sz w:val="20"/>
                <w:szCs w:val="20"/>
              </w:rPr>
              <w:t xml:space="preserve"> 2.0</w:t>
            </w:r>
            <w:r w:rsidRPr="002668A9">
              <w:rPr>
                <w:rFonts w:cs="Arial"/>
                <w:bCs/>
                <w:sz w:val="20"/>
                <w:szCs w:val="20"/>
              </w:rPr>
              <w:t xml:space="preserve"> applies to wastewater outputs. For example, Section 12 now specifies that the reuse decision </w:t>
            </w:r>
            <w:r w:rsidR="00BF6EAB" w:rsidRPr="002668A9">
              <w:rPr>
                <w:rFonts w:cs="Arial"/>
                <w:bCs/>
                <w:sz w:val="20"/>
                <w:szCs w:val="20"/>
              </w:rPr>
              <w:t>tree only</w:t>
            </w:r>
            <w:r w:rsidRPr="002668A9">
              <w:rPr>
                <w:rFonts w:cs="Arial"/>
                <w:bCs/>
                <w:sz w:val="20"/>
                <w:szCs w:val="20"/>
              </w:rPr>
              <w:t xml:space="preserve"> applies to soils, which will not be used on agricultural land, and does not apply to other materials such as biosolids.</w:t>
            </w:r>
          </w:p>
        </w:tc>
      </w:tr>
      <w:tr w:rsidR="002668A9" w:rsidRPr="002668A9" w14:paraId="615776B6" w14:textId="77777777" w:rsidTr="00C36741">
        <w:tc>
          <w:tcPr>
            <w:tcW w:w="768" w:type="pct"/>
            <w:tcBorders>
              <w:top w:val="single" w:sz="4" w:space="0" w:color="auto"/>
              <w:left w:val="single" w:sz="4" w:space="0" w:color="auto"/>
              <w:bottom w:val="single" w:sz="4" w:space="0" w:color="auto"/>
              <w:right w:val="single" w:sz="4" w:space="0" w:color="auto"/>
            </w:tcBorders>
            <w:shd w:val="clear" w:color="auto" w:fill="auto"/>
          </w:tcPr>
          <w:p w14:paraId="49737732" w14:textId="77777777" w:rsidR="002668A9" w:rsidRPr="002668A9" w:rsidRDefault="002668A9" w:rsidP="002668A9">
            <w:pPr>
              <w:rPr>
                <w:rFonts w:cs="Arial"/>
                <w:bCs/>
                <w:sz w:val="20"/>
                <w:szCs w:val="20"/>
              </w:rPr>
            </w:pPr>
            <w:r w:rsidRPr="002668A9">
              <w:rPr>
                <w:rFonts w:cs="Arial"/>
                <w:bCs/>
                <w:sz w:val="20"/>
                <w:szCs w:val="20"/>
              </w:rPr>
              <w:lastRenderedPageBreak/>
              <w:t>Wastewater regulation including regulatory status of the NEMP</w:t>
            </w:r>
          </w:p>
        </w:tc>
        <w:tc>
          <w:tcPr>
            <w:tcW w:w="1286" w:type="pct"/>
            <w:tcBorders>
              <w:top w:val="single" w:sz="4" w:space="0" w:color="auto"/>
              <w:left w:val="single" w:sz="4" w:space="0" w:color="auto"/>
              <w:bottom w:val="single" w:sz="4" w:space="0" w:color="auto"/>
              <w:right w:val="single" w:sz="4" w:space="0" w:color="auto"/>
            </w:tcBorders>
          </w:tcPr>
          <w:p w14:paraId="6DB094CD" w14:textId="77777777" w:rsidR="002668A9" w:rsidRPr="002668A9" w:rsidRDefault="002668A9" w:rsidP="002668A9">
            <w:pPr>
              <w:rPr>
                <w:rFonts w:cs="Arial"/>
                <w:bCs/>
                <w:sz w:val="20"/>
                <w:szCs w:val="20"/>
              </w:rPr>
            </w:pPr>
            <w:r w:rsidRPr="002668A9">
              <w:rPr>
                <w:rFonts w:cs="Arial"/>
                <w:bCs/>
                <w:sz w:val="20"/>
                <w:szCs w:val="20"/>
              </w:rPr>
              <w:t>Comments seeking clarification regarding regulation of the management of PFAS in wastewater, including regulatory status and implementation of the NEMP excluding matters covered elsewhere.</w:t>
            </w:r>
          </w:p>
        </w:tc>
        <w:tc>
          <w:tcPr>
            <w:tcW w:w="913" w:type="pct"/>
            <w:tcBorders>
              <w:top w:val="single" w:sz="4" w:space="0" w:color="auto"/>
              <w:left w:val="single" w:sz="4" w:space="0" w:color="auto"/>
              <w:bottom w:val="single" w:sz="4" w:space="0" w:color="auto"/>
              <w:right w:val="single" w:sz="4" w:space="0" w:color="auto"/>
            </w:tcBorders>
          </w:tcPr>
          <w:p w14:paraId="6388F035" w14:textId="77777777" w:rsidR="009800FA" w:rsidRPr="002668A9" w:rsidRDefault="009800FA" w:rsidP="002668A9">
            <w:pPr>
              <w:rPr>
                <w:rFonts w:cs="Arial"/>
                <w:bCs/>
                <w:sz w:val="20"/>
                <w:szCs w:val="20"/>
              </w:rPr>
            </w:pPr>
            <w:r>
              <w:rPr>
                <w:rFonts w:cs="Arial"/>
                <w:bCs/>
                <w:sz w:val="20"/>
                <w:szCs w:val="20"/>
              </w:rPr>
              <w:t>Australasian Land and Groundwater Association – submission 1</w:t>
            </w:r>
          </w:p>
          <w:p w14:paraId="177404FC" w14:textId="77777777" w:rsidR="009800FA" w:rsidRPr="002668A9" w:rsidRDefault="009800FA" w:rsidP="002668A9">
            <w:pPr>
              <w:rPr>
                <w:rFonts w:cs="Arial"/>
                <w:bCs/>
                <w:sz w:val="20"/>
                <w:szCs w:val="20"/>
              </w:rPr>
            </w:pPr>
            <w:r>
              <w:rPr>
                <w:rFonts w:cs="Arial"/>
                <w:bCs/>
                <w:sz w:val="20"/>
                <w:szCs w:val="20"/>
              </w:rPr>
              <w:t>Australian Landfill Owners’ Association</w:t>
            </w:r>
          </w:p>
          <w:p w14:paraId="58F00852" w14:textId="3C69F2F7" w:rsidR="009800FA" w:rsidRDefault="00406A71" w:rsidP="002668A9">
            <w:pPr>
              <w:rPr>
                <w:rFonts w:cs="Arial"/>
                <w:bCs/>
                <w:sz w:val="20"/>
                <w:szCs w:val="20"/>
              </w:rPr>
            </w:pPr>
            <w:r>
              <w:rPr>
                <w:rFonts w:cs="Arial"/>
                <w:bCs/>
                <w:sz w:val="20"/>
                <w:szCs w:val="20"/>
              </w:rPr>
              <w:t>Burdekin Shire Council and Bligh Tanner</w:t>
            </w:r>
          </w:p>
          <w:p w14:paraId="0B7C044A" w14:textId="77777777" w:rsidR="009800FA" w:rsidRDefault="009800FA" w:rsidP="002668A9">
            <w:pPr>
              <w:rPr>
                <w:rFonts w:cs="Arial"/>
                <w:bCs/>
                <w:sz w:val="20"/>
                <w:szCs w:val="20"/>
              </w:rPr>
            </w:pPr>
            <w:r>
              <w:rPr>
                <w:rFonts w:cs="Arial"/>
                <w:bCs/>
                <w:sz w:val="20"/>
                <w:szCs w:val="20"/>
              </w:rPr>
              <w:t>City West Water</w:t>
            </w:r>
          </w:p>
          <w:p w14:paraId="2FBD3DD6" w14:textId="77777777" w:rsidR="009800FA" w:rsidRDefault="009800FA" w:rsidP="002668A9">
            <w:pPr>
              <w:rPr>
                <w:rFonts w:cs="Arial"/>
                <w:bCs/>
                <w:sz w:val="20"/>
                <w:szCs w:val="20"/>
              </w:rPr>
            </w:pPr>
            <w:r>
              <w:rPr>
                <w:rFonts w:cs="Arial"/>
                <w:bCs/>
                <w:sz w:val="20"/>
                <w:szCs w:val="20"/>
              </w:rPr>
              <w:t>ExxonMobil Australia</w:t>
            </w:r>
          </w:p>
          <w:p w14:paraId="09FA0201" w14:textId="77777777" w:rsidR="009800FA" w:rsidRDefault="009800FA" w:rsidP="002668A9">
            <w:pPr>
              <w:rPr>
                <w:rFonts w:cs="Arial"/>
                <w:bCs/>
                <w:sz w:val="20"/>
                <w:szCs w:val="20"/>
              </w:rPr>
            </w:pPr>
            <w:r>
              <w:rPr>
                <w:rFonts w:cs="Arial"/>
                <w:bCs/>
                <w:sz w:val="20"/>
                <w:szCs w:val="20"/>
              </w:rPr>
              <w:t>Hunter Water</w:t>
            </w:r>
          </w:p>
          <w:p w14:paraId="572B89DF" w14:textId="77777777" w:rsidR="009800FA" w:rsidRDefault="009800FA" w:rsidP="002668A9">
            <w:pPr>
              <w:rPr>
                <w:rFonts w:cs="Arial"/>
                <w:bCs/>
                <w:sz w:val="20"/>
                <w:szCs w:val="20"/>
              </w:rPr>
            </w:pPr>
            <w:r>
              <w:rPr>
                <w:rFonts w:cs="Arial"/>
                <w:bCs/>
                <w:sz w:val="20"/>
                <w:szCs w:val="20"/>
              </w:rPr>
              <w:t>Melbourne Water</w:t>
            </w:r>
          </w:p>
          <w:p w14:paraId="4D166BD5" w14:textId="5CF6A1DB" w:rsidR="009800FA" w:rsidRPr="002668A9" w:rsidRDefault="001A0C05" w:rsidP="002668A9">
            <w:pPr>
              <w:rPr>
                <w:rFonts w:cs="Arial"/>
                <w:bCs/>
                <w:sz w:val="20"/>
                <w:szCs w:val="20"/>
              </w:rPr>
            </w:pPr>
            <w:r>
              <w:rPr>
                <w:rFonts w:cs="Arial"/>
                <w:bCs/>
                <w:sz w:val="20"/>
                <w:szCs w:val="20"/>
              </w:rPr>
              <w:t>NZ Regional</w:t>
            </w:r>
            <w:r w:rsidR="00406A71">
              <w:rPr>
                <w:rFonts w:cs="Arial"/>
                <w:bCs/>
                <w:sz w:val="20"/>
                <w:szCs w:val="20"/>
              </w:rPr>
              <w:t xml:space="preserve"> and Unitary Councils - Contaminated Land and Waste Special Interest Group</w:t>
            </w:r>
          </w:p>
          <w:p w14:paraId="0299A3FA" w14:textId="77777777" w:rsidR="006B3A71" w:rsidRPr="002668A9" w:rsidRDefault="006B3A71" w:rsidP="006B3A71">
            <w:pPr>
              <w:rPr>
                <w:rFonts w:cs="Arial"/>
                <w:bCs/>
                <w:sz w:val="20"/>
                <w:szCs w:val="20"/>
              </w:rPr>
            </w:pPr>
            <w:r>
              <w:rPr>
                <w:rFonts w:cs="Arial"/>
                <w:bCs/>
                <w:sz w:val="20"/>
                <w:szCs w:val="20"/>
              </w:rPr>
              <w:t>NSW Department of Industry</w:t>
            </w:r>
          </w:p>
          <w:p w14:paraId="5B345C0D" w14:textId="77777777" w:rsidR="006B3A71" w:rsidRDefault="006B3A71" w:rsidP="006B3A71">
            <w:pPr>
              <w:rPr>
                <w:rFonts w:cs="Arial"/>
                <w:bCs/>
                <w:sz w:val="20"/>
                <w:szCs w:val="20"/>
              </w:rPr>
            </w:pPr>
            <w:r>
              <w:rPr>
                <w:rFonts w:cs="Arial"/>
                <w:bCs/>
                <w:sz w:val="20"/>
                <w:szCs w:val="20"/>
              </w:rPr>
              <w:lastRenderedPageBreak/>
              <w:t>NSW EPA - Hazardous Materials Unit</w:t>
            </w:r>
          </w:p>
          <w:p w14:paraId="70339E25" w14:textId="77777777" w:rsidR="009800FA" w:rsidRPr="002668A9" w:rsidRDefault="009800FA" w:rsidP="002668A9">
            <w:pPr>
              <w:rPr>
                <w:rFonts w:cs="Arial"/>
                <w:bCs/>
                <w:sz w:val="20"/>
                <w:szCs w:val="20"/>
              </w:rPr>
            </w:pPr>
            <w:r>
              <w:rPr>
                <w:rFonts w:cs="Arial"/>
                <w:bCs/>
                <w:sz w:val="20"/>
                <w:szCs w:val="20"/>
              </w:rPr>
              <w:t>qldwater</w:t>
            </w:r>
          </w:p>
          <w:p w14:paraId="0746F47F" w14:textId="77777777" w:rsidR="009800FA" w:rsidRPr="002668A9" w:rsidRDefault="009800FA" w:rsidP="002668A9">
            <w:pPr>
              <w:rPr>
                <w:rFonts w:cs="Arial"/>
                <w:bCs/>
                <w:sz w:val="20"/>
                <w:szCs w:val="20"/>
              </w:rPr>
            </w:pPr>
            <w:r>
              <w:rPr>
                <w:rFonts w:cs="Arial"/>
                <w:bCs/>
                <w:sz w:val="20"/>
                <w:szCs w:val="20"/>
              </w:rPr>
              <w:t>Queensland Urban Utilities</w:t>
            </w:r>
          </w:p>
          <w:p w14:paraId="481E53C6" w14:textId="77777777" w:rsidR="009800FA" w:rsidRDefault="009800FA" w:rsidP="002668A9">
            <w:pPr>
              <w:rPr>
                <w:rFonts w:cs="Arial"/>
                <w:bCs/>
                <w:sz w:val="20"/>
                <w:szCs w:val="20"/>
              </w:rPr>
            </w:pPr>
            <w:r>
              <w:rPr>
                <w:rFonts w:cs="Arial"/>
                <w:bCs/>
                <w:sz w:val="20"/>
                <w:szCs w:val="20"/>
              </w:rPr>
              <w:t>South East Water</w:t>
            </w:r>
          </w:p>
          <w:p w14:paraId="4E80B024" w14:textId="77777777" w:rsidR="009800FA" w:rsidRDefault="009800FA" w:rsidP="002668A9">
            <w:pPr>
              <w:rPr>
                <w:rFonts w:cs="Arial"/>
                <w:bCs/>
                <w:sz w:val="20"/>
                <w:szCs w:val="20"/>
              </w:rPr>
            </w:pPr>
            <w:r>
              <w:rPr>
                <w:rFonts w:cs="Arial"/>
                <w:bCs/>
                <w:sz w:val="20"/>
                <w:szCs w:val="20"/>
              </w:rPr>
              <w:t>Sydney Water</w:t>
            </w:r>
          </w:p>
          <w:p w14:paraId="39F22D6B" w14:textId="77777777" w:rsidR="009800FA" w:rsidRDefault="009800FA" w:rsidP="002668A9">
            <w:pPr>
              <w:rPr>
                <w:rFonts w:cs="Arial"/>
                <w:bCs/>
                <w:sz w:val="20"/>
                <w:szCs w:val="20"/>
              </w:rPr>
            </w:pPr>
            <w:r>
              <w:rPr>
                <w:rFonts w:cs="Arial"/>
                <w:bCs/>
                <w:sz w:val="20"/>
                <w:szCs w:val="20"/>
              </w:rPr>
              <w:t>Victorian Water Industry Association</w:t>
            </w:r>
          </w:p>
          <w:p w14:paraId="1AC541A2" w14:textId="77777777" w:rsidR="009800FA" w:rsidRDefault="009800FA" w:rsidP="002668A9">
            <w:pPr>
              <w:rPr>
                <w:rFonts w:cs="Arial"/>
                <w:bCs/>
                <w:sz w:val="20"/>
                <w:szCs w:val="20"/>
              </w:rPr>
            </w:pPr>
            <w:r>
              <w:rPr>
                <w:rFonts w:cs="Arial"/>
                <w:bCs/>
                <w:sz w:val="20"/>
                <w:szCs w:val="20"/>
              </w:rPr>
              <w:t>Viva Energy Australia</w:t>
            </w:r>
          </w:p>
          <w:p w14:paraId="1C739C93" w14:textId="77777777" w:rsidR="009800FA" w:rsidRPr="002668A9" w:rsidRDefault="009800FA" w:rsidP="002668A9">
            <w:pPr>
              <w:rPr>
                <w:rFonts w:cs="Arial"/>
                <w:bCs/>
                <w:sz w:val="20"/>
                <w:szCs w:val="20"/>
              </w:rPr>
            </w:pPr>
            <w:r>
              <w:rPr>
                <w:rFonts w:cs="Arial"/>
                <w:bCs/>
                <w:sz w:val="20"/>
                <w:szCs w:val="20"/>
              </w:rPr>
              <w:t>WA Government</w:t>
            </w:r>
          </w:p>
          <w:p w14:paraId="1A4A7A23" w14:textId="77777777" w:rsidR="009800FA" w:rsidRDefault="009800FA" w:rsidP="002668A9">
            <w:pPr>
              <w:rPr>
                <w:rFonts w:cs="Arial"/>
                <w:bCs/>
                <w:sz w:val="20"/>
                <w:szCs w:val="20"/>
              </w:rPr>
            </w:pPr>
            <w:r>
              <w:rPr>
                <w:rFonts w:cs="Arial"/>
                <w:bCs/>
                <w:sz w:val="20"/>
                <w:szCs w:val="20"/>
              </w:rPr>
              <w:t>Waste Management and Resource Recovery Association</w:t>
            </w:r>
          </w:p>
          <w:p w14:paraId="363C562D" w14:textId="77777777" w:rsidR="009800FA" w:rsidRDefault="009800FA" w:rsidP="002668A9">
            <w:pPr>
              <w:rPr>
                <w:rFonts w:cs="Arial"/>
                <w:bCs/>
                <w:sz w:val="20"/>
                <w:szCs w:val="20"/>
              </w:rPr>
            </w:pPr>
            <w:r>
              <w:rPr>
                <w:rFonts w:cs="Arial"/>
                <w:bCs/>
                <w:sz w:val="20"/>
                <w:szCs w:val="20"/>
              </w:rPr>
              <w:t>Water Services Association of Australia</w:t>
            </w:r>
          </w:p>
          <w:p w14:paraId="58C510CA" w14:textId="43C2BE6F" w:rsidR="002668A9" w:rsidRPr="002668A9" w:rsidRDefault="009800FA" w:rsidP="002668A9">
            <w:pPr>
              <w:rPr>
                <w:rFonts w:cs="Arial"/>
                <w:bCs/>
                <w:sz w:val="20"/>
                <w:szCs w:val="20"/>
              </w:rPr>
            </w:pPr>
            <w:r>
              <w:rPr>
                <w:rFonts w:cs="Arial"/>
                <w:bCs/>
                <w:sz w:val="20"/>
                <w:szCs w:val="20"/>
              </w:rPr>
              <w:t>Yarra Valley Water</w:t>
            </w:r>
          </w:p>
        </w:tc>
        <w:tc>
          <w:tcPr>
            <w:tcW w:w="20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2CC8B" w14:textId="2DD3F209" w:rsidR="00213A31" w:rsidRDefault="00BF6EAB" w:rsidP="002668A9">
            <w:pPr>
              <w:rPr>
                <w:rFonts w:cs="Arial"/>
                <w:bCs/>
                <w:sz w:val="20"/>
                <w:szCs w:val="20"/>
              </w:rPr>
            </w:pPr>
            <w:r>
              <w:rPr>
                <w:rFonts w:cs="Arial"/>
                <w:bCs/>
                <w:sz w:val="20"/>
                <w:szCs w:val="20"/>
              </w:rPr>
              <w:lastRenderedPageBreak/>
              <w:t>The NEMP</w:t>
            </w:r>
            <w:r w:rsidR="00AD066D">
              <w:rPr>
                <w:rFonts w:cs="Arial"/>
                <w:bCs/>
                <w:sz w:val="20"/>
                <w:szCs w:val="20"/>
              </w:rPr>
              <w:t xml:space="preserve"> 2.0</w:t>
            </w:r>
            <w:r>
              <w:rPr>
                <w:rFonts w:cs="Arial"/>
                <w:bCs/>
                <w:sz w:val="20"/>
                <w:szCs w:val="20"/>
              </w:rPr>
              <w:t xml:space="preserve"> states</w:t>
            </w:r>
            <w:r w:rsidR="00213A31">
              <w:rPr>
                <w:rFonts w:cs="Arial"/>
                <w:bCs/>
                <w:sz w:val="20"/>
                <w:szCs w:val="20"/>
              </w:rPr>
              <w:t xml:space="preserve"> that it:</w:t>
            </w:r>
          </w:p>
          <w:p w14:paraId="3468874E" w14:textId="17DA73E7" w:rsidR="00213A31" w:rsidRDefault="00C04EFE" w:rsidP="001F2932">
            <w:pPr>
              <w:ind w:left="720"/>
              <w:rPr>
                <w:rFonts w:cs="Arial"/>
                <w:bCs/>
                <w:sz w:val="20"/>
                <w:szCs w:val="20"/>
              </w:rPr>
            </w:pPr>
            <w:r>
              <w:rPr>
                <w:rFonts w:cs="Arial"/>
                <w:bCs/>
                <w:sz w:val="20"/>
                <w:szCs w:val="20"/>
              </w:rPr>
              <w:t>‘</w:t>
            </w:r>
            <w:r w:rsidR="00213A31" w:rsidRPr="00213A31">
              <w:rPr>
                <w:rFonts w:cs="Arial"/>
                <w:bCs/>
                <w:sz w:val="20"/>
                <w:szCs w:val="20"/>
              </w:rPr>
              <w:t xml:space="preserve">provides </w:t>
            </w:r>
            <w:r w:rsidR="00213A31" w:rsidRPr="002668A9">
              <w:rPr>
                <w:rFonts w:cs="Arial"/>
                <w:bCs/>
                <w:sz w:val="20"/>
                <w:szCs w:val="20"/>
              </w:rPr>
              <w:t xml:space="preserve">nationally </w:t>
            </w:r>
            <w:r w:rsidR="00213A31">
              <w:rPr>
                <w:rFonts w:cs="Arial"/>
                <w:bCs/>
                <w:sz w:val="20"/>
                <w:szCs w:val="20"/>
              </w:rPr>
              <w:t xml:space="preserve">agreed </w:t>
            </w:r>
            <w:r w:rsidR="00213A31" w:rsidRPr="002668A9">
              <w:rPr>
                <w:rFonts w:cs="Arial"/>
                <w:bCs/>
                <w:sz w:val="20"/>
                <w:szCs w:val="20"/>
              </w:rPr>
              <w:t xml:space="preserve">guidance on </w:t>
            </w:r>
            <w:r w:rsidR="00213A31" w:rsidRPr="00213A31">
              <w:rPr>
                <w:rFonts w:cs="Arial"/>
                <w:bCs/>
                <w:sz w:val="20"/>
                <w:szCs w:val="20"/>
              </w:rPr>
              <w:t>the management of PFAS contamination in the environment, including prevention of the spread of contamination. It supports collaborative action on PFAS by the Commonwealth, state and territory and local governments around Australia. The NEMP is an Appendix to the Intergovernmental Agreement on a National Framework Responding to PFAS Contamination.</w:t>
            </w:r>
            <w:r>
              <w:rPr>
                <w:rFonts w:cs="Arial"/>
                <w:bCs/>
                <w:sz w:val="20"/>
                <w:szCs w:val="20"/>
              </w:rPr>
              <w:t>’</w:t>
            </w:r>
          </w:p>
          <w:p w14:paraId="5A4BB2BB" w14:textId="77777777" w:rsidR="00213A31" w:rsidRDefault="002668A9" w:rsidP="002668A9">
            <w:pPr>
              <w:rPr>
                <w:rFonts w:cs="Arial"/>
                <w:bCs/>
                <w:sz w:val="20"/>
                <w:szCs w:val="20"/>
              </w:rPr>
            </w:pPr>
            <w:r w:rsidRPr="002668A9">
              <w:rPr>
                <w:rFonts w:cs="Arial"/>
                <w:bCs/>
                <w:sz w:val="20"/>
                <w:szCs w:val="20"/>
              </w:rPr>
              <w:t>The NEMP</w:t>
            </w:r>
            <w:r w:rsidR="00213A31">
              <w:rPr>
                <w:rFonts w:cs="Arial"/>
                <w:bCs/>
                <w:sz w:val="20"/>
                <w:szCs w:val="20"/>
              </w:rPr>
              <w:t xml:space="preserve"> aims to </w:t>
            </w:r>
            <w:r w:rsidRPr="002668A9">
              <w:rPr>
                <w:rFonts w:cs="Arial"/>
                <w:bCs/>
                <w:sz w:val="20"/>
                <w:szCs w:val="20"/>
              </w:rPr>
              <w:t xml:space="preserve">protect flora and fauna, ecological communities and ecosystems, and human health. </w:t>
            </w:r>
          </w:p>
          <w:p w14:paraId="1B21EFE6" w14:textId="1411A1C2" w:rsidR="000A28FA" w:rsidRDefault="002668A9" w:rsidP="002668A9">
            <w:pPr>
              <w:rPr>
                <w:rFonts w:cs="Arial"/>
                <w:bCs/>
                <w:sz w:val="20"/>
                <w:szCs w:val="20"/>
              </w:rPr>
            </w:pPr>
            <w:r w:rsidRPr="002668A9">
              <w:rPr>
                <w:rFonts w:cs="Arial"/>
                <w:bCs/>
                <w:sz w:val="20"/>
                <w:szCs w:val="20"/>
              </w:rPr>
              <w:t>Regulation and implementation</w:t>
            </w:r>
            <w:r w:rsidR="00213A31">
              <w:rPr>
                <w:rFonts w:cs="Arial"/>
                <w:bCs/>
                <w:sz w:val="20"/>
                <w:szCs w:val="20"/>
              </w:rPr>
              <w:t xml:space="preserve"> of the NEMP</w:t>
            </w:r>
            <w:r w:rsidRPr="002668A9">
              <w:rPr>
                <w:rFonts w:cs="Arial"/>
                <w:bCs/>
                <w:sz w:val="20"/>
                <w:szCs w:val="20"/>
              </w:rPr>
              <w:t xml:space="preserve"> remains the responsib</w:t>
            </w:r>
            <w:r w:rsidR="00814210">
              <w:rPr>
                <w:rFonts w:cs="Arial"/>
                <w:bCs/>
                <w:sz w:val="20"/>
                <w:szCs w:val="20"/>
              </w:rPr>
              <w:t>i</w:t>
            </w:r>
            <w:r w:rsidRPr="002668A9">
              <w:rPr>
                <w:rFonts w:cs="Arial"/>
                <w:bCs/>
                <w:sz w:val="20"/>
                <w:szCs w:val="20"/>
              </w:rPr>
              <w:t>lity of each jurisdiction as part of its broader environmental regulation responsibilities, drawing on established principles of sound environmental regulation as outlined in Section 3 of the NEMP</w:t>
            </w:r>
            <w:r w:rsidR="00AD066D">
              <w:rPr>
                <w:rFonts w:cs="Arial"/>
                <w:bCs/>
                <w:sz w:val="20"/>
                <w:szCs w:val="20"/>
              </w:rPr>
              <w:t xml:space="preserve"> 2.0</w:t>
            </w:r>
            <w:r w:rsidRPr="002668A9">
              <w:rPr>
                <w:rFonts w:cs="Arial"/>
                <w:bCs/>
                <w:sz w:val="20"/>
                <w:szCs w:val="20"/>
              </w:rPr>
              <w:t>. Consequently, implementation matters such as prioritisation of specific sites or types of site, potential restrictions on resource recovery, and potential financial impacts are out of scope for the NEMP.</w:t>
            </w:r>
          </w:p>
          <w:p w14:paraId="7FFD0E36" w14:textId="37333C59" w:rsidR="002668A9" w:rsidRPr="002668A9" w:rsidRDefault="002668A9" w:rsidP="002668A9">
            <w:pPr>
              <w:rPr>
                <w:rFonts w:cs="Arial"/>
                <w:bCs/>
                <w:sz w:val="20"/>
                <w:szCs w:val="20"/>
              </w:rPr>
            </w:pPr>
            <w:r w:rsidRPr="002668A9">
              <w:rPr>
                <w:rFonts w:cs="Arial"/>
                <w:bCs/>
                <w:sz w:val="20"/>
                <w:szCs w:val="20"/>
              </w:rPr>
              <w:lastRenderedPageBreak/>
              <w:t>As detailed elsewhere in this document, additional text has been provided in Section 8 and elsewhere to clarify the purpose and application of the environmental guideline values in the NEMP</w:t>
            </w:r>
            <w:r w:rsidR="008D0DD9">
              <w:rPr>
                <w:rFonts w:cs="Arial"/>
                <w:bCs/>
                <w:sz w:val="20"/>
                <w:szCs w:val="20"/>
              </w:rPr>
              <w:t xml:space="preserve"> 2.0</w:t>
            </w:r>
            <w:r w:rsidRPr="002668A9">
              <w:rPr>
                <w:rFonts w:cs="Arial"/>
                <w:bCs/>
                <w:sz w:val="20"/>
                <w:szCs w:val="20"/>
              </w:rPr>
              <w:t xml:space="preserve">. This was in response to the concerns expressed in some consultation feedback that the environmental guideline values were being perceived as discharge standards or remediation criteria. </w:t>
            </w:r>
          </w:p>
          <w:p w14:paraId="2A172EA5" w14:textId="67CA1A4D" w:rsidR="002668A9" w:rsidRPr="002668A9" w:rsidRDefault="000A28FA" w:rsidP="002668A9">
            <w:pPr>
              <w:rPr>
                <w:rFonts w:cs="Arial"/>
                <w:bCs/>
                <w:sz w:val="20"/>
                <w:szCs w:val="20"/>
              </w:rPr>
            </w:pPr>
            <w:r>
              <w:rPr>
                <w:rFonts w:cs="Arial"/>
                <w:bCs/>
                <w:sz w:val="20"/>
                <w:szCs w:val="20"/>
              </w:rPr>
              <w:t xml:space="preserve">As noted at the start of </w:t>
            </w:r>
            <w:r w:rsidR="00EA41A3">
              <w:rPr>
                <w:rFonts w:cs="Arial"/>
                <w:bCs/>
                <w:sz w:val="20"/>
                <w:szCs w:val="20"/>
              </w:rPr>
              <w:t>S</w:t>
            </w:r>
            <w:r>
              <w:rPr>
                <w:rFonts w:cs="Arial"/>
                <w:bCs/>
                <w:sz w:val="20"/>
                <w:szCs w:val="20"/>
              </w:rPr>
              <w:t xml:space="preserve">ection </w:t>
            </w:r>
            <w:r w:rsidR="00EA41A3">
              <w:rPr>
                <w:rFonts w:cs="Arial"/>
                <w:bCs/>
                <w:sz w:val="20"/>
                <w:szCs w:val="20"/>
              </w:rPr>
              <w:t xml:space="preserve">C </w:t>
            </w:r>
            <w:r>
              <w:rPr>
                <w:rFonts w:cs="Arial"/>
                <w:bCs/>
                <w:sz w:val="20"/>
                <w:szCs w:val="20"/>
              </w:rPr>
              <w:t>of the Ancillary Document, f</w:t>
            </w:r>
            <w:r w:rsidR="002668A9" w:rsidRPr="002668A9">
              <w:rPr>
                <w:rFonts w:cs="Arial"/>
                <w:bCs/>
                <w:sz w:val="20"/>
                <w:szCs w:val="20"/>
              </w:rPr>
              <w:t>urther work is planned, in consultation with other regulators and the water industry, as outlined in Section 20 of the NEMP</w:t>
            </w:r>
            <w:r w:rsidR="008D0DD9">
              <w:rPr>
                <w:rFonts w:cs="Arial"/>
                <w:bCs/>
                <w:sz w:val="20"/>
                <w:szCs w:val="20"/>
              </w:rPr>
              <w:t xml:space="preserve"> 2.0</w:t>
            </w:r>
            <w:r w:rsidR="002668A9" w:rsidRPr="002668A9">
              <w:rPr>
                <w:rFonts w:cs="Arial"/>
                <w:bCs/>
                <w:sz w:val="20"/>
                <w:szCs w:val="20"/>
              </w:rPr>
              <w:t>. Depending on industry and regulator views this may include guidance on contaminants of emerging concern more broadly. A key focus will be risk-based approaches to develop guidance tailored to utilities with different risk profiles. This could, for example, consider contaminant load thresholds, as suggested by some consultation feedback. Another, more traditional option, also supported by consultation feedback, is using operational categories such as large urban utilities, small local or regional water utilities (which includes local governments in some jurisdictions), and local governments regulating on-site sewage and wastewater systems.</w:t>
            </w:r>
          </w:p>
          <w:p w14:paraId="0595DD4D" w14:textId="3FA968B2" w:rsidR="002668A9" w:rsidRPr="002668A9" w:rsidRDefault="002668A9" w:rsidP="002668A9">
            <w:pPr>
              <w:rPr>
                <w:rFonts w:cs="Arial"/>
                <w:bCs/>
                <w:sz w:val="20"/>
                <w:szCs w:val="20"/>
              </w:rPr>
            </w:pPr>
            <w:r w:rsidRPr="002668A9">
              <w:rPr>
                <w:rFonts w:cs="Arial"/>
                <w:bCs/>
                <w:sz w:val="20"/>
                <w:szCs w:val="20"/>
              </w:rPr>
              <w:t>Relevant considerations, supported by consultation feedback, could include catchment characteristics, legacy contamination, management capacity, operational capacity, and ability for the customer base to fund implementation.</w:t>
            </w:r>
          </w:p>
        </w:tc>
      </w:tr>
    </w:tbl>
    <w:p w14:paraId="7372169B" w14:textId="4D1DBB80" w:rsidR="002668A9" w:rsidRPr="002668A9" w:rsidRDefault="002668A9" w:rsidP="002668A9">
      <w:pPr>
        <w:rPr>
          <w:rFonts w:cs="Arial"/>
          <w:sz w:val="20"/>
          <w:szCs w:val="20"/>
        </w:rPr>
      </w:pPr>
    </w:p>
    <w:p w14:paraId="7ADA2720" w14:textId="77777777" w:rsidR="002668A9" w:rsidRPr="002668A9" w:rsidRDefault="002668A9" w:rsidP="002668A9">
      <w:pPr>
        <w:rPr>
          <w:rFonts w:cs="Arial"/>
          <w:sz w:val="20"/>
          <w:szCs w:val="20"/>
        </w:rPr>
        <w:sectPr w:rsidR="002668A9" w:rsidRPr="002668A9" w:rsidSect="00752938">
          <w:headerReference w:type="default" r:id="rId26"/>
          <w:headerReference w:type="first" r:id="rId27"/>
          <w:pgSz w:w="16839" w:h="11907" w:orient="landscape" w:code="9"/>
          <w:pgMar w:top="720" w:right="720" w:bottom="720" w:left="720" w:header="708" w:footer="708" w:gutter="0"/>
          <w:cols w:space="708"/>
          <w:titlePg/>
          <w:docGrid w:linePitch="360"/>
        </w:sectPr>
      </w:pPr>
    </w:p>
    <w:p w14:paraId="1E1BE958" w14:textId="0A1DD363" w:rsidR="001E3D6F" w:rsidRPr="002668A9" w:rsidRDefault="0075060B" w:rsidP="00DC0FE0">
      <w:pPr>
        <w:pStyle w:val="Heading2"/>
      </w:pPr>
      <w:bookmarkStart w:id="19" w:name="_Toc24644152"/>
      <w:bookmarkStart w:id="20" w:name="_Toc24720641"/>
      <w:bookmarkStart w:id="21" w:name="_Toc39837451"/>
      <w:r>
        <w:lastRenderedPageBreak/>
        <w:t xml:space="preserve">Table </w:t>
      </w:r>
      <w:r w:rsidR="001E3D6F" w:rsidRPr="002668A9">
        <w:t>D</w:t>
      </w:r>
      <w:r w:rsidR="001E3D6F" w:rsidRPr="002668A9">
        <w:tab/>
      </w:r>
      <w:bookmarkEnd w:id="19"/>
      <w:r w:rsidR="00437D3D" w:rsidRPr="002668A9">
        <w:t>On-site containment</w:t>
      </w:r>
      <w:bookmarkEnd w:id="20"/>
      <w:bookmarkEnd w:id="21"/>
    </w:p>
    <w:tbl>
      <w:tblPr>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446"/>
        <w:gridCol w:w="3918"/>
        <w:gridCol w:w="2843"/>
        <w:gridCol w:w="6158"/>
      </w:tblGrid>
      <w:tr w:rsidR="002668A9" w:rsidRPr="002668A9" w14:paraId="7D54F37A" w14:textId="77777777" w:rsidTr="00C36741">
        <w:trPr>
          <w:trHeight w:val="255"/>
          <w:tblHeader/>
        </w:trPr>
        <w:tc>
          <w:tcPr>
            <w:tcW w:w="796" w:type="pct"/>
            <w:shd w:val="clear" w:color="auto" w:fill="DEEAF6" w:themeFill="accent1" w:themeFillTint="33"/>
          </w:tcPr>
          <w:p w14:paraId="2FD38C0B" w14:textId="77777777" w:rsidR="002668A9" w:rsidRPr="002668A9" w:rsidRDefault="002668A9" w:rsidP="002668A9">
            <w:pPr>
              <w:rPr>
                <w:rFonts w:cs="Arial"/>
                <w:b/>
                <w:bCs/>
                <w:sz w:val="20"/>
                <w:szCs w:val="20"/>
              </w:rPr>
            </w:pPr>
            <w:r w:rsidRPr="002668A9">
              <w:rPr>
                <w:rFonts w:cs="Arial"/>
                <w:b/>
                <w:bCs/>
                <w:sz w:val="20"/>
                <w:szCs w:val="20"/>
              </w:rPr>
              <w:t>Theme</w:t>
            </w:r>
          </w:p>
        </w:tc>
        <w:tc>
          <w:tcPr>
            <w:tcW w:w="1275" w:type="pct"/>
            <w:shd w:val="clear" w:color="auto" w:fill="DEEAF6" w:themeFill="accent1" w:themeFillTint="33"/>
          </w:tcPr>
          <w:p w14:paraId="61B048E0" w14:textId="140AA286" w:rsidR="002668A9" w:rsidRPr="002668A9" w:rsidRDefault="00C86185" w:rsidP="002668A9">
            <w:pPr>
              <w:rPr>
                <w:rFonts w:cs="Arial"/>
                <w:b/>
                <w:bCs/>
                <w:sz w:val="20"/>
                <w:szCs w:val="20"/>
              </w:rPr>
            </w:pPr>
            <w:r>
              <w:rPr>
                <w:rFonts w:cs="Arial"/>
                <w:b/>
                <w:bCs/>
                <w:sz w:val="20"/>
                <w:szCs w:val="20"/>
              </w:rPr>
              <w:t>Summary of feedback</w:t>
            </w:r>
          </w:p>
        </w:tc>
        <w:tc>
          <w:tcPr>
            <w:tcW w:w="925" w:type="pct"/>
            <w:shd w:val="clear" w:color="auto" w:fill="DEEAF6" w:themeFill="accent1" w:themeFillTint="33"/>
          </w:tcPr>
          <w:p w14:paraId="42E8B322" w14:textId="4D2EB02F" w:rsidR="002668A9" w:rsidRPr="002668A9" w:rsidRDefault="00C86185" w:rsidP="002668A9">
            <w:pPr>
              <w:rPr>
                <w:rFonts w:cs="Arial"/>
                <w:b/>
                <w:bCs/>
                <w:sz w:val="20"/>
                <w:szCs w:val="20"/>
              </w:rPr>
            </w:pPr>
            <w:r>
              <w:rPr>
                <w:rFonts w:cs="Arial"/>
                <w:b/>
                <w:bCs/>
                <w:sz w:val="20"/>
                <w:szCs w:val="20"/>
              </w:rPr>
              <w:t>Submissions commenting</w:t>
            </w:r>
          </w:p>
        </w:tc>
        <w:tc>
          <w:tcPr>
            <w:tcW w:w="2004" w:type="pct"/>
            <w:shd w:val="clear" w:color="auto" w:fill="DEEAF6" w:themeFill="accent1" w:themeFillTint="33"/>
            <w:tcMar>
              <w:top w:w="0" w:type="dxa"/>
              <w:left w:w="108" w:type="dxa"/>
              <w:bottom w:w="0" w:type="dxa"/>
              <w:right w:w="108" w:type="dxa"/>
            </w:tcMar>
            <w:hideMark/>
          </w:tcPr>
          <w:p w14:paraId="742CFF8E" w14:textId="77777777" w:rsidR="002668A9" w:rsidRPr="002668A9" w:rsidRDefault="002668A9" w:rsidP="002668A9">
            <w:pPr>
              <w:rPr>
                <w:rFonts w:cs="Arial"/>
                <w:b/>
                <w:bCs/>
                <w:sz w:val="20"/>
                <w:szCs w:val="20"/>
              </w:rPr>
            </w:pPr>
            <w:r w:rsidRPr="002668A9">
              <w:rPr>
                <w:rFonts w:cs="Arial"/>
                <w:b/>
                <w:bCs/>
                <w:sz w:val="20"/>
                <w:szCs w:val="20"/>
              </w:rPr>
              <w:t>Response</w:t>
            </w:r>
          </w:p>
        </w:tc>
      </w:tr>
      <w:tr w:rsidR="002668A9" w:rsidRPr="002668A9" w14:paraId="7BCE46FA" w14:textId="77777777" w:rsidTr="00C36741">
        <w:trPr>
          <w:trHeight w:val="464"/>
        </w:trPr>
        <w:tc>
          <w:tcPr>
            <w:tcW w:w="796" w:type="pct"/>
            <w:vMerge w:val="restart"/>
            <w:shd w:val="clear" w:color="auto" w:fill="auto"/>
          </w:tcPr>
          <w:p w14:paraId="3F0D8A21" w14:textId="77777777" w:rsidR="002668A9" w:rsidRPr="002668A9" w:rsidRDefault="002668A9" w:rsidP="002668A9">
            <w:pPr>
              <w:rPr>
                <w:rFonts w:cs="Arial"/>
                <w:sz w:val="20"/>
                <w:szCs w:val="20"/>
              </w:rPr>
            </w:pPr>
            <w:r w:rsidRPr="002668A9">
              <w:rPr>
                <w:rFonts w:cs="Arial"/>
                <w:sz w:val="20"/>
                <w:szCs w:val="20"/>
              </w:rPr>
              <w:t>Clarify terms and meanings used in the stockpiling, storage and containment section</w:t>
            </w:r>
          </w:p>
        </w:tc>
        <w:tc>
          <w:tcPr>
            <w:tcW w:w="1275" w:type="pct"/>
            <w:vMerge w:val="restart"/>
            <w:shd w:val="clear" w:color="auto" w:fill="auto"/>
          </w:tcPr>
          <w:p w14:paraId="0578E2BE" w14:textId="77777777" w:rsidR="002668A9" w:rsidRPr="002668A9" w:rsidRDefault="002668A9" w:rsidP="002668A9">
            <w:pPr>
              <w:rPr>
                <w:rFonts w:cs="Arial"/>
                <w:sz w:val="20"/>
                <w:szCs w:val="20"/>
              </w:rPr>
            </w:pPr>
            <w:r w:rsidRPr="002668A9">
              <w:rPr>
                <w:rFonts w:cs="Arial"/>
                <w:sz w:val="20"/>
                <w:szCs w:val="20"/>
              </w:rPr>
              <w:t>Suggestions this section might benefit from restructuring and/or clarification of terminology. For example, there was some confusion over matters such as the definition of short-term or temporary stockpiles, long-term storage versus disposal, and the relationship between the guidance in this chapter and the landfill disposal guidance in Section 14 carried over from the PFAS NEMP 1.0.</w:t>
            </w:r>
          </w:p>
          <w:p w14:paraId="099F42D5" w14:textId="61BDBEBC" w:rsidR="002668A9" w:rsidRPr="002668A9" w:rsidRDefault="002668A9" w:rsidP="002668A9">
            <w:pPr>
              <w:rPr>
                <w:rFonts w:cs="Arial"/>
                <w:sz w:val="20"/>
                <w:szCs w:val="20"/>
              </w:rPr>
            </w:pPr>
            <w:r w:rsidRPr="002668A9">
              <w:rPr>
                <w:rFonts w:cs="Arial"/>
                <w:sz w:val="20"/>
                <w:szCs w:val="20"/>
              </w:rPr>
              <w:t>Requests to broaden the parameters for pragmatic handling of small, transient stockpiles. Some stakeholders felt these requirements should apply to larger volumes of soil; while one submission asked to limit small, transient stockpiles to single instances (to close off on those who might seek to divide larger stockpiles into individual 10 m</w:t>
            </w:r>
            <w:r w:rsidR="00635E8A">
              <w:rPr>
                <w:rFonts w:ascii="ZWAdobeF" w:hAnsi="ZWAdobeF" w:cs="ZWAdobeF"/>
                <w:sz w:val="2"/>
                <w:szCs w:val="2"/>
              </w:rPr>
              <w:t>P</w:t>
            </w:r>
            <w:r w:rsidR="00860798">
              <w:rPr>
                <w:rFonts w:ascii="ZWAdobeF" w:hAnsi="ZWAdobeF" w:cs="ZWAdobeF"/>
                <w:sz w:val="2"/>
                <w:szCs w:val="2"/>
              </w:rPr>
              <w:t>P</w:t>
            </w:r>
            <w:r w:rsidRPr="002668A9">
              <w:rPr>
                <w:rFonts w:cs="Arial"/>
                <w:sz w:val="20"/>
                <w:szCs w:val="20"/>
                <w:vertAlign w:val="superscript"/>
              </w:rPr>
              <w:t>3</w:t>
            </w:r>
            <w:r w:rsidR="00860798">
              <w:rPr>
                <w:rFonts w:ascii="ZWAdobeF" w:hAnsi="ZWAdobeF" w:cs="ZWAdobeF"/>
                <w:sz w:val="2"/>
                <w:szCs w:val="2"/>
              </w:rPr>
              <w:t>P</w:t>
            </w:r>
            <w:r w:rsidR="00635E8A">
              <w:rPr>
                <w:rFonts w:ascii="ZWAdobeF" w:hAnsi="ZWAdobeF" w:cs="ZWAdobeF"/>
                <w:sz w:val="2"/>
                <w:szCs w:val="2"/>
              </w:rPr>
              <w:t>P</w:t>
            </w:r>
            <w:r w:rsidRPr="002668A9">
              <w:rPr>
                <w:rFonts w:cs="Arial"/>
                <w:sz w:val="20"/>
                <w:szCs w:val="20"/>
              </w:rPr>
              <w:t xml:space="preserve"> lots).</w:t>
            </w:r>
          </w:p>
          <w:p w14:paraId="3DD39482" w14:textId="77777777" w:rsidR="002668A9" w:rsidRPr="002668A9" w:rsidRDefault="002668A9" w:rsidP="002668A9">
            <w:pPr>
              <w:rPr>
                <w:rFonts w:cs="Arial"/>
                <w:sz w:val="20"/>
                <w:szCs w:val="20"/>
              </w:rPr>
            </w:pPr>
            <w:r w:rsidRPr="002668A9">
              <w:rPr>
                <w:rFonts w:cs="Arial"/>
                <w:sz w:val="20"/>
                <w:szCs w:val="20"/>
              </w:rPr>
              <w:t>Requests for more consistent language suggesting the use of PFAS-contaminated, PFAS-containing, or PFAS-impacted.</w:t>
            </w:r>
          </w:p>
        </w:tc>
        <w:tc>
          <w:tcPr>
            <w:tcW w:w="925" w:type="pct"/>
            <w:vMerge w:val="restart"/>
            <w:shd w:val="clear" w:color="auto" w:fill="auto"/>
          </w:tcPr>
          <w:p w14:paraId="653FF0C9" w14:textId="77777777" w:rsidR="00F47C15" w:rsidRPr="002668A9" w:rsidRDefault="00F47C15" w:rsidP="002668A9">
            <w:pPr>
              <w:rPr>
                <w:rFonts w:cs="Arial"/>
                <w:sz w:val="20"/>
                <w:szCs w:val="20"/>
              </w:rPr>
            </w:pPr>
            <w:r>
              <w:rPr>
                <w:rFonts w:cs="Arial"/>
                <w:sz w:val="20"/>
                <w:szCs w:val="20"/>
              </w:rPr>
              <w:t>Australia Pacific Airports Corporation</w:t>
            </w:r>
          </w:p>
          <w:p w14:paraId="61052E40" w14:textId="77777777" w:rsidR="00F47C15" w:rsidRPr="002668A9" w:rsidRDefault="00F47C15" w:rsidP="002668A9">
            <w:pPr>
              <w:rPr>
                <w:rFonts w:cs="Arial"/>
                <w:sz w:val="20"/>
                <w:szCs w:val="20"/>
              </w:rPr>
            </w:pPr>
            <w:r>
              <w:rPr>
                <w:rFonts w:cs="Arial"/>
                <w:sz w:val="20"/>
                <w:szCs w:val="20"/>
              </w:rPr>
              <w:t>Brisbane Airport Corporation</w:t>
            </w:r>
          </w:p>
          <w:p w14:paraId="1ECC4849" w14:textId="1754644F" w:rsidR="00F47C15" w:rsidRDefault="00406A71" w:rsidP="002668A9">
            <w:pPr>
              <w:rPr>
                <w:rFonts w:cs="Arial"/>
                <w:sz w:val="20"/>
                <w:szCs w:val="20"/>
              </w:rPr>
            </w:pPr>
            <w:r>
              <w:rPr>
                <w:rFonts w:cs="Arial"/>
                <w:sz w:val="20"/>
                <w:szCs w:val="20"/>
              </w:rPr>
              <w:t>Burdekin Shire Council and Bligh Tanner</w:t>
            </w:r>
          </w:p>
          <w:p w14:paraId="1DFDD5BD" w14:textId="77777777" w:rsidR="00F47C15" w:rsidRDefault="00F47C15" w:rsidP="002668A9">
            <w:pPr>
              <w:rPr>
                <w:rFonts w:cs="Arial"/>
                <w:sz w:val="20"/>
                <w:szCs w:val="20"/>
              </w:rPr>
            </w:pPr>
            <w:r>
              <w:rPr>
                <w:rFonts w:cs="Arial"/>
                <w:sz w:val="20"/>
                <w:szCs w:val="20"/>
              </w:rPr>
              <w:t>Canberra Airport</w:t>
            </w:r>
          </w:p>
          <w:p w14:paraId="2DFD767F" w14:textId="77777777" w:rsidR="00F47C15" w:rsidRDefault="00F47C15" w:rsidP="002668A9">
            <w:pPr>
              <w:rPr>
                <w:rFonts w:cs="Arial"/>
                <w:sz w:val="20"/>
                <w:szCs w:val="20"/>
              </w:rPr>
            </w:pPr>
            <w:r>
              <w:rPr>
                <w:rFonts w:cs="Arial"/>
                <w:sz w:val="20"/>
                <w:szCs w:val="20"/>
              </w:rPr>
              <w:t>CRC CARE</w:t>
            </w:r>
          </w:p>
          <w:p w14:paraId="6FB7C0DF" w14:textId="77777777" w:rsidR="00F47C15" w:rsidRPr="002668A9" w:rsidRDefault="00F47C15" w:rsidP="002668A9">
            <w:pPr>
              <w:rPr>
                <w:rFonts w:cs="Arial"/>
                <w:sz w:val="20"/>
                <w:szCs w:val="20"/>
              </w:rPr>
            </w:pPr>
            <w:r>
              <w:rPr>
                <w:rFonts w:cs="Arial"/>
                <w:sz w:val="20"/>
                <w:szCs w:val="20"/>
              </w:rPr>
              <w:t>ExxonMobil Australia</w:t>
            </w:r>
          </w:p>
          <w:p w14:paraId="776F29F0" w14:textId="77777777" w:rsidR="00F47C15" w:rsidRDefault="00F47C15" w:rsidP="002668A9">
            <w:pPr>
              <w:rPr>
                <w:rFonts w:cs="Arial"/>
                <w:sz w:val="20"/>
                <w:szCs w:val="20"/>
              </w:rPr>
            </w:pPr>
            <w:r>
              <w:rPr>
                <w:rFonts w:cs="Arial"/>
                <w:sz w:val="20"/>
                <w:szCs w:val="20"/>
              </w:rPr>
              <w:t>Lloyd Consulting</w:t>
            </w:r>
          </w:p>
          <w:p w14:paraId="7EA8D0FF" w14:textId="77777777" w:rsidR="00F47C15" w:rsidRPr="002668A9" w:rsidRDefault="00F47C15" w:rsidP="002668A9">
            <w:pPr>
              <w:rPr>
                <w:rFonts w:cs="Arial"/>
                <w:sz w:val="20"/>
                <w:szCs w:val="20"/>
              </w:rPr>
            </w:pPr>
            <w:r>
              <w:rPr>
                <w:rFonts w:cs="Arial"/>
                <w:sz w:val="20"/>
                <w:szCs w:val="20"/>
              </w:rPr>
              <w:t>NZ Ministry for the Environment</w:t>
            </w:r>
          </w:p>
          <w:p w14:paraId="2D66CDBC" w14:textId="5DF5D772" w:rsidR="00F47C15" w:rsidRPr="002668A9" w:rsidRDefault="006B3A71" w:rsidP="002668A9">
            <w:pPr>
              <w:rPr>
                <w:rFonts w:cs="Arial"/>
                <w:sz w:val="20"/>
                <w:szCs w:val="20"/>
              </w:rPr>
            </w:pPr>
            <w:r>
              <w:rPr>
                <w:rFonts w:cs="Arial"/>
                <w:sz w:val="20"/>
                <w:szCs w:val="20"/>
              </w:rPr>
              <w:t>NZ</w:t>
            </w:r>
            <w:r w:rsidR="00406A71">
              <w:rPr>
                <w:rFonts w:cs="Arial"/>
                <w:sz w:val="20"/>
                <w:szCs w:val="20"/>
              </w:rPr>
              <w:t xml:space="preserve"> Regional and Unitary Councils - Contaminated Land and Waste Special Interest Group</w:t>
            </w:r>
          </w:p>
          <w:p w14:paraId="5BEF6BF4" w14:textId="77777777" w:rsidR="00F47C15" w:rsidRPr="002668A9" w:rsidRDefault="00F47C15" w:rsidP="002668A9">
            <w:pPr>
              <w:rPr>
                <w:rFonts w:cs="Arial"/>
                <w:sz w:val="20"/>
                <w:szCs w:val="20"/>
              </w:rPr>
            </w:pPr>
            <w:r>
              <w:rPr>
                <w:rFonts w:cs="Arial"/>
                <w:sz w:val="20"/>
                <w:szCs w:val="20"/>
              </w:rPr>
              <w:t>Senversa</w:t>
            </w:r>
          </w:p>
          <w:p w14:paraId="4C34B828" w14:textId="0B0D547F" w:rsidR="002668A9" w:rsidRPr="002668A9" w:rsidRDefault="00F47C15" w:rsidP="002668A9">
            <w:pPr>
              <w:rPr>
                <w:rFonts w:cs="Arial"/>
                <w:sz w:val="20"/>
                <w:szCs w:val="20"/>
              </w:rPr>
            </w:pPr>
            <w:r>
              <w:rPr>
                <w:rFonts w:cs="Arial"/>
                <w:sz w:val="20"/>
                <w:szCs w:val="20"/>
              </w:rPr>
              <w:t>WA Government</w:t>
            </w:r>
          </w:p>
        </w:tc>
        <w:tc>
          <w:tcPr>
            <w:tcW w:w="2004" w:type="pct"/>
            <w:vMerge w:val="restart"/>
            <w:shd w:val="clear" w:color="auto" w:fill="auto"/>
            <w:tcMar>
              <w:top w:w="0" w:type="dxa"/>
              <w:left w:w="108" w:type="dxa"/>
              <w:bottom w:w="0" w:type="dxa"/>
              <w:right w:w="108" w:type="dxa"/>
            </w:tcMar>
          </w:tcPr>
          <w:p w14:paraId="1D89AF19" w14:textId="77777777" w:rsidR="002668A9" w:rsidRPr="002668A9" w:rsidRDefault="002668A9" w:rsidP="002668A9">
            <w:pPr>
              <w:rPr>
                <w:rFonts w:cs="Arial"/>
                <w:sz w:val="20"/>
                <w:szCs w:val="20"/>
              </w:rPr>
            </w:pPr>
            <w:r w:rsidRPr="002668A9">
              <w:rPr>
                <w:rFonts w:cs="Arial"/>
                <w:sz w:val="20"/>
                <w:szCs w:val="20"/>
              </w:rPr>
              <w:t>Additional guidance, editorial clarifications, and glossary entries have been made to address matters raised. The terms transient, temporary, remediated and rehabilitated were also considered and clarified.</w:t>
            </w:r>
          </w:p>
          <w:p w14:paraId="460F2062" w14:textId="77777777" w:rsidR="002668A9" w:rsidRPr="002668A9" w:rsidRDefault="002668A9" w:rsidP="002668A9">
            <w:pPr>
              <w:rPr>
                <w:rFonts w:cs="Arial"/>
                <w:sz w:val="20"/>
                <w:szCs w:val="20"/>
              </w:rPr>
            </w:pPr>
            <w:r w:rsidRPr="002668A9">
              <w:rPr>
                <w:rFonts w:cs="Arial"/>
                <w:sz w:val="20"/>
                <w:szCs w:val="20"/>
              </w:rPr>
              <w:t xml:space="preserve">The use of a single term throughout Section 10 is both appropriate in terms of guidance and would be consistent with the suggestion being made by stakeholders. </w:t>
            </w:r>
          </w:p>
          <w:p w14:paraId="4D5A2252" w14:textId="77777777" w:rsidR="002668A9" w:rsidRPr="002668A9" w:rsidRDefault="002668A9" w:rsidP="002668A9">
            <w:pPr>
              <w:rPr>
                <w:rFonts w:cs="Arial"/>
                <w:sz w:val="20"/>
                <w:szCs w:val="20"/>
              </w:rPr>
            </w:pPr>
            <w:r w:rsidRPr="002668A9">
              <w:rPr>
                <w:rFonts w:cs="Arial"/>
                <w:sz w:val="20"/>
                <w:szCs w:val="20"/>
              </w:rPr>
              <w:t>PFAS-contaminated is now used throughout Section 10 because:</w:t>
            </w:r>
          </w:p>
          <w:p w14:paraId="15E39203" w14:textId="77777777" w:rsidR="002668A9" w:rsidRPr="00931462" w:rsidRDefault="002668A9" w:rsidP="00EA41A3">
            <w:pPr>
              <w:pStyle w:val="bullet1"/>
            </w:pPr>
            <w:r w:rsidRPr="00931462">
              <w:t>Stockpiling, storage, or containment of site material implied a decision by site owners or managers to consolidate material that was either presumed to be contaminated, or known to be contaminated, by PFAS.</w:t>
            </w:r>
          </w:p>
          <w:p w14:paraId="566537FC" w14:textId="77777777" w:rsidR="002668A9" w:rsidRPr="002668A9" w:rsidRDefault="002668A9" w:rsidP="00EA41A3">
            <w:pPr>
              <w:pStyle w:val="bullet1"/>
            </w:pPr>
            <w:r w:rsidRPr="002668A9">
              <w:t>PFAS-contaminated was considered to be more consistent with the definition of contamination provided in NEMP 1.0 and with the ASC NEPM definition.</w:t>
            </w:r>
          </w:p>
          <w:p w14:paraId="04218F8C" w14:textId="259BE6B3" w:rsidR="002668A9" w:rsidRPr="002668A9" w:rsidRDefault="002668A9" w:rsidP="002668A9">
            <w:pPr>
              <w:rPr>
                <w:rFonts w:cs="Arial"/>
                <w:sz w:val="20"/>
                <w:szCs w:val="20"/>
              </w:rPr>
            </w:pPr>
            <w:r w:rsidRPr="002668A9">
              <w:rPr>
                <w:rFonts w:cs="Arial"/>
                <w:sz w:val="20"/>
                <w:szCs w:val="20"/>
              </w:rPr>
              <w:t>Following examination of PFAS mass-balance and exposure issues, the definition of transient has been clarified in the proposed text. Draft NEMP 2.0 limits (less than 10 m</w:t>
            </w:r>
            <w:r w:rsidR="00635E8A">
              <w:rPr>
                <w:rFonts w:ascii="ZWAdobeF" w:hAnsi="ZWAdobeF" w:cs="ZWAdobeF"/>
                <w:sz w:val="2"/>
                <w:szCs w:val="2"/>
              </w:rPr>
              <w:t>P</w:t>
            </w:r>
            <w:r w:rsidR="00860798">
              <w:rPr>
                <w:rFonts w:ascii="ZWAdobeF" w:hAnsi="ZWAdobeF" w:cs="ZWAdobeF"/>
                <w:sz w:val="2"/>
                <w:szCs w:val="2"/>
              </w:rPr>
              <w:t>P</w:t>
            </w:r>
            <w:r w:rsidRPr="002668A9">
              <w:rPr>
                <w:rFonts w:cs="Arial"/>
                <w:sz w:val="20"/>
                <w:szCs w:val="20"/>
                <w:vertAlign w:val="superscript"/>
              </w:rPr>
              <w:t>3</w:t>
            </w:r>
            <w:r w:rsidR="00860798">
              <w:rPr>
                <w:rFonts w:ascii="ZWAdobeF" w:hAnsi="ZWAdobeF" w:cs="ZWAdobeF"/>
                <w:sz w:val="2"/>
                <w:szCs w:val="2"/>
              </w:rPr>
              <w:t>P</w:t>
            </w:r>
            <w:r w:rsidR="00635E8A">
              <w:rPr>
                <w:rFonts w:ascii="ZWAdobeF" w:hAnsi="ZWAdobeF" w:cs="ZWAdobeF"/>
                <w:sz w:val="2"/>
                <w:szCs w:val="2"/>
              </w:rPr>
              <w:t>P</w:t>
            </w:r>
            <w:r w:rsidRPr="002668A9">
              <w:rPr>
                <w:rFonts w:cs="Arial"/>
                <w:sz w:val="20"/>
                <w:szCs w:val="20"/>
              </w:rPr>
              <w:t>, less than 48 hours, no rain expected, and covered with a tarp) have been retained.</w:t>
            </w:r>
          </w:p>
          <w:p w14:paraId="168CAEE6" w14:textId="77777777" w:rsidR="002668A9" w:rsidRPr="002668A9" w:rsidRDefault="002668A9" w:rsidP="002668A9">
            <w:pPr>
              <w:rPr>
                <w:rFonts w:cs="Arial"/>
                <w:sz w:val="20"/>
                <w:szCs w:val="20"/>
              </w:rPr>
            </w:pPr>
            <w:r w:rsidRPr="002668A9">
              <w:rPr>
                <w:rFonts w:cs="Arial"/>
                <w:sz w:val="20"/>
                <w:szCs w:val="20"/>
              </w:rPr>
              <w:t>Proposed volumes and durations are consistent with other guidelines.</w:t>
            </w:r>
          </w:p>
          <w:p w14:paraId="2E1E7A82" w14:textId="1580CCFD" w:rsidR="002668A9" w:rsidRPr="002668A9" w:rsidRDefault="002668A9" w:rsidP="002668A9">
            <w:pPr>
              <w:rPr>
                <w:rFonts w:cs="Arial"/>
                <w:sz w:val="20"/>
                <w:szCs w:val="20"/>
              </w:rPr>
            </w:pPr>
            <w:r w:rsidRPr="002668A9">
              <w:rPr>
                <w:rFonts w:cs="Arial"/>
                <w:sz w:val="20"/>
                <w:szCs w:val="20"/>
              </w:rPr>
              <w:t>Development of agreed national criteria for 'uncontaminated soil' remains a goal in the future PFAS NEMP work program.</w:t>
            </w:r>
          </w:p>
          <w:p w14:paraId="624E959B" w14:textId="2786B14D" w:rsidR="002668A9" w:rsidRPr="002668A9" w:rsidRDefault="002668A9" w:rsidP="002668A9">
            <w:pPr>
              <w:rPr>
                <w:rFonts w:cs="Arial"/>
                <w:sz w:val="20"/>
                <w:szCs w:val="20"/>
              </w:rPr>
            </w:pPr>
            <w:r w:rsidRPr="002668A9">
              <w:rPr>
                <w:rFonts w:cs="Arial"/>
                <w:sz w:val="20"/>
                <w:szCs w:val="20"/>
              </w:rPr>
              <w:lastRenderedPageBreak/>
              <w:t>Text clarifying the meaning of reuse has been added to Section 12. Clarifying text has been added explaining when storage and containment would apply.</w:t>
            </w:r>
          </w:p>
        </w:tc>
      </w:tr>
      <w:tr w:rsidR="002668A9" w:rsidRPr="002668A9" w14:paraId="7F3144EB" w14:textId="77777777" w:rsidTr="00C36741">
        <w:trPr>
          <w:trHeight w:val="464"/>
        </w:trPr>
        <w:tc>
          <w:tcPr>
            <w:tcW w:w="796" w:type="pct"/>
            <w:vMerge/>
            <w:shd w:val="clear" w:color="auto" w:fill="auto"/>
          </w:tcPr>
          <w:p w14:paraId="3385E5B3" w14:textId="77777777" w:rsidR="002668A9" w:rsidRPr="002668A9" w:rsidRDefault="002668A9" w:rsidP="002668A9">
            <w:pPr>
              <w:rPr>
                <w:rFonts w:cs="Arial"/>
                <w:sz w:val="20"/>
                <w:szCs w:val="20"/>
              </w:rPr>
            </w:pPr>
          </w:p>
        </w:tc>
        <w:tc>
          <w:tcPr>
            <w:tcW w:w="1275" w:type="pct"/>
            <w:vMerge/>
            <w:shd w:val="clear" w:color="auto" w:fill="auto"/>
          </w:tcPr>
          <w:p w14:paraId="32C9C7B0" w14:textId="77777777" w:rsidR="002668A9" w:rsidRPr="002668A9" w:rsidRDefault="002668A9" w:rsidP="002668A9">
            <w:pPr>
              <w:rPr>
                <w:rFonts w:cs="Arial"/>
                <w:sz w:val="20"/>
                <w:szCs w:val="20"/>
              </w:rPr>
            </w:pPr>
          </w:p>
        </w:tc>
        <w:tc>
          <w:tcPr>
            <w:tcW w:w="925" w:type="pct"/>
            <w:vMerge/>
            <w:shd w:val="clear" w:color="auto" w:fill="auto"/>
          </w:tcPr>
          <w:p w14:paraId="01FE859B"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1C58368B" w14:textId="77777777" w:rsidR="002668A9" w:rsidRPr="002668A9" w:rsidRDefault="002668A9" w:rsidP="002668A9">
            <w:pPr>
              <w:rPr>
                <w:rFonts w:cs="Arial"/>
                <w:sz w:val="20"/>
                <w:szCs w:val="20"/>
              </w:rPr>
            </w:pPr>
          </w:p>
        </w:tc>
      </w:tr>
      <w:tr w:rsidR="002668A9" w:rsidRPr="002668A9" w14:paraId="0471CF93" w14:textId="77777777" w:rsidTr="00C36741">
        <w:trPr>
          <w:trHeight w:val="504"/>
        </w:trPr>
        <w:tc>
          <w:tcPr>
            <w:tcW w:w="796" w:type="pct"/>
            <w:vMerge/>
            <w:shd w:val="clear" w:color="auto" w:fill="auto"/>
          </w:tcPr>
          <w:p w14:paraId="202DD4B9" w14:textId="77777777" w:rsidR="002668A9" w:rsidRPr="002668A9" w:rsidRDefault="002668A9" w:rsidP="002668A9">
            <w:pPr>
              <w:rPr>
                <w:rFonts w:cs="Arial"/>
                <w:sz w:val="20"/>
                <w:szCs w:val="20"/>
              </w:rPr>
            </w:pPr>
          </w:p>
        </w:tc>
        <w:tc>
          <w:tcPr>
            <w:tcW w:w="1275" w:type="pct"/>
            <w:vMerge/>
            <w:shd w:val="clear" w:color="auto" w:fill="auto"/>
          </w:tcPr>
          <w:p w14:paraId="19467FAC" w14:textId="77777777" w:rsidR="002668A9" w:rsidRPr="002668A9" w:rsidRDefault="002668A9" w:rsidP="002668A9">
            <w:pPr>
              <w:rPr>
                <w:rFonts w:cs="Arial"/>
                <w:sz w:val="20"/>
                <w:szCs w:val="20"/>
              </w:rPr>
            </w:pPr>
          </w:p>
        </w:tc>
        <w:tc>
          <w:tcPr>
            <w:tcW w:w="925" w:type="pct"/>
            <w:vMerge/>
            <w:shd w:val="clear" w:color="auto" w:fill="auto"/>
          </w:tcPr>
          <w:p w14:paraId="409CA162"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53E7F368" w14:textId="77777777" w:rsidR="002668A9" w:rsidRPr="002668A9" w:rsidRDefault="002668A9" w:rsidP="002668A9">
            <w:pPr>
              <w:rPr>
                <w:rFonts w:cs="Arial"/>
                <w:sz w:val="20"/>
                <w:szCs w:val="20"/>
              </w:rPr>
            </w:pPr>
          </w:p>
        </w:tc>
      </w:tr>
      <w:tr w:rsidR="002668A9" w:rsidRPr="002668A9" w14:paraId="28D5D20D" w14:textId="77777777" w:rsidTr="00C36741">
        <w:trPr>
          <w:trHeight w:val="504"/>
        </w:trPr>
        <w:tc>
          <w:tcPr>
            <w:tcW w:w="796" w:type="pct"/>
            <w:vMerge/>
            <w:shd w:val="clear" w:color="auto" w:fill="auto"/>
          </w:tcPr>
          <w:p w14:paraId="1D34F85F" w14:textId="77777777" w:rsidR="002668A9" w:rsidRPr="002668A9" w:rsidRDefault="002668A9" w:rsidP="002668A9">
            <w:pPr>
              <w:rPr>
                <w:rFonts w:cs="Arial"/>
                <w:sz w:val="20"/>
                <w:szCs w:val="20"/>
              </w:rPr>
            </w:pPr>
          </w:p>
        </w:tc>
        <w:tc>
          <w:tcPr>
            <w:tcW w:w="1275" w:type="pct"/>
            <w:vMerge/>
          </w:tcPr>
          <w:p w14:paraId="1429104F" w14:textId="77777777" w:rsidR="002668A9" w:rsidRPr="002668A9" w:rsidRDefault="002668A9" w:rsidP="002668A9">
            <w:pPr>
              <w:rPr>
                <w:rFonts w:cs="Arial"/>
                <w:sz w:val="20"/>
                <w:szCs w:val="20"/>
              </w:rPr>
            </w:pPr>
          </w:p>
        </w:tc>
        <w:tc>
          <w:tcPr>
            <w:tcW w:w="925" w:type="pct"/>
            <w:vMerge/>
            <w:shd w:val="clear" w:color="auto" w:fill="auto"/>
          </w:tcPr>
          <w:p w14:paraId="0663583B"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2C3C8562" w14:textId="77777777" w:rsidR="002668A9" w:rsidRPr="002668A9" w:rsidRDefault="002668A9" w:rsidP="002668A9">
            <w:pPr>
              <w:rPr>
                <w:rFonts w:cs="Arial"/>
                <w:sz w:val="20"/>
                <w:szCs w:val="20"/>
              </w:rPr>
            </w:pPr>
          </w:p>
        </w:tc>
      </w:tr>
      <w:tr w:rsidR="002668A9" w:rsidRPr="002668A9" w14:paraId="34D2E619" w14:textId="77777777" w:rsidTr="00C36741">
        <w:trPr>
          <w:trHeight w:val="504"/>
        </w:trPr>
        <w:tc>
          <w:tcPr>
            <w:tcW w:w="796" w:type="pct"/>
            <w:vMerge/>
            <w:shd w:val="clear" w:color="auto" w:fill="auto"/>
          </w:tcPr>
          <w:p w14:paraId="2DE80135" w14:textId="77777777" w:rsidR="002668A9" w:rsidRPr="002668A9" w:rsidRDefault="002668A9" w:rsidP="002668A9">
            <w:pPr>
              <w:rPr>
                <w:rFonts w:cs="Arial"/>
                <w:sz w:val="20"/>
                <w:szCs w:val="20"/>
              </w:rPr>
            </w:pPr>
          </w:p>
        </w:tc>
        <w:tc>
          <w:tcPr>
            <w:tcW w:w="1275" w:type="pct"/>
            <w:vMerge/>
          </w:tcPr>
          <w:p w14:paraId="388328D8" w14:textId="77777777" w:rsidR="002668A9" w:rsidRPr="002668A9" w:rsidRDefault="002668A9" w:rsidP="002668A9">
            <w:pPr>
              <w:rPr>
                <w:rFonts w:cs="Arial"/>
                <w:sz w:val="20"/>
                <w:szCs w:val="20"/>
              </w:rPr>
            </w:pPr>
          </w:p>
        </w:tc>
        <w:tc>
          <w:tcPr>
            <w:tcW w:w="925" w:type="pct"/>
            <w:vMerge/>
            <w:shd w:val="clear" w:color="auto" w:fill="auto"/>
          </w:tcPr>
          <w:p w14:paraId="1AC2B11A"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3A10E2A0" w14:textId="77777777" w:rsidR="002668A9" w:rsidRPr="002668A9" w:rsidRDefault="002668A9" w:rsidP="002668A9">
            <w:pPr>
              <w:rPr>
                <w:rFonts w:cs="Arial"/>
                <w:sz w:val="20"/>
                <w:szCs w:val="20"/>
              </w:rPr>
            </w:pPr>
          </w:p>
        </w:tc>
      </w:tr>
      <w:tr w:rsidR="002668A9" w:rsidRPr="002668A9" w14:paraId="6E54357E" w14:textId="77777777" w:rsidTr="00C36741">
        <w:trPr>
          <w:trHeight w:val="504"/>
        </w:trPr>
        <w:tc>
          <w:tcPr>
            <w:tcW w:w="796" w:type="pct"/>
            <w:vMerge/>
            <w:shd w:val="clear" w:color="auto" w:fill="auto"/>
          </w:tcPr>
          <w:p w14:paraId="19D21BFC" w14:textId="77777777" w:rsidR="002668A9" w:rsidRPr="002668A9" w:rsidRDefault="002668A9" w:rsidP="002668A9">
            <w:pPr>
              <w:rPr>
                <w:rFonts w:cs="Arial"/>
                <w:sz w:val="20"/>
                <w:szCs w:val="20"/>
              </w:rPr>
            </w:pPr>
          </w:p>
        </w:tc>
        <w:tc>
          <w:tcPr>
            <w:tcW w:w="1275" w:type="pct"/>
            <w:vMerge/>
          </w:tcPr>
          <w:p w14:paraId="2C88504A" w14:textId="77777777" w:rsidR="002668A9" w:rsidRPr="002668A9" w:rsidRDefault="002668A9" w:rsidP="002668A9">
            <w:pPr>
              <w:rPr>
                <w:rFonts w:cs="Arial"/>
                <w:sz w:val="20"/>
                <w:szCs w:val="20"/>
              </w:rPr>
            </w:pPr>
          </w:p>
        </w:tc>
        <w:tc>
          <w:tcPr>
            <w:tcW w:w="925" w:type="pct"/>
            <w:vMerge/>
            <w:shd w:val="clear" w:color="auto" w:fill="auto"/>
          </w:tcPr>
          <w:p w14:paraId="047CF423"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48AEA09B" w14:textId="77777777" w:rsidR="002668A9" w:rsidRPr="002668A9" w:rsidRDefault="002668A9" w:rsidP="002668A9">
            <w:pPr>
              <w:rPr>
                <w:rFonts w:cs="Arial"/>
                <w:sz w:val="20"/>
                <w:szCs w:val="20"/>
              </w:rPr>
            </w:pPr>
          </w:p>
        </w:tc>
      </w:tr>
      <w:tr w:rsidR="002668A9" w:rsidRPr="002668A9" w14:paraId="06A0D881" w14:textId="77777777" w:rsidTr="00C36741">
        <w:trPr>
          <w:trHeight w:val="504"/>
        </w:trPr>
        <w:tc>
          <w:tcPr>
            <w:tcW w:w="796" w:type="pct"/>
            <w:vMerge/>
            <w:shd w:val="clear" w:color="auto" w:fill="auto"/>
          </w:tcPr>
          <w:p w14:paraId="2F952526" w14:textId="77777777" w:rsidR="002668A9" w:rsidRPr="002668A9" w:rsidRDefault="002668A9" w:rsidP="002668A9">
            <w:pPr>
              <w:rPr>
                <w:rFonts w:cs="Arial"/>
                <w:sz w:val="20"/>
                <w:szCs w:val="20"/>
              </w:rPr>
            </w:pPr>
          </w:p>
        </w:tc>
        <w:tc>
          <w:tcPr>
            <w:tcW w:w="1275" w:type="pct"/>
            <w:vMerge/>
          </w:tcPr>
          <w:p w14:paraId="07BEFEBF" w14:textId="77777777" w:rsidR="002668A9" w:rsidRPr="002668A9" w:rsidRDefault="002668A9" w:rsidP="002668A9">
            <w:pPr>
              <w:rPr>
                <w:rFonts w:cs="Arial"/>
                <w:sz w:val="20"/>
                <w:szCs w:val="20"/>
              </w:rPr>
            </w:pPr>
          </w:p>
        </w:tc>
        <w:tc>
          <w:tcPr>
            <w:tcW w:w="925" w:type="pct"/>
            <w:vMerge/>
            <w:shd w:val="clear" w:color="auto" w:fill="auto"/>
          </w:tcPr>
          <w:p w14:paraId="453F93FE"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331D505D" w14:textId="77777777" w:rsidR="002668A9" w:rsidRPr="002668A9" w:rsidRDefault="002668A9" w:rsidP="002668A9">
            <w:pPr>
              <w:rPr>
                <w:rFonts w:cs="Arial"/>
                <w:sz w:val="20"/>
                <w:szCs w:val="20"/>
              </w:rPr>
            </w:pPr>
          </w:p>
        </w:tc>
      </w:tr>
      <w:tr w:rsidR="002668A9" w:rsidRPr="002668A9" w14:paraId="6CD90288" w14:textId="77777777" w:rsidTr="00C36741">
        <w:trPr>
          <w:trHeight w:val="504"/>
        </w:trPr>
        <w:tc>
          <w:tcPr>
            <w:tcW w:w="796" w:type="pct"/>
            <w:vMerge/>
            <w:shd w:val="clear" w:color="auto" w:fill="auto"/>
          </w:tcPr>
          <w:p w14:paraId="639E82BC" w14:textId="77777777" w:rsidR="002668A9" w:rsidRPr="002668A9" w:rsidRDefault="002668A9" w:rsidP="002668A9">
            <w:pPr>
              <w:rPr>
                <w:rFonts w:cs="Arial"/>
                <w:sz w:val="20"/>
                <w:szCs w:val="20"/>
              </w:rPr>
            </w:pPr>
          </w:p>
        </w:tc>
        <w:tc>
          <w:tcPr>
            <w:tcW w:w="1275" w:type="pct"/>
            <w:vMerge/>
          </w:tcPr>
          <w:p w14:paraId="530A5723" w14:textId="77777777" w:rsidR="002668A9" w:rsidRPr="002668A9" w:rsidRDefault="002668A9" w:rsidP="002668A9">
            <w:pPr>
              <w:rPr>
                <w:rFonts w:cs="Arial"/>
                <w:sz w:val="20"/>
                <w:szCs w:val="20"/>
              </w:rPr>
            </w:pPr>
          </w:p>
        </w:tc>
        <w:tc>
          <w:tcPr>
            <w:tcW w:w="925" w:type="pct"/>
            <w:vMerge/>
            <w:shd w:val="clear" w:color="auto" w:fill="auto"/>
          </w:tcPr>
          <w:p w14:paraId="4EBDC8AF"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1C8BBC9" w14:textId="77777777" w:rsidR="002668A9" w:rsidRPr="002668A9" w:rsidRDefault="002668A9" w:rsidP="002668A9">
            <w:pPr>
              <w:rPr>
                <w:rFonts w:cs="Arial"/>
                <w:sz w:val="20"/>
                <w:szCs w:val="20"/>
              </w:rPr>
            </w:pPr>
          </w:p>
        </w:tc>
      </w:tr>
      <w:tr w:rsidR="002668A9" w:rsidRPr="002668A9" w14:paraId="14C5D6DA" w14:textId="77777777" w:rsidTr="00C36741">
        <w:trPr>
          <w:trHeight w:val="504"/>
        </w:trPr>
        <w:tc>
          <w:tcPr>
            <w:tcW w:w="796" w:type="pct"/>
            <w:vMerge/>
            <w:shd w:val="clear" w:color="auto" w:fill="auto"/>
          </w:tcPr>
          <w:p w14:paraId="5C43068D" w14:textId="77777777" w:rsidR="002668A9" w:rsidRPr="002668A9" w:rsidRDefault="002668A9" w:rsidP="002668A9">
            <w:pPr>
              <w:rPr>
                <w:rFonts w:cs="Arial"/>
                <w:sz w:val="20"/>
                <w:szCs w:val="20"/>
              </w:rPr>
            </w:pPr>
          </w:p>
        </w:tc>
        <w:tc>
          <w:tcPr>
            <w:tcW w:w="1275" w:type="pct"/>
            <w:vMerge/>
          </w:tcPr>
          <w:p w14:paraId="125F45D6" w14:textId="77777777" w:rsidR="002668A9" w:rsidRPr="002668A9" w:rsidRDefault="002668A9" w:rsidP="002668A9">
            <w:pPr>
              <w:rPr>
                <w:rFonts w:cs="Arial"/>
                <w:sz w:val="20"/>
                <w:szCs w:val="20"/>
              </w:rPr>
            </w:pPr>
          </w:p>
        </w:tc>
        <w:tc>
          <w:tcPr>
            <w:tcW w:w="925" w:type="pct"/>
            <w:vMerge/>
            <w:shd w:val="clear" w:color="auto" w:fill="auto"/>
          </w:tcPr>
          <w:p w14:paraId="6C06EAD2"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06B7073" w14:textId="77777777" w:rsidR="002668A9" w:rsidRPr="002668A9" w:rsidRDefault="002668A9" w:rsidP="002668A9">
            <w:pPr>
              <w:rPr>
                <w:rFonts w:cs="Arial"/>
                <w:sz w:val="20"/>
                <w:szCs w:val="20"/>
              </w:rPr>
            </w:pPr>
          </w:p>
        </w:tc>
      </w:tr>
      <w:tr w:rsidR="002668A9" w:rsidRPr="002668A9" w14:paraId="50D80CC3" w14:textId="77777777" w:rsidTr="00C36741">
        <w:trPr>
          <w:trHeight w:val="504"/>
        </w:trPr>
        <w:tc>
          <w:tcPr>
            <w:tcW w:w="796" w:type="pct"/>
            <w:vMerge/>
            <w:shd w:val="clear" w:color="auto" w:fill="auto"/>
          </w:tcPr>
          <w:p w14:paraId="04D03254" w14:textId="77777777" w:rsidR="002668A9" w:rsidRPr="002668A9" w:rsidRDefault="002668A9" w:rsidP="002668A9">
            <w:pPr>
              <w:rPr>
                <w:rFonts w:cs="Arial"/>
                <w:sz w:val="20"/>
                <w:szCs w:val="20"/>
              </w:rPr>
            </w:pPr>
          </w:p>
        </w:tc>
        <w:tc>
          <w:tcPr>
            <w:tcW w:w="1275" w:type="pct"/>
            <w:vMerge/>
          </w:tcPr>
          <w:p w14:paraId="42277EC8" w14:textId="77777777" w:rsidR="002668A9" w:rsidRPr="002668A9" w:rsidRDefault="002668A9" w:rsidP="002668A9">
            <w:pPr>
              <w:rPr>
                <w:rFonts w:cs="Arial"/>
                <w:sz w:val="20"/>
                <w:szCs w:val="20"/>
              </w:rPr>
            </w:pPr>
          </w:p>
        </w:tc>
        <w:tc>
          <w:tcPr>
            <w:tcW w:w="925" w:type="pct"/>
            <w:vMerge/>
            <w:shd w:val="clear" w:color="auto" w:fill="auto"/>
          </w:tcPr>
          <w:p w14:paraId="00379654"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F8EB58E" w14:textId="77777777" w:rsidR="002668A9" w:rsidRPr="002668A9" w:rsidRDefault="002668A9" w:rsidP="002668A9">
            <w:pPr>
              <w:rPr>
                <w:rFonts w:cs="Arial"/>
                <w:sz w:val="20"/>
                <w:szCs w:val="20"/>
              </w:rPr>
            </w:pPr>
          </w:p>
        </w:tc>
      </w:tr>
      <w:tr w:rsidR="002668A9" w:rsidRPr="002668A9" w14:paraId="68FFFA31" w14:textId="77777777" w:rsidTr="00C36741">
        <w:trPr>
          <w:trHeight w:val="464"/>
        </w:trPr>
        <w:tc>
          <w:tcPr>
            <w:tcW w:w="796" w:type="pct"/>
            <w:vMerge w:val="restart"/>
            <w:shd w:val="clear" w:color="auto" w:fill="auto"/>
          </w:tcPr>
          <w:p w14:paraId="0B6E6697" w14:textId="77777777" w:rsidR="002668A9" w:rsidRPr="002668A9" w:rsidRDefault="002668A9" w:rsidP="002668A9">
            <w:pPr>
              <w:rPr>
                <w:rFonts w:cs="Arial"/>
                <w:sz w:val="20"/>
                <w:szCs w:val="20"/>
              </w:rPr>
            </w:pPr>
            <w:r w:rsidRPr="002668A9">
              <w:rPr>
                <w:rFonts w:cs="Arial"/>
                <w:sz w:val="20"/>
                <w:szCs w:val="20"/>
              </w:rPr>
              <w:t>Include additional case studies / examples / check lists.</w:t>
            </w:r>
          </w:p>
        </w:tc>
        <w:tc>
          <w:tcPr>
            <w:tcW w:w="1275" w:type="pct"/>
            <w:vMerge w:val="restart"/>
            <w:shd w:val="clear" w:color="auto" w:fill="auto"/>
          </w:tcPr>
          <w:p w14:paraId="256268DA" w14:textId="77777777" w:rsidR="002668A9" w:rsidRPr="002668A9" w:rsidRDefault="002668A9" w:rsidP="002668A9">
            <w:pPr>
              <w:rPr>
                <w:rFonts w:cs="Arial"/>
                <w:sz w:val="20"/>
                <w:szCs w:val="20"/>
              </w:rPr>
            </w:pPr>
            <w:r w:rsidRPr="002668A9">
              <w:rPr>
                <w:rFonts w:cs="Arial"/>
                <w:sz w:val="20"/>
                <w:szCs w:val="20"/>
              </w:rPr>
              <w:t>Two checklists for the requirements in section 10 were submitted for potential inclusion in the NEMP.</w:t>
            </w:r>
          </w:p>
        </w:tc>
        <w:tc>
          <w:tcPr>
            <w:tcW w:w="925" w:type="pct"/>
            <w:vMerge w:val="restart"/>
            <w:shd w:val="clear" w:color="auto" w:fill="auto"/>
          </w:tcPr>
          <w:p w14:paraId="53057F19" w14:textId="73F7FEC4" w:rsidR="002668A9" w:rsidRPr="002668A9" w:rsidRDefault="007956EC" w:rsidP="002668A9">
            <w:pPr>
              <w:rPr>
                <w:rFonts w:cs="Arial"/>
                <w:sz w:val="20"/>
                <w:szCs w:val="20"/>
              </w:rPr>
            </w:pPr>
            <w:r>
              <w:rPr>
                <w:rFonts w:cs="Arial"/>
                <w:sz w:val="20"/>
                <w:szCs w:val="20"/>
              </w:rPr>
              <w:t>NZ Ministry for the Environment</w:t>
            </w:r>
          </w:p>
        </w:tc>
        <w:tc>
          <w:tcPr>
            <w:tcW w:w="2004" w:type="pct"/>
            <w:vMerge w:val="restart"/>
            <w:shd w:val="clear" w:color="auto" w:fill="auto"/>
            <w:tcMar>
              <w:top w:w="0" w:type="dxa"/>
              <w:left w:w="108" w:type="dxa"/>
              <w:bottom w:w="0" w:type="dxa"/>
              <w:right w:w="108" w:type="dxa"/>
            </w:tcMar>
          </w:tcPr>
          <w:p w14:paraId="14E9D0E7" w14:textId="4F337B38" w:rsidR="002668A9" w:rsidRPr="002668A9" w:rsidRDefault="002668A9" w:rsidP="002668A9">
            <w:pPr>
              <w:rPr>
                <w:rFonts w:cs="Arial"/>
                <w:sz w:val="20"/>
                <w:szCs w:val="20"/>
              </w:rPr>
            </w:pPr>
            <w:r w:rsidRPr="002668A9">
              <w:rPr>
                <w:rFonts w:cs="Arial"/>
                <w:sz w:val="20"/>
                <w:szCs w:val="20"/>
              </w:rPr>
              <w:t>These examples are indicative (rather than definitive or exhaustive</w:t>
            </w:r>
            <w:r w:rsidR="006E7F84" w:rsidRPr="002668A9">
              <w:rPr>
                <w:rFonts w:cs="Arial"/>
                <w:sz w:val="20"/>
                <w:szCs w:val="20"/>
              </w:rPr>
              <w:t>) and</w:t>
            </w:r>
            <w:r w:rsidRPr="002668A9">
              <w:rPr>
                <w:rFonts w:cs="Arial"/>
                <w:sz w:val="20"/>
                <w:szCs w:val="20"/>
              </w:rPr>
              <w:t xml:space="preserve"> are considered useful. They are included in a new Appendix E </w:t>
            </w:r>
          </w:p>
        </w:tc>
      </w:tr>
      <w:tr w:rsidR="002668A9" w:rsidRPr="002668A9" w14:paraId="6FA44D8A" w14:textId="77777777" w:rsidTr="00C36741">
        <w:trPr>
          <w:trHeight w:val="504"/>
        </w:trPr>
        <w:tc>
          <w:tcPr>
            <w:tcW w:w="796" w:type="pct"/>
            <w:vMerge/>
            <w:shd w:val="clear" w:color="auto" w:fill="auto"/>
          </w:tcPr>
          <w:p w14:paraId="3F2E268F" w14:textId="77777777" w:rsidR="002668A9" w:rsidRPr="002668A9" w:rsidRDefault="002668A9" w:rsidP="002668A9">
            <w:pPr>
              <w:rPr>
                <w:rFonts w:cs="Arial"/>
                <w:sz w:val="20"/>
                <w:szCs w:val="20"/>
              </w:rPr>
            </w:pPr>
          </w:p>
        </w:tc>
        <w:tc>
          <w:tcPr>
            <w:tcW w:w="1275" w:type="pct"/>
            <w:vMerge/>
            <w:shd w:val="clear" w:color="auto" w:fill="auto"/>
          </w:tcPr>
          <w:p w14:paraId="6889FFFB" w14:textId="77777777" w:rsidR="002668A9" w:rsidRPr="002668A9" w:rsidRDefault="002668A9" w:rsidP="002668A9">
            <w:pPr>
              <w:rPr>
                <w:rFonts w:cs="Arial"/>
                <w:sz w:val="20"/>
                <w:szCs w:val="20"/>
              </w:rPr>
            </w:pPr>
          </w:p>
        </w:tc>
        <w:tc>
          <w:tcPr>
            <w:tcW w:w="925" w:type="pct"/>
            <w:vMerge/>
            <w:shd w:val="clear" w:color="auto" w:fill="auto"/>
          </w:tcPr>
          <w:p w14:paraId="112E3DB1"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36016C4B" w14:textId="77777777" w:rsidR="002668A9" w:rsidRPr="002668A9" w:rsidRDefault="002668A9" w:rsidP="002668A9">
            <w:pPr>
              <w:rPr>
                <w:rFonts w:cs="Arial"/>
                <w:sz w:val="20"/>
                <w:szCs w:val="20"/>
              </w:rPr>
            </w:pPr>
          </w:p>
        </w:tc>
      </w:tr>
      <w:tr w:rsidR="002668A9" w:rsidRPr="002668A9" w14:paraId="3DDBE251" w14:textId="77777777" w:rsidTr="00C36741">
        <w:tc>
          <w:tcPr>
            <w:tcW w:w="796" w:type="pct"/>
            <w:shd w:val="clear" w:color="auto" w:fill="auto"/>
          </w:tcPr>
          <w:p w14:paraId="0D3F8E3D" w14:textId="77777777" w:rsidR="002668A9" w:rsidRPr="002668A9" w:rsidRDefault="002668A9" w:rsidP="002668A9">
            <w:pPr>
              <w:rPr>
                <w:rFonts w:cs="Arial"/>
                <w:sz w:val="20"/>
                <w:szCs w:val="20"/>
              </w:rPr>
            </w:pPr>
            <w:r w:rsidRPr="002668A9">
              <w:rPr>
                <w:rFonts w:cs="Arial"/>
                <w:sz w:val="20"/>
                <w:szCs w:val="20"/>
              </w:rPr>
              <w:t>Include Basel and Stockholm Conventions low content limit advice.</w:t>
            </w:r>
          </w:p>
        </w:tc>
        <w:tc>
          <w:tcPr>
            <w:tcW w:w="1275" w:type="pct"/>
          </w:tcPr>
          <w:p w14:paraId="5A406B3D" w14:textId="77777777" w:rsidR="002668A9" w:rsidRPr="002668A9" w:rsidRDefault="002668A9" w:rsidP="002668A9">
            <w:pPr>
              <w:rPr>
                <w:rFonts w:cs="Arial"/>
                <w:sz w:val="20"/>
                <w:szCs w:val="20"/>
              </w:rPr>
            </w:pPr>
            <w:r w:rsidRPr="002668A9">
              <w:rPr>
                <w:rFonts w:cs="Arial"/>
                <w:sz w:val="20"/>
                <w:szCs w:val="20"/>
              </w:rPr>
              <w:t>Comments requesting guidance around storage and containment of materials contaminated above 50 mg/kg.</w:t>
            </w:r>
          </w:p>
        </w:tc>
        <w:tc>
          <w:tcPr>
            <w:tcW w:w="925" w:type="pct"/>
          </w:tcPr>
          <w:p w14:paraId="2C6DD6FD" w14:textId="2086900D" w:rsidR="00A905B8" w:rsidRDefault="00A905B8" w:rsidP="002668A9">
            <w:pPr>
              <w:rPr>
                <w:rFonts w:cs="Arial"/>
                <w:sz w:val="20"/>
                <w:szCs w:val="20"/>
              </w:rPr>
            </w:pPr>
            <w:r>
              <w:rPr>
                <w:rFonts w:cs="Arial"/>
                <w:sz w:val="20"/>
                <w:szCs w:val="20"/>
              </w:rPr>
              <w:t>Australasian Land and Groundwater Association – submission 1</w:t>
            </w:r>
          </w:p>
          <w:p w14:paraId="655112D2" w14:textId="76601229" w:rsidR="006B3A71" w:rsidRDefault="006B3A71" w:rsidP="002668A9">
            <w:pPr>
              <w:rPr>
                <w:rFonts w:cs="Arial"/>
                <w:sz w:val="20"/>
                <w:szCs w:val="20"/>
              </w:rPr>
            </w:pPr>
            <w:r>
              <w:rPr>
                <w:rFonts w:cs="Arial"/>
                <w:sz w:val="20"/>
                <w:szCs w:val="20"/>
              </w:rPr>
              <w:t>Australian Government - DITCRD</w:t>
            </w:r>
          </w:p>
          <w:p w14:paraId="0CDD79EC" w14:textId="77777777" w:rsidR="00A905B8" w:rsidRDefault="00A905B8" w:rsidP="002668A9">
            <w:pPr>
              <w:rPr>
                <w:rFonts w:cs="Arial"/>
                <w:sz w:val="20"/>
                <w:szCs w:val="20"/>
              </w:rPr>
            </w:pPr>
            <w:r>
              <w:rPr>
                <w:rFonts w:cs="Arial"/>
                <w:sz w:val="20"/>
                <w:szCs w:val="20"/>
              </w:rPr>
              <w:t>CRC CARE</w:t>
            </w:r>
          </w:p>
          <w:p w14:paraId="030BF30E" w14:textId="77777777" w:rsidR="00A905B8" w:rsidRPr="002668A9" w:rsidRDefault="00A905B8" w:rsidP="002668A9">
            <w:pPr>
              <w:rPr>
                <w:rFonts w:cs="Arial"/>
                <w:sz w:val="20"/>
                <w:szCs w:val="20"/>
              </w:rPr>
            </w:pPr>
            <w:r>
              <w:rPr>
                <w:rFonts w:cs="Arial"/>
                <w:sz w:val="20"/>
                <w:szCs w:val="20"/>
              </w:rPr>
              <w:t>Senversa</w:t>
            </w:r>
          </w:p>
          <w:p w14:paraId="34D259E9" w14:textId="7C780728" w:rsidR="002668A9" w:rsidRPr="002668A9" w:rsidRDefault="00A905B8" w:rsidP="002668A9">
            <w:pPr>
              <w:rPr>
                <w:rFonts w:cs="Arial"/>
                <w:sz w:val="20"/>
                <w:szCs w:val="20"/>
              </w:rPr>
            </w:pPr>
            <w:r>
              <w:rPr>
                <w:rFonts w:cs="Arial"/>
                <w:sz w:val="20"/>
                <w:szCs w:val="20"/>
              </w:rPr>
              <w:t>Viva Energy Australia</w:t>
            </w:r>
          </w:p>
        </w:tc>
        <w:tc>
          <w:tcPr>
            <w:tcW w:w="2004" w:type="pct"/>
            <w:shd w:val="clear" w:color="auto" w:fill="auto"/>
            <w:tcMar>
              <w:top w:w="0" w:type="dxa"/>
              <w:left w:w="108" w:type="dxa"/>
              <w:bottom w:w="0" w:type="dxa"/>
              <w:right w:w="108" w:type="dxa"/>
            </w:tcMar>
          </w:tcPr>
          <w:p w14:paraId="04A7A3C7" w14:textId="68A5C236" w:rsidR="00CE0A75" w:rsidRPr="00CE0A75" w:rsidRDefault="002668A9" w:rsidP="00CE0A75">
            <w:pPr>
              <w:rPr>
                <w:rFonts w:cs="Arial"/>
                <w:sz w:val="20"/>
                <w:szCs w:val="20"/>
              </w:rPr>
            </w:pPr>
            <w:r w:rsidRPr="002668A9">
              <w:rPr>
                <w:rFonts w:cs="Arial"/>
                <w:sz w:val="20"/>
                <w:szCs w:val="20"/>
              </w:rPr>
              <w:t>Text in Section 14.6 is considered to provide adequate information about the management of PFAS-contaminated material with a PFOS, PFOA, or PFHxS content greater than 50 mg/kg. Consistent with agreed international approaches, PFAS-contaminated material with a PFOS, PFOA, or PFHxS content greater than 50 mg/kg</w:t>
            </w:r>
            <w:r w:rsidR="00CE0A75">
              <w:rPr>
                <w:rFonts w:cs="Arial"/>
                <w:sz w:val="20"/>
                <w:szCs w:val="20"/>
              </w:rPr>
              <w:t xml:space="preserve"> </w:t>
            </w:r>
            <w:r w:rsidR="00CE0A75" w:rsidRPr="00CE0A75">
              <w:rPr>
                <w:rFonts w:cs="Arial"/>
                <w:sz w:val="20"/>
                <w:szCs w:val="20"/>
              </w:rPr>
              <w:t xml:space="preserve">must be disposed of in such a way that the persistent organic pollutant content is destroyed or irreversibly transformed so that they do not exhibit the characteristics of persistent organic pollutants or otherwise disposed of in an environmentally sound manner when destruction or irreversible transformation does not represent the environmentally preferable option or the persistent organic pollutant content is low, taking into account international rules, standards, and guidelines, including those that may be developed pursuant to the Stockholm Convention, and relevant global and regional regimes governing the management of hazardous wastes.  </w:t>
            </w:r>
          </w:p>
          <w:p w14:paraId="43423F9B" w14:textId="20BE57E9" w:rsidR="00CE0A75" w:rsidRDefault="00CE0A75" w:rsidP="00CE0A75">
            <w:pPr>
              <w:rPr>
                <w:rFonts w:cs="Arial"/>
                <w:sz w:val="20"/>
                <w:szCs w:val="20"/>
              </w:rPr>
            </w:pPr>
            <w:r w:rsidRPr="00CE0A75">
              <w:rPr>
                <w:rFonts w:cs="Arial"/>
                <w:sz w:val="20"/>
                <w:szCs w:val="20"/>
              </w:rPr>
              <w:t xml:space="preserve">Waste </w:t>
            </w:r>
            <w:r w:rsidR="00D86B5C" w:rsidRPr="002668A9">
              <w:rPr>
                <w:rFonts w:cs="Arial"/>
                <w:sz w:val="20"/>
                <w:szCs w:val="20"/>
              </w:rPr>
              <w:t xml:space="preserve">with a </w:t>
            </w:r>
            <w:r w:rsidR="00D86B5C">
              <w:rPr>
                <w:rFonts w:cs="Arial"/>
                <w:sz w:val="20"/>
                <w:szCs w:val="20"/>
              </w:rPr>
              <w:t>persistent organic pollutant</w:t>
            </w:r>
            <w:r w:rsidR="00D86B5C" w:rsidRPr="002668A9">
              <w:rPr>
                <w:rFonts w:cs="Arial"/>
                <w:sz w:val="20"/>
                <w:szCs w:val="20"/>
              </w:rPr>
              <w:t xml:space="preserve"> content greater than 50 mg/kg</w:t>
            </w:r>
            <w:r w:rsidR="00D86B5C" w:rsidRPr="00CE0A75">
              <w:rPr>
                <w:rFonts w:cs="Arial"/>
                <w:sz w:val="20"/>
                <w:szCs w:val="20"/>
              </w:rPr>
              <w:t xml:space="preserve"> </w:t>
            </w:r>
            <w:r w:rsidRPr="00CE0A75">
              <w:rPr>
                <w:rFonts w:cs="Arial"/>
                <w:sz w:val="20"/>
                <w:szCs w:val="20"/>
              </w:rPr>
              <w:t xml:space="preserve">is not permitted to be subjected to disposal operations that may lead to recovery, recycling, reclamation, direct reuse or alternative uses of persistent organic pollutants. </w:t>
            </w:r>
            <w:r w:rsidR="002668A9" w:rsidRPr="002668A9">
              <w:rPr>
                <w:rFonts w:cs="Arial"/>
                <w:sz w:val="20"/>
                <w:szCs w:val="20"/>
              </w:rPr>
              <w:t xml:space="preserve"> For example, </w:t>
            </w:r>
            <w:r w:rsidR="002668A9" w:rsidRPr="002668A9">
              <w:rPr>
                <w:rFonts w:cs="Arial"/>
                <w:sz w:val="20"/>
                <w:szCs w:val="20"/>
              </w:rPr>
              <w:lastRenderedPageBreak/>
              <w:t xml:space="preserve">techniques such as plasma arc or high temperature incineration (above 1100°C) are already agreed technologies for destruction. </w:t>
            </w:r>
          </w:p>
          <w:p w14:paraId="04D015AB" w14:textId="481F25BF" w:rsidR="002668A9" w:rsidRPr="002668A9" w:rsidRDefault="00CE0A75" w:rsidP="00814210">
            <w:pPr>
              <w:rPr>
                <w:rFonts w:cs="Arial"/>
                <w:sz w:val="20"/>
                <w:szCs w:val="20"/>
              </w:rPr>
            </w:pPr>
            <w:r>
              <w:rPr>
                <w:rFonts w:cs="Arial"/>
                <w:sz w:val="20"/>
                <w:szCs w:val="20"/>
              </w:rPr>
              <w:t xml:space="preserve">The Basel </w:t>
            </w:r>
            <w:r w:rsidR="003D7B27">
              <w:rPr>
                <w:rFonts w:cs="Arial"/>
                <w:sz w:val="20"/>
                <w:szCs w:val="20"/>
              </w:rPr>
              <w:t>C</w:t>
            </w:r>
            <w:r>
              <w:rPr>
                <w:rFonts w:cs="Arial"/>
                <w:sz w:val="20"/>
                <w:szCs w:val="20"/>
              </w:rPr>
              <w:t>onvention has requirements for disposal of waste below the 50 mg/kg limit. Disposal is different than onsite containment. The text in section 10 has been clarified to make it clear that this section pertains to onsite containment only and that section 13 pertains to remediation including destruction and section 14 pertains to disposal</w:t>
            </w:r>
            <w:r w:rsidR="00532BC6">
              <w:rPr>
                <w:rFonts w:cs="Arial"/>
                <w:sz w:val="20"/>
                <w:szCs w:val="20"/>
              </w:rPr>
              <w:t xml:space="preserve"> to landfill</w:t>
            </w:r>
            <w:r>
              <w:rPr>
                <w:rFonts w:cs="Arial"/>
                <w:sz w:val="20"/>
                <w:szCs w:val="20"/>
              </w:rPr>
              <w:t>.</w:t>
            </w:r>
          </w:p>
        </w:tc>
      </w:tr>
      <w:tr w:rsidR="002668A9" w:rsidRPr="002668A9" w14:paraId="0305C481" w14:textId="77777777" w:rsidTr="00C36741">
        <w:trPr>
          <w:trHeight w:val="464"/>
        </w:trPr>
        <w:tc>
          <w:tcPr>
            <w:tcW w:w="796" w:type="pct"/>
            <w:vMerge w:val="restart"/>
            <w:shd w:val="clear" w:color="auto" w:fill="auto"/>
          </w:tcPr>
          <w:p w14:paraId="378602CF" w14:textId="77777777" w:rsidR="002668A9" w:rsidRPr="002668A9" w:rsidRDefault="002668A9" w:rsidP="002668A9">
            <w:pPr>
              <w:rPr>
                <w:rFonts w:cs="Arial"/>
                <w:sz w:val="20"/>
                <w:szCs w:val="20"/>
              </w:rPr>
            </w:pPr>
            <w:r w:rsidRPr="002668A9">
              <w:rPr>
                <w:rFonts w:cs="Arial"/>
                <w:sz w:val="20"/>
                <w:szCs w:val="20"/>
              </w:rPr>
              <w:lastRenderedPageBreak/>
              <w:t>Include additional containment / storage advice.</w:t>
            </w:r>
          </w:p>
        </w:tc>
        <w:tc>
          <w:tcPr>
            <w:tcW w:w="1275" w:type="pct"/>
            <w:vMerge w:val="restart"/>
          </w:tcPr>
          <w:p w14:paraId="2B26A0AF" w14:textId="77777777" w:rsidR="002668A9" w:rsidRPr="002668A9" w:rsidRDefault="002668A9" w:rsidP="002668A9">
            <w:pPr>
              <w:rPr>
                <w:rFonts w:cs="Arial"/>
                <w:sz w:val="20"/>
                <w:szCs w:val="20"/>
              </w:rPr>
            </w:pPr>
            <w:r w:rsidRPr="002668A9">
              <w:rPr>
                <w:rFonts w:cs="Arial"/>
                <w:sz w:val="20"/>
                <w:szCs w:val="20"/>
              </w:rPr>
              <w:t>Several submissions raised issues about leachate management, collection systems, and sumps.</w:t>
            </w:r>
          </w:p>
          <w:p w14:paraId="03EF191E" w14:textId="5BBA2DF6" w:rsidR="002668A9" w:rsidRPr="002668A9" w:rsidRDefault="002668A9" w:rsidP="002668A9">
            <w:pPr>
              <w:rPr>
                <w:rFonts w:cs="Arial"/>
                <w:sz w:val="20"/>
                <w:szCs w:val="20"/>
              </w:rPr>
            </w:pPr>
            <w:r w:rsidRPr="002668A9">
              <w:rPr>
                <w:rFonts w:cs="Arial"/>
                <w:sz w:val="20"/>
                <w:szCs w:val="20"/>
              </w:rPr>
              <w:t>Some submissions discussed chemical immobilisation. One industry submission noted that the efficacy of chemical immobilisation has not yet been demonstrated in the scientific literature on field trials.</w:t>
            </w:r>
          </w:p>
          <w:p w14:paraId="06A34894" w14:textId="77777777" w:rsidR="002668A9" w:rsidRPr="002668A9" w:rsidRDefault="002668A9" w:rsidP="002668A9">
            <w:pPr>
              <w:rPr>
                <w:rFonts w:cs="Arial"/>
                <w:sz w:val="20"/>
                <w:szCs w:val="20"/>
              </w:rPr>
            </w:pPr>
            <w:r w:rsidRPr="002668A9">
              <w:rPr>
                <w:rFonts w:cs="Arial"/>
                <w:sz w:val="20"/>
                <w:szCs w:val="20"/>
              </w:rPr>
              <w:t>Several submissions raised the need to contain airborne emissions for volatile PFASs.</w:t>
            </w:r>
          </w:p>
          <w:p w14:paraId="4123FD7A" w14:textId="77777777" w:rsidR="002668A9" w:rsidRPr="002668A9" w:rsidRDefault="002668A9" w:rsidP="002668A9">
            <w:pPr>
              <w:rPr>
                <w:rFonts w:cs="Arial"/>
                <w:sz w:val="20"/>
                <w:szCs w:val="20"/>
              </w:rPr>
            </w:pPr>
            <w:r w:rsidRPr="002668A9">
              <w:rPr>
                <w:rFonts w:cs="Arial"/>
                <w:sz w:val="20"/>
                <w:szCs w:val="20"/>
              </w:rPr>
              <w:t>Several submissions raised issues about leachate management, collection systems, and sumps.</w:t>
            </w:r>
          </w:p>
        </w:tc>
        <w:tc>
          <w:tcPr>
            <w:tcW w:w="925" w:type="pct"/>
            <w:vMerge w:val="restart"/>
          </w:tcPr>
          <w:p w14:paraId="7D1685D1" w14:textId="77777777" w:rsidR="00635E31" w:rsidRPr="002668A9" w:rsidRDefault="00635E31" w:rsidP="002668A9">
            <w:pPr>
              <w:rPr>
                <w:rFonts w:cs="Arial"/>
                <w:sz w:val="20"/>
                <w:szCs w:val="20"/>
              </w:rPr>
            </w:pPr>
            <w:r>
              <w:rPr>
                <w:rFonts w:cs="Arial"/>
                <w:sz w:val="20"/>
                <w:szCs w:val="20"/>
              </w:rPr>
              <w:t>Lloyd Consulting</w:t>
            </w:r>
          </w:p>
          <w:p w14:paraId="6418A7FF" w14:textId="78AC1749" w:rsidR="00635E31" w:rsidRDefault="00406A71" w:rsidP="002668A9">
            <w:pPr>
              <w:rPr>
                <w:rFonts w:cs="Arial"/>
                <w:sz w:val="20"/>
                <w:szCs w:val="20"/>
              </w:rPr>
            </w:pPr>
            <w:r>
              <w:rPr>
                <w:rFonts w:cs="Arial"/>
                <w:sz w:val="20"/>
                <w:szCs w:val="20"/>
              </w:rPr>
              <w:t>NSW EPA - Hazardous Materials Unit</w:t>
            </w:r>
          </w:p>
          <w:p w14:paraId="20F1D242" w14:textId="77777777" w:rsidR="00635E31" w:rsidRDefault="00635E31" w:rsidP="002668A9">
            <w:pPr>
              <w:rPr>
                <w:rFonts w:cs="Arial"/>
                <w:sz w:val="20"/>
                <w:szCs w:val="20"/>
              </w:rPr>
            </w:pPr>
            <w:r>
              <w:rPr>
                <w:rFonts w:cs="Arial"/>
                <w:sz w:val="20"/>
                <w:szCs w:val="20"/>
              </w:rPr>
              <w:t>NZ Ministry for the Environment</w:t>
            </w:r>
          </w:p>
          <w:p w14:paraId="781BE1AD" w14:textId="77777777" w:rsidR="00635E31" w:rsidRPr="002668A9" w:rsidRDefault="00635E31" w:rsidP="002668A9">
            <w:pPr>
              <w:rPr>
                <w:rFonts w:cs="Arial"/>
                <w:sz w:val="20"/>
                <w:szCs w:val="20"/>
              </w:rPr>
            </w:pPr>
            <w:r>
              <w:rPr>
                <w:rFonts w:cs="Arial"/>
                <w:sz w:val="20"/>
                <w:szCs w:val="20"/>
              </w:rPr>
              <w:t>qldwater</w:t>
            </w:r>
          </w:p>
          <w:p w14:paraId="60AD906C" w14:textId="77777777" w:rsidR="00635E31" w:rsidRDefault="00635E31" w:rsidP="002668A9">
            <w:pPr>
              <w:rPr>
                <w:rFonts w:cs="Arial"/>
                <w:sz w:val="20"/>
                <w:szCs w:val="20"/>
              </w:rPr>
            </w:pPr>
            <w:r>
              <w:rPr>
                <w:rFonts w:cs="Arial"/>
                <w:sz w:val="20"/>
                <w:szCs w:val="20"/>
              </w:rPr>
              <w:t>Senversa</w:t>
            </w:r>
          </w:p>
          <w:p w14:paraId="7D8A72B2" w14:textId="77777777" w:rsidR="00635E31" w:rsidRPr="002668A9" w:rsidRDefault="00635E31" w:rsidP="002668A9">
            <w:pPr>
              <w:rPr>
                <w:rFonts w:cs="Arial"/>
                <w:sz w:val="20"/>
                <w:szCs w:val="20"/>
              </w:rPr>
            </w:pPr>
            <w:r>
              <w:rPr>
                <w:rFonts w:cs="Arial"/>
                <w:sz w:val="20"/>
                <w:szCs w:val="20"/>
              </w:rPr>
              <w:t>Viva Energy Australia</w:t>
            </w:r>
          </w:p>
          <w:p w14:paraId="41EF0318" w14:textId="435F1358" w:rsidR="002668A9" w:rsidRPr="002668A9" w:rsidRDefault="00635E31" w:rsidP="002668A9">
            <w:pPr>
              <w:rPr>
                <w:rFonts w:cs="Arial"/>
                <w:sz w:val="20"/>
                <w:szCs w:val="20"/>
              </w:rPr>
            </w:pPr>
            <w:r>
              <w:rPr>
                <w:rFonts w:cs="Arial"/>
                <w:sz w:val="20"/>
                <w:szCs w:val="20"/>
              </w:rPr>
              <w:t>WA Government</w:t>
            </w:r>
          </w:p>
        </w:tc>
        <w:tc>
          <w:tcPr>
            <w:tcW w:w="2004" w:type="pct"/>
            <w:vMerge w:val="restart"/>
            <w:shd w:val="clear" w:color="auto" w:fill="auto"/>
            <w:tcMar>
              <w:top w:w="0" w:type="dxa"/>
              <w:left w:w="108" w:type="dxa"/>
              <w:bottom w:w="0" w:type="dxa"/>
              <w:right w:w="108" w:type="dxa"/>
            </w:tcMar>
          </w:tcPr>
          <w:p w14:paraId="0956770E" w14:textId="77777777" w:rsidR="002668A9" w:rsidRPr="002668A9" w:rsidRDefault="002668A9" w:rsidP="002668A9">
            <w:pPr>
              <w:rPr>
                <w:rFonts w:cs="Arial"/>
                <w:sz w:val="20"/>
                <w:szCs w:val="20"/>
              </w:rPr>
            </w:pPr>
            <w:r w:rsidRPr="002668A9">
              <w:rPr>
                <w:rFonts w:cs="Arial"/>
                <w:sz w:val="20"/>
                <w:szCs w:val="20"/>
              </w:rPr>
              <w:t xml:space="preserve">Reporting requirements around a loss of containment are a matter for environmental regulators and the site owner, and might not be restricted to the reporting of liquids only. </w:t>
            </w:r>
          </w:p>
          <w:p w14:paraId="55220490" w14:textId="77777777" w:rsidR="002668A9" w:rsidRPr="002668A9" w:rsidRDefault="002668A9" w:rsidP="002668A9">
            <w:pPr>
              <w:rPr>
                <w:rFonts w:cs="Arial"/>
                <w:sz w:val="20"/>
                <w:szCs w:val="20"/>
              </w:rPr>
            </w:pPr>
            <w:r w:rsidRPr="002668A9">
              <w:rPr>
                <w:rFonts w:cs="Arial"/>
                <w:sz w:val="20"/>
                <w:szCs w:val="20"/>
              </w:rPr>
              <w:t>Additional text has been inserted about chemical immobilisation. This is also an area of possible future work.</w:t>
            </w:r>
          </w:p>
          <w:p w14:paraId="1515F629" w14:textId="4CA13035" w:rsidR="002668A9" w:rsidRPr="002668A9" w:rsidRDefault="002668A9" w:rsidP="002668A9">
            <w:pPr>
              <w:rPr>
                <w:rFonts w:cs="Arial"/>
                <w:sz w:val="20"/>
                <w:szCs w:val="20"/>
              </w:rPr>
            </w:pPr>
            <w:r w:rsidRPr="002668A9">
              <w:rPr>
                <w:rFonts w:cs="Arial"/>
                <w:sz w:val="20"/>
                <w:szCs w:val="20"/>
              </w:rPr>
              <w:t>Changes have been made to the text to assist with clarity.</w:t>
            </w:r>
          </w:p>
          <w:p w14:paraId="06914150" w14:textId="1179AD37" w:rsidR="002668A9" w:rsidRPr="002668A9" w:rsidRDefault="002668A9" w:rsidP="002668A9">
            <w:pPr>
              <w:rPr>
                <w:rFonts w:cs="Arial"/>
                <w:sz w:val="20"/>
                <w:szCs w:val="20"/>
              </w:rPr>
            </w:pPr>
            <w:r w:rsidRPr="002668A9">
              <w:rPr>
                <w:rFonts w:cs="Arial"/>
                <w:sz w:val="20"/>
                <w:szCs w:val="20"/>
              </w:rPr>
              <w:t>Additional text referring to airborne emissions has been added.</w:t>
            </w:r>
          </w:p>
          <w:p w14:paraId="0D83594E" w14:textId="64DA6A77" w:rsidR="002668A9" w:rsidRPr="002668A9" w:rsidRDefault="002668A9" w:rsidP="002668A9">
            <w:pPr>
              <w:rPr>
                <w:rFonts w:cs="Arial"/>
                <w:sz w:val="20"/>
                <w:szCs w:val="20"/>
              </w:rPr>
            </w:pPr>
            <w:r w:rsidRPr="002668A9">
              <w:rPr>
                <w:rFonts w:cs="Arial"/>
                <w:sz w:val="20"/>
                <w:szCs w:val="20"/>
              </w:rPr>
              <w:t>Detailed guidance for wastewater treatment outputs is planned for future work.</w:t>
            </w:r>
          </w:p>
        </w:tc>
      </w:tr>
      <w:tr w:rsidR="002668A9" w:rsidRPr="002668A9" w14:paraId="27828F8F" w14:textId="77777777" w:rsidTr="00C36741">
        <w:trPr>
          <w:trHeight w:val="504"/>
        </w:trPr>
        <w:tc>
          <w:tcPr>
            <w:tcW w:w="796" w:type="pct"/>
            <w:vMerge/>
            <w:shd w:val="clear" w:color="auto" w:fill="auto"/>
          </w:tcPr>
          <w:p w14:paraId="0F504110" w14:textId="77777777" w:rsidR="002668A9" w:rsidRPr="002668A9" w:rsidRDefault="002668A9" w:rsidP="002668A9">
            <w:pPr>
              <w:rPr>
                <w:rFonts w:cs="Arial"/>
                <w:sz w:val="20"/>
                <w:szCs w:val="20"/>
              </w:rPr>
            </w:pPr>
          </w:p>
        </w:tc>
        <w:tc>
          <w:tcPr>
            <w:tcW w:w="1275" w:type="pct"/>
            <w:vMerge/>
          </w:tcPr>
          <w:p w14:paraId="14DCBF23" w14:textId="77777777" w:rsidR="002668A9" w:rsidRPr="002668A9" w:rsidRDefault="002668A9" w:rsidP="002668A9">
            <w:pPr>
              <w:rPr>
                <w:rFonts w:cs="Arial"/>
                <w:sz w:val="20"/>
                <w:szCs w:val="20"/>
              </w:rPr>
            </w:pPr>
          </w:p>
        </w:tc>
        <w:tc>
          <w:tcPr>
            <w:tcW w:w="925" w:type="pct"/>
            <w:vMerge/>
          </w:tcPr>
          <w:p w14:paraId="739D4E4B"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74D1965E" w14:textId="77777777" w:rsidR="002668A9" w:rsidRPr="002668A9" w:rsidRDefault="002668A9" w:rsidP="002668A9">
            <w:pPr>
              <w:rPr>
                <w:rFonts w:cs="Arial"/>
                <w:sz w:val="20"/>
                <w:szCs w:val="20"/>
              </w:rPr>
            </w:pPr>
          </w:p>
        </w:tc>
      </w:tr>
      <w:tr w:rsidR="002668A9" w:rsidRPr="002668A9" w14:paraId="726D81AE" w14:textId="77777777" w:rsidTr="00C36741">
        <w:trPr>
          <w:trHeight w:val="504"/>
        </w:trPr>
        <w:tc>
          <w:tcPr>
            <w:tcW w:w="796" w:type="pct"/>
            <w:vMerge/>
            <w:shd w:val="clear" w:color="auto" w:fill="auto"/>
          </w:tcPr>
          <w:p w14:paraId="56CA1AB8" w14:textId="77777777" w:rsidR="002668A9" w:rsidRPr="002668A9" w:rsidRDefault="002668A9" w:rsidP="002668A9">
            <w:pPr>
              <w:rPr>
                <w:rFonts w:cs="Arial"/>
                <w:sz w:val="20"/>
                <w:szCs w:val="20"/>
              </w:rPr>
            </w:pPr>
          </w:p>
        </w:tc>
        <w:tc>
          <w:tcPr>
            <w:tcW w:w="1275" w:type="pct"/>
            <w:vMerge/>
          </w:tcPr>
          <w:p w14:paraId="226FE069" w14:textId="77777777" w:rsidR="002668A9" w:rsidRPr="002668A9" w:rsidRDefault="002668A9" w:rsidP="002668A9">
            <w:pPr>
              <w:rPr>
                <w:rFonts w:cs="Arial"/>
                <w:sz w:val="20"/>
                <w:szCs w:val="20"/>
              </w:rPr>
            </w:pPr>
          </w:p>
        </w:tc>
        <w:tc>
          <w:tcPr>
            <w:tcW w:w="925" w:type="pct"/>
            <w:vMerge/>
          </w:tcPr>
          <w:p w14:paraId="3900CE46"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EF61AC2" w14:textId="77777777" w:rsidR="002668A9" w:rsidRPr="002668A9" w:rsidRDefault="002668A9" w:rsidP="002668A9">
            <w:pPr>
              <w:rPr>
                <w:rFonts w:cs="Arial"/>
                <w:sz w:val="20"/>
                <w:szCs w:val="20"/>
              </w:rPr>
            </w:pPr>
          </w:p>
        </w:tc>
      </w:tr>
      <w:tr w:rsidR="002668A9" w:rsidRPr="002668A9" w14:paraId="3EACAF4C" w14:textId="77777777" w:rsidTr="00C36741">
        <w:trPr>
          <w:trHeight w:val="504"/>
        </w:trPr>
        <w:tc>
          <w:tcPr>
            <w:tcW w:w="796" w:type="pct"/>
            <w:vMerge/>
            <w:shd w:val="clear" w:color="auto" w:fill="auto"/>
          </w:tcPr>
          <w:p w14:paraId="6E14DE21" w14:textId="77777777" w:rsidR="002668A9" w:rsidRPr="002668A9" w:rsidRDefault="002668A9" w:rsidP="002668A9">
            <w:pPr>
              <w:rPr>
                <w:rFonts w:cs="Arial"/>
                <w:sz w:val="20"/>
                <w:szCs w:val="20"/>
              </w:rPr>
            </w:pPr>
          </w:p>
        </w:tc>
        <w:tc>
          <w:tcPr>
            <w:tcW w:w="1275" w:type="pct"/>
            <w:vMerge/>
          </w:tcPr>
          <w:p w14:paraId="319A83D0" w14:textId="77777777" w:rsidR="002668A9" w:rsidRPr="002668A9" w:rsidRDefault="002668A9" w:rsidP="002668A9">
            <w:pPr>
              <w:rPr>
                <w:rFonts w:cs="Arial"/>
                <w:sz w:val="20"/>
                <w:szCs w:val="20"/>
              </w:rPr>
            </w:pPr>
          </w:p>
        </w:tc>
        <w:tc>
          <w:tcPr>
            <w:tcW w:w="925" w:type="pct"/>
            <w:vMerge/>
          </w:tcPr>
          <w:p w14:paraId="0FBF84BA"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415395F5" w14:textId="77777777" w:rsidR="002668A9" w:rsidRPr="002668A9" w:rsidRDefault="002668A9" w:rsidP="002668A9">
            <w:pPr>
              <w:rPr>
                <w:rFonts w:cs="Arial"/>
                <w:sz w:val="20"/>
                <w:szCs w:val="20"/>
              </w:rPr>
            </w:pPr>
          </w:p>
        </w:tc>
      </w:tr>
      <w:tr w:rsidR="002668A9" w:rsidRPr="002668A9" w14:paraId="5484CF73" w14:textId="77777777" w:rsidTr="00C36741">
        <w:trPr>
          <w:trHeight w:val="504"/>
        </w:trPr>
        <w:tc>
          <w:tcPr>
            <w:tcW w:w="796" w:type="pct"/>
            <w:vMerge/>
            <w:shd w:val="clear" w:color="auto" w:fill="auto"/>
          </w:tcPr>
          <w:p w14:paraId="01CDC18B" w14:textId="77777777" w:rsidR="002668A9" w:rsidRPr="002668A9" w:rsidRDefault="002668A9" w:rsidP="002668A9">
            <w:pPr>
              <w:rPr>
                <w:rFonts w:cs="Arial"/>
                <w:sz w:val="20"/>
                <w:szCs w:val="20"/>
              </w:rPr>
            </w:pPr>
          </w:p>
        </w:tc>
        <w:tc>
          <w:tcPr>
            <w:tcW w:w="1275" w:type="pct"/>
            <w:vMerge/>
          </w:tcPr>
          <w:p w14:paraId="4D86972F" w14:textId="77777777" w:rsidR="002668A9" w:rsidRPr="002668A9" w:rsidRDefault="002668A9" w:rsidP="002668A9">
            <w:pPr>
              <w:rPr>
                <w:rFonts w:cs="Arial"/>
                <w:sz w:val="20"/>
                <w:szCs w:val="20"/>
              </w:rPr>
            </w:pPr>
          </w:p>
        </w:tc>
        <w:tc>
          <w:tcPr>
            <w:tcW w:w="925" w:type="pct"/>
            <w:vMerge/>
          </w:tcPr>
          <w:p w14:paraId="3F62CDED"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4C82E480" w14:textId="77777777" w:rsidR="002668A9" w:rsidRPr="002668A9" w:rsidRDefault="002668A9" w:rsidP="002668A9">
            <w:pPr>
              <w:rPr>
                <w:rFonts w:cs="Arial"/>
                <w:sz w:val="20"/>
                <w:szCs w:val="20"/>
              </w:rPr>
            </w:pPr>
          </w:p>
        </w:tc>
      </w:tr>
      <w:tr w:rsidR="002668A9" w:rsidRPr="002668A9" w14:paraId="6398E1A3" w14:textId="77777777" w:rsidTr="00C36741">
        <w:trPr>
          <w:trHeight w:val="504"/>
        </w:trPr>
        <w:tc>
          <w:tcPr>
            <w:tcW w:w="796" w:type="pct"/>
            <w:vMerge/>
            <w:shd w:val="clear" w:color="auto" w:fill="auto"/>
          </w:tcPr>
          <w:p w14:paraId="06175D86" w14:textId="77777777" w:rsidR="002668A9" w:rsidRPr="002668A9" w:rsidRDefault="002668A9" w:rsidP="002668A9">
            <w:pPr>
              <w:rPr>
                <w:rFonts w:cs="Arial"/>
                <w:sz w:val="20"/>
                <w:szCs w:val="20"/>
              </w:rPr>
            </w:pPr>
          </w:p>
        </w:tc>
        <w:tc>
          <w:tcPr>
            <w:tcW w:w="1275" w:type="pct"/>
            <w:vMerge/>
          </w:tcPr>
          <w:p w14:paraId="496BA2FD" w14:textId="77777777" w:rsidR="002668A9" w:rsidRPr="002668A9" w:rsidRDefault="002668A9" w:rsidP="002668A9">
            <w:pPr>
              <w:rPr>
                <w:rFonts w:cs="Arial"/>
                <w:sz w:val="20"/>
                <w:szCs w:val="20"/>
              </w:rPr>
            </w:pPr>
          </w:p>
        </w:tc>
        <w:tc>
          <w:tcPr>
            <w:tcW w:w="925" w:type="pct"/>
            <w:vMerge/>
          </w:tcPr>
          <w:p w14:paraId="41589E6C"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7FC27F41" w14:textId="77777777" w:rsidR="002668A9" w:rsidRPr="002668A9" w:rsidRDefault="002668A9" w:rsidP="002668A9">
            <w:pPr>
              <w:rPr>
                <w:rFonts w:cs="Arial"/>
                <w:sz w:val="20"/>
                <w:szCs w:val="20"/>
              </w:rPr>
            </w:pPr>
          </w:p>
        </w:tc>
      </w:tr>
      <w:tr w:rsidR="002668A9" w:rsidRPr="002668A9" w14:paraId="3C41D4DB" w14:textId="77777777" w:rsidTr="00C36741">
        <w:trPr>
          <w:trHeight w:val="1587"/>
        </w:trPr>
        <w:tc>
          <w:tcPr>
            <w:tcW w:w="796" w:type="pct"/>
            <w:shd w:val="clear" w:color="auto" w:fill="auto"/>
          </w:tcPr>
          <w:p w14:paraId="7B152252" w14:textId="77777777" w:rsidR="002668A9" w:rsidRPr="002668A9" w:rsidRDefault="002668A9" w:rsidP="002668A9">
            <w:pPr>
              <w:rPr>
                <w:rFonts w:cs="Arial"/>
                <w:sz w:val="20"/>
                <w:szCs w:val="20"/>
              </w:rPr>
            </w:pPr>
            <w:r w:rsidRPr="002668A9">
              <w:rPr>
                <w:rFonts w:cs="Arial"/>
                <w:sz w:val="20"/>
                <w:szCs w:val="20"/>
              </w:rPr>
              <w:lastRenderedPageBreak/>
              <w:t>Include Conceptual Site Models</w:t>
            </w:r>
          </w:p>
        </w:tc>
        <w:tc>
          <w:tcPr>
            <w:tcW w:w="1275" w:type="pct"/>
          </w:tcPr>
          <w:p w14:paraId="74D2AA82" w14:textId="77777777" w:rsidR="002668A9" w:rsidRPr="002668A9" w:rsidRDefault="002668A9" w:rsidP="002668A9">
            <w:pPr>
              <w:rPr>
                <w:rFonts w:cs="Arial"/>
                <w:sz w:val="20"/>
                <w:szCs w:val="20"/>
              </w:rPr>
            </w:pPr>
            <w:r w:rsidRPr="002668A9">
              <w:rPr>
                <w:rFonts w:cs="Arial"/>
                <w:sz w:val="20"/>
                <w:szCs w:val="20"/>
              </w:rPr>
              <w:t>Further development of Conceptual Site Model (CSM) guidance in the NEMP, including thematic discussion around the CSM, siting and design considerations, would be beneficial.</w:t>
            </w:r>
          </w:p>
        </w:tc>
        <w:tc>
          <w:tcPr>
            <w:tcW w:w="925" w:type="pct"/>
          </w:tcPr>
          <w:p w14:paraId="50E42DD8" w14:textId="14E66D97" w:rsidR="002668A9" w:rsidRPr="002668A9" w:rsidRDefault="00B30D28" w:rsidP="002668A9">
            <w:pPr>
              <w:rPr>
                <w:rFonts w:cs="Arial"/>
                <w:sz w:val="20"/>
                <w:szCs w:val="20"/>
              </w:rPr>
            </w:pPr>
            <w:r>
              <w:rPr>
                <w:rFonts w:cs="Arial"/>
                <w:sz w:val="20"/>
                <w:szCs w:val="20"/>
              </w:rPr>
              <w:t>Senversa</w:t>
            </w:r>
          </w:p>
        </w:tc>
        <w:tc>
          <w:tcPr>
            <w:tcW w:w="2004" w:type="pct"/>
            <w:shd w:val="clear" w:color="auto" w:fill="auto"/>
            <w:tcMar>
              <w:top w:w="0" w:type="dxa"/>
              <w:left w:w="108" w:type="dxa"/>
              <w:bottom w:w="0" w:type="dxa"/>
              <w:right w:w="108" w:type="dxa"/>
            </w:tcMar>
          </w:tcPr>
          <w:p w14:paraId="5CBF919B" w14:textId="7976F1C6" w:rsidR="002668A9" w:rsidRPr="002668A9" w:rsidRDefault="002668A9" w:rsidP="002668A9">
            <w:pPr>
              <w:rPr>
                <w:rFonts w:cs="Arial"/>
                <w:sz w:val="20"/>
                <w:szCs w:val="20"/>
              </w:rPr>
            </w:pPr>
            <w:r w:rsidRPr="002668A9">
              <w:rPr>
                <w:rFonts w:cs="Arial"/>
                <w:sz w:val="20"/>
                <w:szCs w:val="20"/>
              </w:rPr>
              <w:t xml:space="preserve">The ASC NEPM Schedule B2 provides detailed guidance on CSM development. Further CSM guidance, including a generic CSM for a stockpile, will be considered as part of the future </w:t>
            </w:r>
            <w:r w:rsidR="00814210">
              <w:rPr>
                <w:rFonts w:cs="Arial"/>
                <w:sz w:val="20"/>
                <w:szCs w:val="20"/>
              </w:rPr>
              <w:t xml:space="preserve">NEMP </w:t>
            </w:r>
            <w:r w:rsidRPr="002668A9">
              <w:rPr>
                <w:rFonts w:cs="Arial"/>
                <w:sz w:val="20"/>
                <w:szCs w:val="20"/>
              </w:rPr>
              <w:t>work program.</w:t>
            </w:r>
          </w:p>
        </w:tc>
      </w:tr>
      <w:tr w:rsidR="002668A9" w:rsidRPr="002668A9" w14:paraId="288B868B" w14:textId="77777777" w:rsidTr="00C36741">
        <w:trPr>
          <w:trHeight w:val="464"/>
        </w:trPr>
        <w:tc>
          <w:tcPr>
            <w:tcW w:w="796" w:type="pct"/>
            <w:vMerge w:val="restart"/>
            <w:shd w:val="clear" w:color="auto" w:fill="auto"/>
          </w:tcPr>
          <w:p w14:paraId="448F9E77" w14:textId="77777777" w:rsidR="002668A9" w:rsidRPr="002668A9" w:rsidRDefault="002668A9" w:rsidP="002668A9">
            <w:pPr>
              <w:rPr>
                <w:rFonts w:cs="Arial"/>
                <w:sz w:val="20"/>
                <w:szCs w:val="20"/>
              </w:rPr>
            </w:pPr>
            <w:r w:rsidRPr="002668A9">
              <w:rPr>
                <w:rFonts w:cs="Arial"/>
                <w:sz w:val="20"/>
                <w:szCs w:val="20"/>
              </w:rPr>
              <w:t>Include in-text citations / references / cross references.</w:t>
            </w:r>
          </w:p>
        </w:tc>
        <w:tc>
          <w:tcPr>
            <w:tcW w:w="1275" w:type="pct"/>
            <w:vMerge w:val="restart"/>
          </w:tcPr>
          <w:p w14:paraId="54BF0AF4" w14:textId="77777777" w:rsidR="002668A9" w:rsidRPr="002668A9" w:rsidRDefault="002668A9" w:rsidP="002668A9">
            <w:pPr>
              <w:rPr>
                <w:rFonts w:cs="Arial"/>
                <w:sz w:val="20"/>
                <w:szCs w:val="20"/>
              </w:rPr>
            </w:pPr>
            <w:r w:rsidRPr="002668A9">
              <w:rPr>
                <w:rFonts w:cs="Arial"/>
                <w:sz w:val="20"/>
                <w:szCs w:val="20"/>
              </w:rPr>
              <w:t>Suggestions for clarifications for Section 10 including intersections with Sections 12 (re-use) and 14 (landfills), a proposal for a RIS and various edits to the Section.</w:t>
            </w:r>
          </w:p>
          <w:p w14:paraId="401416AC" w14:textId="77777777" w:rsidR="002668A9" w:rsidRPr="002668A9" w:rsidRDefault="002668A9" w:rsidP="002668A9">
            <w:pPr>
              <w:rPr>
                <w:rFonts w:cs="Arial"/>
                <w:sz w:val="20"/>
                <w:szCs w:val="20"/>
              </w:rPr>
            </w:pPr>
            <w:r w:rsidRPr="002668A9">
              <w:rPr>
                <w:rFonts w:cs="Arial"/>
                <w:sz w:val="20"/>
                <w:szCs w:val="20"/>
              </w:rPr>
              <w:t>Views also included on the reuse decision tree and associated conditions and the need for design of on-site storage and containments in a site-specific, risk-based way.</w:t>
            </w:r>
          </w:p>
          <w:p w14:paraId="5DB68AC4" w14:textId="77777777" w:rsidR="002668A9" w:rsidRPr="002668A9" w:rsidRDefault="002668A9" w:rsidP="002668A9">
            <w:pPr>
              <w:rPr>
                <w:rFonts w:cs="Arial"/>
                <w:sz w:val="20"/>
                <w:szCs w:val="20"/>
              </w:rPr>
            </w:pPr>
            <w:r w:rsidRPr="002668A9">
              <w:rPr>
                <w:rFonts w:cs="Arial"/>
                <w:sz w:val="20"/>
                <w:szCs w:val="20"/>
              </w:rPr>
              <w:t>Proposal to prepare a Regulatory Impact Statement (to determine the costs to Australia that flow from the requirements of the proposed Plan) to understand and justify the requirements that are being proposed.</w:t>
            </w:r>
          </w:p>
        </w:tc>
        <w:tc>
          <w:tcPr>
            <w:tcW w:w="925" w:type="pct"/>
            <w:vMerge w:val="restart"/>
          </w:tcPr>
          <w:p w14:paraId="0D5F5611" w14:textId="77777777" w:rsidR="006A1446" w:rsidRDefault="006A1446" w:rsidP="002668A9">
            <w:pPr>
              <w:rPr>
                <w:rFonts w:cs="Arial"/>
                <w:sz w:val="20"/>
                <w:szCs w:val="20"/>
              </w:rPr>
            </w:pPr>
            <w:r>
              <w:rPr>
                <w:rFonts w:cs="Arial"/>
                <w:sz w:val="20"/>
                <w:szCs w:val="20"/>
              </w:rPr>
              <w:t>Australasian Land and Groundwater Association – submission 1</w:t>
            </w:r>
          </w:p>
          <w:p w14:paraId="1D759029" w14:textId="77777777" w:rsidR="006A1446" w:rsidRPr="002668A9" w:rsidRDefault="006A1446" w:rsidP="002668A9">
            <w:pPr>
              <w:rPr>
                <w:rFonts w:cs="Arial"/>
                <w:sz w:val="20"/>
                <w:szCs w:val="20"/>
              </w:rPr>
            </w:pPr>
            <w:r>
              <w:rPr>
                <w:rFonts w:cs="Arial"/>
                <w:sz w:val="20"/>
                <w:szCs w:val="20"/>
              </w:rPr>
              <w:t>Australia Pacific Airports Corporation</w:t>
            </w:r>
          </w:p>
          <w:p w14:paraId="42284166" w14:textId="77777777" w:rsidR="006A1446" w:rsidRPr="002668A9" w:rsidRDefault="006A1446" w:rsidP="002668A9">
            <w:pPr>
              <w:rPr>
                <w:rFonts w:cs="Arial"/>
                <w:sz w:val="20"/>
                <w:szCs w:val="20"/>
              </w:rPr>
            </w:pPr>
            <w:r>
              <w:rPr>
                <w:rFonts w:cs="Arial"/>
                <w:sz w:val="20"/>
                <w:szCs w:val="20"/>
              </w:rPr>
              <w:t>Senversa</w:t>
            </w:r>
          </w:p>
          <w:p w14:paraId="1D61AAFE" w14:textId="77777777" w:rsidR="006A1446" w:rsidRPr="002668A9" w:rsidRDefault="006A1446" w:rsidP="002668A9">
            <w:pPr>
              <w:rPr>
                <w:rFonts w:cs="Arial"/>
                <w:sz w:val="20"/>
                <w:szCs w:val="20"/>
              </w:rPr>
            </w:pPr>
            <w:r>
              <w:rPr>
                <w:rFonts w:cs="Arial"/>
                <w:sz w:val="20"/>
                <w:szCs w:val="20"/>
              </w:rPr>
              <w:t>Viva Energy Australia</w:t>
            </w:r>
          </w:p>
          <w:p w14:paraId="1AD94544" w14:textId="46E989F2" w:rsidR="002668A9" w:rsidRPr="002668A9" w:rsidRDefault="006A1446" w:rsidP="002668A9">
            <w:pPr>
              <w:rPr>
                <w:rFonts w:cs="Arial"/>
                <w:sz w:val="20"/>
                <w:szCs w:val="20"/>
              </w:rPr>
            </w:pPr>
            <w:r>
              <w:rPr>
                <w:rFonts w:cs="Arial"/>
                <w:sz w:val="20"/>
                <w:szCs w:val="20"/>
              </w:rPr>
              <w:t>WA Government</w:t>
            </w:r>
          </w:p>
        </w:tc>
        <w:tc>
          <w:tcPr>
            <w:tcW w:w="2004" w:type="pct"/>
            <w:vMerge w:val="restart"/>
            <w:shd w:val="clear" w:color="auto" w:fill="auto"/>
            <w:tcMar>
              <w:top w:w="0" w:type="dxa"/>
              <w:left w:w="108" w:type="dxa"/>
              <w:bottom w:w="0" w:type="dxa"/>
              <w:right w:w="108" w:type="dxa"/>
            </w:tcMar>
          </w:tcPr>
          <w:p w14:paraId="1C43060A" w14:textId="77777777" w:rsidR="002668A9" w:rsidRPr="002668A9" w:rsidRDefault="002668A9" w:rsidP="002668A9">
            <w:pPr>
              <w:rPr>
                <w:rFonts w:cs="Arial"/>
                <w:sz w:val="20"/>
                <w:szCs w:val="20"/>
              </w:rPr>
            </w:pPr>
            <w:r w:rsidRPr="002668A9">
              <w:rPr>
                <w:rFonts w:cs="Arial"/>
                <w:sz w:val="20"/>
                <w:szCs w:val="20"/>
              </w:rPr>
              <w:t>Text has been added to clarify the scope of this section compared to section 14 which deals with disposal to landfill and section 12 which deals with reuse.</w:t>
            </w:r>
          </w:p>
          <w:p w14:paraId="524B7A49" w14:textId="77777777" w:rsidR="002668A9" w:rsidRPr="002668A9" w:rsidRDefault="002668A9" w:rsidP="002668A9">
            <w:pPr>
              <w:rPr>
                <w:rFonts w:cs="Arial"/>
                <w:sz w:val="20"/>
                <w:szCs w:val="20"/>
              </w:rPr>
            </w:pPr>
            <w:r w:rsidRPr="002668A9">
              <w:rPr>
                <w:rFonts w:cs="Arial"/>
                <w:sz w:val="20"/>
                <w:szCs w:val="20"/>
              </w:rPr>
              <w:t>Matters of off-site disposal, and re-use, are addressed in other parts of the PFAS NEMP 2.0, for example through changes to the re-use decision tree.</w:t>
            </w:r>
          </w:p>
          <w:p w14:paraId="349F1564" w14:textId="1D4961ED" w:rsidR="002668A9" w:rsidRPr="002668A9" w:rsidRDefault="005F75D4" w:rsidP="002668A9">
            <w:pPr>
              <w:rPr>
                <w:rFonts w:cs="Arial"/>
                <w:sz w:val="20"/>
                <w:szCs w:val="20"/>
              </w:rPr>
            </w:pPr>
            <w:r>
              <w:rPr>
                <w:rFonts w:cs="Arial"/>
                <w:sz w:val="20"/>
                <w:szCs w:val="20"/>
              </w:rPr>
              <w:t xml:space="preserve"> While a</w:t>
            </w:r>
            <w:r w:rsidR="002668A9" w:rsidRPr="002668A9">
              <w:rPr>
                <w:rFonts w:cs="Arial"/>
                <w:sz w:val="20"/>
                <w:szCs w:val="20"/>
              </w:rPr>
              <w:t>dditional references of national standards and frameworks may be of benefit to end users</w:t>
            </w:r>
            <w:r>
              <w:rPr>
                <w:rFonts w:cs="Arial"/>
                <w:sz w:val="20"/>
                <w:szCs w:val="20"/>
              </w:rPr>
              <w:t>, i</w:t>
            </w:r>
            <w:r w:rsidRPr="002668A9">
              <w:rPr>
                <w:rFonts w:cs="Arial"/>
                <w:sz w:val="20"/>
                <w:szCs w:val="20"/>
              </w:rPr>
              <w:t>t was not considered appropriate to include references to all relevant texts</w:t>
            </w:r>
            <w:r w:rsidR="002668A9" w:rsidRPr="002668A9">
              <w:rPr>
                <w:rFonts w:cs="Arial"/>
                <w:sz w:val="20"/>
                <w:szCs w:val="20"/>
              </w:rPr>
              <w:t xml:space="preserve">. </w:t>
            </w:r>
          </w:p>
          <w:p w14:paraId="5604731F" w14:textId="0009BA9D" w:rsidR="002668A9" w:rsidRPr="002668A9" w:rsidRDefault="002668A9" w:rsidP="002668A9">
            <w:pPr>
              <w:rPr>
                <w:rFonts w:cs="Arial"/>
                <w:sz w:val="20"/>
                <w:szCs w:val="20"/>
              </w:rPr>
            </w:pPr>
            <w:r w:rsidRPr="002668A9">
              <w:rPr>
                <w:rFonts w:cs="Arial"/>
                <w:sz w:val="20"/>
                <w:szCs w:val="20"/>
              </w:rPr>
              <w:t xml:space="preserve">Matters associated with the assessment of site contamination are addressed in other national frameworks, such as the ASC NEPM 1999. </w:t>
            </w:r>
          </w:p>
          <w:p w14:paraId="03C14548" w14:textId="77777777" w:rsidR="002668A9" w:rsidRPr="002668A9" w:rsidRDefault="002668A9" w:rsidP="002668A9">
            <w:pPr>
              <w:rPr>
                <w:rFonts w:cs="Arial"/>
                <w:sz w:val="20"/>
                <w:szCs w:val="20"/>
              </w:rPr>
            </w:pPr>
            <w:r w:rsidRPr="002668A9">
              <w:rPr>
                <w:rFonts w:cs="Arial"/>
                <w:sz w:val="20"/>
                <w:szCs w:val="20"/>
              </w:rPr>
              <w:t>Regarding the call for a RIS see the overarching Q&amp;A section of this document.</w:t>
            </w:r>
          </w:p>
        </w:tc>
      </w:tr>
      <w:tr w:rsidR="002668A9" w:rsidRPr="002668A9" w14:paraId="6C45BF28" w14:textId="77777777" w:rsidTr="00C36741">
        <w:trPr>
          <w:trHeight w:val="504"/>
        </w:trPr>
        <w:tc>
          <w:tcPr>
            <w:tcW w:w="796" w:type="pct"/>
            <w:vMerge/>
            <w:shd w:val="clear" w:color="auto" w:fill="auto"/>
          </w:tcPr>
          <w:p w14:paraId="0BB53C7E" w14:textId="77777777" w:rsidR="002668A9" w:rsidRPr="002668A9" w:rsidRDefault="002668A9" w:rsidP="002668A9">
            <w:pPr>
              <w:rPr>
                <w:rFonts w:cs="Arial"/>
                <w:sz w:val="20"/>
                <w:szCs w:val="20"/>
              </w:rPr>
            </w:pPr>
          </w:p>
        </w:tc>
        <w:tc>
          <w:tcPr>
            <w:tcW w:w="1275" w:type="pct"/>
            <w:vMerge/>
          </w:tcPr>
          <w:p w14:paraId="42DE77E1" w14:textId="77777777" w:rsidR="002668A9" w:rsidRPr="002668A9" w:rsidRDefault="002668A9" w:rsidP="002668A9">
            <w:pPr>
              <w:rPr>
                <w:rFonts w:cs="Arial"/>
                <w:sz w:val="20"/>
                <w:szCs w:val="20"/>
              </w:rPr>
            </w:pPr>
          </w:p>
        </w:tc>
        <w:tc>
          <w:tcPr>
            <w:tcW w:w="925" w:type="pct"/>
            <w:vMerge/>
          </w:tcPr>
          <w:p w14:paraId="6BA9BEDD"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A0C131A" w14:textId="77777777" w:rsidR="002668A9" w:rsidRPr="002668A9" w:rsidRDefault="002668A9" w:rsidP="002668A9">
            <w:pPr>
              <w:rPr>
                <w:rFonts w:cs="Arial"/>
                <w:sz w:val="20"/>
                <w:szCs w:val="20"/>
              </w:rPr>
            </w:pPr>
          </w:p>
        </w:tc>
      </w:tr>
      <w:tr w:rsidR="002668A9" w:rsidRPr="002668A9" w14:paraId="39C9E7EE" w14:textId="77777777" w:rsidTr="00C36741">
        <w:trPr>
          <w:trHeight w:val="504"/>
        </w:trPr>
        <w:tc>
          <w:tcPr>
            <w:tcW w:w="796" w:type="pct"/>
            <w:vMerge/>
            <w:shd w:val="clear" w:color="auto" w:fill="auto"/>
          </w:tcPr>
          <w:p w14:paraId="4AC36541" w14:textId="77777777" w:rsidR="002668A9" w:rsidRPr="002668A9" w:rsidRDefault="002668A9" w:rsidP="002668A9">
            <w:pPr>
              <w:rPr>
                <w:rFonts w:cs="Arial"/>
                <w:sz w:val="20"/>
                <w:szCs w:val="20"/>
              </w:rPr>
            </w:pPr>
          </w:p>
        </w:tc>
        <w:tc>
          <w:tcPr>
            <w:tcW w:w="1275" w:type="pct"/>
            <w:vMerge/>
          </w:tcPr>
          <w:p w14:paraId="4510550A" w14:textId="77777777" w:rsidR="002668A9" w:rsidRPr="002668A9" w:rsidRDefault="002668A9" w:rsidP="002668A9">
            <w:pPr>
              <w:rPr>
                <w:rFonts w:cs="Arial"/>
                <w:sz w:val="20"/>
                <w:szCs w:val="20"/>
              </w:rPr>
            </w:pPr>
          </w:p>
        </w:tc>
        <w:tc>
          <w:tcPr>
            <w:tcW w:w="925" w:type="pct"/>
            <w:vMerge/>
          </w:tcPr>
          <w:p w14:paraId="1E9B4617"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45DC9195" w14:textId="77777777" w:rsidR="002668A9" w:rsidRPr="002668A9" w:rsidRDefault="002668A9" w:rsidP="002668A9">
            <w:pPr>
              <w:rPr>
                <w:rFonts w:cs="Arial"/>
                <w:sz w:val="20"/>
                <w:szCs w:val="20"/>
              </w:rPr>
            </w:pPr>
          </w:p>
        </w:tc>
      </w:tr>
      <w:tr w:rsidR="002668A9" w:rsidRPr="002668A9" w14:paraId="53B7E35B" w14:textId="77777777" w:rsidTr="00C36741">
        <w:trPr>
          <w:trHeight w:val="504"/>
        </w:trPr>
        <w:tc>
          <w:tcPr>
            <w:tcW w:w="796" w:type="pct"/>
            <w:vMerge/>
            <w:shd w:val="clear" w:color="auto" w:fill="auto"/>
          </w:tcPr>
          <w:p w14:paraId="11D37765" w14:textId="77777777" w:rsidR="002668A9" w:rsidRPr="002668A9" w:rsidRDefault="002668A9" w:rsidP="002668A9">
            <w:pPr>
              <w:rPr>
                <w:rFonts w:cs="Arial"/>
                <w:sz w:val="20"/>
                <w:szCs w:val="20"/>
              </w:rPr>
            </w:pPr>
          </w:p>
        </w:tc>
        <w:tc>
          <w:tcPr>
            <w:tcW w:w="1275" w:type="pct"/>
            <w:vMerge/>
          </w:tcPr>
          <w:p w14:paraId="789820AD" w14:textId="77777777" w:rsidR="002668A9" w:rsidRPr="002668A9" w:rsidRDefault="002668A9" w:rsidP="002668A9">
            <w:pPr>
              <w:rPr>
                <w:rFonts w:cs="Arial"/>
                <w:sz w:val="20"/>
                <w:szCs w:val="20"/>
              </w:rPr>
            </w:pPr>
          </w:p>
        </w:tc>
        <w:tc>
          <w:tcPr>
            <w:tcW w:w="925" w:type="pct"/>
            <w:vMerge/>
          </w:tcPr>
          <w:p w14:paraId="7F2A7585"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1AEB6615" w14:textId="77777777" w:rsidR="002668A9" w:rsidRPr="002668A9" w:rsidRDefault="002668A9" w:rsidP="002668A9">
            <w:pPr>
              <w:rPr>
                <w:rFonts w:cs="Arial"/>
                <w:sz w:val="20"/>
                <w:szCs w:val="20"/>
              </w:rPr>
            </w:pPr>
          </w:p>
        </w:tc>
      </w:tr>
      <w:tr w:rsidR="002668A9" w:rsidRPr="002668A9" w14:paraId="37B5ABAE" w14:textId="77777777" w:rsidTr="00C36741">
        <w:trPr>
          <w:trHeight w:val="504"/>
        </w:trPr>
        <w:tc>
          <w:tcPr>
            <w:tcW w:w="796" w:type="pct"/>
            <w:vMerge/>
            <w:shd w:val="clear" w:color="auto" w:fill="auto"/>
          </w:tcPr>
          <w:p w14:paraId="509A0EF2" w14:textId="77777777" w:rsidR="002668A9" w:rsidRPr="002668A9" w:rsidRDefault="002668A9" w:rsidP="002668A9">
            <w:pPr>
              <w:rPr>
                <w:rFonts w:cs="Arial"/>
                <w:sz w:val="20"/>
                <w:szCs w:val="20"/>
              </w:rPr>
            </w:pPr>
          </w:p>
        </w:tc>
        <w:tc>
          <w:tcPr>
            <w:tcW w:w="1275" w:type="pct"/>
            <w:vMerge/>
          </w:tcPr>
          <w:p w14:paraId="413C418A" w14:textId="77777777" w:rsidR="002668A9" w:rsidRPr="002668A9" w:rsidRDefault="002668A9" w:rsidP="002668A9">
            <w:pPr>
              <w:rPr>
                <w:rFonts w:cs="Arial"/>
                <w:sz w:val="20"/>
                <w:szCs w:val="20"/>
              </w:rPr>
            </w:pPr>
          </w:p>
        </w:tc>
        <w:tc>
          <w:tcPr>
            <w:tcW w:w="925" w:type="pct"/>
            <w:vMerge/>
          </w:tcPr>
          <w:p w14:paraId="3FAB2CFD"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24E9C84B" w14:textId="77777777" w:rsidR="002668A9" w:rsidRPr="002668A9" w:rsidRDefault="002668A9" w:rsidP="002668A9">
            <w:pPr>
              <w:rPr>
                <w:rFonts w:cs="Arial"/>
                <w:sz w:val="20"/>
                <w:szCs w:val="20"/>
              </w:rPr>
            </w:pPr>
          </w:p>
        </w:tc>
      </w:tr>
      <w:tr w:rsidR="002668A9" w:rsidRPr="002668A9" w14:paraId="2070539B" w14:textId="77777777" w:rsidTr="00C36741">
        <w:trPr>
          <w:trHeight w:val="504"/>
        </w:trPr>
        <w:tc>
          <w:tcPr>
            <w:tcW w:w="796" w:type="pct"/>
            <w:vMerge/>
            <w:shd w:val="clear" w:color="auto" w:fill="auto"/>
          </w:tcPr>
          <w:p w14:paraId="4F880229" w14:textId="77777777" w:rsidR="002668A9" w:rsidRPr="002668A9" w:rsidRDefault="002668A9" w:rsidP="002668A9">
            <w:pPr>
              <w:rPr>
                <w:rFonts w:cs="Arial"/>
                <w:sz w:val="20"/>
                <w:szCs w:val="20"/>
              </w:rPr>
            </w:pPr>
          </w:p>
        </w:tc>
        <w:tc>
          <w:tcPr>
            <w:tcW w:w="1275" w:type="pct"/>
            <w:vMerge/>
          </w:tcPr>
          <w:p w14:paraId="2FC7B178" w14:textId="77777777" w:rsidR="002668A9" w:rsidRPr="002668A9" w:rsidRDefault="002668A9" w:rsidP="002668A9">
            <w:pPr>
              <w:rPr>
                <w:rFonts w:cs="Arial"/>
                <w:sz w:val="20"/>
                <w:szCs w:val="20"/>
              </w:rPr>
            </w:pPr>
          </w:p>
        </w:tc>
        <w:tc>
          <w:tcPr>
            <w:tcW w:w="925" w:type="pct"/>
            <w:vMerge/>
          </w:tcPr>
          <w:p w14:paraId="1AF00284"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049D4518" w14:textId="77777777" w:rsidR="002668A9" w:rsidRPr="002668A9" w:rsidRDefault="002668A9" w:rsidP="002668A9">
            <w:pPr>
              <w:rPr>
                <w:rFonts w:cs="Arial"/>
                <w:sz w:val="20"/>
                <w:szCs w:val="20"/>
              </w:rPr>
            </w:pPr>
          </w:p>
        </w:tc>
      </w:tr>
      <w:tr w:rsidR="002668A9" w:rsidRPr="002668A9" w14:paraId="40AD8045" w14:textId="77777777" w:rsidTr="00C36741">
        <w:trPr>
          <w:trHeight w:val="504"/>
        </w:trPr>
        <w:tc>
          <w:tcPr>
            <w:tcW w:w="796" w:type="pct"/>
            <w:vMerge/>
            <w:shd w:val="clear" w:color="auto" w:fill="auto"/>
          </w:tcPr>
          <w:p w14:paraId="10442965" w14:textId="77777777" w:rsidR="002668A9" w:rsidRPr="002668A9" w:rsidRDefault="002668A9" w:rsidP="002668A9">
            <w:pPr>
              <w:rPr>
                <w:rFonts w:cs="Arial"/>
                <w:sz w:val="20"/>
                <w:szCs w:val="20"/>
              </w:rPr>
            </w:pPr>
          </w:p>
        </w:tc>
        <w:tc>
          <w:tcPr>
            <w:tcW w:w="1275" w:type="pct"/>
            <w:vMerge/>
          </w:tcPr>
          <w:p w14:paraId="21F4B121" w14:textId="77777777" w:rsidR="002668A9" w:rsidRPr="002668A9" w:rsidRDefault="002668A9" w:rsidP="002668A9">
            <w:pPr>
              <w:rPr>
                <w:rFonts w:cs="Arial"/>
                <w:sz w:val="20"/>
                <w:szCs w:val="20"/>
              </w:rPr>
            </w:pPr>
          </w:p>
        </w:tc>
        <w:tc>
          <w:tcPr>
            <w:tcW w:w="925" w:type="pct"/>
            <w:vMerge/>
          </w:tcPr>
          <w:p w14:paraId="433C039F"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7063D349" w14:textId="77777777" w:rsidR="002668A9" w:rsidRPr="002668A9" w:rsidRDefault="002668A9" w:rsidP="002668A9">
            <w:pPr>
              <w:rPr>
                <w:rFonts w:cs="Arial"/>
                <w:sz w:val="20"/>
                <w:szCs w:val="20"/>
              </w:rPr>
            </w:pPr>
          </w:p>
        </w:tc>
      </w:tr>
      <w:tr w:rsidR="002668A9" w:rsidRPr="002668A9" w14:paraId="4EBD7E75" w14:textId="77777777" w:rsidTr="00C36741">
        <w:trPr>
          <w:trHeight w:val="464"/>
        </w:trPr>
        <w:tc>
          <w:tcPr>
            <w:tcW w:w="796" w:type="pct"/>
            <w:vMerge w:val="restart"/>
            <w:shd w:val="clear" w:color="auto" w:fill="auto"/>
          </w:tcPr>
          <w:p w14:paraId="5B1EAE82" w14:textId="19113101" w:rsidR="002668A9" w:rsidRPr="002668A9" w:rsidRDefault="002668A9" w:rsidP="002668A9">
            <w:pPr>
              <w:rPr>
                <w:rFonts w:cs="Arial"/>
                <w:sz w:val="20"/>
                <w:szCs w:val="20"/>
              </w:rPr>
            </w:pPr>
            <w:r w:rsidRPr="002668A9">
              <w:rPr>
                <w:rFonts w:cs="Arial"/>
                <w:sz w:val="20"/>
                <w:szCs w:val="20"/>
              </w:rPr>
              <w:t xml:space="preserve">Include pragmatic </w:t>
            </w:r>
            <w:r w:rsidR="00C04EFE">
              <w:rPr>
                <w:rFonts w:cs="Arial"/>
                <w:sz w:val="20"/>
                <w:szCs w:val="20"/>
              </w:rPr>
              <w:t>‘</w:t>
            </w:r>
            <w:r w:rsidRPr="002668A9">
              <w:rPr>
                <w:rFonts w:cs="Arial"/>
                <w:sz w:val="20"/>
                <w:szCs w:val="20"/>
              </w:rPr>
              <w:t>no content</w:t>
            </w:r>
            <w:r w:rsidR="00C04EFE">
              <w:rPr>
                <w:rFonts w:cs="Arial"/>
                <w:sz w:val="20"/>
                <w:szCs w:val="20"/>
              </w:rPr>
              <w:t>’</w:t>
            </w:r>
            <w:r w:rsidRPr="002668A9">
              <w:rPr>
                <w:rFonts w:cs="Arial"/>
                <w:sz w:val="20"/>
                <w:szCs w:val="20"/>
              </w:rPr>
              <w:t xml:space="preserve"> limit / soil classes.</w:t>
            </w:r>
          </w:p>
        </w:tc>
        <w:tc>
          <w:tcPr>
            <w:tcW w:w="1275" w:type="pct"/>
            <w:vMerge w:val="restart"/>
          </w:tcPr>
          <w:p w14:paraId="56AEFB5B" w14:textId="77777777" w:rsidR="008324A6" w:rsidRDefault="002668A9" w:rsidP="002668A9">
            <w:pPr>
              <w:rPr>
                <w:rFonts w:cs="Arial"/>
                <w:sz w:val="20"/>
                <w:szCs w:val="20"/>
              </w:rPr>
            </w:pPr>
            <w:r w:rsidRPr="002668A9">
              <w:rPr>
                <w:rFonts w:cs="Arial"/>
                <w:sz w:val="20"/>
                <w:szCs w:val="20"/>
              </w:rPr>
              <w:t>Several submissions questioned whether there should be a level of PFAS contamination below which no management actions would be required.</w:t>
            </w:r>
            <w:r w:rsidR="008324A6">
              <w:rPr>
                <w:rFonts w:cs="Arial"/>
                <w:sz w:val="20"/>
                <w:szCs w:val="20"/>
              </w:rPr>
              <w:t xml:space="preserve"> </w:t>
            </w:r>
          </w:p>
          <w:p w14:paraId="4FC415B7" w14:textId="2D0E7776" w:rsidR="008324A6" w:rsidRDefault="00A10EFE" w:rsidP="002668A9">
            <w:pPr>
              <w:rPr>
                <w:rFonts w:cs="Arial"/>
                <w:sz w:val="20"/>
                <w:szCs w:val="20"/>
              </w:rPr>
            </w:pPr>
            <w:r>
              <w:rPr>
                <w:rFonts w:cs="Arial"/>
                <w:sz w:val="20"/>
                <w:szCs w:val="20"/>
              </w:rPr>
              <w:t>Submissions questioned w</w:t>
            </w:r>
            <w:r w:rsidR="008324A6">
              <w:rPr>
                <w:rFonts w:cs="Arial"/>
                <w:sz w:val="20"/>
                <w:szCs w:val="20"/>
              </w:rPr>
              <w:t xml:space="preserve">hy </w:t>
            </w:r>
            <w:r w:rsidR="00C04EFE">
              <w:rPr>
                <w:rFonts w:cs="Arial"/>
                <w:sz w:val="20"/>
                <w:szCs w:val="20"/>
              </w:rPr>
              <w:t>‘</w:t>
            </w:r>
            <w:r w:rsidR="008324A6">
              <w:rPr>
                <w:rFonts w:cs="Arial"/>
                <w:sz w:val="20"/>
                <w:szCs w:val="20"/>
              </w:rPr>
              <w:t>landfill-like containment requirements</w:t>
            </w:r>
            <w:r w:rsidR="00C04EFE">
              <w:rPr>
                <w:rFonts w:cs="Arial"/>
                <w:sz w:val="20"/>
                <w:szCs w:val="20"/>
              </w:rPr>
              <w:t>’</w:t>
            </w:r>
            <w:r w:rsidR="008324A6">
              <w:rPr>
                <w:rFonts w:cs="Arial"/>
                <w:sz w:val="20"/>
                <w:szCs w:val="20"/>
              </w:rPr>
              <w:t xml:space="preserve"> </w:t>
            </w:r>
            <w:r>
              <w:rPr>
                <w:rFonts w:cs="Arial"/>
                <w:sz w:val="20"/>
                <w:szCs w:val="20"/>
              </w:rPr>
              <w:t xml:space="preserve">are </w:t>
            </w:r>
            <w:r w:rsidR="008324A6">
              <w:rPr>
                <w:rFonts w:cs="Arial"/>
                <w:sz w:val="20"/>
                <w:szCs w:val="20"/>
              </w:rPr>
              <w:t xml:space="preserve">needed for </w:t>
            </w:r>
            <w:r w:rsidR="008324A6">
              <w:rPr>
                <w:rFonts w:cs="Arial"/>
                <w:sz w:val="20"/>
                <w:szCs w:val="20"/>
              </w:rPr>
              <w:lastRenderedPageBreak/>
              <w:t>low-level PFAS impacted soil stored onsite?</w:t>
            </w:r>
          </w:p>
          <w:p w14:paraId="43198A17" w14:textId="3081EE10" w:rsidR="002668A9" w:rsidRPr="002668A9" w:rsidRDefault="002668A9" w:rsidP="002668A9">
            <w:pPr>
              <w:rPr>
                <w:rFonts w:cs="Arial"/>
                <w:sz w:val="20"/>
                <w:szCs w:val="20"/>
              </w:rPr>
            </w:pPr>
          </w:p>
        </w:tc>
        <w:tc>
          <w:tcPr>
            <w:tcW w:w="925" w:type="pct"/>
            <w:vMerge w:val="restart"/>
          </w:tcPr>
          <w:p w14:paraId="2BAA6A83" w14:textId="77777777" w:rsidR="009356A8" w:rsidRDefault="009356A8" w:rsidP="009356A8">
            <w:pPr>
              <w:rPr>
                <w:rFonts w:cs="Arial"/>
                <w:sz w:val="20"/>
                <w:szCs w:val="20"/>
              </w:rPr>
            </w:pPr>
            <w:r>
              <w:rPr>
                <w:rFonts w:cs="Arial"/>
                <w:sz w:val="20"/>
                <w:szCs w:val="20"/>
              </w:rPr>
              <w:lastRenderedPageBreak/>
              <w:t>Brisbane Airport Corporation</w:t>
            </w:r>
          </w:p>
          <w:p w14:paraId="270D7461" w14:textId="77777777" w:rsidR="006A1446" w:rsidRDefault="006A1446" w:rsidP="002668A9">
            <w:pPr>
              <w:rPr>
                <w:rFonts w:cs="Arial"/>
                <w:sz w:val="20"/>
                <w:szCs w:val="20"/>
              </w:rPr>
            </w:pPr>
            <w:r>
              <w:rPr>
                <w:rFonts w:cs="Arial"/>
                <w:sz w:val="20"/>
                <w:szCs w:val="20"/>
              </w:rPr>
              <w:t>Canberra Airport</w:t>
            </w:r>
          </w:p>
          <w:p w14:paraId="707D9DBE" w14:textId="0245FEBE" w:rsidR="006A1446" w:rsidRDefault="006A1446" w:rsidP="002668A9">
            <w:pPr>
              <w:rPr>
                <w:rFonts w:cs="Arial"/>
                <w:sz w:val="20"/>
                <w:szCs w:val="20"/>
              </w:rPr>
            </w:pPr>
            <w:r>
              <w:rPr>
                <w:rFonts w:cs="Arial"/>
                <w:sz w:val="20"/>
                <w:szCs w:val="20"/>
              </w:rPr>
              <w:t>Queensland Airports Ltd</w:t>
            </w:r>
          </w:p>
          <w:p w14:paraId="524A672F" w14:textId="0B655DB5" w:rsidR="009356A8" w:rsidRDefault="009356A8" w:rsidP="002668A9">
            <w:pPr>
              <w:rPr>
                <w:rFonts w:cs="Arial"/>
                <w:sz w:val="20"/>
                <w:szCs w:val="20"/>
              </w:rPr>
            </w:pPr>
            <w:r>
              <w:rPr>
                <w:rFonts w:cs="Arial"/>
                <w:sz w:val="20"/>
                <w:szCs w:val="20"/>
              </w:rPr>
              <w:lastRenderedPageBreak/>
              <w:t>Senversa</w:t>
            </w:r>
          </w:p>
          <w:p w14:paraId="677EC9F5" w14:textId="59CF56E9" w:rsidR="002668A9" w:rsidRPr="002668A9" w:rsidRDefault="00FD208C" w:rsidP="002668A9">
            <w:pPr>
              <w:rPr>
                <w:rFonts w:cs="Arial"/>
                <w:sz w:val="20"/>
                <w:szCs w:val="20"/>
              </w:rPr>
            </w:pPr>
            <w:r>
              <w:rPr>
                <w:rFonts w:cs="Arial"/>
                <w:sz w:val="20"/>
                <w:szCs w:val="20"/>
              </w:rPr>
              <w:t>WA Government</w:t>
            </w:r>
          </w:p>
        </w:tc>
        <w:tc>
          <w:tcPr>
            <w:tcW w:w="2004" w:type="pct"/>
            <w:vMerge w:val="restart"/>
            <w:shd w:val="clear" w:color="auto" w:fill="auto"/>
            <w:tcMar>
              <w:top w:w="0" w:type="dxa"/>
              <w:left w:w="108" w:type="dxa"/>
              <w:bottom w:w="0" w:type="dxa"/>
              <w:right w:w="108" w:type="dxa"/>
            </w:tcMar>
          </w:tcPr>
          <w:p w14:paraId="0616AAE7" w14:textId="77777777" w:rsidR="002668A9" w:rsidRPr="002668A9" w:rsidRDefault="002668A9" w:rsidP="002668A9">
            <w:pPr>
              <w:rPr>
                <w:rFonts w:cs="Arial"/>
                <w:sz w:val="20"/>
                <w:szCs w:val="20"/>
              </w:rPr>
            </w:pPr>
            <w:r w:rsidRPr="002668A9">
              <w:rPr>
                <w:rFonts w:cs="Arial"/>
                <w:sz w:val="20"/>
                <w:szCs w:val="20"/>
              </w:rPr>
              <w:lastRenderedPageBreak/>
              <w:t>Various responses are provided to these matters:</w:t>
            </w:r>
          </w:p>
          <w:p w14:paraId="2EA70CCD" w14:textId="77777777" w:rsidR="002668A9" w:rsidRPr="002668A9" w:rsidRDefault="002668A9" w:rsidP="005F75D4">
            <w:pPr>
              <w:pStyle w:val="bullet1"/>
            </w:pPr>
            <w:r w:rsidRPr="002668A9">
              <w:t>Text has been clarified including what is meant by storage and containment compared to reuse or disposal.</w:t>
            </w:r>
          </w:p>
          <w:p w14:paraId="59A2E6BE" w14:textId="78C1BD3A" w:rsidR="002668A9" w:rsidRPr="002668A9" w:rsidRDefault="002668A9" w:rsidP="005F75D4">
            <w:pPr>
              <w:pStyle w:val="bullet1"/>
            </w:pPr>
            <w:r w:rsidRPr="002668A9">
              <w:lastRenderedPageBreak/>
              <w:t>A limit PFAS contamination</w:t>
            </w:r>
            <w:r w:rsidR="006E7F84">
              <w:t>,</w:t>
            </w:r>
            <w:r w:rsidRPr="002668A9">
              <w:t xml:space="preserve"> below which no management actions would be required</w:t>
            </w:r>
            <w:r w:rsidR="006E7F84">
              <w:t>,</w:t>
            </w:r>
            <w:r w:rsidRPr="002668A9">
              <w:t xml:space="preserve"> was considered to be outside the scope of changes raised in the draft PFAS NEMP 2.0</w:t>
            </w:r>
            <w:r w:rsidR="005F75D4">
              <w:t>.</w:t>
            </w:r>
          </w:p>
          <w:p w14:paraId="597AF1CC" w14:textId="12169935" w:rsidR="002668A9" w:rsidRPr="002668A9" w:rsidRDefault="002668A9" w:rsidP="005F75D4">
            <w:pPr>
              <w:pStyle w:val="bullet1"/>
            </w:pPr>
            <w:r w:rsidRPr="002668A9">
              <w:t>For transient stockpiles, following examination of PFAS mass-balance and exposure issues, limits (less than 10 m</w:t>
            </w:r>
            <w:r w:rsidR="00635E8A">
              <w:rPr>
                <w:rFonts w:ascii="ZWAdobeF" w:hAnsi="ZWAdobeF" w:cs="ZWAdobeF"/>
                <w:sz w:val="2"/>
                <w:szCs w:val="2"/>
              </w:rPr>
              <w:t>P</w:t>
            </w:r>
            <w:r w:rsidR="00860798">
              <w:rPr>
                <w:rFonts w:ascii="ZWAdobeF" w:hAnsi="ZWAdobeF" w:cs="ZWAdobeF"/>
                <w:sz w:val="2"/>
                <w:szCs w:val="2"/>
              </w:rPr>
              <w:t>P</w:t>
            </w:r>
            <w:r w:rsidRPr="002668A9">
              <w:rPr>
                <w:vertAlign w:val="superscript"/>
              </w:rPr>
              <w:t>3</w:t>
            </w:r>
            <w:r w:rsidR="00860798">
              <w:rPr>
                <w:rFonts w:ascii="ZWAdobeF" w:hAnsi="ZWAdobeF" w:cs="ZWAdobeF"/>
                <w:sz w:val="2"/>
                <w:szCs w:val="2"/>
              </w:rPr>
              <w:t>P</w:t>
            </w:r>
            <w:r w:rsidR="00635E8A">
              <w:rPr>
                <w:rFonts w:ascii="ZWAdobeF" w:hAnsi="ZWAdobeF" w:cs="ZWAdobeF"/>
                <w:sz w:val="2"/>
                <w:szCs w:val="2"/>
              </w:rPr>
              <w:t>P</w:t>
            </w:r>
            <w:r w:rsidRPr="002668A9">
              <w:t>, less than 48 hours, no rain expected, and covered with a tarp) have been retained. Note that the proposed volumes and durations are consistent with other guidelines.</w:t>
            </w:r>
          </w:p>
          <w:p w14:paraId="0937A744" w14:textId="1309CC38" w:rsidR="002668A9" w:rsidRPr="002668A9" w:rsidRDefault="002668A9" w:rsidP="005F75D4">
            <w:pPr>
              <w:pStyle w:val="bullet1"/>
            </w:pPr>
            <w:r w:rsidRPr="002668A9">
              <w:t>PFAS contamination in products and articles is considered to be a significant matter, as is the potential leaching of PFAS from municipal and other landfills. Regulators are conscious that the presence of very low concentrations of PFASs in soil or water does not automatically preclude the accumulation and concentration of these substance in higher trophic level consumers. Also, PFAS contamination at concentrations exceeding a guideline level should be seen as a trigger for additional, escalating management action</w:t>
            </w:r>
            <w:r w:rsidR="001971D1">
              <w:t xml:space="preserve"> and not pollute up to values</w:t>
            </w:r>
            <w:r w:rsidRPr="002668A9">
              <w:t>.  Further guidance on these important issues is available in Section 8 of the NEMP.</w:t>
            </w:r>
          </w:p>
          <w:p w14:paraId="3F5EBEAF" w14:textId="37188D15" w:rsidR="002668A9" w:rsidRPr="002668A9" w:rsidRDefault="002668A9" w:rsidP="005F75D4">
            <w:pPr>
              <w:pStyle w:val="bullet1"/>
            </w:pPr>
            <w:r w:rsidRPr="002668A9">
              <w:t>Cited examples are considered to provide sufficient guidance on what constitutes a pragmatic approach to small volumes of soil. Also, the characterisation of stockpile contamination is adequately addressed in the schedules to the ASC NEMP.</w:t>
            </w:r>
          </w:p>
          <w:p w14:paraId="30C615BE" w14:textId="102526ED" w:rsidR="002668A9" w:rsidRPr="002668A9" w:rsidRDefault="002668A9" w:rsidP="005F75D4">
            <w:pPr>
              <w:pStyle w:val="bullet1"/>
            </w:pPr>
            <w:r w:rsidRPr="002668A9">
              <w:t xml:space="preserve">Soil classification guidance </w:t>
            </w:r>
            <w:r w:rsidR="00822AEE">
              <w:t>is being</w:t>
            </w:r>
            <w:r w:rsidRPr="002668A9">
              <w:t xml:space="preserve"> considered </w:t>
            </w:r>
            <w:r w:rsidR="00822AEE">
              <w:t>by NCWG</w:t>
            </w:r>
            <w:r w:rsidRPr="002668A9">
              <w:t xml:space="preserve"> </w:t>
            </w:r>
            <w:r w:rsidR="00822AEE">
              <w:t xml:space="preserve">for inclusion </w:t>
            </w:r>
            <w:r w:rsidRPr="002668A9">
              <w:t xml:space="preserve">in the future work program. </w:t>
            </w:r>
          </w:p>
          <w:p w14:paraId="3A3CEF84" w14:textId="77777777" w:rsidR="002668A9" w:rsidRPr="002668A9" w:rsidRDefault="002668A9" w:rsidP="005F75D4">
            <w:pPr>
              <w:pStyle w:val="bullet1"/>
            </w:pPr>
            <w:r w:rsidRPr="002668A9">
              <w:lastRenderedPageBreak/>
              <w:t>Note that the decision to stockpile PFAS contaminated material is a matter for the site owner / manager and the relevant regulators.</w:t>
            </w:r>
          </w:p>
        </w:tc>
      </w:tr>
      <w:tr w:rsidR="002668A9" w:rsidRPr="002668A9" w14:paraId="4D07DFDE" w14:textId="77777777" w:rsidTr="00C36741">
        <w:trPr>
          <w:trHeight w:val="504"/>
        </w:trPr>
        <w:tc>
          <w:tcPr>
            <w:tcW w:w="796" w:type="pct"/>
            <w:vMerge/>
            <w:shd w:val="clear" w:color="auto" w:fill="auto"/>
          </w:tcPr>
          <w:p w14:paraId="56A930BC" w14:textId="77777777" w:rsidR="002668A9" w:rsidRPr="002668A9" w:rsidRDefault="002668A9" w:rsidP="002668A9">
            <w:pPr>
              <w:rPr>
                <w:rFonts w:cs="Arial"/>
                <w:sz w:val="20"/>
                <w:szCs w:val="20"/>
              </w:rPr>
            </w:pPr>
          </w:p>
        </w:tc>
        <w:tc>
          <w:tcPr>
            <w:tcW w:w="1275" w:type="pct"/>
            <w:vMerge/>
          </w:tcPr>
          <w:p w14:paraId="33BF7B28" w14:textId="77777777" w:rsidR="002668A9" w:rsidRPr="002668A9" w:rsidRDefault="002668A9" w:rsidP="002668A9">
            <w:pPr>
              <w:rPr>
                <w:rFonts w:cs="Arial"/>
                <w:sz w:val="20"/>
                <w:szCs w:val="20"/>
              </w:rPr>
            </w:pPr>
          </w:p>
        </w:tc>
        <w:tc>
          <w:tcPr>
            <w:tcW w:w="925" w:type="pct"/>
            <w:vMerge/>
          </w:tcPr>
          <w:p w14:paraId="53E485B9"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00EADC08" w14:textId="77777777" w:rsidR="002668A9" w:rsidRPr="002668A9" w:rsidRDefault="002668A9" w:rsidP="002668A9">
            <w:pPr>
              <w:rPr>
                <w:rFonts w:cs="Arial"/>
                <w:sz w:val="20"/>
                <w:szCs w:val="20"/>
              </w:rPr>
            </w:pPr>
          </w:p>
        </w:tc>
      </w:tr>
      <w:tr w:rsidR="002668A9" w:rsidRPr="002668A9" w14:paraId="2D38C2EB" w14:textId="77777777" w:rsidTr="00C36741">
        <w:trPr>
          <w:trHeight w:val="504"/>
        </w:trPr>
        <w:tc>
          <w:tcPr>
            <w:tcW w:w="796" w:type="pct"/>
            <w:vMerge/>
            <w:shd w:val="clear" w:color="auto" w:fill="auto"/>
          </w:tcPr>
          <w:p w14:paraId="422433FF" w14:textId="77777777" w:rsidR="002668A9" w:rsidRPr="002668A9" w:rsidRDefault="002668A9" w:rsidP="002668A9">
            <w:pPr>
              <w:rPr>
                <w:rFonts w:cs="Arial"/>
                <w:sz w:val="20"/>
                <w:szCs w:val="20"/>
              </w:rPr>
            </w:pPr>
          </w:p>
        </w:tc>
        <w:tc>
          <w:tcPr>
            <w:tcW w:w="1275" w:type="pct"/>
            <w:vMerge/>
          </w:tcPr>
          <w:p w14:paraId="01EB959B" w14:textId="77777777" w:rsidR="002668A9" w:rsidRPr="002668A9" w:rsidRDefault="002668A9" w:rsidP="002668A9">
            <w:pPr>
              <w:rPr>
                <w:rFonts w:cs="Arial"/>
                <w:sz w:val="20"/>
                <w:szCs w:val="20"/>
              </w:rPr>
            </w:pPr>
          </w:p>
        </w:tc>
        <w:tc>
          <w:tcPr>
            <w:tcW w:w="925" w:type="pct"/>
            <w:vMerge/>
          </w:tcPr>
          <w:p w14:paraId="45D7183A"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7C93666" w14:textId="77777777" w:rsidR="002668A9" w:rsidRPr="002668A9" w:rsidRDefault="002668A9" w:rsidP="002668A9">
            <w:pPr>
              <w:rPr>
                <w:rFonts w:cs="Arial"/>
                <w:sz w:val="20"/>
                <w:szCs w:val="20"/>
              </w:rPr>
            </w:pPr>
          </w:p>
        </w:tc>
      </w:tr>
      <w:tr w:rsidR="002668A9" w:rsidRPr="002668A9" w14:paraId="4BFDC37B" w14:textId="77777777" w:rsidTr="00C36741">
        <w:trPr>
          <w:trHeight w:val="504"/>
        </w:trPr>
        <w:tc>
          <w:tcPr>
            <w:tcW w:w="796" w:type="pct"/>
            <w:vMerge/>
            <w:shd w:val="clear" w:color="auto" w:fill="auto"/>
          </w:tcPr>
          <w:p w14:paraId="759A7F5E" w14:textId="77777777" w:rsidR="002668A9" w:rsidRPr="002668A9" w:rsidRDefault="002668A9" w:rsidP="002668A9">
            <w:pPr>
              <w:rPr>
                <w:rFonts w:cs="Arial"/>
                <w:sz w:val="20"/>
                <w:szCs w:val="20"/>
              </w:rPr>
            </w:pPr>
          </w:p>
        </w:tc>
        <w:tc>
          <w:tcPr>
            <w:tcW w:w="1275" w:type="pct"/>
            <w:vMerge/>
          </w:tcPr>
          <w:p w14:paraId="43153CB9" w14:textId="77777777" w:rsidR="002668A9" w:rsidRPr="002668A9" w:rsidRDefault="002668A9" w:rsidP="002668A9">
            <w:pPr>
              <w:rPr>
                <w:rFonts w:cs="Arial"/>
                <w:sz w:val="20"/>
                <w:szCs w:val="20"/>
              </w:rPr>
            </w:pPr>
          </w:p>
        </w:tc>
        <w:tc>
          <w:tcPr>
            <w:tcW w:w="925" w:type="pct"/>
            <w:vMerge/>
          </w:tcPr>
          <w:p w14:paraId="20C75D8D"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1B5CA39F" w14:textId="77777777" w:rsidR="002668A9" w:rsidRPr="002668A9" w:rsidRDefault="002668A9" w:rsidP="002668A9">
            <w:pPr>
              <w:rPr>
                <w:rFonts w:cs="Arial"/>
                <w:sz w:val="20"/>
                <w:szCs w:val="20"/>
              </w:rPr>
            </w:pPr>
          </w:p>
        </w:tc>
      </w:tr>
      <w:tr w:rsidR="002668A9" w:rsidRPr="002668A9" w14:paraId="25662AEE" w14:textId="77777777" w:rsidTr="00C36741">
        <w:trPr>
          <w:trHeight w:val="504"/>
        </w:trPr>
        <w:tc>
          <w:tcPr>
            <w:tcW w:w="796" w:type="pct"/>
            <w:vMerge/>
            <w:shd w:val="clear" w:color="auto" w:fill="auto"/>
          </w:tcPr>
          <w:p w14:paraId="614132C7" w14:textId="77777777" w:rsidR="002668A9" w:rsidRPr="002668A9" w:rsidRDefault="002668A9" w:rsidP="002668A9">
            <w:pPr>
              <w:rPr>
                <w:rFonts w:cs="Arial"/>
                <w:sz w:val="20"/>
                <w:szCs w:val="20"/>
              </w:rPr>
            </w:pPr>
          </w:p>
        </w:tc>
        <w:tc>
          <w:tcPr>
            <w:tcW w:w="1275" w:type="pct"/>
            <w:vMerge/>
          </w:tcPr>
          <w:p w14:paraId="1D45E81E" w14:textId="77777777" w:rsidR="002668A9" w:rsidRPr="002668A9" w:rsidRDefault="002668A9" w:rsidP="002668A9">
            <w:pPr>
              <w:rPr>
                <w:rFonts w:cs="Arial"/>
                <w:sz w:val="20"/>
                <w:szCs w:val="20"/>
              </w:rPr>
            </w:pPr>
          </w:p>
        </w:tc>
        <w:tc>
          <w:tcPr>
            <w:tcW w:w="925" w:type="pct"/>
            <w:vMerge/>
          </w:tcPr>
          <w:p w14:paraId="1DE688FD"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30220D54" w14:textId="77777777" w:rsidR="002668A9" w:rsidRPr="002668A9" w:rsidRDefault="002668A9" w:rsidP="002668A9">
            <w:pPr>
              <w:rPr>
                <w:rFonts w:cs="Arial"/>
                <w:sz w:val="20"/>
                <w:szCs w:val="20"/>
              </w:rPr>
            </w:pPr>
          </w:p>
        </w:tc>
      </w:tr>
      <w:tr w:rsidR="002668A9" w:rsidRPr="002668A9" w14:paraId="2A8C8F4A" w14:textId="77777777" w:rsidTr="00C36741">
        <w:trPr>
          <w:trHeight w:val="504"/>
        </w:trPr>
        <w:tc>
          <w:tcPr>
            <w:tcW w:w="796" w:type="pct"/>
            <w:vMerge/>
            <w:shd w:val="clear" w:color="auto" w:fill="auto"/>
          </w:tcPr>
          <w:p w14:paraId="5B89B703" w14:textId="77777777" w:rsidR="002668A9" w:rsidRPr="002668A9" w:rsidRDefault="002668A9" w:rsidP="002668A9">
            <w:pPr>
              <w:rPr>
                <w:rFonts w:cs="Arial"/>
                <w:sz w:val="20"/>
                <w:szCs w:val="20"/>
              </w:rPr>
            </w:pPr>
          </w:p>
        </w:tc>
        <w:tc>
          <w:tcPr>
            <w:tcW w:w="1275" w:type="pct"/>
            <w:vMerge/>
          </w:tcPr>
          <w:p w14:paraId="4D3EE407" w14:textId="77777777" w:rsidR="002668A9" w:rsidRPr="002668A9" w:rsidRDefault="002668A9" w:rsidP="002668A9">
            <w:pPr>
              <w:rPr>
                <w:rFonts w:cs="Arial"/>
                <w:sz w:val="20"/>
                <w:szCs w:val="20"/>
              </w:rPr>
            </w:pPr>
          </w:p>
        </w:tc>
        <w:tc>
          <w:tcPr>
            <w:tcW w:w="925" w:type="pct"/>
            <w:vMerge/>
          </w:tcPr>
          <w:p w14:paraId="00BEB6A4"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2F7159BE" w14:textId="77777777" w:rsidR="002668A9" w:rsidRPr="002668A9" w:rsidRDefault="002668A9" w:rsidP="002668A9">
            <w:pPr>
              <w:rPr>
                <w:rFonts w:cs="Arial"/>
                <w:sz w:val="20"/>
                <w:szCs w:val="20"/>
              </w:rPr>
            </w:pPr>
          </w:p>
        </w:tc>
      </w:tr>
      <w:tr w:rsidR="002668A9" w:rsidRPr="002668A9" w14:paraId="1DE4B145" w14:textId="77777777" w:rsidTr="00C36741">
        <w:trPr>
          <w:trHeight w:val="504"/>
        </w:trPr>
        <w:tc>
          <w:tcPr>
            <w:tcW w:w="796" w:type="pct"/>
            <w:vMerge/>
            <w:shd w:val="clear" w:color="auto" w:fill="auto"/>
          </w:tcPr>
          <w:p w14:paraId="6D61D0E0" w14:textId="77777777" w:rsidR="002668A9" w:rsidRPr="002668A9" w:rsidRDefault="002668A9" w:rsidP="002668A9">
            <w:pPr>
              <w:rPr>
                <w:rFonts w:cs="Arial"/>
                <w:sz w:val="20"/>
                <w:szCs w:val="20"/>
              </w:rPr>
            </w:pPr>
          </w:p>
        </w:tc>
        <w:tc>
          <w:tcPr>
            <w:tcW w:w="1275" w:type="pct"/>
            <w:vMerge/>
          </w:tcPr>
          <w:p w14:paraId="5C971267" w14:textId="77777777" w:rsidR="002668A9" w:rsidRPr="002668A9" w:rsidRDefault="002668A9" w:rsidP="002668A9">
            <w:pPr>
              <w:rPr>
                <w:rFonts w:cs="Arial"/>
                <w:sz w:val="20"/>
                <w:szCs w:val="20"/>
              </w:rPr>
            </w:pPr>
          </w:p>
        </w:tc>
        <w:tc>
          <w:tcPr>
            <w:tcW w:w="925" w:type="pct"/>
            <w:vMerge/>
          </w:tcPr>
          <w:p w14:paraId="2AA9E6BD"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5305BB06" w14:textId="77777777" w:rsidR="002668A9" w:rsidRPr="002668A9" w:rsidRDefault="002668A9" w:rsidP="002668A9">
            <w:pPr>
              <w:rPr>
                <w:rFonts w:cs="Arial"/>
                <w:sz w:val="20"/>
                <w:szCs w:val="20"/>
              </w:rPr>
            </w:pPr>
          </w:p>
        </w:tc>
      </w:tr>
      <w:tr w:rsidR="002668A9" w:rsidRPr="002668A9" w14:paraId="30FB7FE7" w14:textId="77777777" w:rsidTr="00C36741">
        <w:trPr>
          <w:trHeight w:val="504"/>
        </w:trPr>
        <w:tc>
          <w:tcPr>
            <w:tcW w:w="796" w:type="pct"/>
            <w:vMerge/>
            <w:shd w:val="clear" w:color="auto" w:fill="auto"/>
          </w:tcPr>
          <w:p w14:paraId="6971609B" w14:textId="77777777" w:rsidR="002668A9" w:rsidRPr="002668A9" w:rsidRDefault="002668A9" w:rsidP="002668A9">
            <w:pPr>
              <w:rPr>
                <w:rFonts w:cs="Arial"/>
                <w:sz w:val="20"/>
                <w:szCs w:val="20"/>
              </w:rPr>
            </w:pPr>
          </w:p>
        </w:tc>
        <w:tc>
          <w:tcPr>
            <w:tcW w:w="1275" w:type="pct"/>
            <w:vMerge/>
          </w:tcPr>
          <w:p w14:paraId="3D941185" w14:textId="77777777" w:rsidR="002668A9" w:rsidRPr="002668A9" w:rsidRDefault="002668A9" w:rsidP="002668A9">
            <w:pPr>
              <w:rPr>
                <w:rFonts w:cs="Arial"/>
                <w:sz w:val="20"/>
                <w:szCs w:val="20"/>
              </w:rPr>
            </w:pPr>
          </w:p>
        </w:tc>
        <w:tc>
          <w:tcPr>
            <w:tcW w:w="925" w:type="pct"/>
            <w:vMerge/>
          </w:tcPr>
          <w:p w14:paraId="7470F4C7"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2C6B71DA" w14:textId="77777777" w:rsidR="002668A9" w:rsidRPr="002668A9" w:rsidRDefault="002668A9" w:rsidP="002668A9">
            <w:pPr>
              <w:rPr>
                <w:rFonts w:cs="Arial"/>
                <w:sz w:val="20"/>
                <w:szCs w:val="20"/>
              </w:rPr>
            </w:pPr>
          </w:p>
        </w:tc>
      </w:tr>
      <w:tr w:rsidR="002668A9" w:rsidRPr="002668A9" w14:paraId="0FF383FC" w14:textId="77777777" w:rsidTr="00C36741">
        <w:trPr>
          <w:trHeight w:val="504"/>
        </w:trPr>
        <w:tc>
          <w:tcPr>
            <w:tcW w:w="796" w:type="pct"/>
            <w:vMerge/>
            <w:shd w:val="clear" w:color="auto" w:fill="auto"/>
          </w:tcPr>
          <w:p w14:paraId="3B66943D" w14:textId="77777777" w:rsidR="002668A9" w:rsidRPr="002668A9" w:rsidRDefault="002668A9" w:rsidP="002668A9">
            <w:pPr>
              <w:rPr>
                <w:rFonts w:cs="Arial"/>
                <w:sz w:val="20"/>
                <w:szCs w:val="20"/>
              </w:rPr>
            </w:pPr>
          </w:p>
        </w:tc>
        <w:tc>
          <w:tcPr>
            <w:tcW w:w="1275" w:type="pct"/>
            <w:vMerge/>
          </w:tcPr>
          <w:p w14:paraId="6951C166" w14:textId="77777777" w:rsidR="002668A9" w:rsidRPr="002668A9" w:rsidRDefault="002668A9" w:rsidP="002668A9">
            <w:pPr>
              <w:rPr>
                <w:rFonts w:cs="Arial"/>
                <w:sz w:val="20"/>
                <w:szCs w:val="20"/>
              </w:rPr>
            </w:pPr>
          </w:p>
        </w:tc>
        <w:tc>
          <w:tcPr>
            <w:tcW w:w="925" w:type="pct"/>
            <w:vMerge/>
          </w:tcPr>
          <w:p w14:paraId="00754CB6"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2F0C8FC0" w14:textId="77777777" w:rsidR="002668A9" w:rsidRPr="002668A9" w:rsidRDefault="002668A9" w:rsidP="002668A9">
            <w:pPr>
              <w:rPr>
                <w:rFonts w:cs="Arial"/>
                <w:sz w:val="20"/>
                <w:szCs w:val="20"/>
              </w:rPr>
            </w:pPr>
          </w:p>
        </w:tc>
      </w:tr>
      <w:tr w:rsidR="002668A9" w:rsidRPr="002668A9" w14:paraId="4EAFD24C" w14:textId="77777777" w:rsidTr="00C36741">
        <w:trPr>
          <w:trHeight w:val="504"/>
        </w:trPr>
        <w:tc>
          <w:tcPr>
            <w:tcW w:w="796" w:type="pct"/>
            <w:vMerge/>
            <w:shd w:val="clear" w:color="auto" w:fill="auto"/>
          </w:tcPr>
          <w:p w14:paraId="0C1B0140" w14:textId="77777777" w:rsidR="002668A9" w:rsidRPr="002668A9" w:rsidRDefault="002668A9" w:rsidP="002668A9">
            <w:pPr>
              <w:rPr>
                <w:rFonts w:cs="Arial"/>
                <w:sz w:val="20"/>
                <w:szCs w:val="20"/>
              </w:rPr>
            </w:pPr>
          </w:p>
        </w:tc>
        <w:tc>
          <w:tcPr>
            <w:tcW w:w="1275" w:type="pct"/>
            <w:vMerge/>
          </w:tcPr>
          <w:p w14:paraId="030BB3E8" w14:textId="77777777" w:rsidR="002668A9" w:rsidRPr="002668A9" w:rsidRDefault="002668A9" w:rsidP="002668A9">
            <w:pPr>
              <w:rPr>
                <w:rFonts w:cs="Arial"/>
                <w:sz w:val="20"/>
                <w:szCs w:val="20"/>
              </w:rPr>
            </w:pPr>
          </w:p>
        </w:tc>
        <w:tc>
          <w:tcPr>
            <w:tcW w:w="925" w:type="pct"/>
            <w:vMerge/>
          </w:tcPr>
          <w:p w14:paraId="73017739"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1A47C727" w14:textId="77777777" w:rsidR="002668A9" w:rsidRPr="002668A9" w:rsidRDefault="002668A9" w:rsidP="002668A9">
            <w:pPr>
              <w:rPr>
                <w:rFonts w:cs="Arial"/>
                <w:sz w:val="20"/>
                <w:szCs w:val="20"/>
              </w:rPr>
            </w:pPr>
          </w:p>
        </w:tc>
      </w:tr>
      <w:tr w:rsidR="002668A9" w:rsidRPr="002668A9" w14:paraId="6CCFF9E6" w14:textId="77777777" w:rsidTr="00C36741">
        <w:trPr>
          <w:trHeight w:val="464"/>
        </w:trPr>
        <w:tc>
          <w:tcPr>
            <w:tcW w:w="796" w:type="pct"/>
            <w:vMerge w:val="restart"/>
            <w:shd w:val="clear" w:color="auto" w:fill="auto"/>
          </w:tcPr>
          <w:p w14:paraId="566A8566" w14:textId="77777777" w:rsidR="002668A9" w:rsidRPr="002668A9" w:rsidRDefault="002668A9" w:rsidP="002668A9">
            <w:pPr>
              <w:rPr>
                <w:rFonts w:cs="Arial"/>
                <w:sz w:val="20"/>
                <w:szCs w:val="20"/>
              </w:rPr>
            </w:pPr>
            <w:r w:rsidRPr="002668A9">
              <w:rPr>
                <w:rFonts w:cs="Arial"/>
                <w:sz w:val="20"/>
                <w:szCs w:val="20"/>
              </w:rPr>
              <w:t>Include references to regulators</w:t>
            </w:r>
          </w:p>
        </w:tc>
        <w:tc>
          <w:tcPr>
            <w:tcW w:w="1275" w:type="pct"/>
            <w:vMerge w:val="restart"/>
          </w:tcPr>
          <w:p w14:paraId="4F8C8666" w14:textId="77777777" w:rsidR="002668A9" w:rsidRPr="002668A9" w:rsidRDefault="002668A9" w:rsidP="002668A9">
            <w:pPr>
              <w:rPr>
                <w:rFonts w:cs="Arial"/>
                <w:sz w:val="20"/>
                <w:szCs w:val="20"/>
              </w:rPr>
            </w:pPr>
            <w:r w:rsidRPr="002668A9">
              <w:rPr>
                <w:rFonts w:cs="Arial"/>
                <w:sz w:val="20"/>
                <w:szCs w:val="20"/>
              </w:rPr>
              <w:t>Reinforcement of the importance of consultation with the various regulators and other stakeholders.</w:t>
            </w:r>
          </w:p>
        </w:tc>
        <w:tc>
          <w:tcPr>
            <w:tcW w:w="925" w:type="pct"/>
            <w:vMerge w:val="restart"/>
          </w:tcPr>
          <w:p w14:paraId="4F2E3679" w14:textId="77777777" w:rsidR="00661EF2" w:rsidRPr="002668A9" w:rsidRDefault="00661EF2" w:rsidP="002668A9">
            <w:pPr>
              <w:rPr>
                <w:rFonts w:cs="Arial"/>
                <w:sz w:val="20"/>
                <w:szCs w:val="20"/>
              </w:rPr>
            </w:pPr>
            <w:r>
              <w:rPr>
                <w:rFonts w:cs="Arial"/>
                <w:sz w:val="20"/>
                <w:szCs w:val="20"/>
              </w:rPr>
              <w:t>Hunter Water</w:t>
            </w:r>
          </w:p>
          <w:p w14:paraId="5376C7AB" w14:textId="3AECACE7" w:rsidR="002668A9" w:rsidRPr="002668A9" w:rsidRDefault="00661EF2" w:rsidP="002668A9">
            <w:pPr>
              <w:rPr>
                <w:rFonts w:cs="Arial"/>
                <w:sz w:val="20"/>
                <w:szCs w:val="20"/>
              </w:rPr>
            </w:pPr>
            <w:r>
              <w:rPr>
                <w:rFonts w:cs="Arial"/>
                <w:sz w:val="20"/>
                <w:szCs w:val="20"/>
              </w:rPr>
              <w:t>NZ Ministry for the Environment</w:t>
            </w:r>
          </w:p>
        </w:tc>
        <w:tc>
          <w:tcPr>
            <w:tcW w:w="2004" w:type="pct"/>
            <w:vMerge w:val="restart"/>
            <w:shd w:val="clear" w:color="auto" w:fill="auto"/>
            <w:tcMar>
              <w:top w:w="0" w:type="dxa"/>
              <w:left w:w="108" w:type="dxa"/>
              <w:bottom w:w="0" w:type="dxa"/>
              <w:right w:w="108" w:type="dxa"/>
            </w:tcMar>
          </w:tcPr>
          <w:p w14:paraId="0ED6C929" w14:textId="11808534" w:rsidR="002668A9" w:rsidRDefault="002668A9" w:rsidP="002668A9">
            <w:pPr>
              <w:rPr>
                <w:rFonts w:cs="Arial"/>
                <w:sz w:val="20"/>
                <w:szCs w:val="20"/>
              </w:rPr>
            </w:pPr>
            <w:r w:rsidRPr="002668A9">
              <w:rPr>
                <w:rFonts w:cs="Arial"/>
                <w:sz w:val="20"/>
                <w:szCs w:val="20"/>
              </w:rPr>
              <w:t>Additional text has been added on consulting with regulators, e.g. on floodplain risks for location decisions.</w:t>
            </w:r>
          </w:p>
          <w:p w14:paraId="60EFDBCC" w14:textId="77777777" w:rsidR="002668A9" w:rsidRPr="002668A9" w:rsidRDefault="002668A9" w:rsidP="002668A9">
            <w:pPr>
              <w:rPr>
                <w:rFonts w:cs="Arial"/>
                <w:sz w:val="20"/>
                <w:szCs w:val="20"/>
              </w:rPr>
            </w:pPr>
            <w:r w:rsidRPr="002668A9">
              <w:rPr>
                <w:rFonts w:cs="Arial"/>
                <w:sz w:val="20"/>
                <w:szCs w:val="20"/>
              </w:rPr>
              <w:t>Note that issues associated with sewage / wastewater treatment plants are addressed in other parts of the PFAS NEMP 2.0 (section 15 and Appendix D).</w:t>
            </w:r>
          </w:p>
        </w:tc>
      </w:tr>
      <w:tr w:rsidR="002668A9" w:rsidRPr="002668A9" w14:paraId="28368B94" w14:textId="77777777" w:rsidTr="00C36741">
        <w:trPr>
          <w:trHeight w:val="504"/>
        </w:trPr>
        <w:tc>
          <w:tcPr>
            <w:tcW w:w="796" w:type="pct"/>
            <w:vMerge/>
            <w:shd w:val="clear" w:color="auto" w:fill="auto"/>
          </w:tcPr>
          <w:p w14:paraId="01B2CFC4" w14:textId="77777777" w:rsidR="002668A9" w:rsidRPr="002668A9" w:rsidRDefault="002668A9" w:rsidP="002668A9">
            <w:pPr>
              <w:rPr>
                <w:rFonts w:cs="Arial"/>
                <w:sz w:val="20"/>
                <w:szCs w:val="20"/>
              </w:rPr>
            </w:pPr>
          </w:p>
        </w:tc>
        <w:tc>
          <w:tcPr>
            <w:tcW w:w="1275" w:type="pct"/>
            <w:vMerge/>
          </w:tcPr>
          <w:p w14:paraId="43D93233" w14:textId="77777777" w:rsidR="002668A9" w:rsidRPr="002668A9" w:rsidRDefault="002668A9" w:rsidP="002668A9">
            <w:pPr>
              <w:rPr>
                <w:rFonts w:cs="Arial"/>
                <w:sz w:val="20"/>
                <w:szCs w:val="20"/>
              </w:rPr>
            </w:pPr>
          </w:p>
        </w:tc>
        <w:tc>
          <w:tcPr>
            <w:tcW w:w="925" w:type="pct"/>
            <w:vMerge/>
          </w:tcPr>
          <w:p w14:paraId="7E679782"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72C43EB" w14:textId="77777777" w:rsidR="002668A9" w:rsidRPr="002668A9" w:rsidRDefault="002668A9" w:rsidP="002668A9">
            <w:pPr>
              <w:rPr>
                <w:rFonts w:cs="Arial"/>
                <w:sz w:val="20"/>
                <w:szCs w:val="20"/>
              </w:rPr>
            </w:pPr>
          </w:p>
        </w:tc>
      </w:tr>
      <w:tr w:rsidR="002668A9" w:rsidRPr="002668A9" w14:paraId="1676378B" w14:textId="77777777" w:rsidTr="00C36741">
        <w:trPr>
          <w:trHeight w:val="464"/>
        </w:trPr>
        <w:tc>
          <w:tcPr>
            <w:tcW w:w="796" w:type="pct"/>
            <w:vMerge w:val="restart"/>
            <w:shd w:val="clear" w:color="auto" w:fill="auto"/>
          </w:tcPr>
          <w:p w14:paraId="4F95743F" w14:textId="77777777" w:rsidR="002668A9" w:rsidRPr="002668A9" w:rsidRDefault="002668A9" w:rsidP="002668A9">
            <w:pPr>
              <w:rPr>
                <w:rFonts w:cs="Arial"/>
                <w:sz w:val="20"/>
                <w:szCs w:val="20"/>
              </w:rPr>
            </w:pPr>
            <w:r w:rsidRPr="002668A9">
              <w:rPr>
                <w:rFonts w:cs="Arial"/>
                <w:sz w:val="20"/>
                <w:szCs w:val="20"/>
              </w:rPr>
              <w:t>Include site auditor / validation advice</w:t>
            </w:r>
          </w:p>
        </w:tc>
        <w:tc>
          <w:tcPr>
            <w:tcW w:w="1275" w:type="pct"/>
            <w:vMerge w:val="restart"/>
          </w:tcPr>
          <w:p w14:paraId="339979AB" w14:textId="77777777" w:rsidR="002668A9" w:rsidRPr="002668A9" w:rsidRDefault="002668A9" w:rsidP="002668A9">
            <w:pPr>
              <w:rPr>
                <w:rFonts w:cs="Arial"/>
                <w:sz w:val="20"/>
                <w:szCs w:val="20"/>
              </w:rPr>
            </w:pPr>
            <w:r w:rsidRPr="002668A9">
              <w:rPr>
                <w:rFonts w:cs="Arial"/>
                <w:sz w:val="20"/>
                <w:szCs w:val="20"/>
              </w:rPr>
              <w:t>Further clarity needed on definitions of consultants able to undertake, supervise and sign off PFAS related work, and need for approval of key documents prior to construction commencement.</w:t>
            </w:r>
          </w:p>
        </w:tc>
        <w:tc>
          <w:tcPr>
            <w:tcW w:w="925" w:type="pct"/>
            <w:vMerge w:val="restart"/>
          </w:tcPr>
          <w:p w14:paraId="21DD545D" w14:textId="5222E74C" w:rsidR="002668A9" w:rsidRDefault="00661EF2" w:rsidP="002668A9">
            <w:pPr>
              <w:rPr>
                <w:rFonts w:cs="Arial"/>
                <w:sz w:val="20"/>
                <w:szCs w:val="20"/>
              </w:rPr>
            </w:pPr>
            <w:r>
              <w:rPr>
                <w:rFonts w:cs="Arial"/>
                <w:sz w:val="20"/>
                <w:szCs w:val="20"/>
              </w:rPr>
              <w:t>NZ Ministry for the Environment</w:t>
            </w:r>
          </w:p>
          <w:p w14:paraId="42FA32F3" w14:textId="65125C91" w:rsidR="002668A9" w:rsidRPr="002668A9" w:rsidRDefault="00661EF2" w:rsidP="002668A9">
            <w:pPr>
              <w:rPr>
                <w:rFonts w:cs="Arial"/>
                <w:sz w:val="20"/>
                <w:szCs w:val="20"/>
              </w:rPr>
            </w:pPr>
            <w:r>
              <w:rPr>
                <w:rFonts w:cs="Arial"/>
                <w:sz w:val="20"/>
                <w:szCs w:val="20"/>
              </w:rPr>
              <w:t>qldwater</w:t>
            </w:r>
          </w:p>
        </w:tc>
        <w:tc>
          <w:tcPr>
            <w:tcW w:w="2004" w:type="pct"/>
            <w:vMerge w:val="restart"/>
            <w:shd w:val="clear" w:color="auto" w:fill="auto"/>
            <w:tcMar>
              <w:top w:w="0" w:type="dxa"/>
              <w:left w:w="108" w:type="dxa"/>
              <w:bottom w:w="0" w:type="dxa"/>
              <w:right w:w="108" w:type="dxa"/>
            </w:tcMar>
          </w:tcPr>
          <w:p w14:paraId="138172D7" w14:textId="70C5F7E1" w:rsidR="002668A9" w:rsidRPr="002668A9" w:rsidRDefault="002668A9" w:rsidP="002668A9">
            <w:pPr>
              <w:rPr>
                <w:rFonts w:cs="Arial"/>
                <w:sz w:val="20"/>
                <w:szCs w:val="20"/>
              </w:rPr>
            </w:pPr>
            <w:r w:rsidRPr="002668A9">
              <w:rPr>
                <w:rFonts w:cs="Arial"/>
                <w:sz w:val="20"/>
                <w:szCs w:val="20"/>
              </w:rPr>
              <w:t>The N</w:t>
            </w:r>
            <w:r w:rsidR="008324A6">
              <w:rPr>
                <w:rFonts w:cs="Arial"/>
                <w:sz w:val="20"/>
                <w:szCs w:val="20"/>
              </w:rPr>
              <w:t>ational Chemicals Working Group (N</w:t>
            </w:r>
            <w:r w:rsidRPr="002668A9">
              <w:rPr>
                <w:rFonts w:cs="Arial"/>
                <w:sz w:val="20"/>
                <w:szCs w:val="20"/>
              </w:rPr>
              <w:t>CWG</w:t>
            </w:r>
            <w:r w:rsidR="008324A6">
              <w:rPr>
                <w:rFonts w:cs="Arial"/>
                <w:sz w:val="20"/>
                <w:szCs w:val="20"/>
              </w:rPr>
              <w:t>)</w:t>
            </w:r>
            <w:r w:rsidRPr="002668A9">
              <w:rPr>
                <w:rFonts w:cs="Arial"/>
                <w:sz w:val="20"/>
                <w:szCs w:val="20"/>
              </w:rPr>
              <w:t xml:space="preserve"> considers that referring to a suitably qualified and experienced person is sufficient for the purposes of the NEMP. The draft text has been amended accordingly.</w:t>
            </w:r>
          </w:p>
          <w:p w14:paraId="681F5E6C" w14:textId="77777777" w:rsidR="002668A9" w:rsidRPr="002668A9" w:rsidRDefault="002668A9" w:rsidP="002668A9">
            <w:pPr>
              <w:rPr>
                <w:rFonts w:cs="Arial"/>
                <w:sz w:val="20"/>
                <w:szCs w:val="20"/>
              </w:rPr>
            </w:pPr>
            <w:r w:rsidRPr="002668A9">
              <w:rPr>
                <w:rFonts w:cs="Arial"/>
                <w:sz w:val="20"/>
                <w:szCs w:val="20"/>
              </w:rPr>
              <w:t xml:space="preserve">The NCWG considers that the sharing of best practice exemplars would be beneficial for all NEMP users. This will be considered in the future NEMP work program. </w:t>
            </w:r>
          </w:p>
        </w:tc>
      </w:tr>
      <w:tr w:rsidR="002668A9" w:rsidRPr="002668A9" w14:paraId="3A650606" w14:textId="77777777" w:rsidTr="00C36741">
        <w:trPr>
          <w:trHeight w:val="504"/>
        </w:trPr>
        <w:tc>
          <w:tcPr>
            <w:tcW w:w="796" w:type="pct"/>
            <w:vMerge/>
            <w:shd w:val="clear" w:color="auto" w:fill="auto"/>
          </w:tcPr>
          <w:p w14:paraId="503D8EF6" w14:textId="77777777" w:rsidR="002668A9" w:rsidRPr="002668A9" w:rsidRDefault="002668A9" w:rsidP="002668A9">
            <w:pPr>
              <w:rPr>
                <w:rFonts w:cs="Arial"/>
                <w:sz w:val="20"/>
                <w:szCs w:val="20"/>
              </w:rPr>
            </w:pPr>
          </w:p>
        </w:tc>
        <w:tc>
          <w:tcPr>
            <w:tcW w:w="1275" w:type="pct"/>
            <w:vMerge/>
          </w:tcPr>
          <w:p w14:paraId="64A2476F" w14:textId="77777777" w:rsidR="002668A9" w:rsidRPr="002668A9" w:rsidRDefault="002668A9" w:rsidP="002668A9">
            <w:pPr>
              <w:rPr>
                <w:rFonts w:cs="Arial"/>
                <w:sz w:val="20"/>
                <w:szCs w:val="20"/>
              </w:rPr>
            </w:pPr>
          </w:p>
        </w:tc>
        <w:tc>
          <w:tcPr>
            <w:tcW w:w="925" w:type="pct"/>
            <w:vMerge/>
          </w:tcPr>
          <w:p w14:paraId="409B65E2"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24A072E8" w14:textId="77777777" w:rsidR="002668A9" w:rsidRPr="002668A9" w:rsidRDefault="002668A9" w:rsidP="002668A9">
            <w:pPr>
              <w:rPr>
                <w:rFonts w:cs="Arial"/>
                <w:sz w:val="20"/>
                <w:szCs w:val="20"/>
              </w:rPr>
            </w:pPr>
          </w:p>
        </w:tc>
      </w:tr>
      <w:tr w:rsidR="002668A9" w:rsidRPr="002668A9" w14:paraId="5AB77BA4" w14:textId="77777777" w:rsidTr="00C36741">
        <w:trPr>
          <w:trHeight w:val="464"/>
        </w:trPr>
        <w:tc>
          <w:tcPr>
            <w:tcW w:w="796" w:type="pct"/>
            <w:vMerge w:val="restart"/>
            <w:shd w:val="clear" w:color="auto" w:fill="auto"/>
          </w:tcPr>
          <w:p w14:paraId="50A4E28E" w14:textId="77777777" w:rsidR="002668A9" w:rsidRPr="002668A9" w:rsidRDefault="002668A9" w:rsidP="002668A9">
            <w:pPr>
              <w:rPr>
                <w:rFonts w:cs="Arial"/>
                <w:sz w:val="20"/>
                <w:szCs w:val="20"/>
              </w:rPr>
            </w:pPr>
            <w:r w:rsidRPr="002668A9">
              <w:rPr>
                <w:rFonts w:cs="Arial"/>
                <w:sz w:val="20"/>
                <w:szCs w:val="20"/>
              </w:rPr>
              <w:t>Include technical / prescriptive advice.</w:t>
            </w:r>
          </w:p>
        </w:tc>
        <w:tc>
          <w:tcPr>
            <w:tcW w:w="1275" w:type="pct"/>
            <w:vMerge w:val="restart"/>
          </w:tcPr>
          <w:p w14:paraId="60943B46" w14:textId="77777777" w:rsidR="002668A9" w:rsidRPr="002668A9" w:rsidRDefault="002668A9" w:rsidP="002668A9">
            <w:pPr>
              <w:rPr>
                <w:rFonts w:cs="Arial"/>
                <w:sz w:val="20"/>
                <w:szCs w:val="20"/>
              </w:rPr>
            </w:pPr>
            <w:r w:rsidRPr="002668A9">
              <w:rPr>
                <w:rFonts w:cs="Arial"/>
                <w:sz w:val="20"/>
                <w:szCs w:val="20"/>
              </w:rPr>
              <w:t>Several submissions requested more quantitative design criteria, including for bunding, membrane permeability values, composite liner definitions and design criteria, spill retention design standards, flood risk criteria, and soil classification criteria.</w:t>
            </w:r>
          </w:p>
        </w:tc>
        <w:tc>
          <w:tcPr>
            <w:tcW w:w="925" w:type="pct"/>
            <w:vMerge w:val="restart"/>
          </w:tcPr>
          <w:p w14:paraId="7B4F58DB" w14:textId="77777777" w:rsidR="00497C07" w:rsidRPr="002668A9" w:rsidRDefault="00497C07" w:rsidP="002668A9">
            <w:pPr>
              <w:rPr>
                <w:rFonts w:cs="Arial"/>
                <w:sz w:val="20"/>
                <w:szCs w:val="20"/>
              </w:rPr>
            </w:pPr>
            <w:r>
              <w:rPr>
                <w:rFonts w:cs="Arial"/>
                <w:sz w:val="20"/>
                <w:szCs w:val="20"/>
              </w:rPr>
              <w:t>CRC CARE</w:t>
            </w:r>
          </w:p>
          <w:p w14:paraId="2E10BE4C" w14:textId="77777777" w:rsidR="00497C07" w:rsidRDefault="00497C07" w:rsidP="002668A9">
            <w:pPr>
              <w:rPr>
                <w:rFonts w:cs="Arial"/>
                <w:sz w:val="20"/>
                <w:szCs w:val="20"/>
              </w:rPr>
            </w:pPr>
            <w:r>
              <w:rPr>
                <w:rFonts w:cs="Arial"/>
                <w:sz w:val="20"/>
                <w:szCs w:val="20"/>
              </w:rPr>
              <w:t>NSW Department of Industry</w:t>
            </w:r>
          </w:p>
          <w:p w14:paraId="53614373" w14:textId="77777777" w:rsidR="00497C07" w:rsidRDefault="00497C07" w:rsidP="002668A9">
            <w:pPr>
              <w:rPr>
                <w:rFonts w:cs="Arial"/>
                <w:sz w:val="20"/>
                <w:szCs w:val="20"/>
              </w:rPr>
            </w:pPr>
            <w:r>
              <w:rPr>
                <w:rFonts w:cs="Arial"/>
                <w:sz w:val="20"/>
                <w:szCs w:val="20"/>
              </w:rPr>
              <w:t>NZ Ministry for the Environment</w:t>
            </w:r>
          </w:p>
          <w:p w14:paraId="55656473" w14:textId="7215DC74" w:rsidR="00497C07" w:rsidRPr="002668A9" w:rsidRDefault="006B3A71" w:rsidP="002668A9">
            <w:pPr>
              <w:rPr>
                <w:rFonts w:cs="Arial"/>
                <w:sz w:val="20"/>
                <w:szCs w:val="20"/>
              </w:rPr>
            </w:pPr>
            <w:r>
              <w:rPr>
                <w:rFonts w:cs="Arial"/>
                <w:sz w:val="20"/>
                <w:szCs w:val="20"/>
              </w:rPr>
              <w:t>NZ</w:t>
            </w:r>
            <w:r w:rsidR="00406A71">
              <w:rPr>
                <w:rFonts w:cs="Arial"/>
                <w:sz w:val="20"/>
                <w:szCs w:val="20"/>
              </w:rPr>
              <w:t xml:space="preserve"> Regional and Unitary Councils - Contaminated </w:t>
            </w:r>
            <w:r w:rsidR="00406A71">
              <w:rPr>
                <w:rFonts w:cs="Arial"/>
                <w:sz w:val="20"/>
                <w:szCs w:val="20"/>
              </w:rPr>
              <w:lastRenderedPageBreak/>
              <w:t>Land and Waste Special Interest Group</w:t>
            </w:r>
          </w:p>
          <w:p w14:paraId="2DCB692B" w14:textId="77777777" w:rsidR="00497C07" w:rsidRPr="002668A9" w:rsidRDefault="00497C07" w:rsidP="002668A9">
            <w:pPr>
              <w:rPr>
                <w:rFonts w:cs="Arial"/>
                <w:sz w:val="20"/>
                <w:szCs w:val="20"/>
              </w:rPr>
            </w:pPr>
            <w:r>
              <w:rPr>
                <w:rFonts w:cs="Arial"/>
                <w:sz w:val="20"/>
                <w:szCs w:val="20"/>
              </w:rPr>
              <w:t>qldwater</w:t>
            </w:r>
          </w:p>
          <w:p w14:paraId="6F8E64D8" w14:textId="77777777" w:rsidR="00497C07" w:rsidRDefault="00497C07" w:rsidP="002668A9">
            <w:pPr>
              <w:rPr>
                <w:rFonts w:cs="Arial"/>
                <w:sz w:val="20"/>
                <w:szCs w:val="20"/>
              </w:rPr>
            </w:pPr>
            <w:r>
              <w:rPr>
                <w:rFonts w:cs="Arial"/>
                <w:sz w:val="20"/>
                <w:szCs w:val="20"/>
              </w:rPr>
              <w:t>Queensland Airports Ltd</w:t>
            </w:r>
          </w:p>
          <w:p w14:paraId="22847F1B" w14:textId="44BFA496" w:rsidR="002668A9" w:rsidRPr="002668A9" w:rsidRDefault="00497C07" w:rsidP="002668A9">
            <w:pPr>
              <w:rPr>
                <w:rFonts w:cs="Arial"/>
                <w:sz w:val="20"/>
                <w:szCs w:val="20"/>
              </w:rPr>
            </w:pPr>
            <w:r>
              <w:rPr>
                <w:rFonts w:cs="Arial"/>
                <w:sz w:val="20"/>
                <w:szCs w:val="20"/>
              </w:rPr>
              <w:t>WA Government</w:t>
            </w:r>
          </w:p>
        </w:tc>
        <w:tc>
          <w:tcPr>
            <w:tcW w:w="2004" w:type="pct"/>
            <w:vMerge w:val="restart"/>
            <w:shd w:val="clear" w:color="auto" w:fill="auto"/>
            <w:tcMar>
              <w:top w:w="0" w:type="dxa"/>
              <w:left w:w="108" w:type="dxa"/>
              <w:bottom w:w="0" w:type="dxa"/>
              <w:right w:w="108" w:type="dxa"/>
            </w:tcMar>
          </w:tcPr>
          <w:p w14:paraId="500CE595" w14:textId="1CFC6858" w:rsidR="002668A9" w:rsidRPr="002668A9" w:rsidRDefault="002668A9" w:rsidP="002668A9">
            <w:pPr>
              <w:rPr>
                <w:rFonts w:cs="Arial"/>
                <w:sz w:val="20"/>
                <w:szCs w:val="20"/>
              </w:rPr>
            </w:pPr>
            <w:r w:rsidRPr="002668A9">
              <w:rPr>
                <w:rFonts w:cs="Arial"/>
                <w:sz w:val="20"/>
                <w:szCs w:val="20"/>
              </w:rPr>
              <w:lastRenderedPageBreak/>
              <w:t>Some changes were made to the NEMP 2</w:t>
            </w:r>
            <w:r w:rsidR="00024731">
              <w:rPr>
                <w:rFonts w:cs="Arial"/>
                <w:sz w:val="20"/>
                <w:szCs w:val="20"/>
              </w:rPr>
              <w:t>.</w:t>
            </w:r>
            <w:r w:rsidRPr="002668A9">
              <w:rPr>
                <w:rFonts w:cs="Arial"/>
                <w:sz w:val="20"/>
                <w:szCs w:val="20"/>
              </w:rPr>
              <w:t>0 text including on bunding capacity.</w:t>
            </w:r>
          </w:p>
          <w:p w14:paraId="19D05681" w14:textId="77777777" w:rsidR="002668A9" w:rsidRPr="002668A9" w:rsidRDefault="002668A9" w:rsidP="002668A9">
            <w:pPr>
              <w:rPr>
                <w:rFonts w:cs="Arial"/>
                <w:sz w:val="20"/>
                <w:szCs w:val="20"/>
              </w:rPr>
            </w:pPr>
            <w:r w:rsidRPr="002668A9">
              <w:rPr>
                <w:rFonts w:cs="Arial"/>
                <w:sz w:val="20"/>
                <w:szCs w:val="20"/>
              </w:rPr>
              <w:t>Various responses are provided to matters raised:</w:t>
            </w:r>
          </w:p>
          <w:p w14:paraId="68935061" w14:textId="77777777" w:rsidR="002668A9" w:rsidRPr="002668A9" w:rsidRDefault="002668A9" w:rsidP="00BD517F">
            <w:pPr>
              <w:pStyle w:val="bullet1"/>
            </w:pPr>
            <w:r w:rsidRPr="002668A9">
              <w:t>A site specific risk assessment should not be required in every case. Consideration of the risks may be sufficient in some cases, while others will indeed require a more detailed site specific risk assessment.</w:t>
            </w:r>
          </w:p>
          <w:p w14:paraId="767F77F2" w14:textId="77777777" w:rsidR="002668A9" w:rsidRPr="002668A9" w:rsidRDefault="002668A9" w:rsidP="00BD517F">
            <w:pPr>
              <w:pStyle w:val="bullet1"/>
            </w:pPr>
            <w:r w:rsidRPr="002668A9">
              <w:lastRenderedPageBreak/>
              <w:t>Some matters raised are adequately addressed by other national or jurisdictional frameworks including construction of intermediate bulk containers (IBCs), also known as intermediate bulk units (IBUs).</w:t>
            </w:r>
          </w:p>
          <w:p w14:paraId="13296F89" w14:textId="77777777" w:rsidR="002668A9" w:rsidRPr="002668A9" w:rsidRDefault="002668A9" w:rsidP="002668A9">
            <w:pPr>
              <w:rPr>
                <w:rFonts w:cs="Arial"/>
                <w:sz w:val="20"/>
                <w:szCs w:val="20"/>
              </w:rPr>
            </w:pPr>
            <w:r w:rsidRPr="002668A9">
              <w:rPr>
                <w:rFonts w:cs="Arial"/>
                <w:sz w:val="20"/>
                <w:szCs w:val="20"/>
              </w:rPr>
              <w:t>Matters that are addressed in other parts of the PFAS NEMP 2.0 including soil re-use and off-site disposal.</w:t>
            </w:r>
          </w:p>
          <w:p w14:paraId="37A88E8C" w14:textId="7C52F935" w:rsidR="002668A9" w:rsidRPr="002668A9" w:rsidRDefault="002668A9" w:rsidP="002668A9">
            <w:pPr>
              <w:rPr>
                <w:rFonts w:cs="Arial"/>
                <w:sz w:val="20"/>
                <w:szCs w:val="20"/>
              </w:rPr>
            </w:pPr>
            <w:r w:rsidRPr="002668A9">
              <w:rPr>
                <w:rFonts w:cs="Arial"/>
                <w:sz w:val="20"/>
                <w:szCs w:val="20"/>
              </w:rPr>
              <w:t xml:space="preserve">Two matters </w:t>
            </w:r>
            <w:r w:rsidR="00822AEE">
              <w:rPr>
                <w:rFonts w:cs="Arial"/>
                <w:sz w:val="20"/>
                <w:szCs w:val="20"/>
              </w:rPr>
              <w:t>are being considered by NCWG</w:t>
            </w:r>
            <w:r w:rsidRPr="002668A9">
              <w:rPr>
                <w:rFonts w:cs="Arial"/>
                <w:sz w:val="20"/>
                <w:szCs w:val="20"/>
              </w:rPr>
              <w:t xml:space="preserve"> in the context of the NEMP future work program:</w:t>
            </w:r>
          </w:p>
          <w:p w14:paraId="5871580A" w14:textId="77777777" w:rsidR="002668A9" w:rsidRPr="002668A9" w:rsidRDefault="002668A9" w:rsidP="00024731">
            <w:pPr>
              <w:pStyle w:val="bullet1"/>
            </w:pPr>
            <w:r w:rsidRPr="002668A9">
              <w:t>Guidance on passive and active barrier controls</w:t>
            </w:r>
          </w:p>
          <w:p w14:paraId="0F4B66E8" w14:textId="77777777" w:rsidR="002668A9" w:rsidRPr="002668A9" w:rsidRDefault="002668A9" w:rsidP="00024731">
            <w:pPr>
              <w:pStyle w:val="bullet1"/>
            </w:pPr>
            <w:r w:rsidRPr="002668A9">
              <w:t>Technical specifications and definitions.</w:t>
            </w:r>
          </w:p>
        </w:tc>
      </w:tr>
      <w:tr w:rsidR="002668A9" w:rsidRPr="002668A9" w14:paraId="1D6ED91C" w14:textId="77777777" w:rsidTr="00C36741">
        <w:trPr>
          <w:trHeight w:val="504"/>
        </w:trPr>
        <w:tc>
          <w:tcPr>
            <w:tcW w:w="796" w:type="pct"/>
            <w:vMerge/>
            <w:shd w:val="clear" w:color="auto" w:fill="auto"/>
          </w:tcPr>
          <w:p w14:paraId="4C0F269B" w14:textId="77777777" w:rsidR="002668A9" w:rsidRPr="002668A9" w:rsidRDefault="002668A9" w:rsidP="002668A9">
            <w:pPr>
              <w:rPr>
                <w:rFonts w:cs="Arial"/>
                <w:sz w:val="20"/>
                <w:szCs w:val="20"/>
              </w:rPr>
            </w:pPr>
          </w:p>
        </w:tc>
        <w:tc>
          <w:tcPr>
            <w:tcW w:w="1275" w:type="pct"/>
            <w:vMerge/>
          </w:tcPr>
          <w:p w14:paraId="7C48F4F4" w14:textId="77777777" w:rsidR="002668A9" w:rsidRPr="002668A9" w:rsidRDefault="002668A9" w:rsidP="002668A9">
            <w:pPr>
              <w:rPr>
                <w:rFonts w:cs="Arial"/>
                <w:sz w:val="20"/>
                <w:szCs w:val="20"/>
              </w:rPr>
            </w:pPr>
          </w:p>
        </w:tc>
        <w:tc>
          <w:tcPr>
            <w:tcW w:w="925" w:type="pct"/>
            <w:vMerge/>
          </w:tcPr>
          <w:p w14:paraId="15EA1D05"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5167FD57" w14:textId="77777777" w:rsidR="002668A9" w:rsidRPr="002668A9" w:rsidRDefault="002668A9" w:rsidP="002668A9">
            <w:pPr>
              <w:rPr>
                <w:rFonts w:cs="Arial"/>
                <w:sz w:val="20"/>
                <w:szCs w:val="20"/>
              </w:rPr>
            </w:pPr>
          </w:p>
        </w:tc>
      </w:tr>
      <w:tr w:rsidR="002668A9" w:rsidRPr="002668A9" w14:paraId="2E111DBC" w14:textId="77777777" w:rsidTr="00C36741">
        <w:trPr>
          <w:trHeight w:val="504"/>
        </w:trPr>
        <w:tc>
          <w:tcPr>
            <w:tcW w:w="796" w:type="pct"/>
            <w:vMerge/>
            <w:shd w:val="clear" w:color="auto" w:fill="auto"/>
          </w:tcPr>
          <w:p w14:paraId="408BCD3B" w14:textId="77777777" w:rsidR="002668A9" w:rsidRPr="002668A9" w:rsidRDefault="002668A9" w:rsidP="002668A9">
            <w:pPr>
              <w:rPr>
                <w:rFonts w:cs="Arial"/>
                <w:sz w:val="20"/>
                <w:szCs w:val="20"/>
              </w:rPr>
            </w:pPr>
          </w:p>
        </w:tc>
        <w:tc>
          <w:tcPr>
            <w:tcW w:w="1275" w:type="pct"/>
            <w:vMerge/>
          </w:tcPr>
          <w:p w14:paraId="4E4D23E7" w14:textId="77777777" w:rsidR="002668A9" w:rsidRPr="002668A9" w:rsidRDefault="002668A9" w:rsidP="002668A9">
            <w:pPr>
              <w:rPr>
                <w:rFonts w:cs="Arial"/>
                <w:sz w:val="20"/>
                <w:szCs w:val="20"/>
              </w:rPr>
            </w:pPr>
          </w:p>
        </w:tc>
        <w:tc>
          <w:tcPr>
            <w:tcW w:w="925" w:type="pct"/>
            <w:vMerge/>
          </w:tcPr>
          <w:p w14:paraId="00673C19"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13794322" w14:textId="77777777" w:rsidR="002668A9" w:rsidRPr="002668A9" w:rsidRDefault="002668A9" w:rsidP="002668A9">
            <w:pPr>
              <w:rPr>
                <w:rFonts w:cs="Arial"/>
                <w:sz w:val="20"/>
                <w:szCs w:val="20"/>
              </w:rPr>
            </w:pPr>
          </w:p>
        </w:tc>
      </w:tr>
      <w:tr w:rsidR="002668A9" w:rsidRPr="002668A9" w14:paraId="358A62A2" w14:textId="77777777" w:rsidTr="00C36741">
        <w:trPr>
          <w:trHeight w:val="504"/>
        </w:trPr>
        <w:tc>
          <w:tcPr>
            <w:tcW w:w="796" w:type="pct"/>
            <w:vMerge/>
            <w:shd w:val="clear" w:color="auto" w:fill="auto"/>
          </w:tcPr>
          <w:p w14:paraId="61AE87D9" w14:textId="77777777" w:rsidR="002668A9" w:rsidRPr="002668A9" w:rsidRDefault="002668A9" w:rsidP="002668A9">
            <w:pPr>
              <w:rPr>
                <w:rFonts w:cs="Arial"/>
                <w:sz w:val="20"/>
                <w:szCs w:val="20"/>
              </w:rPr>
            </w:pPr>
          </w:p>
        </w:tc>
        <w:tc>
          <w:tcPr>
            <w:tcW w:w="1275" w:type="pct"/>
            <w:vMerge/>
          </w:tcPr>
          <w:p w14:paraId="7F9E77FB" w14:textId="77777777" w:rsidR="002668A9" w:rsidRPr="002668A9" w:rsidRDefault="002668A9" w:rsidP="002668A9">
            <w:pPr>
              <w:rPr>
                <w:rFonts w:cs="Arial"/>
                <w:sz w:val="20"/>
                <w:szCs w:val="20"/>
              </w:rPr>
            </w:pPr>
          </w:p>
        </w:tc>
        <w:tc>
          <w:tcPr>
            <w:tcW w:w="925" w:type="pct"/>
            <w:vMerge/>
          </w:tcPr>
          <w:p w14:paraId="7D6DC474"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7716821C" w14:textId="77777777" w:rsidR="002668A9" w:rsidRPr="002668A9" w:rsidRDefault="002668A9" w:rsidP="002668A9">
            <w:pPr>
              <w:rPr>
                <w:rFonts w:cs="Arial"/>
                <w:sz w:val="20"/>
                <w:szCs w:val="20"/>
              </w:rPr>
            </w:pPr>
          </w:p>
        </w:tc>
      </w:tr>
      <w:tr w:rsidR="002668A9" w:rsidRPr="002668A9" w14:paraId="620BA769" w14:textId="77777777" w:rsidTr="00C36741">
        <w:trPr>
          <w:trHeight w:val="504"/>
        </w:trPr>
        <w:tc>
          <w:tcPr>
            <w:tcW w:w="796" w:type="pct"/>
            <w:vMerge/>
            <w:shd w:val="clear" w:color="auto" w:fill="auto"/>
          </w:tcPr>
          <w:p w14:paraId="18F6C170" w14:textId="77777777" w:rsidR="002668A9" w:rsidRPr="002668A9" w:rsidRDefault="002668A9" w:rsidP="002668A9">
            <w:pPr>
              <w:rPr>
                <w:rFonts w:cs="Arial"/>
                <w:sz w:val="20"/>
                <w:szCs w:val="20"/>
              </w:rPr>
            </w:pPr>
          </w:p>
        </w:tc>
        <w:tc>
          <w:tcPr>
            <w:tcW w:w="1275" w:type="pct"/>
            <w:vMerge/>
          </w:tcPr>
          <w:p w14:paraId="4D679E55" w14:textId="77777777" w:rsidR="002668A9" w:rsidRPr="002668A9" w:rsidRDefault="002668A9" w:rsidP="002668A9">
            <w:pPr>
              <w:rPr>
                <w:rFonts w:cs="Arial"/>
                <w:sz w:val="20"/>
                <w:szCs w:val="20"/>
              </w:rPr>
            </w:pPr>
          </w:p>
        </w:tc>
        <w:tc>
          <w:tcPr>
            <w:tcW w:w="925" w:type="pct"/>
            <w:vMerge/>
          </w:tcPr>
          <w:p w14:paraId="1B320902"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9905B4E" w14:textId="77777777" w:rsidR="002668A9" w:rsidRPr="002668A9" w:rsidRDefault="002668A9" w:rsidP="002668A9">
            <w:pPr>
              <w:rPr>
                <w:rFonts w:cs="Arial"/>
                <w:sz w:val="20"/>
                <w:szCs w:val="20"/>
              </w:rPr>
            </w:pPr>
          </w:p>
        </w:tc>
      </w:tr>
      <w:tr w:rsidR="002668A9" w:rsidRPr="002668A9" w14:paraId="5A57E1C7" w14:textId="77777777" w:rsidTr="00C36741">
        <w:trPr>
          <w:trHeight w:val="504"/>
        </w:trPr>
        <w:tc>
          <w:tcPr>
            <w:tcW w:w="796" w:type="pct"/>
            <w:vMerge/>
            <w:shd w:val="clear" w:color="auto" w:fill="auto"/>
          </w:tcPr>
          <w:p w14:paraId="74224C72" w14:textId="77777777" w:rsidR="002668A9" w:rsidRPr="002668A9" w:rsidRDefault="002668A9" w:rsidP="002668A9">
            <w:pPr>
              <w:rPr>
                <w:rFonts w:cs="Arial"/>
                <w:sz w:val="20"/>
                <w:szCs w:val="20"/>
              </w:rPr>
            </w:pPr>
          </w:p>
        </w:tc>
        <w:tc>
          <w:tcPr>
            <w:tcW w:w="1275" w:type="pct"/>
            <w:vMerge/>
          </w:tcPr>
          <w:p w14:paraId="62DBA16E" w14:textId="77777777" w:rsidR="002668A9" w:rsidRPr="002668A9" w:rsidRDefault="002668A9" w:rsidP="002668A9">
            <w:pPr>
              <w:rPr>
                <w:rFonts w:cs="Arial"/>
                <w:sz w:val="20"/>
                <w:szCs w:val="20"/>
              </w:rPr>
            </w:pPr>
          </w:p>
        </w:tc>
        <w:tc>
          <w:tcPr>
            <w:tcW w:w="925" w:type="pct"/>
            <w:vMerge/>
          </w:tcPr>
          <w:p w14:paraId="1ECCE815"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35F02F6B" w14:textId="77777777" w:rsidR="002668A9" w:rsidRPr="002668A9" w:rsidRDefault="002668A9" w:rsidP="002668A9">
            <w:pPr>
              <w:rPr>
                <w:rFonts w:cs="Arial"/>
                <w:sz w:val="20"/>
                <w:szCs w:val="20"/>
              </w:rPr>
            </w:pPr>
          </w:p>
        </w:tc>
      </w:tr>
      <w:tr w:rsidR="002668A9" w:rsidRPr="002668A9" w14:paraId="04F506D1" w14:textId="77777777" w:rsidTr="00C36741">
        <w:trPr>
          <w:trHeight w:val="504"/>
        </w:trPr>
        <w:tc>
          <w:tcPr>
            <w:tcW w:w="796" w:type="pct"/>
            <w:vMerge/>
            <w:shd w:val="clear" w:color="auto" w:fill="auto"/>
          </w:tcPr>
          <w:p w14:paraId="787D7B30" w14:textId="77777777" w:rsidR="002668A9" w:rsidRPr="002668A9" w:rsidRDefault="002668A9" w:rsidP="002668A9">
            <w:pPr>
              <w:rPr>
                <w:rFonts w:cs="Arial"/>
                <w:sz w:val="20"/>
                <w:szCs w:val="20"/>
              </w:rPr>
            </w:pPr>
          </w:p>
        </w:tc>
        <w:tc>
          <w:tcPr>
            <w:tcW w:w="1275" w:type="pct"/>
            <w:vMerge/>
          </w:tcPr>
          <w:p w14:paraId="00EBCFDC" w14:textId="77777777" w:rsidR="002668A9" w:rsidRPr="002668A9" w:rsidRDefault="002668A9" w:rsidP="002668A9">
            <w:pPr>
              <w:rPr>
                <w:rFonts w:cs="Arial"/>
                <w:sz w:val="20"/>
                <w:szCs w:val="20"/>
              </w:rPr>
            </w:pPr>
          </w:p>
        </w:tc>
        <w:tc>
          <w:tcPr>
            <w:tcW w:w="925" w:type="pct"/>
            <w:vMerge/>
          </w:tcPr>
          <w:p w14:paraId="7191E24B"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04A33A02" w14:textId="77777777" w:rsidR="002668A9" w:rsidRPr="002668A9" w:rsidRDefault="002668A9" w:rsidP="002668A9">
            <w:pPr>
              <w:rPr>
                <w:rFonts w:cs="Arial"/>
                <w:sz w:val="20"/>
                <w:szCs w:val="20"/>
              </w:rPr>
            </w:pPr>
          </w:p>
        </w:tc>
      </w:tr>
      <w:tr w:rsidR="002668A9" w:rsidRPr="002668A9" w14:paraId="78EAEF2A" w14:textId="77777777" w:rsidTr="00C36741">
        <w:trPr>
          <w:trHeight w:val="464"/>
        </w:trPr>
        <w:tc>
          <w:tcPr>
            <w:tcW w:w="796" w:type="pct"/>
            <w:vMerge w:val="restart"/>
            <w:shd w:val="clear" w:color="auto" w:fill="auto"/>
          </w:tcPr>
          <w:p w14:paraId="47133A38" w14:textId="77777777" w:rsidR="002668A9" w:rsidRPr="002668A9" w:rsidRDefault="002668A9" w:rsidP="002668A9">
            <w:pPr>
              <w:rPr>
                <w:rFonts w:cs="Arial"/>
                <w:sz w:val="20"/>
                <w:szCs w:val="20"/>
              </w:rPr>
            </w:pPr>
            <w:r w:rsidRPr="002668A9">
              <w:rPr>
                <w:rFonts w:cs="Arial"/>
                <w:sz w:val="20"/>
                <w:szCs w:val="20"/>
              </w:rPr>
              <w:t>Include treatment / disposal / destruction advice</w:t>
            </w:r>
          </w:p>
        </w:tc>
        <w:tc>
          <w:tcPr>
            <w:tcW w:w="1275" w:type="pct"/>
            <w:vMerge w:val="restart"/>
          </w:tcPr>
          <w:p w14:paraId="47AD5C52" w14:textId="77777777" w:rsidR="002668A9" w:rsidRPr="002668A9" w:rsidRDefault="002668A9" w:rsidP="002668A9">
            <w:pPr>
              <w:rPr>
                <w:rFonts w:cs="Arial"/>
                <w:sz w:val="20"/>
                <w:szCs w:val="20"/>
              </w:rPr>
            </w:pPr>
            <w:r w:rsidRPr="002668A9">
              <w:rPr>
                <w:rFonts w:cs="Arial"/>
                <w:sz w:val="20"/>
                <w:szCs w:val="20"/>
              </w:rPr>
              <w:t>Comments on matters such as disposal, re-use, destruction, engineered containment facilities including on-site encapsulation.</w:t>
            </w:r>
            <w:r w:rsidRPr="002668A9">
              <w:rPr>
                <w:rFonts w:cs="Arial"/>
                <w:sz w:val="20"/>
                <w:szCs w:val="20"/>
              </w:rPr>
              <w:tab/>
            </w:r>
          </w:p>
        </w:tc>
        <w:tc>
          <w:tcPr>
            <w:tcW w:w="925" w:type="pct"/>
            <w:vMerge w:val="restart"/>
          </w:tcPr>
          <w:p w14:paraId="55917668" w14:textId="127062D5" w:rsidR="00867AAE" w:rsidRDefault="00406A71" w:rsidP="002668A9">
            <w:pPr>
              <w:rPr>
                <w:rFonts w:cs="Arial"/>
                <w:sz w:val="20"/>
                <w:szCs w:val="20"/>
              </w:rPr>
            </w:pPr>
            <w:r>
              <w:rPr>
                <w:rFonts w:cs="Arial"/>
                <w:sz w:val="20"/>
                <w:szCs w:val="20"/>
              </w:rPr>
              <w:t>Australian Government - Airservices Australia</w:t>
            </w:r>
          </w:p>
          <w:p w14:paraId="7A3BDFCF" w14:textId="271589DE" w:rsidR="00074CC3" w:rsidRDefault="00074CC3" w:rsidP="002668A9">
            <w:pPr>
              <w:rPr>
                <w:rFonts w:cs="Arial"/>
                <w:sz w:val="20"/>
                <w:szCs w:val="20"/>
              </w:rPr>
            </w:pPr>
            <w:r>
              <w:rPr>
                <w:rFonts w:cs="Arial"/>
                <w:sz w:val="20"/>
                <w:szCs w:val="20"/>
              </w:rPr>
              <w:t>NZ Ministry for the Environment</w:t>
            </w:r>
          </w:p>
          <w:p w14:paraId="7E2CDBF4" w14:textId="77777777" w:rsidR="002668A9" w:rsidRDefault="00891B7C" w:rsidP="002668A9">
            <w:pPr>
              <w:rPr>
                <w:rFonts w:cs="Arial"/>
                <w:sz w:val="20"/>
                <w:szCs w:val="20"/>
              </w:rPr>
            </w:pPr>
            <w:r>
              <w:rPr>
                <w:rFonts w:cs="Arial"/>
                <w:sz w:val="20"/>
                <w:szCs w:val="20"/>
              </w:rPr>
              <w:t>OPEC Systems</w:t>
            </w:r>
          </w:p>
          <w:p w14:paraId="59292E9E" w14:textId="77777777" w:rsidR="00074CC3" w:rsidRDefault="00074CC3" w:rsidP="002668A9">
            <w:pPr>
              <w:rPr>
                <w:rFonts w:cs="Arial"/>
                <w:sz w:val="20"/>
                <w:szCs w:val="20"/>
              </w:rPr>
            </w:pPr>
            <w:r>
              <w:rPr>
                <w:rFonts w:cs="Arial"/>
                <w:sz w:val="20"/>
                <w:szCs w:val="20"/>
              </w:rPr>
              <w:t>Queensland Airports Ltd</w:t>
            </w:r>
          </w:p>
          <w:p w14:paraId="3F5A0B5C" w14:textId="03B3D028" w:rsidR="00074CC3" w:rsidRPr="002668A9" w:rsidRDefault="00074CC3" w:rsidP="002668A9">
            <w:pPr>
              <w:rPr>
                <w:rFonts w:cs="Arial"/>
                <w:sz w:val="20"/>
                <w:szCs w:val="20"/>
              </w:rPr>
            </w:pPr>
            <w:r>
              <w:rPr>
                <w:rFonts w:cs="Arial"/>
                <w:sz w:val="20"/>
                <w:szCs w:val="20"/>
              </w:rPr>
              <w:t>WA Government</w:t>
            </w:r>
          </w:p>
        </w:tc>
        <w:tc>
          <w:tcPr>
            <w:tcW w:w="2004" w:type="pct"/>
            <w:vMerge w:val="restart"/>
            <w:shd w:val="clear" w:color="auto" w:fill="auto"/>
            <w:tcMar>
              <w:top w:w="0" w:type="dxa"/>
              <w:left w:w="108" w:type="dxa"/>
              <w:bottom w:w="0" w:type="dxa"/>
              <w:right w:w="108" w:type="dxa"/>
            </w:tcMar>
          </w:tcPr>
          <w:p w14:paraId="7C72A5DB" w14:textId="6042618B" w:rsidR="002668A9" w:rsidRPr="002668A9" w:rsidRDefault="002668A9" w:rsidP="002668A9">
            <w:pPr>
              <w:rPr>
                <w:rFonts w:cs="Arial"/>
                <w:sz w:val="20"/>
                <w:szCs w:val="20"/>
              </w:rPr>
            </w:pPr>
            <w:r w:rsidRPr="002668A9">
              <w:rPr>
                <w:rFonts w:cs="Arial"/>
                <w:sz w:val="20"/>
                <w:szCs w:val="20"/>
              </w:rPr>
              <w:t xml:space="preserve">Some changes were made </w:t>
            </w:r>
            <w:r w:rsidR="00024731">
              <w:rPr>
                <w:rFonts w:cs="Arial"/>
                <w:sz w:val="20"/>
                <w:szCs w:val="20"/>
              </w:rPr>
              <w:t xml:space="preserve">to the NEMP </w:t>
            </w:r>
            <w:r w:rsidRPr="002668A9">
              <w:rPr>
                <w:rFonts w:cs="Arial"/>
                <w:sz w:val="20"/>
                <w:szCs w:val="20"/>
              </w:rPr>
              <w:t>including:</w:t>
            </w:r>
          </w:p>
          <w:p w14:paraId="5551AFCE" w14:textId="77777777" w:rsidR="002668A9" w:rsidRPr="002668A9" w:rsidRDefault="002668A9" w:rsidP="00024731">
            <w:pPr>
              <w:pStyle w:val="bullet1"/>
            </w:pPr>
            <w:r w:rsidRPr="002668A9">
              <w:t>the addition of disposal to treatment options</w:t>
            </w:r>
          </w:p>
          <w:p w14:paraId="39D24562" w14:textId="77777777" w:rsidR="002668A9" w:rsidRPr="002668A9" w:rsidRDefault="002668A9" w:rsidP="00024731">
            <w:pPr>
              <w:pStyle w:val="bullet1"/>
            </w:pPr>
            <w:r w:rsidRPr="002668A9">
              <w:t>the inclusion of chemical binding and immobilisation as part of on-site encapsulation</w:t>
            </w:r>
          </w:p>
          <w:p w14:paraId="52BC8862" w14:textId="30246EDF" w:rsidR="002668A9" w:rsidRPr="002668A9" w:rsidRDefault="002668A9" w:rsidP="002668A9">
            <w:pPr>
              <w:rPr>
                <w:rFonts w:cs="Arial"/>
                <w:sz w:val="20"/>
                <w:szCs w:val="20"/>
              </w:rPr>
            </w:pPr>
            <w:r w:rsidRPr="002668A9">
              <w:rPr>
                <w:rFonts w:cs="Arial"/>
                <w:sz w:val="20"/>
                <w:szCs w:val="20"/>
              </w:rPr>
              <w:t xml:space="preserve">Three matters </w:t>
            </w:r>
            <w:r w:rsidR="00BD517F">
              <w:rPr>
                <w:rFonts w:cs="Arial"/>
                <w:sz w:val="20"/>
                <w:szCs w:val="20"/>
              </w:rPr>
              <w:t>are being</w:t>
            </w:r>
            <w:r w:rsidRPr="002668A9">
              <w:rPr>
                <w:rFonts w:cs="Arial"/>
                <w:sz w:val="20"/>
                <w:szCs w:val="20"/>
              </w:rPr>
              <w:t xml:space="preserve"> considered </w:t>
            </w:r>
            <w:r w:rsidR="00BD517F">
              <w:rPr>
                <w:rFonts w:cs="Arial"/>
                <w:sz w:val="20"/>
                <w:szCs w:val="20"/>
              </w:rPr>
              <w:t>by NCWG</w:t>
            </w:r>
            <w:r w:rsidR="00BD517F" w:rsidRPr="002668A9">
              <w:rPr>
                <w:rFonts w:cs="Arial"/>
                <w:sz w:val="20"/>
                <w:szCs w:val="20"/>
              </w:rPr>
              <w:t xml:space="preserve"> </w:t>
            </w:r>
            <w:r w:rsidRPr="002668A9">
              <w:rPr>
                <w:rFonts w:cs="Arial"/>
                <w:sz w:val="20"/>
                <w:szCs w:val="20"/>
              </w:rPr>
              <w:t>in the context of the NEMP future work program:</w:t>
            </w:r>
          </w:p>
          <w:p w14:paraId="25C8F1E4" w14:textId="77777777" w:rsidR="002668A9" w:rsidRPr="002668A9" w:rsidRDefault="002668A9" w:rsidP="00024731">
            <w:pPr>
              <w:pStyle w:val="bullet1"/>
            </w:pPr>
            <w:r w:rsidRPr="002668A9">
              <w:t>Further consideration of destruction, irreversible transformation, and environmentally sound disposal</w:t>
            </w:r>
          </w:p>
          <w:p w14:paraId="28F48CF3" w14:textId="77777777" w:rsidR="002668A9" w:rsidRPr="002668A9" w:rsidRDefault="002668A9" w:rsidP="00024731">
            <w:pPr>
              <w:pStyle w:val="bullet1"/>
            </w:pPr>
            <w:r w:rsidRPr="002668A9">
              <w:t>Guidance on the use of in-situ chemical treatments for binding and immobilisation</w:t>
            </w:r>
          </w:p>
          <w:p w14:paraId="48D006F1" w14:textId="77777777" w:rsidR="002668A9" w:rsidRPr="002668A9" w:rsidRDefault="002668A9" w:rsidP="00024731">
            <w:pPr>
              <w:pStyle w:val="bullet1"/>
            </w:pPr>
            <w:r w:rsidRPr="002668A9">
              <w:t>The science around chemical containment</w:t>
            </w:r>
          </w:p>
          <w:p w14:paraId="6FA71C05" w14:textId="77777777" w:rsidR="002668A9" w:rsidRPr="002668A9" w:rsidRDefault="002668A9" w:rsidP="002668A9">
            <w:pPr>
              <w:rPr>
                <w:rFonts w:cs="Arial"/>
                <w:sz w:val="20"/>
                <w:szCs w:val="20"/>
              </w:rPr>
            </w:pPr>
            <w:r w:rsidRPr="002668A9">
              <w:rPr>
                <w:rFonts w:cs="Arial"/>
                <w:sz w:val="20"/>
                <w:szCs w:val="20"/>
              </w:rPr>
              <w:lastRenderedPageBreak/>
              <w:t>Certain matters are addressed in other parts of the PFAS NEMP 2.0 including off-site disposal.</w:t>
            </w:r>
          </w:p>
        </w:tc>
      </w:tr>
      <w:tr w:rsidR="002668A9" w:rsidRPr="002668A9" w14:paraId="6F464359" w14:textId="77777777" w:rsidTr="00C36741">
        <w:trPr>
          <w:trHeight w:val="464"/>
        </w:trPr>
        <w:tc>
          <w:tcPr>
            <w:tcW w:w="796" w:type="pct"/>
            <w:vMerge/>
            <w:shd w:val="clear" w:color="auto" w:fill="auto"/>
          </w:tcPr>
          <w:p w14:paraId="67E60821" w14:textId="77777777" w:rsidR="002668A9" w:rsidRPr="002668A9" w:rsidRDefault="002668A9" w:rsidP="002668A9">
            <w:pPr>
              <w:rPr>
                <w:rFonts w:cs="Arial"/>
                <w:sz w:val="20"/>
                <w:szCs w:val="20"/>
              </w:rPr>
            </w:pPr>
          </w:p>
        </w:tc>
        <w:tc>
          <w:tcPr>
            <w:tcW w:w="1275" w:type="pct"/>
            <w:vMerge/>
          </w:tcPr>
          <w:p w14:paraId="7ED2CD26" w14:textId="77777777" w:rsidR="002668A9" w:rsidRPr="002668A9" w:rsidRDefault="002668A9" w:rsidP="002668A9">
            <w:pPr>
              <w:rPr>
                <w:rFonts w:cs="Arial"/>
                <w:sz w:val="20"/>
                <w:szCs w:val="20"/>
              </w:rPr>
            </w:pPr>
          </w:p>
        </w:tc>
        <w:tc>
          <w:tcPr>
            <w:tcW w:w="925" w:type="pct"/>
            <w:vMerge/>
          </w:tcPr>
          <w:p w14:paraId="781531F9"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02B115F" w14:textId="77777777" w:rsidR="002668A9" w:rsidRPr="002668A9" w:rsidRDefault="002668A9" w:rsidP="002668A9">
            <w:pPr>
              <w:rPr>
                <w:rFonts w:cs="Arial"/>
                <w:sz w:val="20"/>
                <w:szCs w:val="20"/>
              </w:rPr>
            </w:pPr>
          </w:p>
        </w:tc>
      </w:tr>
      <w:tr w:rsidR="002668A9" w:rsidRPr="002668A9" w14:paraId="10E971A0" w14:textId="77777777" w:rsidTr="00C36741">
        <w:trPr>
          <w:trHeight w:val="504"/>
        </w:trPr>
        <w:tc>
          <w:tcPr>
            <w:tcW w:w="796" w:type="pct"/>
            <w:vMerge/>
            <w:shd w:val="clear" w:color="auto" w:fill="auto"/>
          </w:tcPr>
          <w:p w14:paraId="7592A55D" w14:textId="77777777" w:rsidR="002668A9" w:rsidRPr="002668A9" w:rsidRDefault="002668A9" w:rsidP="002668A9">
            <w:pPr>
              <w:rPr>
                <w:rFonts w:cs="Arial"/>
                <w:sz w:val="20"/>
                <w:szCs w:val="20"/>
              </w:rPr>
            </w:pPr>
          </w:p>
        </w:tc>
        <w:tc>
          <w:tcPr>
            <w:tcW w:w="1275" w:type="pct"/>
            <w:vMerge/>
          </w:tcPr>
          <w:p w14:paraId="15DEE0B1" w14:textId="77777777" w:rsidR="002668A9" w:rsidRPr="002668A9" w:rsidRDefault="002668A9" w:rsidP="002668A9">
            <w:pPr>
              <w:rPr>
                <w:rFonts w:cs="Arial"/>
                <w:sz w:val="20"/>
                <w:szCs w:val="20"/>
              </w:rPr>
            </w:pPr>
          </w:p>
        </w:tc>
        <w:tc>
          <w:tcPr>
            <w:tcW w:w="925" w:type="pct"/>
            <w:vMerge/>
          </w:tcPr>
          <w:p w14:paraId="225E9C2D"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229A34D4" w14:textId="77777777" w:rsidR="002668A9" w:rsidRPr="002668A9" w:rsidRDefault="002668A9" w:rsidP="002668A9">
            <w:pPr>
              <w:rPr>
                <w:rFonts w:cs="Arial"/>
                <w:sz w:val="20"/>
                <w:szCs w:val="20"/>
              </w:rPr>
            </w:pPr>
          </w:p>
        </w:tc>
      </w:tr>
      <w:tr w:rsidR="002668A9" w:rsidRPr="002668A9" w14:paraId="019CD146" w14:textId="77777777" w:rsidTr="00C36741">
        <w:trPr>
          <w:trHeight w:val="504"/>
        </w:trPr>
        <w:tc>
          <w:tcPr>
            <w:tcW w:w="796" w:type="pct"/>
            <w:vMerge/>
            <w:shd w:val="clear" w:color="auto" w:fill="auto"/>
          </w:tcPr>
          <w:p w14:paraId="66B8BAF9" w14:textId="77777777" w:rsidR="002668A9" w:rsidRPr="002668A9" w:rsidRDefault="002668A9" w:rsidP="002668A9">
            <w:pPr>
              <w:rPr>
                <w:rFonts w:cs="Arial"/>
                <w:sz w:val="20"/>
                <w:szCs w:val="20"/>
              </w:rPr>
            </w:pPr>
          </w:p>
        </w:tc>
        <w:tc>
          <w:tcPr>
            <w:tcW w:w="1275" w:type="pct"/>
            <w:vMerge/>
          </w:tcPr>
          <w:p w14:paraId="57E9D6F8" w14:textId="77777777" w:rsidR="002668A9" w:rsidRPr="002668A9" w:rsidRDefault="002668A9" w:rsidP="002668A9">
            <w:pPr>
              <w:rPr>
                <w:rFonts w:cs="Arial"/>
                <w:sz w:val="20"/>
                <w:szCs w:val="20"/>
              </w:rPr>
            </w:pPr>
          </w:p>
        </w:tc>
        <w:tc>
          <w:tcPr>
            <w:tcW w:w="925" w:type="pct"/>
            <w:vMerge/>
          </w:tcPr>
          <w:p w14:paraId="40E8D33E"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3EFCC19F" w14:textId="77777777" w:rsidR="002668A9" w:rsidRPr="002668A9" w:rsidRDefault="002668A9" w:rsidP="002668A9">
            <w:pPr>
              <w:rPr>
                <w:rFonts w:cs="Arial"/>
                <w:sz w:val="20"/>
                <w:szCs w:val="20"/>
              </w:rPr>
            </w:pPr>
          </w:p>
        </w:tc>
      </w:tr>
      <w:tr w:rsidR="002668A9" w:rsidRPr="002668A9" w14:paraId="50E19369" w14:textId="77777777" w:rsidTr="00C36741">
        <w:trPr>
          <w:trHeight w:val="504"/>
        </w:trPr>
        <w:tc>
          <w:tcPr>
            <w:tcW w:w="796" w:type="pct"/>
            <w:vMerge/>
            <w:shd w:val="clear" w:color="auto" w:fill="auto"/>
          </w:tcPr>
          <w:p w14:paraId="78151C1B" w14:textId="77777777" w:rsidR="002668A9" w:rsidRPr="002668A9" w:rsidRDefault="002668A9" w:rsidP="002668A9">
            <w:pPr>
              <w:rPr>
                <w:rFonts w:cs="Arial"/>
                <w:sz w:val="20"/>
                <w:szCs w:val="20"/>
              </w:rPr>
            </w:pPr>
          </w:p>
        </w:tc>
        <w:tc>
          <w:tcPr>
            <w:tcW w:w="1275" w:type="pct"/>
            <w:vMerge/>
          </w:tcPr>
          <w:p w14:paraId="5CE4220F" w14:textId="77777777" w:rsidR="002668A9" w:rsidRPr="002668A9" w:rsidRDefault="002668A9" w:rsidP="002668A9">
            <w:pPr>
              <w:rPr>
                <w:rFonts w:cs="Arial"/>
                <w:sz w:val="20"/>
                <w:szCs w:val="20"/>
              </w:rPr>
            </w:pPr>
          </w:p>
        </w:tc>
        <w:tc>
          <w:tcPr>
            <w:tcW w:w="925" w:type="pct"/>
            <w:vMerge/>
          </w:tcPr>
          <w:p w14:paraId="36FB6E32"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6BF3859" w14:textId="77777777" w:rsidR="002668A9" w:rsidRPr="002668A9" w:rsidRDefault="002668A9" w:rsidP="002668A9">
            <w:pPr>
              <w:rPr>
                <w:rFonts w:cs="Arial"/>
                <w:sz w:val="20"/>
                <w:szCs w:val="20"/>
              </w:rPr>
            </w:pPr>
          </w:p>
        </w:tc>
      </w:tr>
      <w:tr w:rsidR="002668A9" w:rsidRPr="002668A9" w14:paraId="7240F398" w14:textId="77777777" w:rsidTr="00C36741">
        <w:trPr>
          <w:trHeight w:val="504"/>
        </w:trPr>
        <w:tc>
          <w:tcPr>
            <w:tcW w:w="796" w:type="pct"/>
            <w:vMerge/>
            <w:shd w:val="clear" w:color="auto" w:fill="auto"/>
          </w:tcPr>
          <w:p w14:paraId="78E0FE41" w14:textId="77777777" w:rsidR="002668A9" w:rsidRPr="002668A9" w:rsidRDefault="002668A9" w:rsidP="002668A9">
            <w:pPr>
              <w:rPr>
                <w:rFonts w:cs="Arial"/>
                <w:sz w:val="20"/>
                <w:szCs w:val="20"/>
              </w:rPr>
            </w:pPr>
          </w:p>
        </w:tc>
        <w:tc>
          <w:tcPr>
            <w:tcW w:w="1275" w:type="pct"/>
            <w:vMerge/>
          </w:tcPr>
          <w:p w14:paraId="6A86FF05" w14:textId="77777777" w:rsidR="002668A9" w:rsidRPr="002668A9" w:rsidRDefault="002668A9" w:rsidP="002668A9">
            <w:pPr>
              <w:rPr>
                <w:rFonts w:cs="Arial"/>
                <w:sz w:val="20"/>
                <w:szCs w:val="20"/>
              </w:rPr>
            </w:pPr>
          </w:p>
        </w:tc>
        <w:tc>
          <w:tcPr>
            <w:tcW w:w="925" w:type="pct"/>
            <w:vMerge/>
          </w:tcPr>
          <w:p w14:paraId="57F242F3"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03FF3FD8" w14:textId="77777777" w:rsidR="002668A9" w:rsidRPr="002668A9" w:rsidRDefault="002668A9" w:rsidP="002668A9">
            <w:pPr>
              <w:rPr>
                <w:rFonts w:cs="Arial"/>
                <w:sz w:val="20"/>
                <w:szCs w:val="20"/>
              </w:rPr>
            </w:pPr>
          </w:p>
        </w:tc>
      </w:tr>
      <w:tr w:rsidR="002668A9" w:rsidRPr="002668A9" w14:paraId="2EABBCBB" w14:textId="77777777" w:rsidTr="00C36741">
        <w:tc>
          <w:tcPr>
            <w:tcW w:w="796" w:type="pct"/>
            <w:shd w:val="clear" w:color="auto" w:fill="auto"/>
          </w:tcPr>
          <w:p w14:paraId="40CDFBEA" w14:textId="77777777" w:rsidR="002668A9" w:rsidRPr="002668A9" w:rsidRDefault="002668A9" w:rsidP="002668A9">
            <w:pPr>
              <w:rPr>
                <w:rFonts w:cs="Arial"/>
                <w:sz w:val="20"/>
                <w:szCs w:val="20"/>
              </w:rPr>
            </w:pPr>
            <w:r w:rsidRPr="002668A9">
              <w:rPr>
                <w:rFonts w:cs="Arial"/>
                <w:sz w:val="20"/>
                <w:szCs w:val="20"/>
              </w:rPr>
              <w:t>Include WHS advice</w:t>
            </w:r>
          </w:p>
        </w:tc>
        <w:tc>
          <w:tcPr>
            <w:tcW w:w="1275" w:type="pct"/>
          </w:tcPr>
          <w:p w14:paraId="394616DA" w14:textId="77777777" w:rsidR="002668A9" w:rsidRPr="002668A9" w:rsidRDefault="002668A9" w:rsidP="002668A9">
            <w:pPr>
              <w:rPr>
                <w:rFonts w:cs="Arial"/>
                <w:sz w:val="20"/>
                <w:szCs w:val="20"/>
              </w:rPr>
            </w:pPr>
            <w:r w:rsidRPr="002668A9">
              <w:rPr>
                <w:rFonts w:cs="Arial"/>
                <w:sz w:val="20"/>
                <w:szCs w:val="20"/>
              </w:rPr>
              <w:t>Expansion of the term health to include safety.</w:t>
            </w:r>
          </w:p>
        </w:tc>
        <w:tc>
          <w:tcPr>
            <w:tcW w:w="925" w:type="pct"/>
          </w:tcPr>
          <w:p w14:paraId="50E770AD" w14:textId="233AB505" w:rsidR="002668A9" w:rsidRPr="002668A9" w:rsidRDefault="00843AF2" w:rsidP="002668A9">
            <w:pPr>
              <w:rPr>
                <w:rFonts w:cs="Arial"/>
                <w:sz w:val="20"/>
                <w:szCs w:val="20"/>
              </w:rPr>
            </w:pPr>
            <w:r>
              <w:rPr>
                <w:rFonts w:cs="Arial"/>
                <w:sz w:val="20"/>
                <w:szCs w:val="20"/>
              </w:rPr>
              <w:t>Queensland Airports Ltd</w:t>
            </w:r>
          </w:p>
        </w:tc>
        <w:tc>
          <w:tcPr>
            <w:tcW w:w="2004" w:type="pct"/>
            <w:shd w:val="clear" w:color="auto" w:fill="auto"/>
            <w:tcMar>
              <w:top w:w="0" w:type="dxa"/>
              <w:left w:w="108" w:type="dxa"/>
              <w:bottom w:w="0" w:type="dxa"/>
              <w:right w:w="108" w:type="dxa"/>
            </w:tcMar>
          </w:tcPr>
          <w:p w14:paraId="59DA81A0" w14:textId="77777777" w:rsidR="002668A9" w:rsidRPr="002668A9" w:rsidRDefault="002668A9" w:rsidP="002668A9">
            <w:pPr>
              <w:rPr>
                <w:rFonts w:cs="Arial"/>
                <w:sz w:val="20"/>
                <w:szCs w:val="20"/>
              </w:rPr>
            </w:pPr>
            <w:r w:rsidRPr="002668A9">
              <w:rPr>
                <w:rFonts w:cs="Arial"/>
                <w:sz w:val="20"/>
                <w:szCs w:val="20"/>
              </w:rPr>
              <w:t>Amended accordingly.</w:t>
            </w:r>
          </w:p>
        </w:tc>
      </w:tr>
      <w:tr w:rsidR="002668A9" w:rsidRPr="002668A9" w14:paraId="7EC5DF54" w14:textId="77777777" w:rsidTr="00C36741">
        <w:trPr>
          <w:trHeight w:val="464"/>
        </w:trPr>
        <w:tc>
          <w:tcPr>
            <w:tcW w:w="796" w:type="pct"/>
            <w:vMerge w:val="restart"/>
            <w:shd w:val="clear" w:color="auto" w:fill="auto"/>
          </w:tcPr>
          <w:p w14:paraId="0D74111A" w14:textId="77777777" w:rsidR="002668A9" w:rsidRPr="002668A9" w:rsidRDefault="002668A9" w:rsidP="002668A9">
            <w:pPr>
              <w:rPr>
                <w:rFonts w:cs="Arial"/>
                <w:sz w:val="20"/>
                <w:szCs w:val="20"/>
              </w:rPr>
            </w:pPr>
            <w:r w:rsidRPr="002668A9">
              <w:rPr>
                <w:rFonts w:cs="Arial"/>
                <w:sz w:val="20"/>
                <w:szCs w:val="20"/>
              </w:rPr>
              <w:t>Various observations</w:t>
            </w:r>
          </w:p>
        </w:tc>
        <w:tc>
          <w:tcPr>
            <w:tcW w:w="1275" w:type="pct"/>
            <w:vMerge w:val="restart"/>
          </w:tcPr>
          <w:p w14:paraId="38C0CAA4" w14:textId="77777777" w:rsidR="002668A9" w:rsidRPr="002668A9" w:rsidRDefault="002668A9" w:rsidP="002668A9">
            <w:pPr>
              <w:rPr>
                <w:rFonts w:cs="Arial"/>
                <w:sz w:val="20"/>
                <w:szCs w:val="20"/>
              </w:rPr>
            </w:pPr>
            <w:r w:rsidRPr="002668A9">
              <w:rPr>
                <w:rFonts w:cs="Arial"/>
                <w:sz w:val="20"/>
                <w:szCs w:val="20"/>
              </w:rPr>
              <w:t>Various observations were made including:</w:t>
            </w:r>
          </w:p>
          <w:p w14:paraId="572AD842" w14:textId="77777777" w:rsidR="002668A9" w:rsidRPr="002668A9" w:rsidRDefault="002668A9" w:rsidP="00024731">
            <w:pPr>
              <w:pStyle w:val="bullet1"/>
            </w:pPr>
            <w:r w:rsidRPr="002668A9">
              <w:t xml:space="preserve">regulator failing to regulate </w:t>
            </w:r>
          </w:p>
          <w:p w14:paraId="21B73E49" w14:textId="060DFC7F" w:rsidR="002668A9" w:rsidRPr="002668A9" w:rsidRDefault="002668A9" w:rsidP="00024731">
            <w:pPr>
              <w:pStyle w:val="bullet1"/>
            </w:pPr>
            <w:r w:rsidRPr="002668A9">
              <w:t xml:space="preserve">support </w:t>
            </w:r>
            <w:r w:rsidR="00024731">
              <w:t xml:space="preserve">expressed </w:t>
            </w:r>
            <w:r w:rsidRPr="002668A9">
              <w:t>for ‘pragmatic’ draft NEMP 2.0</w:t>
            </w:r>
          </w:p>
          <w:p w14:paraId="0DDD35FD" w14:textId="77777777" w:rsidR="002668A9" w:rsidRPr="002668A9" w:rsidRDefault="002668A9" w:rsidP="00024731">
            <w:pPr>
              <w:pStyle w:val="bullet1"/>
            </w:pPr>
            <w:r w:rsidRPr="002668A9">
              <w:t>support for appropriate text which reflects good practice</w:t>
            </w:r>
          </w:p>
          <w:p w14:paraId="79213C2C" w14:textId="77777777" w:rsidR="002668A9" w:rsidRDefault="002668A9" w:rsidP="002668A9">
            <w:pPr>
              <w:rPr>
                <w:rFonts w:cs="Arial"/>
                <w:sz w:val="20"/>
                <w:szCs w:val="20"/>
              </w:rPr>
            </w:pPr>
            <w:r w:rsidRPr="002668A9">
              <w:rPr>
                <w:rFonts w:cs="Arial"/>
                <w:sz w:val="20"/>
                <w:szCs w:val="20"/>
              </w:rPr>
              <w:t>Clarification sought for whether immobilisation is acceptable for soil with greater than 50 mg/kg PFAS.</w:t>
            </w:r>
          </w:p>
          <w:p w14:paraId="7A6CD89D" w14:textId="0B0E4A6A" w:rsidR="002668A9" w:rsidRPr="002668A9" w:rsidRDefault="00D93CBB" w:rsidP="002668A9">
            <w:pPr>
              <w:rPr>
                <w:rFonts w:cs="Arial"/>
                <w:sz w:val="20"/>
                <w:szCs w:val="20"/>
              </w:rPr>
            </w:pPr>
            <w:r w:rsidRPr="00410E97">
              <w:rPr>
                <w:rFonts w:cs="Arial"/>
                <w:sz w:val="20"/>
                <w:szCs w:val="20"/>
                <w:lang w:eastAsia="en-AU"/>
              </w:rPr>
              <w:t>All municipal solid waste will likely contain PFAS due to its ubiquity in domestic products and packaging.</w:t>
            </w:r>
          </w:p>
        </w:tc>
        <w:tc>
          <w:tcPr>
            <w:tcW w:w="925" w:type="pct"/>
            <w:vMerge w:val="restart"/>
          </w:tcPr>
          <w:p w14:paraId="39B2ABCB" w14:textId="1382E912" w:rsidR="002668A9" w:rsidRDefault="008D1BC5" w:rsidP="002668A9">
            <w:pPr>
              <w:rPr>
                <w:rFonts w:cs="Arial"/>
                <w:sz w:val="20"/>
                <w:szCs w:val="20"/>
              </w:rPr>
            </w:pPr>
            <w:r>
              <w:rPr>
                <w:rFonts w:cs="Arial"/>
                <w:sz w:val="20"/>
                <w:szCs w:val="20"/>
              </w:rPr>
              <w:t>Australasian Land and Groundwater Association – submission 1</w:t>
            </w:r>
          </w:p>
          <w:p w14:paraId="20341728" w14:textId="4F8832BD" w:rsidR="006B3A71" w:rsidRPr="002668A9" w:rsidRDefault="006B3A71" w:rsidP="002668A9">
            <w:pPr>
              <w:rPr>
                <w:rFonts w:cs="Arial"/>
                <w:sz w:val="20"/>
                <w:szCs w:val="20"/>
              </w:rPr>
            </w:pPr>
            <w:r>
              <w:rPr>
                <w:rFonts w:cs="Arial"/>
                <w:sz w:val="20"/>
                <w:szCs w:val="20"/>
              </w:rPr>
              <w:t>Australia Pacific Airports Corporation</w:t>
            </w:r>
          </w:p>
          <w:p w14:paraId="16755501" w14:textId="1077B302" w:rsidR="002668A9" w:rsidRPr="002668A9" w:rsidRDefault="00406A71" w:rsidP="002668A9">
            <w:pPr>
              <w:rPr>
                <w:rFonts w:cs="Arial"/>
                <w:sz w:val="20"/>
                <w:szCs w:val="20"/>
              </w:rPr>
            </w:pPr>
            <w:r>
              <w:rPr>
                <w:rFonts w:cs="Arial"/>
                <w:sz w:val="20"/>
                <w:szCs w:val="20"/>
              </w:rPr>
              <w:t>City of Rockingham - Millar</w:t>
            </w:r>
            <w:r w:rsidR="00891B7C">
              <w:rPr>
                <w:rFonts w:cs="Arial"/>
                <w:sz w:val="20"/>
                <w:szCs w:val="20"/>
              </w:rPr>
              <w:t xml:space="preserve"> Road Landfill</w:t>
            </w:r>
          </w:p>
          <w:p w14:paraId="083C6932" w14:textId="77777777" w:rsidR="002668A9" w:rsidRDefault="008D1BC5" w:rsidP="002668A9">
            <w:pPr>
              <w:rPr>
                <w:rFonts w:cs="Arial"/>
                <w:sz w:val="20"/>
                <w:szCs w:val="20"/>
              </w:rPr>
            </w:pPr>
            <w:r>
              <w:rPr>
                <w:rFonts w:cs="Arial"/>
                <w:sz w:val="20"/>
                <w:szCs w:val="20"/>
              </w:rPr>
              <w:t>Hunter Water</w:t>
            </w:r>
          </w:p>
          <w:p w14:paraId="109C4629" w14:textId="77777777" w:rsidR="006B3A71" w:rsidRDefault="006B3A71" w:rsidP="006B3A71">
            <w:pPr>
              <w:rPr>
                <w:rFonts w:cs="Arial"/>
                <w:sz w:val="20"/>
                <w:szCs w:val="20"/>
              </w:rPr>
            </w:pPr>
            <w:r>
              <w:rPr>
                <w:rFonts w:cs="Arial"/>
                <w:sz w:val="20"/>
                <w:szCs w:val="20"/>
              </w:rPr>
              <w:t xml:space="preserve">Queensland Airports Ltd </w:t>
            </w:r>
          </w:p>
          <w:p w14:paraId="2E4ABB11" w14:textId="0A0D0985" w:rsidR="006B3A71" w:rsidRPr="002668A9" w:rsidRDefault="006B3A71" w:rsidP="002668A9">
            <w:pPr>
              <w:rPr>
                <w:rFonts w:cs="Arial"/>
                <w:sz w:val="20"/>
                <w:szCs w:val="20"/>
              </w:rPr>
            </w:pPr>
            <w:r>
              <w:rPr>
                <w:rFonts w:cs="Arial"/>
                <w:sz w:val="20"/>
                <w:szCs w:val="20"/>
              </w:rPr>
              <w:t>WA Government</w:t>
            </w:r>
          </w:p>
        </w:tc>
        <w:tc>
          <w:tcPr>
            <w:tcW w:w="2004" w:type="pct"/>
            <w:vMerge w:val="restart"/>
            <w:shd w:val="clear" w:color="auto" w:fill="auto"/>
            <w:tcMar>
              <w:top w:w="0" w:type="dxa"/>
              <w:left w:w="108" w:type="dxa"/>
              <w:bottom w:w="0" w:type="dxa"/>
              <w:right w:w="108" w:type="dxa"/>
            </w:tcMar>
          </w:tcPr>
          <w:p w14:paraId="03F73B65" w14:textId="77777777" w:rsidR="002668A9" w:rsidRPr="002668A9" w:rsidRDefault="002668A9" w:rsidP="002668A9">
            <w:pPr>
              <w:rPr>
                <w:rFonts w:cs="Arial"/>
                <w:sz w:val="20"/>
                <w:szCs w:val="20"/>
              </w:rPr>
            </w:pPr>
            <w:r w:rsidRPr="002668A9">
              <w:rPr>
                <w:rFonts w:cs="Arial"/>
                <w:sz w:val="20"/>
                <w:szCs w:val="20"/>
              </w:rPr>
              <w:t>The NCWG has noted these observations.</w:t>
            </w:r>
          </w:p>
          <w:p w14:paraId="65241333" w14:textId="118C7643" w:rsidR="00024731" w:rsidRDefault="0027602F" w:rsidP="002668A9">
            <w:pPr>
              <w:rPr>
                <w:rFonts w:cs="Arial"/>
                <w:sz w:val="20"/>
                <w:szCs w:val="20"/>
              </w:rPr>
            </w:pPr>
            <w:r w:rsidRPr="002668A9">
              <w:rPr>
                <w:rFonts w:cs="Arial"/>
                <w:sz w:val="20"/>
                <w:szCs w:val="20"/>
              </w:rPr>
              <w:t xml:space="preserve">Consistent with agreed international approaches, </w:t>
            </w:r>
            <w:r w:rsidR="002668A9" w:rsidRPr="002668A9">
              <w:rPr>
                <w:rFonts w:cs="Arial"/>
                <w:sz w:val="20"/>
                <w:szCs w:val="20"/>
              </w:rPr>
              <w:t>Section 14.6 provides information about the management of PFAS-contaminated material with a PFOS, PFOA, or PFHxS content greater than 50 mg/kg</w:t>
            </w:r>
            <w:r>
              <w:rPr>
                <w:rFonts w:cs="Arial"/>
                <w:sz w:val="20"/>
                <w:szCs w:val="20"/>
              </w:rPr>
              <w:t>:</w:t>
            </w:r>
          </w:p>
          <w:p w14:paraId="5F2BFAE9" w14:textId="3545A984" w:rsidR="0027602F" w:rsidRPr="00CE0A75" w:rsidRDefault="0027602F" w:rsidP="0027602F">
            <w:pPr>
              <w:ind w:left="720"/>
              <w:rPr>
                <w:rFonts w:cs="Arial"/>
                <w:sz w:val="20"/>
                <w:szCs w:val="20"/>
              </w:rPr>
            </w:pPr>
            <w:r>
              <w:rPr>
                <w:rFonts w:cs="Arial"/>
                <w:sz w:val="20"/>
                <w:szCs w:val="20"/>
              </w:rPr>
              <w:t xml:space="preserve">[such material] </w:t>
            </w:r>
            <w:r w:rsidRPr="00CE0A75">
              <w:rPr>
                <w:rFonts w:cs="Arial"/>
                <w:sz w:val="20"/>
                <w:szCs w:val="20"/>
              </w:rPr>
              <w:t xml:space="preserve">must be disposed of in such a way that the persistent organic pollutant content is destroyed or irreversibly transformed so that they do not exhibit the characteristics of persistent organic pollutants or otherwise disposed of in an environmentally sound manner when destruction or irreversible transformation does not represent the environmentally preferable option or the persistent organic pollutant content is low, taking into account international rules, standards, and guidelines, including those that may be developed pursuant to the Stockholm Convention, and relevant global and regional regimes governing the management of hazardous wastes.  </w:t>
            </w:r>
          </w:p>
          <w:p w14:paraId="3EAE385B" w14:textId="2DE17EC8" w:rsidR="002668A9" w:rsidRPr="002668A9" w:rsidRDefault="002668A9" w:rsidP="002668A9">
            <w:pPr>
              <w:rPr>
                <w:rFonts w:cs="Arial"/>
                <w:sz w:val="20"/>
                <w:szCs w:val="20"/>
              </w:rPr>
            </w:pPr>
            <w:r w:rsidRPr="002668A9">
              <w:rPr>
                <w:rFonts w:cs="Arial"/>
                <w:sz w:val="20"/>
                <w:szCs w:val="20"/>
              </w:rPr>
              <w:t>In circumstances where destruction or irreversible transformation may not be environmentally preferable options due to environmental or human health impacts, the relevant environmental regulator should be consulted.</w:t>
            </w:r>
          </w:p>
          <w:p w14:paraId="398B2915" w14:textId="2C07C252" w:rsidR="002668A9" w:rsidRDefault="002668A9" w:rsidP="002668A9">
            <w:pPr>
              <w:rPr>
                <w:rFonts w:cs="Arial"/>
                <w:sz w:val="20"/>
                <w:szCs w:val="20"/>
              </w:rPr>
            </w:pPr>
            <w:r w:rsidRPr="002668A9">
              <w:rPr>
                <w:rFonts w:cs="Arial"/>
                <w:sz w:val="20"/>
                <w:szCs w:val="20"/>
              </w:rPr>
              <w:lastRenderedPageBreak/>
              <w:t xml:space="preserve">Guidance on destruction, irreversible transformation, and environmentally sound disposal </w:t>
            </w:r>
            <w:r w:rsidR="00822AEE">
              <w:rPr>
                <w:rFonts w:cs="Arial"/>
                <w:sz w:val="20"/>
                <w:szCs w:val="20"/>
              </w:rPr>
              <w:t>is being considered by the NCWG</w:t>
            </w:r>
            <w:r w:rsidRPr="002668A9">
              <w:rPr>
                <w:rFonts w:cs="Arial"/>
                <w:sz w:val="20"/>
                <w:szCs w:val="20"/>
              </w:rPr>
              <w:t xml:space="preserve"> in the context of the NEMP future work program Theme 5 on resource recovery and waste management.</w:t>
            </w:r>
          </w:p>
          <w:p w14:paraId="3CB4CA68" w14:textId="2AB3E25F" w:rsidR="00024731" w:rsidRPr="002668A9" w:rsidRDefault="00D93CBB" w:rsidP="0027602F">
            <w:pPr>
              <w:rPr>
                <w:rFonts w:cs="Arial"/>
                <w:sz w:val="20"/>
                <w:szCs w:val="20"/>
              </w:rPr>
            </w:pPr>
            <w:r w:rsidRPr="00BD517F">
              <w:rPr>
                <w:sz w:val="20"/>
                <w:szCs w:val="20"/>
              </w:rPr>
              <w:t xml:space="preserve">The storage and containment requirements in Section 10 do not apply to municipal waste. Clarifying text has been added explaining what the section applies to, in particular footnote 44 which reads: </w:t>
            </w:r>
            <w:r w:rsidRPr="00BD517F">
              <w:rPr>
                <w:i/>
                <w:sz w:val="20"/>
                <w:szCs w:val="20"/>
              </w:rPr>
              <w:t>The description in this Section of materials as contaminated is premised on a range of on-site processes such as site investigation, construction, demolition, remediation, care and maintenance, and site management, and assumes that a decision has previously been made to manage these materials due in whole or in part to their PFAS content. This description is not intended to cover soils, sediments, surface water, or groundwater that contain PFAS and remain in situ and undisturbed.</w:t>
            </w:r>
          </w:p>
        </w:tc>
      </w:tr>
      <w:tr w:rsidR="002668A9" w:rsidRPr="002668A9" w14:paraId="1DE7ED5D" w14:textId="77777777" w:rsidTr="00C36741">
        <w:trPr>
          <w:trHeight w:val="504"/>
        </w:trPr>
        <w:tc>
          <w:tcPr>
            <w:tcW w:w="796" w:type="pct"/>
            <w:vMerge/>
            <w:shd w:val="clear" w:color="auto" w:fill="auto"/>
          </w:tcPr>
          <w:p w14:paraId="08159AC5" w14:textId="14DED2F8" w:rsidR="002668A9" w:rsidRPr="002668A9" w:rsidRDefault="002668A9" w:rsidP="002668A9">
            <w:pPr>
              <w:rPr>
                <w:rFonts w:cs="Arial"/>
                <w:sz w:val="20"/>
                <w:szCs w:val="20"/>
              </w:rPr>
            </w:pPr>
          </w:p>
        </w:tc>
        <w:tc>
          <w:tcPr>
            <w:tcW w:w="1275" w:type="pct"/>
            <w:vMerge/>
          </w:tcPr>
          <w:p w14:paraId="3FDF37C8" w14:textId="77777777" w:rsidR="002668A9" w:rsidRPr="002668A9" w:rsidRDefault="002668A9" w:rsidP="002668A9">
            <w:pPr>
              <w:rPr>
                <w:rFonts w:cs="Arial"/>
                <w:sz w:val="20"/>
                <w:szCs w:val="20"/>
              </w:rPr>
            </w:pPr>
          </w:p>
        </w:tc>
        <w:tc>
          <w:tcPr>
            <w:tcW w:w="925" w:type="pct"/>
            <w:vMerge/>
          </w:tcPr>
          <w:p w14:paraId="716BC0AE"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4DCBC8EC" w14:textId="77777777" w:rsidR="002668A9" w:rsidRPr="002668A9" w:rsidRDefault="002668A9" w:rsidP="002668A9">
            <w:pPr>
              <w:rPr>
                <w:rFonts w:cs="Arial"/>
                <w:sz w:val="20"/>
                <w:szCs w:val="20"/>
              </w:rPr>
            </w:pPr>
          </w:p>
        </w:tc>
      </w:tr>
      <w:tr w:rsidR="002668A9" w:rsidRPr="002668A9" w14:paraId="279FFAE2" w14:textId="77777777" w:rsidTr="00C36741">
        <w:trPr>
          <w:trHeight w:val="504"/>
        </w:trPr>
        <w:tc>
          <w:tcPr>
            <w:tcW w:w="796" w:type="pct"/>
            <w:vMerge/>
            <w:shd w:val="clear" w:color="auto" w:fill="auto"/>
          </w:tcPr>
          <w:p w14:paraId="6589C447" w14:textId="77777777" w:rsidR="002668A9" w:rsidRPr="002668A9" w:rsidRDefault="002668A9" w:rsidP="002668A9">
            <w:pPr>
              <w:rPr>
                <w:rFonts w:cs="Arial"/>
                <w:sz w:val="20"/>
                <w:szCs w:val="20"/>
              </w:rPr>
            </w:pPr>
          </w:p>
        </w:tc>
        <w:tc>
          <w:tcPr>
            <w:tcW w:w="1275" w:type="pct"/>
            <w:vMerge/>
          </w:tcPr>
          <w:p w14:paraId="713BBA2C" w14:textId="77777777" w:rsidR="002668A9" w:rsidRPr="002668A9" w:rsidRDefault="002668A9" w:rsidP="002668A9">
            <w:pPr>
              <w:rPr>
                <w:rFonts w:cs="Arial"/>
                <w:sz w:val="20"/>
                <w:szCs w:val="20"/>
              </w:rPr>
            </w:pPr>
          </w:p>
        </w:tc>
        <w:tc>
          <w:tcPr>
            <w:tcW w:w="925" w:type="pct"/>
            <w:vMerge/>
          </w:tcPr>
          <w:p w14:paraId="1B6216C8"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1D10C69B" w14:textId="77777777" w:rsidR="002668A9" w:rsidRPr="002668A9" w:rsidRDefault="002668A9" w:rsidP="002668A9">
            <w:pPr>
              <w:rPr>
                <w:rFonts w:cs="Arial"/>
                <w:sz w:val="20"/>
                <w:szCs w:val="20"/>
              </w:rPr>
            </w:pPr>
          </w:p>
        </w:tc>
      </w:tr>
      <w:tr w:rsidR="002668A9" w:rsidRPr="002668A9" w14:paraId="3B268069" w14:textId="77777777" w:rsidTr="00C36741">
        <w:trPr>
          <w:trHeight w:val="504"/>
        </w:trPr>
        <w:tc>
          <w:tcPr>
            <w:tcW w:w="796" w:type="pct"/>
            <w:vMerge/>
            <w:shd w:val="clear" w:color="auto" w:fill="auto"/>
          </w:tcPr>
          <w:p w14:paraId="3F686A06" w14:textId="77777777" w:rsidR="002668A9" w:rsidRPr="002668A9" w:rsidRDefault="002668A9" w:rsidP="002668A9">
            <w:pPr>
              <w:rPr>
                <w:rFonts w:cs="Arial"/>
                <w:sz w:val="20"/>
                <w:szCs w:val="20"/>
              </w:rPr>
            </w:pPr>
          </w:p>
        </w:tc>
        <w:tc>
          <w:tcPr>
            <w:tcW w:w="1275" w:type="pct"/>
            <w:vMerge/>
          </w:tcPr>
          <w:p w14:paraId="23B82B51" w14:textId="77777777" w:rsidR="002668A9" w:rsidRPr="002668A9" w:rsidRDefault="002668A9" w:rsidP="002668A9">
            <w:pPr>
              <w:rPr>
                <w:rFonts w:cs="Arial"/>
                <w:sz w:val="20"/>
                <w:szCs w:val="20"/>
              </w:rPr>
            </w:pPr>
          </w:p>
        </w:tc>
        <w:tc>
          <w:tcPr>
            <w:tcW w:w="925" w:type="pct"/>
            <w:vMerge/>
          </w:tcPr>
          <w:p w14:paraId="6B6292AC"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3FA1BEEE" w14:textId="77777777" w:rsidR="002668A9" w:rsidRPr="002668A9" w:rsidRDefault="002668A9" w:rsidP="002668A9">
            <w:pPr>
              <w:rPr>
                <w:rFonts w:cs="Arial"/>
                <w:sz w:val="20"/>
                <w:szCs w:val="20"/>
              </w:rPr>
            </w:pPr>
          </w:p>
        </w:tc>
      </w:tr>
      <w:tr w:rsidR="002668A9" w:rsidRPr="002668A9" w14:paraId="26360AA5" w14:textId="77777777" w:rsidTr="00C36741">
        <w:trPr>
          <w:trHeight w:val="504"/>
        </w:trPr>
        <w:tc>
          <w:tcPr>
            <w:tcW w:w="796" w:type="pct"/>
            <w:vMerge/>
            <w:shd w:val="clear" w:color="auto" w:fill="auto"/>
          </w:tcPr>
          <w:p w14:paraId="4F190EB7" w14:textId="77777777" w:rsidR="002668A9" w:rsidRPr="002668A9" w:rsidRDefault="002668A9" w:rsidP="002668A9">
            <w:pPr>
              <w:rPr>
                <w:rFonts w:cs="Arial"/>
                <w:sz w:val="20"/>
                <w:szCs w:val="20"/>
              </w:rPr>
            </w:pPr>
          </w:p>
        </w:tc>
        <w:tc>
          <w:tcPr>
            <w:tcW w:w="1275" w:type="pct"/>
            <w:vMerge/>
          </w:tcPr>
          <w:p w14:paraId="0F5662C4" w14:textId="77777777" w:rsidR="002668A9" w:rsidRPr="002668A9" w:rsidRDefault="002668A9" w:rsidP="002668A9">
            <w:pPr>
              <w:rPr>
                <w:rFonts w:cs="Arial"/>
                <w:sz w:val="20"/>
                <w:szCs w:val="20"/>
              </w:rPr>
            </w:pPr>
          </w:p>
        </w:tc>
        <w:tc>
          <w:tcPr>
            <w:tcW w:w="925" w:type="pct"/>
            <w:vMerge/>
          </w:tcPr>
          <w:p w14:paraId="0017BC58"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29A125DB" w14:textId="77777777" w:rsidR="002668A9" w:rsidRPr="002668A9" w:rsidRDefault="002668A9" w:rsidP="002668A9">
            <w:pPr>
              <w:rPr>
                <w:rFonts w:cs="Arial"/>
                <w:sz w:val="20"/>
                <w:szCs w:val="20"/>
              </w:rPr>
            </w:pPr>
          </w:p>
        </w:tc>
      </w:tr>
      <w:tr w:rsidR="002668A9" w:rsidRPr="002668A9" w14:paraId="2C1B5702" w14:textId="77777777" w:rsidTr="00EE256A">
        <w:tc>
          <w:tcPr>
            <w:tcW w:w="796" w:type="pct"/>
            <w:tcBorders>
              <w:bottom w:val="single" w:sz="4" w:space="0" w:color="auto"/>
            </w:tcBorders>
            <w:shd w:val="clear" w:color="auto" w:fill="auto"/>
          </w:tcPr>
          <w:p w14:paraId="02431305" w14:textId="77777777" w:rsidR="002668A9" w:rsidRPr="002668A9" w:rsidRDefault="002668A9" w:rsidP="002668A9">
            <w:pPr>
              <w:rPr>
                <w:rFonts w:cs="Arial"/>
                <w:sz w:val="20"/>
                <w:szCs w:val="20"/>
              </w:rPr>
            </w:pPr>
            <w:r w:rsidRPr="002668A9">
              <w:rPr>
                <w:rFonts w:cs="Arial"/>
                <w:sz w:val="20"/>
                <w:szCs w:val="20"/>
              </w:rPr>
              <w:t>Provide end user training</w:t>
            </w:r>
          </w:p>
        </w:tc>
        <w:tc>
          <w:tcPr>
            <w:tcW w:w="1275" w:type="pct"/>
            <w:tcBorders>
              <w:bottom w:val="single" w:sz="4" w:space="0" w:color="auto"/>
            </w:tcBorders>
          </w:tcPr>
          <w:p w14:paraId="623D4755" w14:textId="77777777" w:rsidR="002668A9" w:rsidRPr="002668A9" w:rsidRDefault="002668A9" w:rsidP="002668A9">
            <w:pPr>
              <w:rPr>
                <w:rFonts w:cs="Arial"/>
                <w:sz w:val="20"/>
                <w:szCs w:val="20"/>
              </w:rPr>
            </w:pPr>
            <w:r w:rsidRPr="002668A9">
              <w:rPr>
                <w:rFonts w:cs="Arial"/>
                <w:sz w:val="20"/>
                <w:szCs w:val="20"/>
              </w:rPr>
              <w:t>End user awareness and training are needed to ensure guidance is correctly used.</w:t>
            </w:r>
          </w:p>
        </w:tc>
        <w:tc>
          <w:tcPr>
            <w:tcW w:w="925" w:type="pct"/>
            <w:tcBorders>
              <w:bottom w:val="single" w:sz="4" w:space="0" w:color="auto"/>
            </w:tcBorders>
          </w:tcPr>
          <w:p w14:paraId="63E681A3" w14:textId="62F3965F" w:rsidR="002668A9" w:rsidRPr="002668A9" w:rsidRDefault="008D1BC5" w:rsidP="002668A9">
            <w:pPr>
              <w:rPr>
                <w:rFonts w:cs="Arial"/>
                <w:sz w:val="20"/>
                <w:szCs w:val="20"/>
              </w:rPr>
            </w:pPr>
            <w:r>
              <w:rPr>
                <w:rFonts w:cs="Arial"/>
                <w:sz w:val="20"/>
                <w:szCs w:val="20"/>
              </w:rPr>
              <w:t>Brisbane Airport Corporation</w:t>
            </w:r>
          </w:p>
        </w:tc>
        <w:tc>
          <w:tcPr>
            <w:tcW w:w="2004" w:type="pct"/>
            <w:tcBorders>
              <w:bottom w:val="single" w:sz="4" w:space="0" w:color="auto"/>
            </w:tcBorders>
            <w:shd w:val="clear" w:color="auto" w:fill="auto"/>
            <w:tcMar>
              <w:top w:w="0" w:type="dxa"/>
              <w:left w:w="108" w:type="dxa"/>
              <w:bottom w:w="0" w:type="dxa"/>
              <w:right w:w="108" w:type="dxa"/>
            </w:tcMar>
          </w:tcPr>
          <w:p w14:paraId="1D08416E" w14:textId="4CF1DB59" w:rsidR="002668A9" w:rsidRPr="002668A9" w:rsidRDefault="00105368" w:rsidP="002668A9">
            <w:pPr>
              <w:rPr>
                <w:rFonts w:cs="Arial"/>
                <w:sz w:val="20"/>
                <w:szCs w:val="20"/>
              </w:rPr>
            </w:pPr>
            <w:r>
              <w:rPr>
                <w:rFonts w:cs="Arial"/>
                <w:sz w:val="20"/>
                <w:szCs w:val="20"/>
              </w:rPr>
              <w:t xml:space="preserve">Environmental regulators </w:t>
            </w:r>
            <w:r w:rsidR="002668A9" w:rsidRPr="002668A9">
              <w:rPr>
                <w:rFonts w:cs="Arial"/>
                <w:sz w:val="20"/>
                <w:szCs w:val="20"/>
              </w:rPr>
              <w:t xml:space="preserve">acknowledge that reports submitted to regulators to the standard required in the NEMP would result in less time delays and costs for projects and result in a better outcome for industry. </w:t>
            </w:r>
          </w:p>
          <w:p w14:paraId="60C2CC0F" w14:textId="2D37683C" w:rsidR="002668A9" w:rsidRPr="002668A9" w:rsidRDefault="002668A9" w:rsidP="00105368">
            <w:pPr>
              <w:rPr>
                <w:rFonts w:cs="Arial"/>
                <w:sz w:val="20"/>
                <w:szCs w:val="20"/>
              </w:rPr>
            </w:pPr>
            <w:r w:rsidRPr="002668A9">
              <w:rPr>
                <w:rFonts w:cs="Arial"/>
                <w:sz w:val="20"/>
                <w:szCs w:val="20"/>
              </w:rPr>
              <w:t xml:space="preserve">Jurisdictions </w:t>
            </w:r>
            <w:r w:rsidR="00105368">
              <w:rPr>
                <w:rFonts w:cs="Arial"/>
                <w:sz w:val="20"/>
                <w:szCs w:val="20"/>
              </w:rPr>
              <w:t xml:space="preserve">continue to </w:t>
            </w:r>
            <w:r w:rsidRPr="002668A9">
              <w:rPr>
                <w:rFonts w:cs="Arial"/>
                <w:sz w:val="20"/>
                <w:szCs w:val="20"/>
              </w:rPr>
              <w:t>provide a range of resources and education on PFAS management, and there is considerable value in the provision of further training tailored to the needs of NEMP users.</w:t>
            </w:r>
          </w:p>
        </w:tc>
      </w:tr>
      <w:tr w:rsidR="002668A9" w:rsidRPr="002668A9" w14:paraId="73BC3E68" w14:textId="77777777" w:rsidTr="00EE256A">
        <w:tc>
          <w:tcPr>
            <w:tcW w:w="796" w:type="pct"/>
            <w:tcBorders>
              <w:bottom w:val="nil"/>
            </w:tcBorders>
            <w:shd w:val="clear" w:color="auto" w:fill="auto"/>
          </w:tcPr>
          <w:p w14:paraId="2FE5AF5C" w14:textId="77777777" w:rsidR="002668A9" w:rsidRPr="002668A9" w:rsidRDefault="002668A9" w:rsidP="002668A9">
            <w:pPr>
              <w:rPr>
                <w:rFonts w:cs="Arial"/>
                <w:sz w:val="20"/>
                <w:szCs w:val="20"/>
              </w:rPr>
            </w:pPr>
            <w:r w:rsidRPr="002668A9">
              <w:rPr>
                <w:rFonts w:cs="Arial"/>
                <w:sz w:val="20"/>
                <w:szCs w:val="20"/>
              </w:rPr>
              <w:t>Reconsider / strengthen community advice</w:t>
            </w:r>
          </w:p>
        </w:tc>
        <w:tc>
          <w:tcPr>
            <w:tcW w:w="1275" w:type="pct"/>
            <w:tcBorders>
              <w:bottom w:val="nil"/>
            </w:tcBorders>
          </w:tcPr>
          <w:p w14:paraId="198528C7" w14:textId="77777777" w:rsidR="002668A9" w:rsidRPr="002668A9" w:rsidRDefault="002668A9" w:rsidP="002668A9">
            <w:pPr>
              <w:rPr>
                <w:rFonts w:cs="Arial"/>
                <w:sz w:val="20"/>
                <w:szCs w:val="20"/>
              </w:rPr>
            </w:pPr>
            <w:r w:rsidRPr="002668A9">
              <w:rPr>
                <w:rFonts w:cs="Arial"/>
                <w:sz w:val="20"/>
                <w:szCs w:val="20"/>
              </w:rPr>
              <w:t>Clarifications were suggested in relation to community consultation.</w:t>
            </w:r>
          </w:p>
        </w:tc>
        <w:tc>
          <w:tcPr>
            <w:tcW w:w="925" w:type="pct"/>
            <w:tcBorders>
              <w:bottom w:val="nil"/>
            </w:tcBorders>
          </w:tcPr>
          <w:p w14:paraId="247A114B" w14:textId="5E65F217" w:rsidR="002668A9" w:rsidRPr="002668A9" w:rsidRDefault="008D1BC5" w:rsidP="002668A9">
            <w:pPr>
              <w:rPr>
                <w:rFonts w:cs="Arial"/>
                <w:sz w:val="20"/>
                <w:szCs w:val="20"/>
              </w:rPr>
            </w:pPr>
            <w:r>
              <w:rPr>
                <w:rFonts w:cs="Arial"/>
                <w:sz w:val="20"/>
                <w:szCs w:val="20"/>
              </w:rPr>
              <w:t>Queensland Airports Ltd</w:t>
            </w:r>
          </w:p>
        </w:tc>
        <w:tc>
          <w:tcPr>
            <w:tcW w:w="2004" w:type="pct"/>
            <w:tcBorders>
              <w:bottom w:val="nil"/>
            </w:tcBorders>
            <w:shd w:val="clear" w:color="auto" w:fill="auto"/>
            <w:tcMar>
              <w:top w:w="0" w:type="dxa"/>
              <w:left w:w="108" w:type="dxa"/>
              <w:bottom w:w="0" w:type="dxa"/>
              <w:right w:w="108" w:type="dxa"/>
            </w:tcMar>
          </w:tcPr>
          <w:p w14:paraId="79F62A28" w14:textId="77777777" w:rsidR="002668A9" w:rsidRPr="002668A9" w:rsidRDefault="002668A9" w:rsidP="002668A9">
            <w:pPr>
              <w:rPr>
                <w:rFonts w:cs="Arial"/>
                <w:sz w:val="20"/>
                <w:szCs w:val="20"/>
              </w:rPr>
            </w:pPr>
            <w:r w:rsidRPr="002668A9">
              <w:rPr>
                <w:rFonts w:cs="Arial"/>
                <w:sz w:val="20"/>
                <w:szCs w:val="20"/>
              </w:rPr>
              <w:t>Amended accordingly.</w:t>
            </w:r>
          </w:p>
        </w:tc>
      </w:tr>
      <w:tr w:rsidR="002668A9" w:rsidRPr="002668A9" w14:paraId="5EF91F45" w14:textId="77777777" w:rsidTr="00EE256A">
        <w:trPr>
          <w:trHeight w:val="464"/>
        </w:trPr>
        <w:tc>
          <w:tcPr>
            <w:tcW w:w="796" w:type="pct"/>
            <w:vMerge w:val="restart"/>
            <w:tcBorders>
              <w:top w:val="nil"/>
            </w:tcBorders>
            <w:shd w:val="clear" w:color="auto" w:fill="auto"/>
          </w:tcPr>
          <w:p w14:paraId="17B321FB" w14:textId="77777777" w:rsidR="002668A9" w:rsidRPr="002668A9" w:rsidRDefault="002668A9" w:rsidP="002668A9">
            <w:pPr>
              <w:rPr>
                <w:rFonts w:cs="Arial"/>
                <w:sz w:val="20"/>
                <w:szCs w:val="20"/>
              </w:rPr>
            </w:pPr>
            <w:r w:rsidRPr="002668A9">
              <w:rPr>
                <w:rFonts w:cs="Arial"/>
                <w:sz w:val="20"/>
                <w:szCs w:val="20"/>
              </w:rPr>
              <w:t>Reconsider or strengthen floodplain / stormwater / runoff management advice</w:t>
            </w:r>
          </w:p>
        </w:tc>
        <w:tc>
          <w:tcPr>
            <w:tcW w:w="1275" w:type="pct"/>
            <w:vMerge w:val="restart"/>
            <w:tcBorders>
              <w:top w:val="nil"/>
            </w:tcBorders>
          </w:tcPr>
          <w:p w14:paraId="4E2B59F2" w14:textId="77777777" w:rsidR="002668A9" w:rsidRPr="002668A9" w:rsidRDefault="002668A9" w:rsidP="002668A9">
            <w:pPr>
              <w:rPr>
                <w:rFonts w:cs="Arial"/>
                <w:sz w:val="20"/>
                <w:szCs w:val="20"/>
              </w:rPr>
            </w:pPr>
            <w:r w:rsidRPr="002668A9">
              <w:rPr>
                <w:rFonts w:cs="Arial"/>
                <w:sz w:val="20"/>
                <w:szCs w:val="20"/>
              </w:rPr>
              <w:t>A range of feedback was provided in relation to floodplains and stormwater management including:</w:t>
            </w:r>
          </w:p>
          <w:p w14:paraId="702688DB" w14:textId="77777777" w:rsidR="002668A9" w:rsidRPr="002668A9" w:rsidRDefault="002668A9" w:rsidP="00105368">
            <w:pPr>
              <w:pStyle w:val="bullet1"/>
            </w:pPr>
            <w:r w:rsidRPr="002668A9">
              <w:t>the prescriptive nature of floodplain management guidance</w:t>
            </w:r>
          </w:p>
          <w:p w14:paraId="115D21A3" w14:textId="77777777" w:rsidR="002668A9" w:rsidRPr="002668A9" w:rsidRDefault="002668A9" w:rsidP="00105368">
            <w:pPr>
              <w:pStyle w:val="bullet1"/>
            </w:pPr>
            <w:r w:rsidRPr="002668A9">
              <w:t xml:space="preserve">the practicality of guidance on stormwater management and the need for emergency maintenance </w:t>
            </w:r>
          </w:p>
          <w:p w14:paraId="3CE0293B" w14:textId="77777777" w:rsidR="002668A9" w:rsidRPr="002668A9" w:rsidRDefault="002668A9" w:rsidP="00105368">
            <w:pPr>
              <w:pStyle w:val="bullet1"/>
            </w:pPr>
            <w:r w:rsidRPr="002668A9">
              <w:t>the need for more emphasis on preventing rainwater and runoff from becoming contaminated by PFAS from stockpiles or storage areas</w:t>
            </w:r>
          </w:p>
          <w:p w14:paraId="7E9A8D0E" w14:textId="77777777" w:rsidR="002668A9" w:rsidRPr="002668A9" w:rsidRDefault="002668A9" w:rsidP="00105368">
            <w:pPr>
              <w:pStyle w:val="bullet1"/>
            </w:pPr>
            <w:r w:rsidRPr="002668A9">
              <w:t xml:space="preserve">suitability of guidance to New Zealand stakeholders </w:t>
            </w:r>
          </w:p>
          <w:p w14:paraId="0A223D03" w14:textId="77777777" w:rsidR="002668A9" w:rsidRPr="002668A9" w:rsidRDefault="002668A9" w:rsidP="00105368">
            <w:pPr>
              <w:pStyle w:val="bullet1"/>
            </w:pPr>
            <w:r w:rsidRPr="002668A9">
              <w:t>various suggested clarifications.</w:t>
            </w:r>
          </w:p>
        </w:tc>
        <w:tc>
          <w:tcPr>
            <w:tcW w:w="925" w:type="pct"/>
            <w:vMerge w:val="restart"/>
            <w:tcBorders>
              <w:top w:val="nil"/>
            </w:tcBorders>
          </w:tcPr>
          <w:p w14:paraId="449DCB57" w14:textId="77777777" w:rsidR="008D1BC5" w:rsidRPr="002668A9" w:rsidRDefault="008D1BC5" w:rsidP="002668A9">
            <w:pPr>
              <w:rPr>
                <w:rFonts w:cs="Arial"/>
                <w:sz w:val="20"/>
                <w:szCs w:val="20"/>
              </w:rPr>
            </w:pPr>
            <w:r>
              <w:rPr>
                <w:rFonts w:cs="Arial"/>
                <w:sz w:val="20"/>
                <w:szCs w:val="20"/>
              </w:rPr>
              <w:t>Brisbane Airport Corporation</w:t>
            </w:r>
          </w:p>
          <w:p w14:paraId="748EA5F7" w14:textId="553F371C" w:rsidR="008D1BC5" w:rsidRDefault="00406A71" w:rsidP="002668A9">
            <w:pPr>
              <w:rPr>
                <w:rFonts w:cs="Arial"/>
                <w:sz w:val="20"/>
                <w:szCs w:val="20"/>
              </w:rPr>
            </w:pPr>
            <w:r>
              <w:rPr>
                <w:rFonts w:cs="Arial"/>
                <w:sz w:val="20"/>
                <w:szCs w:val="20"/>
              </w:rPr>
              <w:t>Burdekin Shire Council and Bligh Tanner</w:t>
            </w:r>
          </w:p>
          <w:p w14:paraId="1F81DB03" w14:textId="77777777" w:rsidR="008D1BC5" w:rsidRPr="002668A9" w:rsidRDefault="008D1BC5" w:rsidP="002668A9">
            <w:pPr>
              <w:rPr>
                <w:rFonts w:cs="Arial"/>
                <w:sz w:val="20"/>
                <w:szCs w:val="20"/>
              </w:rPr>
            </w:pPr>
            <w:r>
              <w:rPr>
                <w:rFonts w:cs="Arial"/>
                <w:sz w:val="20"/>
                <w:szCs w:val="20"/>
              </w:rPr>
              <w:t>CRC CARE</w:t>
            </w:r>
          </w:p>
          <w:p w14:paraId="53BBB351" w14:textId="77777777" w:rsidR="008D1BC5" w:rsidRDefault="008D1BC5" w:rsidP="002668A9">
            <w:pPr>
              <w:rPr>
                <w:rFonts w:cs="Arial"/>
                <w:sz w:val="20"/>
                <w:szCs w:val="20"/>
              </w:rPr>
            </w:pPr>
            <w:r>
              <w:rPr>
                <w:rFonts w:cs="Arial"/>
                <w:sz w:val="20"/>
                <w:szCs w:val="20"/>
              </w:rPr>
              <w:t>NZ Ministry for the Environment</w:t>
            </w:r>
          </w:p>
          <w:p w14:paraId="62DB113A" w14:textId="21CD282B" w:rsidR="008D1BC5" w:rsidRPr="002668A9" w:rsidRDefault="006B3A71" w:rsidP="002668A9">
            <w:pPr>
              <w:rPr>
                <w:rFonts w:cs="Arial"/>
                <w:sz w:val="20"/>
                <w:szCs w:val="20"/>
              </w:rPr>
            </w:pPr>
            <w:r>
              <w:rPr>
                <w:rFonts w:cs="Arial"/>
                <w:sz w:val="20"/>
                <w:szCs w:val="20"/>
              </w:rPr>
              <w:t>NZ</w:t>
            </w:r>
            <w:r w:rsidR="00406A71">
              <w:rPr>
                <w:rFonts w:cs="Arial"/>
                <w:sz w:val="20"/>
                <w:szCs w:val="20"/>
              </w:rPr>
              <w:t xml:space="preserve"> Regional and Unitary Councils - Contaminated Land and Waste Special Interest Group</w:t>
            </w:r>
          </w:p>
          <w:p w14:paraId="0930C001" w14:textId="77777777" w:rsidR="008D1BC5" w:rsidRDefault="008D1BC5" w:rsidP="002668A9">
            <w:pPr>
              <w:rPr>
                <w:rFonts w:cs="Arial"/>
                <w:sz w:val="20"/>
                <w:szCs w:val="20"/>
              </w:rPr>
            </w:pPr>
            <w:r>
              <w:rPr>
                <w:rFonts w:cs="Arial"/>
                <w:sz w:val="20"/>
                <w:szCs w:val="20"/>
              </w:rPr>
              <w:t>Queensland Airports Ltd</w:t>
            </w:r>
            <w:r w:rsidRPr="002668A9">
              <w:rPr>
                <w:rFonts w:cs="Arial"/>
                <w:sz w:val="20"/>
                <w:szCs w:val="20"/>
              </w:rPr>
              <w:t xml:space="preserve"> </w:t>
            </w:r>
          </w:p>
          <w:p w14:paraId="01DC4884" w14:textId="2E42A95A" w:rsidR="002668A9" w:rsidRPr="002668A9" w:rsidRDefault="008D1BC5" w:rsidP="002668A9">
            <w:pPr>
              <w:rPr>
                <w:rFonts w:cs="Arial"/>
                <w:sz w:val="20"/>
                <w:szCs w:val="20"/>
              </w:rPr>
            </w:pPr>
            <w:r>
              <w:rPr>
                <w:rFonts w:cs="Arial"/>
                <w:sz w:val="20"/>
                <w:szCs w:val="20"/>
              </w:rPr>
              <w:t>Sydney Water</w:t>
            </w:r>
          </w:p>
        </w:tc>
        <w:tc>
          <w:tcPr>
            <w:tcW w:w="2004" w:type="pct"/>
            <w:vMerge w:val="restart"/>
            <w:tcBorders>
              <w:top w:val="nil"/>
            </w:tcBorders>
            <w:shd w:val="clear" w:color="auto" w:fill="auto"/>
            <w:tcMar>
              <w:top w:w="0" w:type="dxa"/>
              <w:left w:w="108" w:type="dxa"/>
              <w:bottom w:w="0" w:type="dxa"/>
              <w:right w:w="108" w:type="dxa"/>
            </w:tcMar>
          </w:tcPr>
          <w:p w14:paraId="7AD6AD77" w14:textId="4A6DFEA8" w:rsidR="002668A9" w:rsidRPr="002668A9" w:rsidRDefault="002668A9" w:rsidP="002668A9">
            <w:pPr>
              <w:rPr>
                <w:rFonts w:cs="Arial"/>
                <w:sz w:val="20"/>
                <w:szCs w:val="20"/>
              </w:rPr>
            </w:pPr>
            <w:r w:rsidRPr="002668A9">
              <w:rPr>
                <w:rFonts w:cs="Arial"/>
                <w:sz w:val="20"/>
                <w:szCs w:val="20"/>
              </w:rPr>
              <w:t xml:space="preserve">A full site-specific risk assessment would not be required in every instance. Flood risk should however be considered, and the siting of stockpiles in the 1:100 AEP is not generally supported. Where this can't be avoided due to site or operational constraints, the relevant regulators should be consulted and a site-specific risk may be required. The </w:t>
            </w:r>
            <w:r w:rsidR="00105368">
              <w:rPr>
                <w:rFonts w:cs="Arial"/>
                <w:sz w:val="20"/>
                <w:szCs w:val="20"/>
              </w:rPr>
              <w:t xml:space="preserve">NEMP </w:t>
            </w:r>
            <w:r w:rsidRPr="002668A9">
              <w:rPr>
                <w:rFonts w:cs="Arial"/>
                <w:sz w:val="20"/>
                <w:szCs w:val="20"/>
              </w:rPr>
              <w:t>text has been amended to reflect this clarification.</w:t>
            </w:r>
          </w:p>
          <w:p w14:paraId="18C9B34F" w14:textId="77777777" w:rsidR="002668A9" w:rsidRPr="002668A9" w:rsidRDefault="002668A9" w:rsidP="002668A9">
            <w:pPr>
              <w:rPr>
                <w:rFonts w:cs="Arial"/>
                <w:sz w:val="20"/>
                <w:szCs w:val="20"/>
              </w:rPr>
            </w:pPr>
            <w:r w:rsidRPr="002668A9">
              <w:rPr>
                <w:rFonts w:cs="Arial"/>
                <w:sz w:val="20"/>
                <w:szCs w:val="20"/>
              </w:rPr>
              <w:t xml:space="preserve">Maintenance of drains and drainage systems is not addressed in Section 10. However, neither NEMP 1.0 nor NEMP 2.0 precludes the maintenance of drains. Section 10.3.1 provides sufficient guidance on consideration of stormwater management systems at a site. </w:t>
            </w:r>
          </w:p>
          <w:p w14:paraId="0CF098AC" w14:textId="04FFF6F3" w:rsidR="002668A9" w:rsidRPr="002668A9" w:rsidRDefault="002668A9" w:rsidP="002668A9">
            <w:pPr>
              <w:rPr>
                <w:rFonts w:cs="Arial"/>
                <w:sz w:val="20"/>
                <w:szCs w:val="20"/>
              </w:rPr>
            </w:pPr>
            <w:r w:rsidRPr="002668A9">
              <w:rPr>
                <w:rFonts w:cs="Arial"/>
                <w:sz w:val="20"/>
                <w:szCs w:val="20"/>
              </w:rPr>
              <w:t xml:space="preserve">Note that </w:t>
            </w:r>
            <w:r w:rsidR="00105368">
              <w:rPr>
                <w:rFonts w:cs="Arial"/>
                <w:sz w:val="20"/>
                <w:szCs w:val="20"/>
              </w:rPr>
              <w:t xml:space="preserve">the development of </w:t>
            </w:r>
            <w:r w:rsidRPr="002668A9">
              <w:rPr>
                <w:rFonts w:cs="Arial"/>
                <w:sz w:val="20"/>
                <w:szCs w:val="20"/>
              </w:rPr>
              <w:t>sediment quality guidance continues to be considered a priority for the future NEMP work program.</w:t>
            </w:r>
          </w:p>
          <w:p w14:paraId="051DB017" w14:textId="7A614656" w:rsidR="002668A9" w:rsidRPr="002668A9" w:rsidRDefault="002668A9" w:rsidP="00105368">
            <w:pPr>
              <w:rPr>
                <w:rFonts w:cs="Arial"/>
                <w:sz w:val="20"/>
                <w:szCs w:val="20"/>
              </w:rPr>
            </w:pPr>
            <w:r w:rsidRPr="002668A9">
              <w:rPr>
                <w:rFonts w:cs="Arial"/>
                <w:sz w:val="20"/>
                <w:szCs w:val="20"/>
              </w:rPr>
              <w:t>Regarding the transport of PFAS-contaminated waste, this is addressed in Section 11 of the NEMP</w:t>
            </w:r>
            <w:r w:rsidRPr="002668A9" w:rsidDel="00105368">
              <w:rPr>
                <w:rFonts w:cs="Arial"/>
                <w:sz w:val="20"/>
                <w:szCs w:val="20"/>
              </w:rPr>
              <w:t xml:space="preserve"> 2.0</w:t>
            </w:r>
            <w:r w:rsidRPr="002668A9">
              <w:rPr>
                <w:rFonts w:cs="Arial"/>
                <w:sz w:val="20"/>
                <w:szCs w:val="20"/>
              </w:rPr>
              <w:t xml:space="preserve">. </w:t>
            </w:r>
          </w:p>
        </w:tc>
      </w:tr>
      <w:tr w:rsidR="002668A9" w:rsidRPr="002668A9" w14:paraId="44188568" w14:textId="77777777" w:rsidTr="00C36741">
        <w:trPr>
          <w:trHeight w:val="504"/>
        </w:trPr>
        <w:tc>
          <w:tcPr>
            <w:tcW w:w="796" w:type="pct"/>
            <w:vMerge/>
            <w:shd w:val="clear" w:color="auto" w:fill="auto"/>
          </w:tcPr>
          <w:p w14:paraId="16318DC2" w14:textId="77777777" w:rsidR="002668A9" w:rsidRPr="002668A9" w:rsidRDefault="002668A9" w:rsidP="002668A9">
            <w:pPr>
              <w:rPr>
                <w:rFonts w:cs="Arial"/>
                <w:sz w:val="20"/>
                <w:szCs w:val="20"/>
              </w:rPr>
            </w:pPr>
          </w:p>
        </w:tc>
        <w:tc>
          <w:tcPr>
            <w:tcW w:w="1275" w:type="pct"/>
            <w:vMerge/>
          </w:tcPr>
          <w:p w14:paraId="06181057" w14:textId="77777777" w:rsidR="002668A9" w:rsidRPr="002668A9" w:rsidRDefault="002668A9" w:rsidP="002668A9">
            <w:pPr>
              <w:rPr>
                <w:rFonts w:cs="Arial"/>
                <w:sz w:val="20"/>
                <w:szCs w:val="20"/>
              </w:rPr>
            </w:pPr>
          </w:p>
        </w:tc>
        <w:tc>
          <w:tcPr>
            <w:tcW w:w="925" w:type="pct"/>
            <w:vMerge/>
          </w:tcPr>
          <w:p w14:paraId="64378A4F"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41C1D516" w14:textId="77777777" w:rsidR="002668A9" w:rsidRPr="002668A9" w:rsidRDefault="002668A9" w:rsidP="002668A9">
            <w:pPr>
              <w:rPr>
                <w:rFonts w:cs="Arial"/>
                <w:sz w:val="20"/>
                <w:szCs w:val="20"/>
              </w:rPr>
            </w:pPr>
          </w:p>
        </w:tc>
      </w:tr>
      <w:tr w:rsidR="002668A9" w:rsidRPr="002668A9" w14:paraId="21D3F0A1" w14:textId="77777777" w:rsidTr="00C36741">
        <w:trPr>
          <w:trHeight w:val="504"/>
        </w:trPr>
        <w:tc>
          <w:tcPr>
            <w:tcW w:w="796" w:type="pct"/>
            <w:vMerge/>
            <w:shd w:val="clear" w:color="auto" w:fill="auto"/>
          </w:tcPr>
          <w:p w14:paraId="7BC2CD81" w14:textId="77777777" w:rsidR="002668A9" w:rsidRPr="002668A9" w:rsidRDefault="002668A9" w:rsidP="002668A9">
            <w:pPr>
              <w:rPr>
                <w:rFonts w:cs="Arial"/>
                <w:sz w:val="20"/>
                <w:szCs w:val="20"/>
              </w:rPr>
            </w:pPr>
          </w:p>
        </w:tc>
        <w:tc>
          <w:tcPr>
            <w:tcW w:w="1275" w:type="pct"/>
            <w:vMerge/>
          </w:tcPr>
          <w:p w14:paraId="7B52CF30" w14:textId="77777777" w:rsidR="002668A9" w:rsidRPr="002668A9" w:rsidRDefault="002668A9" w:rsidP="002668A9">
            <w:pPr>
              <w:rPr>
                <w:rFonts w:cs="Arial"/>
                <w:sz w:val="20"/>
                <w:szCs w:val="20"/>
              </w:rPr>
            </w:pPr>
          </w:p>
        </w:tc>
        <w:tc>
          <w:tcPr>
            <w:tcW w:w="925" w:type="pct"/>
            <w:vMerge/>
          </w:tcPr>
          <w:p w14:paraId="32E3520F"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55CFD966" w14:textId="77777777" w:rsidR="002668A9" w:rsidRPr="002668A9" w:rsidRDefault="002668A9" w:rsidP="002668A9">
            <w:pPr>
              <w:rPr>
                <w:rFonts w:cs="Arial"/>
                <w:sz w:val="20"/>
                <w:szCs w:val="20"/>
              </w:rPr>
            </w:pPr>
          </w:p>
        </w:tc>
      </w:tr>
      <w:tr w:rsidR="002668A9" w:rsidRPr="002668A9" w14:paraId="0C8B4616" w14:textId="77777777" w:rsidTr="00C36741">
        <w:trPr>
          <w:trHeight w:val="504"/>
        </w:trPr>
        <w:tc>
          <w:tcPr>
            <w:tcW w:w="796" w:type="pct"/>
            <w:vMerge/>
            <w:shd w:val="clear" w:color="auto" w:fill="auto"/>
          </w:tcPr>
          <w:p w14:paraId="5AC30A68" w14:textId="77777777" w:rsidR="002668A9" w:rsidRPr="002668A9" w:rsidRDefault="002668A9" w:rsidP="002668A9">
            <w:pPr>
              <w:rPr>
                <w:rFonts w:cs="Arial"/>
                <w:sz w:val="20"/>
                <w:szCs w:val="20"/>
              </w:rPr>
            </w:pPr>
          </w:p>
        </w:tc>
        <w:tc>
          <w:tcPr>
            <w:tcW w:w="1275" w:type="pct"/>
            <w:vMerge/>
          </w:tcPr>
          <w:p w14:paraId="07732149" w14:textId="77777777" w:rsidR="002668A9" w:rsidRPr="002668A9" w:rsidRDefault="002668A9" w:rsidP="002668A9">
            <w:pPr>
              <w:rPr>
                <w:rFonts w:cs="Arial"/>
                <w:sz w:val="20"/>
                <w:szCs w:val="20"/>
              </w:rPr>
            </w:pPr>
          </w:p>
        </w:tc>
        <w:tc>
          <w:tcPr>
            <w:tcW w:w="925" w:type="pct"/>
            <w:vMerge/>
          </w:tcPr>
          <w:p w14:paraId="66D09767"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6B4D38DC" w14:textId="77777777" w:rsidR="002668A9" w:rsidRPr="002668A9" w:rsidRDefault="002668A9" w:rsidP="002668A9">
            <w:pPr>
              <w:rPr>
                <w:rFonts w:cs="Arial"/>
                <w:sz w:val="20"/>
                <w:szCs w:val="20"/>
              </w:rPr>
            </w:pPr>
          </w:p>
        </w:tc>
      </w:tr>
      <w:tr w:rsidR="002668A9" w:rsidRPr="002668A9" w14:paraId="0006748A" w14:textId="77777777" w:rsidTr="00C36741">
        <w:trPr>
          <w:trHeight w:val="504"/>
        </w:trPr>
        <w:tc>
          <w:tcPr>
            <w:tcW w:w="796" w:type="pct"/>
            <w:vMerge/>
            <w:shd w:val="clear" w:color="auto" w:fill="auto"/>
          </w:tcPr>
          <w:p w14:paraId="560C7EB3" w14:textId="77777777" w:rsidR="002668A9" w:rsidRPr="002668A9" w:rsidRDefault="002668A9" w:rsidP="002668A9">
            <w:pPr>
              <w:rPr>
                <w:rFonts w:cs="Arial"/>
                <w:sz w:val="20"/>
                <w:szCs w:val="20"/>
              </w:rPr>
            </w:pPr>
          </w:p>
        </w:tc>
        <w:tc>
          <w:tcPr>
            <w:tcW w:w="1275" w:type="pct"/>
            <w:vMerge/>
          </w:tcPr>
          <w:p w14:paraId="38658885" w14:textId="77777777" w:rsidR="002668A9" w:rsidRPr="002668A9" w:rsidRDefault="002668A9" w:rsidP="002668A9">
            <w:pPr>
              <w:rPr>
                <w:rFonts w:cs="Arial"/>
                <w:sz w:val="20"/>
                <w:szCs w:val="20"/>
              </w:rPr>
            </w:pPr>
          </w:p>
        </w:tc>
        <w:tc>
          <w:tcPr>
            <w:tcW w:w="925" w:type="pct"/>
            <w:vMerge/>
          </w:tcPr>
          <w:p w14:paraId="2A333AF2"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0A692D95" w14:textId="77777777" w:rsidR="002668A9" w:rsidRPr="002668A9" w:rsidRDefault="002668A9" w:rsidP="002668A9">
            <w:pPr>
              <w:rPr>
                <w:rFonts w:cs="Arial"/>
                <w:sz w:val="20"/>
                <w:szCs w:val="20"/>
              </w:rPr>
            </w:pPr>
          </w:p>
        </w:tc>
      </w:tr>
      <w:tr w:rsidR="002668A9" w:rsidRPr="002668A9" w14:paraId="5270E838" w14:textId="77777777" w:rsidTr="00C36741">
        <w:trPr>
          <w:trHeight w:val="504"/>
        </w:trPr>
        <w:tc>
          <w:tcPr>
            <w:tcW w:w="796" w:type="pct"/>
            <w:vMerge/>
            <w:shd w:val="clear" w:color="auto" w:fill="auto"/>
          </w:tcPr>
          <w:p w14:paraId="12B18995" w14:textId="77777777" w:rsidR="002668A9" w:rsidRPr="002668A9" w:rsidRDefault="002668A9" w:rsidP="002668A9">
            <w:pPr>
              <w:rPr>
                <w:rFonts w:cs="Arial"/>
                <w:sz w:val="20"/>
                <w:szCs w:val="20"/>
              </w:rPr>
            </w:pPr>
          </w:p>
        </w:tc>
        <w:tc>
          <w:tcPr>
            <w:tcW w:w="1275" w:type="pct"/>
            <w:vMerge/>
          </w:tcPr>
          <w:p w14:paraId="3FF7DC7E" w14:textId="77777777" w:rsidR="002668A9" w:rsidRPr="002668A9" w:rsidRDefault="002668A9" w:rsidP="002668A9">
            <w:pPr>
              <w:rPr>
                <w:rFonts w:cs="Arial"/>
                <w:sz w:val="20"/>
                <w:szCs w:val="20"/>
              </w:rPr>
            </w:pPr>
          </w:p>
        </w:tc>
        <w:tc>
          <w:tcPr>
            <w:tcW w:w="925" w:type="pct"/>
            <w:vMerge/>
          </w:tcPr>
          <w:p w14:paraId="22D29A39" w14:textId="77777777" w:rsidR="002668A9" w:rsidRPr="002668A9" w:rsidRDefault="002668A9" w:rsidP="002668A9">
            <w:pPr>
              <w:rPr>
                <w:rFonts w:cs="Arial"/>
                <w:sz w:val="20"/>
                <w:szCs w:val="20"/>
              </w:rPr>
            </w:pPr>
          </w:p>
        </w:tc>
        <w:tc>
          <w:tcPr>
            <w:tcW w:w="2004" w:type="pct"/>
            <w:vMerge/>
            <w:shd w:val="clear" w:color="auto" w:fill="auto"/>
            <w:tcMar>
              <w:top w:w="0" w:type="dxa"/>
              <w:left w:w="108" w:type="dxa"/>
              <w:bottom w:w="0" w:type="dxa"/>
              <w:right w:w="108" w:type="dxa"/>
            </w:tcMar>
          </w:tcPr>
          <w:p w14:paraId="047332CF" w14:textId="77777777" w:rsidR="002668A9" w:rsidRPr="002668A9" w:rsidRDefault="002668A9" w:rsidP="002668A9">
            <w:pPr>
              <w:rPr>
                <w:rFonts w:cs="Arial"/>
                <w:sz w:val="20"/>
                <w:szCs w:val="20"/>
              </w:rPr>
            </w:pPr>
          </w:p>
        </w:tc>
      </w:tr>
      <w:tr w:rsidR="002668A9" w:rsidRPr="002668A9" w14:paraId="24E64692" w14:textId="77777777" w:rsidTr="00C36741">
        <w:trPr>
          <w:trHeight w:val="384"/>
        </w:trPr>
        <w:tc>
          <w:tcPr>
            <w:tcW w:w="796" w:type="pct"/>
            <w:shd w:val="clear" w:color="auto" w:fill="auto"/>
          </w:tcPr>
          <w:p w14:paraId="50898EF3" w14:textId="77777777" w:rsidR="002668A9" w:rsidRPr="002668A9" w:rsidRDefault="002668A9" w:rsidP="002668A9">
            <w:pPr>
              <w:rPr>
                <w:rFonts w:cs="Arial"/>
                <w:sz w:val="20"/>
                <w:szCs w:val="20"/>
              </w:rPr>
            </w:pPr>
            <w:r w:rsidRPr="002668A9">
              <w:rPr>
                <w:rFonts w:cs="Arial"/>
                <w:sz w:val="20"/>
                <w:szCs w:val="20"/>
              </w:rPr>
              <w:t>Review existing facilities</w:t>
            </w:r>
          </w:p>
        </w:tc>
        <w:tc>
          <w:tcPr>
            <w:tcW w:w="1275" w:type="pct"/>
          </w:tcPr>
          <w:p w14:paraId="483DDB9D" w14:textId="77777777" w:rsidR="002668A9" w:rsidRPr="002668A9" w:rsidRDefault="002668A9" w:rsidP="002668A9">
            <w:pPr>
              <w:rPr>
                <w:rFonts w:cs="Arial"/>
                <w:sz w:val="20"/>
                <w:szCs w:val="20"/>
              </w:rPr>
            </w:pPr>
            <w:r w:rsidRPr="002668A9">
              <w:rPr>
                <w:rFonts w:cs="Arial"/>
                <w:sz w:val="20"/>
                <w:szCs w:val="20"/>
              </w:rPr>
              <w:t>Guidance sought on existing stockpiling, storage and containment facilities.</w:t>
            </w:r>
          </w:p>
        </w:tc>
        <w:tc>
          <w:tcPr>
            <w:tcW w:w="925" w:type="pct"/>
          </w:tcPr>
          <w:p w14:paraId="284F3A3E" w14:textId="2B2D8D8B" w:rsidR="002668A9" w:rsidRPr="002668A9" w:rsidRDefault="008D1BC5" w:rsidP="002668A9">
            <w:pPr>
              <w:rPr>
                <w:rFonts w:cs="Arial"/>
                <w:sz w:val="20"/>
                <w:szCs w:val="20"/>
              </w:rPr>
            </w:pPr>
            <w:r>
              <w:rPr>
                <w:rFonts w:cs="Arial"/>
                <w:sz w:val="20"/>
                <w:szCs w:val="20"/>
              </w:rPr>
              <w:t>ExxonMobil Australia</w:t>
            </w:r>
          </w:p>
        </w:tc>
        <w:tc>
          <w:tcPr>
            <w:tcW w:w="2004" w:type="pct"/>
            <w:shd w:val="clear" w:color="auto" w:fill="auto"/>
            <w:tcMar>
              <w:top w:w="0" w:type="dxa"/>
              <w:left w:w="108" w:type="dxa"/>
              <w:bottom w:w="0" w:type="dxa"/>
              <w:right w:w="108" w:type="dxa"/>
            </w:tcMar>
          </w:tcPr>
          <w:p w14:paraId="027A323F" w14:textId="77777777" w:rsidR="002668A9" w:rsidRPr="002668A9" w:rsidRDefault="002668A9" w:rsidP="002668A9">
            <w:pPr>
              <w:rPr>
                <w:rFonts w:cs="Arial"/>
                <w:sz w:val="20"/>
                <w:szCs w:val="20"/>
              </w:rPr>
            </w:pPr>
            <w:r w:rsidRPr="002668A9">
              <w:rPr>
                <w:rFonts w:cs="Arial"/>
                <w:sz w:val="20"/>
                <w:szCs w:val="20"/>
              </w:rPr>
              <w:t>Amended to address existing facilities.</w:t>
            </w:r>
          </w:p>
        </w:tc>
      </w:tr>
      <w:tr w:rsidR="008D1BC5" w:rsidRPr="002668A9" w14:paraId="7C5342F8" w14:textId="77777777" w:rsidTr="00C36741">
        <w:trPr>
          <w:trHeight w:val="7645"/>
        </w:trPr>
        <w:tc>
          <w:tcPr>
            <w:tcW w:w="796" w:type="pct"/>
            <w:shd w:val="clear" w:color="auto" w:fill="auto"/>
          </w:tcPr>
          <w:p w14:paraId="312E24E9" w14:textId="77777777" w:rsidR="008D1BC5" w:rsidRPr="002668A9" w:rsidRDefault="008D1BC5" w:rsidP="002668A9">
            <w:pPr>
              <w:rPr>
                <w:rFonts w:cs="Arial"/>
                <w:sz w:val="20"/>
                <w:szCs w:val="20"/>
              </w:rPr>
            </w:pPr>
            <w:r w:rsidRPr="002668A9">
              <w:rPr>
                <w:rFonts w:cs="Arial"/>
                <w:sz w:val="20"/>
                <w:szCs w:val="20"/>
              </w:rPr>
              <w:lastRenderedPageBreak/>
              <w:t>Reword / rephrase / restructure existing advice</w:t>
            </w:r>
          </w:p>
        </w:tc>
        <w:tc>
          <w:tcPr>
            <w:tcW w:w="1275" w:type="pct"/>
          </w:tcPr>
          <w:p w14:paraId="524ACF44" w14:textId="77777777" w:rsidR="008D1BC5" w:rsidRPr="002668A9" w:rsidRDefault="008D1BC5" w:rsidP="002668A9">
            <w:pPr>
              <w:rPr>
                <w:rFonts w:cs="Arial"/>
                <w:sz w:val="20"/>
                <w:szCs w:val="20"/>
              </w:rPr>
            </w:pPr>
            <w:r w:rsidRPr="002668A9">
              <w:rPr>
                <w:rFonts w:cs="Arial"/>
                <w:sz w:val="20"/>
                <w:szCs w:val="20"/>
              </w:rPr>
              <w:t>Several suggestions were made with the aim of re-wording, rephrasing or restructuring the Section 10 NEMP 2.0 text, covering a range of topics including:</w:t>
            </w:r>
          </w:p>
          <w:p w14:paraId="1AFE4EA1" w14:textId="77777777" w:rsidR="008D1BC5" w:rsidRPr="002668A9" w:rsidRDefault="008D1BC5" w:rsidP="00400F4D">
            <w:pPr>
              <w:pStyle w:val="bullet1"/>
            </w:pPr>
            <w:r w:rsidRPr="002668A9">
              <w:t>interim storage being a management step ahead of treatment or disposal</w:t>
            </w:r>
          </w:p>
          <w:p w14:paraId="291B31AF" w14:textId="77777777" w:rsidR="008D1BC5" w:rsidRPr="002668A9" w:rsidRDefault="008D1BC5" w:rsidP="00400F4D">
            <w:pPr>
              <w:pStyle w:val="bullet1"/>
            </w:pPr>
            <w:r w:rsidRPr="002668A9">
              <w:t xml:space="preserve">suggested changes to assist I the interpretation or understanding of the text, removal of ambiguities </w:t>
            </w:r>
          </w:p>
          <w:p w14:paraId="134DCD16" w14:textId="02F3E310" w:rsidR="008D1BC5" w:rsidRPr="002668A9" w:rsidRDefault="008D1BC5" w:rsidP="00400F4D">
            <w:pPr>
              <w:pStyle w:val="bullet1"/>
            </w:pPr>
            <w:r w:rsidRPr="002668A9">
              <w:t>selection of suitable on-site storage and containment and the need for site specific assessment</w:t>
            </w:r>
          </w:p>
        </w:tc>
        <w:tc>
          <w:tcPr>
            <w:tcW w:w="925" w:type="pct"/>
          </w:tcPr>
          <w:p w14:paraId="6D372683" w14:textId="77777777" w:rsidR="008D1BC5" w:rsidRDefault="008D1BC5" w:rsidP="002668A9">
            <w:pPr>
              <w:rPr>
                <w:rFonts w:cs="Arial"/>
                <w:sz w:val="20"/>
                <w:szCs w:val="20"/>
              </w:rPr>
            </w:pPr>
            <w:r>
              <w:rPr>
                <w:rFonts w:cs="Arial"/>
                <w:sz w:val="20"/>
                <w:szCs w:val="20"/>
              </w:rPr>
              <w:t>Australasian Land and Groundwater Association - submission 1</w:t>
            </w:r>
          </w:p>
          <w:p w14:paraId="77CD5185" w14:textId="1D129AF1" w:rsidR="008D1BC5" w:rsidRPr="002668A9" w:rsidRDefault="00406A71" w:rsidP="002668A9">
            <w:pPr>
              <w:rPr>
                <w:rFonts w:cs="Arial"/>
                <w:sz w:val="20"/>
                <w:szCs w:val="20"/>
              </w:rPr>
            </w:pPr>
            <w:r>
              <w:rPr>
                <w:rFonts w:cs="Arial"/>
                <w:sz w:val="20"/>
                <w:szCs w:val="20"/>
              </w:rPr>
              <w:t>Burdekin Shire Council and Bligh Tanner</w:t>
            </w:r>
            <w:r w:rsidR="008D1BC5" w:rsidRPr="002668A9">
              <w:rPr>
                <w:rFonts w:cs="Arial"/>
                <w:sz w:val="20"/>
                <w:szCs w:val="20"/>
              </w:rPr>
              <w:t xml:space="preserve"> </w:t>
            </w:r>
          </w:p>
          <w:p w14:paraId="1ABD44BE" w14:textId="77777777" w:rsidR="008D1BC5" w:rsidRPr="002668A9" w:rsidRDefault="008D1BC5" w:rsidP="002668A9">
            <w:pPr>
              <w:rPr>
                <w:rFonts w:cs="Arial"/>
                <w:sz w:val="20"/>
                <w:szCs w:val="20"/>
              </w:rPr>
            </w:pPr>
            <w:r>
              <w:rPr>
                <w:rFonts w:cs="Arial"/>
                <w:sz w:val="20"/>
                <w:szCs w:val="20"/>
              </w:rPr>
              <w:t>CRC CARE</w:t>
            </w:r>
          </w:p>
          <w:p w14:paraId="6A02F660" w14:textId="77777777" w:rsidR="008D1BC5" w:rsidRDefault="008D1BC5" w:rsidP="002668A9">
            <w:pPr>
              <w:rPr>
                <w:rFonts w:cs="Arial"/>
                <w:sz w:val="20"/>
                <w:szCs w:val="20"/>
              </w:rPr>
            </w:pPr>
            <w:r>
              <w:rPr>
                <w:rFonts w:cs="Arial"/>
                <w:sz w:val="20"/>
                <w:szCs w:val="20"/>
              </w:rPr>
              <w:t>ExxonMobil Australia</w:t>
            </w:r>
          </w:p>
          <w:p w14:paraId="0EB2BA69" w14:textId="77777777" w:rsidR="008D1BC5" w:rsidRDefault="008D1BC5" w:rsidP="002668A9">
            <w:pPr>
              <w:rPr>
                <w:rFonts w:cs="Arial"/>
                <w:sz w:val="20"/>
                <w:szCs w:val="20"/>
              </w:rPr>
            </w:pPr>
            <w:r>
              <w:rPr>
                <w:rFonts w:cs="Arial"/>
                <w:sz w:val="20"/>
                <w:szCs w:val="20"/>
              </w:rPr>
              <w:t>Hunter Water</w:t>
            </w:r>
          </w:p>
          <w:p w14:paraId="79A61972" w14:textId="77777777" w:rsidR="008D1BC5" w:rsidRDefault="008D1BC5" w:rsidP="002668A9">
            <w:pPr>
              <w:rPr>
                <w:rFonts w:cs="Arial"/>
                <w:sz w:val="20"/>
                <w:szCs w:val="20"/>
              </w:rPr>
            </w:pPr>
            <w:r>
              <w:rPr>
                <w:rFonts w:cs="Arial"/>
                <w:sz w:val="20"/>
                <w:szCs w:val="20"/>
              </w:rPr>
              <w:t>Lloyd Consulting</w:t>
            </w:r>
          </w:p>
          <w:p w14:paraId="742B194E" w14:textId="77777777" w:rsidR="008D1BC5" w:rsidRDefault="008D1BC5" w:rsidP="008D1BC5">
            <w:pPr>
              <w:rPr>
                <w:rFonts w:cs="Arial"/>
                <w:sz w:val="20"/>
                <w:szCs w:val="20"/>
              </w:rPr>
            </w:pPr>
            <w:r>
              <w:rPr>
                <w:rFonts w:cs="Arial"/>
                <w:sz w:val="20"/>
                <w:szCs w:val="20"/>
              </w:rPr>
              <w:t>NZ Ministry for the Environment</w:t>
            </w:r>
          </w:p>
          <w:p w14:paraId="3476BEF2" w14:textId="77777777" w:rsidR="008D1BC5" w:rsidRDefault="008D1BC5" w:rsidP="008D1BC5">
            <w:pPr>
              <w:rPr>
                <w:rFonts w:cs="Arial"/>
                <w:sz w:val="20"/>
                <w:szCs w:val="20"/>
              </w:rPr>
            </w:pPr>
            <w:r>
              <w:rPr>
                <w:rFonts w:cs="Arial"/>
                <w:sz w:val="20"/>
                <w:szCs w:val="20"/>
              </w:rPr>
              <w:t>Qldwater</w:t>
            </w:r>
          </w:p>
          <w:p w14:paraId="4A881C43" w14:textId="77777777" w:rsidR="008D1BC5" w:rsidRPr="002668A9" w:rsidRDefault="008D1BC5" w:rsidP="008D1BC5">
            <w:pPr>
              <w:rPr>
                <w:rFonts w:cs="Arial"/>
                <w:sz w:val="20"/>
                <w:szCs w:val="20"/>
              </w:rPr>
            </w:pPr>
            <w:r>
              <w:rPr>
                <w:rFonts w:cs="Arial"/>
                <w:sz w:val="20"/>
                <w:szCs w:val="20"/>
              </w:rPr>
              <w:t>Queensland Urban Utilities</w:t>
            </w:r>
          </w:p>
          <w:p w14:paraId="62B101B7" w14:textId="77777777" w:rsidR="008D1BC5" w:rsidRDefault="008D1BC5" w:rsidP="002668A9">
            <w:pPr>
              <w:rPr>
                <w:rFonts w:cs="Arial"/>
                <w:sz w:val="20"/>
                <w:szCs w:val="20"/>
              </w:rPr>
            </w:pPr>
            <w:r>
              <w:rPr>
                <w:rFonts w:cs="Arial"/>
                <w:sz w:val="20"/>
                <w:szCs w:val="20"/>
              </w:rPr>
              <w:t>South East Water</w:t>
            </w:r>
          </w:p>
          <w:p w14:paraId="3B9BBF58" w14:textId="77777777" w:rsidR="008D1BC5" w:rsidRDefault="008D1BC5" w:rsidP="002668A9">
            <w:pPr>
              <w:rPr>
                <w:rFonts w:cs="Arial"/>
                <w:sz w:val="20"/>
                <w:szCs w:val="20"/>
              </w:rPr>
            </w:pPr>
            <w:r>
              <w:rPr>
                <w:rFonts w:cs="Arial"/>
                <w:sz w:val="20"/>
                <w:szCs w:val="20"/>
              </w:rPr>
              <w:t>Viva Energy Australia</w:t>
            </w:r>
          </w:p>
          <w:p w14:paraId="1498BF40" w14:textId="61086217" w:rsidR="008D1BC5" w:rsidRPr="002668A9" w:rsidRDefault="008D1BC5" w:rsidP="008D1BC5">
            <w:pPr>
              <w:rPr>
                <w:rFonts w:cs="Arial"/>
                <w:sz w:val="20"/>
                <w:szCs w:val="20"/>
              </w:rPr>
            </w:pPr>
            <w:r>
              <w:rPr>
                <w:rFonts w:cs="Arial"/>
                <w:sz w:val="20"/>
                <w:szCs w:val="20"/>
              </w:rPr>
              <w:t>WA Government</w:t>
            </w:r>
          </w:p>
        </w:tc>
        <w:tc>
          <w:tcPr>
            <w:tcW w:w="2004" w:type="pct"/>
            <w:shd w:val="clear" w:color="auto" w:fill="auto"/>
            <w:tcMar>
              <w:top w:w="0" w:type="dxa"/>
              <w:left w:w="108" w:type="dxa"/>
              <w:bottom w:w="0" w:type="dxa"/>
              <w:right w:w="108" w:type="dxa"/>
            </w:tcMar>
          </w:tcPr>
          <w:p w14:paraId="42EDC5C7" w14:textId="029EB623" w:rsidR="008D1BC5" w:rsidRPr="002668A9" w:rsidRDefault="008D1BC5" w:rsidP="002668A9">
            <w:pPr>
              <w:rPr>
                <w:rFonts w:cs="Arial"/>
                <w:sz w:val="20"/>
                <w:szCs w:val="20"/>
              </w:rPr>
            </w:pPr>
            <w:r w:rsidRPr="002668A9">
              <w:rPr>
                <w:rFonts w:cs="Arial"/>
                <w:sz w:val="20"/>
                <w:szCs w:val="20"/>
              </w:rPr>
              <w:t xml:space="preserve">Amendments </w:t>
            </w:r>
            <w:r>
              <w:rPr>
                <w:rFonts w:cs="Arial"/>
                <w:sz w:val="20"/>
                <w:szCs w:val="20"/>
              </w:rPr>
              <w:t xml:space="preserve">to the NEMP 2.0 </w:t>
            </w:r>
            <w:r w:rsidRPr="002668A9">
              <w:rPr>
                <w:rFonts w:cs="Arial"/>
                <w:sz w:val="20"/>
                <w:szCs w:val="20"/>
              </w:rPr>
              <w:t>to address in-scope matters included:</w:t>
            </w:r>
          </w:p>
          <w:p w14:paraId="36C94C3B" w14:textId="77777777" w:rsidR="008D1BC5" w:rsidRPr="002668A9" w:rsidRDefault="008D1BC5" w:rsidP="00400F4D">
            <w:pPr>
              <w:pStyle w:val="bullet1"/>
            </w:pPr>
            <w:r w:rsidRPr="002668A9">
              <w:t>articulating that the goal is to provide a robust interim storage solution until a more effective treatment or disposal solution becomes available</w:t>
            </w:r>
          </w:p>
          <w:p w14:paraId="637E4900" w14:textId="77777777" w:rsidR="008D1BC5" w:rsidRPr="002668A9" w:rsidRDefault="008D1BC5" w:rsidP="00400F4D">
            <w:pPr>
              <w:pStyle w:val="bullet1"/>
            </w:pPr>
            <w:r w:rsidRPr="002668A9">
              <w:t>recommending a site-specific assessment that considers the potential for PFAS to be released into the surrounding environment and the control measures required to prevent such a release.</w:t>
            </w:r>
          </w:p>
          <w:p w14:paraId="7EC36F78" w14:textId="77777777" w:rsidR="008D1BC5" w:rsidRPr="002668A9" w:rsidRDefault="008D1BC5" w:rsidP="00400F4D">
            <w:pPr>
              <w:pStyle w:val="bullet1"/>
            </w:pPr>
            <w:r w:rsidRPr="002668A9">
              <w:t xml:space="preserve">removal of all reference to wastewater treatment plant effluent. </w:t>
            </w:r>
          </w:p>
          <w:p w14:paraId="2A985312" w14:textId="2F92FD16" w:rsidR="008D1BC5" w:rsidRPr="002668A9" w:rsidRDefault="008D1BC5" w:rsidP="002668A9">
            <w:pPr>
              <w:rPr>
                <w:rFonts w:cs="Arial"/>
                <w:sz w:val="20"/>
                <w:szCs w:val="20"/>
              </w:rPr>
            </w:pPr>
            <w:r w:rsidRPr="002668A9">
              <w:rPr>
                <w:rFonts w:cs="Arial"/>
                <w:sz w:val="20"/>
                <w:szCs w:val="20"/>
              </w:rPr>
              <w:t xml:space="preserve">Some suggestions were considered but not </w:t>
            </w:r>
            <w:r>
              <w:rPr>
                <w:rFonts w:cs="Arial"/>
                <w:sz w:val="20"/>
                <w:szCs w:val="20"/>
              </w:rPr>
              <w:t>pursued</w:t>
            </w:r>
            <w:r w:rsidRPr="002668A9">
              <w:rPr>
                <w:rFonts w:cs="Arial"/>
                <w:sz w:val="20"/>
                <w:szCs w:val="20"/>
              </w:rPr>
              <w:t xml:space="preserve"> because:</w:t>
            </w:r>
          </w:p>
          <w:p w14:paraId="30B79269" w14:textId="77777777" w:rsidR="008D1BC5" w:rsidRPr="002668A9" w:rsidRDefault="008D1BC5" w:rsidP="00400F4D">
            <w:pPr>
              <w:pStyle w:val="bullet1"/>
            </w:pPr>
            <w:r w:rsidRPr="002668A9">
              <w:t>they would not significantly improve the readability or the flow of information</w:t>
            </w:r>
          </w:p>
          <w:p w14:paraId="0D789AD1" w14:textId="77777777" w:rsidR="008D1BC5" w:rsidRPr="002668A9" w:rsidRDefault="008D1BC5" w:rsidP="00400F4D">
            <w:pPr>
              <w:pStyle w:val="bullet1"/>
            </w:pPr>
            <w:r w:rsidRPr="002668A9">
              <w:t>they would introduce regulatory perspectives into national guidance</w:t>
            </w:r>
          </w:p>
          <w:p w14:paraId="66D80124" w14:textId="5F420B1A" w:rsidR="008D1BC5" w:rsidRPr="002668A9" w:rsidRDefault="008D1BC5" w:rsidP="00400F4D">
            <w:pPr>
              <w:pStyle w:val="bullet1"/>
            </w:pPr>
            <w:r w:rsidRPr="002668A9">
              <w:t>the draft NEMP 2.0 text provide</w:t>
            </w:r>
            <w:r>
              <w:t>s</w:t>
            </w:r>
            <w:r w:rsidRPr="002668A9">
              <w:t xml:space="preserve"> adequate guidance</w:t>
            </w:r>
          </w:p>
          <w:p w14:paraId="07B0AB48" w14:textId="77777777" w:rsidR="008D1BC5" w:rsidRPr="002668A9" w:rsidRDefault="008D1BC5" w:rsidP="00400F4D">
            <w:pPr>
              <w:pStyle w:val="bullet1"/>
            </w:pPr>
            <w:r w:rsidRPr="002668A9">
              <w:t>matters associated with sewage / wastewater treatment plants are addressed by text in other parts of the PFAS NEMP 2.0</w:t>
            </w:r>
          </w:p>
          <w:p w14:paraId="1FA79D89" w14:textId="611F8AE4" w:rsidR="008D1BC5" w:rsidRPr="002668A9" w:rsidRDefault="008D1BC5" w:rsidP="00400F4D">
            <w:pPr>
              <w:pStyle w:val="bullet1"/>
            </w:pPr>
            <w:r w:rsidRPr="002668A9">
              <w:t>matters relating to off-site disposal are addressed in other parts of the NEMP</w:t>
            </w:r>
            <w:r>
              <w:t xml:space="preserve"> 2.</w:t>
            </w:r>
            <w:r w:rsidRPr="002668A9" w:rsidDel="00400F4D">
              <w:t>0</w:t>
            </w:r>
            <w:r w:rsidRPr="002668A9">
              <w:t>.</w:t>
            </w:r>
          </w:p>
        </w:tc>
      </w:tr>
    </w:tbl>
    <w:p w14:paraId="281BCFE3" w14:textId="77777777" w:rsidR="002668A9" w:rsidRPr="002668A9" w:rsidRDefault="002668A9" w:rsidP="002668A9">
      <w:pPr>
        <w:rPr>
          <w:rFonts w:cs="Arial"/>
          <w:sz w:val="20"/>
          <w:szCs w:val="20"/>
        </w:rPr>
        <w:sectPr w:rsidR="002668A9" w:rsidRPr="002668A9" w:rsidSect="00752938">
          <w:headerReference w:type="default" r:id="rId28"/>
          <w:headerReference w:type="first" r:id="rId29"/>
          <w:pgSz w:w="16839" w:h="11907" w:orient="landscape" w:code="9"/>
          <w:pgMar w:top="720" w:right="720" w:bottom="720" w:left="720" w:header="708" w:footer="708" w:gutter="0"/>
          <w:cols w:space="708"/>
          <w:titlePg/>
          <w:docGrid w:linePitch="360"/>
        </w:sectPr>
      </w:pPr>
    </w:p>
    <w:p w14:paraId="4E02EFBC" w14:textId="77386332" w:rsidR="001E3D6F" w:rsidRPr="002668A9" w:rsidRDefault="0075060B" w:rsidP="00DC0FE0">
      <w:pPr>
        <w:pStyle w:val="Heading2"/>
      </w:pPr>
      <w:bookmarkStart w:id="22" w:name="_Toc23434022"/>
      <w:bookmarkStart w:id="23" w:name="_Toc24644153"/>
      <w:bookmarkStart w:id="24" w:name="_Toc24720642"/>
      <w:bookmarkStart w:id="25" w:name="_Toc39837452"/>
      <w:r>
        <w:lastRenderedPageBreak/>
        <w:t xml:space="preserve">Table </w:t>
      </w:r>
      <w:r w:rsidR="00931114" w:rsidRPr="002668A9">
        <w:t>E.</w:t>
      </w:r>
      <w:r w:rsidR="00931114" w:rsidRPr="002668A9">
        <w:tab/>
      </w:r>
      <w:r w:rsidR="001E3D6F" w:rsidRPr="002668A9">
        <w:t>Out of scope</w:t>
      </w:r>
      <w:bookmarkEnd w:id="22"/>
      <w:bookmarkEnd w:id="23"/>
      <w:r w:rsidR="00437D3D" w:rsidRPr="002668A9">
        <w:t xml:space="preserve"> matters</w:t>
      </w:r>
      <w:bookmarkEnd w:id="24"/>
      <w:bookmarkEnd w:id="25"/>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142" w:type="dxa"/>
          <w:right w:w="142" w:type="dxa"/>
        </w:tblCellMar>
        <w:tblLook w:val="04A0" w:firstRow="1" w:lastRow="0" w:firstColumn="1" w:lastColumn="0" w:noHBand="0" w:noVBand="1"/>
      </w:tblPr>
      <w:tblGrid>
        <w:gridCol w:w="2404"/>
        <w:gridCol w:w="3970"/>
        <w:gridCol w:w="2836"/>
        <w:gridCol w:w="6084"/>
      </w:tblGrid>
      <w:tr w:rsidR="002668A9" w:rsidRPr="002668A9" w14:paraId="34F72C22" w14:textId="77777777" w:rsidTr="00AF2F8F">
        <w:trPr>
          <w:tblHeader/>
        </w:trPr>
        <w:tc>
          <w:tcPr>
            <w:tcW w:w="786" w:type="pct"/>
            <w:shd w:val="clear" w:color="auto" w:fill="DEEAF6" w:themeFill="accent1" w:themeFillTint="33"/>
          </w:tcPr>
          <w:p w14:paraId="61B3E8F2" w14:textId="77777777" w:rsidR="002668A9" w:rsidRPr="002668A9" w:rsidRDefault="002668A9" w:rsidP="00D06AC1">
            <w:pPr>
              <w:rPr>
                <w:rFonts w:cs="Arial"/>
                <w:sz w:val="20"/>
                <w:szCs w:val="20"/>
              </w:rPr>
            </w:pPr>
            <w:r w:rsidRPr="002668A9">
              <w:rPr>
                <w:rFonts w:cs="Arial"/>
                <w:b/>
                <w:bCs/>
                <w:sz w:val="20"/>
                <w:szCs w:val="20"/>
              </w:rPr>
              <w:t>Theme</w:t>
            </w:r>
          </w:p>
        </w:tc>
        <w:tc>
          <w:tcPr>
            <w:tcW w:w="1298" w:type="pct"/>
            <w:shd w:val="clear" w:color="auto" w:fill="DEEAF6" w:themeFill="accent1" w:themeFillTint="33"/>
          </w:tcPr>
          <w:p w14:paraId="4DFC6A19" w14:textId="40F3DC21" w:rsidR="002668A9" w:rsidRPr="002668A9" w:rsidRDefault="00C86185" w:rsidP="00D06AC1">
            <w:pPr>
              <w:rPr>
                <w:rFonts w:cs="Arial"/>
                <w:b/>
                <w:bCs/>
                <w:sz w:val="20"/>
                <w:szCs w:val="20"/>
              </w:rPr>
            </w:pPr>
            <w:r>
              <w:rPr>
                <w:rFonts w:cs="Arial"/>
                <w:b/>
                <w:bCs/>
                <w:sz w:val="20"/>
                <w:szCs w:val="20"/>
              </w:rPr>
              <w:t>Summary of feedback</w:t>
            </w:r>
          </w:p>
        </w:tc>
        <w:tc>
          <w:tcPr>
            <w:tcW w:w="927" w:type="pct"/>
            <w:shd w:val="clear" w:color="auto" w:fill="DEEAF6" w:themeFill="accent1" w:themeFillTint="33"/>
          </w:tcPr>
          <w:p w14:paraId="677F2748" w14:textId="52EC0DFE" w:rsidR="002668A9" w:rsidRPr="002668A9" w:rsidRDefault="00C86185" w:rsidP="00D06AC1">
            <w:pPr>
              <w:rPr>
                <w:rFonts w:cs="Arial"/>
                <w:b/>
                <w:bCs/>
                <w:sz w:val="20"/>
                <w:szCs w:val="20"/>
              </w:rPr>
            </w:pPr>
            <w:r>
              <w:rPr>
                <w:rFonts w:cs="Arial"/>
                <w:b/>
                <w:bCs/>
                <w:sz w:val="20"/>
                <w:szCs w:val="20"/>
              </w:rPr>
              <w:t>Submissions commenting</w:t>
            </w:r>
          </w:p>
        </w:tc>
        <w:tc>
          <w:tcPr>
            <w:tcW w:w="1989" w:type="pct"/>
            <w:shd w:val="clear" w:color="auto" w:fill="DEEAF6" w:themeFill="accent1" w:themeFillTint="33"/>
          </w:tcPr>
          <w:p w14:paraId="1412EC12" w14:textId="77777777" w:rsidR="002668A9" w:rsidRPr="002668A9" w:rsidRDefault="002668A9" w:rsidP="00D06AC1">
            <w:pPr>
              <w:rPr>
                <w:rFonts w:cs="Arial"/>
                <w:b/>
                <w:bCs/>
                <w:sz w:val="20"/>
                <w:szCs w:val="20"/>
              </w:rPr>
            </w:pPr>
            <w:r w:rsidRPr="002668A9">
              <w:rPr>
                <w:rFonts w:cs="Arial"/>
                <w:b/>
                <w:bCs/>
                <w:sz w:val="20"/>
                <w:szCs w:val="20"/>
              </w:rPr>
              <w:t>Response</w:t>
            </w:r>
          </w:p>
        </w:tc>
      </w:tr>
      <w:tr w:rsidR="00AF2F8F" w:rsidRPr="002668A9" w14:paraId="10314508" w14:textId="77777777" w:rsidTr="00A13E48">
        <w:trPr>
          <w:trHeight w:val="1872"/>
        </w:trPr>
        <w:tc>
          <w:tcPr>
            <w:tcW w:w="786" w:type="pct"/>
            <w:tcBorders>
              <w:bottom w:val="single" w:sz="4" w:space="0" w:color="auto"/>
            </w:tcBorders>
          </w:tcPr>
          <w:p w14:paraId="47560D27" w14:textId="77777777" w:rsidR="00AF2F8F" w:rsidRPr="002668A9" w:rsidRDefault="00AF2F8F" w:rsidP="000252F6">
            <w:pPr>
              <w:rPr>
                <w:rFonts w:cs="Arial"/>
                <w:sz w:val="20"/>
                <w:szCs w:val="20"/>
              </w:rPr>
            </w:pPr>
            <w:r w:rsidRPr="002668A9">
              <w:rPr>
                <w:rFonts w:cs="Arial"/>
                <w:sz w:val="20"/>
                <w:szCs w:val="20"/>
              </w:rPr>
              <w:t>Water quality guidelines</w:t>
            </w:r>
          </w:p>
        </w:tc>
        <w:tc>
          <w:tcPr>
            <w:tcW w:w="1298" w:type="pct"/>
            <w:tcBorders>
              <w:bottom w:val="single" w:sz="4" w:space="0" w:color="auto"/>
            </w:tcBorders>
          </w:tcPr>
          <w:p w14:paraId="4B437473" w14:textId="77777777" w:rsidR="00AF2F8F" w:rsidRDefault="00AF2F8F" w:rsidP="000252F6">
            <w:pPr>
              <w:rPr>
                <w:rFonts w:cs="Arial"/>
                <w:sz w:val="20"/>
                <w:szCs w:val="20"/>
              </w:rPr>
            </w:pPr>
            <w:r w:rsidRPr="002668A9">
              <w:rPr>
                <w:rFonts w:cs="Arial"/>
                <w:sz w:val="20"/>
                <w:szCs w:val="20"/>
              </w:rPr>
              <w:t xml:space="preserve">Submissions provided feedback on a range of topics related to the Australian and New Zealand Guidelines for Fresh </w:t>
            </w:r>
            <w:r>
              <w:rPr>
                <w:rFonts w:cs="Arial"/>
                <w:sz w:val="20"/>
                <w:szCs w:val="20"/>
              </w:rPr>
              <w:t>and Marine Water Quality (Water Quality Guidelines)</w:t>
            </w:r>
            <w:r w:rsidRPr="002668A9">
              <w:rPr>
                <w:rFonts w:cs="Arial"/>
                <w:sz w:val="20"/>
                <w:szCs w:val="20"/>
              </w:rPr>
              <w:t xml:space="preserve">. </w:t>
            </w:r>
            <w:r>
              <w:rPr>
                <w:rFonts w:cs="Arial"/>
                <w:sz w:val="20"/>
                <w:szCs w:val="20"/>
              </w:rPr>
              <w:t xml:space="preserve">While the WQG </w:t>
            </w:r>
            <w:r w:rsidRPr="002668A9">
              <w:rPr>
                <w:rFonts w:cs="Arial"/>
                <w:sz w:val="20"/>
                <w:szCs w:val="20"/>
              </w:rPr>
              <w:t xml:space="preserve">default guideline values (DGVs) </w:t>
            </w:r>
            <w:r>
              <w:rPr>
                <w:rFonts w:cs="Arial"/>
                <w:sz w:val="20"/>
                <w:szCs w:val="20"/>
              </w:rPr>
              <w:t xml:space="preserve">are developed under a separate national framework (the </w:t>
            </w:r>
            <w:r w:rsidRPr="00BF5FD9">
              <w:rPr>
                <w:rFonts w:cs="Arial"/>
                <w:i/>
                <w:sz w:val="20"/>
                <w:szCs w:val="20"/>
              </w:rPr>
              <w:t>National Water Quality Management Strategy</w:t>
            </w:r>
            <w:r>
              <w:rPr>
                <w:rFonts w:cs="Arial"/>
                <w:sz w:val="20"/>
                <w:szCs w:val="20"/>
              </w:rPr>
              <w:t>), responses are provided to clarify the historic development and current status of the DGVs referenced in the NEMP.</w:t>
            </w:r>
          </w:p>
          <w:p w14:paraId="75D72D1A" w14:textId="77777777" w:rsidR="00AF2F8F" w:rsidRDefault="00AF2F8F" w:rsidP="000252F6">
            <w:pPr>
              <w:rPr>
                <w:rFonts w:cs="Arial"/>
                <w:sz w:val="20"/>
                <w:szCs w:val="20"/>
              </w:rPr>
            </w:pPr>
            <w:r>
              <w:rPr>
                <w:rFonts w:cs="Arial"/>
                <w:sz w:val="20"/>
                <w:szCs w:val="20"/>
              </w:rPr>
              <w:t>The main matters raised in feedback relate to:</w:t>
            </w:r>
          </w:p>
          <w:p w14:paraId="5AEA29AB" w14:textId="77777777" w:rsidR="00AF2F8F" w:rsidRDefault="00AF2F8F" w:rsidP="000252F6">
            <w:pPr>
              <w:pStyle w:val="bullet1"/>
            </w:pPr>
            <w:r w:rsidRPr="00AF5B8C">
              <w:t xml:space="preserve">The </w:t>
            </w:r>
            <w:r>
              <w:t>process to develop and the standing of the draft PFOS</w:t>
            </w:r>
            <w:r w:rsidRPr="00AF5B8C">
              <w:t xml:space="preserve"> </w:t>
            </w:r>
            <w:r>
              <w:t xml:space="preserve">freshwater DGVs (2015) and the data used in generating them, specifically the inclusion of the </w:t>
            </w:r>
            <w:r w:rsidRPr="00AF5B8C">
              <w:t>Keiter, 2012</w:t>
            </w:r>
            <w:r>
              <w:t xml:space="preserve"> zebrafish data.  Comment was offered on the use of the term ‘draft’.</w:t>
            </w:r>
          </w:p>
          <w:p w14:paraId="644D5C43" w14:textId="77777777" w:rsidR="00AF2F8F" w:rsidRDefault="00AF2F8F" w:rsidP="000252F6">
            <w:pPr>
              <w:pStyle w:val="bullet1"/>
            </w:pPr>
            <w:r>
              <w:t>The status of the marine DGVs for PFOS and PFOA.</w:t>
            </w:r>
          </w:p>
          <w:p w14:paraId="06D959B3" w14:textId="79958D7F" w:rsidR="00AF2F8F" w:rsidRDefault="00AF2F8F" w:rsidP="000252F6">
            <w:pPr>
              <w:pStyle w:val="bullet1"/>
            </w:pPr>
            <w:r>
              <w:t xml:space="preserve">Requests for the DGVs to be revised in the NEMP, </w:t>
            </w:r>
            <w:r w:rsidRPr="00AF5B8C">
              <w:t>in accordance with</w:t>
            </w:r>
            <w:r>
              <w:t xml:space="preserve"> the Revised National Method (2018) and </w:t>
            </w:r>
            <w:r>
              <w:lastRenderedPageBreak/>
              <w:t>for information on the process to further develop the DGVs (</w:t>
            </w:r>
            <w:r w:rsidR="000B0C8E">
              <w:t>e.g.</w:t>
            </w:r>
            <w:r>
              <w:t xml:space="preserve"> timeframe).</w:t>
            </w:r>
          </w:p>
          <w:p w14:paraId="5B52D5F5" w14:textId="77777777" w:rsidR="00AF2F8F" w:rsidRDefault="00AF2F8F" w:rsidP="000252F6">
            <w:pPr>
              <w:pStyle w:val="bullet1"/>
            </w:pPr>
            <w:r>
              <w:t>A</w:t>
            </w:r>
            <w:r w:rsidRPr="00AF5B8C">
              <w:t xml:space="preserve"> </w:t>
            </w:r>
            <w:r>
              <w:t xml:space="preserve">call for </w:t>
            </w:r>
            <w:r w:rsidRPr="00AF5B8C">
              <w:t xml:space="preserve">regulatory impact </w:t>
            </w:r>
            <w:r>
              <w:t>analysis of the Water Quality Guidelines</w:t>
            </w:r>
            <w:r w:rsidRPr="00AF5B8C">
              <w:t>.</w:t>
            </w:r>
          </w:p>
          <w:p w14:paraId="13E6FF1C" w14:textId="77777777" w:rsidR="00AF2F8F" w:rsidRPr="00BF5FD9" w:rsidRDefault="00AF2F8F" w:rsidP="000252F6">
            <w:pPr>
              <w:pStyle w:val="bullet1"/>
            </w:pPr>
            <w:r>
              <w:t>The need for further clarity on application of the Water Quality Guidelines for bioaccumulative toxicants such as PFOS and PFOA and specifically application of the 95% DGV.</w:t>
            </w:r>
          </w:p>
        </w:tc>
        <w:tc>
          <w:tcPr>
            <w:tcW w:w="927" w:type="pct"/>
            <w:tcBorders>
              <w:bottom w:val="single" w:sz="4" w:space="0" w:color="auto"/>
            </w:tcBorders>
          </w:tcPr>
          <w:p w14:paraId="1FD58641" w14:textId="77777777" w:rsidR="00AF2F8F" w:rsidRDefault="00AF2F8F" w:rsidP="000252F6">
            <w:pPr>
              <w:rPr>
                <w:rFonts w:cs="Arial"/>
                <w:sz w:val="20"/>
                <w:szCs w:val="20"/>
              </w:rPr>
            </w:pPr>
            <w:r>
              <w:rPr>
                <w:rFonts w:cs="Arial"/>
                <w:sz w:val="20"/>
                <w:szCs w:val="20"/>
              </w:rPr>
              <w:lastRenderedPageBreak/>
              <w:t>Australasian Land and Groundwater Association - submission 1</w:t>
            </w:r>
          </w:p>
          <w:p w14:paraId="5D8C1E1D" w14:textId="77777777" w:rsidR="00AF2F8F" w:rsidRDefault="00AF2F8F" w:rsidP="000252F6">
            <w:pPr>
              <w:rPr>
                <w:rFonts w:cs="Arial"/>
                <w:sz w:val="20"/>
                <w:szCs w:val="20"/>
              </w:rPr>
            </w:pPr>
            <w:r>
              <w:rPr>
                <w:rFonts w:cs="Arial"/>
                <w:sz w:val="20"/>
                <w:szCs w:val="20"/>
              </w:rPr>
              <w:t>Australia Pacific Airports Corporation</w:t>
            </w:r>
          </w:p>
          <w:p w14:paraId="636C28B5" w14:textId="77777777" w:rsidR="00AF2F8F" w:rsidRDefault="00AF2F8F" w:rsidP="000252F6">
            <w:pPr>
              <w:rPr>
                <w:rFonts w:cs="Arial"/>
                <w:sz w:val="20"/>
                <w:szCs w:val="20"/>
              </w:rPr>
            </w:pPr>
            <w:r>
              <w:rPr>
                <w:rFonts w:cs="Arial"/>
                <w:sz w:val="20"/>
                <w:szCs w:val="20"/>
              </w:rPr>
              <w:t>Australian Government - Airservices Australia</w:t>
            </w:r>
          </w:p>
          <w:p w14:paraId="4762905B" w14:textId="77777777" w:rsidR="00AF2F8F" w:rsidRPr="002668A9" w:rsidRDefault="00AF2F8F" w:rsidP="000252F6">
            <w:pPr>
              <w:rPr>
                <w:rFonts w:cs="Arial"/>
                <w:sz w:val="20"/>
                <w:szCs w:val="20"/>
              </w:rPr>
            </w:pPr>
            <w:r>
              <w:rPr>
                <w:rFonts w:cs="Arial"/>
                <w:sz w:val="20"/>
                <w:szCs w:val="20"/>
              </w:rPr>
              <w:t>BMT Western Australia</w:t>
            </w:r>
          </w:p>
          <w:p w14:paraId="2B48BC6A" w14:textId="77777777" w:rsidR="00AF2F8F" w:rsidRDefault="00AF2F8F" w:rsidP="000252F6">
            <w:pPr>
              <w:rPr>
                <w:rFonts w:cs="Arial"/>
                <w:sz w:val="20"/>
                <w:szCs w:val="20"/>
              </w:rPr>
            </w:pPr>
            <w:r>
              <w:rPr>
                <w:rFonts w:cs="Arial"/>
                <w:sz w:val="20"/>
                <w:szCs w:val="20"/>
              </w:rPr>
              <w:t>Brisbane Airport Corporation</w:t>
            </w:r>
          </w:p>
          <w:p w14:paraId="207101AE" w14:textId="77777777" w:rsidR="00AF2F8F" w:rsidRPr="002668A9" w:rsidRDefault="00AF2F8F" w:rsidP="000252F6">
            <w:pPr>
              <w:rPr>
                <w:rFonts w:cs="Arial"/>
                <w:sz w:val="20"/>
                <w:szCs w:val="20"/>
              </w:rPr>
            </w:pPr>
            <w:r>
              <w:rPr>
                <w:rFonts w:cs="Arial"/>
                <w:sz w:val="20"/>
                <w:szCs w:val="20"/>
              </w:rPr>
              <w:t>CRC CARE</w:t>
            </w:r>
          </w:p>
          <w:p w14:paraId="2A5A3B84" w14:textId="77777777" w:rsidR="00AF2F8F" w:rsidRDefault="00AF2F8F" w:rsidP="000252F6">
            <w:pPr>
              <w:rPr>
                <w:rFonts w:cs="Arial"/>
                <w:sz w:val="20"/>
                <w:szCs w:val="20"/>
              </w:rPr>
            </w:pPr>
            <w:r>
              <w:rPr>
                <w:rFonts w:cs="Arial"/>
                <w:sz w:val="20"/>
                <w:szCs w:val="20"/>
              </w:rPr>
              <w:t>ExxonMobil Australia</w:t>
            </w:r>
          </w:p>
          <w:p w14:paraId="62A9FF7B" w14:textId="77777777" w:rsidR="00AF2F8F" w:rsidRPr="002668A9" w:rsidRDefault="00AF2F8F" w:rsidP="000252F6">
            <w:pPr>
              <w:rPr>
                <w:rFonts w:cs="Arial"/>
                <w:sz w:val="20"/>
                <w:szCs w:val="20"/>
              </w:rPr>
            </w:pPr>
            <w:r>
              <w:rPr>
                <w:rFonts w:cs="Arial"/>
                <w:sz w:val="20"/>
                <w:szCs w:val="20"/>
              </w:rPr>
              <w:t>Hunter Water</w:t>
            </w:r>
          </w:p>
          <w:p w14:paraId="2EBB0B4B" w14:textId="77777777" w:rsidR="00AF2F8F" w:rsidRDefault="00AF2F8F" w:rsidP="000252F6">
            <w:pPr>
              <w:rPr>
                <w:rFonts w:cs="Arial"/>
                <w:sz w:val="20"/>
                <w:szCs w:val="20"/>
              </w:rPr>
            </w:pPr>
            <w:r>
              <w:rPr>
                <w:rFonts w:cs="Arial"/>
                <w:sz w:val="20"/>
                <w:szCs w:val="20"/>
              </w:rPr>
              <w:t>Queensland Airports Ltd</w:t>
            </w:r>
          </w:p>
          <w:p w14:paraId="58AD0E84" w14:textId="77777777" w:rsidR="00AF2F8F" w:rsidRPr="002668A9" w:rsidRDefault="00AF2F8F" w:rsidP="000252F6">
            <w:pPr>
              <w:rPr>
                <w:rFonts w:cs="Arial"/>
                <w:sz w:val="20"/>
                <w:szCs w:val="20"/>
              </w:rPr>
            </w:pPr>
            <w:r>
              <w:rPr>
                <w:rFonts w:cs="Arial"/>
                <w:sz w:val="20"/>
                <w:szCs w:val="20"/>
              </w:rPr>
              <w:t>WA Government</w:t>
            </w:r>
          </w:p>
        </w:tc>
        <w:tc>
          <w:tcPr>
            <w:tcW w:w="1989" w:type="pct"/>
            <w:tcBorders>
              <w:bottom w:val="single" w:sz="4" w:space="0" w:color="auto"/>
            </w:tcBorders>
          </w:tcPr>
          <w:p w14:paraId="0212C8BB" w14:textId="77777777" w:rsidR="00AF2F8F" w:rsidRPr="002668A9" w:rsidRDefault="00AF2F8F" w:rsidP="000252F6">
            <w:pPr>
              <w:rPr>
                <w:rFonts w:cs="Arial"/>
                <w:sz w:val="20"/>
                <w:szCs w:val="20"/>
              </w:rPr>
            </w:pPr>
            <w:r w:rsidRPr="002668A9">
              <w:rPr>
                <w:rFonts w:cs="Arial"/>
                <w:sz w:val="20"/>
                <w:szCs w:val="20"/>
              </w:rPr>
              <w:t>The DGVs for PFOS and PFOA are set under the Australian and New Zealand Guidelines for Fresh and Marine Water Quality (</w:t>
            </w:r>
            <w:r>
              <w:rPr>
                <w:rFonts w:cs="Arial"/>
                <w:sz w:val="20"/>
                <w:szCs w:val="20"/>
              </w:rPr>
              <w:t>Water Quality Guidelines</w:t>
            </w:r>
            <w:r w:rsidRPr="002668A9">
              <w:rPr>
                <w:rFonts w:cs="Arial"/>
                <w:sz w:val="20"/>
                <w:szCs w:val="20"/>
              </w:rPr>
              <w:t>), in accordance with the nationally-agreed process and the associated method for deriving DGVs [National Method for Deriving Australian and New Zealand Water Quality Guideline Values for Toxicants (the National Method)].</w:t>
            </w:r>
          </w:p>
          <w:p w14:paraId="25AB5B31" w14:textId="77777777" w:rsidR="00AF2F8F" w:rsidRPr="002668A9" w:rsidRDefault="00AF2F8F" w:rsidP="000252F6">
            <w:pPr>
              <w:rPr>
                <w:rFonts w:cs="Arial"/>
                <w:sz w:val="20"/>
                <w:szCs w:val="20"/>
              </w:rPr>
            </w:pPr>
            <w:r w:rsidRPr="002668A9">
              <w:rPr>
                <w:rFonts w:cs="Arial"/>
                <w:sz w:val="20"/>
                <w:szCs w:val="20"/>
              </w:rPr>
              <w:t xml:space="preserve">The </w:t>
            </w:r>
            <w:r>
              <w:rPr>
                <w:rFonts w:cs="Arial"/>
                <w:sz w:val="20"/>
                <w:szCs w:val="20"/>
              </w:rPr>
              <w:t>Water Quality Guidelines</w:t>
            </w:r>
            <w:r w:rsidRPr="002668A9">
              <w:rPr>
                <w:rFonts w:cs="Arial"/>
                <w:sz w:val="20"/>
                <w:szCs w:val="20"/>
              </w:rPr>
              <w:t xml:space="preserve"> provide guidance and DGVs for a range of toxicants to assist water catchment managers to set water quality objectives and then work with communities to achieve those objectives. DGVs are therefore not remediation values nor are they discharge values although they can be used to inform water quality management practices.</w:t>
            </w:r>
          </w:p>
          <w:p w14:paraId="39D6358E" w14:textId="77777777" w:rsidR="00AF2F8F" w:rsidRPr="002668A9" w:rsidRDefault="00AF2F8F" w:rsidP="000252F6">
            <w:pPr>
              <w:rPr>
                <w:rFonts w:cs="Arial"/>
                <w:sz w:val="20"/>
                <w:szCs w:val="20"/>
              </w:rPr>
            </w:pPr>
            <w:r w:rsidRPr="002668A9">
              <w:rPr>
                <w:rFonts w:cs="Arial"/>
                <w:sz w:val="20"/>
                <w:szCs w:val="20"/>
              </w:rPr>
              <w:t>In the NEMP, the DGVs are referenced as investigation levels only. They are not remediation or discharge levels. However, with other lines of evidence, they may contribute to the setting of risk based remediation or discharge advice.</w:t>
            </w:r>
          </w:p>
          <w:p w14:paraId="69D14F64" w14:textId="77777777" w:rsidR="00AF2F8F" w:rsidRPr="002668A9" w:rsidRDefault="00AF2F8F" w:rsidP="000252F6">
            <w:pPr>
              <w:rPr>
                <w:rFonts w:cs="Arial"/>
                <w:sz w:val="20"/>
                <w:szCs w:val="20"/>
              </w:rPr>
            </w:pPr>
            <w:r>
              <w:rPr>
                <w:rFonts w:cs="Arial"/>
                <w:sz w:val="20"/>
                <w:szCs w:val="20"/>
              </w:rPr>
              <w:t>As</w:t>
            </w:r>
            <w:r w:rsidRPr="002668A9">
              <w:rPr>
                <w:rFonts w:cs="Arial"/>
                <w:sz w:val="20"/>
                <w:szCs w:val="20"/>
              </w:rPr>
              <w:t xml:space="preserve"> DGVs are amended under the WQG process, the NEMP will be updated.</w:t>
            </w:r>
          </w:p>
          <w:p w14:paraId="1DDFA21F" w14:textId="77777777" w:rsidR="00AF2F8F" w:rsidRPr="002668A9" w:rsidRDefault="00AF2F8F" w:rsidP="000252F6">
            <w:pPr>
              <w:rPr>
                <w:rFonts w:cs="Arial"/>
                <w:sz w:val="20"/>
                <w:szCs w:val="20"/>
              </w:rPr>
            </w:pPr>
            <w:r w:rsidRPr="002668A9">
              <w:rPr>
                <w:rFonts w:cs="Arial"/>
                <w:sz w:val="20"/>
                <w:szCs w:val="20"/>
              </w:rPr>
              <w:t xml:space="preserve">Section 13 of the NEMP </w:t>
            </w:r>
            <w:r>
              <w:rPr>
                <w:rFonts w:cs="Arial"/>
                <w:sz w:val="20"/>
                <w:szCs w:val="20"/>
              </w:rPr>
              <w:t>2.0</w:t>
            </w:r>
            <w:r w:rsidRPr="002668A9">
              <w:rPr>
                <w:rFonts w:cs="Arial"/>
                <w:sz w:val="20"/>
                <w:szCs w:val="20"/>
              </w:rPr>
              <w:t xml:space="preserve"> discusses remediation. Remediation values should be determined with the relevant regulator taking into account community and ecological values at the specific site.</w:t>
            </w:r>
          </w:p>
          <w:p w14:paraId="275B3D3B" w14:textId="3B9D6D8B" w:rsidR="00AF2F8F" w:rsidRPr="002E5F0F" w:rsidRDefault="00635E8A" w:rsidP="000252F6">
            <w:pPr>
              <w:rPr>
                <w:rFonts w:cs="Arial"/>
                <w:sz w:val="20"/>
                <w:szCs w:val="20"/>
                <w:u w:val="single"/>
              </w:rPr>
            </w:pPr>
            <w:r>
              <w:rPr>
                <w:rFonts w:ascii="ZWAdobeF" w:hAnsi="ZWAdobeF" w:cs="ZWAdobeF"/>
                <w:sz w:val="2"/>
                <w:szCs w:val="2"/>
              </w:rPr>
              <w:t>U</w:t>
            </w:r>
            <w:r w:rsidR="00860798">
              <w:rPr>
                <w:rFonts w:ascii="ZWAdobeF" w:hAnsi="ZWAdobeF" w:cs="ZWAdobeF"/>
                <w:sz w:val="2"/>
                <w:szCs w:val="2"/>
              </w:rPr>
              <w:t>U</w:t>
            </w:r>
            <w:r w:rsidR="00AF2F8F" w:rsidRPr="002E5F0F">
              <w:rPr>
                <w:rFonts w:cs="Arial"/>
                <w:sz w:val="20"/>
                <w:szCs w:val="20"/>
                <w:u w:val="single"/>
              </w:rPr>
              <w:t>Derivation of the 2015 freshwater PFOS and PFOA technical draft DGVs</w:t>
            </w:r>
          </w:p>
          <w:p w14:paraId="7248BC39" w14:textId="77777777" w:rsidR="00AF2F8F" w:rsidRPr="002668A9" w:rsidRDefault="00AF2F8F" w:rsidP="000252F6">
            <w:pPr>
              <w:rPr>
                <w:rFonts w:cs="Arial"/>
                <w:sz w:val="20"/>
                <w:szCs w:val="20"/>
              </w:rPr>
            </w:pPr>
            <w:r w:rsidRPr="002668A9">
              <w:rPr>
                <w:rFonts w:cs="Arial"/>
                <w:sz w:val="20"/>
                <w:szCs w:val="20"/>
              </w:rPr>
              <w:t xml:space="preserve">In 2015, and prior to the publication of NEMP 1.0 in January 2018, draft freshwater DGVs for PFOS and PFOA were </w:t>
            </w:r>
            <w:r w:rsidRPr="002668A9">
              <w:rPr>
                <w:rFonts w:cs="Arial"/>
                <w:sz w:val="20"/>
                <w:szCs w:val="20"/>
              </w:rPr>
              <w:lastRenderedPageBreak/>
              <w:t xml:space="preserve">developed under the agreed </w:t>
            </w:r>
            <w:r>
              <w:rPr>
                <w:rFonts w:cs="Arial"/>
                <w:sz w:val="20"/>
                <w:szCs w:val="20"/>
              </w:rPr>
              <w:t>Water Quality Guidelines</w:t>
            </w:r>
            <w:r w:rsidRPr="002668A9">
              <w:rPr>
                <w:rFonts w:cs="Arial"/>
                <w:sz w:val="20"/>
                <w:szCs w:val="20"/>
              </w:rPr>
              <w:t xml:space="preserve"> process, according to the agreed National Method. </w:t>
            </w:r>
            <w:r>
              <w:rPr>
                <w:rFonts w:cs="Arial"/>
                <w:sz w:val="20"/>
                <w:szCs w:val="20"/>
              </w:rPr>
              <w:t xml:space="preserve">(The term ‘draft’ was used consistent with WQG terminology. </w:t>
            </w:r>
            <w:r w:rsidRPr="002668A9">
              <w:rPr>
                <w:rFonts w:cs="Arial"/>
                <w:sz w:val="20"/>
                <w:szCs w:val="20"/>
              </w:rPr>
              <w:t xml:space="preserve">Following technical clearance, the </w:t>
            </w:r>
            <w:r>
              <w:rPr>
                <w:rFonts w:cs="Arial"/>
                <w:sz w:val="20"/>
                <w:szCs w:val="20"/>
              </w:rPr>
              <w:t>draft</w:t>
            </w:r>
            <w:r w:rsidRPr="002668A9">
              <w:rPr>
                <w:rFonts w:cs="Arial"/>
                <w:sz w:val="20"/>
                <w:szCs w:val="20"/>
              </w:rPr>
              <w:t xml:space="preserve"> DGVs for PFOS and PFOA were circulated by the </w:t>
            </w:r>
            <w:r>
              <w:rPr>
                <w:rFonts w:cs="Arial"/>
                <w:sz w:val="20"/>
                <w:szCs w:val="20"/>
              </w:rPr>
              <w:t xml:space="preserve">then </w:t>
            </w:r>
            <w:r w:rsidRPr="002668A9">
              <w:rPr>
                <w:rFonts w:cs="Arial"/>
                <w:sz w:val="20"/>
                <w:szCs w:val="20"/>
              </w:rPr>
              <w:t xml:space="preserve">Department of Agriculture and Water Resources (DAWR) to the states and territories in December 2015 for information. These values were then referenced in several jurisdictional policy documents during 2017. </w:t>
            </w:r>
          </w:p>
          <w:p w14:paraId="6B69D4F5" w14:textId="77777777" w:rsidR="00AF2F8F" w:rsidRPr="002668A9" w:rsidRDefault="00AF2F8F" w:rsidP="000252F6">
            <w:pPr>
              <w:rPr>
                <w:rFonts w:cs="Arial"/>
                <w:sz w:val="20"/>
                <w:szCs w:val="20"/>
              </w:rPr>
            </w:pPr>
            <w:r w:rsidRPr="002668A9">
              <w:rPr>
                <w:rFonts w:cs="Arial"/>
                <w:sz w:val="20"/>
                <w:szCs w:val="20"/>
              </w:rPr>
              <w:t>Subsequently, extensive discussions occurred among Australia’s national water quality experts, with the aim of finalising the DGVs. These discussions concluded the National Method had been rigorously applied</w:t>
            </w:r>
            <w:r>
              <w:rPr>
                <w:rFonts w:cs="Arial"/>
                <w:sz w:val="20"/>
                <w:szCs w:val="20"/>
              </w:rPr>
              <w:t>,</w:t>
            </w:r>
            <w:r w:rsidRPr="002668A9">
              <w:rPr>
                <w:rFonts w:cs="Arial"/>
                <w:sz w:val="20"/>
                <w:szCs w:val="20"/>
              </w:rPr>
              <w:t xml:space="preserve"> including </w:t>
            </w:r>
            <w:r>
              <w:rPr>
                <w:rFonts w:cs="Arial"/>
                <w:sz w:val="20"/>
                <w:szCs w:val="20"/>
              </w:rPr>
              <w:t>through the</w:t>
            </w:r>
            <w:r w:rsidRPr="002668A9">
              <w:rPr>
                <w:rFonts w:cs="Arial"/>
                <w:sz w:val="20"/>
                <w:szCs w:val="20"/>
              </w:rPr>
              <w:t xml:space="preserve"> use of the multigenerational (Keiter </w:t>
            </w:r>
            <w:r w:rsidRPr="002668A9">
              <w:rPr>
                <w:rFonts w:cs="Arial"/>
                <w:i/>
                <w:sz w:val="20"/>
                <w:szCs w:val="20"/>
              </w:rPr>
              <w:t>et a</w:t>
            </w:r>
            <w:r w:rsidRPr="002668A9">
              <w:rPr>
                <w:rFonts w:cs="Arial"/>
                <w:sz w:val="20"/>
                <w:szCs w:val="20"/>
              </w:rPr>
              <w:t xml:space="preserve">l) zebrafish data. Furthermore, multigenerational data </w:t>
            </w:r>
            <w:r>
              <w:rPr>
                <w:rFonts w:cs="Arial"/>
                <w:sz w:val="20"/>
                <w:szCs w:val="20"/>
              </w:rPr>
              <w:t>are</w:t>
            </w:r>
            <w:r w:rsidRPr="002668A9">
              <w:rPr>
                <w:rFonts w:cs="Arial"/>
                <w:sz w:val="20"/>
                <w:szCs w:val="20"/>
              </w:rPr>
              <w:t xml:space="preserve"> considered highly relevant for inclusion in the PFOS species sensitivity distribution dataset, given the persistent, bioaccumulative and toxic</w:t>
            </w:r>
            <w:r w:rsidRPr="002668A9" w:rsidDel="00E97425">
              <w:rPr>
                <w:rFonts w:cs="Arial"/>
                <w:sz w:val="20"/>
                <w:szCs w:val="20"/>
              </w:rPr>
              <w:t xml:space="preserve"> </w:t>
            </w:r>
            <w:r w:rsidRPr="002668A9">
              <w:rPr>
                <w:rFonts w:cs="Arial"/>
                <w:sz w:val="20"/>
                <w:szCs w:val="20"/>
              </w:rPr>
              <w:t>nature of PFOS.</w:t>
            </w:r>
            <w:r>
              <w:rPr>
                <w:rFonts w:cs="Arial"/>
                <w:sz w:val="20"/>
                <w:szCs w:val="20"/>
              </w:rPr>
              <w:t xml:space="preserve"> However, it became apparent that the National Method, although robust for contaminants such as metals, was not well able to resolve some of the characteristics of the dataset around this chemical.</w:t>
            </w:r>
          </w:p>
          <w:p w14:paraId="561BBDC1" w14:textId="21802EC3" w:rsidR="00AF2F8F" w:rsidRPr="002E5F0F" w:rsidRDefault="00635E8A" w:rsidP="000252F6">
            <w:pPr>
              <w:rPr>
                <w:rFonts w:cs="Arial"/>
                <w:sz w:val="20"/>
                <w:szCs w:val="20"/>
                <w:u w:val="single"/>
              </w:rPr>
            </w:pPr>
            <w:r>
              <w:rPr>
                <w:rFonts w:ascii="ZWAdobeF" w:hAnsi="ZWAdobeF" w:cs="ZWAdobeF"/>
                <w:sz w:val="2"/>
                <w:szCs w:val="2"/>
              </w:rPr>
              <w:t>U</w:t>
            </w:r>
            <w:r w:rsidR="00860798">
              <w:rPr>
                <w:rFonts w:ascii="ZWAdobeF" w:hAnsi="ZWAdobeF" w:cs="ZWAdobeF"/>
                <w:sz w:val="2"/>
                <w:szCs w:val="2"/>
              </w:rPr>
              <w:t>U</w:t>
            </w:r>
            <w:r w:rsidR="00AF2F8F">
              <w:rPr>
                <w:rFonts w:cs="Arial"/>
                <w:sz w:val="20"/>
                <w:szCs w:val="20"/>
                <w:u w:val="single"/>
              </w:rPr>
              <w:t>L</w:t>
            </w:r>
            <w:r w:rsidR="00AF2F8F" w:rsidRPr="002E5F0F">
              <w:rPr>
                <w:rFonts w:cs="Arial"/>
                <w:sz w:val="20"/>
                <w:szCs w:val="20"/>
                <w:u w:val="single"/>
              </w:rPr>
              <w:t xml:space="preserve">evels of PFOS </w:t>
            </w:r>
            <w:r w:rsidR="00AF2F8F">
              <w:rPr>
                <w:rFonts w:cs="Arial"/>
                <w:sz w:val="20"/>
                <w:szCs w:val="20"/>
                <w:u w:val="single"/>
              </w:rPr>
              <w:t xml:space="preserve">detected in the environment </w:t>
            </w:r>
            <w:r w:rsidR="00AF2F8F" w:rsidRPr="002E5F0F">
              <w:rPr>
                <w:rFonts w:cs="Arial"/>
                <w:sz w:val="20"/>
                <w:szCs w:val="20"/>
                <w:u w:val="single"/>
              </w:rPr>
              <w:t xml:space="preserve">and closeness to </w:t>
            </w:r>
            <w:r w:rsidR="00AF2F8F">
              <w:rPr>
                <w:rFonts w:cs="Arial"/>
                <w:sz w:val="20"/>
                <w:szCs w:val="20"/>
                <w:u w:val="single"/>
              </w:rPr>
              <w:t xml:space="preserve">the </w:t>
            </w:r>
            <w:r w:rsidR="00AF2F8F" w:rsidRPr="002E5F0F">
              <w:rPr>
                <w:rFonts w:cs="Arial"/>
                <w:sz w:val="20"/>
                <w:szCs w:val="20"/>
                <w:u w:val="single"/>
              </w:rPr>
              <w:t>99% DGV</w:t>
            </w:r>
          </w:p>
          <w:p w14:paraId="014B6D9C" w14:textId="77777777" w:rsidR="00AF2F8F" w:rsidRPr="002668A9" w:rsidRDefault="00AF2F8F" w:rsidP="000252F6">
            <w:pPr>
              <w:rPr>
                <w:rFonts w:cs="Arial"/>
                <w:sz w:val="20"/>
                <w:szCs w:val="20"/>
              </w:rPr>
            </w:pPr>
            <w:r w:rsidRPr="002668A9">
              <w:rPr>
                <w:rFonts w:cs="Arial"/>
                <w:sz w:val="20"/>
                <w:szCs w:val="20"/>
              </w:rPr>
              <w:t xml:space="preserve">PFOS levels higher than the 99% species protection level </w:t>
            </w:r>
            <w:r>
              <w:rPr>
                <w:rFonts w:cs="Arial"/>
                <w:sz w:val="20"/>
                <w:szCs w:val="20"/>
              </w:rPr>
              <w:t>may be</w:t>
            </w:r>
            <w:r w:rsidRPr="002668A9">
              <w:rPr>
                <w:rFonts w:cs="Arial"/>
                <w:sz w:val="20"/>
                <w:szCs w:val="20"/>
              </w:rPr>
              <w:t xml:space="preserve"> observed</w:t>
            </w:r>
            <w:r>
              <w:rPr>
                <w:rFonts w:cs="Arial"/>
                <w:sz w:val="20"/>
                <w:szCs w:val="20"/>
              </w:rPr>
              <w:t xml:space="preserve"> in the </w:t>
            </w:r>
            <w:r w:rsidRPr="002668A9">
              <w:rPr>
                <w:rFonts w:cs="Arial"/>
                <w:sz w:val="20"/>
                <w:szCs w:val="20"/>
              </w:rPr>
              <w:t xml:space="preserve">environment. The National Method allows for such situations in the real world. For example, catchment managers can accept any detectable concentration as an exceedance of the DGV or, alternatively, adopt the 80th </w:t>
            </w:r>
            <w:r w:rsidRPr="002668A9">
              <w:rPr>
                <w:rFonts w:cs="Arial"/>
                <w:sz w:val="20"/>
                <w:szCs w:val="20"/>
              </w:rPr>
              <w:lastRenderedPageBreak/>
              <w:t>percentile of the background concentration as the water quality guideline.</w:t>
            </w:r>
          </w:p>
          <w:p w14:paraId="45B89AA4" w14:textId="4D8EAA55" w:rsidR="00AF2F8F" w:rsidRPr="00A32F56" w:rsidRDefault="00635E8A" w:rsidP="000252F6">
            <w:pPr>
              <w:rPr>
                <w:rFonts w:cs="Arial"/>
                <w:sz w:val="20"/>
                <w:szCs w:val="20"/>
                <w:u w:val="single"/>
              </w:rPr>
            </w:pPr>
            <w:r>
              <w:rPr>
                <w:rFonts w:ascii="ZWAdobeF" w:hAnsi="ZWAdobeF" w:cs="ZWAdobeF"/>
                <w:sz w:val="2"/>
                <w:szCs w:val="2"/>
              </w:rPr>
              <w:t>U</w:t>
            </w:r>
            <w:r w:rsidR="00860798">
              <w:rPr>
                <w:rFonts w:ascii="ZWAdobeF" w:hAnsi="ZWAdobeF" w:cs="ZWAdobeF"/>
                <w:sz w:val="2"/>
                <w:szCs w:val="2"/>
              </w:rPr>
              <w:t>U</w:t>
            </w:r>
            <w:r w:rsidR="00AF2F8F" w:rsidRPr="00A32F56">
              <w:rPr>
                <w:rFonts w:cs="Arial"/>
                <w:sz w:val="20"/>
                <w:szCs w:val="20"/>
                <w:u w:val="single"/>
              </w:rPr>
              <w:t>Use of DGVs that are around the limit of reporting (LOR)</w:t>
            </w:r>
          </w:p>
          <w:p w14:paraId="56115C6C" w14:textId="77777777" w:rsidR="00AF2F8F" w:rsidRPr="002668A9" w:rsidRDefault="00AF2F8F" w:rsidP="000252F6">
            <w:pPr>
              <w:rPr>
                <w:rFonts w:cs="Arial"/>
                <w:sz w:val="20"/>
                <w:szCs w:val="20"/>
              </w:rPr>
            </w:pPr>
            <w:r w:rsidRPr="002668A9">
              <w:rPr>
                <w:rFonts w:cs="Arial"/>
                <w:sz w:val="20"/>
                <w:szCs w:val="20"/>
              </w:rPr>
              <w:t>The 2015 PFOS 99% species protection level (0.23 ng/L) is around the available commercial laboratory limits of reporting, although it is noted that over time, laboratory limits of reporting may be lowered further.</w:t>
            </w:r>
          </w:p>
          <w:p w14:paraId="73136E2D" w14:textId="1067ACFC" w:rsidR="00AF2F8F" w:rsidRDefault="00AF2F8F" w:rsidP="000252F6">
            <w:pPr>
              <w:rPr>
                <w:rFonts w:cs="Arial"/>
                <w:sz w:val="20"/>
                <w:szCs w:val="20"/>
              </w:rPr>
            </w:pPr>
            <w:r w:rsidRPr="002668A9">
              <w:rPr>
                <w:rFonts w:cs="Arial"/>
                <w:sz w:val="20"/>
                <w:szCs w:val="20"/>
              </w:rPr>
              <w:t>Under the National Method, modifying the endpoints selected in the PFOS dataset cannot be justified on the basis of laboratory quantitation.</w:t>
            </w:r>
            <w:r>
              <w:rPr>
                <w:rFonts w:cs="Arial"/>
                <w:sz w:val="20"/>
                <w:szCs w:val="20"/>
              </w:rPr>
              <w:t xml:space="preserve">  Note there are also DGVs for other toxicants for which the 99% species protection value is below the Limit of Reporting, including chlorpyrifos</w:t>
            </w:r>
            <w:r w:rsidR="00635E8A">
              <w:rPr>
                <w:rFonts w:ascii="ZWAdobeF" w:hAnsi="ZWAdobeF" w:cs="ZWAdobeF"/>
                <w:sz w:val="2"/>
                <w:szCs w:val="2"/>
              </w:rPr>
              <w:t>P0F</w:t>
            </w:r>
            <w:r w:rsidR="00860798">
              <w:rPr>
                <w:rFonts w:ascii="ZWAdobeF" w:hAnsi="ZWAdobeF" w:cs="ZWAdobeF"/>
                <w:sz w:val="2"/>
                <w:szCs w:val="2"/>
              </w:rPr>
              <w:t>P0F</w:t>
            </w:r>
            <w:r>
              <w:rPr>
                <w:rStyle w:val="FootnoteReference"/>
                <w:rFonts w:cs="Arial"/>
                <w:sz w:val="20"/>
                <w:szCs w:val="20"/>
              </w:rPr>
              <w:footnoteReference w:id="2"/>
            </w:r>
            <w:r w:rsidR="00860798">
              <w:rPr>
                <w:rFonts w:ascii="ZWAdobeF" w:hAnsi="ZWAdobeF" w:cs="ZWAdobeF"/>
                <w:sz w:val="2"/>
                <w:szCs w:val="2"/>
              </w:rPr>
              <w:t>P</w:t>
            </w:r>
            <w:r w:rsidR="00635E8A">
              <w:rPr>
                <w:rFonts w:ascii="ZWAdobeF" w:hAnsi="ZWAdobeF" w:cs="ZWAdobeF"/>
                <w:sz w:val="2"/>
                <w:szCs w:val="2"/>
              </w:rPr>
              <w:t>P</w:t>
            </w:r>
            <w:r>
              <w:rPr>
                <w:rFonts w:cs="Arial"/>
                <w:sz w:val="20"/>
                <w:szCs w:val="20"/>
              </w:rPr>
              <w:t xml:space="preserve"> which has a 99% species protection value of 0.04 ng/L and quantitation limit is 100 ng/L.</w:t>
            </w:r>
          </w:p>
          <w:p w14:paraId="4B76B779" w14:textId="75296142" w:rsidR="00AF2F8F" w:rsidRPr="002E5F0F" w:rsidRDefault="00635E8A" w:rsidP="000252F6">
            <w:pPr>
              <w:rPr>
                <w:rFonts w:cs="Arial"/>
                <w:sz w:val="20"/>
                <w:szCs w:val="20"/>
                <w:u w:val="single"/>
              </w:rPr>
            </w:pPr>
            <w:r>
              <w:rPr>
                <w:rFonts w:ascii="ZWAdobeF" w:hAnsi="ZWAdobeF" w:cs="ZWAdobeF"/>
                <w:sz w:val="2"/>
                <w:szCs w:val="2"/>
              </w:rPr>
              <w:t>U</w:t>
            </w:r>
            <w:r w:rsidR="00860798">
              <w:rPr>
                <w:rFonts w:ascii="ZWAdobeF" w:hAnsi="ZWAdobeF" w:cs="ZWAdobeF"/>
                <w:sz w:val="2"/>
                <w:szCs w:val="2"/>
              </w:rPr>
              <w:t>U</w:t>
            </w:r>
            <w:r w:rsidR="00AF2F8F" w:rsidRPr="002E5F0F">
              <w:rPr>
                <w:rFonts w:cs="Arial"/>
                <w:sz w:val="20"/>
                <w:szCs w:val="20"/>
                <w:u w:val="single"/>
              </w:rPr>
              <w:t>Status of Marine DGVs for PFOS and PFOA</w:t>
            </w:r>
          </w:p>
          <w:p w14:paraId="24697201" w14:textId="77777777" w:rsidR="00AF2F8F" w:rsidRPr="002668A9" w:rsidRDefault="00AF2F8F" w:rsidP="000252F6">
            <w:pPr>
              <w:rPr>
                <w:rFonts w:cs="Arial"/>
                <w:sz w:val="20"/>
                <w:szCs w:val="20"/>
              </w:rPr>
            </w:pPr>
            <w:r w:rsidRPr="002668A9">
              <w:rPr>
                <w:rFonts w:cs="Arial"/>
                <w:sz w:val="20"/>
                <w:szCs w:val="20"/>
              </w:rPr>
              <w:t xml:space="preserve">The proposed marine DGVs for PFOS and PFOA were submitted through the </w:t>
            </w:r>
            <w:r>
              <w:rPr>
                <w:rFonts w:cs="Arial"/>
                <w:sz w:val="20"/>
                <w:szCs w:val="20"/>
              </w:rPr>
              <w:t>Water Quality Guidelines</w:t>
            </w:r>
            <w:r w:rsidRPr="002668A9">
              <w:rPr>
                <w:rFonts w:cs="Arial"/>
                <w:sz w:val="20"/>
                <w:szCs w:val="20"/>
              </w:rPr>
              <w:t xml:space="preserve"> third party process in November 2017 after the text of the proposed PFAS NEMP 1.0 had been finalised. </w:t>
            </w:r>
            <w:r>
              <w:rPr>
                <w:rFonts w:cs="Arial"/>
                <w:sz w:val="20"/>
                <w:szCs w:val="20"/>
              </w:rPr>
              <w:t>They have not yet</w:t>
            </w:r>
            <w:r w:rsidRPr="002668A9">
              <w:rPr>
                <w:rFonts w:cs="Arial"/>
                <w:sz w:val="20"/>
                <w:szCs w:val="20"/>
              </w:rPr>
              <w:t xml:space="preserve"> progressed through the formal WQG peer review process.</w:t>
            </w:r>
            <w:r>
              <w:rPr>
                <w:rFonts w:cs="Arial"/>
                <w:sz w:val="20"/>
                <w:szCs w:val="20"/>
              </w:rPr>
              <w:t xml:space="preserve"> The NEMP 2.0</w:t>
            </w:r>
            <w:r w:rsidRPr="002668A9">
              <w:rPr>
                <w:rFonts w:cs="Arial"/>
                <w:sz w:val="20"/>
                <w:szCs w:val="20"/>
              </w:rPr>
              <w:t xml:space="preserve"> reference</w:t>
            </w:r>
            <w:r>
              <w:rPr>
                <w:rFonts w:cs="Arial"/>
                <w:sz w:val="20"/>
                <w:szCs w:val="20"/>
              </w:rPr>
              <w:t>s</w:t>
            </w:r>
            <w:r w:rsidRPr="002668A9">
              <w:rPr>
                <w:rFonts w:cs="Arial"/>
                <w:sz w:val="20"/>
                <w:szCs w:val="20"/>
              </w:rPr>
              <w:t xml:space="preserve"> draft DGVs </w:t>
            </w:r>
            <w:r>
              <w:rPr>
                <w:rFonts w:cs="Arial"/>
                <w:sz w:val="20"/>
                <w:szCs w:val="20"/>
              </w:rPr>
              <w:t>that had progressed through</w:t>
            </w:r>
            <w:r w:rsidRPr="002668A9">
              <w:rPr>
                <w:rFonts w:cs="Arial"/>
                <w:sz w:val="20"/>
                <w:szCs w:val="20"/>
              </w:rPr>
              <w:t xml:space="preserve"> formal WQG peer review process</w:t>
            </w:r>
            <w:r>
              <w:rPr>
                <w:rFonts w:cs="Arial"/>
                <w:sz w:val="20"/>
                <w:szCs w:val="20"/>
              </w:rPr>
              <w:t xml:space="preserve"> and had been accepted by the relevant government committees</w:t>
            </w:r>
            <w:r w:rsidRPr="002668A9">
              <w:rPr>
                <w:rFonts w:cs="Arial"/>
                <w:sz w:val="20"/>
                <w:szCs w:val="20"/>
              </w:rPr>
              <w:t>.</w:t>
            </w:r>
          </w:p>
          <w:p w14:paraId="7C474A0E" w14:textId="4F850DC6" w:rsidR="00AF2F8F" w:rsidRPr="002E5F0F" w:rsidRDefault="00635E8A" w:rsidP="000252F6">
            <w:pPr>
              <w:rPr>
                <w:rFonts w:cs="Arial"/>
                <w:sz w:val="20"/>
                <w:szCs w:val="20"/>
                <w:u w:val="single"/>
              </w:rPr>
            </w:pPr>
            <w:r>
              <w:rPr>
                <w:rFonts w:ascii="ZWAdobeF" w:hAnsi="ZWAdobeF" w:cs="ZWAdobeF"/>
                <w:sz w:val="2"/>
                <w:szCs w:val="2"/>
              </w:rPr>
              <w:lastRenderedPageBreak/>
              <w:t>U</w:t>
            </w:r>
            <w:r w:rsidR="00860798">
              <w:rPr>
                <w:rFonts w:ascii="ZWAdobeF" w:hAnsi="ZWAdobeF" w:cs="ZWAdobeF"/>
                <w:sz w:val="2"/>
                <w:szCs w:val="2"/>
              </w:rPr>
              <w:t>U</w:t>
            </w:r>
            <w:r w:rsidR="00AF2F8F" w:rsidRPr="002E5F0F">
              <w:rPr>
                <w:rFonts w:cs="Arial"/>
                <w:sz w:val="20"/>
                <w:szCs w:val="20"/>
                <w:u w:val="single"/>
              </w:rPr>
              <w:t>Revised National Method (2018) and re derivation of draft DGVs for PFOS and PFOA</w:t>
            </w:r>
          </w:p>
          <w:p w14:paraId="55F0F60B" w14:textId="77777777" w:rsidR="00AF2F8F" w:rsidRPr="002668A9" w:rsidRDefault="00AF2F8F" w:rsidP="000252F6">
            <w:pPr>
              <w:rPr>
                <w:rFonts w:cs="Arial"/>
                <w:sz w:val="20"/>
                <w:szCs w:val="20"/>
              </w:rPr>
            </w:pPr>
            <w:r w:rsidRPr="002668A9">
              <w:rPr>
                <w:rFonts w:cs="Arial"/>
                <w:sz w:val="20"/>
                <w:szCs w:val="20"/>
              </w:rPr>
              <w:t xml:space="preserve">In July 2018, the revised National Method was agreed by all Australian governments. All draft DGVs were screened by an ad-hoc expert screening group established by the DAWR to determine if the changes to the National Method required re-derivation of the technical draft DGVs. Re-derivation of the PFOS and PFOA freshwater DGVs, along with other draft DGVs including the PFOS and PFOA marine DVGs, was recommended. </w:t>
            </w:r>
          </w:p>
          <w:p w14:paraId="181BE0AF" w14:textId="77777777" w:rsidR="00AF2F8F" w:rsidRDefault="00AF2F8F" w:rsidP="000252F6">
            <w:pPr>
              <w:rPr>
                <w:rFonts w:cs="Arial"/>
                <w:sz w:val="20"/>
                <w:szCs w:val="20"/>
              </w:rPr>
            </w:pPr>
            <w:r w:rsidRPr="002668A9">
              <w:rPr>
                <w:rFonts w:cs="Arial"/>
                <w:sz w:val="20"/>
                <w:szCs w:val="20"/>
              </w:rPr>
              <w:t xml:space="preserve">Work to re-derive the draft PFOS and PFOA freshwater DGVs </w:t>
            </w:r>
            <w:r>
              <w:rPr>
                <w:rFonts w:cs="Arial"/>
                <w:sz w:val="20"/>
                <w:szCs w:val="20"/>
              </w:rPr>
              <w:t>and review a much larger number of endpoints based on a large volume of new literature c</w:t>
            </w:r>
            <w:r w:rsidRPr="002668A9">
              <w:rPr>
                <w:rFonts w:cs="Arial"/>
                <w:sz w:val="20"/>
                <w:szCs w:val="20"/>
              </w:rPr>
              <w:t>ontinues but the task remains complex</w:t>
            </w:r>
            <w:r>
              <w:rPr>
                <w:rFonts w:cs="Arial"/>
                <w:sz w:val="20"/>
                <w:szCs w:val="20"/>
              </w:rPr>
              <w:t xml:space="preserve"> as not all taxonomic groups respond similarly, and that longer study durations appear to identify effects at lower levels. In addition, the method excludes some of the more sensitive endpoints. </w:t>
            </w:r>
          </w:p>
          <w:p w14:paraId="00876781" w14:textId="77777777" w:rsidR="00AF2F8F" w:rsidRDefault="00AF2F8F" w:rsidP="000252F6">
            <w:pPr>
              <w:rPr>
                <w:rFonts w:cs="Arial"/>
                <w:sz w:val="20"/>
                <w:szCs w:val="20"/>
              </w:rPr>
            </w:pPr>
            <w:r>
              <w:rPr>
                <w:rFonts w:cs="Arial"/>
                <w:sz w:val="20"/>
                <w:szCs w:val="20"/>
              </w:rPr>
              <w:t>It is important to note that it is not appropriate to use the old dataset and exclude, for example, all plant endpoints, to generate a new number and use it for assessments. It is noted that while examples of such calculations have been used to illustrate a point about the scale of potential changes as a result of applying a new method in conferences, such calculations do not represent the government process, do not represent the dataset, and are not draft or actual numbers being considered.</w:t>
            </w:r>
          </w:p>
          <w:p w14:paraId="659A6FBE" w14:textId="3E6E34E1" w:rsidR="00AF2F8F" w:rsidRPr="000865CE" w:rsidRDefault="00635E8A" w:rsidP="000252F6">
            <w:pPr>
              <w:pStyle w:val="bullet1"/>
              <w:numPr>
                <w:ilvl w:val="0"/>
                <w:numId w:val="0"/>
              </w:numPr>
              <w:ind w:left="360" w:hanging="360"/>
              <w:rPr>
                <w:u w:val="single"/>
              </w:rPr>
            </w:pPr>
            <w:r>
              <w:rPr>
                <w:rFonts w:ascii="ZWAdobeF" w:hAnsi="ZWAdobeF" w:cs="ZWAdobeF"/>
                <w:sz w:val="2"/>
                <w:szCs w:val="2"/>
              </w:rPr>
              <w:t>U</w:t>
            </w:r>
            <w:r w:rsidR="00860798">
              <w:rPr>
                <w:rFonts w:ascii="ZWAdobeF" w:hAnsi="ZWAdobeF" w:cs="ZWAdobeF"/>
                <w:sz w:val="2"/>
                <w:szCs w:val="2"/>
              </w:rPr>
              <w:t>U</w:t>
            </w:r>
            <w:r w:rsidR="00AF2F8F" w:rsidRPr="000865CE">
              <w:rPr>
                <w:u w:val="single"/>
              </w:rPr>
              <w:t xml:space="preserve">Regulatory impact analysis of the </w:t>
            </w:r>
            <w:r w:rsidR="00AF2F8F">
              <w:rPr>
                <w:u w:val="single"/>
              </w:rPr>
              <w:t>Water Quality Guidelines</w:t>
            </w:r>
          </w:p>
          <w:p w14:paraId="70BDA87C" w14:textId="77777777" w:rsidR="00AF2F8F" w:rsidRDefault="00AF2F8F" w:rsidP="000252F6">
            <w:pPr>
              <w:rPr>
                <w:rFonts w:cs="Arial"/>
                <w:sz w:val="20"/>
                <w:szCs w:val="20"/>
              </w:rPr>
            </w:pPr>
            <w:r w:rsidRPr="002668A9">
              <w:rPr>
                <w:rFonts w:cs="Arial"/>
                <w:sz w:val="20"/>
                <w:szCs w:val="20"/>
              </w:rPr>
              <w:t>Regarding the call</w:t>
            </w:r>
            <w:r>
              <w:rPr>
                <w:rFonts w:cs="Arial"/>
                <w:sz w:val="20"/>
                <w:szCs w:val="20"/>
              </w:rPr>
              <w:t>s</w:t>
            </w:r>
            <w:r w:rsidRPr="002668A9">
              <w:rPr>
                <w:rFonts w:cs="Arial"/>
                <w:sz w:val="20"/>
                <w:szCs w:val="20"/>
              </w:rPr>
              <w:t xml:space="preserve"> for </w:t>
            </w:r>
            <w:r>
              <w:rPr>
                <w:rFonts w:cs="Arial"/>
                <w:sz w:val="20"/>
                <w:szCs w:val="20"/>
              </w:rPr>
              <w:t>regulatory impact analysis:</w:t>
            </w:r>
          </w:p>
          <w:p w14:paraId="36F587E5" w14:textId="77777777" w:rsidR="00AF2F8F" w:rsidRDefault="00AF2F8F" w:rsidP="000252F6">
            <w:pPr>
              <w:pStyle w:val="bullet1"/>
            </w:pPr>
            <w:r>
              <w:lastRenderedPageBreak/>
              <w:t>Re the NEMP</w:t>
            </w:r>
            <w:r w:rsidRPr="002668A9">
              <w:t xml:space="preserve"> </w:t>
            </w:r>
            <w:r>
              <w:t xml:space="preserve">– </w:t>
            </w:r>
            <w:r w:rsidRPr="002668A9">
              <w:t>see the overarchi</w:t>
            </w:r>
            <w:r>
              <w:t xml:space="preserve">ng Q&amp;A section of this document; and </w:t>
            </w:r>
          </w:p>
          <w:p w14:paraId="046B36EF" w14:textId="77777777" w:rsidR="00AF2F8F" w:rsidRDefault="00AF2F8F" w:rsidP="000252F6">
            <w:pPr>
              <w:pStyle w:val="bullet1"/>
            </w:pPr>
            <w:r>
              <w:t>Re the Water Quality Guidelines – similar to the response for the NEMP, Water Quality Guidelines provide national guidance that is implemented under each jurisdiction and as such do not require a RIS.</w:t>
            </w:r>
          </w:p>
          <w:p w14:paraId="20272107" w14:textId="77777777" w:rsidR="00AF2F8F" w:rsidRDefault="00AF2F8F" w:rsidP="000252F6">
            <w:pPr>
              <w:pStyle w:val="bullet1"/>
              <w:numPr>
                <w:ilvl w:val="0"/>
                <w:numId w:val="0"/>
              </w:numPr>
            </w:pPr>
            <w:r w:rsidRPr="006E7F84">
              <w:t xml:space="preserve">Matters relating to the regulatory impact analysis of the Water Quality Guidelines should be addressed to the </w:t>
            </w:r>
            <w:r>
              <w:t xml:space="preserve">relevant area of the </w:t>
            </w:r>
            <w:r w:rsidRPr="006E7F84">
              <w:t>Department of Agriculture, Water and the Environment which has policy responsibility for them.</w:t>
            </w:r>
          </w:p>
          <w:p w14:paraId="182AD7D9" w14:textId="24EF6E50" w:rsidR="00AF2F8F" w:rsidRPr="00A32F56" w:rsidRDefault="00635E8A" w:rsidP="000252F6">
            <w:pPr>
              <w:pStyle w:val="bullet1"/>
              <w:numPr>
                <w:ilvl w:val="0"/>
                <w:numId w:val="0"/>
              </w:numPr>
              <w:rPr>
                <w:u w:val="single"/>
              </w:rPr>
            </w:pPr>
            <w:r>
              <w:rPr>
                <w:rFonts w:ascii="ZWAdobeF" w:hAnsi="ZWAdobeF" w:cs="ZWAdobeF"/>
                <w:sz w:val="2"/>
                <w:szCs w:val="2"/>
              </w:rPr>
              <w:t>U</w:t>
            </w:r>
            <w:r w:rsidR="00860798">
              <w:rPr>
                <w:rFonts w:ascii="ZWAdobeF" w:hAnsi="ZWAdobeF" w:cs="ZWAdobeF"/>
                <w:sz w:val="2"/>
                <w:szCs w:val="2"/>
              </w:rPr>
              <w:t>U</w:t>
            </w:r>
            <w:r w:rsidR="00AF2F8F" w:rsidRPr="00A32F56">
              <w:rPr>
                <w:u w:val="single"/>
              </w:rPr>
              <w:t xml:space="preserve">Application of the </w:t>
            </w:r>
            <w:r w:rsidR="00AF2F8F">
              <w:rPr>
                <w:u w:val="single"/>
              </w:rPr>
              <w:t>Water Quality Guidelines</w:t>
            </w:r>
            <w:r w:rsidR="00AF2F8F" w:rsidRPr="00A32F56">
              <w:rPr>
                <w:u w:val="single"/>
              </w:rPr>
              <w:t xml:space="preserve"> for bioaccumulative toxicants</w:t>
            </w:r>
          </w:p>
          <w:p w14:paraId="3EA74C31" w14:textId="77777777" w:rsidR="00AF2F8F" w:rsidRPr="000F50C6" w:rsidRDefault="00AF2F8F" w:rsidP="000252F6">
            <w:pPr>
              <w:rPr>
                <w:rFonts w:cs="Arial"/>
                <w:sz w:val="20"/>
                <w:szCs w:val="20"/>
              </w:rPr>
            </w:pPr>
            <w:r>
              <w:rPr>
                <w:rFonts w:cs="Arial"/>
                <w:sz w:val="20"/>
                <w:szCs w:val="20"/>
              </w:rPr>
              <w:t xml:space="preserve">In November 2019, the then Department of Agriculture and Water Resources published </w:t>
            </w:r>
            <w:r w:rsidRPr="000F50C6">
              <w:rPr>
                <w:rFonts w:cs="Arial"/>
                <w:sz w:val="20"/>
                <w:szCs w:val="20"/>
              </w:rPr>
              <w:t xml:space="preserve">updated </w:t>
            </w:r>
            <w:r>
              <w:rPr>
                <w:rFonts w:cs="Arial"/>
                <w:sz w:val="20"/>
                <w:szCs w:val="20"/>
              </w:rPr>
              <w:t>WQG guidance on</w:t>
            </w:r>
            <w:r w:rsidRPr="000F50C6">
              <w:rPr>
                <w:rFonts w:cs="Arial"/>
                <w:sz w:val="20"/>
                <w:szCs w:val="20"/>
              </w:rPr>
              <w:t xml:space="preserve"> bioaccumulating compounds. Key aspects include:</w:t>
            </w:r>
          </w:p>
          <w:p w14:paraId="3322BBA8" w14:textId="38C5FFC3" w:rsidR="00AF2F8F" w:rsidRDefault="00AF2F8F" w:rsidP="000252F6">
            <w:pPr>
              <w:pStyle w:val="bullet1"/>
            </w:pPr>
            <w:r>
              <w:t xml:space="preserve">clarifying the reasoning behind the recommended application of a higher level of species protection default guideline value (DGV) for a bioaccumulating compound. The purpose of applying the higher level of protection is to protect both higher level organisms from secondary poisoning (from consuming aquatic biota) </w:t>
            </w:r>
            <w:r w:rsidR="00635E8A">
              <w:rPr>
                <w:rFonts w:ascii="ZWAdobeF" w:hAnsi="ZWAdobeF" w:cs="ZWAdobeF"/>
                <w:sz w:val="2"/>
                <w:szCs w:val="2"/>
              </w:rPr>
              <w:t>16T</w:t>
            </w:r>
            <w:r w:rsidR="00860798">
              <w:rPr>
                <w:rFonts w:ascii="ZWAdobeF" w:hAnsi="ZWAdobeF" w:cs="ZWAdobeF"/>
                <w:sz w:val="2"/>
                <w:szCs w:val="2"/>
              </w:rPr>
              <w:t>16T</w:t>
            </w:r>
            <w:r>
              <w:rPr>
                <w:rStyle w:val="Emphasis"/>
                <w:rFonts w:ascii="Calibri" w:eastAsia="Times New Roman" w:hAnsi="Calibri"/>
                <w:color w:val="000000"/>
              </w:rPr>
              <w:t>as well as</w:t>
            </w:r>
            <w:r w:rsidR="00635E8A">
              <w:rPr>
                <w:rStyle w:val="Emphasis"/>
                <w:rFonts w:ascii="ZWAdobeF" w:eastAsia="Times New Roman" w:hAnsi="ZWAdobeF" w:cs="ZWAdobeF"/>
                <w:i w:val="0"/>
                <w:sz w:val="2"/>
                <w:szCs w:val="2"/>
              </w:rPr>
              <w:t>16T</w:t>
            </w:r>
            <w:r w:rsidR="00860798">
              <w:rPr>
                <w:rStyle w:val="Emphasis"/>
                <w:rFonts w:ascii="ZWAdobeF" w:eastAsia="Times New Roman" w:hAnsi="ZWAdobeF" w:cs="ZWAdobeF"/>
                <w:i w:val="0"/>
                <w:sz w:val="2"/>
                <w:szCs w:val="2"/>
              </w:rPr>
              <w:t>16T</w:t>
            </w:r>
            <w:r>
              <w:t> to protect aquatic biota themselves from additional toxicity due to bioaccumulation; </w:t>
            </w:r>
          </w:p>
          <w:p w14:paraId="5685FD4A" w14:textId="77777777" w:rsidR="00AF2F8F" w:rsidRDefault="00AF2F8F" w:rsidP="000252F6">
            <w:pPr>
              <w:pStyle w:val="bullet1"/>
            </w:pPr>
            <w:r>
              <w:t>more details on the circumstances under which the above recommendation can be relaxed;</w:t>
            </w:r>
          </w:p>
          <w:p w14:paraId="6D52D0E1" w14:textId="77777777" w:rsidR="00AF2F8F" w:rsidRDefault="00AF2F8F" w:rsidP="000252F6">
            <w:pPr>
              <w:pStyle w:val="bullet1"/>
            </w:pPr>
            <w:r>
              <w:t xml:space="preserve">updated descriptions of the processes of bioaccumulation, bioconcentration, biomagnification and trophic magnification, </w:t>
            </w:r>
            <w:r>
              <w:lastRenderedPageBreak/>
              <w:t>and what constitutes a bioaccumulative compound, to reflect the current state of the science; and</w:t>
            </w:r>
          </w:p>
          <w:p w14:paraId="1D242F24" w14:textId="77777777" w:rsidR="00AF2F8F" w:rsidRPr="002668A9" w:rsidRDefault="00AF2F8F" w:rsidP="000252F6">
            <w:pPr>
              <w:pStyle w:val="bullet1"/>
            </w:pPr>
            <w:r>
              <w:t>highlighting the key WQG principle of continual improvement, whereby the primary water quality objective should be to continue to improve, or at least maintain, water quality conditions (i.e. as opposed to 'allowing' increases in toxicant concentration up to a guideline value).</w:t>
            </w:r>
          </w:p>
        </w:tc>
      </w:tr>
      <w:tr w:rsidR="002668A9" w:rsidRPr="002668A9" w14:paraId="4DCE6B7C" w14:textId="77777777" w:rsidTr="00A13E48">
        <w:trPr>
          <w:trHeight w:val="1275"/>
        </w:trPr>
        <w:tc>
          <w:tcPr>
            <w:tcW w:w="786" w:type="pct"/>
            <w:tcBorders>
              <w:bottom w:val="single" w:sz="4" w:space="0" w:color="auto"/>
            </w:tcBorders>
            <w:hideMark/>
          </w:tcPr>
          <w:p w14:paraId="68B04A16" w14:textId="77777777" w:rsidR="002668A9" w:rsidRPr="002668A9" w:rsidRDefault="002668A9" w:rsidP="00D06AC1">
            <w:pPr>
              <w:rPr>
                <w:rFonts w:cs="Arial"/>
                <w:sz w:val="20"/>
                <w:szCs w:val="20"/>
              </w:rPr>
            </w:pPr>
            <w:r w:rsidRPr="002668A9">
              <w:rPr>
                <w:rFonts w:cs="Arial"/>
                <w:sz w:val="20"/>
                <w:szCs w:val="20"/>
              </w:rPr>
              <w:lastRenderedPageBreak/>
              <w:t>Human health matters not considered elsewhere</w:t>
            </w:r>
          </w:p>
        </w:tc>
        <w:tc>
          <w:tcPr>
            <w:tcW w:w="1298" w:type="pct"/>
            <w:tcBorders>
              <w:bottom w:val="single" w:sz="4" w:space="0" w:color="auto"/>
            </w:tcBorders>
            <w:hideMark/>
          </w:tcPr>
          <w:p w14:paraId="4E171FBC" w14:textId="77777777" w:rsidR="002668A9" w:rsidRPr="002668A9" w:rsidRDefault="002668A9" w:rsidP="00D06AC1">
            <w:pPr>
              <w:rPr>
                <w:rFonts w:cs="Arial"/>
                <w:sz w:val="20"/>
                <w:szCs w:val="20"/>
              </w:rPr>
            </w:pPr>
            <w:r w:rsidRPr="002668A9">
              <w:rPr>
                <w:rFonts w:cs="Arial"/>
                <w:sz w:val="20"/>
                <w:szCs w:val="20"/>
              </w:rPr>
              <w:t>Some feedback and suggestions were received on human health matters, including but not limited to the human health guideline values referenced in the NEMP. </w:t>
            </w:r>
          </w:p>
          <w:p w14:paraId="68293ECB" w14:textId="77777777" w:rsidR="002668A9" w:rsidRPr="002668A9" w:rsidRDefault="002668A9" w:rsidP="00D06AC1">
            <w:pPr>
              <w:rPr>
                <w:rFonts w:cs="Arial"/>
                <w:sz w:val="20"/>
                <w:szCs w:val="20"/>
              </w:rPr>
            </w:pPr>
            <w:r w:rsidRPr="002668A9">
              <w:rPr>
                <w:rFonts w:cs="Arial"/>
                <w:sz w:val="20"/>
                <w:szCs w:val="20"/>
              </w:rPr>
              <w:t xml:space="preserve">A key focus was the precautionary approach to protection of human health, including development of guideline values, guidance on managing PFAS in drinking water including in catchments, provision of advice on avoiding PFAS exposure, and associated community concerns. </w:t>
            </w:r>
          </w:p>
          <w:p w14:paraId="115AE73D" w14:textId="77777777" w:rsidR="002668A9" w:rsidRPr="002668A9" w:rsidRDefault="002668A9" w:rsidP="00D06AC1">
            <w:pPr>
              <w:rPr>
                <w:rFonts w:cs="Arial"/>
                <w:sz w:val="20"/>
                <w:szCs w:val="20"/>
              </w:rPr>
            </w:pPr>
            <w:r w:rsidRPr="002668A9">
              <w:rPr>
                <w:rFonts w:cs="Arial"/>
                <w:sz w:val="20"/>
                <w:szCs w:val="20"/>
              </w:rPr>
              <w:t xml:space="preserve">The extensive feedback summarised elsewhere in this document on matters such as environmental guideline values and wastewater is also relevant. </w:t>
            </w:r>
          </w:p>
        </w:tc>
        <w:tc>
          <w:tcPr>
            <w:tcW w:w="927" w:type="pct"/>
            <w:tcBorders>
              <w:bottom w:val="single" w:sz="4" w:space="0" w:color="auto"/>
            </w:tcBorders>
            <w:hideMark/>
          </w:tcPr>
          <w:p w14:paraId="07460097" w14:textId="77777777" w:rsidR="009D0CB0" w:rsidRDefault="009D0CB0" w:rsidP="00D06AC1">
            <w:pPr>
              <w:rPr>
                <w:rFonts w:cs="Arial"/>
                <w:sz w:val="20"/>
                <w:szCs w:val="20"/>
              </w:rPr>
            </w:pPr>
            <w:r>
              <w:rPr>
                <w:rFonts w:cs="Arial"/>
                <w:sz w:val="20"/>
                <w:szCs w:val="20"/>
              </w:rPr>
              <w:t>City of Busselton</w:t>
            </w:r>
          </w:p>
          <w:p w14:paraId="23914845" w14:textId="77777777" w:rsidR="009D0CB0" w:rsidRPr="002668A9" w:rsidRDefault="009D0CB0" w:rsidP="00D06AC1">
            <w:pPr>
              <w:rPr>
                <w:rFonts w:cs="Arial"/>
                <w:sz w:val="20"/>
                <w:szCs w:val="20"/>
              </w:rPr>
            </w:pPr>
            <w:r>
              <w:rPr>
                <w:rFonts w:cs="Arial"/>
                <w:sz w:val="20"/>
                <w:szCs w:val="20"/>
              </w:rPr>
              <w:t>ExxonMobil Australia</w:t>
            </w:r>
          </w:p>
          <w:p w14:paraId="178E4760" w14:textId="77777777" w:rsidR="009D0CB0" w:rsidRPr="002668A9" w:rsidRDefault="009D0CB0" w:rsidP="00D06AC1">
            <w:pPr>
              <w:rPr>
                <w:rFonts w:cs="Arial"/>
                <w:sz w:val="20"/>
                <w:szCs w:val="20"/>
              </w:rPr>
            </w:pPr>
            <w:r>
              <w:rPr>
                <w:rFonts w:cs="Arial"/>
                <w:sz w:val="20"/>
                <w:szCs w:val="20"/>
              </w:rPr>
              <w:t>Friends of the Earth Australia</w:t>
            </w:r>
          </w:p>
          <w:p w14:paraId="31A2005A" w14:textId="4854EC37" w:rsidR="002668A9" w:rsidRPr="002668A9" w:rsidRDefault="009D0CB0" w:rsidP="00D06AC1">
            <w:pPr>
              <w:rPr>
                <w:rFonts w:cs="Arial"/>
                <w:sz w:val="20"/>
                <w:szCs w:val="20"/>
              </w:rPr>
            </w:pPr>
            <w:r>
              <w:rPr>
                <w:rFonts w:cs="Arial"/>
                <w:sz w:val="20"/>
                <w:szCs w:val="20"/>
              </w:rPr>
              <w:t>WA Government</w:t>
            </w:r>
          </w:p>
        </w:tc>
        <w:tc>
          <w:tcPr>
            <w:tcW w:w="1989" w:type="pct"/>
            <w:tcBorders>
              <w:bottom w:val="single" w:sz="4" w:space="0" w:color="auto"/>
            </w:tcBorders>
            <w:hideMark/>
          </w:tcPr>
          <w:p w14:paraId="2EF44D52" w14:textId="11BBFE37" w:rsidR="002668A9" w:rsidRPr="002668A9" w:rsidRDefault="002668A9" w:rsidP="00D06AC1">
            <w:pPr>
              <w:rPr>
                <w:rFonts w:cs="Arial"/>
                <w:sz w:val="20"/>
                <w:szCs w:val="20"/>
              </w:rPr>
            </w:pPr>
            <w:r w:rsidRPr="002668A9">
              <w:rPr>
                <w:rFonts w:cs="Arial"/>
                <w:sz w:val="20"/>
                <w:szCs w:val="20"/>
              </w:rPr>
              <w:t>To assist with integrated risk assessment, the NEMP references human health guideline values developed and published by health regulators</w:t>
            </w:r>
            <w:r w:rsidR="00A25DD0" w:rsidDel="007F2D96">
              <w:rPr>
                <w:rFonts w:cs="Arial"/>
                <w:sz w:val="20"/>
                <w:szCs w:val="20"/>
              </w:rPr>
              <w:t xml:space="preserve"> – the Tolerable Daily Intake, the Drinking Water</w:t>
            </w:r>
            <w:r w:rsidR="00A25DD0">
              <w:rPr>
                <w:rFonts w:cs="Arial"/>
                <w:sz w:val="20"/>
                <w:szCs w:val="20"/>
              </w:rPr>
              <w:t xml:space="preserve"> </w:t>
            </w:r>
            <w:r w:rsidR="00FB68B5">
              <w:rPr>
                <w:rFonts w:cs="Arial"/>
                <w:sz w:val="20"/>
                <w:szCs w:val="20"/>
              </w:rPr>
              <w:t>Guideline and the recreational water guideline</w:t>
            </w:r>
            <w:r w:rsidRPr="002668A9">
              <w:rPr>
                <w:rFonts w:cs="Arial"/>
                <w:sz w:val="20"/>
                <w:szCs w:val="20"/>
              </w:rPr>
              <w:t>. It also includes human health investigation levels for soil developed using a methodology consistent with assumptions set out in the ASC NEPM</w:t>
            </w:r>
            <w:r w:rsidR="00A25DD0">
              <w:rPr>
                <w:rFonts w:cs="Arial"/>
                <w:sz w:val="20"/>
                <w:szCs w:val="20"/>
              </w:rPr>
              <w:t xml:space="preserve"> which already sets Human Investigation Levels in soil for a range of contaminants</w:t>
            </w:r>
            <w:r w:rsidRPr="002668A9">
              <w:rPr>
                <w:rFonts w:cs="Arial"/>
                <w:sz w:val="20"/>
                <w:szCs w:val="20"/>
              </w:rPr>
              <w:t xml:space="preserve">. </w:t>
            </w:r>
          </w:p>
          <w:p w14:paraId="6D470759" w14:textId="77777777" w:rsidR="002668A9" w:rsidRPr="002668A9" w:rsidRDefault="002668A9" w:rsidP="00D06AC1">
            <w:pPr>
              <w:rPr>
                <w:rFonts w:cs="Arial"/>
                <w:sz w:val="20"/>
                <w:szCs w:val="20"/>
              </w:rPr>
            </w:pPr>
            <w:r w:rsidRPr="002668A9">
              <w:rPr>
                <w:rFonts w:cs="Arial"/>
                <w:sz w:val="20"/>
                <w:szCs w:val="20"/>
              </w:rPr>
              <w:t xml:space="preserve">However, health advice and related policy considerations more broadly are not within scope for the NEMP. </w:t>
            </w:r>
          </w:p>
          <w:p w14:paraId="58F1C2E3" w14:textId="77777777" w:rsidR="002668A9" w:rsidRPr="002668A9" w:rsidRDefault="002668A9" w:rsidP="00D06AC1">
            <w:pPr>
              <w:rPr>
                <w:rFonts w:cs="Arial"/>
                <w:sz w:val="20"/>
                <w:szCs w:val="20"/>
              </w:rPr>
            </w:pPr>
            <w:r w:rsidRPr="002668A9">
              <w:rPr>
                <w:rFonts w:cs="Arial"/>
                <w:sz w:val="20"/>
                <w:szCs w:val="20"/>
              </w:rPr>
              <w:t>Feedback received on these matters is therefore being referred to the relevant policy areas within each jurisdiction to inform their future work.</w:t>
            </w:r>
          </w:p>
        </w:tc>
      </w:tr>
      <w:tr w:rsidR="00A13E48" w:rsidRPr="002668A9" w14:paraId="031EB4D8" w14:textId="77777777" w:rsidTr="00A13E48">
        <w:trPr>
          <w:trHeight w:val="2026"/>
        </w:trPr>
        <w:tc>
          <w:tcPr>
            <w:tcW w:w="786" w:type="pct"/>
            <w:tcBorders>
              <w:bottom w:val="single" w:sz="4" w:space="0" w:color="auto"/>
            </w:tcBorders>
          </w:tcPr>
          <w:p w14:paraId="72FF3A81" w14:textId="310F4892" w:rsidR="00A13E48" w:rsidRPr="002668A9" w:rsidRDefault="00A13E48" w:rsidP="00A13E48">
            <w:pPr>
              <w:rPr>
                <w:rFonts w:cs="Arial"/>
                <w:sz w:val="20"/>
                <w:szCs w:val="20"/>
              </w:rPr>
            </w:pPr>
            <w:r>
              <w:rPr>
                <w:rFonts w:cs="Arial"/>
                <w:sz w:val="20"/>
                <w:szCs w:val="20"/>
              </w:rPr>
              <w:lastRenderedPageBreak/>
              <w:t>N</w:t>
            </w:r>
            <w:r w:rsidRPr="002668A9">
              <w:rPr>
                <w:rFonts w:cs="Arial"/>
                <w:sz w:val="20"/>
                <w:szCs w:val="20"/>
              </w:rPr>
              <w:t>ew Zealand-specific matters</w:t>
            </w:r>
          </w:p>
        </w:tc>
        <w:tc>
          <w:tcPr>
            <w:tcW w:w="1298" w:type="pct"/>
            <w:tcBorders>
              <w:bottom w:val="single" w:sz="4" w:space="0" w:color="auto"/>
            </w:tcBorders>
          </w:tcPr>
          <w:p w14:paraId="325FE62D" w14:textId="77777777" w:rsidR="00A13E48" w:rsidRPr="002668A9" w:rsidRDefault="00A13E48" w:rsidP="00A13E48">
            <w:pPr>
              <w:rPr>
                <w:rFonts w:cs="Arial"/>
                <w:sz w:val="20"/>
                <w:szCs w:val="20"/>
              </w:rPr>
            </w:pPr>
            <w:r w:rsidRPr="002668A9">
              <w:rPr>
                <w:rFonts w:cs="Arial"/>
                <w:sz w:val="20"/>
                <w:szCs w:val="20"/>
              </w:rPr>
              <w:t xml:space="preserve">Feedback received from New Zealand stakeholders provided a range of feedback and suggestions, including advice on how the NEMP </w:t>
            </w:r>
            <w:r>
              <w:rPr>
                <w:rFonts w:cs="Arial"/>
                <w:sz w:val="20"/>
                <w:szCs w:val="20"/>
              </w:rPr>
              <w:t>2.0</w:t>
            </w:r>
            <w:r w:rsidRPr="002668A9">
              <w:rPr>
                <w:rFonts w:cs="Arial"/>
                <w:sz w:val="20"/>
                <w:szCs w:val="20"/>
              </w:rPr>
              <w:t xml:space="preserve"> guidance could be adapted to address potential areas of difference between Australia and New Zealand.</w:t>
            </w:r>
          </w:p>
          <w:p w14:paraId="44745CBA" w14:textId="240E1DB9" w:rsidR="00A13E48" w:rsidRPr="002668A9" w:rsidRDefault="00A13E48" w:rsidP="00A13E48">
            <w:pPr>
              <w:rPr>
                <w:rFonts w:cs="Arial"/>
                <w:sz w:val="20"/>
                <w:szCs w:val="20"/>
              </w:rPr>
            </w:pPr>
            <w:r w:rsidRPr="002668A9">
              <w:rPr>
                <w:rFonts w:cs="Arial"/>
                <w:sz w:val="20"/>
                <w:szCs w:val="20"/>
              </w:rPr>
              <w:t>This feedback is repeated elsewhere in this document where relevant, particularly where it relates to future work.</w:t>
            </w:r>
          </w:p>
        </w:tc>
        <w:tc>
          <w:tcPr>
            <w:tcW w:w="927" w:type="pct"/>
            <w:tcBorders>
              <w:bottom w:val="single" w:sz="4" w:space="0" w:color="auto"/>
            </w:tcBorders>
          </w:tcPr>
          <w:p w14:paraId="4C96FFB9" w14:textId="77777777" w:rsidR="00A13E48" w:rsidRDefault="00A13E48" w:rsidP="00A13E48">
            <w:pPr>
              <w:rPr>
                <w:rFonts w:cs="Arial"/>
                <w:sz w:val="20"/>
                <w:szCs w:val="20"/>
              </w:rPr>
            </w:pPr>
            <w:r>
              <w:rPr>
                <w:rFonts w:cs="Arial"/>
                <w:sz w:val="20"/>
                <w:szCs w:val="20"/>
              </w:rPr>
              <w:t>NZ Ministry for the Environment</w:t>
            </w:r>
          </w:p>
          <w:p w14:paraId="3F161AC5" w14:textId="57DD3AEA" w:rsidR="00A13E48" w:rsidRDefault="00A13E48" w:rsidP="00A13E48">
            <w:pPr>
              <w:rPr>
                <w:rFonts w:cs="Arial"/>
                <w:sz w:val="20"/>
                <w:szCs w:val="20"/>
              </w:rPr>
            </w:pPr>
            <w:r>
              <w:rPr>
                <w:rFonts w:cs="Arial"/>
                <w:sz w:val="20"/>
                <w:szCs w:val="20"/>
              </w:rPr>
              <w:t>NZ Regional and Unitary Councils - Contaminated Land and Waste Special Interest Group</w:t>
            </w:r>
          </w:p>
        </w:tc>
        <w:tc>
          <w:tcPr>
            <w:tcW w:w="1989" w:type="pct"/>
            <w:tcBorders>
              <w:bottom w:val="single" w:sz="4" w:space="0" w:color="auto"/>
            </w:tcBorders>
          </w:tcPr>
          <w:p w14:paraId="4E0DD12E" w14:textId="5D2A13A0" w:rsidR="00A13E48" w:rsidRPr="002668A9" w:rsidRDefault="00A13E48" w:rsidP="00A13E48">
            <w:pPr>
              <w:rPr>
                <w:rFonts w:cs="Arial"/>
                <w:sz w:val="20"/>
                <w:szCs w:val="20"/>
              </w:rPr>
            </w:pPr>
            <w:r w:rsidRPr="002668A9">
              <w:rPr>
                <w:rFonts w:cs="Arial"/>
                <w:sz w:val="20"/>
                <w:szCs w:val="20"/>
              </w:rPr>
              <w:t>The feedback provided on potential adaptation of the NEMP to include New Zealand-specific considerations is appreciated. The Ministry for the Environment and the New Zealand EPA have participated in the development of the NEMP 2.0. The HEPA NEMP 2.0 is a joint Australia/New Zealand document, similar to the Australian and New Zealand Guidelines for Fresh and Marine Water Quality, and therefore is applicable to the management of PFAS in New Zealand.  Whil</w:t>
            </w:r>
            <w:r>
              <w:rPr>
                <w:rFonts w:cs="Arial"/>
                <w:sz w:val="20"/>
                <w:szCs w:val="20"/>
              </w:rPr>
              <w:t>e</w:t>
            </w:r>
            <w:r w:rsidRPr="002668A9">
              <w:rPr>
                <w:rFonts w:cs="Arial"/>
                <w:sz w:val="20"/>
                <w:szCs w:val="20"/>
              </w:rPr>
              <w:t xml:space="preserve"> MFE and the EPA have identified that there may be some issues with the interpretation and application of the NEMP 2.0 in New Zealand, it is proposed to, where possible, address these issues in NEMP 3.0.</w:t>
            </w:r>
          </w:p>
        </w:tc>
      </w:tr>
      <w:tr w:rsidR="00A13E48" w:rsidRPr="002668A9" w14:paraId="1F31A185" w14:textId="77777777" w:rsidTr="00D06AC1">
        <w:tc>
          <w:tcPr>
            <w:tcW w:w="786" w:type="pct"/>
            <w:hideMark/>
          </w:tcPr>
          <w:p w14:paraId="02877D50" w14:textId="45CA93F6" w:rsidR="00A13E48" w:rsidRPr="002668A9" w:rsidRDefault="00A13E48" w:rsidP="00A13E48">
            <w:pPr>
              <w:rPr>
                <w:rFonts w:cs="Arial"/>
                <w:sz w:val="20"/>
                <w:szCs w:val="20"/>
              </w:rPr>
            </w:pPr>
            <w:r w:rsidRPr="002668A9">
              <w:rPr>
                <w:rFonts w:cs="Arial"/>
                <w:sz w:val="20"/>
                <w:szCs w:val="20"/>
              </w:rPr>
              <w:t xml:space="preserve">Implementation of the NEMP </w:t>
            </w:r>
            <w:r>
              <w:rPr>
                <w:rFonts w:cs="Arial"/>
                <w:sz w:val="20"/>
                <w:szCs w:val="20"/>
              </w:rPr>
              <w:t>1.0</w:t>
            </w:r>
            <w:r w:rsidRPr="002668A9">
              <w:rPr>
                <w:rFonts w:cs="Arial"/>
                <w:sz w:val="20"/>
                <w:szCs w:val="20"/>
              </w:rPr>
              <w:t xml:space="preserve"> within jurisdictions</w:t>
            </w:r>
          </w:p>
        </w:tc>
        <w:tc>
          <w:tcPr>
            <w:tcW w:w="1298" w:type="pct"/>
            <w:hideMark/>
          </w:tcPr>
          <w:p w14:paraId="22DF2A19" w14:textId="77777777" w:rsidR="00A13E48" w:rsidRPr="002668A9" w:rsidRDefault="00A13E48" w:rsidP="00A13E48">
            <w:pPr>
              <w:rPr>
                <w:rFonts w:cs="Arial"/>
                <w:sz w:val="20"/>
                <w:szCs w:val="20"/>
              </w:rPr>
            </w:pPr>
            <w:r w:rsidRPr="002668A9">
              <w:rPr>
                <w:rFonts w:cs="Arial"/>
                <w:sz w:val="20"/>
                <w:szCs w:val="20"/>
              </w:rPr>
              <w:t xml:space="preserve">The consultation submissions provided extensive insights into practical issues associated with implementation of the NEMP, and PFAS management more broadly, within jurisdictions. </w:t>
            </w:r>
          </w:p>
          <w:p w14:paraId="665ED839" w14:textId="77777777" w:rsidR="00A13E48" w:rsidRPr="002668A9" w:rsidRDefault="00A13E48" w:rsidP="00A13E48">
            <w:pPr>
              <w:rPr>
                <w:rFonts w:cs="Arial"/>
                <w:sz w:val="20"/>
                <w:szCs w:val="20"/>
              </w:rPr>
            </w:pPr>
            <w:r w:rsidRPr="002668A9">
              <w:rPr>
                <w:rFonts w:cs="Arial"/>
                <w:sz w:val="20"/>
                <w:szCs w:val="20"/>
              </w:rPr>
              <w:t>A key focus was the importance of clarity regarding the expectations held by environmental regulators, particularly in relation to on- and off-site monitoring, risk assessment and risk management, and treatment or disposal of PFAS-contaminated material. Related to this, some submissions expressed concerns about regulator expectations regarding the management of legacy contamination and/or contamination of uncertain origin.</w:t>
            </w:r>
          </w:p>
        </w:tc>
        <w:tc>
          <w:tcPr>
            <w:tcW w:w="927" w:type="pct"/>
            <w:hideMark/>
          </w:tcPr>
          <w:p w14:paraId="63EC8F6C" w14:textId="77777777" w:rsidR="00A13E48" w:rsidRDefault="00A13E48" w:rsidP="00A13E48">
            <w:pPr>
              <w:rPr>
                <w:rFonts w:cs="Arial"/>
                <w:sz w:val="20"/>
                <w:szCs w:val="20"/>
              </w:rPr>
            </w:pPr>
            <w:r>
              <w:rPr>
                <w:rFonts w:cs="Arial"/>
                <w:sz w:val="20"/>
                <w:szCs w:val="20"/>
              </w:rPr>
              <w:t>Australasian Land and Groundwater Association – submission 1</w:t>
            </w:r>
          </w:p>
          <w:p w14:paraId="0547181A" w14:textId="2F137BE2" w:rsidR="00A13E48" w:rsidRDefault="00A13E48" w:rsidP="00A13E48">
            <w:pPr>
              <w:rPr>
                <w:rFonts w:cs="Arial"/>
                <w:sz w:val="20"/>
                <w:szCs w:val="20"/>
              </w:rPr>
            </w:pPr>
            <w:r>
              <w:rPr>
                <w:rFonts w:cs="Arial"/>
                <w:sz w:val="20"/>
                <w:szCs w:val="20"/>
              </w:rPr>
              <w:t>Australian Airports Association</w:t>
            </w:r>
          </w:p>
          <w:p w14:paraId="19845410" w14:textId="2E81A4F0" w:rsidR="00A13E48" w:rsidRDefault="00A13E48" w:rsidP="00A13E48">
            <w:pPr>
              <w:rPr>
                <w:rFonts w:cs="Arial"/>
                <w:sz w:val="20"/>
                <w:szCs w:val="20"/>
              </w:rPr>
            </w:pPr>
            <w:r>
              <w:rPr>
                <w:rFonts w:cs="Arial"/>
                <w:sz w:val="20"/>
                <w:szCs w:val="20"/>
              </w:rPr>
              <w:t>Australian Government - Airservices Australia</w:t>
            </w:r>
          </w:p>
          <w:p w14:paraId="3EA168A0" w14:textId="3C45FC20" w:rsidR="00A13E48" w:rsidRDefault="00A13E48" w:rsidP="00A13E48">
            <w:pPr>
              <w:rPr>
                <w:rFonts w:cs="Arial"/>
                <w:sz w:val="20"/>
                <w:szCs w:val="20"/>
              </w:rPr>
            </w:pPr>
            <w:r>
              <w:rPr>
                <w:rFonts w:cs="Arial"/>
                <w:sz w:val="20"/>
                <w:szCs w:val="20"/>
              </w:rPr>
              <w:t>Australian Government - DITCRD</w:t>
            </w:r>
          </w:p>
          <w:p w14:paraId="13744636" w14:textId="77777777" w:rsidR="00A13E48" w:rsidRPr="002668A9" w:rsidRDefault="00A13E48" w:rsidP="00A13E48">
            <w:pPr>
              <w:rPr>
                <w:rFonts w:cs="Arial"/>
                <w:sz w:val="20"/>
                <w:szCs w:val="20"/>
              </w:rPr>
            </w:pPr>
            <w:r>
              <w:rPr>
                <w:rFonts w:cs="Arial"/>
                <w:sz w:val="20"/>
                <w:szCs w:val="20"/>
              </w:rPr>
              <w:t>Australian Landfill Owners’ Association</w:t>
            </w:r>
          </w:p>
          <w:p w14:paraId="6EB631E6" w14:textId="77777777" w:rsidR="00A13E48" w:rsidRDefault="00A13E48" w:rsidP="00A13E48">
            <w:pPr>
              <w:rPr>
                <w:rFonts w:cs="Arial"/>
                <w:sz w:val="20"/>
                <w:szCs w:val="20"/>
              </w:rPr>
            </w:pPr>
            <w:r>
              <w:rPr>
                <w:rFonts w:cs="Arial"/>
                <w:sz w:val="20"/>
                <w:szCs w:val="20"/>
              </w:rPr>
              <w:t>BP Australia</w:t>
            </w:r>
          </w:p>
          <w:p w14:paraId="5EA52BCE" w14:textId="77777777" w:rsidR="00A13E48" w:rsidRDefault="00A13E48" w:rsidP="00A13E48">
            <w:pPr>
              <w:rPr>
                <w:rFonts w:cs="Arial"/>
                <w:sz w:val="20"/>
                <w:szCs w:val="20"/>
              </w:rPr>
            </w:pPr>
            <w:r>
              <w:rPr>
                <w:rFonts w:cs="Arial"/>
                <w:sz w:val="20"/>
                <w:szCs w:val="20"/>
              </w:rPr>
              <w:t>Brisbane Airport Corporation</w:t>
            </w:r>
          </w:p>
          <w:p w14:paraId="018E635E" w14:textId="341C072D" w:rsidR="00A13E48" w:rsidRDefault="00A13E48" w:rsidP="00A13E48">
            <w:pPr>
              <w:rPr>
                <w:rFonts w:cs="Arial"/>
                <w:sz w:val="20"/>
                <w:szCs w:val="20"/>
              </w:rPr>
            </w:pPr>
            <w:r>
              <w:rPr>
                <w:rFonts w:cs="Arial"/>
                <w:sz w:val="20"/>
                <w:szCs w:val="20"/>
              </w:rPr>
              <w:lastRenderedPageBreak/>
              <w:t>Burdekin Shire Council and Bligh Tanner</w:t>
            </w:r>
          </w:p>
          <w:p w14:paraId="4E86C558" w14:textId="77777777" w:rsidR="00A13E48" w:rsidRDefault="00A13E48" w:rsidP="00A13E48">
            <w:pPr>
              <w:rPr>
                <w:rFonts w:cs="Arial"/>
                <w:sz w:val="20"/>
                <w:szCs w:val="20"/>
              </w:rPr>
            </w:pPr>
            <w:r>
              <w:rPr>
                <w:rFonts w:cs="Arial"/>
                <w:sz w:val="20"/>
                <w:szCs w:val="20"/>
              </w:rPr>
              <w:t>Canberra Airport</w:t>
            </w:r>
          </w:p>
          <w:p w14:paraId="234DA3A7" w14:textId="77777777" w:rsidR="00A13E48" w:rsidRDefault="00A13E48" w:rsidP="00A13E48">
            <w:pPr>
              <w:rPr>
                <w:rFonts w:cs="Arial"/>
                <w:sz w:val="20"/>
                <w:szCs w:val="20"/>
              </w:rPr>
            </w:pPr>
            <w:r>
              <w:rPr>
                <w:rFonts w:cs="Arial"/>
                <w:sz w:val="20"/>
                <w:szCs w:val="20"/>
              </w:rPr>
              <w:t>City of Busselton</w:t>
            </w:r>
          </w:p>
          <w:p w14:paraId="748C0512" w14:textId="1902A5CA" w:rsidR="00A13E48" w:rsidRDefault="00A13E48" w:rsidP="00A13E48">
            <w:pPr>
              <w:rPr>
                <w:rFonts w:cs="Arial"/>
                <w:sz w:val="20"/>
                <w:szCs w:val="20"/>
              </w:rPr>
            </w:pPr>
            <w:r>
              <w:rPr>
                <w:rFonts w:cs="Arial"/>
                <w:sz w:val="20"/>
                <w:szCs w:val="20"/>
              </w:rPr>
              <w:t>City of Rockingham - Millar Road Landfill</w:t>
            </w:r>
          </w:p>
          <w:p w14:paraId="61823AD7" w14:textId="77777777" w:rsidR="00A13E48" w:rsidRDefault="00A13E48" w:rsidP="00A13E48">
            <w:pPr>
              <w:rPr>
                <w:rFonts w:cs="Arial"/>
                <w:sz w:val="20"/>
                <w:szCs w:val="20"/>
              </w:rPr>
            </w:pPr>
            <w:r>
              <w:rPr>
                <w:rFonts w:cs="Arial"/>
                <w:sz w:val="20"/>
                <w:szCs w:val="20"/>
              </w:rPr>
              <w:t>Queensland Airports Ltd</w:t>
            </w:r>
          </w:p>
          <w:p w14:paraId="5C182F42" w14:textId="77777777" w:rsidR="00A13E48" w:rsidRPr="002668A9" w:rsidRDefault="00A13E48" w:rsidP="00A13E48">
            <w:pPr>
              <w:rPr>
                <w:rFonts w:cs="Arial"/>
                <w:sz w:val="20"/>
                <w:szCs w:val="20"/>
              </w:rPr>
            </w:pPr>
            <w:r>
              <w:rPr>
                <w:rFonts w:cs="Arial"/>
                <w:sz w:val="20"/>
                <w:szCs w:val="20"/>
              </w:rPr>
              <w:t>Sydney Airport</w:t>
            </w:r>
          </w:p>
          <w:p w14:paraId="26D9D90F" w14:textId="77777777" w:rsidR="00A13E48" w:rsidRPr="002668A9" w:rsidRDefault="00A13E48" w:rsidP="00A13E48">
            <w:pPr>
              <w:rPr>
                <w:rFonts w:cs="Arial"/>
                <w:sz w:val="20"/>
                <w:szCs w:val="20"/>
              </w:rPr>
            </w:pPr>
            <w:r>
              <w:rPr>
                <w:rFonts w:cs="Arial"/>
                <w:sz w:val="20"/>
                <w:szCs w:val="20"/>
              </w:rPr>
              <w:t>Victorian Water Industry Association</w:t>
            </w:r>
          </w:p>
          <w:p w14:paraId="0E68E560" w14:textId="77777777" w:rsidR="00A13E48" w:rsidRDefault="00A13E48" w:rsidP="00A13E48">
            <w:pPr>
              <w:rPr>
                <w:rFonts w:cs="Arial"/>
                <w:sz w:val="20"/>
                <w:szCs w:val="20"/>
              </w:rPr>
            </w:pPr>
            <w:r>
              <w:rPr>
                <w:rFonts w:cs="Arial"/>
                <w:sz w:val="20"/>
                <w:szCs w:val="20"/>
              </w:rPr>
              <w:t>Viva Energy Australia</w:t>
            </w:r>
          </w:p>
          <w:p w14:paraId="0D496003" w14:textId="69344DF1" w:rsidR="00A13E48" w:rsidRPr="002668A9" w:rsidRDefault="00A13E48" w:rsidP="00A13E48">
            <w:pPr>
              <w:rPr>
                <w:rFonts w:cs="Arial"/>
                <w:sz w:val="20"/>
                <w:szCs w:val="20"/>
              </w:rPr>
            </w:pPr>
            <w:r>
              <w:rPr>
                <w:rFonts w:cs="Arial"/>
                <w:sz w:val="20"/>
                <w:szCs w:val="20"/>
              </w:rPr>
              <w:t>WA Government</w:t>
            </w:r>
          </w:p>
        </w:tc>
        <w:tc>
          <w:tcPr>
            <w:tcW w:w="1989" w:type="pct"/>
            <w:hideMark/>
          </w:tcPr>
          <w:p w14:paraId="52F514F3" w14:textId="6DC2886C" w:rsidR="00A13E48" w:rsidRPr="002668A9" w:rsidRDefault="00A13E48" w:rsidP="00A13E48">
            <w:pPr>
              <w:rPr>
                <w:rFonts w:cs="Arial"/>
                <w:sz w:val="20"/>
                <w:szCs w:val="20"/>
              </w:rPr>
            </w:pPr>
            <w:r w:rsidRPr="002668A9">
              <w:rPr>
                <w:rFonts w:cs="Arial"/>
                <w:sz w:val="20"/>
                <w:szCs w:val="20"/>
              </w:rPr>
              <w:lastRenderedPageBreak/>
              <w:t xml:space="preserve">The feedback provided on NEMP </w:t>
            </w:r>
            <w:r>
              <w:rPr>
                <w:rFonts w:cs="Arial"/>
                <w:sz w:val="20"/>
                <w:szCs w:val="20"/>
              </w:rPr>
              <w:t>1.0</w:t>
            </w:r>
            <w:r w:rsidRPr="002668A9">
              <w:rPr>
                <w:rFonts w:cs="Arial"/>
                <w:sz w:val="20"/>
                <w:szCs w:val="20"/>
              </w:rPr>
              <w:t xml:space="preserve"> implementation matters is being referred for consideration as part of reviewing the implementation of NEMP 1.0. Where relevant, including where feedback relates to PFAS management more broadly, it is also being referred to the relevant policy areas within each jurisdiction to inform their future work. </w:t>
            </w:r>
          </w:p>
        </w:tc>
      </w:tr>
      <w:tr w:rsidR="00A13E48" w:rsidRPr="002668A9" w14:paraId="3F25BAB9" w14:textId="77777777" w:rsidTr="00D06AC1">
        <w:trPr>
          <w:trHeight w:val="1785"/>
        </w:trPr>
        <w:tc>
          <w:tcPr>
            <w:tcW w:w="786" w:type="pct"/>
            <w:vMerge w:val="restart"/>
            <w:hideMark/>
          </w:tcPr>
          <w:p w14:paraId="4E0E2CBA" w14:textId="77777777" w:rsidR="00A13E48" w:rsidRPr="002668A9" w:rsidRDefault="00A13E48" w:rsidP="00A13E48">
            <w:pPr>
              <w:rPr>
                <w:rFonts w:cs="Arial"/>
                <w:sz w:val="20"/>
                <w:szCs w:val="20"/>
              </w:rPr>
            </w:pPr>
            <w:r w:rsidRPr="002668A9">
              <w:rPr>
                <w:rFonts w:cs="Arial"/>
                <w:sz w:val="20"/>
                <w:szCs w:val="20"/>
              </w:rPr>
              <w:t xml:space="preserve">Regulatory policy including polluter pays principle, precautionary principle, conservation of biological diversity </w:t>
            </w:r>
            <w:r w:rsidRPr="002668A9">
              <w:rPr>
                <w:rFonts w:cs="Arial"/>
                <w:sz w:val="20"/>
                <w:szCs w:val="20"/>
              </w:rPr>
              <w:lastRenderedPageBreak/>
              <w:t>and ecological integrity, and market controls</w:t>
            </w:r>
          </w:p>
        </w:tc>
        <w:tc>
          <w:tcPr>
            <w:tcW w:w="1298" w:type="pct"/>
            <w:vMerge w:val="restart"/>
            <w:hideMark/>
          </w:tcPr>
          <w:p w14:paraId="10D6CB5E" w14:textId="77777777" w:rsidR="00A13E48" w:rsidRPr="002668A9" w:rsidRDefault="00A13E48" w:rsidP="00A13E48">
            <w:pPr>
              <w:rPr>
                <w:rFonts w:cs="Arial"/>
                <w:sz w:val="20"/>
                <w:szCs w:val="20"/>
              </w:rPr>
            </w:pPr>
            <w:r w:rsidRPr="002668A9">
              <w:rPr>
                <w:rFonts w:cs="Arial"/>
                <w:sz w:val="20"/>
                <w:szCs w:val="20"/>
              </w:rPr>
              <w:lastRenderedPageBreak/>
              <w:t>The consultation process elicited a wide range of suggestions and feedback on regulatory policy matters outside the scope of the NEMP.</w:t>
            </w:r>
          </w:p>
          <w:p w14:paraId="1B4488ED" w14:textId="77777777" w:rsidR="00A13E48" w:rsidRPr="002668A9" w:rsidRDefault="00A13E48" w:rsidP="00A13E48">
            <w:pPr>
              <w:rPr>
                <w:rFonts w:cs="Arial"/>
                <w:sz w:val="20"/>
                <w:szCs w:val="20"/>
              </w:rPr>
            </w:pPr>
            <w:r w:rsidRPr="002668A9">
              <w:rPr>
                <w:rFonts w:cs="Arial"/>
                <w:sz w:val="20"/>
                <w:szCs w:val="20"/>
              </w:rPr>
              <w:lastRenderedPageBreak/>
              <w:t xml:space="preserve">A key focus was the importance of market controls on PFAS, including potential ratification of the Stockholm Convention listings of PFOS and PFOA, to minimise the ongoing risk of environmental contamination. Related to this, guidance was sought on appropriate substitutions for PFAS-containing products and articles. </w:t>
            </w:r>
          </w:p>
          <w:p w14:paraId="2F45B348" w14:textId="41C198A6" w:rsidR="00A13E48" w:rsidRPr="002668A9" w:rsidRDefault="00A13E48" w:rsidP="00A13E48">
            <w:pPr>
              <w:rPr>
                <w:rFonts w:cs="Arial"/>
                <w:sz w:val="20"/>
                <w:szCs w:val="20"/>
              </w:rPr>
            </w:pPr>
            <w:r w:rsidRPr="002668A9">
              <w:rPr>
                <w:rFonts w:cs="Arial"/>
                <w:sz w:val="20"/>
                <w:szCs w:val="20"/>
              </w:rPr>
              <w:t xml:space="preserve">Another key focus was the extent to which the NEMP guidance, and decision-making informed by it, should refer to the guiding principles set out in section 3 of the NEMP </w:t>
            </w:r>
            <w:r>
              <w:rPr>
                <w:rFonts w:cs="Arial"/>
                <w:sz w:val="20"/>
                <w:szCs w:val="20"/>
              </w:rPr>
              <w:t>2.0</w:t>
            </w:r>
            <w:r w:rsidRPr="002668A9">
              <w:rPr>
                <w:rFonts w:cs="Arial"/>
                <w:sz w:val="20"/>
                <w:szCs w:val="20"/>
              </w:rPr>
              <w:t xml:space="preserve"> including principles drawn from the Intergovernmental Agreement on the Environment such as the polluter pays principle, the precautionary principle, conservation of biodiversity and ecological integrity. </w:t>
            </w:r>
          </w:p>
          <w:p w14:paraId="1FFB9A10" w14:textId="77777777" w:rsidR="00A13E48" w:rsidRPr="002668A9" w:rsidRDefault="00A13E48" w:rsidP="00A13E48">
            <w:pPr>
              <w:rPr>
                <w:rFonts w:cs="Arial"/>
                <w:sz w:val="20"/>
                <w:szCs w:val="20"/>
              </w:rPr>
            </w:pPr>
            <w:r w:rsidRPr="002668A9">
              <w:rPr>
                <w:rFonts w:cs="Arial"/>
                <w:sz w:val="20"/>
                <w:szCs w:val="20"/>
              </w:rPr>
              <w:t>In particular, the rationale for, and extent of, protection for ecological values was questioned by some submission feedback. The point was made that in some circumstances or management settings, human health should be the primary, or possibly sole, focus.</w:t>
            </w:r>
          </w:p>
          <w:p w14:paraId="1252278A" w14:textId="77777777" w:rsidR="00A13E48" w:rsidRPr="002668A9" w:rsidRDefault="00A13E48" w:rsidP="00A13E48">
            <w:pPr>
              <w:rPr>
                <w:rFonts w:cs="Arial"/>
                <w:sz w:val="20"/>
                <w:szCs w:val="20"/>
              </w:rPr>
            </w:pPr>
            <w:r w:rsidRPr="002668A9">
              <w:rPr>
                <w:rFonts w:cs="Arial"/>
                <w:sz w:val="20"/>
                <w:szCs w:val="20"/>
              </w:rPr>
              <w:t xml:space="preserve">Some feedback questioned or sought additional information about the scientific </w:t>
            </w:r>
            <w:r w:rsidRPr="002668A9">
              <w:rPr>
                <w:rFonts w:cs="Arial"/>
                <w:sz w:val="20"/>
                <w:szCs w:val="20"/>
              </w:rPr>
              <w:lastRenderedPageBreak/>
              <w:t>evidence base for PFAS management, including evidence of ecological impacts.</w:t>
            </w:r>
          </w:p>
        </w:tc>
        <w:tc>
          <w:tcPr>
            <w:tcW w:w="927" w:type="pct"/>
            <w:vMerge w:val="restart"/>
            <w:hideMark/>
          </w:tcPr>
          <w:p w14:paraId="40AD8396" w14:textId="77777777" w:rsidR="00A13E48" w:rsidRPr="002668A9" w:rsidRDefault="00A13E48" w:rsidP="00A13E48">
            <w:pPr>
              <w:rPr>
                <w:rFonts w:cs="Arial"/>
                <w:sz w:val="20"/>
                <w:szCs w:val="20"/>
              </w:rPr>
            </w:pPr>
            <w:r>
              <w:rPr>
                <w:rFonts w:cs="Arial"/>
                <w:sz w:val="20"/>
                <w:szCs w:val="20"/>
              </w:rPr>
              <w:lastRenderedPageBreak/>
              <w:t>Australasian Land and Groundwater Association - submission 1</w:t>
            </w:r>
          </w:p>
          <w:p w14:paraId="5B9DD6F3" w14:textId="77777777" w:rsidR="00A13E48" w:rsidRPr="002668A9" w:rsidRDefault="00A13E48" w:rsidP="00A13E48">
            <w:pPr>
              <w:rPr>
                <w:rFonts w:cs="Arial"/>
                <w:sz w:val="20"/>
                <w:szCs w:val="20"/>
              </w:rPr>
            </w:pPr>
            <w:r>
              <w:rPr>
                <w:rFonts w:cs="Arial"/>
                <w:sz w:val="20"/>
                <w:szCs w:val="20"/>
              </w:rPr>
              <w:lastRenderedPageBreak/>
              <w:t>Australasian Land and Groundwater Association - submission 2</w:t>
            </w:r>
          </w:p>
          <w:p w14:paraId="514C10BA" w14:textId="77777777" w:rsidR="00A13E48" w:rsidRDefault="00A13E48" w:rsidP="00A13E48">
            <w:pPr>
              <w:rPr>
                <w:rFonts w:cs="Arial"/>
                <w:sz w:val="20"/>
                <w:szCs w:val="20"/>
              </w:rPr>
            </w:pPr>
            <w:r>
              <w:rPr>
                <w:rFonts w:cs="Arial"/>
                <w:sz w:val="20"/>
                <w:szCs w:val="20"/>
              </w:rPr>
              <w:t>Australian Government - Airservices Australia</w:t>
            </w:r>
          </w:p>
          <w:p w14:paraId="6E2A9159" w14:textId="77777777" w:rsidR="00A13E48" w:rsidRPr="002668A9" w:rsidRDefault="00A13E48" w:rsidP="00A13E48">
            <w:pPr>
              <w:rPr>
                <w:rFonts w:cs="Arial"/>
                <w:sz w:val="20"/>
                <w:szCs w:val="20"/>
              </w:rPr>
            </w:pPr>
            <w:r>
              <w:rPr>
                <w:rFonts w:cs="Arial"/>
                <w:sz w:val="20"/>
                <w:szCs w:val="20"/>
              </w:rPr>
              <w:t>Australian Government - DITCRD</w:t>
            </w:r>
          </w:p>
          <w:p w14:paraId="7217051B" w14:textId="77777777" w:rsidR="00A13E48" w:rsidRDefault="00A13E48" w:rsidP="00A13E48">
            <w:pPr>
              <w:rPr>
                <w:rFonts w:cs="Arial"/>
                <w:sz w:val="20"/>
                <w:szCs w:val="20"/>
              </w:rPr>
            </w:pPr>
            <w:r>
              <w:rPr>
                <w:rFonts w:cs="Arial"/>
                <w:sz w:val="20"/>
                <w:szCs w:val="20"/>
              </w:rPr>
              <w:t>Australian Landfill Owners’ Association</w:t>
            </w:r>
          </w:p>
          <w:p w14:paraId="782BCDB9" w14:textId="77777777" w:rsidR="00A13E48" w:rsidRDefault="00A13E48" w:rsidP="00A13E48">
            <w:pPr>
              <w:rPr>
                <w:rFonts w:cs="Arial"/>
                <w:sz w:val="20"/>
                <w:szCs w:val="20"/>
              </w:rPr>
            </w:pPr>
            <w:r>
              <w:rPr>
                <w:rFonts w:cs="Arial"/>
                <w:sz w:val="20"/>
                <w:szCs w:val="20"/>
              </w:rPr>
              <w:t>Brisbane Airport Corporation</w:t>
            </w:r>
          </w:p>
          <w:p w14:paraId="43802838" w14:textId="77777777" w:rsidR="00A13E48" w:rsidRDefault="00A13E48" w:rsidP="00A13E48">
            <w:pPr>
              <w:rPr>
                <w:rFonts w:cs="Arial"/>
                <w:sz w:val="20"/>
                <w:szCs w:val="20"/>
              </w:rPr>
            </w:pPr>
            <w:r>
              <w:rPr>
                <w:rFonts w:cs="Arial"/>
                <w:sz w:val="20"/>
                <w:szCs w:val="20"/>
              </w:rPr>
              <w:t>Burdekin Shire Council and Bligh Tanner</w:t>
            </w:r>
          </w:p>
          <w:p w14:paraId="2693C97B" w14:textId="77777777" w:rsidR="00A13E48" w:rsidRDefault="00A13E48" w:rsidP="00A13E48">
            <w:pPr>
              <w:rPr>
                <w:rFonts w:cs="Arial"/>
                <w:sz w:val="20"/>
                <w:szCs w:val="20"/>
              </w:rPr>
            </w:pPr>
            <w:r>
              <w:rPr>
                <w:rFonts w:cs="Arial"/>
                <w:sz w:val="20"/>
                <w:szCs w:val="20"/>
              </w:rPr>
              <w:t>Canberra Airport</w:t>
            </w:r>
          </w:p>
          <w:p w14:paraId="0EA5450F" w14:textId="77777777" w:rsidR="00A13E48" w:rsidRDefault="00A13E48" w:rsidP="00A13E48">
            <w:pPr>
              <w:rPr>
                <w:rFonts w:cs="Arial"/>
                <w:sz w:val="20"/>
                <w:szCs w:val="20"/>
              </w:rPr>
            </w:pPr>
            <w:r>
              <w:rPr>
                <w:rFonts w:cs="Arial"/>
                <w:sz w:val="20"/>
                <w:szCs w:val="20"/>
              </w:rPr>
              <w:t>City of Busselton</w:t>
            </w:r>
          </w:p>
          <w:p w14:paraId="75570DF6" w14:textId="77777777" w:rsidR="00A13E48" w:rsidRDefault="00A13E48" w:rsidP="00A13E48">
            <w:pPr>
              <w:rPr>
                <w:rFonts w:cs="Arial"/>
                <w:sz w:val="20"/>
                <w:szCs w:val="20"/>
              </w:rPr>
            </w:pPr>
            <w:r>
              <w:rPr>
                <w:rFonts w:cs="Arial"/>
                <w:sz w:val="20"/>
                <w:szCs w:val="20"/>
              </w:rPr>
              <w:t>ExxonMobil Australia</w:t>
            </w:r>
          </w:p>
          <w:p w14:paraId="27BF9B71" w14:textId="77777777" w:rsidR="00A13E48" w:rsidRDefault="00A13E48" w:rsidP="00A13E48">
            <w:pPr>
              <w:rPr>
                <w:rFonts w:cs="Arial"/>
                <w:sz w:val="20"/>
                <w:szCs w:val="20"/>
              </w:rPr>
            </w:pPr>
            <w:r>
              <w:rPr>
                <w:rFonts w:cs="Arial"/>
                <w:sz w:val="20"/>
                <w:szCs w:val="20"/>
              </w:rPr>
              <w:t>Friends of the Earth Australia</w:t>
            </w:r>
          </w:p>
          <w:p w14:paraId="7CBB084D" w14:textId="77777777" w:rsidR="00A13E48" w:rsidRDefault="00A13E48" w:rsidP="00A13E48">
            <w:pPr>
              <w:rPr>
                <w:rFonts w:cs="Arial"/>
                <w:sz w:val="20"/>
                <w:szCs w:val="20"/>
              </w:rPr>
            </w:pPr>
            <w:r>
              <w:rPr>
                <w:rFonts w:cs="Arial"/>
                <w:sz w:val="20"/>
                <w:szCs w:val="20"/>
              </w:rPr>
              <w:t>Qantas</w:t>
            </w:r>
          </w:p>
          <w:p w14:paraId="2E3A7267" w14:textId="77777777" w:rsidR="00A13E48" w:rsidRPr="002668A9" w:rsidRDefault="00A13E48" w:rsidP="00A13E48">
            <w:pPr>
              <w:rPr>
                <w:rFonts w:cs="Arial"/>
                <w:sz w:val="20"/>
                <w:szCs w:val="20"/>
              </w:rPr>
            </w:pPr>
            <w:r>
              <w:rPr>
                <w:rFonts w:cs="Arial"/>
                <w:sz w:val="20"/>
                <w:szCs w:val="20"/>
              </w:rPr>
              <w:t>qldwater</w:t>
            </w:r>
          </w:p>
          <w:p w14:paraId="134399C9" w14:textId="77777777" w:rsidR="00A13E48" w:rsidRDefault="00A13E48" w:rsidP="00A13E48">
            <w:pPr>
              <w:rPr>
                <w:rFonts w:cs="Arial"/>
                <w:sz w:val="20"/>
                <w:szCs w:val="20"/>
              </w:rPr>
            </w:pPr>
            <w:r>
              <w:rPr>
                <w:rFonts w:cs="Arial"/>
                <w:sz w:val="20"/>
                <w:szCs w:val="20"/>
              </w:rPr>
              <w:t>Queensland Airports Ltd</w:t>
            </w:r>
          </w:p>
          <w:p w14:paraId="236F689F" w14:textId="77777777" w:rsidR="00A13E48" w:rsidRDefault="00A13E48" w:rsidP="00A13E48">
            <w:pPr>
              <w:rPr>
                <w:rFonts w:cs="Arial"/>
                <w:sz w:val="20"/>
                <w:szCs w:val="20"/>
              </w:rPr>
            </w:pPr>
            <w:r>
              <w:rPr>
                <w:rFonts w:cs="Arial"/>
                <w:sz w:val="20"/>
                <w:szCs w:val="20"/>
              </w:rPr>
              <w:lastRenderedPageBreak/>
              <w:t>Queensland Farmers’ Federation</w:t>
            </w:r>
          </w:p>
          <w:p w14:paraId="040D62DF" w14:textId="77777777" w:rsidR="00A13E48" w:rsidRDefault="00A13E48" w:rsidP="00A13E48">
            <w:pPr>
              <w:rPr>
                <w:rFonts w:cs="Arial"/>
                <w:sz w:val="20"/>
                <w:szCs w:val="20"/>
              </w:rPr>
            </w:pPr>
            <w:r>
              <w:rPr>
                <w:rFonts w:cs="Arial"/>
                <w:sz w:val="20"/>
                <w:szCs w:val="20"/>
              </w:rPr>
              <w:t>South East Water</w:t>
            </w:r>
          </w:p>
          <w:p w14:paraId="1096C6F4" w14:textId="77777777" w:rsidR="00A13E48" w:rsidRDefault="00A13E48" w:rsidP="00A13E48">
            <w:pPr>
              <w:rPr>
                <w:rFonts w:cs="Arial"/>
                <w:sz w:val="20"/>
                <w:szCs w:val="20"/>
              </w:rPr>
            </w:pPr>
            <w:r>
              <w:rPr>
                <w:rFonts w:cs="Arial"/>
                <w:sz w:val="20"/>
                <w:szCs w:val="20"/>
              </w:rPr>
              <w:t>Viva Energy Australia</w:t>
            </w:r>
          </w:p>
          <w:p w14:paraId="035B2C20" w14:textId="77777777" w:rsidR="00A13E48" w:rsidRDefault="00A13E48" w:rsidP="00A13E48">
            <w:pPr>
              <w:rPr>
                <w:rFonts w:cs="Arial"/>
                <w:sz w:val="20"/>
                <w:szCs w:val="20"/>
              </w:rPr>
            </w:pPr>
            <w:r>
              <w:rPr>
                <w:rFonts w:cs="Arial"/>
                <w:sz w:val="20"/>
                <w:szCs w:val="20"/>
              </w:rPr>
              <w:t>WA Government</w:t>
            </w:r>
          </w:p>
          <w:p w14:paraId="5BB884EA" w14:textId="77777777" w:rsidR="00A13E48" w:rsidRDefault="00A13E48" w:rsidP="00A13E48">
            <w:pPr>
              <w:rPr>
                <w:rFonts w:cs="Arial"/>
                <w:sz w:val="20"/>
                <w:szCs w:val="20"/>
              </w:rPr>
            </w:pPr>
            <w:r>
              <w:rPr>
                <w:rFonts w:cs="Arial"/>
                <w:sz w:val="20"/>
                <w:szCs w:val="20"/>
              </w:rPr>
              <w:t>Waste Management and Resource Recovery Association</w:t>
            </w:r>
          </w:p>
          <w:p w14:paraId="50CFF52D" w14:textId="77777777" w:rsidR="00A13E48" w:rsidRDefault="00A13E48" w:rsidP="00A13E48">
            <w:pPr>
              <w:rPr>
                <w:rFonts w:cs="Arial"/>
                <w:sz w:val="20"/>
                <w:szCs w:val="20"/>
              </w:rPr>
            </w:pPr>
            <w:r>
              <w:rPr>
                <w:rFonts w:cs="Arial"/>
                <w:sz w:val="20"/>
                <w:szCs w:val="20"/>
              </w:rPr>
              <w:t>Water Services Association of Australia</w:t>
            </w:r>
          </w:p>
          <w:p w14:paraId="16AB1617" w14:textId="124E70D0" w:rsidR="00A13E48" w:rsidRPr="002668A9" w:rsidRDefault="00A13E48" w:rsidP="00A13E48">
            <w:pPr>
              <w:rPr>
                <w:rFonts w:cs="Arial"/>
                <w:sz w:val="20"/>
                <w:szCs w:val="20"/>
              </w:rPr>
            </w:pPr>
          </w:p>
        </w:tc>
        <w:tc>
          <w:tcPr>
            <w:tcW w:w="1989" w:type="pct"/>
            <w:vMerge w:val="restart"/>
            <w:hideMark/>
          </w:tcPr>
          <w:p w14:paraId="3C7B1D2A" w14:textId="2AD61ACF" w:rsidR="00A13E48" w:rsidRPr="002668A9" w:rsidRDefault="00A13E48" w:rsidP="00A13E48">
            <w:pPr>
              <w:rPr>
                <w:rFonts w:cs="Arial"/>
                <w:sz w:val="20"/>
                <w:szCs w:val="20"/>
              </w:rPr>
            </w:pPr>
            <w:r w:rsidRPr="002668A9">
              <w:rPr>
                <w:rFonts w:cs="Arial"/>
                <w:sz w:val="20"/>
                <w:szCs w:val="20"/>
              </w:rPr>
              <w:lastRenderedPageBreak/>
              <w:t xml:space="preserve">As was the case for NEMP 1.0, the NEMP 2.0 provides nationally agreed guidance on the environmental management of PFAS contamination, to be implemented within each jurisdiction’s environmental regulatory framework. This limits the extent to which the NEMP </w:t>
            </w:r>
            <w:r>
              <w:rPr>
                <w:rFonts w:cs="Arial"/>
                <w:sz w:val="20"/>
                <w:szCs w:val="20"/>
              </w:rPr>
              <w:t>2.0</w:t>
            </w:r>
            <w:r w:rsidRPr="002668A9">
              <w:rPr>
                <w:rFonts w:cs="Arial"/>
                <w:sz w:val="20"/>
                <w:szCs w:val="20"/>
              </w:rPr>
              <w:t xml:space="preserve"> consultation process can respond to the </w:t>
            </w:r>
            <w:r w:rsidRPr="002668A9">
              <w:rPr>
                <w:rFonts w:cs="Arial"/>
                <w:sz w:val="20"/>
                <w:szCs w:val="20"/>
              </w:rPr>
              <w:lastRenderedPageBreak/>
              <w:t xml:space="preserve">very wide range of regulatory policy matters raised in submission feedback. </w:t>
            </w:r>
          </w:p>
          <w:p w14:paraId="5A1A9F8F" w14:textId="77777777" w:rsidR="00A13E48" w:rsidRPr="002668A9" w:rsidRDefault="00A13E48" w:rsidP="00A13E48">
            <w:pPr>
              <w:rPr>
                <w:rFonts w:cs="Arial"/>
                <w:sz w:val="20"/>
                <w:szCs w:val="20"/>
              </w:rPr>
            </w:pPr>
            <w:r w:rsidRPr="002668A9">
              <w:rPr>
                <w:rFonts w:cs="Arial"/>
                <w:sz w:val="20"/>
                <w:szCs w:val="20"/>
              </w:rPr>
              <w:t>For example, the NEMP is not a suitable mechanism for consideration of possible market controls on PFAS, including the potential ratification of the Stockholm Convention listings of PFOS and PFOA, which are being considered through separate national processes. The NEMP also does not provide guidance on current uses of, or substitutes for, PFAS-containing products and articles.</w:t>
            </w:r>
          </w:p>
          <w:p w14:paraId="4A681FD8" w14:textId="4FD42A73" w:rsidR="00A13E48" w:rsidRPr="002668A9" w:rsidRDefault="00A13E48" w:rsidP="00A13E48">
            <w:pPr>
              <w:rPr>
                <w:rFonts w:cs="Arial"/>
                <w:sz w:val="20"/>
                <w:szCs w:val="20"/>
              </w:rPr>
            </w:pPr>
            <w:r w:rsidRPr="002668A9">
              <w:rPr>
                <w:rFonts w:cs="Arial"/>
                <w:sz w:val="20"/>
                <w:szCs w:val="20"/>
              </w:rPr>
              <w:t xml:space="preserve">It is also not within scope of the NEMP </w:t>
            </w:r>
            <w:r>
              <w:rPr>
                <w:rFonts w:cs="Arial"/>
                <w:sz w:val="20"/>
                <w:szCs w:val="20"/>
              </w:rPr>
              <w:t>2.0</w:t>
            </w:r>
            <w:r w:rsidRPr="002668A9">
              <w:rPr>
                <w:rFonts w:cs="Arial"/>
                <w:sz w:val="20"/>
                <w:szCs w:val="20"/>
              </w:rPr>
              <w:t xml:space="preserve"> consultation process to influence the level or type of regulatory protections accorded to environmental values in decision-making by jurisdictions.  Feedback received on these matters is therefore being referred to the relevant policy areas within each jurisdiction to inform their future work. </w:t>
            </w:r>
          </w:p>
          <w:p w14:paraId="179A74B8" w14:textId="77203BAB" w:rsidR="00A13E48" w:rsidRPr="002668A9" w:rsidRDefault="00A13E48" w:rsidP="00A13E48">
            <w:pPr>
              <w:rPr>
                <w:rFonts w:cs="Arial"/>
                <w:sz w:val="20"/>
                <w:szCs w:val="20"/>
              </w:rPr>
            </w:pPr>
            <w:r w:rsidRPr="002668A9">
              <w:rPr>
                <w:rFonts w:cs="Arial"/>
                <w:sz w:val="20"/>
                <w:szCs w:val="20"/>
              </w:rPr>
              <w:t>The NEMP</w:t>
            </w:r>
            <w:r>
              <w:rPr>
                <w:rFonts w:cs="Arial"/>
                <w:sz w:val="20"/>
                <w:szCs w:val="20"/>
              </w:rPr>
              <w:t xml:space="preserve"> 2.0</w:t>
            </w:r>
            <w:r w:rsidRPr="002668A9">
              <w:rPr>
                <w:rFonts w:cs="Arial"/>
                <w:sz w:val="20"/>
                <w:szCs w:val="20"/>
              </w:rPr>
              <w:t xml:space="preserve"> consultation process is also not able to consider adopting submission feedback suggesting fundamental changes to the guiding principles set out in Section 3 of the NEMP</w:t>
            </w:r>
            <w:r>
              <w:rPr>
                <w:rFonts w:cs="Arial"/>
                <w:sz w:val="20"/>
                <w:szCs w:val="20"/>
              </w:rPr>
              <w:t xml:space="preserve"> 2.0</w:t>
            </w:r>
            <w:r w:rsidRPr="002668A9">
              <w:rPr>
                <w:rFonts w:cs="Arial"/>
                <w:sz w:val="20"/>
                <w:szCs w:val="20"/>
              </w:rPr>
              <w:t xml:space="preserve">. The precautionary principle, the polluter pays principle and the conservation of biological diversity and ecological integrity are established by the </w:t>
            </w:r>
            <w:r w:rsidRPr="002668A9">
              <w:rPr>
                <w:rFonts w:cs="Arial"/>
                <w:i/>
                <w:sz w:val="20"/>
                <w:szCs w:val="20"/>
              </w:rPr>
              <w:t>National Environment Protection Council Act 1994</w:t>
            </w:r>
            <w:r w:rsidRPr="002668A9">
              <w:rPr>
                <w:rFonts w:cs="Arial"/>
                <w:sz w:val="20"/>
                <w:szCs w:val="20"/>
              </w:rPr>
              <w:t xml:space="preserve"> (Cth) and its complementary legislation in each state and territory. </w:t>
            </w:r>
            <w:r>
              <w:rPr>
                <w:rFonts w:cs="Arial"/>
                <w:sz w:val="20"/>
                <w:szCs w:val="20"/>
              </w:rPr>
              <w:t>It may be more appropriate to consider such questions as part of the 5-year review of the PFAS NEMP.</w:t>
            </w:r>
          </w:p>
          <w:p w14:paraId="1B7C62C1" w14:textId="77777777" w:rsidR="00A13E48" w:rsidRPr="002668A9" w:rsidRDefault="00A13E48" w:rsidP="00A13E48">
            <w:pPr>
              <w:rPr>
                <w:rFonts w:cs="Arial"/>
                <w:sz w:val="20"/>
                <w:szCs w:val="20"/>
              </w:rPr>
            </w:pPr>
            <w:r w:rsidRPr="002668A9">
              <w:rPr>
                <w:rFonts w:cs="Arial"/>
                <w:sz w:val="20"/>
                <w:szCs w:val="20"/>
              </w:rPr>
              <w:t xml:space="preserve">Similarly, other environmental management frameworks such as the National Environment Protection (Assessment of Site Contamination) Measure 1999 (ASC NEPM) and the National Water Quality Management Strategy, including the Australian </w:t>
            </w:r>
            <w:r w:rsidRPr="002668A9">
              <w:rPr>
                <w:rFonts w:cs="Arial"/>
                <w:sz w:val="20"/>
                <w:szCs w:val="20"/>
              </w:rPr>
              <w:lastRenderedPageBreak/>
              <w:t>and New Zealand Guidelines for Fresh and Marine Water Quality, are independent from the NEMP.</w:t>
            </w:r>
          </w:p>
          <w:p w14:paraId="0DE54A87" w14:textId="1E35E826" w:rsidR="00A13E48" w:rsidRPr="002668A9" w:rsidRDefault="00A13E48" w:rsidP="00A13E48">
            <w:pPr>
              <w:rPr>
                <w:rFonts w:cs="Arial"/>
                <w:sz w:val="20"/>
                <w:szCs w:val="20"/>
              </w:rPr>
            </w:pPr>
            <w:r w:rsidRPr="002668A9">
              <w:rPr>
                <w:rFonts w:cs="Arial"/>
                <w:sz w:val="20"/>
                <w:szCs w:val="20"/>
              </w:rPr>
              <w:t xml:space="preserve">The high level of interest expressed by some submissions about the evidence base regarding the environmental risks of PFAS is appreciated. In response, relevant sections of the NEMP </w:t>
            </w:r>
            <w:r>
              <w:rPr>
                <w:rFonts w:cs="Arial"/>
                <w:sz w:val="20"/>
                <w:szCs w:val="20"/>
              </w:rPr>
              <w:t>2.0</w:t>
            </w:r>
            <w:r w:rsidRPr="002668A9">
              <w:rPr>
                <w:rFonts w:cs="Arial"/>
                <w:sz w:val="20"/>
                <w:szCs w:val="20"/>
              </w:rPr>
              <w:t xml:space="preserve"> have been expanded and clarified and selected references have been added, including links to OECD and UNEP resources. However, it is important to note that the NEMP is not intended to duplicate the extensive information already publicly available.</w:t>
            </w:r>
          </w:p>
          <w:p w14:paraId="3068CA4D" w14:textId="77777777" w:rsidR="00A13E48" w:rsidRPr="002668A9" w:rsidRDefault="00A13E48" w:rsidP="00A13E48">
            <w:pPr>
              <w:rPr>
                <w:rFonts w:cs="Arial"/>
                <w:sz w:val="20"/>
                <w:szCs w:val="20"/>
              </w:rPr>
            </w:pPr>
            <w:r w:rsidRPr="002668A9">
              <w:rPr>
                <w:rFonts w:cs="Arial"/>
                <w:sz w:val="20"/>
                <w:szCs w:val="20"/>
              </w:rPr>
              <w:t>A useful resource on environmental risks, potential market controls, and associated costs and benefits, is the October 2017 Regulation Impact Statement on options for a national phase out of PFOS and related chemicals. Although it focuses only on PFOS, many of the issues discussed are relevant to PFAS more broadly. The aforementioned OECD and UNEP resources are also useful in this regard.</w:t>
            </w:r>
          </w:p>
        </w:tc>
      </w:tr>
      <w:tr w:rsidR="00A13E48" w:rsidRPr="002668A9" w14:paraId="78DA287C" w14:textId="77777777" w:rsidTr="00D06AC1">
        <w:trPr>
          <w:trHeight w:val="2805"/>
        </w:trPr>
        <w:tc>
          <w:tcPr>
            <w:tcW w:w="786" w:type="pct"/>
            <w:vMerge/>
          </w:tcPr>
          <w:p w14:paraId="25792160" w14:textId="77777777" w:rsidR="00A13E48" w:rsidRPr="002668A9" w:rsidRDefault="00A13E48" w:rsidP="00A13E48">
            <w:pPr>
              <w:rPr>
                <w:rFonts w:cs="Arial"/>
                <w:sz w:val="20"/>
                <w:szCs w:val="20"/>
              </w:rPr>
            </w:pPr>
          </w:p>
        </w:tc>
        <w:tc>
          <w:tcPr>
            <w:tcW w:w="1298" w:type="pct"/>
            <w:vMerge/>
            <w:hideMark/>
          </w:tcPr>
          <w:p w14:paraId="3302355F" w14:textId="77777777" w:rsidR="00A13E48" w:rsidRPr="002668A9" w:rsidRDefault="00A13E48" w:rsidP="00A13E48">
            <w:pPr>
              <w:rPr>
                <w:rFonts w:cs="Arial"/>
                <w:sz w:val="20"/>
                <w:szCs w:val="20"/>
              </w:rPr>
            </w:pPr>
          </w:p>
        </w:tc>
        <w:tc>
          <w:tcPr>
            <w:tcW w:w="927" w:type="pct"/>
            <w:vMerge/>
            <w:hideMark/>
          </w:tcPr>
          <w:p w14:paraId="76C63AA6" w14:textId="77777777" w:rsidR="00A13E48" w:rsidRPr="002668A9" w:rsidRDefault="00A13E48" w:rsidP="00A13E48">
            <w:pPr>
              <w:rPr>
                <w:rFonts w:cs="Arial"/>
                <w:sz w:val="20"/>
                <w:szCs w:val="20"/>
              </w:rPr>
            </w:pPr>
          </w:p>
        </w:tc>
        <w:tc>
          <w:tcPr>
            <w:tcW w:w="1989" w:type="pct"/>
            <w:vMerge/>
            <w:hideMark/>
          </w:tcPr>
          <w:p w14:paraId="2DC4FAE7" w14:textId="77777777" w:rsidR="00A13E48" w:rsidRPr="002668A9" w:rsidRDefault="00A13E48" w:rsidP="00A13E48">
            <w:pPr>
              <w:rPr>
                <w:rFonts w:cs="Arial"/>
                <w:sz w:val="20"/>
                <w:szCs w:val="20"/>
              </w:rPr>
            </w:pPr>
          </w:p>
        </w:tc>
      </w:tr>
      <w:tr w:rsidR="00A13E48" w:rsidRPr="002668A9" w14:paraId="66BB0B4B" w14:textId="77777777" w:rsidTr="00D06AC1">
        <w:trPr>
          <w:trHeight w:val="1530"/>
        </w:trPr>
        <w:tc>
          <w:tcPr>
            <w:tcW w:w="786" w:type="pct"/>
            <w:vMerge/>
          </w:tcPr>
          <w:p w14:paraId="64502291" w14:textId="77777777" w:rsidR="00A13E48" w:rsidRPr="002668A9" w:rsidRDefault="00A13E48" w:rsidP="00A13E48">
            <w:pPr>
              <w:rPr>
                <w:rFonts w:cs="Arial"/>
                <w:sz w:val="20"/>
                <w:szCs w:val="20"/>
              </w:rPr>
            </w:pPr>
          </w:p>
        </w:tc>
        <w:tc>
          <w:tcPr>
            <w:tcW w:w="1298" w:type="pct"/>
            <w:vMerge/>
            <w:hideMark/>
          </w:tcPr>
          <w:p w14:paraId="714B08E3" w14:textId="77777777" w:rsidR="00A13E48" w:rsidRPr="002668A9" w:rsidRDefault="00A13E48" w:rsidP="00A13E48">
            <w:pPr>
              <w:rPr>
                <w:rFonts w:cs="Arial"/>
                <w:sz w:val="20"/>
                <w:szCs w:val="20"/>
              </w:rPr>
            </w:pPr>
          </w:p>
        </w:tc>
        <w:tc>
          <w:tcPr>
            <w:tcW w:w="927" w:type="pct"/>
            <w:vMerge/>
            <w:hideMark/>
          </w:tcPr>
          <w:p w14:paraId="66A0E21A" w14:textId="77777777" w:rsidR="00A13E48" w:rsidRPr="002668A9" w:rsidRDefault="00A13E48" w:rsidP="00A13E48">
            <w:pPr>
              <w:rPr>
                <w:rFonts w:cs="Arial"/>
                <w:sz w:val="20"/>
                <w:szCs w:val="20"/>
              </w:rPr>
            </w:pPr>
          </w:p>
        </w:tc>
        <w:tc>
          <w:tcPr>
            <w:tcW w:w="1989" w:type="pct"/>
            <w:vMerge/>
            <w:hideMark/>
          </w:tcPr>
          <w:p w14:paraId="450EE02E" w14:textId="77777777" w:rsidR="00A13E48" w:rsidRPr="002668A9" w:rsidRDefault="00A13E48" w:rsidP="00A13E48">
            <w:pPr>
              <w:rPr>
                <w:rFonts w:cs="Arial"/>
                <w:sz w:val="20"/>
                <w:szCs w:val="20"/>
              </w:rPr>
            </w:pPr>
          </w:p>
        </w:tc>
      </w:tr>
      <w:tr w:rsidR="00A13E48" w:rsidRPr="002668A9" w14:paraId="45367E75" w14:textId="77777777" w:rsidTr="00D06AC1">
        <w:trPr>
          <w:trHeight w:val="1530"/>
        </w:trPr>
        <w:tc>
          <w:tcPr>
            <w:tcW w:w="786" w:type="pct"/>
            <w:vMerge/>
          </w:tcPr>
          <w:p w14:paraId="30AD1A22" w14:textId="77777777" w:rsidR="00A13E48" w:rsidRPr="002668A9" w:rsidRDefault="00A13E48" w:rsidP="00A13E48">
            <w:pPr>
              <w:rPr>
                <w:rFonts w:cs="Arial"/>
                <w:sz w:val="20"/>
                <w:szCs w:val="20"/>
              </w:rPr>
            </w:pPr>
          </w:p>
        </w:tc>
        <w:tc>
          <w:tcPr>
            <w:tcW w:w="1298" w:type="pct"/>
            <w:vMerge/>
            <w:hideMark/>
          </w:tcPr>
          <w:p w14:paraId="7BD054AD" w14:textId="77777777" w:rsidR="00A13E48" w:rsidRPr="002668A9" w:rsidRDefault="00A13E48" w:rsidP="00A13E48">
            <w:pPr>
              <w:rPr>
                <w:rFonts w:cs="Arial"/>
                <w:sz w:val="20"/>
                <w:szCs w:val="20"/>
              </w:rPr>
            </w:pPr>
          </w:p>
        </w:tc>
        <w:tc>
          <w:tcPr>
            <w:tcW w:w="927" w:type="pct"/>
            <w:vMerge/>
            <w:hideMark/>
          </w:tcPr>
          <w:p w14:paraId="024D783F" w14:textId="77777777" w:rsidR="00A13E48" w:rsidRPr="002668A9" w:rsidRDefault="00A13E48" w:rsidP="00A13E48">
            <w:pPr>
              <w:rPr>
                <w:rFonts w:cs="Arial"/>
                <w:sz w:val="20"/>
                <w:szCs w:val="20"/>
              </w:rPr>
            </w:pPr>
          </w:p>
        </w:tc>
        <w:tc>
          <w:tcPr>
            <w:tcW w:w="1989" w:type="pct"/>
            <w:vMerge/>
            <w:hideMark/>
          </w:tcPr>
          <w:p w14:paraId="710AC50D" w14:textId="77777777" w:rsidR="00A13E48" w:rsidRPr="002668A9" w:rsidRDefault="00A13E48" w:rsidP="00A13E48">
            <w:pPr>
              <w:rPr>
                <w:rFonts w:cs="Arial"/>
                <w:sz w:val="20"/>
                <w:szCs w:val="20"/>
              </w:rPr>
            </w:pPr>
          </w:p>
        </w:tc>
      </w:tr>
      <w:tr w:rsidR="00A13E48" w:rsidRPr="002668A9" w14:paraId="26262CE6" w14:textId="77777777" w:rsidTr="00D06AC1">
        <w:trPr>
          <w:trHeight w:val="1530"/>
        </w:trPr>
        <w:tc>
          <w:tcPr>
            <w:tcW w:w="786" w:type="pct"/>
            <w:vMerge/>
          </w:tcPr>
          <w:p w14:paraId="569E2D4A" w14:textId="77777777" w:rsidR="00A13E48" w:rsidRPr="002668A9" w:rsidRDefault="00A13E48" w:rsidP="00A13E48">
            <w:pPr>
              <w:rPr>
                <w:rFonts w:cs="Arial"/>
                <w:sz w:val="20"/>
                <w:szCs w:val="20"/>
              </w:rPr>
            </w:pPr>
          </w:p>
        </w:tc>
        <w:tc>
          <w:tcPr>
            <w:tcW w:w="1298" w:type="pct"/>
            <w:vMerge/>
            <w:hideMark/>
          </w:tcPr>
          <w:p w14:paraId="0D3C411C" w14:textId="77777777" w:rsidR="00A13E48" w:rsidRPr="002668A9" w:rsidRDefault="00A13E48" w:rsidP="00A13E48">
            <w:pPr>
              <w:rPr>
                <w:rFonts w:cs="Arial"/>
                <w:sz w:val="20"/>
                <w:szCs w:val="20"/>
              </w:rPr>
            </w:pPr>
          </w:p>
        </w:tc>
        <w:tc>
          <w:tcPr>
            <w:tcW w:w="927" w:type="pct"/>
            <w:vMerge/>
            <w:hideMark/>
          </w:tcPr>
          <w:p w14:paraId="5B9A7EC0" w14:textId="77777777" w:rsidR="00A13E48" w:rsidRPr="002668A9" w:rsidRDefault="00A13E48" w:rsidP="00A13E48">
            <w:pPr>
              <w:rPr>
                <w:rFonts w:cs="Arial"/>
                <w:sz w:val="20"/>
                <w:szCs w:val="20"/>
              </w:rPr>
            </w:pPr>
          </w:p>
        </w:tc>
        <w:tc>
          <w:tcPr>
            <w:tcW w:w="1989" w:type="pct"/>
            <w:vMerge/>
            <w:hideMark/>
          </w:tcPr>
          <w:p w14:paraId="50FD72B3" w14:textId="77777777" w:rsidR="00A13E48" w:rsidRPr="002668A9" w:rsidRDefault="00A13E48" w:rsidP="00A13E48">
            <w:pPr>
              <w:rPr>
                <w:rFonts w:cs="Arial"/>
                <w:sz w:val="20"/>
                <w:szCs w:val="20"/>
              </w:rPr>
            </w:pPr>
          </w:p>
        </w:tc>
      </w:tr>
      <w:tr w:rsidR="00A13E48" w:rsidRPr="002668A9" w14:paraId="35C4BEC4" w14:textId="77777777" w:rsidTr="00D06AC1">
        <w:trPr>
          <w:trHeight w:val="1530"/>
        </w:trPr>
        <w:tc>
          <w:tcPr>
            <w:tcW w:w="786" w:type="pct"/>
            <w:vMerge/>
          </w:tcPr>
          <w:p w14:paraId="21952E4D" w14:textId="77777777" w:rsidR="00A13E48" w:rsidRPr="002668A9" w:rsidRDefault="00A13E48" w:rsidP="00A13E48">
            <w:pPr>
              <w:rPr>
                <w:rFonts w:cs="Arial"/>
                <w:sz w:val="20"/>
                <w:szCs w:val="20"/>
              </w:rPr>
            </w:pPr>
          </w:p>
        </w:tc>
        <w:tc>
          <w:tcPr>
            <w:tcW w:w="1298" w:type="pct"/>
            <w:vMerge/>
            <w:hideMark/>
          </w:tcPr>
          <w:p w14:paraId="731E0308" w14:textId="77777777" w:rsidR="00A13E48" w:rsidRPr="002668A9" w:rsidRDefault="00A13E48" w:rsidP="00A13E48">
            <w:pPr>
              <w:rPr>
                <w:rFonts w:cs="Arial"/>
                <w:sz w:val="20"/>
                <w:szCs w:val="20"/>
              </w:rPr>
            </w:pPr>
          </w:p>
        </w:tc>
        <w:tc>
          <w:tcPr>
            <w:tcW w:w="927" w:type="pct"/>
            <w:vMerge/>
            <w:hideMark/>
          </w:tcPr>
          <w:p w14:paraId="6167398C" w14:textId="77777777" w:rsidR="00A13E48" w:rsidRPr="002668A9" w:rsidRDefault="00A13E48" w:rsidP="00A13E48">
            <w:pPr>
              <w:rPr>
                <w:rFonts w:cs="Arial"/>
                <w:sz w:val="20"/>
                <w:szCs w:val="20"/>
              </w:rPr>
            </w:pPr>
          </w:p>
        </w:tc>
        <w:tc>
          <w:tcPr>
            <w:tcW w:w="1989" w:type="pct"/>
            <w:vMerge/>
            <w:hideMark/>
          </w:tcPr>
          <w:p w14:paraId="5017A293" w14:textId="77777777" w:rsidR="00A13E48" w:rsidRPr="002668A9" w:rsidRDefault="00A13E48" w:rsidP="00A13E48">
            <w:pPr>
              <w:rPr>
                <w:rFonts w:cs="Arial"/>
                <w:sz w:val="20"/>
                <w:szCs w:val="20"/>
              </w:rPr>
            </w:pPr>
          </w:p>
        </w:tc>
      </w:tr>
      <w:tr w:rsidR="00A13E48" w:rsidRPr="002668A9" w14:paraId="5C469714" w14:textId="77777777" w:rsidTr="00D06AC1">
        <w:tc>
          <w:tcPr>
            <w:tcW w:w="786" w:type="pct"/>
            <w:hideMark/>
          </w:tcPr>
          <w:p w14:paraId="57D7251E" w14:textId="77777777" w:rsidR="00A13E48" w:rsidRPr="002668A9" w:rsidRDefault="00A13E48" w:rsidP="00A13E48">
            <w:pPr>
              <w:rPr>
                <w:rFonts w:cs="Arial"/>
                <w:sz w:val="20"/>
                <w:szCs w:val="20"/>
              </w:rPr>
            </w:pPr>
            <w:r w:rsidRPr="002668A9">
              <w:rPr>
                <w:rFonts w:cs="Arial"/>
                <w:sz w:val="20"/>
                <w:szCs w:val="20"/>
              </w:rPr>
              <w:t>Future work - Theme 1 - the PFAS family</w:t>
            </w:r>
          </w:p>
        </w:tc>
        <w:tc>
          <w:tcPr>
            <w:tcW w:w="1298" w:type="pct"/>
            <w:hideMark/>
          </w:tcPr>
          <w:p w14:paraId="73B7C769" w14:textId="77777777" w:rsidR="00A13E48" w:rsidRPr="002668A9" w:rsidRDefault="00A13E48" w:rsidP="00A13E48">
            <w:pPr>
              <w:rPr>
                <w:rFonts w:cs="Arial"/>
                <w:sz w:val="20"/>
                <w:szCs w:val="20"/>
              </w:rPr>
            </w:pPr>
            <w:r w:rsidRPr="002668A9">
              <w:rPr>
                <w:rFonts w:cs="Arial"/>
                <w:sz w:val="20"/>
                <w:szCs w:val="20"/>
              </w:rPr>
              <w:t>Extensive insights and suggestions were provided to inform future work on the PFAS family, including analysis, risk assessment and risk management.</w:t>
            </w:r>
          </w:p>
          <w:p w14:paraId="6C6A0D57" w14:textId="77777777" w:rsidR="00A13E48" w:rsidRPr="002668A9" w:rsidRDefault="00A13E48" w:rsidP="00A13E48">
            <w:pPr>
              <w:rPr>
                <w:rFonts w:cs="Arial"/>
                <w:sz w:val="20"/>
                <w:szCs w:val="20"/>
              </w:rPr>
            </w:pPr>
            <w:r w:rsidRPr="002668A9">
              <w:rPr>
                <w:rFonts w:cs="Arial"/>
                <w:sz w:val="20"/>
                <w:szCs w:val="20"/>
              </w:rPr>
              <w:t xml:space="preserve">The key matters raised included: further guidance on the selection of analytes and limits of reporting that are appropriate for risk assessment and management, further guidance on the selection and use of non-standard analytical methods, particularly TOP Assay, and </w:t>
            </w:r>
            <w:r w:rsidRPr="002668A9">
              <w:rPr>
                <w:rFonts w:cs="Arial"/>
                <w:sz w:val="20"/>
                <w:szCs w:val="20"/>
              </w:rPr>
              <w:lastRenderedPageBreak/>
              <w:t>consideration of the environmental behaviour of different types of PFAS, including in biota.</w:t>
            </w:r>
          </w:p>
          <w:p w14:paraId="3B8EA8BC" w14:textId="77777777" w:rsidR="00A13E48" w:rsidRPr="002668A9" w:rsidRDefault="00A13E48" w:rsidP="00A13E48">
            <w:pPr>
              <w:rPr>
                <w:rFonts w:cs="Arial"/>
                <w:sz w:val="20"/>
                <w:szCs w:val="20"/>
              </w:rPr>
            </w:pPr>
            <w:r w:rsidRPr="002668A9">
              <w:rPr>
                <w:rFonts w:cs="Arial"/>
                <w:sz w:val="20"/>
                <w:szCs w:val="20"/>
              </w:rPr>
              <w:t>The extensive feedback summarised elsewhere in this document on matters such as environmental guideline values, wastewater, environmental data and monitoring, and site-specific guidance, is also relevant to future work in this area.  </w:t>
            </w:r>
          </w:p>
        </w:tc>
        <w:tc>
          <w:tcPr>
            <w:tcW w:w="927" w:type="pct"/>
            <w:hideMark/>
          </w:tcPr>
          <w:p w14:paraId="138D40D2" w14:textId="77777777" w:rsidR="00A13E48" w:rsidRDefault="00A13E48" w:rsidP="00A13E48">
            <w:pPr>
              <w:rPr>
                <w:rFonts w:cs="Arial"/>
                <w:sz w:val="20"/>
                <w:szCs w:val="20"/>
              </w:rPr>
            </w:pPr>
            <w:r>
              <w:rPr>
                <w:rFonts w:cs="Arial"/>
                <w:sz w:val="20"/>
                <w:szCs w:val="20"/>
              </w:rPr>
              <w:lastRenderedPageBreak/>
              <w:t>Australasian Land and Groundwater Association - submission 1</w:t>
            </w:r>
          </w:p>
          <w:p w14:paraId="267A78D4" w14:textId="11DADED7" w:rsidR="00A13E48" w:rsidRDefault="00A13E48" w:rsidP="00A13E48">
            <w:pPr>
              <w:rPr>
                <w:rFonts w:cs="Arial"/>
                <w:sz w:val="20"/>
                <w:szCs w:val="20"/>
              </w:rPr>
            </w:pPr>
            <w:r>
              <w:rPr>
                <w:rFonts w:cs="Arial"/>
                <w:sz w:val="20"/>
                <w:szCs w:val="20"/>
              </w:rPr>
              <w:t>Australian Government - Airservices Australia</w:t>
            </w:r>
          </w:p>
          <w:p w14:paraId="003E4F99" w14:textId="678F5195" w:rsidR="00A13E48" w:rsidRPr="002668A9" w:rsidRDefault="00A13E48" w:rsidP="00A13E48">
            <w:pPr>
              <w:rPr>
                <w:rFonts w:cs="Arial"/>
                <w:sz w:val="20"/>
                <w:szCs w:val="20"/>
              </w:rPr>
            </w:pPr>
            <w:r>
              <w:rPr>
                <w:rFonts w:cs="Arial"/>
                <w:sz w:val="20"/>
                <w:szCs w:val="20"/>
              </w:rPr>
              <w:t>Burdekin Shire Council and Bligh Tanner</w:t>
            </w:r>
          </w:p>
          <w:p w14:paraId="71805BD9" w14:textId="77777777" w:rsidR="00A13E48" w:rsidRDefault="00A13E48" w:rsidP="00A13E48">
            <w:pPr>
              <w:rPr>
                <w:rFonts w:cs="Arial"/>
                <w:sz w:val="20"/>
                <w:szCs w:val="20"/>
              </w:rPr>
            </w:pPr>
            <w:r>
              <w:rPr>
                <w:rFonts w:cs="Arial"/>
                <w:sz w:val="20"/>
                <w:szCs w:val="20"/>
              </w:rPr>
              <w:t>BP Australia</w:t>
            </w:r>
          </w:p>
          <w:p w14:paraId="645087AC" w14:textId="77777777" w:rsidR="00A13E48" w:rsidRDefault="00A13E48" w:rsidP="00A13E48">
            <w:pPr>
              <w:rPr>
                <w:rFonts w:cs="Arial"/>
                <w:sz w:val="20"/>
                <w:szCs w:val="20"/>
              </w:rPr>
            </w:pPr>
            <w:r>
              <w:rPr>
                <w:rFonts w:cs="Arial"/>
                <w:sz w:val="20"/>
                <w:szCs w:val="20"/>
              </w:rPr>
              <w:lastRenderedPageBreak/>
              <w:t>ExxonMobil Australia</w:t>
            </w:r>
          </w:p>
          <w:p w14:paraId="384E6F49" w14:textId="77777777" w:rsidR="00A13E48" w:rsidRDefault="00A13E48" w:rsidP="00A13E48">
            <w:pPr>
              <w:rPr>
                <w:rFonts w:cs="Arial"/>
                <w:sz w:val="20"/>
                <w:szCs w:val="20"/>
              </w:rPr>
            </w:pPr>
            <w:r>
              <w:rPr>
                <w:rFonts w:cs="Arial"/>
                <w:sz w:val="20"/>
                <w:szCs w:val="20"/>
              </w:rPr>
              <w:t>Golder Associates</w:t>
            </w:r>
          </w:p>
          <w:p w14:paraId="4775EA39" w14:textId="01F1E798" w:rsidR="00A13E48" w:rsidRDefault="00A13E48" w:rsidP="00A13E48">
            <w:pPr>
              <w:rPr>
                <w:rFonts w:cs="Arial"/>
                <w:sz w:val="20"/>
                <w:szCs w:val="20"/>
              </w:rPr>
            </w:pPr>
            <w:r>
              <w:rPr>
                <w:rFonts w:cs="Arial"/>
                <w:sz w:val="20"/>
                <w:szCs w:val="20"/>
              </w:rPr>
              <w:t>OPEC Systems</w:t>
            </w:r>
          </w:p>
          <w:p w14:paraId="3CB83975" w14:textId="77777777" w:rsidR="00A13E48" w:rsidRDefault="00A13E48" w:rsidP="00A13E48">
            <w:pPr>
              <w:rPr>
                <w:rFonts w:cs="Arial"/>
                <w:sz w:val="20"/>
                <w:szCs w:val="20"/>
              </w:rPr>
            </w:pPr>
            <w:r>
              <w:rPr>
                <w:rFonts w:cs="Arial"/>
                <w:sz w:val="20"/>
                <w:szCs w:val="20"/>
              </w:rPr>
              <w:t>Queensland Airports Ltd</w:t>
            </w:r>
          </w:p>
          <w:p w14:paraId="028113AD" w14:textId="77777777" w:rsidR="00A13E48" w:rsidRPr="002668A9" w:rsidRDefault="00A13E48" w:rsidP="00A13E48">
            <w:pPr>
              <w:rPr>
                <w:rFonts w:cs="Arial"/>
                <w:sz w:val="20"/>
                <w:szCs w:val="20"/>
              </w:rPr>
            </w:pPr>
            <w:r>
              <w:rPr>
                <w:rFonts w:cs="Arial"/>
                <w:sz w:val="20"/>
                <w:szCs w:val="20"/>
              </w:rPr>
              <w:t>Queensland Farmers’ Federation</w:t>
            </w:r>
          </w:p>
          <w:p w14:paraId="2C406039" w14:textId="6AA368D1" w:rsidR="00A13E48" w:rsidRDefault="00A13E48" w:rsidP="00A13E48">
            <w:pPr>
              <w:rPr>
                <w:rFonts w:cs="Arial"/>
                <w:sz w:val="20"/>
                <w:szCs w:val="20"/>
              </w:rPr>
            </w:pPr>
            <w:r>
              <w:rPr>
                <w:rFonts w:cs="Arial"/>
                <w:sz w:val="20"/>
                <w:szCs w:val="20"/>
              </w:rPr>
              <w:t>qldwater</w:t>
            </w:r>
          </w:p>
          <w:p w14:paraId="6979D8A3" w14:textId="77777777" w:rsidR="00A13E48" w:rsidRDefault="00A13E48" w:rsidP="00A13E48">
            <w:pPr>
              <w:rPr>
                <w:rFonts w:cs="Arial"/>
                <w:sz w:val="20"/>
                <w:szCs w:val="20"/>
              </w:rPr>
            </w:pPr>
            <w:r>
              <w:rPr>
                <w:rFonts w:cs="Arial"/>
                <w:sz w:val="20"/>
                <w:szCs w:val="20"/>
              </w:rPr>
              <w:t>Sydney Water</w:t>
            </w:r>
          </w:p>
          <w:p w14:paraId="665D9911" w14:textId="08D807B0" w:rsidR="00A13E48" w:rsidRPr="002668A9" w:rsidRDefault="00A13E48" w:rsidP="00A13E48">
            <w:pPr>
              <w:rPr>
                <w:rFonts w:cs="Arial"/>
                <w:sz w:val="20"/>
                <w:szCs w:val="20"/>
              </w:rPr>
            </w:pPr>
            <w:r>
              <w:rPr>
                <w:rFonts w:cs="Arial"/>
                <w:sz w:val="20"/>
                <w:szCs w:val="20"/>
              </w:rPr>
              <w:t>WA Government</w:t>
            </w:r>
          </w:p>
        </w:tc>
        <w:tc>
          <w:tcPr>
            <w:tcW w:w="1989" w:type="pct"/>
            <w:hideMark/>
          </w:tcPr>
          <w:p w14:paraId="2FC60F52" w14:textId="77777777" w:rsidR="00A13E48" w:rsidRPr="002668A9" w:rsidRDefault="00A13E48" w:rsidP="00A13E48">
            <w:pPr>
              <w:rPr>
                <w:rFonts w:cs="Arial"/>
                <w:sz w:val="20"/>
                <w:szCs w:val="20"/>
              </w:rPr>
            </w:pPr>
            <w:r w:rsidRPr="002668A9">
              <w:rPr>
                <w:rFonts w:cs="Arial"/>
                <w:sz w:val="20"/>
                <w:szCs w:val="20"/>
              </w:rPr>
              <w:lastRenderedPageBreak/>
              <w:t xml:space="preserve">The feedback relating to the PFAS family, including analysis, risk assessment and risk management, will inform future work under Theme 1 – the PFAS family, and will also be considered as part of reviewing the implementation of NEMP 1.0. </w:t>
            </w:r>
          </w:p>
        </w:tc>
      </w:tr>
      <w:tr w:rsidR="00A13E48" w:rsidRPr="002668A9" w14:paraId="53B417F0" w14:textId="77777777" w:rsidTr="00D06AC1">
        <w:trPr>
          <w:trHeight w:val="1465"/>
        </w:trPr>
        <w:tc>
          <w:tcPr>
            <w:tcW w:w="786" w:type="pct"/>
            <w:hideMark/>
          </w:tcPr>
          <w:p w14:paraId="1B1EAF63" w14:textId="77777777" w:rsidR="00A13E48" w:rsidRPr="002668A9" w:rsidRDefault="00A13E48" w:rsidP="00A13E48">
            <w:pPr>
              <w:rPr>
                <w:rFonts w:cs="Arial"/>
                <w:sz w:val="20"/>
                <w:szCs w:val="20"/>
              </w:rPr>
            </w:pPr>
            <w:r w:rsidRPr="002668A9">
              <w:rPr>
                <w:rFonts w:cs="Arial"/>
                <w:sz w:val="20"/>
                <w:szCs w:val="20"/>
              </w:rPr>
              <w:t>Future work - Theme 2 - environmental data and monitoring</w:t>
            </w:r>
          </w:p>
        </w:tc>
        <w:tc>
          <w:tcPr>
            <w:tcW w:w="1298" w:type="pct"/>
            <w:hideMark/>
          </w:tcPr>
          <w:p w14:paraId="033B29A2" w14:textId="77777777" w:rsidR="00A13E48" w:rsidRPr="002668A9" w:rsidRDefault="00A13E48" w:rsidP="00A13E48">
            <w:pPr>
              <w:rPr>
                <w:rFonts w:cs="Arial"/>
                <w:sz w:val="20"/>
                <w:szCs w:val="20"/>
              </w:rPr>
            </w:pPr>
            <w:r w:rsidRPr="002668A9">
              <w:rPr>
                <w:rFonts w:cs="Arial"/>
                <w:sz w:val="20"/>
                <w:szCs w:val="20"/>
              </w:rPr>
              <w:t>Several insights and suggestions were provided to inform future work on environmental data and monitoring</w:t>
            </w:r>
          </w:p>
          <w:p w14:paraId="0FB8D5F7" w14:textId="77777777" w:rsidR="00A13E48" w:rsidRPr="002668A9" w:rsidRDefault="00A13E48" w:rsidP="00A13E48">
            <w:pPr>
              <w:rPr>
                <w:rFonts w:cs="Arial"/>
                <w:sz w:val="20"/>
                <w:szCs w:val="20"/>
              </w:rPr>
            </w:pPr>
            <w:r w:rsidRPr="002668A9">
              <w:rPr>
                <w:rFonts w:cs="Arial"/>
                <w:sz w:val="20"/>
                <w:szCs w:val="20"/>
              </w:rPr>
              <w:t>The key matters raised included: strong support for the sharing/publication of background concentration data, consideration of point sources and mass loading within catchments, and the balance between identifying sources and monitoring receptors.</w:t>
            </w:r>
          </w:p>
          <w:p w14:paraId="40F51B5B" w14:textId="77777777" w:rsidR="00A13E48" w:rsidRPr="002668A9" w:rsidRDefault="00A13E48" w:rsidP="00A13E48">
            <w:pPr>
              <w:rPr>
                <w:rFonts w:cs="Arial"/>
                <w:sz w:val="20"/>
                <w:szCs w:val="20"/>
              </w:rPr>
            </w:pPr>
            <w:r w:rsidRPr="002668A9">
              <w:rPr>
                <w:rFonts w:cs="Arial"/>
                <w:sz w:val="20"/>
                <w:szCs w:val="20"/>
              </w:rPr>
              <w:t xml:space="preserve">The extensive feedback summarised elsewhere in this document on matters such as wastewater and environmental </w:t>
            </w:r>
            <w:r w:rsidRPr="002668A9">
              <w:rPr>
                <w:rFonts w:cs="Arial"/>
                <w:sz w:val="20"/>
                <w:szCs w:val="20"/>
              </w:rPr>
              <w:lastRenderedPageBreak/>
              <w:t xml:space="preserve">guideline values is also relevant to future work in this area. </w:t>
            </w:r>
          </w:p>
        </w:tc>
        <w:tc>
          <w:tcPr>
            <w:tcW w:w="927" w:type="pct"/>
            <w:hideMark/>
          </w:tcPr>
          <w:p w14:paraId="2B8384DC" w14:textId="10DC631B" w:rsidR="00A13E48" w:rsidRDefault="00A13E48" w:rsidP="00A13E48">
            <w:pPr>
              <w:rPr>
                <w:rFonts w:cs="Arial"/>
                <w:sz w:val="20"/>
                <w:szCs w:val="20"/>
              </w:rPr>
            </w:pPr>
            <w:r>
              <w:rPr>
                <w:rFonts w:cs="Arial"/>
                <w:sz w:val="20"/>
                <w:szCs w:val="20"/>
              </w:rPr>
              <w:lastRenderedPageBreak/>
              <w:t>Australasian Land and Groundwater Association - submission 1</w:t>
            </w:r>
          </w:p>
          <w:p w14:paraId="71D2BF0C" w14:textId="101B575D" w:rsidR="00A13E48" w:rsidRPr="002668A9" w:rsidRDefault="00A13E48" w:rsidP="00A13E48">
            <w:pPr>
              <w:rPr>
                <w:rFonts w:cs="Arial"/>
                <w:sz w:val="20"/>
                <w:szCs w:val="20"/>
              </w:rPr>
            </w:pPr>
            <w:r>
              <w:rPr>
                <w:rFonts w:cs="Arial"/>
                <w:sz w:val="20"/>
                <w:szCs w:val="20"/>
              </w:rPr>
              <w:t>Australian Government - Airservices Australia</w:t>
            </w:r>
          </w:p>
          <w:p w14:paraId="6F8CAAC9" w14:textId="77777777" w:rsidR="00A13E48" w:rsidRDefault="00A13E48" w:rsidP="00A13E48">
            <w:pPr>
              <w:rPr>
                <w:rFonts w:cs="Arial"/>
                <w:sz w:val="20"/>
                <w:szCs w:val="20"/>
              </w:rPr>
            </w:pPr>
            <w:r>
              <w:rPr>
                <w:rFonts w:cs="Arial"/>
                <w:sz w:val="20"/>
                <w:szCs w:val="20"/>
              </w:rPr>
              <w:t>ExxonMobil Australia</w:t>
            </w:r>
          </w:p>
          <w:p w14:paraId="0280CA13" w14:textId="77777777" w:rsidR="00A13E48" w:rsidRPr="002668A9" w:rsidRDefault="00A13E48" w:rsidP="00A13E48">
            <w:pPr>
              <w:rPr>
                <w:rFonts w:cs="Arial"/>
                <w:sz w:val="20"/>
                <w:szCs w:val="20"/>
              </w:rPr>
            </w:pPr>
            <w:r>
              <w:rPr>
                <w:rFonts w:cs="Arial"/>
                <w:sz w:val="20"/>
                <w:szCs w:val="20"/>
              </w:rPr>
              <w:t>Friends of the Earth Australia</w:t>
            </w:r>
          </w:p>
          <w:p w14:paraId="21D4E17E" w14:textId="77777777" w:rsidR="00A13E48" w:rsidRPr="002668A9" w:rsidRDefault="00A13E48" w:rsidP="00A13E48">
            <w:pPr>
              <w:rPr>
                <w:rFonts w:cs="Arial"/>
                <w:sz w:val="20"/>
                <w:szCs w:val="20"/>
              </w:rPr>
            </w:pPr>
            <w:r>
              <w:rPr>
                <w:rFonts w:cs="Arial"/>
                <w:sz w:val="20"/>
                <w:szCs w:val="20"/>
              </w:rPr>
              <w:t>Qantas</w:t>
            </w:r>
          </w:p>
          <w:p w14:paraId="7EDB6727" w14:textId="77777777" w:rsidR="00A13E48" w:rsidRPr="002668A9" w:rsidRDefault="00A13E48" w:rsidP="00A13E48">
            <w:pPr>
              <w:rPr>
                <w:rFonts w:cs="Arial"/>
                <w:sz w:val="20"/>
                <w:szCs w:val="20"/>
              </w:rPr>
            </w:pPr>
            <w:r>
              <w:rPr>
                <w:rFonts w:cs="Arial"/>
                <w:sz w:val="20"/>
                <w:szCs w:val="20"/>
              </w:rPr>
              <w:t>qldwater</w:t>
            </w:r>
          </w:p>
          <w:p w14:paraId="421145D8" w14:textId="77777777" w:rsidR="00A13E48" w:rsidRPr="002668A9" w:rsidRDefault="00A13E48" w:rsidP="00A13E48">
            <w:pPr>
              <w:rPr>
                <w:rFonts w:cs="Arial"/>
                <w:sz w:val="20"/>
                <w:szCs w:val="20"/>
              </w:rPr>
            </w:pPr>
            <w:r>
              <w:rPr>
                <w:rFonts w:cs="Arial"/>
                <w:sz w:val="20"/>
                <w:szCs w:val="20"/>
              </w:rPr>
              <w:lastRenderedPageBreak/>
              <w:t>Victorian Water Industry Association</w:t>
            </w:r>
          </w:p>
          <w:p w14:paraId="73B3A006" w14:textId="2BB140EB" w:rsidR="00A13E48" w:rsidRPr="002668A9" w:rsidRDefault="00A13E48" w:rsidP="00A13E48">
            <w:pPr>
              <w:rPr>
                <w:rFonts w:cs="Arial"/>
                <w:sz w:val="20"/>
                <w:szCs w:val="20"/>
              </w:rPr>
            </w:pPr>
            <w:r>
              <w:rPr>
                <w:rFonts w:cs="Arial"/>
                <w:sz w:val="20"/>
                <w:szCs w:val="20"/>
              </w:rPr>
              <w:t>WA Government</w:t>
            </w:r>
          </w:p>
        </w:tc>
        <w:tc>
          <w:tcPr>
            <w:tcW w:w="1989" w:type="pct"/>
            <w:hideMark/>
          </w:tcPr>
          <w:p w14:paraId="4D0F015C" w14:textId="77777777" w:rsidR="00A13E48" w:rsidRPr="002668A9" w:rsidRDefault="00A13E48" w:rsidP="00A13E48">
            <w:pPr>
              <w:rPr>
                <w:rFonts w:cs="Arial"/>
                <w:sz w:val="20"/>
                <w:szCs w:val="20"/>
              </w:rPr>
            </w:pPr>
            <w:r w:rsidRPr="002668A9">
              <w:rPr>
                <w:rFonts w:cs="Arial"/>
                <w:sz w:val="20"/>
                <w:szCs w:val="20"/>
              </w:rPr>
              <w:lastRenderedPageBreak/>
              <w:t>The feedback provided in relation to environmental data and monitoring, including consideration of ambient background contamination, will inform future work under Theme 2 – environmental data and monitoring, and will also be considered as part of reviewing the implementation of NEMP 1.0</w:t>
            </w:r>
          </w:p>
        </w:tc>
      </w:tr>
      <w:tr w:rsidR="00A13E48" w:rsidRPr="002668A9" w14:paraId="60C16EDA" w14:textId="77777777" w:rsidTr="00D06AC1">
        <w:trPr>
          <w:trHeight w:val="1785"/>
        </w:trPr>
        <w:tc>
          <w:tcPr>
            <w:tcW w:w="786" w:type="pct"/>
            <w:hideMark/>
          </w:tcPr>
          <w:p w14:paraId="3F073325" w14:textId="77777777" w:rsidR="00A13E48" w:rsidRPr="002668A9" w:rsidRDefault="00A13E48" w:rsidP="00A13E48">
            <w:pPr>
              <w:rPr>
                <w:rFonts w:cs="Arial"/>
                <w:sz w:val="20"/>
                <w:szCs w:val="20"/>
              </w:rPr>
            </w:pPr>
            <w:r w:rsidRPr="002668A9">
              <w:rPr>
                <w:rFonts w:cs="Arial"/>
                <w:sz w:val="20"/>
                <w:szCs w:val="20"/>
              </w:rPr>
              <w:t>Future work - Theme 3 - water</w:t>
            </w:r>
          </w:p>
        </w:tc>
        <w:tc>
          <w:tcPr>
            <w:tcW w:w="1298" w:type="pct"/>
            <w:hideMark/>
          </w:tcPr>
          <w:p w14:paraId="1241EDEF" w14:textId="77777777" w:rsidR="00A13E48" w:rsidRPr="002668A9" w:rsidRDefault="00A13E48" w:rsidP="00A13E48">
            <w:pPr>
              <w:rPr>
                <w:rFonts w:cs="Arial"/>
                <w:sz w:val="20"/>
                <w:szCs w:val="20"/>
              </w:rPr>
            </w:pPr>
            <w:r w:rsidRPr="002668A9">
              <w:rPr>
                <w:rFonts w:cs="Arial"/>
                <w:sz w:val="20"/>
                <w:szCs w:val="20"/>
              </w:rPr>
              <w:t>Several insights and suggestions were provided to inform future work on water.</w:t>
            </w:r>
          </w:p>
          <w:p w14:paraId="065194FD" w14:textId="21271F6D" w:rsidR="00A13E48" w:rsidRPr="002668A9" w:rsidRDefault="00A13E48" w:rsidP="00A13E48">
            <w:pPr>
              <w:rPr>
                <w:rFonts w:cs="Arial"/>
                <w:sz w:val="20"/>
                <w:szCs w:val="20"/>
              </w:rPr>
            </w:pPr>
            <w:r w:rsidRPr="002668A9">
              <w:rPr>
                <w:rFonts w:cs="Arial"/>
                <w:sz w:val="20"/>
                <w:szCs w:val="20"/>
              </w:rPr>
              <w:t>The key matters raised included: provision of environmental guidelines for sediment, consideration of both mass flux and concentration, and further detailed guidance on consideration of environmental guideline values for water.</w:t>
            </w:r>
          </w:p>
          <w:p w14:paraId="02CD5301" w14:textId="77777777" w:rsidR="00A13E48" w:rsidRPr="002668A9" w:rsidRDefault="00A13E48" w:rsidP="00A13E48">
            <w:pPr>
              <w:rPr>
                <w:rFonts w:cs="Arial"/>
                <w:sz w:val="20"/>
                <w:szCs w:val="20"/>
              </w:rPr>
            </w:pPr>
            <w:r w:rsidRPr="002668A9">
              <w:rPr>
                <w:rFonts w:cs="Arial"/>
                <w:sz w:val="20"/>
                <w:szCs w:val="20"/>
              </w:rPr>
              <w:t xml:space="preserve">The extensive feedback summarised elsewhere in this document on matters such as wastewater and environmental guideline values for water and biota is also relevant to future work in this area. </w:t>
            </w:r>
          </w:p>
        </w:tc>
        <w:tc>
          <w:tcPr>
            <w:tcW w:w="927" w:type="pct"/>
            <w:hideMark/>
          </w:tcPr>
          <w:p w14:paraId="7C84CCC4" w14:textId="77777777" w:rsidR="00A13E48" w:rsidRPr="002668A9" w:rsidRDefault="00A13E48" w:rsidP="00A13E48">
            <w:pPr>
              <w:rPr>
                <w:rFonts w:cs="Arial"/>
                <w:sz w:val="20"/>
                <w:szCs w:val="20"/>
              </w:rPr>
            </w:pPr>
            <w:r>
              <w:rPr>
                <w:rFonts w:cs="Arial"/>
                <w:sz w:val="20"/>
                <w:szCs w:val="20"/>
              </w:rPr>
              <w:t>Australasian Land and Groundwater Association - submission 1</w:t>
            </w:r>
          </w:p>
          <w:p w14:paraId="0DB0709F" w14:textId="4CE688B4" w:rsidR="00A13E48" w:rsidRDefault="00A13E48" w:rsidP="00A13E48">
            <w:pPr>
              <w:rPr>
                <w:rFonts w:cs="Arial"/>
                <w:sz w:val="20"/>
                <w:szCs w:val="20"/>
              </w:rPr>
            </w:pPr>
            <w:r>
              <w:rPr>
                <w:rFonts w:cs="Arial"/>
                <w:sz w:val="20"/>
                <w:szCs w:val="20"/>
              </w:rPr>
              <w:t>Burdekin Shire Council and Bligh Tanner</w:t>
            </w:r>
          </w:p>
          <w:p w14:paraId="44DD2927" w14:textId="77777777" w:rsidR="00A13E48" w:rsidRDefault="00A13E48" w:rsidP="00A13E48">
            <w:pPr>
              <w:rPr>
                <w:rFonts w:cs="Arial"/>
                <w:sz w:val="20"/>
                <w:szCs w:val="20"/>
              </w:rPr>
            </w:pPr>
            <w:r>
              <w:rPr>
                <w:rFonts w:cs="Arial"/>
                <w:sz w:val="20"/>
                <w:szCs w:val="20"/>
              </w:rPr>
              <w:t>Golder Associates</w:t>
            </w:r>
          </w:p>
          <w:p w14:paraId="73808924" w14:textId="72049306" w:rsidR="00A13E48" w:rsidRPr="002668A9" w:rsidRDefault="00A13E48" w:rsidP="00A13E48">
            <w:pPr>
              <w:rPr>
                <w:rFonts w:cs="Arial"/>
                <w:sz w:val="20"/>
                <w:szCs w:val="20"/>
              </w:rPr>
            </w:pPr>
            <w:r>
              <w:rPr>
                <w:rFonts w:cs="Arial"/>
                <w:sz w:val="20"/>
                <w:szCs w:val="20"/>
              </w:rPr>
              <w:t>NSW EPA - Hazardous Materials Unit</w:t>
            </w:r>
          </w:p>
          <w:p w14:paraId="251A3153" w14:textId="77777777" w:rsidR="00A13E48" w:rsidRPr="002668A9" w:rsidRDefault="00A13E48" w:rsidP="00A13E48">
            <w:pPr>
              <w:rPr>
                <w:rFonts w:cs="Arial"/>
                <w:sz w:val="20"/>
                <w:szCs w:val="20"/>
              </w:rPr>
            </w:pPr>
            <w:r>
              <w:rPr>
                <w:rFonts w:cs="Arial"/>
                <w:sz w:val="20"/>
                <w:szCs w:val="20"/>
              </w:rPr>
              <w:t>qldwater</w:t>
            </w:r>
          </w:p>
          <w:p w14:paraId="78E311BE" w14:textId="77777777" w:rsidR="00A13E48" w:rsidRDefault="00A13E48" w:rsidP="00A13E48">
            <w:pPr>
              <w:rPr>
                <w:rFonts w:cs="Arial"/>
                <w:sz w:val="20"/>
                <w:szCs w:val="20"/>
              </w:rPr>
            </w:pPr>
            <w:r>
              <w:rPr>
                <w:rFonts w:cs="Arial"/>
                <w:sz w:val="20"/>
                <w:szCs w:val="20"/>
              </w:rPr>
              <w:t>Queensland Airports Ltd</w:t>
            </w:r>
          </w:p>
          <w:p w14:paraId="3A2CA900" w14:textId="77777777" w:rsidR="00A13E48" w:rsidRDefault="00A13E48" w:rsidP="00A13E48">
            <w:pPr>
              <w:rPr>
                <w:rFonts w:cs="Arial"/>
                <w:sz w:val="20"/>
                <w:szCs w:val="20"/>
              </w:rPr>
            </w:pPr>
            <w:r>
              <w:rPr>
                <w:rFonts w:cs="Arial"/>
                <w:sz w:val="20"/>
                <w:szCs w:val="20"/>
              </w:rPr>
              <w:t>South East Water</w:t>
            </w:r>
          </w:p>
          <w:p w14:paraId="72650B81" w14:textId="2EF81C3D" w:rsidR="00A13E48" w:rsidRPr="002668A9" w:rsidRDefault="00A13E48" w:rsidP="00A13E48">
            <w:pPr>
              <w:rPr>
                <w:rFonts w:cs="Arial"/>
                <w:sz w:val="20"/>
                <w:szCs w:val="20"/>
              </w:rPr>
            </w:pPr>
          </w:p>
        </w:tc>
        <w:tc>
          <w:tcPr>
            <w:tcW w:w="1989" w:type="pct"/>
            <w:hideMark/>
          </w:tcPr>
          <w:p w14:paraId="29774C93" w14:textId="77777777" w:rsidR="00A13E48" w:rsidRPr="002668A9" w:rsidRDefault="00A13E48" w:rsidP="00A13E48">
            <w:pPr>
              <w:rPr>
                <w:rFonts w:cs="Arial"/>
                <w:sz w:val="20"/>
                <w:szCs w:val="20"/>
              </w:rPr>
            </w:pPr>
            <w:r w:rsidRPr="002668A9">
              <w:rPr>
                <w:rFonts w:cs="Arial"/>
                <w:sz w:val="20"/>
                <w:szCs w:val="20"/>
              </w:rPr>
              <w:t>The feedback provided in relation to water will inform future work under Theme 3 - water, and will also be considered as part of reviewing the implementation of NEMP 1.0</w:t>
            </w:r>
          </w:p>
        </w:tc>
      </w:tr>
      <w:tr w:rsidR="00A13E48" w:rsidRPr="002668A9" w14:paraId="634AD977" w14:textId="77777777" w:rsidTr="00D06AC1">
        <w:trPr>
          <w:trHeight w:val="765"/>
        </w:trPr>
        <w:tc>
          <w:tcPr>
            <w:tcW w:w="786" w:type="pct"/>
            <w:vMerge w:val="restart"/>
            <w:hideMark/>
          </w:tcPr>
          <w:p w14:paraId="77C69E06" w14:textId="77777777" w:rsidR="00A13E48" w:rsidRPr="002668A9" w:rsidRDefault="00A13E48" w:rsidP="00A13E48">
            <w:pPr>
              <w:rPr>
                <w:rFonts w:cs="Arial"/>
                <w:sz w:val="20"/>
                <w:szCs w:val="20"/>
              </w:rPr>
            </w:pPr>
            <w:r w:rsidRPr="002668A9">
              <w:rPr>
                <w:rFonts w:cs="Arial"/>
                <w:sz w:val="20"/>
                <w:szCs w:val="20"/>
              </w:rPr>
              <w:t>Future work - Theme 4 - soil</w:t>
            </w:r>
          </w:p>
        </w:tc>
        <w:tc>
          <w:tcPr>
            <w:tcW w:w="1298" w:type="pct"/>
            <w:vMerge w:val="restart"/>
            <w:hideMark/>
          </w:tcPr>
          <w:p w14:paraId="19A93D8D" w14:textId="77777777" w:rsidR="00A13E48" w:rsidRPr="002668A9" w:rsidRDefault="00A13E48" w:rsidP="00A13E48">
            <w:pPr>
              <w:rPr>
                <w:rFonts w:cs="Arial"/>
                <w:sz w:val="20"/>
                <w:szCs w:val="20"/>
              </w:rPr>
            </w:pPr>
            <w:r w:rsidRPr="002668A9">
              <w:rPr>
                <w:rFonts w:cs="Arial"/>
                <w:sz w:val="20"/>
                <w:szCs w:val="20"/>
              </w:rPr>
              <w:t>Several insights and suggestions were provided to inform future work on soil.</w:t>
            </w:r>
          </w:p>
          <w:p w14:paraId="0CAAF6F5" w14:textId="77777777" w:rsidR="00A13E48" w:rsidRPr="002668A9" w:rsidRDefault="00A13E48" w:rsidP="00A13E48">
            <w:pPr>
              <w:rPr>
                <w:rFonts w:cs="Arial"/>
                <w:sz w:val="20"/>
                <w:szCs w:val="20"/>
              </w:rPr>
            </w:pPr>
            <w:r w:rsidRPr="002668A9">
              <w:rPr>
                <w:rFonts w:cs="Arial"/>
                <w:sz w:val="20"/>
                <w:szCs w:val="20"/>
              </w:rPr>
              <w:lastRenderedPageBreak/>
              <w:t>The key matters raised included: provision of a criterion for indirect exposure for PFOA and further consideration of the migration of PFAS from soil.</w:t>
            </w:r>
          </w:p>
          <w:p w14:paraId="15D0D957" w14:textId="77777777" w:rsidR="00A13E48" w:rsidRPr="002668A9" w:rsidRDefault="00A13E48" w:rsidP="00A13E48">
            <w:pPr>
              <w:rPr>
                <w:rFonts w:cs="Arial"/>
                <w:sz w:val="20"/>
                <w:szCs w:val="20"/>
              </w:rPr>
            </w:pPr>
            <w:r w:rsidRPr="002668A9">
              <w:rPr>
                <w:rFonts w:cs="Arial"/>
                <w:sz w:val="20"/>
                <w:szCs w:val="20"/>
              </w:rPr>
              <w:t xml:space="preserve">The extensive feedback summarised elsewhere in this document on matters such as environmental guideline values for soil is also relevant to future work in this area. </w:t>
            </w:r>
          </w:p>
        </w:tc>
        <w:tc>
          <w:tcPr>
            <w:tcW w:w="927" w:type="pct"/>
            <w:vMerge w:val="restart"/>
            <w:hideMark/>
          </w:tcPr>
          <w:p w14:paraId="2A6F78FF" w14:textId="3C1CE67F" w:rsidR="00A13E48" w:rsidRPr="002668A9" w:rsidRDefault="00A13E48" w:rsidP="00A13E48">
            <w:pPr>
              <w:rPr>
                <w:rFonts w:cs="Arial"/>
                <w:sz w:val="20"/>
                <w:szCs w:val="20"/>
              </w:rPr>
            </w:pPr>
            <w:r>
              <w:rPr>
                <w:rFonts w:cs="Arial"/>
                <w:sz w:val="20"/>
                <w:szCs w:val="20"/>
              </w:rPr>
              <w:lastRenderedPageBreak/>
              <w:t>Australian Government - Airservices Australia</w:t>
            </w:r>
          </w:p>
          <w:p w14:paraId="1181966C" w14:textId="77777777" w:rsidR="00A13E48" w:rsidRDefault="00A13E48" w:rsidP="00A13E48">
            <w:pPr>
              <w:rPr>
                <w:rFonts w:cs="Arial"/>
                <w:sz w:val="20"/>
                <w:szCs w:val="20"/>
              </w:rPr>
            </w:pPr>
            <w:r>
              <w:rPr>
                <w:rFonts w:cs="Arial"/>
                <w:sz w:val="20"/>
                <w:szCs w:val="20"/>
              </w:rPr>
              <w:lastRenderedPageBreak/>
              <w:t>Brisbane Airport Corporation</w:t>
            </w:r>
          </w:p>
          <w:p w14:paraId="33746129" w14:textId="77777777" w:rsidR="00A13E48" w:rsidRPr="002668A9" w:rsidRDefault="00A13E48" w:rsidP="00A13E48">
            <w:pPr>
              <w:rPr>
                <w:rFonts w:cs="Arial"/>
                <w:sz w:val="20"/>
                <w:szCs w:val="20"/>
              </w:rPr>
            </w:pPr>
            <w:r>
              <w:rPr>
                <w:rFonts w:cs="Arial"/>
                <w:sz w:val="20"/>
                <w:szCs w:val="20"/>
              </w:rPr>
              <w:t>Golder Associates</w:t>
            </w:r>
          </w:p>
          <w:p w14:paraId="12C03704" w14:textId="239305FB" w:rsidR="00A13E48" w:rsidRDefault="00A13E48" w:rsidP="00A13E48">
            <w:pPr>
              <w:rPr>
                <w:rFonts w:cs="Arial"/>
                <w:sz w:val="20"/>
                <w:szCs w:val="20"/>
              </w:rPr>
            </w:pPr>
            <w:r>
              <w:rPr>
                <w:rFonts w:cs="Arial"/>
                <w:sz w:val="20"/>
                <w:szCs w:val="20"/>
              </w:rPr>
              <w:t>NZ Regional and Unitary Councils - Contaminated Land and Waste Special Interest Group</w:t>
            </w:r>
          </w:p>
          <w:p w14:paraId="213E7757" w14:textId="5D25423D" w:rsidR="00A13E48" w:rsidRPr="002668A9" w:rsidRDefault="00A13E48" w:rsidP="00A13E48">
            <w:pPr>
              <w:rPr>
                <w:rFonts w:cs="Arial"/>
                <w:sz w:val="20"/>
                <w:szCs w:val="20"/>
              </w:rPr>
            </w:pPr>
            <w:r>
              <w:rPr>
                <w:rFonts w:cs="Arial"/>
                <w:sz w:val="20"/>
                <w:szCs w:val="20"/>
              </w:rPr>
              <w:t>Queensland Airports Ltd</w:t>
            </w:r>
          </w:p>
          <w:p w14:paraId="035ABC4B" w14:textId="730B551D" w:rsidR="00A13E48" w:rsidRPr="002668A9" w:rsidRDefault="00A13E48" w:rsidP="00A13E48">
            <w:pPr>
              <w:rPr>
                <w:rFonts w:cs="Arial"/>
                <w:sz w:val="20"/>
                <w:szCs w:val="20"/>
              </w:rPr>
            </w:pPr>
            <w:r>
              <w:rPr>
                <w:rFonts w:cs="Arial"/>
                <w:sz w:val="20"/>
                <w:szCs w:val="20"/>
              </w:rPr>
              <w:t>South East Water</w:t>
            </w:r>
          </w:p>
        </w:tc>
        <w:tc>
          <w:tcPr>
            <w:tcW w:w="1989" w:type="pct"/>
            <w:vMerge w:val="restart"/>
            <w:hideMark/>
          </w:tcPr>
          <w:p w14:paraId="4AF63B39" w14:textId="77777777" w:rsidR="00A13E48" w:rsidRPr="002668A9" w:rsidRDefault="00A13E48" w:rsidP="00A13E48">
            <w:pPr>
              <w:rPr>
                <w:rFonts w:cs="Arial"/>
                <w:sz w:val="20"/>
                <w:szCs w:val="20"/>
              </w:rPr>
            </w:pPr>
            <w:r w:rsidRPr="002668A9">
              <w:rPr>
                <w:rFonts w:cs="Arial"/>
                <w:sz w:val="20"/>
                <w:szCs w:val="20"/>
              </w:rPr>
              <w:lastRenderedPageBreak/>
              <w:t xml:space="preserve">The feedback provided in relation to soil will inform future work under Theme 4 - soil, and will also be considered as part of reviewing the implementation of NEMP 1.0.  </w:t>
            </w:r>
          </w:p>
        </w:tc>
      </w:tr>
      <w:tr w:rsidR="00A13E48" w:rsidRPr="002668A9" w14:paraId="69B34338" w14:textId="77777777" w:rsidTr="00D06AC1">
        <w:trPr>
          <w:trHeight w:val="765"/>
        </w:trPr>
        <w:tc>
          <w:tcPr>
            <w:tcW w:w="786" w:type="pct"/>
            <w:vMerge/>
          </w:tcPr>
          <w:p w14:paraId="49858950" w14:textId="77777777" w:rsidR="00A13E48" w:rsidRPr="002668A9" w:rsidRDefault="00A13E48" w:rsidP="00A13E48">
            <w:pPr>
              <w:rPr>
                <w:rFonts w:cs="Arial"/>
                <w:sz w:val="20"/>
                <w:szCs w:val="20"/>
              </w:rPr>
            </w:pPr>
          </w:p>
        </w:tc>
        <w:tc>
          <w:tcPr>
            <w:tcW w:w="1298" w:type="pct"/>
            <w:vMerge/>
          </w:tcPr>
          <w:p w14:paraId="22F1AF29" w14:textId="77777777" w:rsidR="00A13E48" w:rsidRPr="002668A9" w:rsidRDefault="00A13E48" w:rsidP="00A13E48">
            <w:pPr>
              <w:rPr>
                <w:rFonts w:cs="Arial"/>
                <w:sz w:val="20"/>
                <w:szCs w:val="20"/>
              </w:rPr>
            </w:pPr>
          </w:p>
        </w:tc>
        <w:tc>
          <w:tcPr>
            <w:tcW w:w="927" w:type="pct"/>
            <w:vMerge/>
          </w:tcPr>
          <w:p w14:paraId="2CD97D5B" w14:textId="77777777" w:rsidR="00A13E48" w:rsidRPr="002668A9" w:rsidRDefault="00A13E48" w:rsidP="00A13E48">
            <w:pPr>
              <w:rPr>
                <w:rFonts w:cs="Arial"/>
                <w:sz w:val="20"/>
                <w:szCs w:val="20"/>
              </w:rPr>
            </w:pPr>
          </w:p>
        </w:tc>
        <w:tc>
          <w:tcPr>
            <w:tcW w:w="1989" w:type="pct"/>
            <w:vMerge/>
          </w:tcPr>
          <w:p w14:paraId="2EAACE26" w14:textId="77777777" w:rsidR="00A13E48" w:rsidRPr="002668A9" w:rsidRDefault="00A13E48" w:rsidP="00A13E48">
            <w:pPr>
              <w:rPr>
                <w:rFonts w:cs="Arial"/>
                <w:sz w:val="20"/>
                <w:szCs w:val="20"/>
              </w:rPr>
            </w:pPr>
          </w:p>
        </w:tc>
      </w:tr>
      <w:tr w:rsidR="00A13E48" w:rsidRPr="002668A9" w14:paraId="1C6EB957" w14:textId="77777777" w:rsidTr="00D06AC1">
        <w:trPr>
          <w:trHeight w:val="1275"/>
        </w:trPr>
        <w:tc>
          <w:tcPr>
            <w:tcW w:w="786" w:type="pct"/>
            <w:vMerge w:val="restart"/>
            <w:hideMark/>
          </w:tcPr>
          <w:p w14:paraId="1D26BD1F" w14:textId="77777777" w:rsidR="00A13E48" w:rsidRPr="002668A9" w:rsidRDefault="00A13E48" w:rsidP="00A13E48">
            <w:pPr>
              <w:rPr>
                <w:rFonts w:cs="Arial"/>
                <w:sz w:val="20"/>
                <w:szCs w:val="20"/>
              </w:rPr>
            </w:pPr>
            <w:r w:rsidRPr="002668A9">
              <w:rPr>
                <w:rFonts w:cs="Arial"/>
                <w:sz w:val="20"/>
                <w:szCs w:val="20"/>
              </w:rPr>
              <w:t>Future work - Theme 5 - resource recovery and waste management</w:t>
            </w:r>
          </w:p>
        </w:tc>
        <w:tc>
          <w:tcPr>
            <w:tcW w:w="1298" w:type="pct"/>
            <w:vMerge w:val="restart"/>
            <w:hideMark/>
          </w:tcPr>
          <w:p w14:paraId="723218D0" w14:textId="77777777" w:rsidR="00A13E48" w:rsidRPr="002668A9" w:rsidRDefault="00A13E48" w:rsidP="00A13E48">
            <w:pPr>
              <w:rPr>
                <w:rFonts w:cs="Arial"/>
                <w:sz w:val="20"/>
                <w:szCs w:val="20"/>
              </w:rPr>
            </w:pPr>
            <w:r w:rsidRPr="002668A9">
              <w:rPr>
                <w:rFonts w:cs="Arial"/>
                <w:sz w:val="20"/>
                <w:szCs w:val="20"/>
              </w:rPr>
              <w:t xml:space="preserve">Extensive insights and suggestions were provided to inform future work on resource recovery and waste management. </w:t>
            </w:r>
          </w:p>
          <w:p w14:paraId="06EED981" w14:textId="77777777" w:rsidR="00A13E48" w:rsidRPr="002668A9" w:rsidRDefault="00A13E48" w:rsidP="00A13E48">
            <w:pPr>
              <w:rPr>
                <w:rFonts w:cs="Arial"/>
                <w:sz w:val="20"/>
                <w:szCs w:val="20"/>
              </w:rPr>
            </w:pPr>
            <w:r w:rsidRPr="002668A9">
              <w:rPr>
                <w:rFonts w:cs="Arial"/>
                <w:sz w:val="20"/>
                <w:szCs w:val="20"/>
              </w:rPr>
              <w:t>The key matters raised included: waste classification and transport including labelling requirements, consideration of leachability including testing methods, thresholds and requirements for management of waste with low PFAS levels, consideration of the waste hierarchy, further detailed guidance on treatment and disposal technologies, and further detailed guidance on considerations for disposal of PFAS to landfill.</w:t>
            </w:r>
          </w:p>
          <w:p w14:paraId="141AD9BF" w14:textId="77777777" w:rsidR="00A13E48" w:rsidRPr="002668A9" w:rsidRDefault="00A13E48" w:rsidP="00A13E48">
            <w:pPr>
              <w:rPr>
                <w:rFonts w:cs="Arial"/>
                <w:sz w:val="20"/>
                <w:szCs w:val="20"/>
              </w:rPr>
            </w:pPr>
            <w:r w:rsidRPr="002668A9">
              <w:rPr>
                <w:rFonts w:cs="Arial"/>
                <w:sz w:val="20"/>
                <w:szCs w:val="20"/>
              </w:rPr>
              <w:lastRenderedPageBreak/>
              <w:t>The extensive feedback summarised elsewhere in this document on matters such as soil reuse, storage and containment, and wastewater is also relevant to future work in this area.</w:t>
            </w:r>
          </w:p>
        </w:tc>
        <w:tc>
          <w:tcPr>
            <w:tcW w:w="927" w:type="pct"/>
            <w:vMerge w:val="restart"/>
            <w:hideMark/>
          </w:tcPr>
          <w:p w14:paraId="1EC589A6" w14:textId="25DDA21C" w:rsidR="00A13E48" w:rsidRDefault="00A13E48" w:rsidP="00A13E48">
            <w:pPr>
              <w:rPr>
                <w:rFonts w:cs="Arial"/>
                <w:sz w:val="20"/>
                <w:szCs w:val="20"/>
              </w:rPr>
            </w:pPr>
            <w:r>
              <w:rPr>
                <w:rFonts w:cs="Arial"/>
                <w:sz w:val="20"/>
                <w:szCs w:val="20"/>
              </w:rPr>
              <w:lastRenderedPageBreak/>
              <w:t>Australian Airports Association</w:t>
            </w:r>
          </w:p>
          <w:p w14:paraId="2F630CC2" w14:textId="77777777" w:rsidR="00A13E48" w:rsidRDefault="00A13E48" w:rsidP="00A13E48">
            <w:pPr>
              <w:rPr>
                <w:rFonts w:cs="Arial"/>
                <w:sz w:val="20"/>
                <w:szCs w:val="20"/>
              </w:rPr>
            </w:pPr>
            <w:r>
              <w:rPr>
                <w:rFonts w:cs="Arial"/>
                <w:sz w:val="20"/>
                <w:szCs w:val="20"/>
              </w:rPr>
              <w:t>Australian Government - Airservices Australia</w:t>
            </w:r>
          </w:p>
          <w:p w14:paraId="42A0D6F3" w14:textId="75FA91BC" w:rsidR="00A13E48" w:rsidRDefault="00A13E48" w:rsidP="00A13E48">
            <w:pPr>
              <w:rPr>
                <w:rFonts w:cs="Arial"/>
                <w:sz w:val="20"/>
                <w:szCs w:val="20"/>
              </w:rPr>
            </w:pPr>
            <w:r>
              <w:rPr>
                <w:rFonts w:cs="Arial"/>
                <w:sz w:val="20"/>
                <w:szCs w:val="20"/>
              </w:rPr>
              <w:t>Australian Government - DITCRD</w:t>
            </w:r>
          </w:p>
          <w:p w14:paraId="21DC6C41" w14:textId="439EC0CF" w:rsidR="00A13E48" w:rsidRDefault="00A13E48" w:rsidP="00A13E48">
            <w:pPr>
              <w:rPr>
                <w:rFonts w:cs="Arial"/>
                <w:sz w:val="20"/>
                <w:szCs w:val="20"/>
              </w:rPr>
            </w:pPr>
            <w:r>
              <w:rPr>
                <w:rFonts w:cs="Arial"/>
                <w:sz w:val="20"/>
                <w:szCs w:val="20"/>
              </w:rPr>
              <w:t>Australian Landfill Owners’ Association</w:t>
            </w:r>
          </w:p>
          <w:p w14:paraId="7A176E87" w14:textId="77777777" w:rsidR="00A13E48" w:rsidRDefault="00A13E48" w:rsidP="00A13E48">
            <w:pPr>
              <w:rPr>
                <w:rFonts w:cs="Arial"/>
                <w:sz w:val="20"/>
                <w:szCs w:val="20"/>
              </w:rPr>
            </w:pPr>
            <w:r>
              <w:rPr>
                <w:rFonts w:cs="Arial"/>
                <w:sz w:val="20"/>
                <w:szCs w:val="20"/>
              </w:rPr>
              <w:t>Brisbane Airport Corporation</w:t>
            </w:r>
          </w:p>
          <w:p w14:paraId="475745A4" w14:textId="6FB7DC0A" w:rsidR="00A13E48" w:rsidRDefault="00A13E48" w:rsidP="00A13E48">
            <w:pPr>
              <w:rPr>
                <w:rFonts w:cs="Arial"/>
                <w:sz w:val="20"/>
                <w:szCs w:val="20"/>
              </w:rPr>
            </w:pPr>
            <w:r>
              <w:rPr>
                <w:rFonts w:cs="Arial"/>
                <w:sz w:val="20"/>
                <w:szCs w:val="20"/>
              </w:rPr>
              <w:t>Burdekin Shire Council and Bligh Tanner</w:t>
            </w:r>
          </w:p>
          <w:p w14:paraId="465BAEBA" w14:textId="2B9CEA7B" w:rsidR="00A13E48" w:rsidRDefault="00A13E48" w:rsidP="00A13E48">
            <w:pPr>
              <w:rPr>
                <w:rFonts w:cs="Arial"/>
                <w:sz w:val="20"/>
                <w:szCs w:val="20"/>
              </w:rPr>
            </w:pPr>
            <w:r>
              <w:rPr>
                <w:rFonts w:cs="Arial"/>
                <w:sz w:val="20"/>
                <w:szCs w:val="20"/>
              </w:rPr>
              <w:t>Canberra Airport</w:t>
            </w:r>
          </w:p>
          <w:p w14:paraId="035E657A" w14:textId="30D7F039" w:rsidR="00A13E48" w:rsidRDefault="00A13E48" w:rsidP="00A13E48">
            <w:pPr>
              <w:rPr>
                <w:rFonts w:cs="Arial"/>
                <w:sz w:val="20"/>
                <w:szCs w:val="20"/>
              </w:rPr>
            </w:pPr>
            <w:r>
              <w:rPr>
                <w:rFonts w:cs="Arial"/>
                <w:sz w:val="20"/>
                <w:szCs w:val="20"/>
              </w:rPr>
              <w:lastRenderedPageBreak/>
              <w:t>ExxonMobil Australia</w:t>
            </w:r>
          </w:p>
          <w:p w14:paraId="5560EC53" w14:textId="0F00A1AB" w:rsidR="00A13E48" w:rsidRDefault="00A13E48" w:rsidP="00A13E48">
            <w:pPr>
              <w:rPr>
                <w:rFonts w:cs="Arial"/>
                <w:sz w:val="20"/>
                <w:szCs w:val="20"/>
              </w:rPr>
            </w:pPr>
            <w:r>
              <w:rPr>
                <w:rFonts w:cs="Arial"/>
                <w:sz w:val="20"/>
                <w:szCs w:val="20"/>
              </w:rPr>
              <w:t>NSW EPA - Hazardous Materials Unit</w:t>
            </w:r>
          </w:p>
          <w:p w14:paraId="51D58DB9" w14:textId="77777777" w:rsidR="00A13E48" w:rsidRDefault="00A13E48" w:rsidP="00A13E48">
            <w:pPr>
              <w:rPr>
                <w:rFonts w:cs="Arial"/>
                <w:sz w:val="20"/>
                <w:szCs w:val="20"/>
              </w:rPr>
            </w:pPr>
            <w:r>
              <w:rPr>
                <w:rFonts w:cs="Arial"/>
                <w:sz w:val="20"/>
                <w:szCs w:val="20"/>
              </w:rPr>
              <w:t>Qantas</w:t>
            </w:r>
          </w:p>
          <w:p w14:paraId="08AAE60D" w14:textId="652ED47A" w:rsidR="00A13E48" w:rsidRDefault="00A13E48" w:rsidP="00A13E48">
            <w:pPr>
              <w:rPr>
                <w:rFonts w:cs="Arial"/>
                <w:sz w:val="20"/>
                <w:szCs w:val="20"/>
              </w:rPr>
            </w:pPr>
            <w:r>
              <w:rPr>
                <w:rFonts w:cs="Arial"/>
                <w:sz w:val="20"/>
                <w:szCs w:val="20"/>
              </w:rPr>
              <w:t>qldwater</w:t>
            </w:r>
          </w:p>
          <w:p w14:paraId="1F482D28" w14:textId="671D3FA7" w:rsidR="00A13E48" w:rsidRDefault="00A13E48" w:rsidP="00A13E48">
            <w:pPr>
              <w:rPr>
                <w:rFonts w:cs="Arial"/>
                <w:sz w:val="20"/>
                <w:szCs w:val="20"/>
              </w:rPr>
            </w:pPr>
            <w:r>
              <w:rPr>
                <w:rFonts w:cs="Arial"/>
                <w:sz w:val="20"/>
                <w:szCs w:val="20"/>
              </w:rPr>
              <w:t>Queensland Airports Ltd</w:t>
            </w:r>
          </w:p>
          <w:p w14:paraId="681FC4A1" w14:textId="59260DC5" w:rsidR="00A13E48" w:rsidRDefault="00A13E48" w:rsidP="00A13E48">
            <w:pPr>
              <w:rPr>
                <w:rFonts w:cs="Arial"/>
                <w:sz w:val="20"/>
                <w:szCs w:val="20"/>
              </w:rPr>
            </w:pPr>
            <w:r>
              <w:rPr>
                <w:rFonts w:cs="Arial"/>
                <w:sz w:val="20"/>
                <w:szCs w:val="20"/>
              </w:rPr>
              <w:t>Senversa</w:t>
            </w:r>
          </w:p>
          <w:p w14:paraId="33B56AF8" w14:textId="20B59DED" w:rsidR="00A13E48" w:rsidRDefault="00A13E48" w:rsidP="00A13E48">
            <w:pPr>
              <w:rPr>
                <w:rFonts w:cs="Arial"/>
                <w:sz w:val="20"/>
                <w:szCs w:val="20"/>
              </w:rPr>
            </w:pPr>
            <w:r>
              <w:rPr>
                <w:rFonts w:cs="Arial"/>
                <w:sz w:val="20"/>
                <w:szCs w:val="20"/>
              </w:rPr>
              <w:t>WA Government</w:t>
            </w:r>
          </w:p>
          <w:p w14:paraId="5201C23C" w14:textId="125F182B" w:rsidR="00A13E48" w:rsidRPr="002668A9" w:rsidRDefault="00A13E48" w:rsidP="00A13E48">
            <w:pPr>
              <w:rPr>
                <w:rFonts w:cs="Arial"/>
                <w:sz w:val="20"/>
                <w:szCs w:val="20"/>
              </w:rPr>
            </w:pPr>
            <w:r>
              <w:rPr>
                <w:rFonts w:cs="Arial"/>
                <w:sz w:val="20"/>
                <w:szCs w:val="20"/>
              </w:rPr>
              <w:t>Waste Management and Resource Recovery Association</w:t>
            </w:r>
          </w:p>
        </w:tc>
        <w:tc>
          <w:tcPr>
            <w:tcW w:w="1989" w:type="pct"/>
            <w:vMerge w:val="restart"/>
            <w:hideMark/>
          </w:tcPr>
          <w:p w14:paraId="288549D8" w14:textId="77777777" w:rsidR="00A13E48" w:rsidRPr="002668A9" w:rsidRDefault="00A13E48" w:rsidP="00A13E48">
            <w:pPr>
              <w:rPr>
                <w:rFonts w:cs="Arial"/>
                <w:sz w:val="20"/>
                <w:szCs w:val="20"/>
              </w:rPr>
            </w:pPr>
            <w:r w:rsidRPr="002668A9">
              <w:rPr>
                <w:rFonts w:cs="Arial"/>
                <w:sz w:val="20"/>
                <w:szCs w:val="20"/>
              </w:rPr>
              <w:lastRenderedPageBreak/>
              <w:t xml:space="preserve">The feedback provided in relation to resource recovery and waste management will inform future work under Theme 5 - resource recovery and waste management, and will also be considered as part of reviewing the implementation of NEMP 1.0. </w:t>
            </w:r>
          </w:p>
        </w:tc>
      </w:tr>
      <w:tr w:rsidR="00A13E48" w:rsidRPr="002668A9" w14:paraId="406D6140" w14:textId="77777777" w:rsidTr="00D06AC1">
        <w:trPr>
          <w:trHeight w:val="1275"/>
        </w:trPr>
        <w:tc>
          <w:tcPr>
            <w:tcW w:w="786" w:type="pct"/>
            <w:vMerge/>
          </w:tcPr>
          <w:p w14:paraId="5EC8F839" w14:textId="77777777" w:rsidR="00A13E48" w:rsidRPr="002668A9" w:rsidRDefault="00A13E48" w:rsidP="00A13E48">
            <w:pPr>
              <w:rPr>
                <w:rFonts w:cs="Arial"/>
                <w:sz w:val="20"/>
                <w:szCs w:val="20"/>
              </w:rPr>
            </w:pPr>
          </w:p>
        </w:tc>
        <w:tc>
          <w:tcPr>
            <w:tcW w:w="1298" w:type="pct"/>
            <w:vMerge/>
          </w:tcPr>
          <w:p w14:paraId="5EE796B2" w14:textId="77777777" w:rsidR="00A13E48" w:rsidRPr="002668A9" w:rsidRDefault="00A13E48" w:rsidP="00A13E48">
            <w:pPr>
              <w:rPr>
                <w:rFonts w:cs="Arial"/>
                <w:sz w:val="20"/>
                <w:szCs w:val="20"/>
              </w:rPr>
            </w:pPr>
          </w:p>
        </w:tc>
        <w:tc>
          <w:tcPr>
            <w:tcW w:w="927" w:type="pct"/>
            <w:vMerge/>
          </w:tcPr>
          <w:p w14:paraId="758D0B65" w14:textId="77777777" w:rsidR="00A13E48" w:rsidRPr="002668A9" w:rsidRDefault="00A13E48" w:rsidP="00A13E48">
            <w:pPr>
              <w:rPr>
                <w:rFonts w:cs="Arial"/>
                <w:sz w:val="20"/>
                <w:szCs w:val="20"/>
              </w:rPr>
            </w:pPr>
          </w:p>
        </w:tc>
        <w:tc>
          <w:tcPr>
            <w:tcW w:w="1989" w:type="pct"/>
            <w:vMerge/>
          </w:tcPr>
          <w:p w14:paraId="3EFB0EA3" w14:textId="77777777" w:rsidR="00A13E48" w:rsidRPr="002668A9" w:rsidRDefault="00A13E48" w:rsidP="00A13E48">
            <w:pPr>
              <w:rPr>
                <w:rFonts w:cs="Arial"/>
                <w:sz w:val="20"/>
                <w:szCs w:val="20"/>
              </w:rPr>
            </w:pPr>
          </w:p>
        </w:tc>
      </w:tr>
      <w:tr w:rsidR="00A13E48" w:rsidRPr="002668A9" w14:paraId="32133046" w14:textId="77777777" w:rsidTr="00D06AC1">
        <w:trPr>
          <w:trHeight w:val="566"/>
        </w:trPr>
        <w:tc>
          <w:tcPr>
            <w:tcW w:w="786" w:type="pct"/>
            <w:hideMark/>
          </w:tcPr>
          <w:p w14:paraId="3F38AC84" w14:textId="77777777" w:rsidR="00A13E48" w:rsidRPr="002668A9" w:rsidRDefault="00A13E48" w:rsidP="00A13E48">
            <w:pPr>
              <w:rPr>
                <w:rFonts w:cs="Arial"/>
                <w:sz w:val="20"/>
                <w:szCs w:val="20"/>
              </w:rPr>
            </w:pPr>
            <w:r w:rsidRPr="002668A9">
              <w:rPr>
                <w:rFonts w:cs="Arial"/>
                <w:sz w:val="20"/>
                <w:szCs w:val="20"/>
              </w:rPr>
              <w:t>Future work - Theme 6 - site-specific application of the NEMP guidance</w:t>
            </w:r>
          </w:p>
        </w:tc>
        <w:tc>
          <w:tcPr>
            <w:tcW w:w="1298" w:type="pct"/>
            <w:hideMark/>
          </w:tcPr>
          <w:p w14:paraId="7C3F1CBD" w14:textId="41E32CD0" w:rsidR="00A13E48" w:rsidRPr="002668A9" w:rsidRDefault="00A13E48" w:rsidP="00A13E48">
            <w:pPr>
              <w:rPr>
                <w:rFonts w:cs="Arial"/>
                <w:sz w:val="20"/>
                <w:szCs w:val="20"/>
              </w:rPr>
            </w:pPr>
            <w:r w:rsidRPr="002668A9">
              <w:rPr>
                <w:rFonts w:cs="Arial"/>
                <w:sz w:val="20"/>
                <w:szCs w:val="20"/>
              </w:rPr>
              <w:t>Extensive insights and suggestions were provided to inform future work on the application of the NEMP guidance to develop site-specific approaches to PFAS risk assessment, management and remediation</w:t>
            </w:r>
            <w:r w:rsidRPr="002668A9" w:rsidDel="00A940D0">
              <w:rPr>
                <w:rFonts w:cs="Arial"/>
                <w:sz w:val="20"/>
                <w:szCs w:val="20"/>
              </w:rPr>
              <w:t>.</w:t>
            </w:r>
          </w:p>
          <w:p w14:paraId="1C3E883B" w14:textId="77777777" w:rsidR="00A13E48" w:rsidRPr="002668A9" w:rsidRDefault="00A13E48" w:rsidP="00A13E48">
            <w:pPr>
              <w:rPr>
                <w:rFonts w:cs="Arial"/>
                <w:sz w:val="20"/>
                <w:szCs w:val="20"/>
              </w:rPr>
            </w:pPr>
            <w:r w:rsidRPr="002668A9">
              <w:rPr>
                <w:rFonts w:cs="Arial"/>
                <w:sz w:val="20"/>
                <w:szCs w:val="20"/>
              </w:rPr>
              <w:t xml:space="preserve">The key matters raised included: clearly explaining all key concepts, definitions and alignment with other frameworks; explicitly considering and accounting for the time, cost, logistical and capacity demands of adopting changes on the ground; publishing detailed supporting </w:t>
            </w:r>
            <w:r w:rsidRPr="002668A9">
              <w:rPr>
                <w:rFonts w:cs="Arial"/>
                <w:sz w:val="20"/>
                <w:szCs w:val="20"/>
              </w:rPr>
              <w:lastRenderedPageBreak/>
              <w:t>analysis, such as assumptions, calculations and reference material, to assist in developing site-specific criteria; and providing further advice on site-specific prioritisation of assessment and management measures, including consideration of background or off-site contamination.</w:t>
            </w:r>
          </w:p>
          <w:p w14:paraId="25FD05CB" w14:textId="77777777" w:rsidR="00A13E48" w:rsidRPr="002668A9" w:rsidRDefault="00A13E48" w:rsidP="00A13E48">
            <w:pPr>
              <w:rPr>
                <w:rFonts w:cs="Arial"/>
                <w:sz w:val="20"/>
                <w:szCs w:val="20"/>
              </w:rPr>
            </w:pPr>
            <w:r w:rsidRPr="002668A9">
              <w:rPr>
                <w:rFonts w:cs="Arial"/>
                <w:sz w:val="20"/>
                <w:szCs w:val="20"/>
              </w:rPr>
              <w:t>The extensive feedback summarised elsewhere in this document on matters such as implementation of the NEMP, environmental guideline values, soil reuse, storage and containment, and wastewater is also relevant to future work in this area.</w:t>
            </w:r>
          </w:p>
        </w:tc>
        <w:tc>
          <w:tcPr>
            <w:tcW w:w="927" w:type="pct"/>
            <w:hideMark/>
          </w:tcPr>
          <w:p w14:paraId="4E901D9C" w14:textId="77777777" w:rsidR="00A13E48" w:rsidRPr="002668A9" w:rsidRDefault="00A13E48" w:rsidP="00A13E48">
            <w:pPr>
              <w:rPr>
                <w:rFonts w:cs="Arial"/>
                <w:sz w:val="20"/>
                <w:szCs w:val="20"/>
              </w:rPr>
            </w:pPr>
            <w:r>
              <w:rPr>
                <w:rFonts w:cs="Arial"/>
                <w:sz w:val="20"/>
                <w:szCs w:val="20"/>
              </w:rPr>
              <w:lastRenderedPageBreak/>
              <w:t>Australasian Land and Groundwater Association - submission 1</w:t>
            </w:r>
          </w:p>
          <w:p w14:paraId="09CCCC95" w14:textId="4BD33DF2" w:rsidR="00A13E48" w:rsidRDefault="00A13E48" w:rsidP="00A13E48">
            <w:pPr>
              <w:rPr>
                <w:rFonts w:cs="Arial"/>
                <w:sz w:val="20"/>
                <w:szCs w:val="20"/>
              </w:rPr>
            </w:pPr>
            <w:r>
              <w:rPr>
                <w:rFonts w:cs="Arial"/>
                <w:sz w:val="20"/>
                <w:szCs w:val="20"/>
              </w:rPr>
              <w:t>Australian Airports Association</w:t>
            </w:r>
          </w:p>
          <w:p w14:paraId="01FC3C6B" w14:textId="4E37932C" w:rsidR="00A13E48" w:rsidRDefault="00A13E48" w:rsidP="00A13E48">
            <w:pPr>
              <w:rPr>
                <w:rFonts w:cs="Arial"/>
                <w:sz w:val="20"/>
                <w:szCs w:val="20"/>
              </w:rPr>
            </w:pPr>
            <w:r>
              <w:rPr>
                <w:rFonts w:cs="Arial"/>
                <w:sz w:val="20"/>
                <w:szCs w:val="20"/>
              </w:rPr>
              <w:t>Australian Government - Airservices Australia</w:t>
            </w:r>
          </w:p>
          <w:p w14:paraId="4515D60D" w14:textId="2808174F" w:rsidR="00A13E48" w:rsidRDefault="00A13E48" w:rsidP="00A13E48">
            <w:pPr>
              <w:rPr>
                <w:rFonts w:cs="Arial"/>
                <w:sz w:val="20"/>
                <w:szCs w:val="20"/>
              </w:rPr>
            </w:pPr>
            <w:r>
              <w:rPr>
                <w:rFonts w:cs="Arial"/>
                <w:sz w:val="20"/>
                <w:szCs w:val="20"/>
              </w:rPr>
              <w:t>Australian Government - DITCRD</w:t>
            </w:r>
          </w:p>
          <w:p w14:paraId="10D11A9E" w14:textId="77777777" w:rsidR="00A13E48" w:rsidRDefault="00A13E48" w:rsidP="00A13E48">
            <w:pPr>
              <w:rPr>
                <w:rFonts w:cs="Arial"/>
                <w:sz w:val="20"/>
                <w:szCs w:val="20"/>
              </w:rPr>
            </w:pPr>
            <w:r>
              <w:rPr>
                <w:rFonts w:cs="Arial"/>
                <w:sz w:val="20"/>
                <w:szCs w:val="20"/>
              </w:rPr>
              <w:lastRenderedPageBreak/>
              <w:t>Brisbane Airport Corporation</w:t>
            </w:r>
          </w:p>
          <w:p w14:paraId="40F6D280" w14:textId="2D3877E7" w:rsidR="00A13E48" w:rsidRDefault="00A13E48" w:rsidP="00A13E48">
            <w:pPr>
              <w:rPr>
                <w:rFonts w:cs="Arial"/>
                <w:sz w:val="20"/>
                <w:szCs w:val="20"/>
              </w:rPr>
            </w:pPr>
            <w:r>
              <w:rPr>
                <w:rFonts w:cs="Arial"/>
                <w:sz w:val="20"/>
                <w:szCs w:val="20"/>
              </w:rPr>
              <w:t>Burdekin Shire Council and Bligh Tanner</w:t>
            </w:r>
          </w:p>
          <w:p w14:paraId="57F64DB1" w14:textId="77777777" w:rsidR="00A13E48" w:rsidRDefault="00A13E48" w:rsidP="00A13E48">
            <w:pPr>
              <w:rPr>
                <w:rFonts w:cs="Arial"/>
                <w:sz w:val="20"/>
                <w:szCs w:val="20"/>
              </w:rPr>
            </w:pPr>
            <w:r>
              <w:rPr>
                <w:rFonts w:cs="Arial"/>
                <w:sz w:val="20"/>
                <w:szCs w:val="20"/>
              </w:rPr>
              <w:t>Canberra Airport</w:t>
            </w:r>
          </w:p>
          <w:p w14:paraId="1F0F6D4C" w14:textId="77777777" w:rsidR="00A13E48" w:rsidRPr="002668A9" w:rsidRDefault="00A13E48" w:rsidP="00A13E48">
            <w:pPr>
              <w:rPr>
                <w:rFonts w:cs="Arial"/>
                <w:sz w:val="20"/>
                <w:szCs w:val="20"/>
              </w:rPr>
            </w:pPr>
            <w:r>
              <w:rPr>
                <w:rFonts w:cs="Arial"/>
                <w:sz w:val="20"/>
                <w:szCs w:val="20"/>
              </w:rPr>
              <w:t>City of Busselton</w:t>
            </w:r>
          </w:p>
          <w:p w14:paraId="2DE0C8F6" w14:textId="77777777" w:rsidR="00A13E48" w:rsidRDefault="00A13E48" w:rsidP="00A13E48">
            <w:pPr>
              <w:rPr>
                <w:rFonts w:cs="Arial"/>
                <w:sz w:val="20"/>
                <w:szCs w:val="20"/>
              </w:rPr>
            </w:pPr>
            <w:r>
              <w:rPr>
                <w:rFonts w:cs="Arial"/>
                <w:sz w:val="20"/>
                <w:szCs w:val="20"/>
              </w:rPr>
              <w:t>CRC CARE</w:t>
            </w:r>
          </w:p>
          <w:p w14:paraId="0EFA5FDA" w14:textId="04BD7AC5" w:rsidR="00A13E48" w:rsidRDefault="00A13E48" w:rsidP="00A13E48">
            <w:pPr>
              <w:rPr>
                <w:rFonts w:cs="Arial"/>
                <w:sz w:val="20"/>
                <w:szCs w:val="20"/>
              </w:rPr>
            </w:pPr>
            <w:r>
              <w:rPr>
                <w:rFonts w:cs="Arial"/>
                <w:sz w:val="20"/>
                <w:szCs w:val="20"/>
              </w:rPr>
              <w:t>NSW EPA - Hazardous Materials Unit</w:t>
            </w:r>
          </w:p>
          <w:p w14:paraId="363BDF59" w14:textId="77777777" w:rsidR="00A13E48" w:rsidRPr="002668A9" w:rsidRDefault="00A13E48" w:rsidP="00A13E48">
            <w:pPr>
              <w:rPr>
                <w:rFonts w:cs="Arial"/>
                <w:sz w:val="20"/>
                <w:szCs w:val="20"/>
              </w:rPr>
            </w:pPr>
            <w:r>
              <w:rPr>
                <w:rFonts w:cs="Arial"/>
                <w:sz w:val="20"/>
                <w:szCs w:val="20"/>
              </w:rPr>
              <w:t>NZ Ministry for the Environment</w:t>
            </w:r>
          </w:p>
          <w:p w14:paraId="31F4392B" w14:textId="2366A499" w:rsidR="00A13E48" w:rsidRDefault="00A13E48" w:rsidP="00A13E48">
            <w:pPr>
              <w:rPr>
                <w:rFonts w:cs="Arial"/>
                <w:sz w:val="20"/>
                <w:szCs w:val="20"/>
              </w:rPr>
            </w:pPr>
            <w:r>
              <w:rPr>
                <w:rFonts w:cs="Arial"/>
                <w:sz w:val="20"/>
                <w:szCs w:val="20"/>
              </w:rPr>
              <w:t>NZ Regional and Unitary Councils - Contaminated Land and Waste Special Interest Group</w:t>
            </w:r>
          </w:p>
          <w:p w14:paraId="0141E650" w14:textId="77777777" w:rsidR="00A13E48" w:rsidRPr="002668A9" w:rsidRDefault="00A13E48" w:rsidP="00A13E48">
            <w:pPr>
              <w:rPr>
                <w:rFonts w:cs="Arial"/>
                <w:sz w:val="20"/>
                <w:szCs w:val="20"/>
              </w:rPr>
            </w:pPr>
            <w:r>
              <w:rPr>
                <w:rFonts w:cs="Arial"/>
                <w:sz w:val="20"/>
                <w:szCs w:val="20"/>
              </w:rPr>
              <w:t>OPEC Systems</w:t>
            </w:r>
          </w:p>
          <w:p w14:paraId="582D4DAC" w14:textId="77777777" w:rsidR="00A13E48" w:rsidRDefault="00A13E48" w:rsidP="00A13E48">
            <w:pPr>
              <w:rPr>
                <w:rFonts w:cs="Arial"/>
                <w:sz w:val="20"/>
                <w:szCs w:val="20"/>
              </w:rPr>
            </w:pPr>
            <w:r>
              <w:rPr>
                <w:rFonts w:cs="Arial"/>
                <w:sz w:val="20"/>
                <w:szCs w:val="20"/>
              </w:rPr>
              <w:t>Queensland Airports Ltd</w:t>
            </w:r>
          </w:p>
          <w:p w14:paraId="5D09ABAE" w14:textId="77777777" w:rsidR="00A13E48" w:rsidRDefault="00A13E48" w:rsidP="00A13E48">
            <w:pPr>
              <w:rPr>
                <w:rFonts w:cs="Arial"/>
                <w:sz w:val="20"/>
                <w:szCs w:val="20"/>
              </w:rPr>
            </w:pPr>
            <w:r>
              <w:rPr>
                <w:rFonts w:cs="Arial"/>
                <w:sz w:val="20"/>
                <w:szCs w:val="20"/>
              </w:rPr>
              <w:t>Sydney Airport</w:t>
            </w:r>
          </w:p>
          <w:p w14:paraId="570C229A" w14:textId="77777777" w:rsidR="00A13E48" w:rsidRPr="002668A9" w:rsidRDefault="00A13E48" w:rsidP="00A13E48">
            <w:pPr>
              <w:rPr>
                <w:rFonts w:cs="Arial"/>
                <w:sz w:val="20"/>
                <w:szCs w:val="20"/>
              </w:rPr>
            </w:pPr>
            <w:r>
              <w:rPr>
                <w:rFonts w:cs="Arial"/>
                <w:sz w:val="20"/>
                <w:szCs w:val="20"/>
              </w:rPr>
              <w:t>Victorian Water Industry Association</w:t>
            </w:r>
          </w:p>
          <w:p w14:paraId="36351183" w14:textId="07985979" w:rsidR="00A13E48" w:rsidRPr="002668A9" w:rsidRDefault="00A13E48" w:rsidP="00A13E48">
            <w:pPr>
              <w:rPr>
                <w:rFonts w:cs="Arial"/>
                <w:sz w:val="20"/>
                <w:szCs w:val="20"/>
              </w:rPr>
            </w:pPr>
            <w:r>
              <w:rPr>
                <w:rFonts w:cs="Arial"/>
                <w:sz w:val="20"/>
                <w:szCs w:val="20"/>
              </w:rPr>
              <w:t>WA Government</w:t>
            </w:r>
          </w:p>
        </w:tc>
        <w:tc>
          <w:tcPr>
            <w:tcW w:w="1989" w:type="pct"/>
            <w:hideMark/>
          </w:tcPr>
          <w:p w14:paraId="2CED98FF" w14:textId="77777777" w:rsidR="00A13E48" w:rsidRPr="002668A9" w:rsidRDefault="00A13E48" w:rsidP="00A13E48">
            <w:pPr>
              <w:rPr>
                <w:rFonts w:cs="Arial"/>
                <w:sz w:val="20"/>
                <w:szCs w:val="20"/>
              </w:rPr>
            </w:pPr>
            <w:r w:rsidRPr="002668A9">
              <w:rPr>
                <w:rFonts w:cs="Arial"/>
                <w:sz w:val="20"/>
                <w:szCs w:val="20"/>
              </w:rPr>
              <w:lastRenderedPageBreak/>
              <w:t>The feedback provided in relation to the site-specific application of the NEMP guidance will inform future work under Theme 6 – site-specific application of NEMP guidance, and will also be considered as part of reviewing the implementation of NEMP 1.0. </w:t>
            </w:r>
          </w:p>
        </w:tc>
      </w:tr>
    </w:tbl>
    <w:p w14:paraId="252FCBC4" w14:textId="36B02607" w:rsidR="002668A9" w:rsidRPr="002668A9" w:rsidRDefault="00CF22EC" w:rsidP="002668A9">
      <w:pPr>
        <w:rPr>
          <w:rFonts w:cs="Arial"/>
          <w:sz w:val="20"/>
          <w:szCs w:val="20"/>
        </w:rPr>
      </w:pPr>
      <w:r>
        <w:rPr>
          <w:rFonts w:cs="Arial"/>
          <w:sz w:val="20"/>
          <w:szCs w:val="20"/>
        </w:rPr>
        <w:br w:type="textWrapping" w:clear="all"/>
      </w:r>
    </w:p>
    <w:p w14:paraId="570DA39E" w14:textId="77777777" w:rsidR="00EC66FE" w:rsidRDefault="00EC66FE">
      <w:pPr>
        <w:spacing w:after="160" w:line="259" w:lineRule="auto"/>
        <w:rPr>
          <w:rFonts w:cs="Arial"/>
          <w:sz w:val="20"/>
          <w:szCs w:val="20"/>
        </w:rPr>
        <w:sectPr w:rsidR="00EC66FE" w:rsidSect="00752938">
          <w:headerReference w:type="default" r:id="rId30"/>
          <w:footerReference w:type="default" r:id="rId31"/>
          <w:headerReference w:type="first" r:id="rId32"/>
          <w:footnotePr>
            <w:pos w:val="beneathText"/>
          </w:footnotePr>
          <w:pgSz w:w="16839" w:h="11907" w:orient="landscape" w:code="9"/>
          <w:pgMar w:top="720" w:right="720" w:bottom="720" w:left="720" w:header="708" w:footer="708" w:gutter="0"/>
          <w:cols w:space="708"/>
          <w:titlePg/>
          <w:docGrid w:linePitch="360"/>
        </w:sectPr>
      </w:pPr>
    </w:p>
    <w:p w14:paraId="1C425877" w14:textId="7BACB617" w:rsidR="0047632D" w:rsidRDefault="00A8426E" w:rsidP="00C16573">
      <w:pPr>
        <w:pStyle w:val="Head2"/>
      </w:pPr>
      <w:bookmarkStart w:id="26" w:name="_Toc39837453"/>
      <w:r>
        <w:lastRenderedPageBreak/>
        <w:t xml:space="preserve">Attachment A. </w:t>
      </w:r>
      <w:r w:rsidR="00F86C37">
        <w:t>Submissions received</w:t>
      </w:r>
      <w:bookmarkEnd w:id="26"/>
      <w:r w:rsidR="00EC66FE" w:rsidRPr="007F0311">
        <w:t xml:space="preserve"> </w:t>
      </w:r>
    </w:p>
    <w:p w14:paraId="09CEF3C3" w14:textId="6E3EAAE6" w:rsidR="00C16573" w:rsidRDefault="00C16573" w:rsidP="00C16573">
      <w:r>
        <w:t xml:space="preserve">The following list </w:t>
      </w:r>
      <w:r w:rsidR="00F86C37">
        <w:t>includes all written submissions</w:t>
      </w:r>
      <w:r w:rsidR="000D2812">
        <w:t xml:space="preserve"> received</w:t>
      </w:r>
      <w:r w:rsidR="00F86C37">
        <w:t xml:space="preserve"> from organisations and individuals.</w:t>
      </w:r>
    </w:p>
    <w:tbl>
      <w:tblPr>
        <w:tblStyle w:val="TableGrid"/>
        <w:tblW w:w="991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59"/>
        <w:gridCol w:w="4959"/>
      </w:tblGrid>
      <w:tr w:rsidR="00EC66FE" w:rsidRPr="00FA057A" w14:paraId="227D2BA2" w14:textId="77777777" w:rsidTr="003366AA">
        <w:trPr>
          <w:cnfStyle w:val="100000000000" w:firstRow="1" w:lastRow="0" w:firstColumn="0" w:lastColumn="0" w:oddVBand="0" w:evenVBand="0" w:oddHBand="0" w:evenHBand="0" w:firstRowFirstColumn="0" w:firstRowLastColumn="0" w:lastRowFirstColumn="0" w:lastRowLastColumn="0"/>
        </w:trPr>
        <w:tc>
          <w:tcPr>
            <w:tcW w:w="4959" w:type="dxa"/>
            <w:shd w:val="clear" w:color="auto" w:fill="auto"/>
          </w:tcPr>
          <w:p w14:paraId="32A5FEDE" w14:textId="64E9F425" w:rsidR="00EC66FE" w:rsidRPr="00FA057A" w:rsidRDefault="00406A71" w:rsidP="006A4A53">
            <w:pPr>
              <w:spacing w:before="60" w:after="60"/>
              <w:rPr>
                <w:b/>
                <w:color w:val="000000"/>
              </w:rPr>
            </w:pPr>
            <w:r>
              <w:rPr>
                <w:color w:val="000000"/>
              </w:rPr>
              <w:t>Australian Government - Airservices Australia</w:t>
            </w:r>
            <w:r w:rsidR="00EC66FE" w:rsidRPr="00FA057A">
              <w:rPr>
                <w:color w:val="000000"/>
              </w:rPr>
              <w:t xml:space="preserve"> </w:t>
            </w:r>
          </w:p>
        </w:tc>
        <w:tc>
          <w:tcPr>
            <w:tcW w:w="4959" w:type="dxa"/>
            <w:shd w:val="clear" w:color="auto" w:fill="auto"/>
          </w:tcPr>
          <w:p w14:paraId="252F4BD7" w14:textId="77777777" w:rsidR="00EC66FE" w:rsidRPr="00FA057A" w:rsidRDefault="00EC66FE" w:rsidP="006A4A53">
            <w:pPr>
              <w:spacing w:before="60" w:after="60"/>
              <w:rPr>
                <w:b/>
                <w:color w:val="000000"/>
              </w:rPr>
            </w:pPr>
            <w:r w:rsidRPr="00FA057A">
              <w:rPr>
                <w:color w:val="000000"/>
              </w:rPr>
              <w:t>Melbourne Water</w:t>
            </w:r>
          </w:p>
        </w:tc>
      </w:tr>
      <w:tr w:rsidR="0047632D" w:rsidRPr="00FA057A" w14:paraId="2A75E549"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4B7BB6F2" w14:textId="45195B43" w:rsidR="0047632D" w:rsidRPr="00FA057A" w:rsidRDefault="00406A71" w:rsidP="0047632D">
            <w:pPr>
              <w:spacing w:before="60" w:after="60"/>
              <w:rPr>
                <w:color w:val="000000"/>
              </w:rPr>
            </w:pPr>
            <w:r>
              <w:rPr>
                <w:color w:val="000000"/>
              </w:rPr>
              <w:t xml:space="preserve">Australian Government </w:t>
            </w:r>
            <w:r w:rsidR="006B3A71">
              <w:rPr>
                <w:color w:val="000000"/>
              </w:rPr>
              <w:t>– Department of Infrastructure, Transport, Cities and Regional Development</w:t>
            </w:r>
            <w:r>
              <w:rPr>
                <w:color w:val="000000"/>
              </w:rPr>
              <w:t xml:space="preserve"> </w:t>
            </w:r>
            <w:r w:rsidR="006B3A71">
              <w:rPr>
                <w:color w:val="000000"/>
              </w:rPr>
              <w:t>(</w:t>
            </w:r>
            <w:r>
              <w:rPr>
                <w:color w:val="000000"/>
              </w:rPr>
              <w:t>DITCRD</w:t>
            </w:r>
            <w:r w:rsidR="006B3A71">
              <w:rPr>
                <w:color w:val="000000"/>
              </w:rPr>
              <w:t>)</w:t>
            </w:r>
          </w:p>
        </w:tc>
        <w:tc>
          <w:tcPr>
            <w:tcW w:w="4959" w:type="dxa"/>
            <w:shd w:val="clear" w:color="auto" w:fill="auto"/>
          </w:tcPr>
          <w:p w14:paraId="64264019" w14:textId="2F23D412" w:rsidR="0047632D" w:rsidRPr="00FA057A" w:rsidRDefault="0047632D" w:rsidP="0047632D">
            <w:pPr>
              <w:spacing w:before="60" w:after="60"/>
              <w:rPr>
                <w:color w:val="000000"/>
              </w:rPr>
            </w:pPr>
            <w:r w:rsidRPr="00FA057A">
              <w:rPr>
                <w:color w:val="000000"/>
              </w:rPr>
              <w:t xml:space="preserve">NSW </w:t>
            </w:r>
            <w:r w:rsidR="006B3A71">
              <w:rPr>
                <w:color w:val="000000"/>
              </w:rPr>
              <w:t>Environment Protection Authority (</w:t>
            </w:r>
            <w:r w:rsidRPr="00FA057A">
              <w:rPr>
                <w:color w:val="000000"/>
              </w:rPr>
              <w:t>EPA</w:t>
            </w:r>
            <w:r w:rsidR="006B3A71">
              <w:rPr>
                <w:color w:val="000000"/>
              </w:rPr>
              <w:t>)</w:t>
            </w:r>
            <w:r w:rsidRPr="00FA057A">
              <w:rPr>
                <w:color w:val="000000"/>
              </w:rPr>
              <w:t xml:space="preserve"> – Hazardous Materials Unit</w:t>
            </w:r>
          </w:p>
        </w:tc>
      </w:tr>
      <w:tr w:rsidR="0047632D" w:rsidRPr="00FA057A" w14:paraId="0EDEDB5A"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36FFA5FE" w14:textId="77777777" w:rsidR="0047632D" w:rsidRPr="00FA057A" w:rsidRDefault="0047632D" w:rsidP="0047632D">
            <w:pPr>
              <w:spacing w:before="60" w:after="60"/>
              <w:rPr>
                <w:b/>
                <w:color w:val="000000"/>
              </w:rPr>
            </w:pPr>
            <w:r w:rsidRPr="00FA057A">
              <w:rPr>
                <w:color w:val="000000"/>
              </w:rPr>
              <w:t>Australasian Land and Groundwater Association – two submissions</w:t>
            </w:r>
          </w:p>
        </w:tc>
        <w:tc>
          <w:tcPr>
            <w:tcW w:w="4959" w:type="dxa"/>
            <w:shd w:val="clear" w:color="auto" w:fill="auto"/>
          </w:tcPr>
          <w:p w14:paraId="088FC756" w14:textId="28FFD9B1" w:rsidR="0047632D" w:rsidRPr="00FA057A" w:rsidRDefault="0047632D" w:rsidP="0047632D">
            <w:pPr>
              <w:spacing w:before="60" w:after="60"/>
              <w:rPr>
                <w:color w:val="000000"/>
              </w:rPr>
            </w:pPr>
            <w:r w:rsidRPr="00FA057A">
              <w:rPr>
                <w:color w:val="000000"/>
              </w:rPr>
              <w:t>NSW Department of Industry</w:t>
            </w:r>
          </w:p>
        </w:tc>
      </w:tr>
      <w:tr w:rsidR="0047632D" w:rsidRPr="00FA057A" w14:paraId="5330C2F5"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1691CC83" w14:textId="77777777" w:rsidR="0047632D" w:rsidRPr="00FA057A" w:rsidRDefault="0047632D" w:rsidP="0047632D">
            <w:pPr>
              <w:spacing w:before="60" w:after="60"/>
              <w:rPr>
                <w:b/>
                <w:color w:val="000000"/>
              </w:rPr>
            </w:pPr>
            <w:r w:rsidRPr="00FA057A">
              <w:rPr>
                <w:color w:val="000000"/>
              </w:rPr>
              <w:t>Australia Pacific Airports Corporation</w:t>
            </w:r>
          </w:p>
        </w:tc>
        <w:tc>
          <w:tcPr>
            <w:tcW w:w="4959" w:type="dxa"/>
            <w:shd w:val="clear" w:color="auto" w:fill="auto"/>
          </w:tcPr>
          <w:p w14:paraId="725F75A2" w14:textId="7A4F2481" w:rsidR="0047632D" w:rsidRPr="00FA057A" w:rsidRDefault="0047632D" w:rsidP="0047632D">
            <w:pPr>
              <w:spacing w:before="60" w:after="60"/>
              <w:rPr>
                <w:color w:val="000000"/>
              </w:rPr>
            </w:pPr>
            <w:r>
              <w:rPr>
                <w:color w:val="000000"/>
              </w:rPr>
              <w:t xml:space="preserve">NSW </w:t>
            </w:r>
            <w:r w:rsidRPr="00FA057A">
              <w:rPr>
                <w:color w:val="000000"/>
              </w:rPr>
              <w:t>Office of Environment and Heritage – Science – Contaminants and Risk</w:t>
            </w:r>
          </w:p>
        </w:tc>
      </w:tr>
      <w:tr w:rsidR="0047632D" w:rsidRPr="00FA057A" w14:paraId="61C7AD5A"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0D0451FF" w14:textId="521FA025" w:rsidR="0047632D" w:rsidRPr="00FA057A" w:rsidRDefault="0047632D" w:rsidP="0047632D">
            <w:pPr>
              <w:spacing w:before="60" w:after="60"/>
              <w:rPr>
                <w:color w:val="000000"/>
              </w:rPr>
            </w:pPr>
            <w:r w:rsidRPr="00FA057A">
              <w:rPr>
                <w:color w:val="000000"/>
              </w:rPr>
              <w:t>Australian Airports Association</w:t>
            </w:r>
          </w:p>
        </w:tc>
        <w:tc>
          <w:tcPr>
            <w:tcW w:w="4959" w:type="dxa"/>
            <w:shd w:val="clear" w:color="auto" w:fill="auto"/>
          </w:tcPr>
          <w:p w14:paraId="79CA5264" w14:textId="49385476" w:rsidR="0047632D" w:rsidRPr="00FA057A" w:rsidRDefault="0047632D" w:rsidP="0047632D">
            <w:pPr>
              <w:spacing w:before="60" w:after="60"/>
              <w:rPr>
                <w:color w:val="000000"/>
              </w:rPr>
            </w:pPr>
            <w:r>
              <w:rPr>
                <w:color w:val="000000"/>
              </w:rPr>
              <w:t xml:space="preserve">New Zealand </w:t>
            </w:r>
            <w:r w:rsidRPr="00FA057A">
              <w:rPr>
                <w:color w:val="000000"/>
              </w:rPr>
              <w:t>Ministry for the Environment</w:t>
            </w:r>
          </w:p>
        </w:tc>
      </w:tr>
      <w:tr w:rsidR="0047632D" w:rsidRPr="00FA057A" w14:paraId="1EF7113A"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66EA104D" w14:textId="224F9744" w:rsidR="0047632D" w:rsidRPr="00FA057A" w:rsidRDefault="0047632D" w:rsidP="0047632D">
            <w:pPr>
              <w:spacing w:before="60" w:after="60"/>
              <w:rPr>
                <w:color w:val="000000"/>
              </w:rPr>
            </w:pPr>
            <w:r w:rsidRPr="00FA057A">
              <w:rPr>
                <w:color w:val="000000"/>
              </w:rPr>
              <w:t>Australian Landfill Owners Association</w:t>
            </w:r>
          </w:p>
        </w:tc>
        <w:tc>
          <w:tcPr>
            <w:tcW w:w="4959" w:type="dxa"/>
            <w:shd w:val="clear" w:color="auto" w:fill="auto"/>
          </w:tcPr>
          <w:p w14:paraId="3C803ED4" w14:textId="0C704E0C" w:rsidR="0047632D" w:rsidRDefault="001A0C05" w:rsidP="0047632D">
            <w:pPr>
              <w:spacing w:before="60" w:after="60"/>
              <w:rPr>
                <w:color w:val="000000"/>
              </w:rPr>
            </w:pPr>
            <w:r>
              <w:rPr>
                <w:color w:val="000000"/>
              </w:rPr>
              <w:t>New Zealand Regional</w:t>
            </w:r>
            <w:r w:rsidR="0047632D" w:rsidRPr="00FA057A">
              <w:rPr>
                <w:color w:val="000000"/>
              </w:rPr>
              <w:t xml:space="preserve"> and Unitary Councils – Contaminated Land and Waste Special Interest Group</w:t>
            </w:r>
          </w:p>
        </w:tc>
      </w:tr>
      <w:tr w:rsidR="0047632D" w:rsidRPr="00FA057A" w14:paraId="5463170D"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570ACE84" w14:textId="626ACDCA" w:rsidR="0047632D" w:rsidRPr="00FA057A" w:rsidRDefault="0047632D" w:rsidP="0047632D">
            <w:pPr>
              <w:spacing w:before="60" w:after="60"/>
              <w:rPr>
                <w:color w:val="000000"/>
              </w:rPr>
            </w:pPr>
            <w:r w:rsidRPr="00FA057A">
              <w:rPr>
                <w:color w:val="000000"/>
              </w:rPr>
              <w:t>Bligh Tanner – joint submission with Burdekin Shire Council</w:t>
            </w:r>
          </w:p>
        </w:tc>
        <w:tc>
          <w:tcPr>
            <w:tcW w:w="4959" w:type="dxa"/>
            <w:shd w:val="clear" w:color="auto" w:fill="auto"/>
          </w:tcPr>
          <w:p w14:paraId="54A18B1F" w14:textId="3BBBD84A" w:rsidR="0047632D" w:rsidRDefault="0047632D" w:rsidP="0047632D">
            <w:pPr>
              <w:spacing w:before="60" w:after="60"/>
              <w:rPr>
                <w:color w:val="000000"/>
              </w:rPr>
            </w:pPr>
            <w:r w:rsidRPr="00FA057A">
              <w:rPr>
                <w:color w:val="000000"/>
              </w:rPr>
              <w:t>OPEC Systems</w:t>
            </w:r>
          </w:p>
        </w:tc>
      </w:tr>
      <w:tr w:rsidR="00F05753" w:rsidRPr="00FA057A" w14:paraId="24C3FFB3"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33BD820D" w14:textId="3665A02A" w:rsidR="00F05753" w:rsidRPr="00FA057A" w:rsidRDefault="00F05753" w:rsidP="00F05753">
            <w:pPr>
              <w:spacing w:before="60" w:after="60"/>
              <w:rPr>
                <w:color w:val="000000"/>
              </w:rPr>
            </w:pPr>
            <w:r w:rsidRPr="00FA057A">
              <w:rPr>
                <w:color w:val="000000"/>
              </w:rPr>
              <w:t>BMT Western Australia</w:t>
            </w:r>
          </w:p>
        </w:tc>
        <w:tc>
          <w:tcPr>
            <w:tcW w:w="4959" w:type="dxa"/>
            <w:shd w:val="clear" w:color="auto" w:fill="auto"/>
          </w:tcPr>
          <w:p w14:paraId="0832ED3D" w14:textId="361CDAD3" w:rsidR="00F05753" w:rsidRDefault="00F05753" w:rsidP="00F05753">
            <w:pPr>
              <w:spacing w:before="60" w:after="60"/>
              <w:rPr>
                <w:color w:val="000000"/>
              </w:rPr>
            </w:pPr>
            <w:r>
              <w:rPr>
                <w:color w:val="000000"/>
              </w:rPr>
              <w:t>Qantas</w:t>
            </w:r>
          </w:p>
        </w:tc>
      </w:tr>
      <w:tr w:rsidR="00F05753" w:rsidRPr="00FA057A" w14:paraId="2BF72FFA"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10B41BA1" w14:textId="73BE46AB" w:rsidR="00F05753" w:rsidRPr="00FA057A" w:rsidRDefault="00F05753" w:rsidP="00F05753">
            <w:pPr>
              <w:spacing w:before="60" w:after="60"/>
              <w:rPr>
                <w:b/>
                <w:color w:val="000000"/>
              </w:rPr>
            </w:pPr>
            <w:r w:rsidRPr="00FA057A">
              <w:rPr>
                <w:color w:val="000000"/>
              </w:rPr>
              <w:t>BP Australia</w:t>
            </w:r>
          </w:p>
        </w:tc>
        <w:tc>
          <w:tcPr>
            <w:tcW w:w="4959" w:type="dxa"/>
            <w:shd w:val="clear" w:color="auto" w:fill="auto"/>
          </w:tcPr>
          <w:p w14:paraId="6894B52B" w14:textId="5FD86B9E" w:rsidR="00F05753" w:rsidRPr="00FA057A" w:rsidRDefault="00306D0B" w:rsidP="00F05753">
            <w:pPr>
              <w:spacing w:before="60" w:after="60"/>
              <w:rPr>
                <w:color w:val="000000"/>
              </w:rPr>
            </w:pPr>
            <w:r>
              <w:rPr>
                <w:color w:val="000000"/>
              </w:rPr>
              <w:t>qldwater</w:t>
            </w:r>
          </w:p>
        </w:tc>
      </w:tr>
      <w:tr w:rsidR="00F05753" w:rsidRPr="00FA057A" w14:paraId="1C4B2A05"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44F85F3D" w14:textId="65A9FF09" w:rsidR="00F05753" w:rsidRPr="00FA057A" w:rsidRDefault="00F05753" w:rsidP="00F05753">
            <w:pPr>
              <w:spacing w:before="60" w:after="60"/>
              <w:rPr>
                <w:b/>
                <w:color w:val="000000"/>
              </w:rPr>
            </w:pPr>
            <w:r w:rsidRPr="00FA057A">
              <w:rPr>
                <w:color w:val="000000"/>
              </w:rPr>
              <w:t>Brisbane Airport Corporation</w:t>
            </w:r>
          </w:p>
        </w:tc>
        <w:tc>
          <w:tcPr>
            <w:tcW w:w="4959" w:type="dxa"/>
            <w:shd w:val="clear" w:color="auto" w:fill="auto"/>
          </w:tcPr>
          <w:p w14:paraId="076A83B3" w14:textId="031AFC2D" w:rsidR="00F05753" w:rsidRPr="00FA057A" w:rsidRDefault="00F05753" w:rsidP="00F05753">
            <w:pPr>
              <w:spacing w:before="60" w:after="60"/>
              <w:rPr>
                <w:color w:val="000000"/>
              </w:rPr>
            </w:pPr>
            <w:r w:rsidRPr="00FA057A">
              <w:rPr>
                <w:color w:val="000000"/>
              </w:rPr>
              <w:t>Queensland Airports Ltd</w:t>
            </w:r>
          </w:p>
        </w:tc>
      </w:tr>
      <w:tr w:rsidR="00F05753" w:rsidRPr="00FA057A" w14:paraId="16CCE8FC"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0A97B9F1" w14:textId="45A9F248" w:rsidR="00F05753" w:rsidRPr="00FA057A" w:rsidRDefault="00F05753" w:rsidP="00F05753">
            <w:pPr>
              <w:spacing w:before="60" w:after="60"/>
              <w:rPr>
                <w:b/>
                <w:color w:val="000000"/>
              </w:rPr>
            </w:pPr>
            <w:r w:rsidRPr="00FA057A">
              <w:rPr>
                <w:color w:val="000000"/>
              </w:rPr>
              <w:t>Burdekin Shire Council – joint submission with Bligh Tanner</w:t>
            </w:r>
          </w:p>
        </w:tc>
        <w:tc>
          <w:tcPr>
            <w:tcW w:w="4959" w:type="dxa"/>
            <w:shd w:val="clear" w:color="auto" w:fill="auto"/>
          </w:tcPr>
          <w:p w14:paraId="79C507E6" w14:textId="3D48ED7D" w:rsidR="00F05753" w:rsidRPr="00FA057A" w:rsidRDefault="00F05753" w:rsidP="00F05753">
            <w:pPr>
              <w:spacing w:before="60" w:after="60"/>
              <w:rPr>
                <w:color w:val="000000"/>
              </w:rPr>
            </w:pPr>
            <w:r w:rsidRPr="00FA057A">
              <w:rPr>
                <w:color w:val="000000"/>
              </w:rPr>
              <w:t>Queensland Farmers’ Federation</w:t>
            </w:r>
          </w:p>
        </w:tc>
      </w:tr>
      <w:tr w:rsidR="00F05753" w:rsidRPr="00FA057A" w14:paraId="4FF67D87"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4E12CAB6" w14:textId="268B2542" w:rsidR="00F05753" w:rsidRPr="00FA057A" w:rsidRDefault="00F05753" w:rsidP="00F05753">
            <w:pPr>
              <w:spacing w:before="60" w:after="60"/>
              <w:rPr>
                <w:b/>
                <w:color w:val="000000"/>
              </w:rPr>
            </w:pPr>
            <w:r w:rsidRPr="00FA057A">
              <w:rPr>
                <w:color w:val="000000"/>
              </w:rPr>
              <w:t>Canberra Airport</w:t>
            </w:r>
          </w:p>
        </w:tc>
        <w:tc>
          <w:tcPr>
            <w:tcW w:w="4959" w:type="dxa"/>
            <w:shd w:val="clear" w:color="auto" w:fill="auto"/>
          </w:tcPr>
          <w:p w14:paraId="41F786AD" w14:textId="31CBB585" w:rsidR="00F05753" w:rsidRPr="00FA057A" w:rsidRDefault="00F05753" w:rsidP="00F05753">
            <w:pPr>
              <w:spacing w:before="60" w:after="60"/>
              <w:rPr>
                <w:color w:val="000000"/>
              </w:rPr>
            </w:pPr>
            <w:r w:rsidRPr="00FA057A">
              <w:rPr>
                <w:color w:val="000000"/>
              </w:rPr>
              <w:t>Queensland Urban Utilities</w:t>
            </w:r>
          </w:p>
        </w:tc>
      </w:tr>
      <w:tr w:rsidR="00F05753" w:rsidRPr="00FA057A" w14:paraId="6363FAF6"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3E3A8659" w14:textId="432128E5" w:rsidR="00F05753" w:rsidRPr="00FA057A" w:rsidRDefault="00F05753" w:rsidP="00F05753">
            <w:pPr>
              <w:spacing w:before="60" w:after="60"/>
              <w:rPr>
                <w:b/>
                <w:color w:val="000000"/>
              </w:rPr>
            </w:pPr>
            <w:r w:rsidRPr="00FA057A">
              <w:rPr>
                <w:color w:val="000000"/>
              </w:rPr>
              <w:t>City of Busselton</w:t>
            </w:r>
          </w:p>
        </w:tc>
        <w:tc>
          <w:tcPr>
            <w:tcW w:w="4959" w:type="dxa"/>
            <w:shd w:val="clear" w:color="auto" w:fill="auto"/>
          </w:tcPr>
          <w:p w14:paraId="6640EA28" w14:textId="14C0C05E" w:rsidR="00F05753" w:rsidRPr="00FA057A" w:rsidRDefault="00F05753" w:rsidP="00F05753">
            <w:pPr>
              <w:spacing w:before="60" w:after="60"/>
              <w:rPr>
                <w:color w:val="000000"/>
              </w:rPr>
            </w:pPr>
            <w:r w:rsidRPr="00FA057A">
              <w:rPr>
                <w:color w:val="000000"/>
              </w:rPr>
              <w:t>Senversa</w:t>
            </w:r>
          </w:p>
        </w:tc>
      </w:tr>
      <w:tr w:rsidR="00F05753" w:rsidRPr="00FA057A" w14:paraId="54B3FFA8"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0D9FA7EE" w14:textId="6A2AC3D0" w:rsidR="00F05753" w:rsidRPr="00FA057A" w:rsidRDefault="00F05753" w:rsidP="00F05753">
            <w:pPr>
              <w:spacing w:before="60" w:after="60"/>
              <w:rPr>
                <w:b/>
                <w:color w:val="000000"/>
              </w:rPr>
            </w:pPr>
            <w:r w:rsidRPr="00FA057A">
              <w:rPr>
                <w:color w:val="000000"/>
              </w:rPr>
              <w:t>City of Rockingham – Millar Road Landfill</w:t>
            </w:r>
          </w:p>
        </w:tc>
        <w:tc>
          <w:tcPr>
            <w:tcW w:w="4959" w:type="dxa"/>
            <w:shd w:val="clear" w:color="auto" w:fill="auto"/>
          </w:tcPr>
          <w:p w14:paraId="40FA12E7" w14:textId="41A08103" w:rsidR="00F05753" w:rsidRPr="00FA057A" w:rsidRDefault="00F05753" w:rsidP="00F05753">
            <w:pPr>
              <w:spacing w:before="60" w:after="60"/>
              <w:rPr>
                <w:color w:val="000000"/>
              </w:rPr>
            </w:pPr>
            <w:r w:rsidRPr="00FA057A">
              <w:rPr>
                <w:color w:val="000000"/>
              </w:rPr>
              <w:t>South East Water</w:t>
            </w:r>
          </w:p>
        </w:tc>
      </w:tr>
      <w:tr w:rsidR="00F05753" w:rsidRPr="00FA057A" w14:paraId="4D9E0EB6"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1863C4C6" w14:textId="05A6EE9D" w:rsidR="00F05753" w:rsidRPr="00FA057A" w:rsidRDefault="00F05753" w:rsidP="00F05753">
            <w:pPr>
              <w:spacing w:before="60" w:after="60"/>
              <w:rPr>
                <w:b/>
                <w:color w:val="000000"/>
              </w:rPr>
            </w:pPr>
            <w:r w:rsidRPr="00FA057A">
              <w:rPr>
                <w:color w:val="000000"/>
              </w:rPr>
              <w:t>City West Water</w:t>
            </w:r>
          </w:p>
        </w:tc>
        <w:tc>
          <w:tcPr>
            <w:tcW w:w="4959" w:type="dxa"/>
            <w:shd w:val="clear" w:color="auto" w:fill="auto"/>
          </w:tcPr>
          <w:p w14:paraId="46809341" w14:textId="458216AC" w:rsidR="00F05753" w:rsidRPr="00FA057A" w:rsidRDefault="00F05753" w:rsidP="00F05753">
            <w:pPr>
              <w:spacing w:before="60" w:after="60"/>
              <w:rPr>
                <w:color w:val="000000"/>
              </w:rPr>
            </w:pPr>
            <w:r w:rsidRPr="00FA057A">
              <w:rPr>
                <w:color w:val="000000"/>
              </w:rPr>
              <w:t>Sydney Airport</w:t>
            </w:r>
          </w:p>
        </w:tc>
      </w:tr>
      <w:tr w:rsidR="00F05753" w:rsidRPr="00FA057A" w14:paraId="3E59CFDE"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43A73DC0" w14:textId="701CADA9" w:rsidR="00F05753" w:rsidRPr="00FA057A" w:rsidRDefault="00F05753" w:rsidP="00F05753">
            <w:pPr>
              <w:spacing w:before="60" w:after="60"/>
              <w:rPr>
                <w:b/>
                <w:color w:val="000000"/>
              </w:rPr>
            </w:pPr>
            <w:r w:rsidRPr="00FA057A">
              <w:rPr>
                <w:color w:val="000000"/>
              </w:rPr>
              <w:t>Clarence Valley Council</w:t>
            </w:r>
          </w:p>
        </w:tc>
        <w:tc>
          <w:tcPr>
            <w:tcW w:w="4959" w:type="dxa"/>
            <w:shd w:val="clear" w:color="auto" w:fill="auto"/>
          </w:tcPr>
          <w:p w14:paraId="01F8BC3B" w14:textId="2AACA25F" w:rsidR="00F05753" w:rsidRPr="00FA057A" w:rsidRDefault="00F05753" w:rsidP="00F05753">
            <w:pPr>
              <w:spacing w:before="60" w:after="60"/>
              <w:rPr>
                <w:color w:val="000000"/>
              </w:rPr>
            </w:pPr>
            <w:r w:rsidRPr="00FA057A">
              <w:rPr>
                <w:color w:val="000000"/>
              </w:rPr>
              <w:t>Sydney Water</w:t>
            </w:r>
          </w:p>
        </w:tc>
      </w:tr>
      <w:tr w:rsidR="00F05753" w:rsidRPr="00FA057A" w14:paraId="194C7B64"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1688467A" w14:textId="173F282E" w:rsidR="00F05753" w:rsidRPr="00FA057A" w:rsidRDefault="00F05753" w:rsidP="00F05753">
            <w:pPr>
              <w:spacing w:before="60" w:after="60"/>
              <w:rPr>
                <w:b/>
                <w:color w:val="000000"/>
              </w:rPr>
            </w:pPr>
            <w:r w:rsidRPr="00FA057A">
              <w:rPr>
                <w:color w:val="000000"/>
              </w:rPr>
              <w:t>CRC CARE</w:t>
            </w:r>
          </w:p>
        </w:tc>
        <w:tc>
          <w:tcPr>
            <w:tcW w:w="4959" w:type="dxa"/>
            <w:shd w:val="clear" w:color="auto" w:fill="auto"/>
          </w:tcPr>
          <w:p w14:paraId="0504841A" w14:textId="3BDDE0D7" w:rsidR="00F05753" w:rsidRPr="00FA057A" w:rsidRDefault="00F05753" w:rsidP="00F05753">
            <w:pPr>
              <w:spacing w:before="60" w:after="60"/>
              <w:rPr>
                <w:color w:val="000000"/>
              </w:rPr>
            </w:pPr>
            <w:r w:rsidRPr="00FA057A">
              <w:rPr>
                <w:color w:val="000000"/>
              </w:rPr>
              <w:t>Victorian Water Industry Association</w:t>
            </w:r>
          </w:p>
        </w:tc>
      </w:tr>
      <w:tr w:rsidR="00F05753" w:rsidRPr="00FA057A" w14:paraId="55870CC3"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262669AC" w14:textId="6CF522E2" w:rsidR="00F05753" w:rsidRPr="00FA057A" w:rsidRDefault="00F05753" w:rsidP="00F05753">
            <w:pPr>
              <w:spacing w:before="60" w:after="60"/>
              <w:rPr>
                <w:b/>
                <w:color w:val="000000"/>
              </w:rPr>
            </w:pPr>
            <w:r w:rsidRPr="00FA057A">
              <w:rPr>
                <w:color w:val="000000"/>
              </w:rPr>
              <w:t>EnRiskS</w:t>
            </w:r>
          </w:p>
        </w:tc>
        <w:tc>
          <w:tcPr>
            <w:tcW w:w="4959" w:type="dxa"/>
            <w:shd w:val="clear" w:color="auto" w:fill="auto"/>
          </w:tcPr>
          <w:p w14:paraId="2AB0A3C2" w14:textId="4A077923" w:rsidR="00F05753" w:rsidRPr="00FA057A" w:rsidRDefault="00F05753" w:rsidP="00F05753">
            <w:pPr>
              <w:spacing w:before="60" w:after="60"/>
              <w:rPr>
                <w:color w:val="000000"/>
              </w:rPr>
            </w:pPr>
            <w:r w:rsidRPr="00FA057A">
              <w:rPr>
                <w:color w:val="000000"/>
              </w:rPr>
              <w:t>Viva Energy Australia</w:t>
            </w:r>
          </w:p>
        </w:tc>
      </w:tr>
      <w:tr w:rsidR="00F05753" w:rsidRPr="00FA057A" w14:paraId="1C70E727"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39017307" w14:textId="13481E75" w:rsidR="00F05753" w:rsidRPr="00FA057A" w:rsidRDefault="00F05753" w:rsidP="00F05753">
            <w:pPr>
              <w:spacing w:before="60" w:after="60"/>
              <w:rPr>
                <w:b/>
                <w:color w:val="000000"/>
              </w:rPr>
            </w:pPr>
            <w:r w:rsidRPr="00FA057A">
              <w:rPr>
                <w:color w:val="000000"/>
              </w:rPr>
              <w:t>ExxonMobil Australia</w:t>
            </w:r>
          </w:p>
        </w:tc>
        <w:tc>
          <w:tcPr>
            <w:tcW w:w="4959" w:type="dxa"/>
            <w:shd w:val="clear" w:color="auto" w:fill="auto"/>
          </w:tcPr>
          <w:p w14:paraId="07A69363" w14:textId="1BBF162C" w:rsidR="00F05753" w:rsidRPr="00FA057A" w:rsidRDefault="00F05753" w:rsidP="00F05753">
            <w:pPr>
              <w:spacing w:before="60" w:after="60"/>
              <w:rPr>
                <w:color w:val="000000"/>
              </w:rPr>
            </w:pPr>
            <w:r w:rsidRPr="00FA057A">
              <w:rPr>
                <w:color w:val="000000"/>
              </w:rPr>
              <w:t>WA Government</w:t>
            </w:r>
          </w:p>
        </w:tc>
      </w:tr>
      <w:tr w:rsidR="00F05753" w:rsidRPr="00FA057A" w14:paraId="00665CAB"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326080C3" w14:textId="50C526C6" w:rsidR="00F05753" w:rsidRPr="00FA057A" w:rsidRDefault="00F05753" w:rsidP="00F05753">
            <w:pPr>
              <w:spacing w:before="60" w:after="60"/>
              <w:rPr>
                <w:b/>
                <w:color w:val="000000"/>
              </w:rPr>
            </w:pPr>
            <w:r w:rsidRPr="00FA057A">
              <w:rPr>
                <w:color w:val="000000"/>
              </w:rPr>
              <w:t>Friends of the Earth Australia</w:t>
            </w:r>
          </w:p>
        </w:tc>
        <w:tc>
          <w:tcPr>
            <w:tcW w:w="4959" w:type="dxa"/>
            <w:shd w:val="clear" w:color="auto" w:fill="auto"/>
          </w:tcPr>
          <w:p w14:paraId="3B387828" w14:textId="0CC26364" w:rsidR="00F05753" w:rsidRPr="00FA057A" w:rsidRDefault="00F05753" w:rsidP="00F05753">
            <w:pPr>
              <w:spacing w:before="60" w:after="60"/>
              <w:rPr>
                <w:color w:val="000000"/>
              </w:rPr>
            </w:pPr>
            <w:r w:rsidRPr="00FA057A">
              <w:rPr>
                <w:color w:val="000000"/>
              </w:rPr>
              <w:t>Warren Godson – individual submission</w:t>
            </w:r>
          </w:p>
        </w:tc>
      </w:tr>
      <w:tr w:rsidR="00F05753" w:rsidRPr="00FA057A" w14:paraId="0EDE4E85"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71FDC032" w14:textId="366D6394" w:rsidR="00F05753" w:rsidRPr="00FA057A" w:rsidRDefault="00F05753" w:rsidP="00F05753">
            <w:pPr>
              <w:spacing w:before="60" w:after="60"/>
              <w:rPr>
                <w:b/>
                <w:color w:val="000000"/>
              </w:rPr>
            </w:pPr>
            <w:r w:rsidRPr="00FA057A">
              <w:rPr>
                <w:color w:val="000000"/>
              </w:rPr>
              <w:t>GHD</w:t>
            </w:r>
          </w:p>
        </w:tc>
        <w:tc>
          <w:tcPr>
            <w:tcW w:w="4959" w:type="dxa"/>
            <w:shd w:val="clear" w:color="auto" w:fill="auto"/>
          </w:tcPr>
          <w:p w14:paraId="2EC32139" w14:textId="186B98CC" w:rsidR="00F05753" w:rsidRPr="00FA057A" w:rsidRDefault="00F05753" w:rsidP="00F05753">
            <w:pPr>
              <w:spacing w:before="60" w:after="60"/>
              <w:rPr>
                <w:color w:val="000000"/>
              </w:rPr>
            </w:pPr>
            <w:r w:rsidRPr="00FA057A">
              <w:rPr>
                <w:color w:val="000000"/>
              </w:rPr>
              <w:t>Waste Management and Resource Recovery Association</w:t>
            </w:r>
          </w:p>
        </w:tc>
      </w:tr>
      <w:tr w:rsidR="00F05753" w:rsidRPr="00FA057A" w14:paraId="0D66EFD6"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0176EA62" w14:textId="1D9202F4" w:rsidR="00F05753" w:rsidRPr="00FA057A" w:rsidRDefault="00F05753" w:rsidP="00F05753">
            <w:pPr>
              <w:spacing w:before="60" w:after="60"/>
              <w:rPr>
                <w:b/>
                <w:color w:val="000000"/>
              </w:rPr>
            </w:pPr>
            <w:r w:rsidRPr="00FA057A">
              <w:rPr>
                <w:color w:val="000000"/>
              </w:rPr>
              <w:t>Golder Associates</w:t>
            </w:r>
          </w:p>
        </w:tc>
        <w:tc>
          <w:tcPr>
            <w:tcW w:w="4959" w:type="dxa"/>
            <w:shd w:val="clear" w:color="auto" w:fill="auto"/>
          </w:tcPr>
          <w:p w14:paraId="4A0A6F91" w14:textId="72D176B0" w:rsidR="00F05753" w:rsidRPr="00FA057A" w:rsidRDefault="00F05753" w:rsidP="00F05753">
            <w:pPr>
              <w:spacing w:before="60" w:after="60"/>
              <w:rPr>
                <w:color w:val="000000"/>
              </w:rPr>
            </w:pPr>
            <w:r w:rsidRPr="00FA057A">
              <w:rPr>
                <w:color w:val="000000"/>
              </w:rPr>
              <w:t>Water Services Association of Australia</w:t>
            </w:r>
          </w:p>
        </w:tc>
      </w:tr>
      <w:tr w:rsidR="00F05753" w:rsidRPr="00FA057A" w14:paraId="5606F0F5" w14:textId="77777777" w:rsidTr="003366AA">
        <w:trPr>
          <w:cnfStyle w:val="000000010000" w:firstRow="0" w:lastRow="0" w:firstColumn="0" w:lastColumn="0" w:oddVBand="0" w:evenVBand="0" w:oddHBand="0" w:evenHBand="1" w:firstRowFirstColumn="0" w:firstRowLastColumn="0" w:lastRowFirstColumn="0" w:lastRowLastColumn="0"/>
        </w:trPr>
        <w:tc>
          <w:tcPr>
            <w:tcW w:w="4959" w:type="dxa"/>
            <w:shd w:val="clear" w:color="auto" w:fill="auto"/>
          </w:tcPr>
          <w:p w14:paraId="410BA1BC" w14:textId="05880A7C" w:rsidR="00F05753" w:rsidRPr="00FA057A" w:rsidRDefault="00F05753" w:rsidP="00F05753">
            <w:pPr>
              <w:spacing w:before="60" w:after="60"/>
              <w:rPr>
                <w:b/>
                <w:color w:val="000000"/>
              </w:rPr>
            </w:pPr>
            <w:r w:rsidRPr="00FA057A">
              <w:rPr>
                <w:color w:val="000000"/>
              </w:rPr>
              <w:t>Hunter Water</w:t>
            </w:r>
          </w:p>
        </w:tc>
        <w:tc>
          <w:tcPr>
            <w:tcW w:w="4959" w:type="dxa"/>
            <w:shd w:val="clear" w:color="auto" w:fill="auto"/>
          </w:tcPr>
          <w:p w14:paraId="76487D97" w14:textId="68C3410F" w:rsidR="00F05753" w:rsidRPr="00FA057A" w:rsidRDefault="00F05753" w:rsidP="00F05753">
            <w:pPr>
              <w:spacing w:before="60" w:after="60"/>
              <w:rPr>
                <w:color w:val="000000"/>
              </w:rPr>
            </w:pPr>
            <w:r w:rsidRPr="00FA057A">
              <w:rPr>
                <w:color w:val="000000"/>
              </w:rPr>
              <w:t>Yarra Valley Water</w:t>
            </w:r>
          </w:p>
        </w:tc>
      </w:tr>
      <w:tr w:rsidR="00F05753" w:rsidRPr="00FA057A" w14:paraId="31AC31F8" w14:textId="77777777" w:rsidTr="003366AA">
        <w:trPr>
          <w:cnfStyle w:val="000000100000" w:firstRow="0" w:lastRow="0" w:firstColumn="0" w:lastColumn="0" w:oddVBand="0" w:evenVBand="0" w:oddHBand="1" w:evenHBand="0" w:firstRowFirstColumn="0" w:firstRowLastColumn="0" w:lastRowFirstColumn="0" w:lastRowLastColumn="0"/>
        </w:trPr>
        <w:tc>
          <w:tcPr>
            <w:tcW w:w="4959" w:type="dxa"/>
            <w:shd w:val="clear" w:color="auto" w:fill="auto"/>
          </w:tcPr>
          <w:p w14:paraId="6356BE72" w14:textId="4F06E13B" w:rsidR="00F05753" w:rsidRPr="00FA057A" w:rsidRDefault="00F05753" w:rsidP="00F05753">
            <w:pPr>
              <w:spacing w:before="60" w:after="60"/>
              <w:rPr>
                <w:b/>
                <w:color w:val="000000"/>
              </w:rPr>
            </w:pPr>
            <w:r w:rsidRPr="00FA057A">
              <w:rPr>
                <w:color w:val="000000"/>
              </w:rPr>
              <w:t>Lloyd Consulting</w:t>
            </w:r>
          </w:p>
        </w:tc>
        <w:tc>
          <w:tcPr>
            <w:tcW w:w="4959" w:type="dxa"/>
            <w:shd w:val="clear" w:color="auto" w:fill="auto"/>
          </w:tcPr>
          <w:p w14:paraId="11D4F448" w14:textId="6EC3F298" w:rsidR="00F05753" w:rsidRPr="00FA057A" w:rsidRDefault="006B3A71" w:rsidP="00F05753">
            <w:pPr>
              <w:spacing w:before="60" w:after="60"/>
              <w:rPr>
                <w:color w:val="000000"/>
              </w:rPr>
            </w:pPr>
            <w:r>
              <w:rPr>
                <w:color w:val="000000"/>
              </w:rPr>
              <w:t>Plus three submissions provided in-confidence</w:t>
            </w:r>
          </w:p>
        </w:tc>
      </w:tr>
    </w:tbl>
    <w:p w14:paraId="13187143" w14:textId="77777777" w:rsidR="00EC66FE" w:rsidRPr="007F0311" w:rsidRDefault="00EC66FE" w:rsidP="00EC66FE">
      <w:pPr>
        <w:pStyle w:val="Bullet2"/>
        <w:numPr>
          <w:ilvl w:val="0"/>
          <w:numId w:val="0"/>
        </w:numPr>
      </w:pPr>
    </w:p>
    <w:sectPr w:rsidR="00EC66FE" w:rsidRPr="007F0311" w:rsidSect="000D2812">
      <w:headerReference w:type="default" r:id="rId33"/>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5F792" w14:textId="77777777" w:rsidR="005D4EEE" w:rsidRDefault="005D4EEE" w:rsidP="003C376B">
      <w:r>
        <w:separator/>
      </w:r>
    </w:p>
  </w:endnote>
  <w:endnote w:type="continuationSeparator" w:id="0">
    <w:p w14:paraId="5BAE995B" w14:textId="77777777" w:rsidR="005D4EEE" w:rsidRDefault="005D4EEE" w:rsidP="003C376B">
      <w:r>
        <w:continuationSeparator/>
      </w:r>
    </w:p>
  </w:endnote>
  <w:endnote w:type="continuationNotice" w:id="1">
    <w:p w14:paraId="6C279763" w14:textId="77777777" w:rsidR="005D4EEE" w:rsidRDefault="005D4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867FC" w14:textId="77777777" w:rsidR="003A0534" w:rsidRDefault="003A0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92F40" w14:textId="77777777" w:rsidR="003A0534" w:rsidRDefault="003A0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AAE25" w14:textId="77777777" w:rsidR="003A0534" w:rsidRDefault="003A05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4184E" w14:textId="42BE734F" w:rsidR="005D75C3" w:rsidRPr="00EF20FA" w:rsidRDefault="005D75C3" w:rsidP="001A441F">
    <w:pPr>
      <w:pStyle w:val="Footer"/>
      <w:pBdr>
        <w:top w:val="single" w:sz="4" w:space="1" w:color="D9D9D9" w:themeColor="background1" w:themeShade="D9"/>
      </w:pBdr>
      <w:tabs>
        <w:tab w:val="clear" w:pos="4680"/>
        <w:tab w:val="clear" w:pos="9360"/>
        <w:tab w:val="right" w:pos="15026"/>
      </w:tabs>
      <w:rPr>
        <w:color w:val="808080" w:themeColor="background1" w:themeShade="80"/>
        <w:spacing w:val="60"/>
        <w:sz w:val="20"/>
        <w:szCs w:val="20"/>
      </w:rPr>
    </w:pPr>
    <w:r>
      <w:rPr>
        <w:color w:val="7F7F7F" w:themeColor="background1" w:themeShade="7F"/>
        <w:spacing w:val="60"/>
        <w:sz w:val="20"/>
        <w:szCs w:val="20"/>
      </w:rPr>
      <w:t>P.</w:t>
    </w:r>
    <w:r w:rsidRPr="00EF20FA">
      <w:rPr>
        <w:sz w:val="20"/>
        <w:szCs w:val="20"/>
      </w:rPr>
      <w:t xml:space="preserve"> </w:t>
    </w:r>
    <w:r w:rsidRPr="00EF20FA">
      <w:rPr>
        <w:sz w:val="20"/>
        <w:szCs w:val="20"/>
      </w:rPr>
      <w:fldChar w:fldCharType="begin"/>
    </w:r>
    <w:r w:rsidRPr="00EF20FA">
      <w:rPr>
        <w:sz w:val="20"/>
        <w:szCs w:val="20"/>
      </w:rPr>
      <w:instrText xml:space="preserve"> PAGE   \* MERGEFORMAT </w:instrText>
    </w:r>
    <w:r w:rsidRPr="00EF20FA">
      <w:rPr>
        <w:sz w:val="20"/>
        <w:szCs w:val="20"/>
      </w:rPr>
      <w:fldChar w:fldCharType="separate"/>
    </w:r>
    <w:r w:rsidR="003A0534">
      <w:rPr>
        <w:noProof/>
        <w:sz w:val="20"/>
        <w:szCs w:val="20"/>
      </w:rPr>
      <w:t>41</w:t>
    </w:r>
    <w:r w:rsidRPr="00EF20FA">
      <w:rPr>
        <w:b/>
        <w:sz w:val="20"/>
        <w:szCs w:val="20"/>
      </w:rPr>
      <w:fldChar w:fldCharType="end"/>
    </w:r>
    <w:r w:rsidRPr="00EF20FA">
      <w:rPr>
        <w:b/>
        <w:bCs/>
        <w:sz w:val="20"/>
        <w:szCs w:val="20"/>
      </w:rPr>
      <w:t xml:space="preserve"> | </w:t>
    </w:r>
    <w:r>
      <w:rPr>
        <w:b/>
        <w:bCs/>
        <w:sz w:val="20"/>
        <w:szCs w:val="20"/>
      </w:rPr>
      <w:tab/>
    </w:r>
    <w:r w:rsidRPr="00EF20FA">
      <w:rPr>
        <w:color w:val="7F7F7F" w:themeColor="background1" w:themeShade="7F"/>
        <w:spacing w:val="60"/>
        <w:sz w:val="20"/>
        <w:szCs w:val="20"/>
      </w:rPr>
      <w:t>PFAS NEMP 2.0 Ancillary Document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A9BAD" w14:textId="6A9212DB" w:rsidR="005D75C3" w:rsidRPr="00EF20FA" w:rsidRDefault="005D75C3" w:rsidP="00DA62E7">
    <w:pPr>
      <w:pStyle w:val="Footer"/>
      <w:pBdr>
        <w:top w:val="single" w:sz="4" w:space="1" w:color="D9D9D9" w:themeColor="background1" w:themeShade="D9"/>
      </w:pBdr>
      <w:tabs>
        <w:tab w:val="clear" w:pos="4680"/>
        <w:tab w:val="clear" w:pos="9360"/>
        <w:tab w:val="right" w:pos="15026"/>
      </w:tabs>
      <w:rPr>
        <w:color w:val="808080" w:themeColor="background1" w:themeShade="80"/>
        <w:spacing w:val="60"/>
        <w:sz w:val="20"/>
        <w:szCs w:val="20"/>
      </w:rPr>
    </w:pPr>
    <w:r>
      <w:rPr>
        <w:color w:val="7F7F7F" w:themeColor="background1" w:themeShade="7F"/>
        <w:spacing w:val="60"/>
        <w:sz w:val="20"/>
        <w:szCs w:val="20"/>
      </w:rPr>
      <w:t>P.</w:t>
    </w:r>
    <w:r w:rsidRPr="00EF20FA">
      <w:rPr>
        <w:sz w:val="20"/>
        <w:szCs w:val="20"/>
      </w:rPr>
      <w:t xml:space="preserve"> </w:t>
    </w:r>
    <w:r w:rsidRPr="00EF20FA">
      <w:rPr>
        <w:sz w:val="20"/>
        <w:szCs w:val="20"/>
      </w:rPr>
      <w:fldChar w:fldCharType="begin"/>
    </w:r>
    <w:r w:rsidRPr="00EF20FA">
      <w:rPr>
        <w:sz w:val="20"/>
        <w:szCs w:val="20"/>
      </w:rPr>
      <w:instrText xml:space="preserve"> PAGE   \* MERGEFORMAT </w:instrText>
    </w:r>
    <w:r w:rsidRPr="00EF20FA">
      <w:rPr>
        <w:sz w:val="20"/>
        <w:szCs w:val="20"/>
      </w:rPr>
      <w:fldChar w:fldCharType="separate"/>
    </w:r>
    <w:r w:rsidR="003A0534">
      <w:rPr>
        <w:noProof/>
        <w:sz w:val="20"/>
        <w:szCs w:val="20"/>
      </w:rPr>
      <w:t>42</w:t>
    </w:r>
    <w:r w:rsidRPr="00EF20FA">
      <w:rPr>
        <w:b/>
        <w:sz w:val="20"/>
        <w:szCs w:val="20"/>
      </w:rPr>
      <w:fldChar w:fldCharType="end"/>
    </w:r>
    <w:r w:rsidRPr="00EF20FA">
      <w:rPr>
        <w:b/>
        <w:bCs/>
        <w:sz w:val="20"/>
        <w:szCs w:val="20"/>
      </w:rPr>
      <w:t xml:space="preserve"> | </w:t>
    </w:r>
    <w:r>
      <w:rPr>
        <w:b/>
        <w:bCs/>
        <w:sz w:val="20"/>
        <w:szCs w:val="20"/>
      </w:rPr>
      <w:tab/>
    </w:r>
    <w:r w:rsidRPr="00EF20FA">
      <w:rPr>
        <w:color w:val="7F7F7F" w:themeColor="background1" w:themeShade="7F"/>
        <w:spacing w:val="60"/>
        <w:sz w:val="20"/>
        <w:szCs w:val="20"/>
      </w:rPr>
      <w:t>PFAS NEMP 2.0 Ancillary Document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8E0B" w14:textId="5A10026F" w:rsidR="005D75C3" w:rsidRPr="00EF20FA" w:rsidRDefault="005D75C3" w:rsidP="0078117C">
    <w:pPr>
      <w:pStyle w:val="Footer"/>
      <w:pBdr>
        <w:top w:val="single" w:sz="4" w:space="1" w:color="D9D9D9" w:themeColor="background1" w:themeShade="D9"/>
      </w:pBdr>
      <w:tabs>
        <w:tab w:val="clear" w:pos="4680"/>
        <w:tab w:val="clear" w:pos="9360"/>
        <w:tab w:val="right" w:pos="10206"/>
      </w:tabs>
      <w:rPr>
        <w:color w:val="808080" w:themeColor="background1" w:themeShade="80"/>
        <w:spacing w:val="60"/>
        <w:sz w:val="20"/>
        <w:szCs w:val="20"/>
      </w:rPr>
    </w:pPr>
    <w:r>
      <w:rPr>
        <w:color w:val="7F7F7F" w:themeColor="background1" w:themeShade="7F"/>
        <w:spacing w:val="60"/>
        <w:sz w:val="20"/>
        <w:szCs w:val="20"/>
      </w:rPr>
      <w:t>P.</w:t>
    </w:r>
    <w:r w:rsidRPr="00EF20FA">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sidR="003A0534">
      <w:rPr>
        <w:noProof/>
        <w:sz w:val="20"/>
        <w:szCs w:val="20"/>
      </w:rPr>
      <w:t>57</w:t>
    </w:r>
    <w:r>
      <w:rPr>
        <w:sz w:val="20"/>
        <w:szCs w:val="20"/>
      </w:rPr>
      <w:fldChar w:fldCharType="end"/>
    </w:r>
    <w:r w:rsidRPr="00EF20FA">
      <w:rPr>
        <w:b/>
        <w:bCs/>
        <w:sz w:val="20"/>
        <w:szCs w:val="20"/>
      </w:rPr>
      <w:t xml:space="preserve"> | </w:t>
    </w:r>
    <w:r w:rsidRPr="00EF20FA">
      <w:rPr>
        <w:color w:val="7F7F7F" w:themeColor="background1" w:themeShade="7F"/>
        <w:spacing w:val="60"/>
        <w:sz w:val="20"/>
        <w:szCs w:val="20"/>
      </w:rPr>
      <w:t>– PFAS NEMP 2.0 Ancillary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E605B" w14:textId="77777777" w:rsidR="005D4EEE" w:rsidRDefault="005D4EEE" w:rsidP="003C376B">
      <w:r>
        <w:separator/>
      </w:r>
    </w:p>
  </w:footnote>
  <w:footnote w:type="continuationSeparator" w:id="0">
    <w:p w14:paraId="2882BA75" w14:textId="77777777" w:rsidR="005D4EEE" w:rsidRDefault="005D4EEE" w:rsidP="003C376B">
      <w:r>
        <w:continuationSeparator/>
      </w:r>
    </w:p>
  </w:footnote>
  <w:footnote w:type="continuationNotice" w:id="1">
    <w:p w14:paraId="0E389611" w14:textId="77777777" w:rsidR="005D4EEE" w:rsidRDefault="005D4EEE"/>
  </w:footnote>
  <w:footnote w:id="2">
    <w:p w14:paraId="4D320C49" w14:textId="45F268DC" w:rsidR="005D75C3" w:rsidRDefault="005D75C3" w:rsidP="00AF2F8F">
      <w:pPr>
        <w:pStyle w:val="FootnoteText"/>
      </w:pPr>
      <w:r>
        <w:rPr>
          <w:rStyle w:val="FootnoteReference"/>
        </w:rPr>
        <w:footnoteRef/>
      </w:r>
      <w:r>
        <w:t xml:space="preserve">Australian and New Zealand Guidelines for Fresh and Marine Water Quality, Toxicant default guideline values for water quality in aquatic systems – chlorpyrifos, web p. accessed 8 January 2020: </w:t>
      </w:r>
      <w:r w:rsidRPr="001F4677">
        <w:t>https://www.waterquality.gov.au/anz-guidelines/guideline-values/default/water-quality-toxicants/toxicants/chlorpyrifos-2000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BE45" w14:textId="77777777" w:rsidR="003A0534" w:rsidRDefault="003A053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CA45" w14:textId="3101C5EF" w:rsidR="005D75C3" w:rsidRPr="006A4A53" w:rsidRDefault="005D75C3" w:rsidP="006A4A53">
    <w:pPr>
      <w:spacing w:line="259" w:lineRule="auto"/>
      <w:jc w:val="right"/>
      <w:rPr>
        <w:lang w:val="en-US"/>
      </w:rPr>
    </w:pPr>
    <w:r>
      <w:rPr>
        <w:lang w:val="en-US"/>
      </w:rPr>
      <w:t>Table C. Wastewater management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B7E1E" w14:textId="77777777" w:rsidR="005D75C3" w:rsidRPr="007324A9" w:rsidRDefault="005D75C3" w:rsidP="00752938">
    <w:pPr>
      <w:spacing w:line="259" w:lineRule="auto"/>
      <w:rPr>
        <w:rFonts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5873" w14:textId="72DC321C" w:rsidR="005D75C3" w:rsidRPr="006A4A53" w:rsidRDefault="005D75C3" w:rsidP="006A4A53">
    <w:pPr>
      <w:jc w:val="right"/>
      <w:rPr>
        <w:lang w:val="en-US"/>
      </w:rPr>
    </w:pPr>
    <w:r>
      <w:rPr>
        <w:lang w:val="en-US"/>
      </w:rPr>
      <w:t>Table D. On-site containment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AAAB" w14:textId="77777777" w:rsidR="005D75C3" w:rsidRPr="007324A9" w:rsidRDefault="005D75C3" w:rsidP="00752938">
    <w:pPr>
      <w:spacing w:line="259" w:lineRule="auto"/>
      <w:rPr>
        <w:rFonts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3E74" w14:textId="21507816" w:rsidR="005D75C3" w:rsidRPr="006A4A53" w:rsidRDefault="005D75C3" w:rsidP="006A4A53">
    <w:pPr>
      <w:pStyle w:val="Header"/>
      <w:jc w:val="right"/>
      <w:rPr>
        <w:lang w:val="en-US"/>
      </w:rPr>
    </w:pPr>
    <w:r>
      <w:rPr>
        <w:lang w:val="en-US"/>
      </w:rPr>
      <w:t>Table E. Out of scope matters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3A14" w14:textId="77777777" w:rsidR="005D75C3" w:rsidRPr="007324A9" w:rsidRDefault="005D75C3" w:rsidP="00752938">
    <w:pPr>
      <w:spacing w:line="259" w:lineRule="auto"/>
      <w:rPr>
        <w:rFonts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A259A" w14:textId="3C24F092" w:rsidR="005D75C3" w:rsidRPr="00E46625" w:rsidRDefault="005D75C3" w:rsidP="001F12C0">
    <w:pPr>
      <w:jc w:val="right"/>
      <w:rPr>
        <w:lang w:val="en-US"/>
      </w:rPr>
    </w:pPr>
    <w:r>
      <w:rPr>
        <w:lang w:val="en-US"/>
      </w:rPr>
      <w:t>Attachment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3D39" w14:textId="08D86875" w:rsidR="005D75C3" w:rsidRPr="00F92847" w:rsidRDefault="005D75C3" w:rsidP="000D3434">
    <w:pPr>
      <w:pStyle w:val="Header"/>
      <w:tabs>
        <w:tab w:val="clear" w:pos="4680"/>
        <w:tab w:val="clear" w:pos="9360"/>
        <w:tab w:val="left" w:pos="267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3B468" w14:textId="7B3DC016" w:rsidR="005D75C3" w:rsidRPr="007324A9" w:rsidRDefault="005D75C3" w:rsidP="00F92847">
    <w:pPr>
      <w:spacing w:line="259" w:lineRule="auto"/>
      <w:rPr>
        <w:rFonts w:cs="Arial"/>
      </w:rPr>
    </w:pPr>
    <w:r>
      <w:rPr>
        <w:rFonts w:cs="Arial"/>
        <w:noProof/>
        <w:lang w:eastAsia="en-AU"/>
      </w:rPr>
      <mc:AlternateContent>
        <mc:Choice Requires="wps">
          <w:drawing>
            <wp:anchor distT="0" distB="0" distL="114300" distR="114300" simplePos="0" relativeHeight="251656704" behindDoc="0" locked="0" layoutInCell="1" allowOverlap="1" wp14:anchorId="09B5BDDA" wp14:editId="6515A4DD">
              <wp:simplePos x="0" y="0"/>
              <wp:positionH relativeFrom="column">
                <wp:posOffset>-457200</wp:posOffset>
              </wp:positionH>
              <wp:positionV relativeFrom="paragraph">
                <wp:posOffset>4300220</wp:posOffset>
              </wp:positionV>
              <wp:extent cx="7576185" cy="5997575"/>
              <wp:effectExtent l="0" t="0" r="24765" b="22225"/>
              <wp:wrapNone/>
              <wp:docPr id="1" name="Rectangle 1"/>
              <wp:cNvGraphicFramePr/>
              <a:graphic xmlns:a="http://schemas.openxmlformats.org/drawingml/2006/main">
                <a:graphicData uri="http://schemas.microsoft.com/office/word/2010/wordprocessingShape">
                  <wps:wsp>
                    <wps:cNvSpPr/>
                    <wps:spPr>
                      <a:xfrm>
                        <a:off x="0" y="0"/>
                        <a:ext cx="7576185" cy="5997575"/>
                      </a:xfrm>
                      <a:prstGeom prst="rect">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B026FF" id="Rectangle 1" o:spid="_x0000_s1026" style="position:absolute;margin-left:-36pt;margin-top:338.6pt;width:596.55pt;height:47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1rlQIAAK0FAAAOAAAAZHJzL2Uyb0RvYy54bWysVFFPGzEMfp+0/xDlfVxbUaAVV1SBmCYh&#10;QMDEc5pLeiclcZakvXa/fk5ydy0MbdK0PqTx2f5sf7F9ebXTimyF8w2Yko5PRpQIw6FqzLqk319u&#10;v1xQ4gMzFVNgREn3wtOrxedPl62diwnUoCrhCIIYP29tSesQ7LwoPK+FZv4ErDColOA0Cyi6dVE5&#10;1iK6VsVkNDorWnCVdcCF9/j1JivpIuFLKXh4kNKLQFRJMbeQTpfOVTyLxSWbrx2zdcO7NNg/ZKFZ&#10;YzDoAHXDAiMb1/wGpRvuwIMMJxx0AVI2XKQasJrx6F01zzWzItWC5Hg70OT/Hyy/3z460lT4dpQY&#10;pvGJnpA0ZtZKkHGkp7V+jlbP9tF1ksdrrHUnnY7/WAXZJUr3A6ViFwjHj+fT87PxxZQSjrrpbIby&#10;NKIWB3frfPgqQJN4KanD8IlKtr3zIZv2JjGaB9VUt41SSYh9Iq6VI1uGL7xaTzrwN1bK/N0x1YpZ&#10;HTmiFD2LyECuOd3CXomIp8yTkEgdVjlJCaemPSTDOBcmjLOqZpXIOU5H+Ouz7NNPhCTAiCyxugG7&#10;A+gtM0iPnenp7KOrSD0/OI/+lFh2HjxSZDBhcNaNAfcRgMKqusjZvicpUxNZWkG1x8ZykCfOW37b&#10;4PPeMR8emcMRw2HEtREe8JAK2pJCd6OkBvfzo+/RHjsftZS0OLIl9T82zAlK1DeDMzEbn57GGU/C&#10;6fR8goI71qyONWajrwF7Bvses0vXaB9Uf5UO9Ctul2WMiipmOMYuKQ+uF65DXiW4n7hYLpMZzrVl&#10;4c48Wx7BI6uxfV92r8zZrscDjsc99OPN5u9aPdtGTwPLTQDZpDk48NrxjTshNU63v+LSOZaT1WHL&#10;Ln4BAAD//wMAUEsDBBQABgAIAAAAIQDo+rr+3wAAAA0BAAAPAAAAZHJzL2Rvd25yZXYueG1sTI/B&#10;boMwEETvlfoP1lbqLTF2JagoJkqjNPfSqOcFu4CC1wg7QP6+zqm9zWpGs2+K3WoHNpvJ944UiG0C&#10;zFDjdE+tgvPXx+YVmA9IGgdHRsHNeNiVjw8F5tot9GnmKrQslpDPUUEXwphz7pvOWPRbNxqK3o+b&#10;LIZ4Ti3XEy6x3A5cJknKLfYUP3Q4mkNnmkt1tQoO2e0018fjd7W8vLfraU64xLNSz0/r/g1YMGv4&#10;C8MdP6JDGZlqdyXt2aBgk8m4JShIs0wCuyeEFAJYHVUqRQa8LPj/FeUvAAAA//8DAFBLAQItABQA&#10;BgAIAAAAIQC2gziS/gAAAOEBAAATAAAAAAAAAAAAAAAAAAAAAABbQ29udGVudF9UeXBlc10ueG1s&#10;UEsBAi0AFAAGAAgAAAAhADj9If/WAAAAlAEAAAsAAAAAAAAAAAAAAAAALwEAAF9yZWxzLy5yZWxz&#10;UEsBAi0AFAAGAAgAAAAhAIpGnWuVAgAArQUAAA4AAAAAAAAAAAAAAAAALgIAAGRycy9lMm9Eb2Mu&#10;eG1sUEsBAi0AFAAGAAgAAAAhAOj6uv7fAAAADQEAAA8AAAAAAAAAAAAAAAAA7wQAAGRycy9kb3du&#10;cmV2LnhtbFBLBQYAAAAABAAEAPMAAAD7BQAAAAA=&#10;" fillcolor="#e7e6e6 [3214]" strokecolor="white [3212]" strokeweight="1pt"/>
          </w:pict>
        </mc:Fallback>
      </mc:AlternateContent>
    </w:r>
    <w:r>
      <w:rPr>
        <w:rFonts w:cs="Arial"/>
        <w:noProof/>
        <w:lang w:eastAsia="en-AU"/>
      </w:rPr>
      <mc:AlternateContent>
        <mc:Choice Requires="wps">
          <w:drawing>
            <wp:anchor distT="0" distB="0" distL="114300" distR="114300" simplePos="0" relativeHeight="251657728" behindDoc="0" locked="0" layoutInCell="1" allowOverlap="1" wp14:anchorId="0F289EA4" wp14:editId="1FD4FE3D">
              <wp:simplePos x="0" y="0"/>
              <wp:positionH relativeFrom="column">
                <wp:posOffset>-457200</wp:posOffset>
              </wp:positionH>
              <wp:positionV relativeFrom="paragraph">
                <wp:posOffset>-449579</wp:posOffset>
              </wp:positionV>
              <wp:extent cx="7576457" cy="2343150"/>
              <wp:effectExtent l="0" t="0" r="24765" b="19050"/>
              <wp:wrapNone/>
              <wp:docPr id="6" name="Rectangle 6"/>
              <wp:cNvGraphicFramePr/>
              <a:graphic xmlns:a="http://schemas.openxmlformats.org/drawingml/2006/main">
                <a:graphicData uri="http://schemas.microsoft.com/office/word/2010/wordprocessingShape">
                  <wps:wsp>
                    <wps:cNvSpPr/>
                    <wps:spPr>
                      <a:xfrm>
                        <a:off x="0" y="0"/>
                        <a:ext cx="7576457" cy="2343150"/>
                      </a:xfrm>
                      <a:prstGeom prst="rect">
                        <a:avLst/>
                      </a:prstGeom>
                      <a:solidFill>
                        <a:schemeClr val="bg2">
                          <a:alpha val="3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B6BA9A" id="Rectangle 6" o:spid="_x0000_s1026" style="position:absolute;margin-left:-36pt;margin-top:-35.4pt;width:596.5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2oAIAANAFAAAOAAAAZHJzL2Uyb0RvYy54bWysVMFu2zAMvQ/YPwi6r47TJN2COkXQosOA&#10;og3aDj0rshQbkEVNUuJkXz9Ksp2s6zZgWA6KKJKP5DPJy6t9o8hOWFeDLmh+NqJEaA5lrTcF/fp8&#10;++EjJc4zXTIFWhT0IBy9Wrx/d9mauRhDBaoUliCIdvPWFLTy3syzzPFKNMydgREalRJswzyKdpOV&#10;lrWI3qhsPBrNshZsaSxw4Ry+3iQlXUR8KQX3D1I64YkqKObm42njuQ5ntrhk841lpqp5lwb7hywa&#10;VmsMOkDdMM/I1ta/QDU1t+BA+jMOTQZS1lzEGrCafPSqmqeKGRFrQXKcGWhy/w+W3+9WltRlQWeU&#10;aNbgJ3pE0pjeKEFmgZ7WuDlaPZmV7SSH11DrXtom/GMVZB8pPQyUir0nHB8vphezyfSCEo668fnk&#10;PJ9G0rOju7HOfxbQkHApqMXwkUq2u3MeQ6JpbxKiOVB1eVsrFYXQJ+JaWbJj+IXXm3FyVaZi6el8&#10;hL9QB8LErgrWSToFUvrv2HkPc3RE0OCZBZISLfHmD0oEPKUfhUR2kYiU2JBBSo5xLrTPY86uYqVI&#10;z9Pf5hwBA7JEAgbsDuBnLnrsVHpnH1xFHIvBeZSi/8l58IiRQfvBuak12LcAFFbVRU72PUmJmsDS&#10;GsoD9p6FNJTO8NsaO+COOb9iFqcQ5xU3i3/AQypoCwrdjZIK7Pe33oM9DgdqKWlxqgvqvm2ZFZSo&#10;LxrH5lM+mYQ1EAXsyzEK9lSzPtXobXMN2FY57jDD4zXYe9VfpYXmBRfQMkRFFdMcYxeUe9sL1z5t&#10;G1xhXCyX0QxH3zB/p58MD+CB1dDhz/sXZk03Bh4n6B76DcDmr6Yh2QZPDcutB1nHUTny2vGNayM2&#10;e7fiwl46laPVcREvfgAAAP//AwBQSwMEFAAGAAgAAAAhAFt0mX3eAAAADAEAAA8AAABkcnMvZG93&#10;bnJldi54bWxMj01LxDAQhu+C/yGM4G03H6Du1qaLrIh4tCviMW3GtthMSpN2u//e9KS3GeblnefJ&#10;D4vr2Yxj6DxpkFsBDKn2tqNGw8fpZbMDFqIha3pPqOGCAQ7F9VVuMuvP9I5zGRuWSihkRkMb45Bx&#10;HuoWnQlbPyCl27cfnYlpHRtuR3NO5a7nSoh77kxH6UNrBjy2WP+Uk9PwJeZushf7JvbTq5L2s7yr&#10;no9a394sT4/AIi7xLwwrfkKHIjFVfiIbWK9h86CSS1wHkRzWhFRSAqs0qP1OAS9y/l+i+AUAAP//&#10;AwBQSwECLQAUAAYACAAAACEAtoM4kv4AAADhAQAAEwAAAAAAAAAAAAAAAAAAAAAAW0NvbnRlbnRf&#10;VHlwZXNdLnhtbFBLAQItABQABgAIAAAAIQA4/SH/1gAAAJQBAAALAAAAAAAAAAAAAAAAAC8BAABf&#10;cmVscy8ucmVsc1BLAQItABQABgAIAAAAIQCn/ek2oAIAANAFAAAOAAAAAAAAAAAAAAAAAC4CAABk&#10;cnMvZTJvRG9jLnhtbFBLAQItABQABgAIAAAAIQBbdJl93gAAAAwBAAAPAAAAAAAAAAAAAAAAAPoE&#10;AABkcnMvZG93bnJldi54bWxQSwUGAAAAAAQABADzAAAABQYAAAAA&#10;" fillcolor="#e7e6e6 [3214]" strokecolor="white [3212]" strokeweight="1pt">
              <v:fill opacity="19789f"/>
            </v:rect>
          </w:pict>
        </mc:Fallback>
      </mc:AlternateContent>
    </w:r>
    <w:r w:rsidR="003A0534">
      <w:rPr>
        <w:rFonts w:cs="Arial"/>
        <w:noProof/>
      </w:rPr>
      <w:pict w14:anchorId="6CCE6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3737" o:spid="_x0000_s2049" type="#_x0000_t75" style="position:absolute;margin-left:-50.8pt;margin-top:-90.1pt;width:624.95pt;height:883.95pt;z-index:-251657728;mso-position-horizontal-relative:margin;mso-position-vertical-relative:margin" o:allowincell="f">
          <v:imagedata r:id="rId1" o:title="HEP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2172" w14:textId="3F65BBF8" w:rsidR="005D75C3" w:rsidRPr="00C07D3C" w:rsidRDefault="005D75C3" w:rsidP="00C07D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41953" w14:textId="4B562020" w:rsidR="005D75C3" w:rsidRPr="007324A9" w:rsidRDefault="005D75C3" w:rsidP="00F92847">
    <w:pPr>
      <w:spacing w:line="259" w:lineRule="auto"/>
      <w:ind w:left="360"/>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8EBFB" w14:textId="2BCA8937" w:rsidR="005D75C3" w:rsidRPr="006E7F84" w:rsidRDefault="005D75C3" w:rsidP="006A4A53">
    <w:pPr>
      <w:tabs>
        <w:tab w:val="right" w:pos="15026"/>
      </w:tabs>
      <w:spacing w:line="259" w:lineRule="auto"/>
      <w:jc w:val="right"/>
      <w:rPr>
        <w:rFonts w:cs="Arial"/>
      </w:rPr>
    </w:pPr>
    <w:r>
      <w:rPr>
        <w:rFonts w:cs="Arial"/>
      </w:rPr>
      <w:t>Table A. Environmental guideline values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B7F00" w14:textId="4EDFFA1B" w:rsidR="005D75C3" w:rsidRPr="007324A9" w:rsidRDefault="005D75C3" w:rsidP="00752938">
    <w:pPr>
      <w:spacing w:line="259" w:lineRule="auto"/>
      <w:ind w:left="1080"/>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BD41E" w14:textId="023926D0" w:rsidR="005D75C3" w:rsidRPr="006A4A53" w:rsidRDefault="005D75C3" w:rsidP="000200C5">
    <w:pPr>
      <w:jc w:val="right"/>
      <w:rPr>
        <w:lang w:val="en-US"/>
      </w:rPr>
    </w:pPr>
    <w:r>
      <w:rPr>
        <w:lang w:val="en-US"/>
      </w:rPr>
      <w:t>Table B. Soil reuse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95DAF" w14:textId="14A1C7FE" w:rsidR="005D75C3" w:rsidRPr="007324A9" w:rsidRDefault="005D75C3" w:rsidP="00752938">
    <w:pPr>
      <w:spacing w:line="259" w:lineRule="auto"/>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888DA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4253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1CF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70F5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3411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FCE0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B698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C46C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E6F8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5A6B2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462395"/>
    <w:multiLevelType w:val="hybridMultilevel"/>
    <w:tmpl w:val="A746B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B46D08"/>
    <w:multiLevelType w:val="hybridMultilevel"/>
    <w:tmpl w:val="347CE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661FAB"/>
    <w:multiLevelType w:val="hybridMultilevel"/>
    <w:tmpl w:val="8BA83A6C"/>
    <w:lvl w:ilvl="0" w:tplc="8C3C8664">
      <w:start w:val="1"/>
      <w:numFmt w:val="bullet"/>
      <w:pStyle w:val="Bullet2"/>
      <w:lvlText w:val=""/>
      <w:lvlJc w:val="left"/>
      <w:pPr>
        <w:ind w:left="1140" w:hanging="360"/>
      </w:pPr>
      <w:rPr>
        <w:rFonts w:ascii="Wingdings" w:hAnsi="Wingdings"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502551FE"/>
    <w:multiLevelType w:val="hybridMultilevel"/>
    <w:tmpl w:val="ACCA35DE"/>
    <w:lvl w:ilvl="0" w:tplc="91F87FA6">
      <w:start w:val="1"/>
      <w:numFmt w:val="upp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2A2E66"/>
    <w:multiLevelType w:val="hybridMultilevel"/>
    <w:tmpl w:val="B66E40D8"/>
    <w:lvl w:ilvl="0" w:tplc="FD6E1F6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4"/>
  </w:num>
  <w:num w:numId="4">
    <w:abstractNumId w:val="9"/>
  </w:num>
  <w:num w:numId="5">
    <w:abstractNumId w:val="13"/>
  </w:num>
  <w:num w:numId="6">
    <w:abstractNumId w:val="1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3B"/>
    <w:rsid w:val="00000B37"/>
    <w:rsid w:val="00004402"/>
    <w:rsid w:val="00007D6A"/>
    <w:rsid w:val="00012456"/>
    <w:rsid w:val="00013614"/>
    <w:rsid w:val="00014A17"/>
    <w:rsid w:val="00014C8A"/>
    <w:rsid w:val="00017E67"/>
    <w:rsid w:val="000200C5"/>
    <w:rsid w:val="00020EB7"/>
    <w:rsid w:val="00024731"/>
    <w:rsid w:val="000252F6"/>
    <w:rsid w:val="000258D7"/>
    <w:rsid w:val="000307D7"/>
    <w:rsid w:val="00031F3E"/>
    <w:rsid w:val="00033EC4"/>
    <w:rsid w:val="000354EF"/>
    <w:rsid w:val="00035760"/>
    <w:rsid w:val="00035A4D"/>
    <w:rsid w:val="000367C8"/>
    <w:rsid w:val="00037823"/>
    <w:rsid w:val="00042495"/>
    <w:rsid w:val="00042DDD"/>
    <w:rsid w:val="00043516"/>
    <w:rsid w:val="0004368C"/>
    <w:rsid w:val="000437EC"/>
    <w:rsid w:val="00044BB9"/>
    <w:rsid w:val="000458DA"/>
    <w:rsid w:val="00045928"/>
    <w:rsid w:val="00047EF7"/>
    <w:rsid w:val="00050503"/>
    <w:rsid w:val="00051C43"/>
    <w:rsid w:val="000527CB"/>
    <w:rsid w:val="000573A6"/>
    <w:rsid w:val="00057C2F"/>
    <w:rsid w:val="00063185"/>
    <w:rsid w:val="00064273"/>
    <w:rsid w:val="00071AE6"/>
    <w:rsid w:val="0007254B"/>
    <w:rsid w:val="000731DF"/>
    <w:rsid w:val="00073B26"/>
    <w:rsid w:val="00074ACB"/>
    <w:rsid w:val="00074BF4"/>
    <w:rsid w:val="00074CC3"/>
    <w:rsid w:val="00076F64"/>
    <w:rsid w:val="00077847"/>
    <w:rsid w:val="00082241"/>
    <w:rsid w:val="00083353"/>
    <w:rsid w:val="00083C8C"/>
    <w:rsid w:val="000865CE"/>
    <w:rsid w:val="000872C2"/>
    <w:rsid w:val="0009011A"/>
    <w:rsid w:val="00090596"/>
    <w:rsid w:val="00090657"/>
    <w:rsid w:val="00091336"/>
    <w:rsid w:val="00091889"/>
    <w:rsid w:val="000926B6"/>
    <w:rsid w:val="00095A90"/>
    <w:rsid w:val="00096DF1"/>
    <w:rsid w:val="00097A0E"/>
    <w:rsid w:val="000A1D9E"/>
    <w:rsid w:val="000A270A"/>
    <w:rsid w:val="000A28FA"/>
    <w:rsid w:val="000B0C8E"/>
    <w:rsid w:val="000B1A30"/>
    <w:rsid w:val="000B1CF4"/>
    <w:rsid w:val="000B23B9"/>
    <w:rsid w:val="000B366D"/>
    <w:rsid w:val="000B5702"/>
    <w:rsid w:val="000C3885"/>
    <w:rsid w:val="000C5AFA"/>
    <w:rsid w:val="000C5DCE"/>
    <w:rsid w:val="000C61C0"/>
    <w:rsid w:val="000D037E"/>
    <w:rsid w:val="000D13C8"/>
    <w:rsid w:val="000D2812"/>
    <w:rsid w:val="000D2F5A"/>
    <w:rsid w:val="000D3434"/>
    <w:rsid w:val="000D3F66"/>
    <w:rsid w:val="000E1D36"/>
    <w:rsid w:val="000E62DF"/>
    <w:rsid w:val="000E7B79"/>
    <w:rsid w:val="000F008B"/>
    <w:rsid w:val="000F0AB7"/>
    <w:rsid w:val="000F15F1"/>
    <w:rsid w:val="000F50C6"/>
    <w:rsid w:val="00102E25"/>
    <w:rsid w:val="00103A1F"/>
    <w:rsid w:val="00104BEC"/>
    <w:rsid w:val="00105368"/>
    <w:rsid w:val="001073A0"/>
    <w:rsid w:val="001078C7"/>
    <w:rsid w:val="001124F9"/>
    <w:rsid w:val="001131D3"/>
    <w:rsid w:val="00116A2F"/>
    <w:rsid w:val="00117051"/>
    <w:rsid w:val="001171AC"/>
    <w:rsid w:val="0012040D"/>
    <w:rsid w:val="001207E6"/>
    <w:rsid w:val="00120AAD"/>
    <w:rsid w:val="001237E5"/>
    <w:rsid w:val="00125577"/>
    <w:rsid w:val="00130790"/>
    <w:rsid w:val="00134378"/>
    <w:rsid w:val="00135200"/>
    <w:rsid w:val="0013713B"/>
    <w:rsid w:val="00137739"/>
    <w:rsid w:val="00140FE5"/>
    <w:rsid w:val="00141E80"/>
    <w:rsid w:val="001442CE"/>
    <w:rsid w:val="001457AD"/>
    <w:rsid w:val="001527AA"/>
    <w:rsid w:val="00153A95"/>
    <w:rsid w:val="001562A6"/>
    <w:rsid w:val="0016224D"/>
    <w:rsid w:val="0016350A"/>
    <w:rsid w:val="0016437B"/>
    <w:rsid w:val="001649D2"/>
    <w:rsid w:val="00166735"/>
    <w:rsid w:val="001671F5"/>
    <w:rsid w:val="00167922"/>
    <w:rsid w:val="00170A21"/>
    <w:rsid w:val="00171ACC"/>
    <w:rsid w:val="001734BE"/>
    <w:rsid w:val="00174A9B"/>
    <w:rsid w:val="00174D57"/>
    <w:rsid w:val="00174E49"/>
    <w:rsid w:val="00175AAE"/>
    <w:rsid w:val="001765CA"/>
    <w:rsid w:val="001801E0"/>
    <w:rsid w:val="00180D9D"/>
    <w:rsid w:val="0018115D"/>
    <w:rsid w:val="0018230C"/>
    <w:rsid w:val="00187F89"/>
    <w:rsid w:val="00191B46"/>
    <w:rsid w:val="001971D1"/>
    <w:rsid w:val="001A0B5A"/>
    <w:rsid w:val="001A0C05"/>
    <w:rsid w:val="001A35B1"/>
    <w:rsid w:val="001A3D79"/>
    <w:rsid w:val="001A4331"/>
    <w:rsid w:val="001A441F"/>
    <w:rsid w:val="001A5373"/>
    <w:rsid w:val="001A5A73"/>
    <w:rsid w:val="001A5D50"/>
    <w:rsid w:val="001A6984"/>
    <w:rsid w:val="001A6DEA"/>
    <w:rsid w:val="001B2941"/>
    <w:rsid w:val="001B2A1C"/>
    <w:rsid w:val="001B3561"/>
    <w:rsid w:val="001B468E"/>
    <w:rsid w:val="001B5712"/>
    <w:rsid w:val="001B59A9"/>
    <w:rsid w:val="001B7276"/>
    <w:rsid w:val="001B7ED5"/>
    <w:rsid w:val="001C1B19"/>
    <w:rsid w:val="001C2478"/>
    <w:rsid w:val="001C2A81"/>
    <w:rsid w:val="001C3005"/>
    <w:rsid w:val="001C3553"/>
    <w:rsid w:val="001C4089"/>
    <w:rsid w:val="001C4776"/>
    <w:rsid w:val="001C4EFE"/>
    <w:rsid w:val="001D1B08"/>
    <w:rsid w:val="001D2768"/>
    <w:rsid w:val="001D3EB2"/>
    <w:rsid w:val="001D50E8"/>
    <w:rsid w:val="001D524F"/>
    <w:rsid w:val="001D6299"/>
    <w:rsid w:val="001D6A3B"/>
    <w:rsid w:val="001D6FFC"/>
    <w:rsid w:val="001E0E26"/>
    <w:rsid w:val="001E24EF"/>
    <w:rsid w:val="001E2719"/>
    <w:rsid w:val="001E3B7C"/>
    <w:rsid w:val="001E3D6F"/>
    <w:rsid w:val="001E64A1"/>
    <w:rsid w:val="001E7853"/>
    <w:rsid w:val="001E7EF1"/>
    <w:rsid w:val="001F12C0"/>
    <w:rsid w:val="001F2932"/>
    <w:rsid w:val="001F4677"/>
    <w:rsid w:val="001F76B0"/>
    <w:rsid w:val="002000B1"/>
    <w:rsid w:val="00202D1F"/>
    <w:rsid w:val="0020362B"/>
    <w:rsid w:val="00203A89"/>
    <w:rsid w:val="002040EE"/>
    <w:rsid w:val="00206404"/>
    <w:rsid w:val="002070A4"/>
    <w:rsid w:val="00207119"/>
    <w:rsid w:val="00211744"/>
    <w:rsid w:val="00212C74"/>
    <w:rsid w:val="00213A31"/>
    <w:rsid w:val="00214FDB"/>
    <w:rsid w:val="00215BAB"/>
    <w:rsid w:val="00216A24"/>
    <w:rsid w:val="00222FF0"/>
    <w:rsid w:val="00223E0E"/>
    <w:rsid w:val="00224DFA"/>
    <w:rsid w:val="002256FA"/>
    <w:rsid w:val="00227F0D"/>
    <w:rsid w:val="002308EA"/>
    <w:rsid w:val="00230D15"/>
    <w:rsid w:val="00233330"/>
    <w:rsid w:val="0023380C"/>
    <w:rsid w:val="00236D4D"/>
    <w:rsid w:val="0023768E"/>
    <w:rsid w:val="002418B9"/>
    <w:rsid w:val="002451B8"/>
    <w:rsid w:val="00246B8E"/>
    <w:rsid w:val="0024707C"/>
    <w:rsid w:val="00252608"/>
    <w:rsid w:val="00252FE0"/>
    <w:rsid w:val="00253BCF"/>
    <w:rsid w:val="00254B13"/>
    <w:rsid w:val="002553DB"/>
    <w:rsid w:val="00255B52"/>
    <w:rsid w:val="002562EC"/>
    <w:rsid w:val="002576E5"/>
    <w:rsid w:val="0025792E"/>
    <w:rsid w:val="00257DE5"/>
    <w:rsid w:val="002615B3"/>
    <w:rsid w:val="00261EE7"/>
    <w:rsid w:val="002636AD"/>
    <w:rsid w:val="0026387C"/>
    <w:rsid w:val="00264E30"/>
    <w:rsid w:val="00266291"/>
    <w:rsid w:val="002668A9"/>
    <w:rsid w:val="002672F4"/>
    <w:rsid w:val="00270C2C"/>
    <w:rsid w:val="002717F1"/>
    <w:rsid w:val="00272F81"/>
    <w:rsid w:val="00273A29"/>
    <w:rsid w:val="002740F1"/>
    <w:rsid w:val="002750CA"/>
    <w:rsid w:val="0027580F"/>
    <w:rsid w:val="0027602F"/>
    <w:rsid w:val="00277769"/>
    <w:rsid w:val="00277BD7"/>
    <w:rsid w:val="0028068F"/>
    <w:rsid w:val="0028204E"/>
    <w:rsid w:val="0028434E"/>
    <w:rsid w:val="00284420"/>
    <w:rsid w:val="002845EF"/>
    <w:rsid w:val="0028489D"/>
    <w:rsid w:val="00285F6D"/>
    <w:rsid w:val="002902C7"/>
    <w:rsid w:val="00290989"/>
    <w:rsid w:val="002921F1"/>
    <w:rsid w:val="002923DC"/>
    <w:rsid w:val="002930DA"/>
    <w:rsid w:val="002A17D4"/>
    <w:rsid w:val="002A413E"/>
    <w:rsid w:val="002A5613"/>
    <w:rsid w:val="002A7A97"/>
    <w:rsid w:val="002A7EA8"/>
    <w:rsid w:val="002B1B35"/>
    <w:rsid w:val="002B521A"/>
    <w:rsid w:val="002B6F4D"/>
    <w:rsid w:val="002C2203"/>
    <w:rsid w:val="002C37A3"/>
    <w:rsid w:val="002C409A"/>
    <w:rsid w:val="002C57A5"/>
    <w:rsid w:val="002D1F01"/>
    <w:rsid w:val="002D315A"/>
    <w:rsid w:val="002D4974"/>
    <w:rsid w:val="002E09CF"/>
    <w:rsid w:val="002E1900"/>
    <w:rsid w:val="002E280D"/>
    <w:rsid w:val="002E3796"/>
    <w:rsid w:val="002E55E8"/>
    <w:rsid w:val="002E5F0F"/>
    <w:rsid w:val="002E7AF8"/>
    <w:rsid w:val="002F2B2C"/>
    <w:rsid w:val="002F6592"/>
    <w:rsid w:val="002F760F"/>
    <w:rsid w:val="00301742"/>
    <w:rsid w:val="003027DB"/>
    <w:rsid w:val="0030291C"/>
    <w:rsid w:val="00305605"/>
    <w:rsid w:val="00305F31"/>
    <w:rsid w:val="00306BF6"/>
    <w:rsid w:val="00306D0B"/>
    <w:rsid w:val="003073D9"/>
    <w:rsid w:val="00307950"/>
    <w:rsid w:val="00307E82"/>
    <w:rsid w:val="003120E5"/>
    <w:rsid w:val="003122D0"/>
    <w:rsid w:val="00312C0B"/>
    <w:rsid w:val="00313793"/>
    <w:rsid w:val="00313F5C"/>
    <w:rsid w:val="00314404"/>
    <w:rsid w:val="0031654F"/>
    <w:rsid w:val="00316C0A"/>
    <w:rsid w:val="00316D5E"/>
    <w:rsid w:val="00316D89"/>
    <w:rsid w:val="00316F36"/>
    <w:rsid w:val="00317E33"/>
    <w:rsid w:val="003209A5"/>
    <w:rsid w:val="00321059"/>
    <w:rsid w:val="003225CB"/>
    <w:rsid w:val="003240FF"/>
    <w:rsid w:val="0032529E"/>
    <w:rsid w:val="00326613"/>
    <w:rsid w:val="0032684A"/>
    <w:rsid w:val="00326B00"/>
    <w:rsid w:val="00326E19"/>
    <w:rsid w:val="00326F07"/>
    <w:rsid w:val="00327890"/>
    <w:rsid w:val="00327F4E"/>
    <w:rsid w:val="00330746"/>
    <w:rsid w:val="0033372C"/>
    <w:rsid w:val="00333992"/>
    <w:rsid w:val="00333E92"/>
    <w:rsid w:val="00334A0F"/>
    <w:rsid w:val="00335FEE"/>
    <w:rsid w:val="003366AA"/>
    <w:rsid w:val="00336E7D"/>
    <w:rsid w:val="00342EC9"/>
    <w:rsid w:val="00343567"/>
    <w:rsid w:val="00343675"/>
    <w:rsid w:val="00343801"/>
    <w:rsid w:val="0034414C"/>
    <w:rsid w:val="00344D02"/>
    <w:rsid w:val="00345DC2"/>
    <w:rsid w:val="00346E1D"/>
    <w:rsid w:val="00347F36"/>
    <w:rsid w:val="00351F47"/>
    <w:rsid w:val="00353062"/>
    <w:rsid w:val="00353E70"/>
    <w:rsid w:val="00361A62"/>
    <w:rsid w:val="00362B1B"/>
    <w:rsid w:val="00370163"/>
    <w:rsid w:val="00371312"/>
    <w:rsid w:val="0037243B"/>
    <w:rsid w:val="00373C27"/>
    <w:rsid w:val="00373FD4"/>
    <w:rsid w:val="00374201"/>
    <w:rsid w:val="00374455"/>
    <w:rsid w:val="0037517F"/>
    <w:rsid w:val="00377892"/>
    <w:rsid w:val="00377E6D"/>
    <w:rsid w:val="00377F19"/>
    <w:rsid w:val="00383D80"/>
    <w:rsid w:val="00390D41"/>
    <w:rsid w:val="0039148B"/>
    <w:rsid w:val="003921AD"/>
    <w:rsid w:val="00393B30"/>
    <w:rsid w:val="00395CC7"/>
    <w:rsid w:val="003A0534"/>
    <w:rsid w:val="003A10E1"/>
    <w:rsid w:val="003A1EF9"/>
    <w:rsid w:val="003A285B"/>
    <w:rsid w:val="003A295C"/>
    <w:rsid w:val="003A3498"/>
    <w:rsid w:val="003A588C"/>
    <w:rsid w:val="003A5C8F"/>
    <w:rsid w:val="003A652F"/>
    <w:rsid w:val="003A70A1"/>
    <w:rsid w:val="003B25AC"/>
    <w:rsid w:val="003B3C81"/>
    <w:rsid w:val="003B4C5C"/>
    <w:rsid w:val="003B7F23"/>
    <w:rsid w:val="003C376B"/>
    <w:rsid w:val="003C43FB"/>
    <w:rsid w:val="003C5BEC"/>
    <w:rsid w:val="003C727F"/>
    <w:rsid w:val="003C7875"/>
    <w:rsid w:val="003D1B97"/>
    <w:rsid w:val="003D3A2A"/>
    <w:rsid w:val="003D403B"/>
    <w:rsid w:val="003D4B71"/>
    <w:rsid w:val="003D662C"/>
    <w:rsid w:val="003D6AB3"/>
    <w:rsid w:val="003D7B27"/>
    <w:rsid w:val="003E0D90"/>
    <w:rsid w:val="003E135D"/>
    <w:rsid w:val="003E3699"/>
    <w:rsid w:val="003E4E06"/>
    <w:rsid w:val="003E5CD3"/>
    <w:rsid w:val="003F0747"/>
    <w:rsid w:val="003F0A8A"/>
    <w:rsid w:val="003F1B70"/>
    <w:rsid w:val="003F2D1A"/>
    <w:rsid w:val="003F4597"/>
    <w:rsid w:val="003F7052"/>
    <w:rsid w:val="00400456"/>
    <w:rsid w:val="00400F4D"/>
    <w:rsid w:val="00401C8A"/>
    <w:rsid w:val="00402E1F"/>
    <w:rsid w:val="00404415"/>
    <w:rsid w:val="004051EA"/>
    <w:rsid w:val="00406A71"/>
    <w:rsid w:val="00410CD3"/>
    <w:rsid w:val="00410D59"/>
    <w:rsid w:val="00410E97"/>
    <w:rsid w:val="00411BF7"/>
    <w:rsid w:val="004128DD"/>
    <w:rsid w:val="0041637F"/>
    <w:rsid w:val="00416892"/>
    <w:rsid w:val="004169DE"/>
    <w:rsid w:val="00416FA5"/>
    <w:rsid w:val="00420399"/>
    <w:rsid w:val="00421445"/>
    <w:rsid w:val="00421689"/>
    <w:rsid w:val="00422A20"/>
    <w:rsid w:val="0042326F"/>
    <w:rsid w:val="004243FD"/>
    <w:rsid w:val="00424E15"/>
    <w:rsid w:val="0042755F"/>
    <w:rsid w:val="0043037C"/>
    <w:rsid w:val="00430EB4"/>
    <w:rsid w:val="00431FB9"/>
    <w:rsid w:val="00433F74"/>
    <w:rsid w:val="00434FA3"/>
    <w:rsid w:val="00437D3D"/>
    <w:rsid w:val="00437EB3"/>
    <w:rsid w:val="00440381"/>
    <w:rsid w:val="0044156D"/>
    <w:rsid w:val="004441FF"/>
    <w:rsid w:val="00447BCB"/>
    <w:rsid w:val="00450076"/>
    <w:rsid w:val="00451B66"/>
    <w:rsid w:val="00452A2E"/>
    <w:rsid w:val="0045385E"/>
    <w:rsid w:val="004561D3"/>
    <w:rsid w:val="004567A2"/>
    <w:rsid w:val="00456FC6"/>
    <w:rsid w:val="0045702F"/>
    <w:rsid w:val="004607E0"/>
    <w:rsid w:val="00461249"/>
    <w:rsid w:val="00463C39"/>
    <w:rsid w:val="00464221"/>
    <w:rsid w:val="00464692"/>
    <w:rsid w:val="00465A6F"/>
    <w:rsid w:val="00466784"/>
    <w:rsid w:val="004668B0"/>
    <w:rsid w:val="00466C86"/>
    <w:rsid w:val="004716F3"/>
    <w:rsid w:val="00472E43"/>
    <w:rsid w:val="0047632D"/>
    <w:rsid w:val="00476AF5"/>
    <w:rsid w:val="00477332"/>
    <w:rsid w:val="00480551"/>
    <w:rsid w:val="0048062E"/>
    <w:rsid w:val="00480D4D"/>
    <w:rsid w:val="00480E2B"/>
    <w:rsid w:val="00481A23"/>
    <w:rsid w:val="00482217"/>
    <w:rsid w:val="00482F4F"/>
    <w:rsid w:val="0048311D"/>
    <w:rsid w:val="004864BA"/>
    <w:rsid w:val="004873F2"/>
    <w:rsid w:val="00487433"/>
    <w:rsid w:val="00490A72"/>
    <w:rsid w:val="00492584"/>
    <w:rsid w:val="00495D84"/>
    <w:rsid w:val="00495E55"/>
    <w:rsid w:val="00496A3F"/>
    <w:rsid w:val="00497C07"/>
    <w:rsid w:val="00497DE7"/>
    <w:rsid w:val="004A0732"/>
    <w:rsid w:val="004A10C9"/>
    <w:rsid w:val="004A2680"/>
    <w:rsid w:val="004A47A4"/>
    <w:rsid w:val="004B007B"/>
    <w:rsid w:val="004B5DF9"/>
    <w:rsid w:val="004B69FF"/>
    <w:rsid w:val="004B6A80"/>
    <w:rsid w:val="004C0C14"/>
    <w:rsid w:val="004C1A0A"/>
    <w:rsid w:val="004C3ED9"/>
    <w:rsid w:val="004C49D6"/>
    <w:rsid w:val="004D28F7"/>
    <w:rsid w:val="004D5A88"/>
    <w:rsid w:val="004D6602"/>
    <w:rsid w:val="004E0862"/>
    <w:rsid w:val="004E0FE8"/>
    <w:rsid w:val="004E1816"/>
    <w:rsid w:val="004E2129"/>
    <w:rsid w:val="004E2D1F"/>
    <w:rsid w:val="004E40B9"/>
    <w:rsid w:val="004E4145"/>
    <w:rsid w:val="004E66FF"/>
    <w:rsid w:val="004E6DE2"/>
    <w:rsid w:val="004E73F9"/>
    <w:rsid w:val="004F0EAD"/>
    <w:rsid w:val="004F110F"/>
    <w:rsid w:val="004F3123"/>
    <w:rsid w:val="004F5C73"/>
    <w:rsid w:val="004F7E69"/>
    <w:rsid w:val="005002DA"/>
    <w:rsid w:val="005007A7"/>
    <w:rsid w:val="00500F5B"/>
    <w:rsid w:val="0050139A"/>
    <w:rsid w:val="00501BAB"/>
    <w:rsid w:val="00501FAA"/>
    <w:rsid w:val="0050225E"/>
    <w:rsid w:val="00503FF9"/>
    <w:rsid w:val="0050428A"/>
    <w:rsid w:val="00506B07"/>
    <w:rsid w:val="0051239A"/>
    <w:rsid w:val="00513D25"/>
    <w:rsid w:val="00514E12"/>
    <w:rsid w:val="00515007"/>
    <w:rsid w:val="005152D5"/>
    <w:rsid w:val="00515D02"/>
    <w:rsid w:val="00521591"/>
    <w:rsid w:val="00522286"/>
    <w:rsid w:val="005241F0"/>
    <w:rsid w:val="00524273"/>
    <w:rsid w:val="0052555B"/>
    <w:rsid w:val="00530748"/>
    <w:rsid w:val="00530B84"/>
    <w:rsid w:val="00532BC6"/>
    <w:rsid w:val="00532F3B"/>
    <w:rsid w:val="005350CC"/>
    <w:rsid w:val="0053563F"/>
    <w:rsid w:val="005356A9"/>
    <w:rsid w:val="00537212"/>
    <w:rsid w:val="00540329"/>
    <w:rsid w:val="00545855"/>
    <w:rsid w:val="005463BC"/>
    <w:rsid w:val="00546CC2"/>
    <w:rsid w:val="005502DA"/>
    <w:rsid w:val="005503CC"/>
    <w:rsid w:val="00551619"/>
    <w:rsid w:val="005524C3"/>
    <w:rsid w:val="0055284A"/>
    <w:rsid w:val="00555097"/>
    <w:rsid w:val="00557C8E"/>
    <w:rsid w:val="00560673"/>
    <w:rsid w:val="005622D6"/>
    <w:rsid w:val="005626B8"/>
    <w:rsid w:val="00564952"/>
    <w:rsid w:val="00564EA7"/>
    <w:rsid w:val="00565B53"/>
    <w:rsid w:val="00571071"/>
    <w:rsid w:val="005713BD"/>
    <w:rsid w:val="0057234F"/>
    <w:rsid w:val="005725C2"/>
    <w:rsid w:val="00572E62"/>
    <w:rsid w:val="00577D4D"/>
    <w:rsid w:val="00583045"/>
    <w:rsid w:val="0058412A"/>
    <w:rsid w:val="00590164"/>
    <w:rsid w:val="00591067"/>
    <w:rsid w:val="00593F7B"/>
    <w:rsid w:val="00595466"/>
    <w:rsid w:val="00596F38"/>
    <w:rsid w:val="005970B4"/>
    <w:rsid w:val="005A3500"/>
    <w:rsid w:val="005A392F"/>
    <w:rsid w:val="005A66DC"/>
    <w:rsid w:val="005B1D76"/>
    <w:rsid w:val="005B2685"/>
    <w:rsid w:val="005B2DF6"/>
    <w:rsid w:val="005B4762"/>
    <w:rsid w:val="005B5A20"/>
    <w:rsid w:val="005B6783"/>
    <w:rsid w:val="005B6CB1"/>
    <w:rsid w:val="005B782A"/>
    <w:rsid w:val="005B7854"/>
    <w:rsid w:val="005C112F"/>
    <w:rsid w:val="005C1509"/>
    <w:rsid w:val="005C27A0"/>
    <w:rsid w:val="005C2C33"/>
    <w:rsid w:val="005C3D30"/>
    <w:rsid w:val="005C44FB"/>
    <w:rsid w:val="005D3AEA"/>
    <w:rsid w:val="005D4EEE"/>
    <w:rsid w:val="005D5EE3"/>
    <w:rsid w:val="005D72B6"/>
    <w:rsid w:val="005D75C3"/>
    <w:rsid w:val="005E1AED"/>
    <w:rsid w:val="005E1B1B"/>
    <w:rsid w:val="005E1C48"/>
    <w:rsid w:val="005E3F01"/>
    <w:rsid w:val="005E4F51"/>
    <w:rsid w:val="005E54CD"/>
    <w:rsid w:val="005E672D"/>
    <w:rsid w:val="005E7426"/>
    <w:rsid w:val="005F43E5"/>
    <w:rsid w:val="005F6AC4"/>
    <w:rsid w:val="005F75D4"/>
    <w:rsid w:val="005F76AF"/>
    <w:rsid w:val="005F77C3"/>
    <w:rsid w:val="006024BA"/>
    <w:rsid w:val="00605D88"/>
    <w:rsid w:val="006101E7"/>
    <w:rsid w:val="00610938"/>
    <w:rsid w:val="00613B0B"/>
    <w:rsid w:val="006148D3"/>
    <w:rsid w:val="00614F41"/>
    <w:rsid w:val="0061542C"/>
    <w:rsid w:val="006155B6"/>
    <w:rsid w:val="00617EC3"/>
    <w:rsid w:val="00625869"/>
    <w:rsid w:val="00625B33"/>
    <w:rsid w:val="00625B6D"/>
    <w:rsid w:val="0062733E"/>
    <w:rsid w:val="00633784"/>
    <w:rsid w:val="006357A5"/>
    <w:rsid w:val="00635E31"/>
    <w:rsid w:val="00635E8A"/>
    <w:rsid w:val="006410D8"/>
    <w:rsid w:val="00644D3B"/>
    <w:rsid w:val="00647EEC"/>
    <w:rsid w:val="006513A4"/>
    <w:rsid w:val="0065297C"/>
    <w:rsid w:val="006543D0"/>
    <w:rsid w:val="00654462"/>
    <w:rsid w:val="00654CA7"/>
    <w:rsid w:val="00656B42"/>
    <w:rsid w:val="006606EF"/>
    <w:rsid w:val="00661EF2"/>
    <w:rsid w:val="0066277F"/>
    <w:rsid w:val="006646E7"/>
    <w:rsid w:val="00665172"/>
    <w:rsid w:val="00665E0C"/>
    <w:rsid w:val="00675E0E"/>
    <w:rsid w:val="00680049"/>
    <w:rsid w:val="00681106"/>
    <w:rsid w:val="00683010"/>
    <w:rsid w:val="00683A3A"/>
    <w:rsid w:val="0068477F"/>
    <w:rsid w:val="006852EE"/>
    <w:rsid w:val="00691070"/>
    <w:rsid w:val="006915C5"/>
    <w:rsid w:val="006946D7"/>
    <w:rsid w:val="0069707E"/>
    <w:rsid w:val="00697865"/>
    <w:rsid w:val="006A1446"/>
    <w:rsid w:val="006A2170"/>
    <w:rsid w:val="006A251E"/>
    <w:rsid w:val="006A4A53"/>
    <w:rsid w:val="006B013C"/>
    <w:rsid w:val="006B1253"/>
    <w:rsid w:val="006B1B85"/>
    <w:rsid w:val="006B1D4E"/>
    <w:rsid w:val="006B3A71"/>
    <w:rsid w:val="006B55ED"/>
    <w:rsid w:val="006B5C98"/>
    <w:rsid w:val="006B6A8F"/>
    <w:rsid w:val="006B6C2D"/>
    <w:rsid w:val="006C0EB8"/>
    <w:rsid w:val="006C239A"/>
    <w:rsid w:val="006C39E2"/>
    <w:rsid w:val="006C3B19"/>
    <w:rsid w:val="006C797D"/>
    <w:rsid w:val="006D3397"/>
    <w:rsid w:val="006D5609"/>
    <w:rsid w:val="006D6EE7"/>
    <w:rsid w:val="006D725E"/>
    <w:rsid w:val="006D7EA3"/>
    <w:rsid w:val="006E10F3"/>
    <w:rsid w:val="006E166E"/>
    <w:rsid w:val="006E451A"/>
    <w:rsid w:val="006E5A6D"/>
    <w:rsid w:val="006E5AA8"/>
    <w:rsid w:val="006E7255"/>
    <w:rsid w:val="006E7F84"/>
    <w:rsid w:val="006F0E5D"/>
    <w:rsid w:val="006F292D"/>
    <w:rsid w:val="006F55D4"/>
    <w:rsid w:val="00700688"/>
    <w:rsid w:val="0070266D"/>
    <w:rsid w:val="00703F0D"/>
    <w:rsid w:val="00705568"/>
    <w:rsid w:val="00705B79"/>
    <w:rsid w:val="007074FE"/>
    <w:rsid w:val="00710668"/>
    <w:rsid w:val="00711505"/>
    <w:rsid w:val="00711829"/>
    <w:rsid w:val="007120B3"/>
    <w:rsid w:val="00712685"/>
    <w:rsid w:val="00712FC6"/>
    <w:rsid w:val="00715EF5"/>
    <w:rsid w:val="0071641B"/>
    <w:rsid w:val="00717A70"/>
    <w:rsid w:val="00721944"/>
    <w:rsid w:val="0072285A"/>
    <w:rsid w:val="007244B7"/>
    <w:rsid w:val="0072483E"/>
    <w:rsid w:val="007266D5"/>
    <w:rsid w:val="0072688A"/>
    <w:rsid w:val="00727752"/>
    <w:rsid w:val="007324A9"/>
    <w:rsid w:val="007335AD"/>
    <w:rsid w:val="00735B58"/>
    <w:rsid w:val="007378C5"/>
    <w:rsid w:val="007379A0"/>
    <w:rsid w:val="007416A6"/>
    <w:rsid w:val="0074259F"/>
    <w:rsid w:val="0074341A"/>
    <w:rsid w:val="007456C3"/>
    <w:rsid w:val="00745853"/>
    <w:rsid w:val="0075060B"/>
    <w:rsid w:val="00752402"/>
    <w:rsid w:val="00752583"/>
    <w:rsid w:val="00752938"/>
    <w:rsid w:val="0075454E"/>
    <w:rsid w:val="00756FF4"/>
    <w:rsid w:val="007577FD"/>
    <w:rsid w:val="00763D5D"/>
    <w:rsid w:val="00763EDF"/>
    <w:rsid w:val="0077026D"/>
    <w:rsid w:val="00772B58"/>
    <w:rsid w:val="00773FC6"/>
    <w:rsid w:val="0077424F"/>
    <w:rsid w:val="007743DE"/>
    <w:rsid w:val="0078076E"/>
    <w:rsid w:val="0078117C"/>
    <w:rsid w:val="007826BC"/>
    <w:rsid w:val="00786ED4"/>
    <w:rsid w:val="00786F06"/>
    <w:rsid w:val="00787C1E"/>
    <w:rsid w:val="00790836"/>
    <w:rsid w:val="00790C68"/>
    <w:rsid w:val="00791288"/>
    <w:rsid w:val="00791CFC"/>
    <w:rsid w:val="00792137"/>
    <w:rsid w:val="007956EC"/>
    <w:rsid w:val="007A15E9"/>
    <w:rsid w:val="007A49AF"/>
    <w:rsid w:val="007A51CC"/>
    <w:rsid w:val="007A5FA3"/>
    <w:rsid w:val="007A6983"/>
    <w:rsid w:val="007B2363"/>
    <w:rsid w:val="007B27E0"/>
    <w:rsid w:val="007B3D7F"/>
    <w:rsid w:val="007B5A96"/>
    <w:rsid w:val="007B7294"/>
    <w:rsid w:val="007C1D7B"/>
    <w:rsid w:val="007C2686"/>
    <w:rsid w:val="007C2CCF"/>
    <w:rsid w:val="007C34F3"/>
    <w:rsid w:val="007C55F1"/>
    <w:rsid w:val="007C6A77"/>
    <w:rsid w:val="007C6FC4"/>
    <w:rsid w:val="007C763D"/>
    <w:rsid w:val="007C7645"/>
    <w:rsid w:val="007D0AB4"/>
    <w:rsid w:val="007D2B74"/>
    <w:rsid w:val="007D5447"/>
    <w:rsid w:val="007D5C25"/>
    <w:rsid w:val="007E695D"/>
    <w:rsid w:val="007E7027"/>
    <w:rsid w:val="007F13C2"/>
    <w:rsid w:val="007F2D96"/>
    <w:rsid w:val="007F3EFF"/>
    <w:rsid w:val="007F4996"/>
    <w:rsid w:val="007F61B0"/>
    <w:rsid w:val="007F6E67"/>
    <w:rsid w:val="008040EF"/>
    <w:rsid w:val="00805CD6"/>
    <w:rsid w:val="008069BC"/>
    <w:rsid w:val="0081139F"/>
    <w:rsid w:val="0081339B"/>
    <w:rsid w:val="00814210"/>
    <w:rsid w:val="008142E5"/>
    <w:rsid w:val="008155E1"/>
    <w:rsid w:val="00815CD6"/>
    <w:rsid w:val="008224EF"/>
    <w:rsid w:val="00822AEE"/>
    <w:rsid w:val="008258F0"/>
    <w:rsid w:val="0083094B"/>
    <w:rsid w:val="00831EDB"/>
    <w:rsid w:val="008324A6"/>
    <w:rsid w:val="00835E6E"/>
    <w:rsid w:val="008362B2"/>
    <w:rsid w:val="00836E34"/>
    <w:rsid w:val="0084204D"/>
    <w:rsid w:val="00843AF2"/>
    <w:rsid w:val="00846A28"/>
    <w:rsid w:val="00850E81"/>
    <w:rsid w:val="0085424D"/>
    <w:rsid w:val="008560E6"/>
    <w:rsid w:val="00856941"/>
    <w:rsid w:val="00857145"/>
    <w:rsid w:val="008577D6"/>
    <w:rsid w:val="00860798"/>
    <w:rsid w:val="00861AFB"/>
    <w:rsid w:val="00861BCC"/>
    <w:rsid w:val="00862F11"/>
    <w:rsid w:val="008638B4"/>
    <w:rsid w:val="008643CF"/>
    <w:rsid w:val="008647B2"/>
    <w:rsid w:val="00865338"/>
    <w:rsid w:val="00867AAE"/>
    <w:rsid w:val="00870761"/>
    <w:rsid w:val="008713BB"/>
    <w:rsid w:val="00872208"/>
    <w:rsid w:val="00872839"/>
    <w:rsid w:val="00873833"/>
    <w:rsid w:val="00875437"/>
    <w:rsid w:val="00875A82"/>
    <w:rsid w:val="0087612D"/>
    <w:rsid w:val="00882FC8"/>
    <w:rsid w:val="00885668"/>
    <w:rsid w:val="00886426"/>
    <w:rsid w:val="008902E1"/>
    <w:rsid w:val="00890E19"/>
    <w:rsid w:val="00891B7C"/>
    <w:rsid w:val="00892A0A"/>
    <w:rsid w:val="00892A70"/>
    <w:rsid w:val="008934F7"/>
    <w:rsid w:val="008A099B"/>
    <w:rsid w:val="008A25AA"/>
    <w:rsid w:val="008A3037"/>
    <w:rsid w:val="008A3383"/>
    <w:rsid w:val="008A4E9E"/>
    <w:rsid w:val="008B0F6E"/>
    <w:rsid w:val="008B503C"/>
    <w:rsid w:val="008B6841"/>
    <w:rsid w:val="008B6A91"/>
    <w:rsid w:val="008B71C6"/>
    <w:rsid w:val="008B726A"/>
    <w:rsid w:val="008C6698"/>
    <w:rsid w:val="008C698B"/>
    <w:rsid w:val="008C753C"/>
    <w:rsid w:val="008C7BBA"/>
    <w:rsid w:val="008C7E2B"/>
    <w:rsid w:val="008D00CA"/>
    <w:rsid w:val="008D0DD9"/>
    <w:rsid w:val="008D0DE6"/>
    <w:rsid w:val="008D1BC5"/>
    <w:rsid w:val="008D473A"/>
    <w:rsid w:val="008D4933"/>
    <w:rsid w:val="008D5ACE"/>
    <w:rsid w:val="008D6ED5"/>
    <w:rsid w:val="008D70F5"/>
    <w:rsid w:val="008D7601"/>
    <w:rsid w:val="008E0121"/>
    <w:rsid w:val="008E0315"/>
    <w:rsid w:val="008E0E2B"/>
    <w:rsid w:val="008E6137"/>
    <w:rsid w:val="008E6297"/>
    <w:rsid w:val="008E644D"/>
    <w:rsid w:val="008E64AC"/>
    <w:rsid w:val="008E7299"/>
    <w:rsid w:val="008F094F"/>
    <w:rsid w:val="008F0DDB"/>
    <w:rsid w:val="0090056D"/>
    <w:rsid w:val="00900FA7"/>
    <w:rsid w:val="00901146"/>
    <w:rsid w:val="00903722"/>
    <w:rsid w:val="00905D34"/>
    <w:rsid w:val="00906E8E"/>
    <w:rsid w:val="00914BDD"/>
    <w:rsid w:val="00920810"/>
    <w:rsid w:val="009215C8"/>
    <w:rsid w:val="009215F3"/>
    <w:rsid w:val="00921D45"/>
    <w:rsid w:val="00922B7B"/>
    <w:rsid w:val="00922C11"/>
    <w:rsid w:val="00923560"/>
    <w:rsid w:val="00923B9B"/>
    <w:rsid w:val="00930915"/>
    <w:rsid w:val="00931114"/>
    <w:rsid w:val="00931462"/>
    <w:rsid w:val="00933016"/>
    <w:rsid w:val="009356A8"/>
    <w:rsid w:val="00940975"/>
    <w:rsid w:val="00941BDD"/>
    <w:rsid w:val="00941E08"/>
    <w:rsid w:val="0095095B"/>
    <w:rsid w:val="00950C6F"/>
    <w:rsid w:val="00953266"/>
    <w:rsid w:val="0096360F"/>
    <w:rsid w:val="0096543B"/>
    <w:rsid w:val="00967279"/>
    <w:rsid w:val="00970334"/>
    <w:rsid w:val="00970761"/>
    <w:rsid w:val="00973473"/>
    <w:rsid w:val="0097444A"/>
    <w:rsid w:val="00975E06"/>
    <w:rsid w:val="00976DAC"/>
    <w:rsid w:val="009800FA"/>
    <w:rsid w:val="009801B3"/>
    <w:rsid w:val="00980446"/>
    <w:rsid w:val="00981A08"/>
    <w:rsid w:val="009827ED"/>
    <w:rsid w:val="00985648"/>
    <w:rsid w:val="00986924"/>
    <w:rsid w:val="00986D2E"/>
    <w:rsid w:val="00986E6C"/>
    <w:rsid w:val="009873FC"/>
    <w:rsid w:val="00991435"/>
    <w:rsid w:val="0099450A"/>
    <w:rsid w:val="0099558E"/>
    <w:rsid w:val="009961E9"/>
    <w:rsid w:val="00997BA2"/>
    <w:rsid w:val="009A071D"/>
    <w:rsid w:val="009A07C5"/>
    <w:rsid w:val="009A1021"/>
    <w:rsid w:val="009A1D3C"/>
    <w:rsid w:val="009A2D8B"/>
    <w:rsid w:val="009A380A"/>
    <w:rsid w:val="009A3945"/>
    <w:rsid w:val="009A41BE"/>
    <w:rsid w:val="009A51C6"/>
    <w:rsid w:val="009A71BF"/>
    <w:rsid w:val="009A74E2"/>
    <w:rsid w:val="009A7714"/>
    <w:rsid w:val="009B075B"/>
    <w:rsid w:val="009B5F3C"/>
    <w:rsid w:val="009C0B9D"/>
    <w:rsid w:val="009C2B4A"/>
    <w:rsid w:val="009C2BD0"/>
    <w:rsid w:val="009C58C5"/>
    <w:rsid w:val="009D0CB0"/>
    <w:rsid w:val="009D1DB9"/>
    <w:rsid w:val="009D31E8"/>
    <w:rsid w:val="009D364F"/>
    <w:rsid w:val="009D373C"/>
    <w:rsid w:val="009D45A2"/>
    <w:rsid w:val="009D520A"/>
    <w:rsid w:val="009D6F76"/>
    <w:rsid w:val="009D7202"/>
    <w:rsid w:val="009D7CEC"/>
    <w:rsid w:val="009E2336"/>
    <w:rsid w:val="009E23DB"/>
    <w:rsid w:val="009E5CA4"/>
    <w:rsid w:val="009E6E44"/>
    <w:rsid w:val="009F16CE"/>
    <w:rsid w:val="009F56ED"/>
    <w:rsid w:val="009F70E0"/>
    <w:rsid w:val="00A00418"/>
    <w:rsid w:val="00A00A6E"/>
    <w:rsid w:val="00A04FEE"/>
    <w:rsid w:val="00A0631F"/>
    <w:rsid w:val="00A067A8"/>
    <w:rsid w:val="00A068E7"/>
    <w:rsid w:val="00A07473"/>
    <w:rsid w:val="00A076FE"/>
    <w:rsid w:val="00A10C1E"/>
    <w:rsid w:val="00A10EFE"/>
    <w:rsid w:val="00A11C41"/>
    <w:rsid w:val="00A126A5"/>
    <w:rsid w:val="00A13E48"/>
    <w:rsid w:val="00A15479"/>
    <w:rsid w:val="00A16CE6"/>
    <w:rsid w:val="00A1757A"/>
    <w:rsid w:val="00A20C54"/>
    <w:rsid w:val="00A217E3"/>
    <w:rsid w:val="00A21F73"/>
    <w:rsid w:val="00A237D8"/>
    <w:rsid w:val="00A25DD0"/>
    <w:rsid w:val="00A32F56"/>
    <w:rsid w:val="00A443B7"/>
    <w:rsid w:val="00A45644"/>
    <w:rsid w:val="00A47643"/>
    <w:rsid w:val="00A51769"/>
    <w:rsid w:val="00A51B45"/>
    <w:rsid w:val="00A51EE9"/>
    <w:rsid w:val="00A53FD1"/>
    <w:rsid w:val="00A56567"/>
    <w:rsid w:val="00A576C3"/>
    <w:rsid w:val="00A57B9F"/>
    <w:rsid w:val="00A605D5"/>
    <w:rsid w:val="00A60906"/>
    <w:rsid w:val="00A61860"/>
    <w:rsid w:val="00A6292E"/>
    <w:rsid w:val="00A63CBD"/>
    <w:rsid w:val="00A63E05"/>
    <w:rsid w:val="00A63F5B"/>
    <w:rsid w:val="00A71252"/>
    <w:rsid w:val="00A75037"/>
    <w:rsid w:val="00A764B2"/>
    <w:rsid w:val="00A76CC8"/>
    <w:rsid w:val="00A773DF"/>
    <w:rsid w:val="00A77ABC"/>
    <w:rsid w:val="00A80DE8"/>
    <w:rsid w:val="00A81ADD"/>
    <w:rsid w:val="00A82E94"/>
    <w:rsid w:val="00A8368F"/>
    <w:rsid w:val="00A8426E"/>
    <w:rsid w:val="00A84F22"/>
    <w:rsid w:val="00A85013"/>
    <w:rsid w:val="00A855C2"/>
    <w:rsid w:val="00A87BA9"/>
    <w:rsid w:val="00A905B8"/>
    <w:rsid w:val="00A9079A"/>
    <w:rsid w:val="00A91329"/>
    <w:rsid w:val="00A92089"/>
    <w:rsid w:val="00A922E7"/>
    <w:rsid w:val="00A940D0"/>
    <w:rsid w:val="00A957ED"/>
    <w:rsid w:val="00A95ECD"/>
    <w:rsid w:val="00A97469"/>
    <w:rsid w:val="00A977A2"/>
    <w:rsid w:val="00AA49D5"/>
    <w:rsid w:val="00AA5735"/>
    <w:rsid w:val="00AA64AE"/>
    <w:rsid w:val="00AB23D7"/>
    <w:rsid w:val="00AB4261"/>
    <w:rsid w:val="00AB45F7"/>
    <w:rsid w:val="00AB7C16"/>
    <w:rsid w:val="00AC1C7B"/>
    <w:rsid w:val="00AC299A"/>
    <w:rsid w:val="00AC44CC"/>
    <w:rsid w:val="00AC4CDB"/>
    <w:rsid w:val="00AC6982"/>
    <w:rsid w:val="00AC7B45"/>
    <w:rsid w:val="00AD016F"/>
    <w:rsid w:val="00AD066D"/>
    <w:rsid w:val="00AD3075"/>
    <w:rsid w:val="00AD36A1"/>
    <w:rsid w:val="00AD4F65"/>
    <w:rsid w:val="00AD767B"/>
    <w:rsid w:val="00AE11F4"/>
    <w:rsid w:val="00AE2492"/>
    <w:rsid w:val="00AE2B85"/>
    <w:rsid w:val="00AE4D61"/>
    <w:rsid w:val="00AE6FF1"/>
    <w:rsid w:val="00AF2F8F"/>
    <w:rsid w:val="00AF5B8C"/>
    <w:rsid w:val="00AF65F2"/>
    <w:rsid w:val="00B00915"/>
    <w:rsid w:val="00B015E5"/>
    <w:rsid w:val="00B03B3B"/>
    <w:rsid w:val="00B0415F"/>
    <w:rsid w:val="00B07FDB"/>
    <w:rsid w:val="00B113BE"/>
    <w:rsid w:val="00B15ABB"/>
    <w:rsid w:val="00B17001"/>
    <w:rsid w:val="00B17CF5"/>
    <w:rsid w:val="00B214B1"/>
    <w:rsid w:val="00B2345C"/>
    <w:rsid w:val="00B26220"/>
    <w:rsid w:val="00B30101"/>
    <w:rsid w:val="00B30D28"/>
    <w:rsid w:val="00B34DC1"/>
    <w:rsid w:val="00B35021"/>
    <w:rsid w:val="00B356C9"/>
    <w:rsid w:val="00B40699"/>
    <w:rsid w:val="00B41F05"/>
    <w:rsid w:val="00B434C7"/>
    <w:rsid w:val="00B45E10"/>
    <w:rsid w:val="00B50233"/>
    <w:rsid w:val="00B511EE"/>
    <w:rsid w:val="00B5171C"/>
    <w:rsid w:val="00B5205C"/>
    <w:rsid w:val="00B52377"/>
    <w:rsid w:val="00B533CA"/>
    <w:rsid w:val="00B60EB4"/>
    <w:rsid w:val="00B619D6"/>
    <w:rsid w:val="00B623BF"/>
    <w:rsid w:val="00B63E2B"/>
    <w:rsid w:val="00B67B2C"/>
    <w:rsid w:val="00B726AF"/>
    <w:rsid w:val="00B74D74"/>
    <w:rsid w:val="00B75BA5"/>
    <w:rsid w:val="00B77994"/>
    <w:rsid w:val="00B8069E"/>
    <w:rsid w:val="00B80970"/>
    <w:rsid w:val="00B81173"/>
    <w:rsid w:val="00B816B5"/>
    <w:rsid w:val="00B82D74"/>
    <w:rsid w:val="00B834D5"/>
    <w:rsid w:val="00B83F45"/>
    <w:rsid w:val="00B8473A"/>
    <w:rsid w:val="00B84935"/>
    <w:rsid w:val="00B851E4"/>
    <w:rsid w:val="00B95142"/>
    <w:rsid w:val="00B970C3"/>
    <w:rsid w:val="00BA266E"/>
    <w:rsid w:val="00BA37E9"/>
    <w:rsid w:val="00BA53EB"/>
    <w:rsid w:val="00BA6BA6"/>
    <w:rsid w:val="00BA6D1C"/>
    <w:rsid w:val="00BA6F18"/>
    <w:rsid w:val="00BA79D8"/>
    <w:rsid w:val="00BB1FFC"/>
    <w:rsid w:val="00BB397A"/>
    <w:rsid w:val="00BB6A14"/>
    <w:rsid w:val="00BB7781"/>
    <w:rsid w:val="00BC02E0"/>
    <w:rsid w:val="00BC1973"/>
    <w:rsid w:val="00BC2FEC"/>
    <w:rsid w:val="00BC6141"/>
    <w:rsid w:val="00BC6571"/>
    <w:rsid w:val="00BC736C"/>
    <w:rsid w:val="00BC73D1"/>
    <w:rsid w:val="00BC7992"/>
    <w:rsid w:val="00BD09DD"/>
    <w:rsid w:val="00BD17DA"/>
    <w:rsid w:val="00BD23C0"/>
    <w:rsid w:val="00BD517F"/>
    <w:rsid w:val="00BD5FAE"/>
    <w:rsid w:val="00BD785A"/>
    <w:rsid w:val="00BE0B81"/>
    <w:rsid w:val="00BE4557"/>
    <w:rsid w:val="00BE6FD0"/>
    <w:rsid w:val="00BE7C37"/>
    <w:rsid w:val="00BF17E5"/>
    <w:rsid w:val="00BF3CCD"/>
    <w:rsid w:val="00BF593F"/>
    <w:rsid w:val="00BF5FD9"/>
    <w:rsid w:val="00BF6EAB"/>
    <w:rsid w:val="00C001ED"/>
    <w:rsid w:val="00C00A2E"/>
    <w:rsid w:val="00C0213D"/>
    <w:rsid w:val="00C03024"/>
    <w:rsid w:val="00C04EFE"/>
    <w:rsid w:val="00C0538E"/>
    <w:rsid w:val="00C068B3"/>
    <w:rsid w:val="00C06FA4"/>
    <w:rsid w:val="00C0710F"/>
    <w:rsid w:val="00C07D3C"/>
    <w:rsid w:val="00C16573"/>
    <w:rsid w:val="00C1672B"/>
    <w:rsid w:val="00C16F12"/>
    <w:rsid w:val="00C20954"/>
    <w:rsid w:val="00C21972"/>
    <w:rsid w:val="00C21B76"/>
    <w:rsid w:val="00C23401"/>
    <w:rsid w:val="00C25F0D"/>
    <w:rsid w:val="00C261F3"/>
    <w:rsid w:val="00C33D5F"/>
    <w:rsid w:val="00C36741"/>
    <w:rsid w:val="00C37EDE"/>
    <w:rsid w:val="00C40851"/>
    <w:rsid w:val="00C4130B"/>
    <w:rsid w:val="00C41882"/>
    <w:rsid w:val="00C4200A"/>
    <w:rsid w:val="00C42C7A"/>
    <w:rsid w:val="00C43187"/>
    <w:rsid w:val="00C436C6"/>
    <w:rsid w:val="00C44388"/>
    <w:rsid w:val="00C5039E"/>
    <w:rsid w:val="00C51E80"/>
    <w:rsid w:val="00C561B9"/>
    <w:rsid w:val="00C6297A"/>
    <w:rsid w:val="00C66BF0"/>
    <w:rsid w:val="00C67298"/>
    <w:rsid w:val="00C70E2C"/>
    <w:rsid w:val="00C70FF3"/>
    <w:rsid w:val="00C7415D"/>
    <w:rsid w:val="00C74160"/>
    <w:rsid w:val="00C741A9"/>
    <w:rsid w:val="00C75CAF"/>
    <w:rsid w:val="00C772D1"/>
    <w:rsid w:val="00C7736F"/>
    <w:rsid w:val="00C77CEE"/>
    <w:rsid w:val="00C80EEF"/>
    <w:rsid w:val="00C8195E"/>
    <w:rsid w:val="00C82251"/>
    <w:rsid w:val="00C83FEA"/>
    <w:rsid w:val="00C84F60"/>
    <w:rsid w:val="00C85569"/>
    <w:rsid w:val="00C855FA"/>
    <w:rsid w:val="00C85BDD"/>
    <w:rsid w:val="00C85DAD"/>
    <w:rsid w:val="00C86185"/>
    <w:rsid w:val="00C87A11"/>
    <w:rsid w:val="00C87BC6"/>
    <w:rsid w:val="00C93E77"/>
    <w:rsid w:val="00C942EB"/>
    <w:rsid w:val="00C94429"/>
    <w:rsid w:val="00C94C18"/>
    <w:rsid w:val="00C95E04"/>
    <w:rsid w:val="00C96451"/>
    <w:rsid w:val="00CA1E6B"/>
    <w:rsid w:val="00CA212B"/>
    <w:rsid w:val="00CA213E"/>
    <w:rsid w:val="00CA3F82"/>
    <w:rsid w:val="00CA56D3"/>
    <w:rsid w:val="00CA705C"/>
    <w:rsid w:val="00CB1BE3"/>
    <w:rsid w:val="00CB4510"/>
    <w:rsid w:val="00CB5BCE"/>
    <w:rsid w:val="00CB754C"/>
    <w:rsid w:val="00CC0A5C"/>
    <w:rsid w:val="00CC6AD9"/>
    <w:rsid w:val="00CC72B7"/>
    <w:rsid w:val="00CD0747"/>
    <w:rsid w:val="00CD2DAA"/>
    <w:rsid w:val="00CD3B7F"/>
    <w:rsid w:val="00CD4AFA"/>
    <w:rsid w:val="00CD4CA4"/>
    <w:rsid w:val="00CD6BE2"/>
    <w:rsid w:val="00CE0A75"/>
    <w:rsid w:val="00CE2328"/>
    <w:rsid w:val="00CE5972"/>
    <w:rsid w:val="00CF0020"/>
    <w:rsid w:val="00CF1DD4"/>
    <w:rsid w:val="00CF1F05"/>
    <w:rsid w:val="00CF22EC"/>
    <w:rsid w:val="00CF4458"/>
    <w:rsid w:val="00CF7506"/>
    <w:rsid w:val="00D00BB4"/>
    <w:rsid w:val="00D03761"/>
    <w:rsid w:val="00D06AC1"/>
    <w:rsid w:val="00D106C0"/>
    <w:rsid w:val="00D1101C"/>
    <w:rsid w:val="00D13499"/>
    <w:rsid w:val="00D14AFC"/>
    <w:rsid w:val="00D2008E"/>
    <w:rsid w:val="00D204C7"/>
    <w:rsid w:val="00D21289"/>
    <w:rsid w:val="00D21AC5"/>
    <w:rsid w:val="00D21C14"/>
    <w:rsid w:val="00D23043"/>
    <w:rsid w:val="00D231DC"/>
    <w:rsid w:val="00D237F0"/>
    <w:rsid w:val="00D26AA2"/>
    <w:rsid w:val="00D2796D"/>
    <w:rsid w:val="00D327F5"/>
    <w:rsid w:val="00D33163"/>
    <w:rsid w:val="00D371B7"/>
    <w:rsid w:val="00D401F9"/>
    <w:rsid w:val="00D40FB6"/>
    <w:rsid w:val="00D41685"/>
    <w:rsid w:val="00D43BE2"/>
    <w:rsid w:val="00D43D2F"/>
    <w:rsid w:val="00D444FD"/>
    <w:rsid w:val="00D4483C"/>
    <w:rsid w:val="00D4528C"/>
    <w:rsid w:val="00D46390"/>
    <w:rsid w:val="00D46B8F"/>
    <w:rsid w:val="00D51D40"/>
    <w:rsid w:val="00D525DC"/>
    <w:rsid w:val="00D532DA"/>
    <w:rsid w:val="00D540E7"/>
    <w:rsid w:val="00D601CE"/>
    <w:rsid w:val="00D6109B"/>
    <w:rsid w:val="00D61B59"/>
    <w:rsid w:val="00D6691B"/>
    <w:rsid w:val="00D66ECB"/>
    <w:rsid w:val="00D67D63"/>
    <w:rsid w:val="00D72550"/>
    <w:rsid w:val="00D75095"/>
    <w:rsid w:val="00D75E07"/>
    <w:rsid w:val="00D76345"/>
    <w:rsid w:val="00D81240"/>
    <w:rsid w:val="00D83E74"/>
    <w:rsid w:val="00D83F8A"/>
    <w:rsid w:val="00D86B5C"/>
    <w:rsid w:val="00D87246"/>
    <w:rsid w:val="00D9027B"/>
    <w:rsid w:val="00D93CBB"/>
    <w:rsid w:val="00D94717"/>
    <w:rsid w:val="00D94EE1"/>
    <w:rsid w:val="00D95C64"/>
    <w:rsid w:val="00D96A6B"/>
    <w:rsid w:val="00D96C1D"/>
    <w:rsid w:val="00D970C2"/>
    <w:rsid w:val="00DA120B"/>
    <w:rsid w:val="00DA130A"/>
    <w:rsid w:val="00DA2704"/>
    <w:rsid w:val="00DA480C"/>
    <w:rsid w:val="00DA62E7"/>
    <w:rsid w:val="00DA7722"/>
    <w:rsid w:val="00DB002D"/>
    <w:rsid w:val="00DB10DA"/>
    <w:rsid w:val="00DB1169"/>
    <w:rsid w:val="00DB3FCF"/>
    <w:rsid w:val="00DB53D9"/>
    <w:rsid w:val="00DB6512"/>
    <w:rsid w:val="00DB6877"/>
    <w:rsid w:val="00DB7533"/>
    <w:rsid w:val="00DC0FE0"/>
    <w:rsid w:val="00DC19D0"/>
    <w:rsid w:val="00DC44B1"/>
    <w:rsid w:val="00DC5818"/>
    <w:rsid w:val="00DC5CAB"/>
    <w:rsid w:val="00DC7150"/>
    <w:rsid w:val="00DD01AB"/>
    <w:rsid w:val="00DD15F8"/>
    <w:rsid w:val="00DD17DC"/>
    <w:rsid w:val="00DD1CF5"/>
    <w:rsid w:val="00DD3217"/>
    <w:rsid w:val="00DD4731"/>
    <w:rsid w:val="00DD5620"/>
    <w:rsid w:val="00DD7D3B"/>
    <w:rsid w:val="00DD7D87"/>
    <w:rsid w:val="00DE277A"/>
    <w:rsid w:val="00DE4CA8"/>
    <w:rsid w:val="00DE5DF2"/>
    <w:rsid w:val="00DF3A5C"/>
    <w:rsid w:val="00DF64A3"/>
    <w:rsid w:val="00DF76CA"/>
    <w:rsid w:val="00E0636C"/>
    <w:rsid w:val="00E06DB2"/>
    <w:rsid w:val="00E076A3"/>
    <w:rsid w:val="00E10DB1"/>
    <w:rsid w:val="00E13A68"/>
    <w:rsid w:val="00E161D9"/>
    <w:rsid w:val="00E17606"/>
    <w:rsid w:val="00E2149C"/>
    <w:rsid w:val="00E21C31"/>
    <w:rsid w:val="00E244F7"/>
    <w:rsid w:val="00E24A73"/>
    <w:rsid w:val="00E24BE4"/>
    <w:rsid w:val="00E25305"/>
    <w:rsid w:val="00E254FA"/>
    <w:rsid w:val="00E256C6"/>
    <w:rsid w:val="00E265A5"/>
    <w:rsid w:val="00E3023B"/>
    <w:rsid w:val="00E30EEE"/>
    <w:rsid w:val="00E32B1B"/>
    <w:rsid w:val="00E334DD"/>
    <w:rsid w:val="00E3448F"/>
    <w:rsid w:val="00E34927"/>
    <w:rsid w:val="00E357FE"/>
    <w:rsid w:val="00E4017D"/>
    <w:rsid w:val="00E405C9"/>
    <w:rsid w:val="00E415F4"/>
    <w:rsid w:val="00E4164F"/>
    <w:rsid w:val="00E41D73"/>
    <w:rsid w:val="00E45881"/>
    <w:rsid w:val="00E46625"/>
    <w:rsid w:val="00E5094B"/>
    <w:rsid w:val="00E50EA9"/>
    <w:rsid w:val="00E53F82"/>
    <w:rsid w:val="00E544CE"/>
    <w:rsid w:val="00E568DC"/>
    <w:rsid w:val="00E60CCC"/>
    <w:rsid w:val="00E62B39"/>
    <w:rsid w:val="00E6303E"/>
    <w:rsid w:val="00E70E1F"/>
    <w:rsid w:val="00E7152F"/>
    <w:rsid w:val="00E73FD8"/>
    <w:rsid w:val="00E74F36"/>
    <w:rsid w:val="00E75F40"/>
    <w:rsid w:val="00E76BD4"/>
    <w:rsid w:val="00E7719D"/>
    <w:rsid w:val="00E80056"/>
    <w:rsid w:val="00E82939"/>
    <w:rsid w:val="00E83845"/>
    <w:rsid w:val="00E87322"/>
    <w:rsid w:val="00E87649"/>
    <w:rsid w:val="00E87930"/>
    <w:rsid w:val="00E87D5C"/>
    <w:rsid w:val="00E915EC"/>
    <w:rsid w:val="00E94027"/>
    <w:rsid w:val="00E9725C"/>
    <w:rsid w:val="00E97425"/>
    <w:rsid w:val="00EA1223"/>
    <w:rsid w:val="00EA225A"/>
    <w:rsid w:val="00EA25E1"/>
    <w:rsid w:val="00EA303A"/>
    <w:rsid w:val="00EA41A3"/>
    <w:rsid w:val="00EA433C"/>
    <w:rsid w:val="00EA73E4"/>
    <w:rsid w:val="00EB4217"/>
    <w:rsid w:val="00EB4876"/>
    <w:rsid w:val="00EB6DAC"/>
    <w:rsid w:val="00EB723A"/>
    <w:rsid w:val="00EB7588"/>
    <w:rsid w:val="00EC1143"/>
    <w:rsid w:val="00EC117B"/>
    <w:rsid w:val="00EC31AA"/>
    <w:rsid w:val="00EC66FE"/>
    <w:rsid w:val="00ED4A65"/>
    <w:rsid w:val="00ED7E01"/>
    <w:rsid w:val="00EE0C6D"/>
    <w:rsid w:val="00EE1538"/>
    <w:rsid w:val="00EE16BD"/>
    <w:rsid w:val="00EE256A"/>
    <w:rsid w:val="00EE7A56"/>
    <w:rsid w:val="00EF20FA"/>
    <w:rsid w:val="00EF280B"/>
    <w:rsid w:val="00EF533A"/>
    <w:rsid w:val="00EF5533"/>
    <w:rsid w:val="00EF5F53"/>
    <w:rsid w:val="00EF7131"/>
    <w:rsid w:val="00F0430A"/>
    <w:rsid w:val="00F05753"/>
    <w:rsid w:val="00F10360"/>
    <w:rsid w:val="00F11FC5"/>
    <w:rsid w:val="00F12571"/>
    <w:rsid w:val="00F20E13"/>
    <w:rsid w:val="00F223B3"/>
    <w:rsid w:val="00F22860"/>
    <w:rsid w:val="00F232CE"/>
    <w:rsid w:val="00F23D14"/>
    <w:rsid w:val="00F23DFE"/>
    <w:rsid w:val="00F24305"/>
    <w:rsid w:val="00F24366"/>
    <w:rsid w:val="00F30EC5"/>
    <w:rsid w:val="00F30F79"/>
    <w:rsid w:val="00F321B6"/>
    <w:rsid w:val="00F358AA"/>
    <w:rsid w:val="00F367B4"/>
    <w:rsid w:val="00F3751C"/>
    <w:rsid w:val="00F40625"/>
    <w:rsid w:val="00F42ED6"/>
    <w:rsid w:val="00F46EA1"/>
    <w:rsid w:val="00F47C15"/>
    <w:rsid w:val="00F50F63"/>
    <w:rsid w:val="00F5267E"/>
    <w:rsid w:val="00F528AE"/>
    <w:rsid w:val="00F53DB0"/>
    <w:rsid w:val="00F5713A"/>
    <w:rsid w:val="00F61563"/>
    <w:rsid w:val="00F61F06"/>
    <w:rsid w:val="00F623D4"/>
    <w:rsid w:val="00F63632"/>
    <w:rsid w:val="00F6454C"/>
    <w:rsid w:val="00F70163"/>
    <w:rsid w:val="00F73A2D"/>
    <w:rsid w:val="00F77D0F"/>
    <w:rsid w:val="00F8112C"/>
    <w:rsid w:val="00F83A78"/>
    <w:rsid w:val="00F842B2"/>
    <w:rsid w:val="00F84659"/>
    <w:rsid w:val="00F84718"/>
    <w:rsid w:val="00F86C37"/>
    <w:rsid w:val="00F92847"/>
    <w:rsid w:val="00F93333"/>
    <w:rsid w:val="00F951D0"/>
    <w:rsid w:val="00FA1AC2"/>
    <w:rsid w:val="00FA1B85"/>
    <w:rsid w:val="00FA37EC"/>
    <w:rsid w:val="00FA5A37"/>
    <w:rsid w:val="00FB1E9B"/>
    <w:rsid w:val="00FB3315"/>
    <w:rsid w:val="00FB3F5B"/>
    <w:rsid w:val="00FB417A"/>
    <w:rsid w:val="00FB4FC9"/>
    <w:rsid w:val="00FB57A8"/>
    <w:rsid w:val="00FB664E"/>
    <w:rsid w:val="00FB68B5"/>
    <w:rsid w:val="00FB692D"/>
    <w:rsid w:val="00FB74DA"/>
    <w:rsid w:val="00FB7935"/>
    <w:rsid w:val="00FC07E4"/>
    <w:rsid w:val="00FC094C"/>
    <w:rsid w:val="00FC27A9"/>
    <w:rsid w:val="00FC2C26"/>
    <w:rsid w:val="00FC47F9"/>
    <w:rsid w:val="00FC634B"/>
    <w:rsid w:val="00FC6F38"/>
    <w:rsid w:val="00FD208C"/>
    <w:rsid w:val="00FD21C4"/>
    <w:rsid w:val="00FD2D18"/>
    <w:rsid w:val="00FD38ED"/>
    <w:rsid w:val="00FD4BCD"/>
    <w:rsid w:val="00FD509C"/>
    <w:rsid w:val="00FD573C"/>
    <w:rsid w:val="00FD58FE"/>
    <w:rsid w:val="00FD7D29"/>
    <w:rsid w:val="00FE1318"/>
    <w:rsid w:val="00FE13BA"/>
    <w:rsid w:val="00FE2F44"/>
    <w:rsid w:val="00FE442D"/>
    <w:rsid w:val="00FE559E"/>
    <w:rsid w:val="00FE62E6"/>
    <w:rsid w:val="00FE7AF7"/>
    <w:rsid w:val="00FF0573"/>
    <w:rsid w:val="00FF1FB6"/>
    <w:rsid w:val="00FF3DD7"/>
    <w:rsid w:val="00FF5773"/>
    <w:rsid w:val="00FF581F"/>
    <w:rsid w:val="00FF59E0"/>
    <w:rsid w:val="00FF6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B656C8"/>
  <w15:chartTrackingRefBased/>
  <w15:docId w15:val="{C78D49D8-686E-4E77-A1F2-F2FE62D8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4EF"/>
    <w:pPr>
      <w:spacing w:after="200" w:line="276" w:lineRule="auto"/>
    </w:pPr>
    <w:rPr>
      <w:rFonts w:ascii="Arial" w:hAnsi="Arial" w:cs="Times New Roman"/>
    </w:rPr>
  </w:style>
  <w:style w:type="paragraph" w:styleId="Heading1">
    <w:name w:val="heading 1"/>
    <w:basedOn w:val="Normal"/>
    <w:next w:val="Normal"/>
    <w:link w:val="Heading1Char"/>
    <w:autoRedefine/>
    <w:uiPriority w:val="9"/>
    <w:qFormat/>
    <w:rsid w:val="000A1D9E"/>
    <w:pPr>
      <w:keepNext/>
      <w:keepLines/>
      <w:spacing w:beforeLines="200" w:before="480" w:afterLines="200" w:after="480"/>
      <w:outlineLvl w:val="0"/>
    </w:pPr>
    <w:rPr>
      <w:rFonts w:cstheme="majorBidi"/>
      <w:b/>
      <w:color w:val="00B374"/>
      <w:sz w:val="32"/>
      <w:szCs w:val="32"/>
    </w:rPr>
  </w:style>
  <w:style w:type="paragraph" w:styleId="Heading2">
    <w:name w:val="heading 2"/>
    <w:basedOn w:val="Normal"/>
    <w:next w:val="Normal"/>
    <w:link w:val="Heading2Char"/>
    <w:autoRedefine/>
    <w:uiPriority w:val="9"/>
    <w:unhideWhenUsed/>
    <w:qFormat/>
    <w:rsid w:val="00EF20FA"/>
    <w:pPr>
      <w:keepNext/>
      <w:keepLines/>
      <w:spacing w:before="40"/>
      <w:outlineLvl w:val="1"/>
    </w:pPr>
    <w:rPr>
      <w:rFonts w:eastAsiaTheme="majorEastAsia" w:cstheme="majorBidi"/>
      <w:color w:val="00B050"/>
      <w:szCs w:val="26"/>
      <w:lang w:val="en" w:eastAsia="en-AU"/>
    </w:rPr>
  </w:style>
  <w:style w:type="paragraph" w:styleId="Heading3">
    <w:name w:val="heading 3"/>
    <w:basedOn w:val="Normal"/>
    <w:next w:val="Normal"/>
    <w:link w:val="Heading3Char"/>
    <w:uiPriority w:val="9"/>
    <w:semiHidden/>
    <w:unhideWhenUsed/>
    <w:qFormat/>
    <w:rsid w:val="009D1D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35E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35E8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35E8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35E8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35E8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E8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9E"/>
    <w:rPr>
      <w:rFonts w:ascii="Arial" w:hAnsi="Arial" w:cstheme="majorBidi"/>
      <w:b/>
      <w:color w:val="00B374"/>
      <w:sz w:val="32"/>
      <w:szCs w:val="32"/>
    </w:rPr>
  </w:style>
  <w:style w:type="character" w:customStyle="1" w:styleId="Heading2Char">
    <w:name w:val="Heading 2 Char"/>
    <w:basedOn w:val="DefaultParagraphFont"/>
    <w:link w:val="Heading2"/>
    <w:uiPriority w:val="9"/>
    <w:rsid w:val="00EF20FA"/>
    <w:rPr>
      <w:rFonts w:ascii="Arial" w:eastAsiaTheme="majorEastAsia" w:hAnsi="Arial" w:cstheme="majorBidi"/>
      <w:color w:val="00B050"/>
      <w:szCs w:val="26"/>
      <w:lang w:val="en" w:eastAsia="en-AU"/>
    </w:rPr>
  </w:style>
  <w:style w:type="character" w:customStyle="1" w:styleId="Heading3Char">
    <w:name w:val="Heading 3 Char"/>
    <w:basedOn w:val="DefaultParagraphFont"/>
    <w:link w:val="Heading3"/>
    <w:uiPriority w:val="9"/>
    <w:semiHidden/>
    <w:rsid w:val="009D1DB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25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D7"/>
    <w:rPr>
      <w:rFonts w:ascii="Segoe UI" w:hAnsi="Segoe UI" w:cs="Segoe UI"/>
      <w:sz w:val="18"/>
      <w:szCs w:val="18"/>
    </w:rPr>
  </w:style>
  <w:style w:type="paragraph" w:styleId="ListParagraph">
    <w:name w:val="List Paragraph"/>
    <w:basedOn w:val="Normal"/>
    <w:autoRedefine/>
    <w:uiPriority w:val="34"/>
    <w:qFormat/>
    <w:rsid w:val="00095A90"/>
    <w:pPr>
      <w:ind w:left="720" w:hanging="360"/>
    </w:pPr>
    <w:rPr>
      <w:sz w:val="20"/>
    </w:rPr>
  </w:style>
  <w:style w:type="paragraph" w:styleId="Header">
    <w:name w:val="header"/>
    <w:basedOn w:val="Normal"/>
    <w:link w:val="HeaderChar"/>
    <w:uiPriority w:val="99"/>
    <w:unhideWhenUsed/>
    <w:rsid w:val="003C376B"/>
    <w:pPr>
      <w:tabs>
        <w:tab w:val="center" w:pos="4680"/>
        <w:tab w:val="right" w:pos="9360"/>
      </w:tabs>
    </w:pPr>
  </w:style>
  <w:style w:type="character" w:customStyle="1" w:styleId="HeaderChar">
    <w:name w:val="Header Char"/>
    <w:basedOn w:val="DefaultParagraphFont"/>
    <w:link w:val="Header"/>
    <w:uiPriority w:val="99"/>
    <w:rsid w:val="003C376B"/>
    <w:rPr>
      <w:rFonts w:ascii="Calibri" w:hAnsi="Calibri" w:cs="Times New Roman"/>
    </w:rPr>
  </w:style>
  <w:style w:type="paragraph" w:styleId="Footer">
    <w:name w:val="footer"/>
    <w:basedOn w:val="Normal"/>
    <w:link w:val="FooterChar"/>
    <w:uiPriority w:val="99"/>
    <w:unhideWhenUsed/>
    <w:rsid w:val="003C376B"/>
    <w:pPr>
      <w:tabs>
        <w:tab w:val="center" w:pos="4680"/>
        <w:tab w:val="right" w:pos="9360"/>
      </w:tabs>
    </w:pPr>
  </w:style>
  <w:style w:type="character" w:customStyle="1" w:styleId="FooterChar">
    <w:name w:val="Footer Char"/>
    <w:basedOn w:val="DefaultParagraphFont"/>
    <w:link w:val="Footer"/>
    <w:uiPriority w:val="99"/>
    <w:rsid w:val="003C376B"/>
    <w:rPr>
      <w:rFonts w:ascii="Calibri" w:hAnsi="Calibri" w:cs="Times New Roman"/>
    </w:rPr>
  </w:style>
  <w:style w:type="character" w:styleId="CommentReference">
    <w:name w:val="annotation reference"/>
    <w:basedOn w:val="DefaultParagraphFont"/>
    <w:uiPriority w:val="99"/>
    <w:semiHidden/>
    <w:unhideWhenUsed/>
    <w:rsid w:val="004F5C73"/>
    <w:rPr>
      <w:sz w:val="16"/>
      <w:szCs w:val="16"/>
    </w:rPr>
  </w:style>
  <w:style w:type="paragraph" w:styleId="CommentText">
    <w:name w:val="annotation text"/>
    <w:basedOn w:val="Normal"/>
    <w:link w:val="CommentTextChar"/>
    <w:uiPriority w:val="99"/>
    <w:unhideWhenUsed/>
    <w:rsid w:val="004F5C73"/>
    <w:rPr>
      <w:sz w:val="20"/>
      <w:szCs w:val="20"/>
    </w:rPr>
  </w:style>
  <w:style w:type="character" w:customStyle="1" w:styleId="CommentTextChar">
    <w:name w:val="Comment Text Char"/>
    <w:basedOn w:val="DefaultParagraphFont"/>
    <w:link w:val="CommentText"/>
    <w:uiPriority w:val="99"/>
    <w:rsid w:val="004F5C7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5C73"/>
    <w:rPr>
      <w:b/>
      <w:bCs/>
    </w:rPr>
  </w:style>
  <w:style w:type="character" w:customStyle="1" w:styleId="CommentSubjectChar">
    <w:name w:val="Comment Subject Char"/>
    <w:basedOn w:val="CommentTextChar"/>
    <w:link w:val="CommentSubject"/>
    <w:uiPriority w:val="99"/>
    <w:semiHidden/>
    <w:rsid w:val="004F5C73"/>
    <w:rPr>
      <w:rFonts w:ascii="Calibri" w:hAnsi="Calibri" w:cs="Times New Roman"/>
      <w:b/>
      <w:bCs/>
      <w:sz w:val="20"/>
      <w:szCs w:val="20"/>
    </w:rPr>
  </w:style>
  <w:style w:type="paragraph" w:styleId="TOCHeading">
    <w:name w:val="TOC Heading"/>
    <w:basedOn w:val="Heading1"/>
    <w:next w:val="Normal"/>
    <w:uiPriority w:val="39"/>
    <w:unhideWhenUsed/>
    <w:qFormat/>
    <w:rsid w:val="009E2336"/>
    <w:pPr>
      <w:spacing w:line="259" w:lineRule="auto"/>
      <w:outlineLvl w:val="9"/>
    </w:pPr>
    <w:rPr>
      <w:lang w:val="en-US"/>
    </w:rPr>
  </w:style>
  <w:style w:type="paragraph" w:styleId="TOC1">
    <w:name w:val="toc 1"/>
    <w:basedOn w:val="Normal"/>
    <w:next w:val="Normal"/>
    <w:autoRedefine/>
    <w:uiPriority w:val="39"/>
    <w:unhideWhenUsed/>
    <w:rsid w:val="00AD767B"/>
    <w:pPr>
      <w:tabs>
        <w:tab w:val="left" w:pos="440"/>
        <w:tab w:val="right" w:leader="dot" w:pos="10457"/>
      </w:tabs>
      <w:spacing w:after="100"/>
    </w:pPr>
  </w:style>
  <w:style w:type="character" w:styleId="Hyperlink">
    <w:name w:val="Hyperlink"/>
    <w:basedOn w:val="DefaultParagraphFont"/>
    <w:uiPriority w:val="99"/>
    <w:unhideWhenUsed/>
    <w:rsid w:val="009E2336"/>
    <w:rPr>
      <w:color w:val="0563C1" w:themeColor="hyperlink"/>
      <w:u w:val="single"/>
    </w:rPr>
  </w:style>
  <w:style w:type="table" w:styleId="TableGrid">
    <w:name w:val="Table Grid"/>
    <w:basedOn w:val="TableNormal"/>
    <w:uiPriority w:val="59"/>
    <w:rsid w:val="00031F3E"/>
    <w:pPr>
      <w:spacing w:after="0" w:line="240" w:lineRule="auto"/>
    </w:pPr>
    <w:rPr>
      <w:rFonts w:ascii="Arial" w:eastAsia="Times New Roman"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Default">
    <w:name w:val="Default"/>
    <w:rsid w:val="009A3945"/>
    <w:pPr>
      <w:autoSpaceDE w:val="0"/>
      <w:autoSpaceDN w:val="0"/>
      <w:adjustRightInd w:val="0"/>
      <w:spacing w:after="0" w:line="240" w:lineRule="auto"/>
    </w:pPr>
    <w:rPr>
      <w:rFonts w:ascii="Arial" w:hAnsi="Arial" w:cs="Arial"/>
      <w:color w:val="000000"/>
      <w:sz w:val="24"/>
      <w:szCs w:val="24"/>
    </w:rPr>
  </w:style>
  <w:style w:type="paragraph" w:customStyle="1" w:styleId="Head3">
    <w:name w:val="Head 3"/>
    <w:basedOn w:val="Normal"/>
    <w:qFormat/>
    <w:rsid w:val="00BC7992"/>
    <w:pPr>
      <w:spacing w:after="160" w:line="259" w:lineRule="auto"/>
    </w:pPr>
    <w:rPr>
      <w:rFonts w:cs="Arial"/>
      <w:i/>
      <w:color w:val="00B050"/>
    </w:rPr>
  </w:style>
  <w:style w:type="paragraph" w:customStyle="1" w:styleId="bullet1">
    <w:name w:val="bullet1"/>
    <w:basedOn w:val="Normal"/>
    <w:qFormat/>
    <w:rsid w:val="002000B1"/>
    <w:pPr>
      <w:numPr>
        <w:numId w:val="3"/>
      </w:numPr>
    </w:pPr>
    <w:rPr>
      <w:rFonts w:cs="Arial"/>
      <w:sz w:val="20"/>
      <w:szCs w:val="20"/>
    </w:rPr>
  </w:style>
  <w:style w:type="paragraph" w:styleId="Revision">
    <w:name w:val="Revision"/>
    <w:hidden/>
    <w:uiPriority w:val="99"/>
    <w:semiHidden/>
    <w:rsid w:val="00253BCF"/>
    <w:pPr>
      <w:spacing w:after="0" w:line="240" w:lineRule="auto"/>
    </w:pPr>
    <w:rPr>
      <w:rFonts w:ascii="Calibri" w:hAnsi="Calibri" w:cs="Times New Roman"/>
    </w:rPr>
  </w:style>
  <w:style w:type="paragraph" w:styleId="ListBullet">
    <w:name w:val="List Bullet"/>
    <w:basedOn w:val="Normal"/>
    <w:link w:val="ListBulletChar"/>
    <w:uiPriority w:val="99"/>
    <w:unhideWhenUsed/>
    <w:rsid w:val="00F232CE"/>
    <w:pPr>
      <w:numPr>
        <w:numId w:val="4"/>
      </w:numPr>
      <w:contextualSpacing/>
    </w:pPr>
  </w:style>
  <w:style w:type="character" w:customStyle="1" w:styleId="ListBulletChar">
    <w:name w:val="List Bullet Char"/>
    <w:basedOn w:val="DefaultParagraphFont"/>
    <w:link w:val="ListBullet"/>
    <w:uiPriority w:val="99"/>
    <w:rsid w:val="000354EF"/>
    <w:rPr>
      <w:rFonts w:ascii="Arial" w:hAnsi="Arial" w:cs="Times New Roman"/>
    </w:rPr>
  </w:style>
  <w:style w:type="paragraph" w:customStyle="1" w:styleId="ListLetters">
    <w:name w:val="List Letters"/>
    <w:basedOn w:val="ListBullet"/>
    <w:link w:val="ListLettersChar"/>
    <w:autoRedefine/>
    <w:qFormat/>
    <w:rsid w:val="000354EF"/>
    <w:pPr>
      <w:numPr>
        <w:numId w:val="5"/>
      </w:numPr>
    </w:pPr>
    <w:rPr>
      <w:lang w:val="en" w:eastAsia="en-AU"/>
    </w:rPr>
  </w:style>
  <w:style w:type="character" w:customStyle="1" w:styleId="ListLettersChar">
    <w:name w:val="List Letters Char"/>
    <w:basedOn w:val="ListBulletChar"/>
    <w:link w:val="ListLetters"/>
    <w:rsid w:val="000354EF"/>
    <w:rPr>
      <w:rFonts w:ascii="Arial" w:hAnsi="Arial" w:cs="Times New Roman"/>
      <w:lang w:val="en" w:eastAsia="en-AU"/>
    </w:rPr>
  </w:style>
  <w:style w:type="paragraph" w:styleId="TOC2">
    <w:name w:val="toc 2"/>
    <w:basedOn w:val="Normal"/>
    <w:next w:val="Normal"/>
    <w:autoRedefine/>
    <w:uiPriority w:val="39"/>
    <w:unhideWhenUsed/>
    <w:rsid w:val="00AA64AE"/>
    <w:pPr>
      <w:spacing w:after="100"/>
      <w:ind w:left="220"/>
    </w:pPr>
  </w:style>
  <w:style w:type="numbering" w:customStyle="1" w:styleId="NoList1">
    <w:name w:val="No List1"/>
    <w:next w:val="NoList"/>
    <w:uiPriority w:val="99"/>
    <w:semiHidden/>
    <w:unhideWhenUsed/>
    <w:rsid w:val="004D28F7"/>
  </w:style>
  <w:style w:type="numbering" w:customStyle="1" w:styleId="NoList11">
    <w:name w:val="No List11"/>
    <w:next w:val="NoList"/>
    <w:uiPriority w:val="99"/>
    <w:semiHidden/>
    <w:unhideWhenUsed/>
    <w:rsid w:val="004D28F7"/>
  </w:style>
  <w:style w:type="character" w:styleId="FollowedHyperlink">
    <w:name w:val="FollowedHyperlink"/>
    <w:basedOn w:val="DefaultParagraphFont"/>
    <w:uiPriority w:val="99"/>
    <w:semiHidden/>
    <w:unhideWhenUsed/>
    <w:rsid w:val="004D28F7"/>
    <w:rPr>
      <w:color w:val="954F72" w:themeColor="followedHyperlink"/>
      <w:u w:val="single"/>
    </w:rPr>
  </w:style>
  <w:style w:type="paragraph" w:customStyle="1" w:styleId="HighlightnotinTOC">
    <w:name w:val="Highlight not in TOC"/>
    <w:basedOn w:val="Heading2"/>
    <w:link w:val="HighlightnotinTOCChar"/>
    <w:autoRedefine/>
    <w:qFormat/>
    <w:rsid w:val="00875A82"/>
    <w:pPr>
      <w:outlineLvl w:val="9"/>
    </w:pPr>
  </w:style>
  <w:style w:type="paragraph" w:customStyle="1" w:styleId="HighlightitalicnotinTOC">
    <w:name w:val="Highlight italic not in TOC"/>
    <w:basedOn w:val="HighlightnotinTOC"/>
    <w:link w:val="HighlightitalicnotinTOCChar"/>
    <w:autoRedefine/>
    <w:qFormat/>
    <w:rsid w:val="00875A82"/>
    <w:rPr>
      <w:i/>
    </w:rPr>
  </w:style>
  <w:style w:type="character" w:customStyle="1" w:styleId="HighlightnotinTOCChar">
    <w:name w:val="Highlight not in TOC Char"/>
    <w:basedOn w:val="Heading2Char"/>
    <w:link w:val="HighlightnotinTOC"/>
    <w:rsid w:val="00875A82"/>
    <w:rPr>
      <w:rFonts w:ascii="Arial" w:eastAsiaTheme="majorEastAsia" w:hAnsi="Arial" w:cstheme="majorBidi"/>
      <w:color w:val="00B050"/>
      <w:szCs w:val="26"/>
      <w:lang w:val="en" w:eastAsia="en-AU"/>
    </w:rPr>
  </w:style>
  <w:style w:type="character" w:customStyle="1" w:styleId="HighlightitalicnotinTOCChar">
    <w:name w:val="Highlight italic not in TOC Char"/>
    <w:basedOn w:val="HighlightnotinTOCChar"/>
    <w:link w:val="HighlightitalicnotinTOC"/>
    <w:rsid w:val="00875A82"/>
    <w:rPr>
      <w:rFonts w:ascii="Arial" w:eastAsiaTheme="majorEastAsia" w:hAnsi="Arial" w:cstheme="majorBidi"/>
      <w:i/>
      <w:color w:val="00B050"/>
      <w:szCs w:val="26"/>
      <w:lang w:val="en" w:eastAsia="en-AU"/>
    </w:rPr>
  </w:style>
  <w:style w:type="paragraph" w:styleId="FootnoteText">
    <w:name w:val="footnote text"/>
    <w:basedOn w:val="Normal"/>
    <w:link w:val="FootnoteTextChar"/>
    <w:uiPriority w:val="99"/>
    <w:semiHidden/>
    <w:unhideWhenUsed/>
    <w:rsid w:val="003921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1AD"/>
    <w:rPr>
      <w:rFonts w:ascii="Arial" w:hAnsi="Arial" w:cs="Times New Roman"/>
      <w:sz w:val="20"/>
      <w:szCs w:val="20"/>
    </w:rPr>
  </w:style>
  <w:style w:type="character" w:styleId="FootnoteReference">
    <w:name w:val="footnote reference"/>
    <w:basedOn w:val="DefaultParagraphFont"/>
    <w:uiPriority w:val="99"/>
    <w:semiHidden/>
    <w:unhideWhenUsed/>
    <w:rsid w:val="003921AD"/>
    <w:rPr>
      <w:vertAlign w:val="superscript"/>
    </w:rPr>
  </w:style>
  <w:style w:type="paragraph" w:styleId="NormalWeb">
    <w:name w:val="Normal (Web)"/>
    <w:basedOn w:val="Normal"/>
    <w:uiPriority w:val="99"/>
    <w:semiHidden/>
    <w:unhideWhenUsed/>
    <w:rsid w:val="003921AD"/>
    <w:pPr>
      <w:spacing w:after="180" w:line="240" w:lineRule="auto"/>
      <w:textAlignment w:val="baseline"/>
    </w:pPr>
    <w:rPr>
      <w:rFonts w:ascii="Times New Roman" w:eastAsia="Times New Roman" w:hAnsi="Times New Roman"/>
      <w:sz w:val="24"/>
      <w:szCs w:val="24"/>
      <w:lang w:eastAsia="en-AU"/>
    </w:rPr>
  </w:style>
  <w:style w:type="character" w:styleId="Emphasis">
    <w:name w:val="Emphasis"/>
    <w:basedOn w:val="DefaultParagraphFont"/>
    <w:uiPriority w:val="20"/>
    <w:qFormat/>
    <w:rsid w:val="0074341A"/>
    <w:rPr>
      <w:i/>
      <w:iCs/>
    </w:rPr>
  </w:style>
  <w:style w:type="paragraph" w:customStyle="1" w:styleId="Bullet2">
    <w:name w:val="Bullet2"/>
    <w:basedOn w:val="Normal"/>
    <w:qFormat/>
    <w:rsid w:val="00EC66FE"/>
    <w:pPr>
      <w:numPr>
        <w:numId w:val="6"/>
      </w:numPr>
      <w:spacing w:after="120" w:line="259" w:lineRule="auto"/>
    </w:pPr>
    <w:rPr>
      <w:rFonts w:eastAsia="MS Mincho" w:cs="Arial"/>
      <w:sz w:val="24"/>
      <w:szCs w:val="24"/>
    </w:rPr>
  </w:style>
  <w:style w:type="paragraph" w:customStyle="1" w:styleId="Head2">
    <w:name w:val="Head2"/>
    <w:basedOn w:val="Normal"/>
    <w:qFormat/>
    <w:rsid w:val="00EC66FE"/>
    <w:pPr>
      <w:keepNext/>
      <w:keepLines/>
      <w:tabs>
        <w:tab w:val="center" w:pos="5386"/>
      </w:tabs>
      <w:spacing w:line="259" w:lineRule="auto"/>
      <w:outlineLvl w:val="0"/>
    </w:pPr>
    <w:rPr>
      <w:rFonts w:eastAsia="Times New Roman" w:cs="Arial"/>
      <w:b/>
      <w:bCs/>
      <w:kern w:val="28"/>
      <w:sz w:val="24"/>
      <w:szCs w:val="24"/>
    </w:rPr>
  </w:style>
  <w:style w:type="paragraph" w:customStyle="1" w:styleId="xl67">
    <w:name w:val="xl67"/>
    <w:basedOn w:val="Normal"/>
    <w:rsid w:val="005725C2"/>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xl68">
    <w:name w:val="xl68"/>
    <w:basedOn w:val="Normal"/>
    <w:rsid w:val="005725C2"/>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xl69">
    <w:name w:val="xl69"/>
    <w:basedOn w:val="Normal"/>
    <w:rsid w:val="005725C2"/>
    <w:pPr>
      <w:spacing w:before="100" w:beforeAutospacing="1" w:after="100" w:afterAutospacing="1" w:line="240" w:lineRule="auto"/>
      <w:textAlignment w:val="top"/>
    </w:pPr>
    <w:rPr>
      <w:rFonts w:ascii="Times New Roman" w:eastAsia="Times New Roman" w:hAnsi="Times New Roman"/>
      <w:sz w:val="24"/>
      <w:szCs w:val="24"/>
      <w:lang w:eastAsia="en-AU"/>
    </w:rPr>
  </w:style>
  <w:style w:type="paragraph" w:customStyle="1" w:styleId="xl70">
    <w:name w:val="xl70"/>
    <w:basedOn w:val="Normal"/>
    <w:rsid w:val="005725C2"/>
    <w:pPr>
      <w:spacing w:before="100" w:beforeAutospacing="1" w:after="100" w:afterAutospacing="1" w:line="240" w:lineRule="auto"/>
      <w:textAlignment w:val="top"/>
    </w:pPr>
    <w:rPr>
      <w:rFonts w:eastAsia="Times New Roman" w:cs="Arial"/>
      <w:sz w:val="24"/>
      <w:szCs w:val="24"/>
      <w:lang w:eastAsia="en-AU"/>
    </w:rPr>
  </w:style>
  <w:style w:type="paragraph" w:customStyle="1" w:styleId="xl71">
    <w:name w:val="xl71"/>
    <w:basedOn w:val="Normal"/>
    <w:rsid w:val="005725C2"/>
    <w:pPr>
      <w:spacing w:before="100" w:beforeAutospacing="1" w:after="100" w:afterAutospacing="1" w:line="240" w:lineRule="auto"/>
      <w:textAlignment w:val="top"/>
    </w:pPr>
    <w:rPr>
      <w:rFonts w:eastAsia="Times New Roman" w:cs="Arial"/>
      <w:sz w:val="24"/>
      <w:szCs w:val="24"/>
      <w:lang w:eastAsia="en-AU"/>
    </w:rPr>
  </w:style>
  <w:style w:type="paragraph" w:customStyle="1" w:styleId="xl72">
    <w:name w:val="xl72"/>
    <w:basedOn w:val="Normal"/>
    <w:rsid w:val="005725C2"/>
    <w:pPr>
      <w:spacing w:before="100" w:beforeAutospacing="1" w:after="100" w:afterAutospacing="1" w:line="240" w:lineRule="auto"/>
      <w:textAlignment w:val="top"/>
    </w:pPr>
    <w:rPr>
      <w:rFonts w:ascii="Times New Roman" w:eastAsia="Times New Roman" w:hAnsi="Times New Roman"/>
      <w:sz w:val="24"/>
      <w:szCs w:val="24"/>
      <w:lang w:eastAsia="en-AU"/>
    </w:rPr>
  </w:style>
  <w:style w:type="paragraph" w:customStyle="1" w:styleId="xl73">
    <w:name w:val="xl73"/>
    <w:basedOn w:val="Normal"/>
    <w:rsid w:val="005725C2"/>
    <w:pPr>
      <w:spacing w:before="100" w:beforeAutospacing="1" w:after="100" w:afterAutospacing="1" w:line="240" w:lineRule="auto"/>
      <w:textAlignment w:val="top"/>
    </w:pPr>
    <w:rPr>
      <w:rFonts w:ascii="Times New Roman" w:eastAsia="Times New Roman" w:hAnsi="Times New Roman"/>
      <w:sz w:val="24"/>
      <w:szCs w:val="24"/>
      <w:lang w:eastAsia="en-AU"/>
    </w:rPr>
  </w:style>
  <w:style w:type="paragraph" w:customStyle="1" w:styleId="xl74">
    <w:name w:val="xl74"/>
    <w:basedOn w:val="Normal"/>
    <w:rsid w:val="005725C2"/>
    <w:pPr>
      <w:spacing w:before="100" w:beforeAutospacing="1" w:after="100" w:afterAutospacing="1" w:line="240" w:lineRule="auto"/>
      <w:textAlignment w:val="top"/>
    </w:pPr>
    <w:rPr>
      <w:rFonts w:eastAsia="Times New Roman" w:cs="Arial"/>
      <w:sz w:val="24"/>
      <w:szCs w:val="24"/>
      <w:lang w:eastAsia="en-AU"/>
    </w:rPr>
  </w:style>
  <w:style w:type="paragraph" w:customStyle="1" w:styleId="xl75">
    <w:name w:val="xl75"/>
    <w:basedOn w:val="Normal"/>
    <w:rsid w:val="005725C2"/>
    <w:pPr>
      <w:spacing w:before="100" w:beforeAutospacing="1" w:after="100" w:afterAutospacing="1" w:line="240" w:lineRule="auto"/>
      <w:textAlignment w:val="top"/>
    </w:pPr>
    <w:rPr>
      <w:rFonts w:eastAsia="Times New Roman" w:cs="Arial"/>
      <w:sz w:val="24"/>
      <w:szCs w:val="24"/>
      <w:lang w:eastAsia="en-AU"/>
    </w:rPr>
  </w:style>
  <w:style w:type="paragraph" w:customStyle="1" w:styleId="xl66">
    <w:name w:val="xl66"/>
    <w:basedOn w:val="Normal"/>
    <w:rsid w:val="005725C2"/>
    <w:pPr>
      <w:spacing w:before="100" w:beforeAutospacing="1" w:after="100" w:afterAutospacing="1" w:line="240" w:lineRule="auto"/>
    </w:pPr>
    <w:rPr>
      <w:rFonts w:ascii="Times New Roman" w:eastAsia="Times New Roman" w:hAnsi="Times New Roman"/>
      <w:sz w:val="24"/>
      <w:szCs w:val="24"/>
      <w:lang w:eastAsia="en-AU"/>
    </w:rPr>
  </w:style>
  <w:style w:type="paragraph" w:styleId="Title">
    <w:name w:val="Title"/>
    <w:basedOn w:val="Normal"/>
    <w:next w:val="Normal"/>
    <w:link w:val="TitleChar"/>
    <w:uiPriority w:val="10"/>
    <w:qFormat/>
    <w:rsid w:val="000D34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434"/>
    <w:rPr>
      <w:rFonts w:asciiTheme="majorHAnsi" w:eastAsiaTheme="majorEastAsia" w:hAnsiTheme="majorHAnsi" w:cstheme="majorBidi"/>
      <w:spacing w:val="-10"/>
      <w:kern w:val="28"/>
      <w:sz w:val="56"/>
      <w:szCs w:val="56"/>
    </w:rPr>
  </w:style>
  <w:style w:type="paragraph" w:customStyle="1" w:styleId="msonormal0">
    <w:name w:val="msonormal"/>
    <w:basedOn w:val="Normal"/>
    <w:rsid w:val="00DB10D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xl65">
    <w:name w:val="xl65"/>
    <w:basedOn w:val="Normal"/>
    <w:rsid w:val="00DB10DA"/>
    <w:pPr>
      <w:spacing w:before="100" w:beforeAutospacing="1" w:after="100" w:afterAutospacing="1" w:line="240" w:lineRule="auto"/>
      <w:textAlignment w:val="top"/>
    </w:pPr>
    <w:rPr>
      <w:rFonts w:eastAsia="Times New Roman" w:cs="Arial"/>
      <w:sz w:val="20"/>
      <w:szCs w:val="20"/>
      <w:lang w:eastAsia="en-AU"/>
    </w:rPr>
  </w:style>
  <w:style w:type="paragraph" w:customStyle="1" w:styleId="font5">
    <w:name w:val="font5"/>
    <w:basedOn w:val="Normal"/>
    <w:rsid w:val="00E41D73"/>
    <w:pPr>
      <w:spacing w:before="100" w:beforeAutospacing="1" w:after="100" w:afterAutospacing="1" w:line="240" w:lineRule="auto"/>
    </w:pPr>
    <w:rPr>
      <w:rFonts w:ascii="Calibri" w:eastAsia="Times New Roman" w:hAnsi="Calibri" w:cs="Calibri"/>
      <w:sz w:val="20"/>
      <w:szCs w:val="20"/>
      <w:lang w:eastAsia="en-AU"/>
    </w:rPr>
  </w:style>
  <w:style w:type="paragraph" w:customStyle="1" w:styleId="font6">
    <w:name w:val="font6"/>
    <w:basedOn w:val="Normal"/>
    <w:rsid w:val="00E41D73"/>
    <w:pPr>
      <w:spacing w:before="100" w:beforeAutospacing="1" w:after="100" w:afterAutospacing="1" w:line="240" w:lineRule="auto"/>
    </w:pPr>
    <w:rPr>
      <w:rFonts w:ascii="Calibri" w:eastAsia="Times New Roman" w:hAnsi="Calibri" w:cs="Calibri"/>
      <w:sz w:val="20"/>
      <w:szCs w:val="20"/>
      <w:u w:val="single"/>
      <w:lang w:eastAsia="en-AU"/>
    </w:rPr>
  </w:style>
  <w:style w:type="character" w:styleId="SubtleReference">
    <w:name w:val="Subtle Reference"/>
    <w:uiPriority w:val="31"/>
    <w:qFormat/>
    <w:rsid w:val="00307E82"/>
    <w:rPr>
      <w:bCs/>
      <w:color w:val="00B274"/>
      <w:sz w:val="28"/>
      <w:szCs w:val="28"/>
      <w14:shadow w14:blurRad="25400" w14:dist="76200" w14:dir="5400000" w14:sx="0" w14:sy="0" w14:kx="0" w14:ky="0" w14:algn="ctr">
        <w14:srgbClr w14:val="00B050"/>
      </w14:shadow>
    </w:rPr>
  </w:style>
  <w:style w:type="character" w:customStyle="1" w:styleId="UnresolvedMention">
    <w:name w:val="Unresolved Mention"/>
    <w:basedOn w:val="DefaultParagraphFont"/>
    <w:uiPriority w:val="99"/>
    <w:semiHidden/>
    <w:unhideWhenUsed/>
    <w:rsid w:val="00450076"/>
    <w:rPr>
      <w:color w:val="605E5C"/>
      <w:shd w:val="clear" w:color="auto" w:fill="E1DFDD"/>
    </w:rPr>
  </w:style>
  <w:style w:type="paragraph" w:styleId="Bibliography">
    <w:name w:val="Bibliography"/>
    <w:basedOn w:val="Normal"/>
    <w:next w:val="Normal"/>
    <w:uiPriority w:val="37"/>
    <w:semiHidden/>
    <w:unhideWhenUsed/>
    <w:rsid w:val="00635E8A"/>
  </w:style>
  <w:style w:type="paragraph" w:styleId="BlockText">
    <w:name w:val="Block Text"/>
    <w:basedOn w:val="Normal"/>
    <w:uiPriority w:val="99"/>
    <w:semiHidden/>
    <w:unhideWhenUsed/>
    <w:rsid w:val="00635E8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635E8A"/>
    <w:pPr>
      <w:spacing w:after="120"/>
    </w:pPr>
  </w:style>
  <w:style w:type="character" w:customStyle="1" w:styleId="BodyTextChar">
    <w:name w:val="Body Text Char"/>
    <w:basedOn w:val="DefaultParagraphFont"/>
    <w:link w:val="BodyText"/>
    <w:uiPriority w:val="99"/>
    <w:semiHidden/>
    <w:rsid w:val="00635E8A"/>
    <w:rPr>
      <w:rFonts w:ascii="Arial" w:hAnsi="Arial" w:cs="Times New Roman"/>
    </w:rPr>
  </w:style>
  <w:style w:type="paragraph" w:styleId="BodyText2">
    <w:name w:val="Body Text 2"/>
    <w:basedOn w:val="Normal"/>
    <w:link w:val="BodyText2Char"/>
    <w:uiPriority w:val="99"/>
    <w:semiHidden/>
    <w:unhideWhenUsed/>
    <w:rsid w:val="00635E8A"/>
    <w:pPr>
      <w:spacing w:after="120" w:line="480" w:lineRule="auto"/>
    </w:pPr>
  </w:style>
  <w:style w:type="character" w:customStyle="1" w:styleId="BodyText2Char">
    <w:name w:val="Body Text 2 Char"/>
    <w:basedOn w:val="DefaultParagraphFont"/>
    <w:link w:val="BodyText2"/>
    <w:uiPriority w:val="99"/>
    <w:semiHidden/>
    <w:rsid w:val="00635E8A"/>
    <w:rPr>
      <w:rFonts w:ascii="Arial" w:hAnsi="Arial" w:cs="Times New Roman"/>
    </w:rPr>
  </w:style>
  <w:style w:type="paragraph" w:styleId="BodyText3">
    <w:name w:val="Body Text 3"/>
    <w:basedOn w:val="Normal"/>
    <w:link w:val="BodyText3Char"/>
    <w:uiPriority w:val="99"/>
    <w:semiHidden/>
    <w:unhideWhenUsed/>
    <w:rsid w:val="00635E8A"/>
    <w:pPr>
      <w:spacing w:after="120"/>
    </w:pPr>
    <w:rPr>
      <w:sz w:val="16"/>
      <w:szCs w:val="16"/>
    </w:rPr>
  </w:style>
  <w:style w:type="character" w:customStyle="1" w:styleId="BodyText3Char">
    <w:name w:val="Body Text 3 Char"/>
    <w:basedOn w:val="DefaultParagraphFont"/>
    <w:link w:val="BodyText3"/>
    <w:uiPriority w:val="99"/>
    <w:semiHidden/>
    <w:rsid w:val="00635E8A"/>
    <w:rPr>
      <w:rFonts w:ascii="Arial" w:hAnsi="Arial" w:cs="Times New Roman"/>
      <w:sz w:val="16"/>
      <w:szCs w:val="16"/>
    </w:rPr>
  </w:style>
  <w:style w:type="paragraph" w:styleId="BodyTextFirstIndent">
    <w:name w:val="Body Text First Indent"/>
    <w:basedOn w:val="BodyText"/>
    <w:link w:val="BodyTextFirstIndentChar"/>
    <w:uiPriority w:val="99"/>
    <w:semiHidden/>
    <w:unhideWhenUsed/>
    <w:rsid w:val="00635E8A"/>
    <w:pPr>
      <w:spacing w:after="200"/>
      <w:ind w:firstLine="360"/>
    </w:pPr>
  </w:style>
  <w:style w:type="character" w:customStyle="1" w:styleId="BodyTextFirstIndentChar">
    <w:name w:val="Body Text First Indent Char"/>
    <w:basedOn w:val="BodyTextChar"/>
    <w:link w:val="BodyTextFirstIndent"/>
    <w:uiPriority w:val="99"/>
    <w:semiHidden/>
    <w:rsid w:val="00635E8A"/>
    <w:rPr>
      <w:rFonts w:ascii="Arial" w:hAnsi="Arial" w:cs="Times New Roman"/>
    </w:rPr>
  </w:style>
  <w:style w:type="paragraph" w:styleId="BodyTextIndent">
    <w:name w:val="Body Text Indent"/>
    <w:basedOn w:val="Normal"/>
    <w:link w:val="BodyTextIndentChar"/>
    <w:uiPriority w:val="99"/>
    <w:semiHidden/>
    <w:unhideWhenUsed/>
    <w:rsid w:val="00635E8A"/>
    <w:pPr>
      <w:spacing w:after="120"/>
      <w:ind w:left="283"/>
    </w:pPr>
  </w:style>
  <w:style w:type="character" w:customStyle="1" w:styleId="BodyTextIndentChar">
    <w:name w:val="Body Text Indent Char"/>
    <w:basedOn w:val="DefaultParagraphFont"/>
    <w:link w:val="BodyTextIndent"/>
    <w:uiPriority w:val="99"/>
    <w:semiHidden/>
    <w:rsid w:val="00635E8A"/>
    <w:rPr>
      <w:rFonts w:ascii="Arial" w:hAnsi="Arial" w:cs="Times New Roman"/>
    </w:rPr>
  </w:style>
  <w:style w:type="paragraph" w:styleId="BodyTextFirstIndent2">
    <w:name w:val="Body Text First Indent 2"/>
    <w:basedOn w:val="BodyTextIndent"/>
    <w:link w:val="BodyTextFirstIndent2Char"/>
    <w:uiPriority w:val="99"/>
    <w:semiHidden/>
    <w:unhideWhenUsed/>
    <w:rsid w:val="00635E8A"/>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635E8A"/>
    <w:rPr>
      <w:rFonts w:ascii="Arial" w:hAnsi="Arial" w:cs="Times New Roman"/>
    </w:rPr>
  </w:style>
  <w:style w:type="paragraph" w:styleId="BodyTextIndent2">
    <w:name w:val="Body Text Indent 2"/>
    <w:basedOn w:val="Normal"/>
    <w:link w:val="BodyTextIndent2Char"/>
    <w:uiPriority w:val="99"/>
    <w:semiHidden/>
    <w:unhideWhenUsed/>
    <w:rsid w:val="00635E8A"/>
    <w:pPr>
      <w:spacing w:after="120" w:line="480" w:lineRule="auto"/>
      <w:ind w:left="283"/>
    </w:pPr>
  </w:style>
  <w:style w:type="character" w:customStyle="1" w:styleId="BodyTextIndent2Char">
    <w:name w:val="Body Text Indent 2 Char"/>
    <w:basedOn w:val="DefaultParagraphFont"/>
    <w:link w:val="BodyTextIndent2"/>
    <w:uiPriority w:val="99"/>
    <w:semiHidden/>
    <w:rsid w:val="00635E8A"/>
    <w:rPr>
      <w:rFonts w:ascii="Arial" w:hAnsi="Arial" w:cs="Times New Roman"/>
    </w:rPr>
  </w:style>
  <w:style w:type="paragraph" w:styleId="BodyTextIndent3">
    <w:name w:val="Body Text Indent 3"/>
    <w:basedOn w:val="Normal"/>
    <w:link w:val="BodyTextIndent3Char"/>
    <w:uiPriority w:val="99"/>
    <w:semiHidden/>
    <w:unhideWhenUsed/>
    <w:rsid w:val="00635E8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35E8A"/>
    <w:rPr>
      <w:rFonts w:ascii="Arial" w:hAnsi="Arial" w:cs="Times New Roman"/>
      <w:sz w:val="16"/>
      <w:szCs w:val="16"/>
    </w:rPr>
  </w:style>
  <w:style w:type="paragraph" w:styleId="Caption">
    <w:name w:val="caption"/>
    <w:basedOn w:val="Normal"/>
    <w:next w:val="Normal"/>
    <w:uiPriority w:val="35"/>
    <w:semiHidden/>
    <w:unhideWhenUsed/>
    <w:qFormat/>
    <w:rsid w:val="00635E8A"/>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635E8A"/>
    <w:pPr>
      <w:spacing w:after="0" w:line="240" w:lineRule="auto"/>
      <w:ind w:left="4252"/>
    </w:pPr>
  </w:style>
  <w:style w:type="character" w:customStyle="1" w:styleId="ClosingChar">
    <w:name w:val="Closing Char"/>
    <w:basedOn w:val="DefaultParagraphFont"/>
    <w:link w:val="Closing"/>
    <w:uiPriority w:val="99"/>
    <w:semiHidden/>
    <w:rsid w:val="00635E8A"/>
    <w:rPr>
      <w:rFonts w:ascii="Arial" w:hAnsi="Arial" w:cs="Times New Roman"/>
    </w:rPr>
  </w:style>
  <w:style w:type="paragraph" w:styleId="Date">
    <w:name w:val="Date"/>
    <w:basedOn w:val="Normal"/>
    <w:next w:val="Normal"/>
    <w:link w:val="DateChar"/>
    <w:uiPriority w:val="99"/>
    <w:semiHidden/>
    <w:unhideWhenUsed/>
    <w:rsid w:val="00635E8A"/>
  </w:style>
  <w:style w:type="character" w:customStyle="1" w:styleId="DateChar">
    <w:name w:val="Date Char"/>
    <w:basedOn w:val="DefaultParagraphFont"/>
    <w:link w:val="Date"/>
    <w:uiPriority w:val="99"/>
    <w:semiHidden/>
    <w:rsid w:val="00635E8A"/>
    <w:rPr>
      <w:rFonts w:ascii="Arial" w:hAnsi="Arial" w:cs="Times New Roman"/>
    </w:rPr>
  </w:style>
  <w:style w:type="paragraph" w:styleId="DocumentMap">
    <w:name w:val="Document Map"/>
    <w:basedOn w:val="Normal"/>
    <w:link w:val="DocumentMapChar"/>
    <w:uiPriority w:val="99"/>
    <w:semiHidden/>
    <w:unhideWhenUsed/>
    <w:rsid w:val="00635E8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E8A"/>
    <w:rPr>
      <w:rFonts w:ascii="Segoe UI" w:hAnsi="Segoe UI" w:cs="Segoe UI"/>
      <w:sz w:val="16"/>
      <w:szCs w:val="16"/>
    </w:rPr>
  </w:style>
  <w:style w:type="paragraph" w:styleId="E-mailSignature">
    <w:name w:val="E-mail Signature"/>
    <w:basedOn w:val="Normal"/>
    <w:link w:val="E-mailSignatureChar"/>
    <w:uiPriority w:val="99"/>
    <w:semiHidden/>
    <w:unhideWhenUsed/>
    <w:rsid w:val="00635E8A"/>
    <w:pPr>
      <w:spacing w:after="0" w:line="240" w:lineRule="auto"/>
    </w:pPr>
  </w:style>
  <w:style w:type="character" w:customStyle="1" w:styleId="E-mailSignatureChar">
    <w:name w:val="E-mail Signature Char"/>
    <w:basedOn w:val="DefaultParagraphFont"/>
    <w:link w:val="E-mailSignature"/>
    <w:uiPriority w:val="99"/>
    <w:semiHidden/>
    <w:rsid w:val="00635E8A"/>
    <w:rPr>
      <w:rFonts w:ascii="Arial" w:hAnsi="Arial" w:cs="Times New Roman"/>
    </w:rPr>
  </w:style>
  <w:style w:type="paragraph" w:styleId="EndnoteText">
    <w:name w:val="endnote text"/>
    <w:basedOn w:val="Normal"/>
    <w:link w:val="EndnoteTextChar"/>
    <w:uiPriority w:val="99"/>
    <w:semiHidden/>
    <w:unhideWhenUsed/>
    <w:rsid w:val="00635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E8A"/>
    <w:rPr>
      <w:rFonts w:ascii="Arial" w:hAnsi="Arial" w:cs="Times New Roman"/>
      <w:sz w:val="20"/>
      <w:szCs w:val="20"/>
    </w:rPr>
  </w:style>
  <w:style w:type="paragraph" w:styleId="EnvelopeAddress">
    <w:name w:val="envelope address"/>
    <w:basedOn w:val="Normal"/>
    <w:uiPriority w:val="99"/>
    <w:semiHidden/>
    <w:unhideWhenUsed/>
    <w:rsid w:val="00635E8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35E8A"/>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635E8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35E8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35E8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35E8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35E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E8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35E8A"/>
    <w:pPr>
      <w:spacing w:after="0" w:line="240" w:lineRule="auto"/>
    </w:pPr>
    <w:rPr>
      <w:i/>
      <w:iCs/>
    </w:rPr>
  </w:style>
  <w:style w:type="character" w:customStyle="1" w:styleId="HTMLAddressChar">
    <w:name w:val="HTML Address Char"/>
    <w:basedOn w:val="DefaultParagraphFont"/>
    <w:link w:val="HTMLAddress"/>
    <w:uiPriority w:val="99"/>
    <w:semiHidden/>
    <w:rsid w:val="00635E8A"/>
    <w:rPr>
      <w:rFonts w:ascii="Arial" w:hAnsi="Arial" w:cs="Times New Roman"/>
      <w:i/>
      <w:iCs/>
    </w:rPr>
  </w:style>
  <w:style w:type="paragraph" w:styleId="HTMLPreformatted">
    <w:name w:val="HTML Preformatted"/>
    <w:basedOn w:val="Normal"/>
    <w:link w:val="HTMLPreformattedChar"/>
    <w:uiPriority w:val="99"/>
    <w:semiHidden/>
    <w:unhideWhenUsed/>
    <w:rsid w:val="00635E8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E8A"/>
    <w:rPr>
      <w:rFonts w:ascii="Consolas" w:hAnsi="Consolas" w:cs="Times New Roman"/>
      <w:sz w:val="20"/>
      <w:szCs w:val="20"/>
    </w:rPr>
  </w:style>
  <w:style w:type="paragraph" w:styleId="Index1">
    <w:name w:val="index 1"/>
    <w:basedOn w:val="Normal"/>
    <w:next w:val="Normal"/>
    <w:autoRedefine/>
    <w:uiPriority w:val="99"/>
    <w:semiHidden/>
    <w:unhideWhenUsed/>
    <w:rsid w:val="00635E8A"/>
    <w:pPr>
      <w:spacing w:after="0" w:line="240" w:lineRule="auto"/>
      <w:ind w:left="220" w:hanging="220"/>
    </w:pPr>
  </w:style>
  <w:style w:type="paragraph" w:styleId="Index2">
    <w:name w:val="index 2"/>
    <w:basedOn w:val="Normal"/>
    <w:next w:val="Normal"/>
    <w:autoRedefine/>
    <w:uiPriority w:val="99"/>
    <w:semiHidden/>
    <w:unhideWhenUsed/>
    <w:rsid w:val="00635E8A"/>
    <w:pPr>
      <w:spacing w:after="0" w:line="240" w:lineRule="auto"/>
      <w:ind w:left="440" w:hanging="220"/>
    </w:pPr>
  </w:style>
  <w:style w:type="paragraph" w:styleId="Index3">
    <w:name w:val="index 3"/>
    <w:basedOn w:val="Normal"/>
    <w:next w:val="Normal"/>
    <w:autoRedefine/>
    <w:uiPriority w:val="99"/>
    <w:semiHidden/>
    <w:unhideWhenUsed/>
    <w:rsid w:val="00635E8A"/>
    <w:pPr>
      <w:spacing w:after="0" w:line="240" w:lineRule="auto"/>
      <w:ind w:left="660" w:hanging="220"/>
    </w:pPr>
  </w:style>
  <w:style w:type="paragraph" w:styleId="Index4">
    <w:name w:val="index 4"/>
    <w:basedOn w:val="Normal"/>
    <w:next w:val="Normal"/>
    <w:autoRedefine/>
    <w:uiPriority w:val="99"/>
    <w:semiHidden/>
    <w:unhideWhenUsed/>
    <w:rsid w:val="00635E8A"/>
    <w:pPr>
      <w:spacing w:after="0" w:line="240" w:lineRule="auto"/>
      <w:ind w:left="880" w:hanging="220"/>
    </w:pPr>
  </w:style>
  <w:style w:type="paragraph" w:styleId="Index5">
    <w:name w:val="index 5"/>
    <w:basedOn w:val="Normal"/>
    <w:next w:val="Normal"/>
    <w:autoRedefine/>
    <w:uiPriority w:val="99"/>
    <w:semiHidden/>
    <w:unhideWhenUsed/>
    <w:rsid w:val="00635E8A"/>
    <w:pPr>
      <w:spacing w:after="0" w:line="240" w:lineRule="auto"/>
      <w:ind w:left="1100" w:hanging="220"/>
    </w:pPr>
  </w:style>
  <w:style w:type="paragraph" w:styleId="Index6">
    <w:name w:val="index 6"/>
    <w:basedOn w:val="Normal"/>
    <w:next w:val="Normal"/>
    <w:autoRedefine/>
    <w:uiPriority w:val="99"/>
    <w:semiHidden/>
    <w:unhideWhenUsed/>
    <w:rsid w:val="00635E8A"/>
    <w:pPr>
      <w:spacing w:after="0" w:line="240" w:lineRule="auto"/>
      <w:ind w:left="1320" w:hanging="220"/>
    </w:pPr>
  </w:style>
  <w:style w:type="paragraph" w:styleId="Index7">
    <w:name w:val="index 7"/>
    <w:basedOn w:val="Normal"/>
    <w:next w:val="Normal"/>
    <w:autoRedefine/>
    <w:uiPriority w:val="99"/>
    <w:semiHidden/>
    <w:unhideWhenUsed/>
    <w:rsid w:val="00635E8A"/>
    <w:pPr>
      <w:spacing w:after="0" w:line="240" w:lineRule="auto"/>
      <w:ind w:left="1540" w:hanging="220"/>
    </w:pPr>
  </w:style>
  <w:style w:type="paragraph" w:styleId="Index8">
    <w:name w:val="index 8"/>
    <w:basedOn w:val="Normal"/>
    <w:next w:val="Normal"/>
    <w:autoRedefine/>
    <w:uiPriority w:val="99"/>
    <w:semiHidden/>
    <w:unhideWhenUsed/>
    <w:rsid w:val="00635E8A"/>
    <w:pPr>
      <w:spacing w:after="0" w:line="240" w:lineRule="auto"/>
      <w:ind w:left="1760" w:hanging="220"/>
    </w:pPr>
  </w:style>
  <w:style w:type="paragraph" w:styleId="Index9">
    <w:name w:val="index 9"/>
    <w:basedOn w:val="Normal"/>
    <w:next w:val="Normal"/>
    <w:autoRedefine/>
    <w:uiPriority w:val="99"/>
    <w:semiHidden/>
    <w:unhideWhenUsed/>
    <w:rsid w:val="00635E8A"/>
    <w:pPr>
      <w:spacing w:after="0" w:line="240" w:lineRule="auto"/>
      <w:ind w:left="1980" w:hanging="220"/>
    </w:pPr>
  </w:style>
  <w:style w:type="paragraph" w:styleId="IndexHeading">
    <w:name w:val="index heading"/>
    <w:basedOn w:val="Normal"/>
    <w:next w:val="Index1"/>
    <w:uiPriority w:val="99"/>
    <w:semiHidden/>
    <w:unhideWhenUsed/>
    <w:rsid w:val="00635E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35E8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35E8A"/>
    <w:rPr>
      <w:rFonts w:ascii="Arial" w:hAnsi="Arial" w:cs="Times New Roman"/>
      <w:i/>
      <w:iCs/>
      <w:color w:val="5B9BD5" w:themeColor="accent1"/>
    </w:rPr>
  </w:style>
  <w:style w:type="paragraph" w:styleId="List">
    <w:name w:val="List"/>
    <w:basedOn w:val="Normal"/>
    <w:uiPriority w:val="99"/>
    <w:semiHidden/>
    <w:unhideWhenUsed/>
    <w:rsid w:val="00635E8A"/>
    <w:pPr>
      <w:ind w:left="283" w:hanging="283"/>
      <w:contextualSpacing/>
    </w:pPr>
  </w:style>
  <w:style w:type="paragraph" w:styleId="List2">
    <w:name w:val="List 2"/>
    <w:basedOn w:val="Normal"/>
    <w:uiPriority w:val="99"/>
    <w:semiHidden/>
    <w:unhideWhenUsed/>
    <w:rsid w:val="00635E8A"/>
    <w:pPr>
      <w:ind w:left="566" w:hanging="283"/>
      <w:contextualSpacing/>
    </w:pPr>
  </w:style>
  <w:style w:type="paragraph" w:styleId="List3">
    <w:name w:val="List 3"/>
    <w:basedOn w:val="Normal"/>
    <w:uiPriority w:val="99"/>
    <w:semiHidden/>
    <w:unhideWhenUsed/>
    <w:rsid w:val="00635E8A"/>
    <w:pPr>
      <w:ind w:left="849" w:hanging="283"/>
      <w:contextualSpacing/>
    </w:pPr>
  </w:style>
  <w:style w:type="paragraph" w:styleId="List4">
    <w:name w:val="List 4"/>
    <w:basedOn w:val="Normal"/>
    <w:uiPriority w:val="99"/>
    <w:semiHidden/>
    <w:unhideWhenUsed/>
    <w:rsid w:val="00635E8A"/>
    <w:pPr>
      <w:ind w:left="1132" w:hanging="283"/>
      <w:contextualSpacing/>
    </w:pPr>
  </w:style>
  <w:style w:type="paragraph" w:styleId="List5">
    <w:name w:val="List 5"/>
    <w:basedOn w:val="Normal"/>
    <w:uiPriority w:val="99"/>
    <w:semiHidden/>
    <w:unhideWhenUsed/>
    <w:rsid w:val="00635E8A"/>
    <w:pPr>
      <w:ind w:left="1415" w:hanging="283"/>
      <w:contextualSpacing/>
    </w:pPr>
  </w:style>
  <w:style w:type="paragraph" w:styleId="ListBullet2">
    <w:name w:val="List Bullet 2"/>
    <w:basedOn w:val="Normal"/>
    <w:uiPriority w:val="99"/>
    <w:semiHidden/>
    <w:unhideWhenUsed/>
    <w:rsid w:val="00635E8A"/>
    <w:pPr>
      <w:numPr>
        <w:numId w:val="7"/>
      </w:numPr>
      <w:contextualSpacing/>
    </w:pPr>
  </w:style>
  <w:style w:type="paragraph" w:styleId="ListBullet3">
    <w:name w:val="List Bullet 3"/>
    <w:basedOn w:val="Normal"/>
    <w:uiPriority w:val="99"/>
    <w:semiHidden/>
    <w:unhideWhenUsed/>
    <w:rsid w:val="00635E8A"/>
    <w:pPr>
      <w:numPr>
        <w:numId w:val="8"/>
      </w:numPr>
      <w:contextualSpacing/>
    </w:pPr>
  </w:style>
  <w:style w:type="paragraph" w:styleId="ListBullet4">
    <w:name w:val="List Bullet 4"/>
    <w:basedOn w:val="Normal"/>
    <w:uiPriority w:val="99"/>
    <w:semiHidden/>
    <w:unhideWhenUsed/>
    <w:rsid w:val="00635E8A"/>
    <w:pPr>
      <w:numPr>
        <w:numId w:val="9"/>
      </w:numPr>
      <w:contextualSpacing/>
    </w:pPr>
  </w:style>
  <w:style w:type="paragraph" w:styleId="ListBullet5">
    <w:name w:val="List Bullet 5"/>
    <w:basedOn w:val="Normal"/>
    <w:uiPriority w:val="99"/>
    <w:semiHidden/>
    <w:unhideWhenUsed/>
    <w:rsid w:val="00635E8A"/>
    <w:pPr>
      <w:numPr>
        <w:numId w:val="10"/>
      </w:numPr>
      <w:contextualSpacing/>
    </w:pPr>
  </w:style>
  <w:style w:type="paragraph" w:styleId="ListContinue">
    <w:name w:val="List Continue"/>
    <w:basedOn w:val="Normal"/>
    <w:uiPriority w:val="99"/>
    <w:semiHidden/>
    <w:unhideWhenUsed/>
    <w:rsid w:val="00635E8A"/>
    <w:pPr>
      <w:spacing w:after="120"/>
      <w:ind w:left="283"/>
      <w:contextualSpacing/>
    </w:pPr>
  </w:style>
  <w:style w:type="paragraph" w:styleId="ListContinue2">
    <w:name w:val="List Continue 2"/>
    <w:basedOn w:val="Normal"/>
    <w:uiPriority w:val="99"/>
    <w:semiHidden/>
    <w:unhideWhenUsed/>
    <w:rsid w:val="00635E8A"/>
    <w:pPr>
      <w:spacing w:after="120"/>
      <w:ind w:left="566"/>
      <w:contextualSpacing/>
    </w:pPr>
  </w:style>
  <w:style w:type="paragraph" w:styleId="ListContinue3">
    <w:name w:val="List Continue 3"/>
    <w:basedOn w:val="Normal"/>
    <w:uiPriority w:val="99"/>
    <w:semiHidden/>
    <w:unhideWhenUsed/>
    <w:rsid w:val="00635E8A"/>
    <w:pPr>
      <w:spacing w:after="120"/>
      <w:ind w:left="849"/>
      <w:contextualSpacing/>
    </w:pPr>
  </w:style>
  <w:style w:type="paragraph" w:styleId="ListContinue4">
    <w:name w:val="List Continue 4"/>
    <w:basedOn w:val="Normal"/>
    <w:uiPriority w:val="99"/>
    <w:semiHidden/>
    <w:unhideWhenUsed/>
    <w:rsid w:val="00635E8A"/>
    <w:pPr>
      <w:spacing w:after="120"/>
      <w:ind w:left="1132"/>
      <w:contextualSpacing/>
    </w:pPr>
  </w:style>
  <w:style w:type="paragraph" w:styleId="ListContinue5">
    <w:name w:val="List Continue 5"/>
    <w:basedOn w:val="Normal"/>
    <w:uiPriority w:val="99"/>
    <w:semiHidden/>
    <w:unhideWhenUsed/>
    <w:rsid w:val="00635E8A"/>
    <w:pPr>
      <w:spacing w:after="120"/>
      <w:ind w:left="1415"/>
      <w:contextualSpacing/>
    </w:pPr>
  </w:style>
  <w:style w:type="paragraph" w:styleId="ListNumber">
    <w:name w:val="List Number"/>
    <w:basedOn w:val="Normal"/>
    <w:uiPriority w:val="99"/>
    <w:semiHidden/>
    <w:unhideWhenUsed/>
    <w:rsid w:val="00635E8A"/>
    <w:pPr>
      <w:numPr>
        <w:numId w:val="11"/>
      </w:numPr>
      <w:contextualSpacing/>
    </w:pPr>
  </w:style>
  <w:style w:type="paragraph" w:styleId="ListNumber2">
    <w:name w:val="List Number 2"/>
    <w:basedOn w:val="Normal"/>
    <w:uiPriority w:val="99"/>
    <w:semiHidden/>
    <w:unhideWhenUsed/>
    <w:rsid w:val="00635E8A"/>
    <w:pPr>
      <w:numPr>
        <w:numId w:val="12"/>
      </w:numPr>
      <w:contextualSpacing/>
    </w:pPr>
  </w:style>
  <w:style w:type="paragraph" w:styleId="ListNumber3">
    <w:name w:val="List Number 3"/>
    <w:basedOn w:val="Normal"/>
    <w:uiPriority w:val="99"/>
    <w:semiHidden/>
    <w:unhideWhenUsed/>
    <w:rsid w:val="00635E8A"/>
    <w:pPr>
      <w:numPr>
        <w:numId w:val="13"/>
      </w:numPr>
      <w:contextualSpacing/>
    </w:pPr>
  </w:style>
  <w:style w:type="paragraph" w:styleId="ListNumber4">
    <w:name w:val="List Number 4"/>
    <w:basedOn w:val="Normal"/>
    <w:uiPriority w:val="99"/>
    <w:semiHidden/>
    <w:unhideWhenUsed/>
    <w:rsid w:val="00635E8A"/>
    <w:pPr>
      <w:numPr>
        <w:numId w:val="14"/>
      </w:numPr>
      <w:contextualSpacing/>
    </w:pPr>
  </w:style>
  <w:style w:type="paragraph" w:styleId="ListNumber5">
    <w:name w:val="List Number 5"/>
    <w:basedOn w:val="Normal"/>
    <w:uiPriority w:val="99"/>
    <w:semiHidden/>
    <w:unhideWhenUsed/>
    <w:rsid w:val="00635E8A"/>
    <w:pPr>
      <w:numPr>
        <w:numId w:val="15"/>
      </w:numPr>
      <w:contextualSpacing/>
    </w:pPr>
  </w:style>
  <w:style w:type="paragraph" w:styleId="MacroText">
    <w:name w:val="macro"/>
    <w:link w:val="MacroTextChar"/>
    <w:uiPriority w:val="99"/>
    <w:semiHidden/>
    <w:unhideWhenUsed/>
    <w:rsid w:val="00635E8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635E8A"/>
    <w:rPr>
      <w:rFonts w:ascii="Consolas" w:hAnsi="Consolas" w:cs="Times New Roman"/>
      <w:sz w:val="20"/>
      <w:szCs w:val="20"/>
    </w:rPr>
  </w:style>
  <w:style w:type="paragraph" w:styleId="MessageHeader">
    <w:name w:val="Message Header"/>
    <w:basedOn w:val="Normal"/>
    <w:link w:val="MessageHeaderChar"/>
    <w:uiPriority w:val="99"/>
    <w:semiHidden/>
    <w:unhideWhenUsed/>
    <w:rsid w:val="00635E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E8A"/>
    <w:rPr>
      <w:rFonts w:asciiTheme="majorHAnsi" w:eastAsiaTheme="majorEastAsia" w:hAnsiTheme="majorHAnsi" w:cstheme="majorBidi"/>
      <w:sz w:val="24"/>
      <w:szCs w:val="24"/>
      <w:shd w:val="pct20" w:color="auto" w:fill="auto"/>
    </w:rPr>
  </w:style>
  <w:style w:type="paragraph" w:styleId="NoSpacing">
    <w:name w:val="No Spacing"/>
    <w:uiPriority w:val="1"/>
    <w:qFormat/>
    <w:rsid w:val="00635E8A"/>
    <w:pPr>
      <w:spacing w:after="0" w:line="240" w:lineRule="auto"/>
    </w:pPr>
    <w:rPr>
      <w:rFonts w:ascii="Arial" w:hAnsi="Arial" w:cs="Times New Roman"/>
    </w:rPr>
  </w:style>
  <w:style w:type="paragraph" w:styleId="NormalIndent">
    <w:name w:val="Normal Indent"/>
    <w:basedOn w:val="Normal"/>
    <w:uiPriority w:val="99"/>
    <w:semiHidden/>
    <w:unhideWhenUsed/>
    <w:rsid w:val="00635E8A"/>
    <w:pPr>
      <w:ind w:left="720"/>
    </w:pPr>
  </w:style>
  <w:style w:type="paragraph" w:styleId="NoteHeading">
    <w:name w:val="Note Heading"/>
    <w:basedOn w:val="Normal"/>
    <w:next w:val="Normal"/>
    <w:link w:val="NoteHeadingChar"/>
    <w:uiPriority w:val="99"/>
    <w:semiHidden/>
    <w:unhideWhenUsed/>
    <w:rsid w:val="00635E8A"/>
    <w:pPr>
      <w:spacing w:after="0" w:line="240" w:lineRule="auto"/>
    </w:pPr>
  </w:style>
  <w:style w:type="character" w:customStyle="1" w:styleId="NoteHeadingChar">
    <w:name w:val="Note Heading Char"/>
    <w:basedOn w:val="DefaultParagraphFont"/>
    <w:link w:val="NoteHeading"/>
    <w:uiPriority w:val="99"/>
    <w:semiHidden/>
    <w:rsid w:val="00635E8A"/>
    <w:rPr>
      <w:rFonts w:ascii="Arial" w:hAnsi="Arial" w:cs="Times New Roman"/>
    </w:rPr>
  </w:style>
  <w:style w:type="paragraph" w:styleId="PlainText">
    <w:name w:val="Plain Text"/>
    <w:basedOn w:val="Normal"/>
    <w:link w:val="PlainTextChar"/>
    <w:uiPriority w:val="99"/>
    <w:semiHidden/>
    <w:unhideWhenUsed/>
    <w:rsid w:val="00635E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E8A"/>
    <w:rPr>
      <w:rFonts w:ascii="Consolas" w:hAnsi="Consolas" w:cs="Times New Roman"/>
      <w:sz w:val="21"/>
      <w:szCs w:val="21"/>
    </w:rPr>
  </w:style>
  <w:style w:type="paragraph" w:styleId="Quote">
    <w:name w:val="Quote"/>
    <w:basedOn w:val="Normal"/>
    <w:next w:val="Normal"/>
    <w:link w:val="QuoteChar"/>
    <w:uiPriority w:val="29"/>
    <w:qFormat/>
    <w:rsid w:val="00635E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E8A"/>
    <w:rPr>
      <w:rFonts w:ascii="Arial" w:hAnsi="Arial" w:cs="Times New Roman"/>
      <w:i/>
      <w:iCs/>
      <w:color w:val="404040" w:themeColor="text1" w:themeTint="BF"/>
    </w:rPr>
  </w:style>
  <w:style w:type="paragraph" w:styleId="Salutation">
    <w:name w:val="Salutation"/>
    <w:basedOn w:val="Normal"/>
    <w:next w:val="Normal"/>
    <w:link w:val="SalutationChar"/>
    <w:uiPriority w:val="99"/>
    <w:semiHidden/>
    <w:unhideWhenUsed/>
    <w:rsid w:val="00635E8A"/>
  </w:style>
  <w:style w:type="character" w:customStyle="1" w:styleId="SalutationChar">
    <w:name w:val="Salutation Char"/>
    <w:basedOn w:val="DefaultParagraphFont"/>
    <w:link w:val="Salutation"/>
    <w:uiPriority w:val="99"/>
    <w:semiHidden/>
    <w:rsid w:val="00635E8A"/>
    <w:rPr>
      <w:rFonts w:ascii="Arial" w:hAnsi="Arial" w:cs="Times New Roman"/>
    </w:rPr>
  </w:style>
  <w:style w:type="paragraph" w:styleId="Signature">
    <w:name w:val="Signature"/>
    <w:basedOn w:val="Normal"/>
    <w:link w:val="SignatureChar"/>
    <w:uiPriority w:val="99"/>
    <w:semiHidden/>
    <w:unhideWhenUsed/>
    <w:rsid w:val="00635E8A"/>
    <w:pPr>
      <w:spacing w:after="0" w:line="240" w:lineRule="auto"/>
      <w:ind w:left="4252"/>
    </w:pPr>
  </w:style>
  <w:style w:type="character" w:customStyle="1" w:styleId="SignatureChar">
    <w:name w:val="Signature Char"/>
    <w:basedOn w:val="DefaultParagraphFont"/>
    <w:link w:val="Signature"/>
    <w:uiPriority w:val="99"/>
    <w:semiHidden/>
    <w:rsid w:val="00635E8A"/>
    <w:rPr>
      <w:rFonts w:ascii="Arial" w:hAnsi="Arial" w:cs="Times New Roman"/>
    </w:rPr>
  </w:style>
  <w:style w:type="paragraph" w:styleId="Subtitle">
    <w:name w:val="Subtitle"/>
    <w:basedOn w:val="Normal"/>
    <w:next w:val="Normal"/>
    <w:link w:val="SubtitleChar"/>
    <w:uiPriority w:val="11"/>
    <w:qFormat/>
    <w:rsid w:val="00635E8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E8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35E8A"/>
    <w:pPr>
      <w:spacing w:after="0"/>
      <w:ind w:left="220" w:hanging="220"/>
    </w:pPr>
  </w:style>
  <w:style w:type="paragraph" w:styleId="TableofFigures">
    <w:name w:val="table of figures"/>
    <w:basedOn w:val="Normal"/>
    <w:next w:val="Normal"/>
    <w:uiPriority w:val="99"/>
    <w:semiHidden/>
    <w:unhideWhenUsed/>
    <w:rsid w:val="00635E8A"/>
    <w:pPr>
      <w:spacing w:after="0"/>
    </w:pPr>
  </w:style>
  <w:style w:type="paragraph" w:styleId="TOAHeading">
    <w:name w:val="toa heading"/>
    <w:basedOn w:val="Normal"/>
    <w:next w:val="Normal"/>
    <w:uiPriority w:val="99"/>
    <w:semiHidden/>
    <w:unhideWhenUsed/>
    <w:rsid w:val="00635E8A"/>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635E8A"/>
    <w:pPr>
      <w:spacing w:after="100"/>
      <w:ind w:left="440"/>
    </w:pPr>
  </w:style>
  <w:style w:type="paragraph" w:styleId="TOC4">
    <w:name w:val="toc 4"/>
    <w:basedOn w:val="Normal"/>
    <w:next w:val="Normal"/>
    <w:autoRedefine/>
    <w:uiPriority w:val="39"/>
    <w:semiHidden/>
    <w:unhideWhenUsed/>
    <w:rsid w:val="00635E8A"/>
    <w:pPr>
      <w:spacing w:after="100"/>
      <w:ind w:left="660"/>
    </w:pPr>
  </w:style>
  <w:style w:type="paragraph" w:styleId="TOC5">
    <w:name w:val="toc 5"/>
    <w:basedOn w:val="Normal"/>
    <w:next w:val="Normal"/>
    <w:autoRedefine/>
    <w:uiPriority w:val="39"/>
    <w:semiHidden/>
    <w:unhideWhenUsed/>
    <w:rsid w:val="00635E8A"/>
    <w:pPr>
      <w:spacing w:after="100"/>
      <w:ind w:left="880"/>
    </w:pPr>
  </w:style>
  <w:style w:type="paragraph" w:styleId="TOC6">
    <w:name w:val="toc 6"/>
    <w:basedOn w:val="Normal"/>
    <w:next w:val="Normal"/>
    <w:autoRedefine/>
    <w:uiPriority w:val="39"/>
    <w:semiHidden/>
    <w:unhideWhenUsed/>
    <w:rsid w:val="00635E8A"/>
    <w:pPr>
      <w:spacing w:after="100"/>
      <w:ind w:left="1100"/>
    </w:pPr>
  </w:style>
  <w:style w:type="paragraph" w:styleId="TOC7">
    <w:name w:val="toc 7"/>
    <w:basedOn w:val="Normal"/>
    <w:next w:val="Normal"/>
    <w:autoRedefine/>
    <w:uiPriority w:val="39"/>
    <w:semiHidden/>
    <w:unhideWhenUsed/>
    <w:rsid w:val="00635E8A"/>
    <w:pPr>
      <w:spacing w:after="100"/>
      <w:ind w:left="1320"/>
    </w:pPr>
  </w:style>
  <w:style w:type="paragraph" w:styleId="TOC8">
    <w:name w:val="toc 8"/>
    <w:basedOn w:val="Normal"/>
    <w:next w:val="Normal"/>
    <w:autoRedefine/>
    <w:uiPriority w:val="39"/>
    <w:semiHidden/>
    <w:unhideWhenUsed/>
    <w:rsid w:val="00635E8A"/>
    <w:pPr>
      <w:spacing w:after="100"/>
      <w:ind w:left="1540"/>
    </w:pPr>
  </w:style>
  <w:style w:type="paragraph" w:styleId="TOC9">
    <w:name w:val="toc 9"/>
    <w:basedOn w:val="Normal"/>
    <w:next w:val="Normal"/>
    <w:autoRedefine/>
    <w:uiPriority w:val="39"/>
    <w:semiHidden/>
    <w:unhideWhenUsed/>
    <w:rsid w:val="00635E8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449">
      <w:bodyDiv w:val="1"/>
      <w:marLeft w:val="0"/>
      <w:marRight w:val="0"/>
      <w:marTop w:val="0"/>
      <w:marBottom w:val="0"/>
      <w:divBdr>
        <w:top w:val="none" w:sz="0" w:space="0" w:color="auto"/>
        <w:left w:val="none" w:sz="0" w:space="0" w:color="auto"/>
        <w:bottom w:val="none" w:sz="0" w:space="0" w:color="auto"/>
        <w:right w:val="none" w:sz="0" w:space="0" w:color="auto"/>
      </w:divBdr>
    </w:div>
    <w:div w:id="74060588">
      <w:bodyDiv w:val="1"/>
      <w:marLeft w:val="0"/>
      <w:marRight w:val="0"/>
      <w:marTop w:val="0"/>
      <w:marBottom w:val="0"/>
      <w:divBdr>
        <w:top w:val="none" w:sz="0" w:space="0" w:color="auto"/>
        <w:left w:val="none" w:sz="0" w:space="0" w:color="auto"/>
        <w:bottom w:val="none" w:sz="0" w:space="0" w:color="auto"/>
        <w:right w:val="none" w:sz="0" w:space="0" w:color="auto"/>
      </w:divBdr>
    </w:div>
    <w:div w:id="103353544">
      <w:bodyDiv w:val="1"/>
      <w:marLeft w:val="0"/>
      <w:marRight w:val="0"/>
      <w:marTop w:val="0"/>
      <w:marBottom w:val="0"/>
      <w:divBdr>
        <w:top w:val="none" w:sz="0" w:space="0" w:color="auto"/>
        <w:left w:val="none" w:sz="0" w:space="0" w:color="auto"/>
        <w:bottom w:val="none" w:sz="0" w:space="0" w:color="auto"/>
        <w:right w:val="none" w:sz="0" w:space="0" w:color="auto"/>
      </w:divBdr>
    </w:div>
    <w:div w:id="137114893">
      <w:bodyDiv w:val="1"/>
      <w:marLeft w:val="0"/>
      <w:marRight w:val="0"/>
      <w:marTop w:val="0"/>
      <w:marBottom w:val="0"/>
      <w:divBdr>
        <w:top w:val="none" w:sz="0" w:space="0" w:color="auto"/>
        <w:left w:val="none" w:sz="0" w:space="0" w:color="auto"/>
        <w:bottom w:val="none" w:sz="0" w:space="0" w:color="auto"/>
        <w:right w:val="none" w:sz="0" w:space="0" w:color="auto"/>
      </w:divBdr>
    </w:div>
    <w:div w:id="154155237">
      <w:bodyDiv w:val="1"/>
      <w:marLeft w:val="0"/>
      <w:marRight w:val="0"/>
      <w:marTop w:val="0"/>
      <w:marBottom w:val="0"/>
      <w:divBdr>
        <w:top w:val="none" w:sz="0" w:space="0" w:color="auto"/>
        <w:left w:val="none" w:sz="0" w:space="0" w:color="auto"/>
        <w:bottom w:val="none" w:sz="0" w:space="0" w:color="auto"/>
        <w:right w:val="none" w:sz="0" w:space="0" w:color="auto"/>
      </w:divBdr>
    </w:div>
    <w:div w:id="178856026">
      <w:bodyDiv w:val="1"/>
      <w:marLeft w:val="0"/>
      <w:marRight w:val="0"/>
      <w:marTop w:val="0"/>
      <w:marBottom w:val="0"/>
      <w:divBdr>
        <w:top w:val="none" w:sz="0" w:space="0" w:color="auto"/>
        <w:left w:val="none" w:sz="0" w:space="0" w:color="auto"/>
        <w:bottom w:val="none" w:sz="0" w:space="0" w:color="auto"/>
        <w:right w:val="none" w:sz="0" w:space="0" w:color="auto"/>
      </w:divBdr>
    </w:div>
    <w:div w:id="213934450">
      <w:bodyDiv w:val="1"/>
      <w:marLeft w:val="0"/>
      <w:marRight w:val="0"/>
      <w:marTop w:val="0"/>
      <w:marBottom w:val="0"/>
      <w:divBdr>
        <w:top w:val="none" w:sz="0" w:space="0" w:color="auto"/>
        <w:left w:val="none" w:sz="0" w:space="0" w:color="auto"/>
        <w:bottom w:val="none" w:sz="0" w:space="0" w:color="auto"/>
        <w:right w:val="none" w:sz="0" w:space="0" w:color="auto"/>
      </w:divBdr>
    </w:div>
    <w:div w:id="238710445">
      <w:bodyDiv w:val="1"/>
      <w:marLeft w:val="0"/>
      <w:marRight w:val="0"/>
      <w:marTop w:val="0"/>
      <w:marBottom w:val="0"/>
      <w:divBdr>
        <w:top w:val="none" w:sz="0" w:space="0" w:color="auto"/>
        <w:left w:val="none" w:sz="0" w:space="0" w:color="auto"/>
        <w:bottom w:val="none" w:sz="0" w:space="0" w:color="auto"/>
        <w:right w:val="none" w:sz="0" w:space="0" w:color="auto"/>
      </w:divBdr>
    </w:div>
    <w:div w:id="253322104">
      <w:bodyDiv w:val="1"/>
      <w:marLeft w:val="0"/>
      <w:marRight w:val="0"/>
      <w:marTop w:val="0"/>
      <w:marBottom w:val="0"/>
      <w:divBdr>
        <w:top w:val="none" w:sz="0" w:space="0" w:color="auto"/>
        <w:left w:val="none" w:sz="0" w:space="0" w:color="auto"/>
        <w:bottom w:val="none" w:sz="0" w:space="0" w:color="auto"/>
        <w:right w:val="none" w:sz="0" w:space="0" w:color="auto"/>
      </w:divBdr>
    </w:div>
    <w:div w:id="279142293">
      <w:bodyDiv w:val="1"/>
      <w:marLeft w:val="0"/>
      <w:marRight w:val="0"/>
      <w:marTop w:val="0"/>
      <w:marBottom w:val="0"/>
      <w:divBdr>
        <w:top w:val="none" w:sz="0" w:space="0" w:color="auto"/>
        <w:left w:val="none" w:sz="0" w:space="0" w:color="auto"/>
        <w:bottom w:val="none" w:sz="0" w:space="0" w:color="auto"/>
        <w:right w:val="none" w:sz="0" w:space="0" w:color="auto"/>
      </w:divBdr>
    </w:div>
    <w:div w:id="287324455">
      <w:bodyDiv w:val="1"/>
      <w:marLeft w:val="0"/>
      <w:marRight w:val="0"/>
      <w:marTop w:val="0"/>
      <w:marBottom w:val="0"/>
      <w:divBdr>
        <w:top w:val="none" w:sz="0" w:space="0" w:color="auto"/>
        <w:left w:val="none" w:sz="0" w:space="0" w:color="auto"/>
        <w:bottom w:val="none" w:sz="0" w:space="0" w:color="auto"/>
        <w:right w:val="none" w:sz="0" w:space="0" w:color="auto"/>
      </w:divBdr>
    </w:div>
    <w:div w:id="323704281">
      <w:bodyDiv w:val="1"/>
      <w:marLeft w:val="0"/>
      <w:marRight w:val="0"/>
      <w:marTop w:val="0"/>
      <w:marBottom w:val="0"/>
      <w:divBdr>
        <w:top w:val="none" w:sz="0" w:space="0" w:color="auto"/>
        <w:left w:val="none" w:sz="0" w:space="0" w:color="auto"/>
        <w:bottom w:val="none" w:sz="0" w:space="0" w:color="auto"/>
        <w:right w:val="none" w:sz="0" w:space="0" w:color="auto"/>
      </w:divBdr>
    </w:div>
    <w:div w:id="352265610">
      <w:bodyDiv w:val="1"/>
      <w:marLeft w:val="0"/>
      <w:marRight w:val="0"/>
      <w:marTop w:val="0"/>
      <w:marBottom w:val="0"/>
      <w:divBdr>
        <w:top w:val="none" w:sz="0" w:space="0" w:color="auto"/>
        <w:left w:val="none" w:sz="0" w:space="0" w:color="auto"/>
        <w:bottom w:val="none" w:sz="0" w:space="0" w:color="auto"/>
        <w:right w:val="none" w:sz="0" w:space="0" w:color="auto"/>
      </w:divBdr>
    </w:div>
    <w:div w:id="352341150">
      <w:bodyDiv w:val="1"/>
      <w:marLeft w:val="0"/>
      <w:marRight w:val="0"/>
      <w:marTop w:val="0"/>
      <w:marBottom w:val="0"/>
      <w:divBdr>
        <w:top w:val="none" w:sz="0" w:space="0" w:color="auto"/>
        <w:left w:val="none" w:sz="0" w:space="0" w:color="auto"/>
        <w:bottom w:val="none" w:sz="0" w:space="0" w:color="auto"/>
        <w:right w:val="none" w:sz="0" w:space="0" w:color="auto"/>
      </w:divBdr>
    </w:div>
    <w:div w:id="368148338">
      <w:bodyDiv w:val="1"/>
      <w:marLeft w:val="0"/>
      <w:marRight w:val="0"/>
      <w:marTop w:val="0"/>
      <w:marBottom w:val="0"/>
      <w:divBdr>
        <w:top w:val="none" w:sz="0" w:space="0" w:color="auto"/>
        <w:left w:val="none" w:sz="0" w:space="0" w:color="auto"/>
        <w:bottom w:val="none" w:sz="0" w:space="0" w:color="auto"/>
        <w:right w:val="none" w:sz="0" w:space="0" w:color="auto"/>
      </w:divBdr>
    </w:div>
    <w:div w:id="381254050">
      <w:bodyDiv w:val="1"/>
      <w:marLeft w:val="0"/>
      <w:marRight w:val="0"/>
      <w:marTop w:val="0"/>
      <w:marBottom w:val="0"/>
      <w:divBdr>
        <w:top w:val="none" w:sz="0" w:space="0" w:color="auto"/>
        <w:left w:val="none" w:sz="0" w:space="0" w:color="auto"/>
        <w:bottom w:val="none" w:sz="0" w:space="0" w:color="auto"/>
        <w:right w:val="none" w:sz="0" w:space="0" w:color="auto"/>
      </w:divBdr>
    </w:div>
    <w:div w:id="383142905">
      <w:bodyDiv w:val="1"/>
      <w:marLeft w:val="0"/>
      <w:marRight w:val="0"/>
      <w:marTop w:val="0"/>
      <w:marBottom w:val="0"/>
      <w:divBdr>
        <w:top w:val="none" w:sz="0" w:space="0" w:color="auto"/>
        <w:left w:val="none" w:sz="0" w:space="0" w:color="auto"/>
        <w:bottom w:val="none" w:sz="0" w:space="0" w:color="auto"/>
        <w:right w:val="none" w:sz="0" w:space="0" w:color="auto"/>
      </w:divBdr>
    </w:div>
    <w:div w:id="406802492">
      <w:bodyDiv w:val="1"/>
      <w:marLeft w:val="0"/>
      <w:marRight w:val="0"/>
      <w:marTop w:val="0"/>
      <w:marBottom w:val="0"/>
      <w:divBdr>
        <w:top w:val="none" w:sz="0" w:space="0" w:color="auto"/>
        <w:left w:val="none" w:sz="0" w:space="0" w:color="auto"/>
        <w:bottom w:val="none" w:sz="0" w:space="0" w:color="auto"/>
        <w:right w:val="none" w:sz="0" w:space="0" w:color="auto"/>
      </w:divBdr>
    </w:div>
    <w:div w:id="440882847">
      <w:bodyDiv w:val="1"/>
      <w:marLeft w:val="0"/>
      <w:marRight w:val="0"/>
      <w:marTop w:val="0"/>
      <w:marBottom w:val="0"/>
      <w:divBdr>
        <w:top w:val="none" w:sz="0" w:space="0" w:color="auto"/>
        <w:left w:val="none" w:sz="0" w:space="0" w:color="auto"/>
        <w:bottom w:val="none" w:sz="0" w:space="0" w:color="auto"/>
        <w:right w:val="none" w:sz="0" w:space="0" w:color="auto"/>
      </w:divBdr>
    </w:div>
    <w:div w:id="441070519">
      <w:bodyDiv w:val="1"/>
      <w:marLeft w:val="0"/>
      <w:marRight w:val="0"/>
      <w:marTop w:val="0"/>
      <w:marBottom w:val="0"/>
      <w:divBdr>
        <w:top w:val="none" w:sz="0" w:space="0" w:color="auto"/>
        <w:left w:val="none" w:sz="0" w:space="0" w:color="auto"/>
        <w:bottom w:val="none" w:sz="0" w:space="0" w:color="auto"/>
        <w:right w:val="none" w:sz="0" w:space="0" w:color="auto"/>
      </w:divBdr>
    </w:div>
    <w:div w:id="443623243">
      <w:bodyDiv w:val="1"/>
      <w:marLeft w:val="0"/>
      <w:marRight w:val="0"/>
      <w:marTop w:val="0"/>
      <w:marBottom w:val="0"/>
      <w:divBdr>
        <w:top w:val="none" w:sz="0" w:space="0" w:color="auto"/>
        <w:left w:val="none" w:sz="0" w:space="0" w:color="auto"/>
        <w:bottom w:val="none" w:sz="0" w:space="0" w:color="auto"/>
        <w:right w:val="none" w:sz="0" w:space="0" w:color="auto"/>
      </w:divBdr>
    </w:div>
    <w:div w:id="457993904">
      <w:bodyDiv w:val="1"/>
      <w:marLeft w:val="0"/>
      <w:marRight w:val="0"/>
      <w:marTop w:val="0"/>
      <w:marBottom w:val="0"/>
      <w:divBdr>
        <w:top w:val="none" w:sz="0" w:space="0" w:color="auto"/>
        <w:left w:val="none" w:sz="0" w:space="0" w:color="auto"/>
        <w:bottom w:val="none" w:sz="0" w:space="0" w:color="auto"/>
        <w:right w:val="none" w:sz="0" w:space="0" w:color="auto"/>
      </w:divBdr>
    </w:div>
    <w:div w:id="471557293">
      <w:bodyDiv w:val="1"/>
      <w:marLeft w:val="0"/>
      <w:marRight w:val="0"/>
      <w:marTop w:val="0"/>
      <w:marBottom w:val="0"/>
      <w:divBdr>
        <w:top w:val="none" w:sz="0" w:space="0" w:color="auto"/>
        <w:left w:val="none" w:sz="0" w:space="0" w:color="auto"/>
        <w:bottom w:val="none" w:sz="0" w:space="0" w:color="auto"/>
        <w:right w:val="none" w:sz="0" w:space="0" w:color="auto"/>
      </w:divBdr>
    </w:div>
    <w:div w:id="508103889">
      <w:bodyDiv w:val="1"/>
      <w:marLeft w:val="0"/>
      <w:marRight w:val="0"/>
      <w:marTop w:val="0"/>
      <w:marBottom w:val="0"/>
      <w:divBdr>
        <w:top w:val="none" w:sz="0" w:space="0" w:color="auto"/>
        <w:left w:val="none" w:sz="0" w:space="0" w:color="auto"/>
        <w:bottom w:val="none" w:sz="0" w:space="0" w:color="auto"/>
        <w:right w:val="none" w:sz="0" w:space="0" w:color="auto"/>
      </w:divBdr>
    </w:div>
    <w:div w:id="528832799">
      <w:bodyDiv w:val="1"/>
      <w:marLeft w:val="0"/>
      <w:marRight w:val="0"/>
      <w:marTop w:val="0"/>
      <w:marBottom w:val="0"/>
      <w:divBdr>
        <w:top w:val="none" w:sz="0" w:space="0" w:color="auto"/>
        <w:left w:val="none" w:sz="0" w:space="0" w:color="auto"/>
        <w:bottom w:val="none" w:sz="0" w:space="0" w:color="auto"/>
        <w:right w:val="none" w:sz="0" w:space="0" w:color="auto"/>
      </w:divBdr>
    </w:div>
    <w:div w:id="541480530">
      <w:bodyDiv w:val="1"/>
      <w:marLeft w:val="0"/>
      <w:marRight w:val="0"/>
      <w:marTop w:val="0"/>
      <w:marBottom w:val="0"/>
      <w:divBdr>
        <w:top w:val="none" w:sz="0" w:space="0" w:color="auto"/>
        <w:left w:val="none" w:sz="0" w:space="0" w:color="auto"/>
        <w:bottom w:val="none" w:sz="0" w:space="0" w:color="auto"/>
        <w:right w:val="none" w:sz="0" w:space="0" w:color="auto"/>
      </w:divBdr>
    </w:div>
    <w:div w:id="586764974">
      <w:bodyDiv w:val="1"/>
      <w:marLeft w:val="0"/>
      <w:marRight w:val="0"/>
      <w:marTop w:val="0"/>
      <w:marBottom w:val="0"/>
      <w:divBdr>
        <w:top w:val="none" w:sz="0" w:space="0" w:color="auto"/>
        <w:left w:val="none" w:sz="0" w:space="0" w:color="auto"/>
        <w:bottom w:val="none" w:sz="0" w:space="0" w:color="auto"/>
        <w:right w:val="none" w:sz="0" w:space="0" w:color="auto"/>
      </w:divBdr>
    </w:div>
    <w:div w:id="602734593">
      <w:bodyDiv w:val="1"/>
      <w:marLeft w:val="0"/>
      <w:marRight w:val="0"/>
      <w:marTop w:val="0"/>
      <w:marBottom w:val="0"/>
      <w:divBdr>
        <w:top w:val="none" w:sz="0" w:space="0" w:color="auto"/>
        <w:left w:val="none" w:sz="0" w:space="0" w:color="auto"/>
        <w:bottom w:val="none" w:sz="0" w:space="0" w:color="auto"/>
        <w:right w:val="none" w:sz="0" w:space="0" w:color="auto"/>
      </w:divBdr>
    </w:div>
    <w:div w:id="625309788">
      <w:bodyDiv w:val="1"/>
      <w:marLeft w:val="0"/>
      <w:marRight w:val="0"/>
      <w:marTop w:val="0"/>
      <w:marBottom w:val="0"/>
      <w:divBdr>
        <w:top w:val="none" w:sz="0" w:space="0" w:color="auto"/>
        <w:left w:val="none" w:sz="0" w:space="0" w:color="auto"/>
        <w:bottom w:val="none" w:sz="0" w:space="0" w:color="auto"/>
        <w:right w:val="none" w:sz="0" w:space="0" w:color="auto"/>
      </w:divBdr>
    </w:div>
    <w:div w:id="636255160">
      <w:bodyDiv w:val="1"/>
      <w:marLeft w:val="0"/>
      <w:marRight w:val="0"/>
      <w:marTop w:val="0"/>
      <w:marBottom w:val="0"/>
      <w:divBdr>
        <w:top w:val="none" w:sz="0" w:space="0" w:color="auto"/>
        <w:left w:val="none" w:sz="0" w:space="0" w:color="auto"/>
        <w:bottom w:val="none" w:sz="0" w:space="0" w:color="auto"/>
        <w:right w:val="none" w:sz="0" w:space="0" w:color="auto"/>
      </w:divBdr>
    </w:div>
    <w:div w:id="643855013">
      <w:bodyDiv w:val="1"/>
      <w:marLeft w:val="0"/>
      <w:marRight w:val="0"/>
      <w:marTop w:val="0"/>
      <w:marBottom w:val="0"/>
      <w:divBdr>
        <w:top w:val="none" w:sz="0" w:space="0" w:color="auto"/>
        <w:left w:val="none" w:sz="0" w:space="0" w:color="auto"/>
        <w:bottom w:val="none" w:sz="0" w:space="0" w:color="auto"/>
        <w:right w:val="none" w:sz="0" w:space="0" w:color="auto"/>
      </w:divBdr>
    </w:div>
    <w:div w:id="657075154">
      <w:bodyDiv w:val="1"/>
      <w:marLeft w:val="0"/>
      <w:marRight w:val="0"/>
      <w:marTop w:val="0"/>
      <w:marBottom w:val="0"/>
      <w:divBdr>
        <w:top w:val="none" w:sz="0" w:space="0" w:color="auto"/>
        <w:left w:val="none" w:sz="0" w:space="0" w:color="auto"/>
        <w:bottom w:val="none" w:sz="0" w:space="0" w:color="auto"/>
        <w:right w:val="none" w:sz="0" w:space="0" w:color="auto"/>
      </w:divBdr>
    </w:div>
    <w:div w:id="669873167">
      <w:bodyDiv w:val="1"/>
      <w:marLeft w:val="0"/>
      <w:marRight w:val="0"/>
      <w:marTop w:val="0"/>
      <w:marBottom w:val="0"/>
      <w:divBdr>
        <w:top w:val="none" w:sz="0" w:space="0" w:color="auto"/>
        <w:left w:val="none" w:sz="0" w:space="0" w:color="auto"/>
        <w:bottom w:val="none" w:sz="0" w:space="0" w:color="auto"/>
        <w:right w:val="none" w:sz="0" w:space="0" w:color="auto"/>
      </w:divBdr>
    </w:div>
    <w:div w:id="695738467">
      <w:bodyDiv w:val="1"/>
      <w:marLeft w:val="0"/>
      <w:marRight w:val="0"/>
      <w:marTop w:val="0"/>
      <w:marBottom w:val="0"/>
      <w:divBdr>
        <w:top w:val="none" w:sz="0" w:space="0" w:color="auto"/>
        <w:left w:val="none" w:sz="0" w:space="0" w:color="auto"/>
        <w:bottom w:val="none" w:sz="0" w:space="0" w:color="auto"/>
        <w:right w:val="none" w:sz="0" w:space="0" w:color="auto"/>
      </w:divBdr>
    </w:div>
    <w:div w:id="719012687">
      <w:bodyDiv w:val="1"/>
      <w:marLeft w:val="0"/>
      <w:marRight w:val="0"/>
      <w:marTop w:val="0"/>
      <w:marBottom w:val="0"/>
      <w:divBdr>
        <w:top w:val="none" w:sz="0" w:space="0" w:color="auto"/>
        <w:left w:val="none" w:sz="0" w:space="0" w:color="auto"/>
        <w:bottom w:val="none" w:sz="0" w:space="0" w:color="auto"/>
        <w:right w:val="none" w:sz="0" w:space="0" w:color="auto"/>
      </w:divBdr>
    </w:div>
    <w:div w:id="769737654">
      <w:bodyDiv w:val="1"/>
      <w:marLeft w:val="0"/>
      <w:marRight w:val="0"/>
      <w:marTop w:val="0"/>
      <w:marBottom w:val="0"/>
      <w:divBdr>
        <w:top w:val="none" w:sz="0" w:space="0" w:color="auto"/>
        <w:left w:val="none" w:sz="0" w:space="0" w:color="auto"/>
        <w:bottom w:val="none" w:sz="0" w:space="0" w:color="auto"/>
        <w:right w:val="none" w:sz="0" w:space="0" w:color="auto"/>
      </w:divBdr>
    </w:div>
    <w:div w:id="772749727">
      <w:bodyDiv w:val="1"/>
      <w:marLeft w:val="0"/>
      <w:marRight w:val="0"/>
      <w:marTop w:val="0"/>
      <w:marBottom w:val="0"/>
      <w:divBdr>
        <w:top w:val="none" w:sz="0" w:space="0" w:color="auto"/>
        <w:left w:val="none" w:sz="0" w:space="0" w:color="auto"/>
        <w:bottom w:val="none" w:sz="0" w:space="0" w:color="auto"/>
        <w:right w:val="none" w:sz="0" w:space="0" w:color="auto"/>
      </w:divBdr>
    </w:div>
    <w:div w:id="808863139">
      <w:bodyDiv w:val="1"/>
      <w:marLeft w:val="0"/>
      <w:marRight w:val="0"/>
      <w:marTop w:val="0"/>
      <w:marBottom w:val="0"/>
      <w:divBdr>
        <w:top w:val="none" w:sz="0" w:space="0" w:color="auto"/>
        <w:left w:val="none" w:sz="0" w:space="0" w:color="auto"/>
        <w:bottom w:val="none" w:sz="0" w:space="0" w:color="auto"/>
        <w:right w:val="none" w:sz="0" w:space="0" w:color="auto"/>
      </w:divBdr>
    </w:div>
    <w:div w:id="813452208">
      <w:bodyDiv w:val="1"/>
      <w:marLeft w:val="0"/>
      <w:marRight w:val="0"/>
      <w:marTop w:val="0"/>
      <w:marBottom w:val="0"/>
      <w:divBdr>
        <w:top w:val="none" w:sz="0" w:space="0" w:color="auto"/>
        <w:left w:val="none" w:sz="0" w:space="0" w:color="auto"/>
        <w:bottom w:val="none" w:sz="0" w:space="0" w:color="auto"/>
        <w:right w:val="none" w:sz="0" w:space="0" w:color="auto"/>
      </w:divBdr>
    </w:div>
    <w:div w:id="849874122">
      <w:bodyDiv w:val="1"/>
      <w:marLeft w:val="0"/>
      <w:marRight w:val="0"/>
      <w:marTop w:val="0"/>
      <w:marBottom w:val="0"/>
      <w:divBdr>
        <w:top w:val="none" w:sz="0" w:space="0" w:color="auto"/>
        <w:left w:val="none" w:sz="0" w:space="0" w:color="auto"/>
        <w:bottom w:val="none" w:sz="0" w:space="0" w:color="auto"/>
        <w:right w:val="none" w:sz="0" w:space="0" w:color="auto"/>
      </w:divBdr>
    </w:div>
    <w:div w:id="850682215">
      <w:bodyDiv w:val="1"/>
      <w:marLeft w:val="0"/>
      <w:marRight w:val="0"/>
      <w:marTop w:val="0"/>
      <w:marBottom w:val="0"/>
      <w:divBdr>
        <w:top w:val="none" w:sz="0" w:space="0" w:color="auto"/>
        <w:left w:val="none" w:sz="0" w:space="0" w:color="auto"/>
        <w:bottom w:val="none" w:sz="0" w:space="0" w:color="auto"/>
        <w:right w:val="none" w:sz="0" w:space="0" w:color="auto"/>
      </w:divBdr>
    </w:div>
    <w:div w:id="853307403">
      <w:bodyDiv w:val="1"/>
      <w:marLeft w:val="0"/>
      <w:marRight w:val="0"/>
      <w:marTop w:val="0"/>
      <w:marBottom w:val="0"/>
      <w:divBdr>
        <w:top w:val="none" w:sz="0" w:space="0" w:color="auto"/>
        <w:left w:val="none" w:sz="0" w:space="0" w:color="auto"/>
        <w:bottom w:val="none" w:sz="0" w:space="0" w:color="auto"/>
        <w:right w:val="none" w:sz="0" w:space="0" w:color="auto"/>
      </w:divBdr>
    </w:div>
    <w:div w:id="879197846">
      <w:bodyDiv w:val="1"/>
      <w:marLeft w:val="0"/>
      <w:marRight w:val="0"/>
      <w:marTop w:val="0"/>
      <w:marBottom w:val="0"/>
      <w:divBdr>
        <w:top w:val="none" w:sz="0" w:space="0" w:color="auto"/>
        <w:left w:val="none" w:sz="0" w:space="0" w:color="auto"/>
        <w:bottom w:val="none" w:sz="0" w:space="0" w:color="auto"/>
        <w:right w:val="none" w:sz="0" w:space="0" w:color="auto"/>
      </w:divBdr>
    </w:div>
    <w:div w:id="888298339">
      <w:bodyDiv w:val="1"/>
      <w:marLeft w:val="0"/>
      <w:marRight w:val="0"/>
      <w:marTop w:val="0"/>
      <w:marBottom w:val="0"/>
      <w:divBdr>
        <w:top w:val="none" w:sz="0" w:space="0" w:color="auto"/>
        <w:left w:val="none" w:sz="0" w:space="0" w:color="auto"/>
        <w:bottom w:val="none" w:sz="0" w:space="0" w:color="auto"/>
        <w:right w:val="none" w:sz="0" w:space="0" w:color="auto"/>
      </w:divBdr>
    </w:div>
    <w:div w:id="898904303">
      <w:bodyDiv w:val="1"/>
      <w:marLeft w:val="0"/>
      <w:marRight w:val="0"/>
      <w:marTop w:val="0"/>
      <w:marBottom w:val="0"/>
      <w:divBdr>
        <w:top w:val="none" w:sz="0" w:space="0" w:color="auto"/>
        <w:left w:val="none" w:sz="0" w:space="0" w:color="auto"/>
        <w:bottom w:val="none" w:sz="0" w:space="0" w:color="auto"/>
        <w:right w:val="none" w:sz="0" w:space="0" w:color="auto"/>
      </w:divBdr>
    </w:div>
    <w:div w:id="899369270">
      <w:bodyDiv w:val="1"/>
      <w:marLeft w:val="0"/>
      <w:marRight w:val="0"/>
      <w:marTop w:val="0"/>
      <w:marBottom w:val="0"/>
      <w:divBdr>
        <w:top w:val="none" w:sz="0" w:space="0" w:color="auto"/>
        <w:left w:val="none" w:sz="0" w:space="0" w:color="auto"/>
        <w:bottom w:val="none" w:sz="0" w:space="0" w:color="auto"/>
        <w:right w:val="none" w:sz="0" w:space="0" w:color="auto"/>
      </w:divBdr>
    </w:div>
    <w:div w:id="935404498">
      <w:bodyDiv w:val="1"/>
      <w:marLeft w:val="0"/>
      <w:marRight w:val="0"/>
      <w:marTop w:val="0"/>
      <w:marBottom w:val="0"/>
      <w:divBdr>
        <w:top w:val="none" w:sz="0" w:space="0" w:color="auto"/>
        <w:left w:val="none" w:sz="0" w:space="0" w:color="auto"/>
        <w:bottom w:val="none" w:sz="0" w:space="0" w:color="auto"/>
        <w:right w:val="none" w:sz="0" w:space="0" w:color="auto"/>
      </w:divBdr>
    </w:div>
    <w:div w:id="947274952">
      <w:bodyDiv w:val="1"/>
      <w:marLeft w:val="0"/>
      <w:marRight w:val="0"/>
      <w:marTop w:val="0"/>
      <w:marBottom w:val="0"/>
      <w:divBdr>
        <w:top w:val="none" w:sz="0" w:space="0" w:color="auto"/>
        <w:left w:val="none" w:sz="0" w:space="0" w:color="auto"/>
        <w:bottom w:val="none" w:sz="0" w:space="0" w:color="auto"/>
        <w:right w:val="none" w:sz="0" w:space="0" w:color="auto"/>
      </w:divBdr>
    </w:div>
    <w:div w:id="958803697">
      <w:bodyDiv w:val="1"/>
      <w:marLeft w:val="0"/>
      <w:marRight w:val="0"/>
      <w:marTop w:val="0"/>
      <w:marBottom w:val="0"/>
      <w:divBdr>
        <w:top w:val="none" w:sz="0" w:space="0" w:color="auto"/>
        <w:left w:val="none" w:sz="0" w:space="0" w:color="auto"/>
        <w:bottom w:val="none" w:sz="0" w:space="0" w:color="auto"/>
        <w:right w:val="none" w:sz="0" w:space="0" w:color="auto"/>
      </w:divBdr>
    </w:div>
    <w:div w:id="1020815356">
      <w:bodyDiv w:val="1"/>
      <w:marLeft w:val="0"/>
      <w:marRight w:val="0"/>
      <w:marTop w:val="0"/>
      <w:marBottom w:val="0"/>
      <w:divBdr>
        <w:top w:val="none" w:sz="0" w:space="0" w:color="auto"/>
        <w:left w:val="none" w:sz="0" w:space="0" w:color="auto"/>
        <w:bottom w:val="none" w:sz="0" w:space="0" w:color="auto"/>
        <w:right w:val="none" w:sz="0" w:space="0" w:color="auto"/>
      </w:divBdr>
    </w:div>
    <w:div w:id="1063790794">
      <w:bodyDiv w:val="1"/>
      <w:marLeft w:val="0"/>
      <w:marRight w:val="0"/>
      <w:marTop w:val="0"/>
      <w:marBottom w:val="0"/>
      <w:divBdr>
        <w:top w:val="none" w:sz="0" w:space="0" w:color="auto"/>
        <w:left w:val="none" w:sz="0" w:space="0" w:color="auto"/>
        <w:bottom w:val="none" w:sz="0" w:space="0" w:color="auto"/>
        <w:right w:val="none" w:sz="0" w:space="0" w:color="auto"/>
      </w:divBdr>
    </w:div>
    <w:div w:id="1111780462">
      <w:bodyDiv w:val="1"/>
      <w:marLeft w:val="0"/>
      <w:marRight w:val="0"/>
      <w:marTop w:val="0"/>
      <w:marBottom w:val="0"/>
      <w:divBdr>
        <w:top w:val="none" w:sz="0" w:space="0" w:color="auto"/>
        <w:left w:val="none" w:sz="0" w:space="0" w:color="auto"/>
        <w:bottom w:val="none" w:sz="0" w:space="0" w:color="auto"/>
        <w:right w:val="none" w:sz="0" w:space="0" w:color="auto"/>
      </w:divBdr>
    </w:div>
    <w:div w:id="1136336639">
      <w:bodyDiv w:val="1"/>
      <w:marLeft w:val="0"/>
      <w:marRight w:val="0"/>
      <w:marTop w:val="0"/>
      <w:marBottom w:val="0"/>
      <w:divBdr>
        <w:top w:val="none" w:sz="0" w:space="0" w:color="auto"/>
        <w:left w:val="none" w:sz="0" w:space="0" w:color="auto"/>
        <w:bottom w:val="none" w:sz="0" w:space="0" w:color="auto"/>
        <w:right w:val="none" w:sz="0" w:space="0" w:color="auto"/>
      </w:divBdr>
    </w:div>
    <w:div w:id="1163854354">
      <w:bodyDiv w:val="1"/>
      <w:marLeft w:val="0"/>
      <w:marRight w:val="0"/>
      <w:marTop w:val="0"/>
      <w:marBottom w:val="0"/>
      <w:divBdr>
        <w:top w:val="none" w:sz="0" w:space="0" w:color="auto"/>
        <w:left w:val="none" w:sz="0" w:space="0" w:color="auto"/>
        <w:bottom w:val="none" w:sz="0" w:space="0" w:color="auto"/>
        <w:right w:val="none" w:sz="0" w:space="0" w:color="auto"/>
      </w:divBdr>
    </w:div>
    <w:div w:id="1166941754">
      <w:bodyDiv w:val="1"/>
      <w:marLeft w:val="0"/>
      <w:marRight w:val="0"/>
      <w:marTop w:val="0"/>
      <w:marBottom w:val="0"/>
      <w:divBdr>
        <w:top w:val="none" w:sz="0" w:space="0" w:color="auto"/>
        <w:left w:val="none" w:sz="0" w:space="0" w:color="auto"/>
        <w:bottom w:val="none" w:sz="0" w:space="0" w:color="auto"/>
        <w:right w:val="none" w:sz="0" w:space="0" w:color="auto"/>
      </w:divBdr>
    </w:div>
    <w:div w:id="1186019090">
      <w:bodyDiv w:val="1"/>
      <w:marLeft w:val="0"/>
      <w:marRight w:val="0"/>
      <w:marTop w:val="0"/>
      <w:marBottom w:val="0"/>
      <w:divBdr>
        <w:top w:val="none" w:sz="0" w:space="0" w:color="auto"/>
        <w:left w:val="none" w:sz="0" w:space="0" w:color="auto"/>
        <w:bottom w:val="none" w:sz="0" w:space="0" w:color="auto"/>
        <w:right w:val="none" w:sz="0" w:space="0" w:color="auto"/>
      </w:divBdr>
    </w:div>
    <w:div w:id="1226139827">
      <w:bodyDiv w:val="1"/>
      <w:marLeft w:val="0"/>
      <w:marRight w:val="0"/>
      <w:marTop w:val="0"/>
      <w:marBottom w:val="0"/>
      <w:divBdr>
        <w:top w:val="none" w:sz="0" w:space="0" w:color="auto"/>
        <w:left w:val="none" w:sz="0" w:space="0" w:color="auto"/>
        <w:bottom w:val="none" w:sz="0" w:space="0" w:color="auto"/>
        <w:right w:val="none" w:sz="0" w:space="0" w:color="auto"/>
      </w:divBdr>
    </w:div>
    <w:div w:id="1227909008">
      <w:bodyDiv w:val="1"/>
      <w:marLeft w:val="0"/>
      <w:marRight w:val="0"/>
      <w:marTop w:val="0"/>
      <w:marBottom w:val="0"/>
      <w:divBdr>
        <w:top w:val="none" w:sz="0" w:space="0" w:color="auto"/>
        <w:left w:val="none" w:sz="0" w:space="0" w:color="auto"/>
        <w:bottom w:val="none" w:sz="0" w:space="0" w:color="auto"/>
        <w:right w:val="none" w:sz="0" w:space="0" w:color="auto"/>
      </w:divBdr>
    </w:div>
    <w:div w:id="1261185178">
      <w:bodyDiv w:val="1"/>
      <w:marLeft w:val="0"/>
      <w:marRight w:val="0"/>
      <w:marTop w:val="0"/>
      <w:marBottom w:val="0"/>
      <w:divBdr>
        <w:top w:val="none" w:sz="0" w:space="0" w:color="auto"/>
        <w:left w:val="none" w:sz="0" w:space="0" w:color="auto"/>
        <w:bottom w:val="none" w:sz="0" w:space="0" w:color="auto"/>
        <w:right w:val="none" w:sz="0" w:space="0" w:color="auto"/>
      </w:divBdr>
    </w:div>
    <w:div w:id="1287203590">
      <w:bodyDiv w:val="1"/>
      <w:marLeft w:val="0"/>
      <w:marRight w:val="0"/>
      <w:marTop w:val="0"/>
      <w:marBottom w:val="0"/>
      <w:divBdr>
        <w:top w:val="none" w:sz="0" w:space="0" w:color="auto"/>
        <w:left w:val="none" w:sz="0" w:space="0" w:color="auto"/>
        <w:bottom w:val="none" w:sz="0" w:space="0" w:color="auto"/>
        <w:right w:val="none" w:sz="0" w:space="0" w:color="auto"/>
      </w:divBdr>
    </w:div>
    <w:div w:id="1301033201">
      <w:bodyDiv w:val="1"/>
      <w:marLeft w:val="0"/>
      <w:marRight w:val="0"/>
      <w:marTop w:val="0"/>
      <w:marBottom w:val="0"/>
      <w:divBdr>
        <w:top w:val="none" w:sz="0" w:space="0" w:color="auto"/>
        <w:left w:val="none" w:sz="0" w:space="0" w:color="auto"/>
        <w:bottom w:val="none" w:sz="0" w:space="0" w:color="auto"/>
        <w:right w:val="none" w:sz="0" w:space="0" w:color="auto"/>
      </w:divBdr>
    </w:div>
    <w:div w:id="1336306640">
      <w:bodyDiv w:val="1"/>
      <w:marLeft w:val="0"/>
      <w:marRight w:val="0"/>
      <w:marTop w:val="0"/>
      <w:marBottom w:val="0"/>
      <w:divBdr>
        <w:top w:val="none" w:sz="0" w:space="0" w:color="auto"/>
        <w:left w:val="none" w:sz="0" w:space="0" w:color="auto"/>
        <w:bottom w:val="none" w:sz="0" w:space="0" w:color="auto"/>
        <w:right w:val="none" w:sz="0" w:space="0" w:color="auto"/>
      </w:divBdr>
    </w:div>
    <w:div w:id="1375496321">
      <w:bodyDiv w:val="1"/>
      <w:marLeft w:val="0"/>
      <w:marRight w:val="0"/>
      <w:marTop w:val="0"/>
      <w:marBottom w:val="0"/>
      <w:divBdr>
        <w:top w:val="none" w:sz="0" w:space="0" w:color="auto"/>
        <w:left w:val="none" w:sz="0" w:space="0" w:color="auto"/>
        <w:bottom w:val="none" w:sz="0" w:space="0" w:color="auto"/>
        <w:right w:val="none" w:sz="0" w:space="0" w:color="auto"/>
      </w:divBdr>
    </w:div>
    <w:div w:id="1378778799">
      <w:bodyDiv w:val="1"/>
      <w:marLeft w:val="0"/>
      <w:marRight w:val="0"/>
      <w:marTop w:val="0"/>
      <w:marBottom w:val="0"/>
      <w:divBdr>
        <w:top w:val="none" w:sz="0" w:space="0" w:color="auto"/>
        <w:left w:val="none" w:sz="0" w:space="0" w:color="auto"/>
        <w:bottom w:val="none" w:sz="0" w:space="0" w:color="auto"/>
        <w:right w:val="none" w:sz="0" w:space="0" w:color="auto"/>
      </w:divBdr>
    </w:div>
    <w:div w:id="1383405104">
      <w:bodyDiv w:val="1"/>
      <w:marLeft w:val="0"/>
      <w:marRight w:val="0"/>
      <w:marTop w:val="0"/>
      <w:marBottom w:val="0"/>
      <w:divBdr>
        <w:top w:val="none" w:sz="0" w:space="0" w:color="auto"/>
        <w:left w:val="none" w:sz="0" w:space="0" w:color="auto"/>
        <w:bottom w:val="none" w:sz="0" w:space="0" w:color="auto"/>
        <w:right w:val="none" w:sz="0" w:space="0" w:color="auto"/>
      </w:divBdr>
      <w:divsChild>
        <w:div w:id="668368383">
          <w:marLeft w:val="0"/>
          <w:marRight w:val="0"/>
          <w:marTop w:val="0"/>
          <w:marBottom w:val="0"/>
          <w:divBdr>
            <w:top w:val="none" w:sz="0" w:space="0" w:color="auto"/>
            <w:left w:val="none" w:sz="0" w:space="0" w:color="auto"/>
            <w:bottom w:val="none" w:sz="0" w:space="0" w:color="auto"/>
            <w:right w:val="none" w:sz="0" w:space="0" w:color="auto"/>
          </w:divBdr>
          <w:divsChild>
            <w:div w:id="1041435867">
              <w:marLeft w:val="0"/>
              <w:marRight w:val="0"/>
              <w:marTop w:val="0"/>
              <w:marBottom w:val="0"/>
              <w:divBdr>
                <w:top w:val="none" w:sz="0" w:space="0" w:color="auto"/>
                <w:left w:val="none" w:sz="0" w:space="0" w:color="auto"/>
                <w:bottom w:val="none" w:sz="0" w:space="0" w:color="auto"/>
                <w:right w:val="none" w:sz="0" w:space="0" w:color="auto"/>
              </w:divBdr>
              <w:divsChild>
                <w:div w:id="619722714">
                  <w:marLeft w:val="0"/>
                  <w:marRight w:val="0"/>
                  <w:marTop w:val="0"/>
                  <w:marBottom w:val="0"/>
                  <w:divBdr>
                    <w:top w:val="none" w:sz="0" w:space="0" w:color="auto"/>
                    <w:left w:val="none" w:sz="0" w:space="0" w:color="auto"/>
                    <w:bottom w:val="none" w:sz="0" w:space="0" w:color="auto"/>
                    <w:right w:val="none" w:sz="0" w:space="0" w:color="auto"/>
                  </w:divBdr>
                  <w:divsChild>
                    <w:div w:id="1166046053">
                      <w:marLeft w:val="150"/>
                      <w:marRight w:val="150"/>
                      <w:marTop w:val="0"/>
                      <w:marBottom w:val="0"/>
                      <w:divBdr>
                        <w:top w:val="none" w:sz="0" w:space="0" w:color="auto"/>
                        <w:left w:val="none" w:sz="0" w:space="0" w:color="auto"/>
                        <w:bottom w:val="none" w:sz="0" w:space="0" w:color="auto"/>
                        <w:right w:val="none" w:sz="0" w:space="0" w:color="auto"/>
                      </w:divBdr>
                      <w:divsChild>
                        <w:div w:id="809713060">
                          <w:marLeft w:val="0"/>
                          <w:marRight w:val="0"/>
                          <w:marTop w:val="0"/>
                          <w:marBottom w:val="0"/>
                          <w:divBdr>
                            <w:top w:val="none" w:sz="0" w:space="0" w:color="auto"/>
                            <w:left w:val="none" w:sz="0" w:space="0" w:color="auto"/>
                            <w:bottom w:val="none" w:sz="0" w:space="0" w:color="auto"/>
                            <w:right w:val="none" w:sz="0" w:space="0" w:color="auto"/>
                          </w:divBdr>
                          <w:divsChild>
                            <w:div w:id="1089160471">
                              <w:marLeft w:val="0"/>
                              <w:marRight w:val="0"/>
                              <w:marTop w:val="0"/>
                              <w:marBottom w:val="240"/>
                              <w:divBdr>
                                <w:top w:val="none" w:sz="0" w:space="0" w:color="auto"/>
                                <w:left w:val="none" w:sz="0" w:space="0" w:color="auto"/>
                                <w:bottom w:val="none" w:sz="0" w:space="0" w:color="auto"/>
                                <w:right w:val="none" w:sz="0" w:space="0" w:color="auto"/>
                              </w:divBdr>
                              <w:divsChild>
                                <w:div w:id="1692871578">
                                  <w:marLeft w:val="0"/>
                                  <w:marRight w:val="0"/>
                                  <w:marTop w:val="0"/>
                                  <w:marBottom w:val="0"/>
                                  <w:divBdr>
                                    <w:top w:val="none" w:sz="0" w:space="0" w:color="auto"/>
                                    <w:left w:val="none" w:sz="0" w:space="0" w:color="auto"/>
                                    <w:bottom w:val="none" w:sz="0" w:space="0" w:color="auto"/>
                                    <w:right w:val="none" w:sz="0" w:space="0" w:color="auto"/>
                                  </w:divBdr>
                                  <w:divsChild>
                                    <w:div w:id="1577471481">
                                      <w:marLeft w:val="0"/>
                                      <w:marRight w:val="0"/>
                                      <w:marTop w:val="0"/>
                                      <w:marBottom w:val="0"/>
                                      <w:divBdr>
                                        <w:top w:val="none" w:sz="0" w:space="0" w:color="auto"/>
                                        <w:left w:val="none" w:sz="0" w:space="0" w:color="auto"/>
                                        <w:bottom w:val="none" w:sz="0" w:space="0" w:color="auto"/>
                                        <w:right w:val="none" w:sz="0" w:space="0" w:color="auto"/>
                                      </w:divBdr>
                                      <w:divsChild>
                                        <w:div w:id="31463678">
                                          <w:marLeft w:val="0"/>
                                          <w:marRight w:val="0"/>
                                          <w:marTop w:val="0"/>
                                          <w:marBottom w:val="0"/>
                                          <w:divBdr>
                                            <w:top w:val="none" w:sz="0" w:space="0" w:color="auto"/>
                                            <w:left w:val="none" w:sz="0" w:space="0" w:color="auto"/>
                                            <w:bottom w:val="none" w:sz="0" w:space="0" w:color="auto"/>
                                            <w:right w:val="none" w:sz="0" w:space="0" w:color="auto"/>
                                          </w:divBdr>
                                          <w:divsChild>
                                            <w:div w:id="1523740870">
                                              <w:marLeft w:val="0"/>
                                              <w:marRight w:val="0"/>
                                              <w:marTop w:val="0"/>
                                              <w:marBottom w:val="0"/>
                                              <w:divBdr>
                                                <w:top w:val="none" w:sz="0" w:space="0" w:color="auto"/>
                                                <w:left w:val="none" w:sz="0" w:space="0" w:color="auto"/>
                                                <w:bottom w:val="none" w:sz="0" w:space="0" w:color="auto"/>
                                                <w:right w:val="none" w:sz="0" w:space="0" w:color="auto"/>
                                              </w:divBdr>
                                              <w:divsChild>
                                                <w:div w:id="1742101783">
                                                  <w:marLeft w:val="0"/>
                                                  <w:marRight w:val="0"/>
                                                  <w:marTop w:val="0"/>
                                                  <w:marBottom w:val="0"/>
                                                  <w:divBdr>
                                                    <w:top w:val="none" w:sz="0" w:space="0" w:color="auto"/>
                                                    <w:left w:val="none" w:sz="0" w:space="0" w:color="auto"/>
                                                    <w:bottom w:val="none" w:sz="0" w:space="0" w:color="auto"/>
                                                    <w:right w:val="none" w:sz="0" w:space="0" w:color="auto"/>
                                                  </w:divBdr>
                                                  <w:divsChild>
                                                    <w:div w:id="5434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347944">
      <w:bodyDiv w:val="1"/>
      <w:marLeft w:val="0"/>
      <w:marRight w:val="0"/>
      <w:marTop w:val="0"/>
      <w:marBottom w:val="0"/>
      <w:divBdr>
        <w:top w:val="none" w:sz="0" w:space="0" w:color="auto"/>
        <w:left w:val="none" w:sz="0" w:space="0" w:color="auto"/>
        <w:bottom w:val="none" w:sz="0" w:space="0" w:color="auto"/>
        <w:right w:val="none" w:sz="0" w:space="0" w:color="auto"/>
      </w:divBdr>
    </w:div>
    <w:div w:id="1412434778">
      <w:bodyDiv w:val="1"/>
      <w:marLeft w:val="0"/>
      <w:marRight w:val="0"/>
      <w:marTop w:val="0"/>
      <w:marBottom w:val="0"/>
      <w:divBdr>
        <w:top w:val="none" w:sz="0" w:space="0" w:color="auto"/>
        <w:left w:val="none" w:sz="0" w:space="0" w:color="auto"/>
        <w:bottom w:val="none" w:sz="0" w:space="0" w:color="auto"/>
        <w:right w:val="none" w:sz="0" w:space="0" w:color="auto"/>
      </w:divBdr>
    </w:div>
    <w:div w:id="1431658020">
      <w:bodyDiv w:val="1"/>
      <w:marLeft w:val="0"/>
      <w:marRight w:val="0"/>
      <w:marTop w:val="0"/>
      <w:marBottom w:val="0"/>
      <w:divBdr>
        <w:top w:val="none" w:sz="0" w:space="0" w:color="auto"/>
        <w:left w:val="none" w:sz="0" w:space="0" w:color="auto"/>
        <w:bottom w:val="none" w:sz="0" w:space="0" w:color="auto"/>
        <w:right w:val="none" w:sz="0" w:space="0" w:color="auto"/>
      </w:divBdr>
    </w:div>
    <w:div w:id="1454708605">
      <w:bodyDiv w:val="1"/>
      <w:marLeft w:val="0"/>
      <w:marRight w:val="0"/>
      <w:marTop w:val="0"/>
      <w:marBottom w:val="0"/>
      <w:divBdr>
        <w:top w:val="none" w:sz="0" w:space="0" w:color="auto"/>
        <w:left w:val="none" w:sz="0" w:space="0" w:color="auto"/>
        <w:bottom w:val="none" w:sz="0" w:space="0" w:color="auto"/>
        <w:right w:val="none" w:sz="0" w:space="0" w:color="auto"/>
      </w:divBdr>
    </w:div>
    <w:div w:id="1470629575">
      <w:bodyDiv w:val="1"/>
      <w:marLeft w:val="0"/>
      <w:marRight w:val="0"/>
      <w:marTop w:val="0"/>
      <w:marBottom w:val="0"/>
      <w:divBdr>
        <w:top w:val="none" w:sz="0" w:space="0" w:color="auto"/>
        <w:left w:val="none" w:sz="0" w:space="0" w:color="auto"/>
        <w:bottom w:val="none" w:sz="0" w:space="0" w:color="auto"/>
        <w:right w:val="none" w:sz="0" w:space="0" w:color="auto"/>
      </w:divBdr>
    </w:div>
    <w:div w:id="1472089204">
      <w:bodyDiv w:val="1"/>
      <w:marLeft w:val="0"/>
      <w:marRight w:val="0"/>
      <w:marTop w:val="0"/>
      <w:marBottom w:val="0"/>
      <w:divBdr>
        <w:top w:val="none" w:sz="0" w:space="0" w:color="auto"/>
        <w:left w:val="none" w:sz="0" w:space="0" w:color="auto"/>
        <w:bottom w:val="none" w:sz="0" w:space="0" w:color="auto"/>
        <w:right w:val="none" w:sz="0" w:space="0" w:color="auto"/>
      </w:divBdr>
    </w:div>
    <w:div w:id="1511143886">
      <w:bodyDiv w:val="1"/>
      <w:marLeft w:val="0"/>
      <w:marRight w:val="0"/>
      <w:marTop w:val="0"/>
      <w:marBottom w:val="0"/>
      <w:divBdr>
        <w:top w:val="none" w:sz="0" w:space="0" w:color="auto"/>
        <w:left w:val="none" w:sz="0" w:space="0" w:color="auto"/>
        <w:bottom w:val="none" w:sz="0" w:space="0" w:color="auto"/>
        <w:right w:val="none" w:sz="0" w:space="0" w:color="auto"/>
      </w:divBdr>
    </w:div>
    <w:div w:id="1539657983">
      <w:bodyDiv w:val="1"/>
      <w:marLeft w:val="0"/>
      <w:marRight w:val="0"/>
      <w:marTop w:val="0"/>
      <w:marBottom w:val="0"/>
      <w:divBdr>
        <w:top w:val="none" w:sz="0" w:space="0" w:color="auto"/>
        <w:left w:val="none" w:sz="0" w:space="0" w:color="auto"/>
        <w:bottom w:val="none" w:sz="0" w:space="0" w:color="auto"/>
        <w:right w:val="none" w:sz="0" w:space="0" w:color="auto"/>
      </w:divBdr>
    </w:div>
    <w:div w:id="1543635147">
      <w:bodyDiv w:val="1"/>
      <w:marLeft w:val="0"/>
      <w:marRight w:val="0"/>
      <w:marTop w:val="0"/>
      <w:marBottom w:val="0"/>
      <w:divBdr>
        <w:top w:val="none" w:sz="0" w:space="0" w:color="auto"/>
        <w:left w:val="none" w:sz="0" w:space="0" w:color="auto"/>
        <w:bottom w:val="none" w:sz="0" w:space="0" w:color="auto"/>
        <w:right w:val="none" w:sz="0" w:space="0" w:color="auto"/>
      </w:divBdr>
    </w:div>
    <w:div w:id="1564411577">
      <w:bodyDiv w:val="1"/>
      <w:marLeft w:val="0"/>
      <w:marRight w:val="0"/>
      <w:marTop w:val="0"/>
      <w:marBottom w:val="0"/>
      <w:divBdr>
        <w:top w:val="none" w:sz="0" w:space="0" w:color="auto"/>
        <w:left w:val="none" w:sz="0" w:space="0" w:color="auto"/>
        <w:bottom w:val="none" w:sz="0" w:space="0" w:color="auto"/>
        <w:right w:val="none" w:sz="0" w:space="0" w:color="auto"/>
      </w:divBdr>
    </w:div>
    <w:div w:id="1566724742">
      <w:bodyDiv w:val="1"/>
      <w:marLeft w:val="0"/>
      <w:marRight w:val="0"/>
      <w:marTop w:val="0"/>
      <w:marBottom w:val="0"/>
      <w:divBdr>
        <w:top w:val="none" w:sz="0" w:space="0" w:color="auto"/>
        <w:left w:val="none" w:sz="0" w:space="0" w:color="auto"/>
        <w:bottom w:val="none" w:sz="0" w:space="0" w:color="auto"/>
        <w:right w:val="none" w:sz="0" w:space="0" w:color="auto"/>
      </w:divBdr>
    </w:div>
    <w:div w:id="1587226942">
      <w:bodyDiv w:val="1"/>
      <w:marLeft w:val="0"/>
      <w:marRight w:val="0"/>
      <w:marTop w:val="0"/>
      <w:marBottom w:val="0"/>
      <w:divBdr>
        <w:top w:val="none" w:sz="0" w:space="0" w:color="auto"/>
        <w:left w:val="none" w:sz="0" w:space="0" w:color="auto"/>
        <w:bottom w:val="none" w:sz="0" w:space="0" w:color="auto"/>
        <w:right w:val="none" w:sz="0" w:space="0" w:color="auto"/>
      </w:divBdr>
    </w:div>
    <w:div w:id="1587500484">
      <w:bodyDiv w:val="1"/>
      <w:marLeft w:val="0"/>
      <w:marRight w:val="0"/>
      <w:marTop w:val="0"/>
      <w:marBottom w:val="0"/>
      <w:divBdr>
        <w:top w:val="none" w:sz="0" w:space="0" w:color="auto"/>
        <w:left w:val="none" w:sz="0" w:space="0" w:color="auto"/>
        <w:bottom w:val="none" w:sz="0" w:space="0" w:color="auto"/>
        <w:right w:val="none" w:sz="0" w:space="0" w:color="auto"/>
      </w:divBdr>
    </w:div>
    <w:div w:id="1588879506">
      <w:bodyDiv w:val="1"/>
      <w:marLeft w:val="0"/>
      <w:marRight w:val="0"/>
      <w:marTop w:val="0"/>
      <w:marBottom w:val="0"/>
      <w:divBdr>
        <w:top w:val="none" w:sz="0" w:space="0" w:color="auto"/>
        <w:left w:val="none" w:sz="0" w:space="0" w:color="auto"/>
        <w:bottom w:val="none" w:sz="0" w:space="0" w:color="auto"/>
        <w:right w:val="none" w:sz="0" w:space="0" w:color="auto"/>
      </w:divBdr>
    </w:div>
    <w:div w:id="1596743202">
      <w:bodyDiv w:val="1"/>
      <w:marLeft w:val="0"/>
      <w:marRight w:val="0"/>
      <w:marTop w:val="0"/>
      <w:marBottom w:val="0"/>
      <w:divBdr>
        <w:top w:val="none" w:sz="0" w:space="0" w:color="auto"/>
        <w:left w:val="none" w:sz="0" w:space="0" w:color="auto"/>
        <w:bottom w:val="none" w:sz="0" w:space="0" w:color="auto"/>
        <w:right w:val="none" w:sz="0" w:space="0" w:color="auto"/>
      </w:divBdr>
    </w:div>
    <w:div w:id="1600676736">
      <w:bodyDiv w:val="1"/>
      <w:marLeft w:val="0"/>
      <w:marRight w:val="0"/>
      <w:marTop w:val="0"/>
      <w:marBottom w:val="0"/>
      <w:divBdr>
        <w:top w:val="none" w:sz="0" w:space="0" w:color="auto"/>
        <w:left w:val="none" w:sz="0" w:space="0" w:color="auto"/>
        <w:bottom w:val="none" w:sz="0" w:space="0" w:color="auto"/>
        <w:right w:val="none" w:sz="0" w:space="0" w:color="auto"/>
      </w:divBdr>
    </w:div>
    <w:div w:id="1694765276">
      <w:bodyDiv w:val="1"/>
      <w:marLeft w:val="0"/>
      <w:marRight w:val="0"/>
      <w:marTop w:val="0"/>
      <w:marBottom w:val="0"/>
      <w:divBdr>
        <w:top w:val="none" w:sz="0" w:space="0" w:color="auto"/>
        <w:left w:val="none" w:sz="0" w:space="0" w:color="auto"/>
        <w:bottom w:val="none" w:sz="0" w:space="0" w:color="auto"/>
        <w:right w:val="none" w:sz="0" w:space="0" w:color="auto"/>
      </w:divBdr>
    </w:div>
    <w:div w:id="1706754687">
      <w:bodyDiv w:val="1"/>
      <w:marLeft w:val="0"/>
      <w:marRight w:val="0"/>
      <w:marTop w:val="0"/>
      <w:marBottom w:val="0"/>
      <w:divBdr>
        <w:top w:val="none" w:sz="0" w:space="0" w:color="auto"/>
        <w:left w:val="none" w:sz="0" w:space="0" w:color="auto"/>
        <w:bottom w:val="none" w:sz="0" w:space="0" w:color="auto"/>
        <w:right w:val="none" w:sz="0" w:space="0" w:color="auto"/>
      </w:divBdr>
    </w:div>
    <w:div w:id="1744138327">
      <w:bodyDiv w:val="1"/>
      <w:marLeft w:val="0"/>
      <w:marRight w:val="0"/>
      <w:marTop w:val="0"/>
      <w:marBottom w:val="0"/>
      <w:divBdr>
        <w:top w:val="none" w:sz="0" w:space="0" w:color="auto"/>
        <w:left w:val="none" w:sz="0" w:space="0" w:color="auto"/>
        <w:bottom w:val="none" w:sz="0" w:space="0" w:color="auto"/>
        <w:right w:val="none" w:sz="0" w:space="0" w:color="auto"/>
      </w:divBdr>
    </w:div>
    <w:div w:id="1753576419">
      <w:bodyDiv w:val="1"/>
      <w:marLeft w:val="0"/>
      <w:marRight w:val="0"/>
      <w:marTop w:val="0"/>
      <w:marBottom w:val="0"/>
      <w:divBdr>
        <w:top w:val="none" w:sz="0" w:space="0" w:color="auto"/>
        <w:left w:val="none" w:sz="0" w:space="0" w:color="auto"/>
        <w:bottom w:val="none" w:sz="0" w:space="0" w:color="auto"/>
        <w:right w:val="none" w:sz="0" w:space="0" w:color="auto"/>
      </w:divBdr>
    </w:div>
    <w:div w:id="1755666766">
      <w:bodyDiv w:val="1"/>
      <w:marLeft w:val="0"/>
      <w:marRight w:val="0"/>
      <w:marTop w:val="0"/>
      <w:marBottom w:val="0"/>
      <w:divBdr>
        <w:top w:val="none" w:sz="0" w:space="0" w:color="auto"/>
        <w:left w:val="none" w:sz="0" w:space="0" w:color="auto"/>
        <w:bottom w:val="none" w:sz="0" w:space="0" w:color="auto"/>
        <w:right w:val="none" w:sz="0" w:space="0" w:color="auto"/>
      </w:divBdr>
    </w:div>
    <w:div w:id="1798908933">
      <w:bodyDiv w:val="1"/>
      <w:marLeft w:val="0"/>
      <w:marRight w:val="0"/>
      <w:marTop w:val="0"/>
      <w:marBottom w:val="0"/>
      <w:divBdr>
        <w:top w:val="none" w:sz="0" w:space="0" w:color="auto"/>
        <w:left w:val="none" w:sz="0" w:space="0" w:color="auto"/>
        <w:bottom w:val="none" w:sz="0" w:space="0" w:color="auto"/>
        <w:right w:val="none" w:sz="0" w:space="0" w:color="auto"/>
      </w:divBdr>
    </w:div>
    <w:div w:id="1827551791">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42502562">
      <w:bodyDiv w:val="1"/>
      <w:marLeft w:val="0"/>
      <w:marRight w:val="0"/>
      <w:marTop w:val="0"/>
      <w:marBottom w:val="0"/>
      <w:divBdr>
        <w:top w:val="none" w:sz="0" w:space="0" w:color="auto"/>
        <w:left w:val="none" w:sz="0" w:space="0" w:color="auto"/>
        <w:bottom w:val="none" w:sz="0" w:space="0" w:color="auto"/>
        <w:right w:val="none" w:sz="0" w:space="0" w:color="auto"/>
      </w:divBdr>
    </w:div>
    <w:div w:id="1850026825">
      <w:bodyDiv w:val="1"/>
      <w:marLeft w:val="0"/>
      <w:marRight w:val="0"/>
      <w:marTop w:val="0"/>
      <w:marBottom w:val="0"/>
      <w:divBdr>
        <w:top w:val="none" w:sz="0" w:space="0" w:color="auto"/>
        <w:left w:val="none" w:sz="0" w:space="0" w:color="auto"/>
        <w:bottom w:val="none" w:sz="0" w:space="0" w:color="auto"/>
        <w:right w:val="none" w:sz="0" w:space="0" w:color="auto"/>
      </w:divBdr>
    </w:div>
    <w:div w:id="1874034533">
      <w:bodyDiv w:val="1"/>
      <w:marLeft w:val="0"/>
      <w:marRight w:val="0"/>
      <w:marTop w:val="0"/>
      <w:marBottom w:val="0"/>
      <w:divBdr>
        <w:top w:val="none" w:sz="0" w:space="0" w:color="auto"/>
        <w:left w:val="none" w:sz="0" w:space="0" w:color="auto"/>
        <w:bottom w:val="none" w:sz="0" w:space="0" w:color="auto"/>
        <w:right w:val="none" w:sz="0" w:space="0" w:color="auto"/>
      </w:divBdr>
    </w:div>
    <w:div w:id="1906984659">
      <w:bodyDiv w:val="1"/>
      <w:marLeft w:val="0"/>
      <w:marRight w:val="0"/>
      <w:marTop w:val="0"/>
      <w:marBottom w:val="0"/>
      <w:divBdr>
        <w:top w:val="none" w:sz="0" w:space="0" w:color="auto"/>
        <w:left w:val="none" w:sz="0" w:space="0" w:color="auto"/>
        <w:bottom w:val="none" w:sz="0" w:space="0" w:color="auto"/>
        <w:right w:val="none" w:sz="0" w:space="0" w:color="auto"/>
      </w:divBdr>
    </w:div>
    <w:div w:id="1924025247">
      <w:bodyDiv w:val="1"/>
      <w:marLeft w:val="0"/>
      <w:marRight w:val="0"/>
      <w:marTop w:val="0"/>
      <w:marBottom w:val="0"/>
      <w:divBdr>
        <w:top w:val="none" w:sz="0" w:space="0" w:color="auto"/>
        <w:left w:val="none" w:sz="0" w:space="0" w:color="auto"/>
        <w:bottom w:val="none" w:sz="0" w:space="0" w:color="auto"/>
        <w:right w:val="none" w:sz="0" w:space="0" w:color="auto"/>
      </w:divBdr>
    </w:div>
    <w:div w:id="1930693552">
      <w:bodyDiv w:val="1"/>
      <w:marLeft w:val="0"/>
      <w:marRight w:val="0"/>
      <w:marTop w:val="0"/>
      <w:marBottom w:val="0"/>
      <w:divBdr>
        <w:top w:val="none" w:sz="0" w:space="0" w:color="auto"/>
        <w:left w:val="none" w:sz="0" w:space="0" w:color="auto"/>
        <w:bottom w:val="none" w:sz="0" w:space="0" w:color="auto"/>
        <w:right w:val="none" w:sz="0" w:space="0" w:color="auto"/>
      </w:divBdr>
    </w:div>
    <w:div w:id="1950622139">
      <w:bodyDiv w:val="1"/>
      <w:marLeft w:val="0"/>
      <w:marRight w:val="0"/>
      <w:marTop w:val="0"/>
      <w:marBottom w:val="0"/>
      <w:divBdr>
        <w:top w:val="none" w:sz="0" w:space="0" w:color="auto"/>
        <w:left w:val="none" w:sz="0" w:space="0" w:color="auto"/>
        <w:bottom w:val="none" w:sz="0" w:space="0" w:color="auto"/>
        <w:right w:val="none" w:sz="0" w:space="0" w:color="auto"/>
      </w:divBdr>
    </w:div>
    <w:div w:id="1953244925">
      <w:bodyDiv w:val="1"/>
      <w:marLeft w:val="0"/>
      <w:marRight w:val="0"/>
      <w:marTop w:val="0"/>
      <w:marBottom w:val="0"/>
      <w:divBdr>
        <w:top w:val="none" w:sz="0" w:space="0" w:color="auto"/>
        <w:left w:val="none" w:sz="0" w:space="0" w:color="auto"/>
        <w:bottom w:val="none" w:sz="0" w:space="0" w:color="auto"/>
        <w:right w:val="none" w:sz="0" w:space="0" w:color="auto"/>
      </w:divBdr>
    </w:div>
    <w:div w:id="1970089728">
      <w:bodyDiv w:val="1"/>
      <w:marLeft w:val="0"/>
      <w:marRight w:val="0"/>
      <w:marTop w:val="0"/>
      <w:marBottom w:val="0"/>
      <w:divBdr>
        <w:top w:val="none" w:sz="0" w:space="0" w:color="auto"/>
        <w:left w:val="none" w:sz="0" w:space="0" w:color="auto"/>
        <w:bottom w:val="none" w:sz="0" w:space="0" w:color="auto"/>
        <w:right w:val="none" w:sz="0" w:space="0" w:color="auto"/>
      </w:divBdr>
    </w:div>
    <w:div w:id="1973897199">
      <w:bodyDiv w:val="1"/>
      <w:marLeft w:val="0"/>
      <w:marRight w:val="0"/>
      <w:marTop w:val="0"/>
      <w:marBottom w:val="0"/>
      <w:divBdr>
        <w:top w:val="none" w:sz="0" w:space="0" w:color="auto"/>
        <w:left w:val="none" w:sz="0" w:space="0" w:color="auto"/>
        <w:bottom w:val="none" w:sz="0" w:space="0" w:color="auto"/>
        <w:right w:val="none" w:sz="0" w:space="0" w:color="auto"/>
      </w:divBdr>
    </w:div>
    <w:div w:id="1979452212">
      <w:bodyDiv w:val="1"/>
      <w:marLeft w:val="0"/>
      <w:marRight w:val="0"/>
      <w:marTop w:val="0"/>
      <w:marBottom w:val="0"/>
      <w:divBdr>
        <w:top w:val="none" w:sz="0" w:space="0" w:color="auto"/>
        <w:left w:val="none" w:sz="0" w:space="0" w:color="auto"/>
        <w:bottom w:val="none" w:sz="0" w:space="0" w:color="auto"/>
        <w:right w:val="none" w:sz="0" w:space="0" w:color="auto"/>
      </w:divBdr>
    </w:div>
    <w:div w:id="1985885728">
      <w:bodyDiv w:val="1"/>
      <w:marLeft w:val="0"/>
      <w:marRight w:val="0"/>
      <w:marTop w:val="0"/>
      <w:marBottom w:val="0"/>
      <w:divBdr>
        <w:top w:val="none" w:sz="0" w:space="0" w:color="auto"/>
        <w:left w:val="none" w:sz="0" w:space="0" w:color="auto"/>
        <w:bottom w:val="none" w:sz="0" w:space="0" w:color="auto"/>
        <w:right w:val="none" w:sz="0" w:space="0" w:color="auto"/>
      </w:divBdr>
    </w:div>
    <w:div w:id="2033995750">
      <w:bodyDiv w:val="1"/>
      <w:marLeft w:val="0"/>
      <w:marRight w:val="0"/>
      <w:marTop w:val="0"/>
      <w:marBottom w:val="0"/>
      <w:divBdr>
        <w:top w:val="none" w:sz="0" w:space="0" w:color="auto"/>
        <w:left w:val="none" w:sz="0" w:space="0" w:color="auto"/>
        <w:bottom w:val="none" w:sz="0" w:space="0" w:color="auto"/>
        <w:right w:val="none" w:sz="0" w:space="0" w:color="auto"/>
      </w:divBdr>
    </w:div>
    <w:div w:id="2047102906">
      <w:bodyDiv w:val="1"/>
      <w:marLeft w:val="0"/>
      <w:marRight w:val="0"/>
      <w:marTop w:val="0"/>
      <w:marBottom w:val="0"/>
      <w:divBdr>
        <w:top w:val="none" w:sz="0" w:space="0" w:color="auto"/>
        <w:left w:val="none" w:sz="0" w:space="0" w:color="auto"/>
        <w:bottom w:val="none" w:sz="0" w:space="0" w:color="auto"/>
        <w:right w:val="none" w:sz="0" w:space="0" w:color="auto"/>
      </w:divBdr>
    </w:div>
    <w:div w:id="2054576000">
      <w:bodyDiv w:val="1"/>
      <w:marLeft w:val="0"/>
      <w:marRight w:val="0"/>
      <w:marTop w:val="0"/>
      <w:marBottom w:val="0"/>
      <w:divBdr>
        <w:top w:val="none" w:sz="0" w:space="0" w:color="auto"/>
        <w:left w:val="none" w:sz="0" w:space="0" w:color="auto"/>
        <w:bottom w:val="none" w:sz="0" w:space="0" w:color="auto"/>
        <w:right w:val="none" w:sz="0" w:space="0" w:color="auto"/>
      </w:divBdr>
    </w:div>
    <w:div w:id="2068524557">
      <w:bodyDiv w:val="1"/>
      <w:marLeft w:val="0"/>
      <w:marRight w:val="0"/>
      <w:marTop w:val="0"/>
      <w:marBottom w:val="0"/>
      <w:divBdr>
        <w:top w:val="none" w:sz="0" w:space="0" w:color="auto"/>
        <w:left w:val="none" w:sz="0" w:space="0" w:color="auto"/>
        <w:bottom w:val="none" w:sz="0" w:space="0" w:color="auto"/>
        <w:right w:val="none" w:sz="0" w:space="0" w:color="auto"/>
      </w:divBdr>
    </w:div>
    <w:div w:id="2074620782">
      <w:bodyDiv w:val="1"/>
      <w:marLeft w:val="0"/>
      <w:marRight w:val="0"/>
      <w:marTop w:val="0"/>
      <w:marBottom w:val="0"/>
      <w:divBdr>
        <w:top w:val="none" w:sz="0" w:space="0" w:color="auto"/>
        <w:left w:val="none" w:sz="0" w:space="0" w:color="auto"/>
        <w:bottom w:val="none" w:sz="0" w:space="0" w:color="auto"/>
        <w:right w:val="none" w:sz="0" w:space="0" w:color="auto"/>
      </w:divBdr>
    </w:div>
    <w:div w:id="2111856942">
      <w:bodyDiv w:val="1"/>
      <w:marLeft w:val="0"/>
      <w:marRight w:val="0"/>
      <w:marTop w:val="0"/>
      <w:marBottom w:val="0"/>
      <w:divBdr>
        <w:top w:val="none" w:sz="0" w:space="0" w:color="auto"/>
        <w:left w:val="none" w:sz="0" w:space="0" w:color="auto"/>
        <w:bottom w:val="none" w:sz="0" w:space="0" w:color="auto"/>
        <w:right w:val="none" w:sz="0" w:space="0" w:color="auto"/>
      </w:divBdr>
    </w:div>
    <w:div w:id="2111967103">
      <w:bodyDiv w:val="1"/>
      <w:marLeft w:val="0"/>
      <w:marRight w:val="0"/>
      <w:marTop w:val="0"/>
      <w:marBottom w:val="0"/>
      <w:divBdr>
        <w:top w:val="none" w:sz="0" w:space="0" w:color="auto"/>
        <w:left w:val="none" w:sz="0" w:space="0" w:color="auto"/>
        <w:bottom w:val="none" w:sz="0" w:space="0" w:color="auto"/>
        <w:right w:val="none" w:sz="0" w:space="0" w:color="auto"/>
      </w:divBdr>
    </w:div>
    <w:div w:id="21409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customXml" Target="../customXml/item2.xml"/><Relationship Id="rId10" Type="http://schemas.openxmlformats.org/officeDocument/2006/relationships/image" Target="cid:image004.png@01D6195A.1FE9B7D0" TargetMode="Externa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EA54DF5A-99B2-4D59-A708-A1C6FFB117AC}">
  <ds:schemaRefs>
    <ds:schemaRef ds:uri="http://schemas.openxmlformats.org/officeDocument/2006/bibliography"/>
  </ds:schemaRefs>
</ds:datastoreItem>
</file>

<file path=customXml/itemProps2.xml><?xml version="1.0" encoding="utf-8"?>
<ds:datastoreItem xmlns:ds="http://schemas.openxmlformats.org/officeDocument/2006/customXml" ds:itemID="{DD835B0E-2052-44AA-9982-396815D6AA43}"/>
</file>

<file path=customXml/itemProps3.xml><?xml version="1.0" encoding="utf-8"?>
<ds:datastoreItem xmlns:ds="http://schemas.openxmlformats.org/officeDocument/2006/customXml" ds:itemID="{FAD35140-BC6E-4794-AC45-F2EF0A389111}"/>
</file>

<file path=customXml/itemProps4.xml><?xml version="1.0" encoding="utf-8"?>
<ds:datastoreItem xmlns:ds="http://schemas.openxmlformats.org/officeDocument/2006/customXml" ds:itemID="{C44FF92C-DDA9-40B2-B886-84284648CD97}"/>
</file>

<file path=docProps/app.xml><?xml version="1.0" encoding="utf-8"?>
<Properties xmlns="http://schemas.openxmlformats.org/officeDocument/2006/extended-properties" xmlns:vt="http://schemas.openxmlformats.org/officeDocument/2006/docPropsVTypes">
  <Template>6DDE260B.dotm</Template>
  <TotalTime>0</TotalTime>
  <Pages>59</Pages>
  <Words>15313</Words>
  <Characters>91336</Characters>
  <Application>Microsoft Office Word</Application>
  <DocSecurity>0</DocSecurity>
  <Lines>761</Lines>
  <Paragraphs>212</Paragraphs>
  <ScaleCrop>false</ScaleCrop>
  <HeadingPairs>
    <vt:vector size="2" baseType="variant">
      <vt:variant>
        <vt:lpstr>Title</vt:lpstr>
      </vt:variant>
      <vt:variant>
        <vt:i4>1</vt:i4>
      </vt:variant>
    </vt:vector>
  </HeadingPairs>
  <TitlesOfParts>
    <vt:vector size="1" baseType="lpstr">
      <vt:lpstr>NEMP 2.0 Ancillary Document</vt:lpstr>
    </vt:vector>
  </TitlesOfParts>
  <Company/>
  <LinksUpToDate>false</LinksUpToDate>
  <CharactersWithSpaces>106437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NEMP 2.0 Ancillary Document</dc:title>
  <dc:subject/>
  <dc:creator>HEPA</dc:creator>
  <cp:keywords/>
  <dc:description/>
  <cp:lastModifiedBy>Nguyen, Lien</cp:lastModifiedBy>
  <cp:revision>2</cp:revision>
  <dcterms:created xsi:type="dcterms:W3CDTF">2020-08-11T04:01:00Z</dcterms:created>
  <dcterms:modified xsi:type="dcterms:W3CDTF">2020-08-12T01:46:00Z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