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3CE2" w14:textId="77777777" w:rsidR="009A09E9" w:rsidRDefault="00E074EF" w:rsidP="00A47C56">
      <w:pPr>
        <w:spacing w:before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96B8956" w14:textId="5F299170" w:rsidR="009A09E9" w:rsidRDefault="00BA79D2" w:rsidP="00804361">
      <w:pPr>
        <w:spacing w:line="336" w:lineRule="exact"/>
        <w:ind w:left="1132" w:hanging="113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5A835A"/>
          <w:spacing w:val="5"/>
          <w:sz w:val="32"/>
          <w:szCs w:val="32"/>
        </w:rPr>
        <w:t>Pla</w:t>
      </w:r>
      <w:r>
        <w:rPr>
          <w:rFonts w:ascii="Calibri" w:eastAsia="Calibri" w:hAnsi="Calibri" w:cs="Calibri"/>
          <w:b/>
          <w:bCs/>
          <w:color w:val="5A835A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5A835A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5A835A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5A835A"/>
          <w:spacing w:val="7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color w:val="5A835A"/>
          <w:spacing w:val="4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5A835A"/>
          <w:spacing w:val="5"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color w:val="5A835A"/>
          <w:spacing w:val="6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5A835A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color w:val="5A835A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5A835A"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5A835A"/>
          <w:spacing w:val="5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5A835A"/>
          <w:spacing w:val="6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5A835A"/>
          <w:spacing w:val="4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5A835A"/>
          <w:spacing w:val="5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5A835A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5A835A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5A835A"/>
          <w:spacing w:val="4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5A835A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5A835A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5A835A"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5A835A"/>
          <w:spacing w:val="5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5A835A"/>
          <w:spacing w:val="6"/>
          <w:sz w:val="32"/>
          <w:szCs w:val="32"/>
        </w:rPr>
        <w:t>mm</w:t>
      </w:r>
      <w:r>
        <w:rPr>
          <w:rFonts w:ascii="Calibri" w:eastAsia="Calibri" w:hAnsi="Calibri" w:cs="Calibri"/>
          <w:b/>
          <w:bCs/>
          <w:color w:val="5A835A"/>
          <w:spacing w:val="3"/>
          <w:sz w:val="32"/>
          <w:szCs w:val="32"/>
        </w:rPr>
        <w:t>un</w:t>
      </w:r>
      <w:r>
        <w:rPr>
          <w:rFonts w:ascii="Calibri" w:eastAsia="Calibri" w:hAnsi="Calibri" w:cs="Calibri"/>
          <w:b/>
          <w:bCs/>
          <w:color w:val="5A835A"/>
          <w:spacing w:val="7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5A835A"/>
          <w:spacing w:val="3"/>
          <w:sz w:val="32"/>
          <w:szCs w:val="32"/>
        </w:rPr>
        <w:t>qu</w:t>
      </w:r>
      <w:r>
        <w:rPr>
          <w:rFonts w:ascii="Calibri" w:eastAsia="Calibri" w:hAnsi="Calibri" w:cs="Calibri"/>
          <w:b/>
          <w:bCs/>
          <w:color w:val="5A835A"/>
          <w:spacing w:val="15"/>
          <w:sz w:val="32"/>
          <w:szCs w:val="32"/>
        </w:rPr>
        <w:t>é</w:t>
      </w:r>
      <w:r>
        <w:rPr>
          <w:rFonts w:ascii="Calibri" w:eastAsia="Calibri" w:hAnsi="Calibri" w:cs="Calibri"/>
          <w:b/>
          <w:bCs/>
          <w:color w:val="5A835A"/>
          <w:spacing w:val="3"/>
          <w:sz w:val="32"/>
          <w:szCs w:val="32"/>
        </w:rPr>
        <w:t>—</w:t>
      </w:r>
      <w:r>
        <w:rPr>
          <w:rFonts w:ascii="Calibri" w:eastAsia="Calibri" w:hAnsi="Calibri" w:cs="Calibri"/>
          <w:b/>
          <w:bCs/>
          <w:color w:val="5A835A"/>
          <w:spacing w:val="7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5A835A"/>
          <w:spacing w:val="4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color w:val="5A835A"/>
          <w:spacing w:val="5"/>
          <w:sz w:val="32"/>
          <w:szCs w:val="32"/>
        </w:rPr>
        <w:t>C</w:t>
      </w:r>
      <w:r w:rsidR="00CF744A">
        <w:rPr>
          <w:rFonts w:ascii="Calibri" w:eastAsia="Calibri" w:hAnsi="Calibri" w:cs="Calibri"/>
          <w:b/>
          <w:bCs/>
          <w:color w:val="5A835A"/>
          <w:spacing w:val="5"/>
          <w:sz w:val="32"/>
          <w:szCs w:val="32"/>
        </w:rPr>
        <w:t>64</w:t>
      </w:r>
    </w:p>
    <w:p w14:paraId="3907E9CC" w14:textId="77777777" w:rsidR="004E69F2" w:rsidRPr="00E448A9" w:rsidRDefault="004E69F2" w:rsidP="00E448A9">
      <w:pPr>
        <w:widowControl/>
        <w:autoSpaceDE w:val="0"/>
        <w:autoSpaceDN w:val="0"/>
        <w:adjustRightInd w:val="0"/>
        <w:rPr>
          <w:rFonts w:eastAsia="Times New Roman"/>
          <w:spacing w:val="1"/>
        </w:rPr>
      </w:pPr>
    </w:p>
    <w:p w14:paraId="1E22DA68" w14:textId="30FD29B8" w:rsidR="0033491E" w:rsidRDefault="00834D7F" w:rsidP="009C3BE4">
      <w:pPr>
        <w:widowControl/>
        <w:autoSpaceDE w:val="0"/>
        <w:autoSpaceDN w:val="0"/>
        <w:adjustRightInd w:val="0"/>
        <w:rPr>
          <w:spacing w:val="1"/>
        </w:rPr>
      </w:pPr>
      <w:r w:rsidRPr="00765BB9">
        <w:rPr>
          <w:spacing w:val="1"/>
        </w:rPr>
        <w:t>PHC held its 64th meeting (Canberra) from 21-23 November 2023, chaired by Nick Secomb (South Australia).</w:t>
      </w:r>
      <w:r w:rsidR="00F64198" w:rsidRPr="00765BB9">
        <w:rPr>
          <w:spacing w:val="1"/>
        </w:rPr>
        <w:t xml:space="preserve"> </w:t>
      </w:r>
      <w:r w:rsidR="009C3BE4" w:rsidRPr="009C3BE4">
        <w:rPr>
          <w:spacing w:val="1"/>
        </w:rPr>
        <w:t xml:space="preserve">This document aims to provide an overview of the key topics discussed, and any relevant associated outcomes that were agreed during the meeting. </w:t>
      </w:r>
      <w:r w:rsidR="009C3BE4">
        <w:rPr>
          <w:spacing w:val="1"/>
        </w:rPr>
        <w:t xml:space="preserve">If there is a topic you would like additional information </w:t>
      </w:r>
      <w:r w:rsidR="00E251F5">
        <w:rPr>
          <w:spacing w:val="1"/>
        </w:rPr>
        <w:t>on,</w:t>
      </w:r>
      <w:r w:rsidR="009C3BE4">
        <w:rPr>
          <w:spacing w:val="1"/>
        </w:rPr>
        <w:t xml:space="preserve"> please reach out to the </w:t>
      </w:r>
      <w:hyperlink r:id="rId11" w:history="1">
        <w:r w:rsidR="009C3BE4" w:rsidRPr="006E530E">
          <w:rPr>
            <w:rStyle w:val="Hyperlink"/>
            <w:spacing w:val="1"/>
          </w:rPr>
          <w:t>PHC Secretariat</w:t>
        </w:r>
      </w:hyperlink>
      <w:r w:rsidR="009C3BE4">
        <w:rPr>
          <w:spacing w:val="1"/>
        </w:rPr>
        <w:t>.</w:t>
      </w:r>
    </w:p>
    <w:p w14:paraId="32A7CEB9" w14:textId="6CD4103D" w:rsidR="000F5B81" w:rsidRPr="006E75FD" w:rsidRDefault="00280309" w:rsidP="006E75FD">
      <w:pPr>
        <w:autoSpaceDE w:val="0"/>
        <w:autoSpaceDN w:val="0"/>
        <w:adjustRightInd w:val="0"/>
        <w:spacing w:before="120" w:after="120"/>
        <w:rPr>
          <w:spacing w:val="1"/>
          <w:lang w:val="en-AU"/>
        </w:rPr>
      </w:pPr>
      <w:r>
        <w:rPr>
          <w:spacing w:val="1"/>
        </w:rPr>
        <w:t xml:space="preserve">This meeting </w:t>
      </w:r>
      <w:r w:rsidR="0033491E">
        <w:rPr>
          <w:spacing w:val="1"/>
        </w:rPr>
        <w:t>welcomed</w:t>
      </w:r>
      <w:r>
        <w:rPr>
          <w:spacing w:val="1"/>
        </w:rPr>
        <w:t xml:space="preserve"> the commencement of a new PHC Chair, Nick Secom</w:t>
      </w:r>
      <w:r w:rsidR="0081063D">
        <w:rPr>
          <w:spacing w:val="1"/>
        </w:rPr>
        <w:t xml:space="preserve">b </w:t>
      </w:r>
      <w:r w:rsidR="00393E1C">
        <w:rPr>
          <w:spacing w:val="1"/>
        </w:rPr>
        <w:t>(South Australia) and Deputy Chair, Michael Re</w:t>
      </w:r>
      <w:r w:rsidR="00B44A17">
        <w:rPr>
          <w:spacing w:val="1"/>
        </w:rPr>
        <w:t>i</w:t>
      </w:r>
      <w:r w:rsidR="00393E1C">
        <w:rPr>
          <w:spacing w:val="1"/>
        </w:rPr>
        <w:t>d (</w:t>
      </w:r>
      <w:r w:rsidR="0033491E">
        <w:rPr>
          <w:spacing w:val="1"/>
        </w:rPr>
        <w:t>Queensland</w:t>
      </w:r>
      <w:r w:rsidR="00B44A17">
        <w:rPr>
          <w:spacing w:val="1"/>
        </w:rPr>
        <w:t>)</w:t>
      </w:r>
      <w:r w:rsidR="0033491E">
        <w:rPr>
          <w:spacing w:val="1"/>
        </w:rPr>
        <w:t xml:space="preserve">. </w:t>
      </w:r>
      <w:r w:rsidR="005809E1">
        <w:rPr>
          <w:spacing w:val="1"/>
        </w:rPr>
        <w:t>In addition, the PHC welcomed the following new members</w:t>
      </w:r>
      <w:r w:rsidR="00D43ABA">
        <w:rPr>
          <w:spacing w:val="1"/>
        </w:rPr>
        <w:t xml:space="preserve">, </w:t>
      </w:r>
      <w:r w:rsidR="00D43ABA" w:rsidRPr="00D43ABA">
        <w:rPr>
          <w:spacing w:val="1"/>
          <w:lang w:val="en-AU"/>
        </w:rPr>
        <w:t>Mike Reid (QLD), David Hubbard (SA)</w:t>
      </w:r>
      <w:r w:rsidR="00DD7B0A">
        <w:rPr>
          <w:spacing w:val="1"/>
          <w:lang w:val="en-AU"/>
        </w:rPr>
        <w:t xml:space="preserve"> and</w:t>
      </w:r>
      <w:r w:rsidR="006E75FD">
        <w:rPr>
          <w:spacing w:val="1"/>
          <w:lang w:val="en-AU"/>
        </w:rPr>
        <w:t xml:space="preserve"> </w:t>
      </w:r>
      <w:r w:rsidR="00D43ABA" w:rsidRPr="00D43ABA">
        <w:rPr>
          <w:spacing w:val="1"/>
          <w:lang w:val="en-AU"/>
        </w:rPr>
        <w:t>Vincent Lanoiselet (WA).</w:t>
      </w:r>
      <w:r w:rsidR="00C974FA">
        <w:rPr>
          <w:spacing w:val="1"/>
          <w:lang w:val="en-AU"/>
        </w:rPr>
        <w:t xml:space="preserve"> </w:t>
      </w:r>
      <w:r w:rsidR="00DD7B0A">
        <w:rPr>
          <w:spacing w:val="1"/>
          <w:lang w:val="en-AU"/>
        </w:rPr>
        <w:t xml:space="preserve">At the </w:t>
      </w:r>
      <w:r w:rsidR="00E251F5">
        <w:rPr>
          <w:spacing w:val="1"/>
          <w:lang w:val="en-AU"/>
        </w:rPr>
        <w:t>meeting,</w:t>
      </w:r>
      <w:r w:rsidR="00DD7B0A">
        <w:rPr>
          <w:spacing w:val="1"/>
          <w:lang w:val="en-AU"/>
        </w:rPr>
        <w:t xml:space="preserve"> t</w:t>
      </w:r>
      <w:r w:rsidR="00C974FA">
        <w:rPr>
          <w:spacing w:val="1"/>
          <w:lang w:val="en-AU"/>
        </w:rPr>
        <w:t xml:space="preserve">he PHC farewelled long standing members Andrew </w:t>
      </w:r>
      <w:r w:rsidR="006D6F80">
        <w:rPr>
          <w:spacing w:val="1"/>
          <w:lang w:val="en-AU"/>
        </w:rPr>
        <w:t>Bishop</w:t>
      </w:r>
      <w:r w:rsidR="00406E86">
        <w:rPr>
          <w:spacing w:val="1"/>
          <w:lang w:val="en-AU"/>
        </w:rPr>
        <w:t xml:space="preserve"> (TAS)</w:t>
      </w:r>
      <w:r w:rsidR="006D6F80">
        <w:rPr>
          <w:spacing w:val="1"/>
          <w:lang w:val="en-AU"/>
        </w:rPr>
        <w:t xml:space="preserve"> and Son</w:t>
      </w:r>
      <w:r w:rsidR="00DD7B0A">
        <w:rPr>
          <w:spacing w:val="1"/>
          <w:lang w:val="en-AU"/>
        </w:rPr>
        <w:t>y</w:t>
      </w:r>
      <w:r w:rsidR="006D6F80">
        <w:rPr>
          <w:spacing w:val="1"/>
          <w:lang w:val="en-AU"/>
        </w:rPr>
        <w:t xml:space="preserve">a Broughton </w:t>
      </w:r>
      <w:r w:rsidR="00022B76">
        <w:rPr>
          <w:spacing w:val="1"/>
          <w:lang w:val="en-AU"/>
        </w:rPr>
        <w:t xml:space="preserve">(WA) </w:t>
      </w:r>
      <w:r w:rsidR="00D149E5">
        <w:rPr>
          <w:spacing w:val="1"/>
          <w:lang w:val="en-AU"/>
        </w:rPr>
        <w:t>and thanked them for their</w:t>
      </w:r>
      <w:r w:rsidR="00DD7B0A">
        <w:rPr>
          <w:spacing w:val="1"/>
          <w:lang w:val="en-AU"/>
        </w:rPr>
        <w:t xml:space="preserve"> significant </w:t>
      </w:r>
      <w:r w:rsidR="007C4352">
        <w:rPr>
          <w:spacing w:val="1"/>
          <w:lang w:val="en-AU"/>
        </w:rPr>
        <w:t xml:space="preserve">contributions to </w:t>
      </w:r>
      <w:r w:rsidR="00E251F5">
        <w:rPr>
          <w:spacing w:val="1"/>
          <w:lang w:val="en-AU"/>
        </w:rPr>
        <w:t>both PHC</w:t>
      </w:r>
      <w:r w:rsidR="007C4352">
        <w:rPr>
          <w:spacing w:val="1"/>
          <w:lang w:val="en-AU"/>
        </w:rPr>
        <w:t xml:space="preserve"> </w:t>
      </w:r>
      <w:r w:rsidR="00D715A2">
        <w:rPr>
          <w:spacing w:val="1"/>
          <w:lang w:val="en-AU"/>
        </w:rPr>
        <w:t xml:space="preserve">and </w:t>
      </w:r>
      <w:r w:rsidR="00DD7B0A">
        <w:rPr>
          <w:spacing w:val="1"/>
          <w:lang w:val="en-AU"/>
        </w:rPr>
        <w:t xml:space="preserve">plant </w:t>
      </w:r>
      <w:r w:rsidR="00D715A2">
        <w:rPr>
          <w:spacing w:val="1"/>
          <w:lang w:val="en-AU"/>
        </w:rPr>
        <w:t xml:space="preserve">biosecurity over the years. </w:t>
      </w:r>
      <w:r w:rsidR="00DD7B0A">
        <w:rPr>
          <w:spacing w:val="1"/>
          <w:lang w:val="en-AU"/>
        </w:rPr>
        <w:t xml:space="preserve">This is in addition to Mike Ashton (QLD) who retired earlier in the year. </w:t>
      </w:r>
      <w:r w:rsidR="00D715A2">
        <w:rPr>
          <w:spacing w:val="1"/>
          <w:lang w:val="en-AU"/>
        </w:rPr>
        <w:t>The PHC wishes Andrew</w:t>
      </w:r>
      <w:r w:rsidR="00DD7B0A">
        <w:rPr>
          <w:spacing w:val="1"/>
          <w:lang w:val="en-AU"/>
        </w:rPr>
        <w:t xml:space="preserve">, </w:t>
      </w:r>
      <w:r w:rsidR="00E251F5">
        <w:rPr>
          <w:spacing w:val="1"/>
          <w:lang w:val="en-AU"/>
        </w:rPr>
        <w:t>Sonya,</w:t>
      </w:r>
      <w:r w:rsidR="00DD7B0A">
        <w:rPr>
          <w:spacing w:val="1"/>
          <w:lang w:val="en-AU"/>
        </w:rPr>
        <w:t xml:space="preserve"> and Mike</w:t>
      </w:r>
      <w:r w:rsidR="00D715A2">
        <w:rPr>
          <w:spacing w:val="1"/>
          <w:lang w:val="en-AU"/>
        </w:rPr>
        <w:t xml:space="preserve"> the </w:t>
      </w:r>
      <w:r w:rsidR="00E251F5">
        <w:rPr>
          <w:spacing w:val="1"/>
          <w:lang w:val="en-AU"/>
        </w:rPr>
        <w:t>best</w:t>
      </w:r>
      <w:r w:rsidR="00D715A2">
        <w:rPr>
          <w:spacing w:val="1"/>
          <w:lang w:val="en-AU"/>
        </w:rPr>
        <w:t xml:space="preserve"> </w:t>
      </w:r>
      <w:r w:rsidR="00124393">
        <w:rPr>
          <w:spacing w:val="1"/>
          <w:lang w:val="en-AU"/>
        </w:rPr>
        <w:t xml:space="preserve">for the future. </w:t>
      </w:r>
    </w:p>
    <w:p w14:paraId="5AA69593" w14:textId="02488B41" w:rsidR="00CF744A" w:rsidRPr="000F5B81" w:rsidRDefault="00785897" w:rsidP="006E75FD">
      <w:pPr>
        <w:spacing w:before="120" w:after="120"/>
        <w:rPr>
          <w:spacing w:val="1"/>
        </w:rPr>
      </w:pPr>
      <w:r>
        <w:rPr>
          <w:spacing w:val="1"/>
        </w:rPr>
        <w:t>T</w:t>
      </w:r>
      <w:r w:rsidR="00AC17FD">
        <w:rPr>
          <w:spacing w:val="1"/>
        </w:rPr>
        <w:t xml:space="preserve">he PHC reviewed the </w:t>
      </w:r>
      <w:r w:rsidR="008401E0">
        <w:rPr>
          <w:spacing w:val="1"/>
        </w:rPr>
        <w:t>draft</w:t>
      </w:r>
      <w:r w:rsidR="007D3378">
        <w:rPr>
          <w:spacing w:val="1"/>
        </w:rPr>
        <w:t xml:space="preserve"> </w:t>
      </w:r>
      <w:r w:rsidR="00096089" w:rsidRPr="000F5B81">
        <w:rPr>
          <w:spacing w:val="1"/>
        </w:rPr>
        <w:t>PHC Stakeholder Engagement Plan developed to clearly identify and outline the ways that PHC will engage, collaborate, and align with their key partners and stakeholders.</w:t>
      </w:r>
      <w:r w:rsidR="00AC17FD">
        <w:rPr>
          <w:spacing w:val="1"/>
        </w:rPr>
        <w:t xml:space="preserve"> </w:t>
      </w:r>
      <w:r w:rsidR="00765BB9">
        <w:rPr>
          <w:spacing w:val="1"/>
        </w:rPr>
        <w:t>During</w:t>
      </w:r>
      <w:r w:rsidR="00550A30" w:rsidRPr="000F5B81">
        <w:rPr>
          <w:spacing w:val="1"/>
        </w:rPr>
        <w:t xml:space="preserve"> this meeting the PHC </w:t>
      </w:r>
      <w:r w:rsidR="0041272B">
        <w:rPr>
          <w:spacing w:val="1"/>
        </w:rPr>
        <w:t>provided its</w:t>
      </w:r>
      <w:r w:rsidR="00137F14">
        <w:rPr>
          <w:spacing w:val="1"/>
        </w:rPr>
        <w:t xml:space="preserve"> initial </w:t>
      </w:r>
      <w:r w:rsidR="00550A30" w:rsidRPr="000F5B81">
        <w:rPr>
          <w:spacing w:val="1"/>
        </w:rPr>
        <w:t xml:space="preserve">feedback </w:t>
      </w:r>
      <w:r w:rsidR="0041272B">
        <w:rPr>
          <w:spacing w:val="1"/>
        </w:rPr>
        <w:t>to</w:t>
      </w:r>
      <w:r w:rsidR="0041272B" w:rsidRPr="000F5B81">
        <w:rPr>
          <w:spacing w:val="1"/>
        </w:rPr>
        <w:t xml:space="preserve"> </w:t>
      </w:r>
      <w:r w:rsidR="00550A30" w:rsidRPr="000F5B81">
        <w:rPr>
          <w:spacing w:val="1"/>
        </w:rPr>
        <w:t>the</w:t>
      </w:r>
      <w:r w:rsidR="003F68E5">
        <w:rPr>
          <w:spacing w:val="1"/>
        </w:rPr>
        <w:t xml:space="preserve"> draft </w:t>
      </w:r>
      <w:r w:rsidR="00137F14">
        <w:rPr>
          <w:spacing w:val="1"/>
        </w:rPr>
        <w:t xml:space="preserve">stakeholder engagement plan which will be </w:t>
      </w:r>
      <w:r w:rsidR="0041272B">
        <w:rPr>
          <w:spacing w:val="1"/>
        </w:rPr>
        <w:t xml:space="preserve">further </w:t>
      </w:r>
      <w:r w:rsidR="00E251F5">
        <w:rPr>
          <w:spacing w:val="1"/>
        </w:rPr>
        <w:t>refined, with</w:t>
      </w:r>
      <w:r w:rsidR="00137F14">
        <w:rPr>
          <w:spacing w:val="1"/>
        </w:rPr>
        <w:t xml:space="preserve"> the intention to</w:t>
      </w:r>
      <w:r w:rsidR="00A07F46">
        <w:rPr>
          <w:spacing w:val="1"/>
        </w:rPr>
        <w:t xml:space="preserve"> present to key stakeholders for </w:t>
      </w:r>
      <w:r w:rsidR="00137F14">
        <w:rPr>
          <w:spacing w:val="1"/>
        </w:rPr>
        <w:t>input.</w:t>
      </w:r>
    </w:p>
    <w:p w14:paraId="6997604D" w14:textId="55FCB9D9" w:rsidR="008C1360" w:rsidRPr="000F5B81" w:rsidRDefault="00765BB9" w:rsidP="006E75FD">
      <w:pPr>
        <w:spacing w:before="120" w:after="120"/>
        <w:rPr>
          <w:spacing w:val="1"/>
        </w:rPr>
      </w:pPr>
      <w:r>
        <w:rPr>
          <w:spacing w:val="1"/>
        </w:rPr>
        <w:t>The d</w:t>
      </w:r>
      <w:r w:rsidR="000F5B81">
        <w:rPr>
          <w:spacing w:val="1"/>
        </w:rPr>
        <w:t xml:space="preserve">evelopment of the </w:t>
      </w:r>
      <w:r w:rsidR="008C1360" w:rsidRPr="000F5B81">
        <w:rPr>
          <w:spacing w:val="1"/>
        </w:rPr>
        <w:t>PHC Strategic Plan and Action Plan</w:t>
      </w:r>
      <w:r w:rsidR="000F5B81">
        <w:rPr>
          <w:spacing w:val="1"/>
        </w:rPr>
        <w:t xml:space="preserve"> has progressed</w:t>
      </w:r>
      <w:r w:rsidR="00A07F46">
        <w:rPr>
          <w:spacing w:val="1"/>
        </w:rPr>
        <w:t xml:space="preserve"> and at the meeting, Plant Health Committee endorsed its Strategic Plan (2024-2027)</w:t>
      </w:r>
      <w:r w:rsidR="008C1360" w:rsidRPr="000F5B81">
        <w:rPr>
          <w:spacing w:val="1"/>
        </w:rPr>
        <w:t xml:space="preserve">. The purpose of the Action Plan is to provide an avenue to </w:t>
      </w:r>
      <w:r w:rsidR="00A07F46">
        <w:rPr>
          <w:spacing w:val="1"/>
        </w:rPr>
        <w:t xml:space="preserve">more clearly </w:t>
      </w:r>
      <w:r w:rsidR="008C1360" w:rsidRPr="000F5B81">
        <w:rPr>
          <w:spacing w:val="1"/>
        </w:rPr>
        <w:t>define key tasks related to the developed Strategic Actions</w:t>
      </w:r>
      <w:r w:rsidR="00A07F46">
        <w:rPr>
          <w:spacing w:val="1"/>
        </w:rPr>
        <w:t xml:space="preserve"> within the Strategic Plan</w:t>
      </w:r>
      <w:r w:rsidR="008C1360" w:rsidRPr="000F5B81">
        <w:rPr>
          <w:spacing w:val="1"/>
        </w:rPr>
        <w:t xml:space="preserve">. </w:t>
      </w:r>
      <w:r w:rsidR="00137F14">
        <w:rPr>
          <w:spacing w:val="1"/>
        </w:rPr>
        <w:t>PHC endorsed both</w:t>
      </w:r>
      <w:r w:rsidR="00840EBA" w:rsidRPr="000F5B81">
        <w:rPr>
          <w:spacing w:val="1"/>
        </w:rPr>
        <w:t xml:space="preserve"> the Strategic Plan</w:t>
      </w:r>
      <w:r w:rsidR="00137F14">
        <w:rPr>
          <w:spacing w:val="1"/>
        </w:rPr>
        <w:t xml:space="preserve"> and</w:t>
      </w:r>
      <w:r w:rsidR="00840EBA" w:rsidRPr="000F5B81">
        <w:rPr>
          <w:spacing w:val="1"/>
        </w:rPr>
        <w:t xml:space="preserve"> the</w:t>
      </w:r>
      <w:r w:rsidR="00137F14">
        <w:rPr>
          <w:spacing w:val="1"/>
        </w:rPr>
        <w:t xml:space="preserve"> proposed</w:t>
      </w:r>
      <w:r w:rsidR="00840EBA" w:rsidRPr="000F5B81">
        <w:rPr>
          <w:spacing w:val="1"/>
        </w:rPr>
        <w:t xml:space="preserve"> structure of the Action Plan. </w:t>
      </w:r>
    </w:p>
    <w:p w14:paraId="2D57DD22" w14:textId="56AE073A" w:rsidR="00840EBA" w:rsidRDefault="00653404" w:rsidP="006E75FD">
      <w:pPr>
        <w:spacing w:before="120" w:after="120"/>
        <w:rPr>
          <w:spacing w:val="1"/>
        </w:rPr>
      </w:pPr>
      <w:r>
        <w:rPr>
          <w:spacing w:val="1"/>
        </w:rPr>
        <w:t>T</w:t>
      </w:r>
      <w:r w:rsidR="00840EBA" w:rsidRPr="000F5B81">
        <w:rPr>
          <w:spacing w:val="1"/>
        </w:rPr>
        <w:t xml:space="preserve">he Plant Biosecurity Preparedness Working Group </w:t>
      </w:r>
      <w:r>
        <w:rPr>
          <w:spacing w:val="1"/>
        </w:rPr>
        <w:t xml:space="preserve">was reviewed </w:t>
      </w:r>
      <w:r w:rsidR="00E913F7">
        <w:rPr>
          <w:spacing w:val="1"/>
        </w:rPr>
        <w:t>as it was approaching the end of its 12</w:t>
      </w:r>
      <w:r w:rsidR="00A07F46">
        <w:rPr>
          <w:spacing w:val="1"/>
        </w:rPr>
        <w:t>-</w:t>
      </w:r>
      <w:r w:rsidR="00E913F7">
        <w:rPr>
          <w:spacing w:val="1"/>
        </w:rPr>
        <w:t>month term</w:t>
      </w:r>
      <w:r w:rsidR="008245D3">
        <w:rPr>
          <w:spacing w:val="1"/>
        </w:rPr>
        <w:t xml:space="preserve"> with PHC extending the tenure of the group for a further </w:t>
      </w:r>
      <w:r w:rsidR="00E251F5">
        <w:rPr>
          <w:spacing w:val="1"/>
        </w:rPr>
        <w:t>12-month</w:t>
      </w:r>
      <w:r w:rsidR="008245D3">
        <w:rPr>
          <w:spacing w:val="1"/>
        </w:rPr>
        <w:t xml:space="preserve"> term</w:t>
      </w:r>
      <w:r w:rsidR="00E913F7">
        <w:rPr>
          <w:spacing w:val="1"/>
        </w:rPr>
        <w:t xml:space="preserve">. </w:t>
      </w:r>
      <w:r w:rsidR="00840EBA" w:rsidRPr="000F5B81">
        <w:rPr>
          <w:spacing w:val="1"/>
        </w:rPr>
        <w:t xml:space="preserve"> This Working Group was established </w:t>
      </w:r>
      <w:r w:rsidR="00137F14">
        <w:rPr>
          <w:spacing w:val="1"/>
        </w:rPr>
        <w:t>in response to</w:t>
      </w:r>
      <w:r w:rsidR="00840EBA" w:rsidRPr="000F5B81">
        <w:rPr>
          <w:spacing w:val="1"/>
        </w:rPr>
        <w:t xml:space="preserve"> increas</w:t>
      </w:r>
      <w:r w:rsidR="00137F14">
        <w:rPr>
          <w:spacing w:val="1"/>
        </w:rPr>
        <w:t xml:space="preserve">ing </w:t>
      </w:r>
      <w:r w:rsidR="00840EBA" w:rsidRPr="000F5B81">
        <w:rPr>
          <w:spacing w:val="1"/>
        </w:rPr>
        <w:t>plant pest incursions</w:t>
      </w:r>
      <w:r w:rsidR="008245D3">
        <w:rPr>
          <w:spacing w:val="1"/>
        </w:rPr>
        <w:t xml:space="preserve"> with the aim of</w:t>
      </w:r>
      <w:r w:rsidR="00840EBA" w:rsidRPr="000F5B81">
        <w:rPr>
          <w:spacing w:val="1"/>
        </w:rPr>
        <w:t xml:space="preserve"> </w:t>
      </w:r>
      <w:r w:rsidR="008245D3">
        <w:rPr>
          <w:spacing w:val="1"/>
        </w:rPr>
        <w:t>improving efficiency of preparedness efforts</w:t>
      </w:r>
      <w:r w:rsidR="00840EBA" w:rsidRPr="000F5B81">
        <w:rPr>
          <w:spacing w:val="1"/>
        </w:rPr>
        <w:t xml:space="preserve"> and </w:t>
      </w:r>
      <w:r w:rsidR="008245D3">
        <w:rPr>
          <w:spacing w:val="1"/>
        </w:rPr>
        <w:t xml:space="preserve">to </w:t>
      </w:r>
      <w:r w:rsidR="00840EBA" w:rsidRPr="000F5B81">
        <w:rPr>
          <w:spacing w:val="1"/>
        </w:rPr>
        <w:t xml:space="preserve">generate transferrable and nationally consistent outputs </w:t>
      </w:r>
      <w:r w:rsidR="008245D3">
        <w:rPr>
          <w:spacing w:val="1"/>
        </w:rPr>
        <w:t>across</w:t>
      </w:r>
      <w:r w:rsidR="00840EBA" w:rsidRPr="000F5B81">
        <w:rPr>
          <w:spacing w:val="1"/>
        </w:rPr>
        <w:t xml:space="preserve"> all jurisdictions. </w:t>
      </w:r>
    </w:p>
    <w:p w14:paraId="67DF0033" w14:textId="742685B2" w:rsidR="0012557F" w:rsidRDefault="0012557F" w:rsidP="006E75FD">
      <w:pPr>
        <w:widowControl/>
        <w:autoSpaceDE w:val="0"/>
        <w:autoSpaceDN w:val="0"/>
        <w:adjustRightInd w:val="0"/>
        <w:spacing w:before="120" w:after="120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 xml:space="preserve">PHC discussed the importance of successful transition of varroa mite from eradication to ongoing management and in particular, that regulatory arrangements will be required to support ongoing management. A series of workshops are being scheduled with state and territory regulatory officers to ensure a national approach is adopted and </w:t>
      </w:r>
      <w:r w:rsidR="008245D3">
        <w:rPr>
          <w:rFonts w:ascii="Calibri" w:hAnsi="Calibri" w:cs="Calibri"/>
          <w:lang w:val="en-AU"/>
        </w:rPr>
        <w:t>clarity regarding</w:t>
      </w:r>
      <w:r>
        <w:rPr>
          <w:rFonts w:ascii="Calibri" w:hAnsi="Calibri" w:cs="Calibri"/>
          <w:lang w:val="en-AU"/>
        </w:rPr>
        <w:t xml:space="preserve"> ongoing arrangements.</w:t>
      </w:r>
    </w:p>
    <w:p w14:paraId="2D2E102A" w14:textId="189D3AA1" w:rsidR="00E441C2" w:rsidRPr="000F5B81" w:rsidRDefault="000F5B81" w:rsidP="006E75FD">
      <w:pPr>
        <w:spacing w:before="120" w:after="120"/>
        <w:rPr>
          <w:spacing w:val="1"/>
        </w:rPr>
      </w:pPr>
      <w:r>
        <w:rPr>
          <w:spacing w:val="1"/>
        </w:rPr>
        <w:t xml:space="preserve">PHC </w:t>
      </w:r>
      <w:r w:rsidR="009A4F2E">
        <w:rPr>
          <w:spacing w:val="1"/>
        </w:rPr>
        <w:t xml:space="preserve">received </w:t>
      </w:r>
      <w:r w:rsidR="0012557F">
        <w:rPr>
          <w:spacing w:val="1"/>
        </w:rPr>
        <w:t xml:space="preserve">a </w:t>
      </w:r>
      <w:r w:rsidR="004E406D">
        <w:rPr>
          <w:spacing w:val="1"/>
        </w:rPr>
        <w:t xml:space="preserve">presentation </w:t>
      </w:r>
      <w:r w:rsidR="00353290">
        <w:rPr>
          <w:spacing w:val="1"/>
        </w:rPr>
        <w:t xml:space="preserve">from </w:t>
      </w:r>
      <w:r w:rsidR="00452A78">
        <w:rPr>
          <w:spacing w:val="1"/>
        </w:rPr>
        <w:t xml:space="preserve">the </w:t>
      </w:r>
      <w:r w:rsidR="00353290">
        <w:rPr>
          <w:spacing w:val="1"/>
        </w:rPr>
        <w:t xml:space="preserve">CSIRO project leads </w:t>
      </w:r>
      <w:r w:rsidR="004E406D">
        <w:rPr>
          <w:spacing w:val="1"/>
        </w:rPr>
        <w:t xml:space="preserve">on the </w:t>
      </w:r>
      <w:hyperlink r:id="rId12" w:history="1">
        <w:r w:rsidR="00E441C2" w:rsidRPr="008E5144">
          <w:rPr>
            <w:rStyle w:val="Hyperlink"/>
            <w:spacing w:val="1"/>
          </w:rPr>
          <w:t xml:space="preserve">Safe Trade </w:t>
        </w:r>
        <w:r w:rsidR="00B16FFB" w:rsidRPr="008E5144">
          <w:rPr>
            <w:rStyle w:val="Hyperlink"/>
            <w:spacing w:val="1"/>
          </w:rPr>
          <w:t>project</w:t>
        </w:r>
      </w:hyperlink>
      <w:r w:rsidR="004E406D">
        <w:rPr>
          <w:spacing w:val="1"/>
        </w:rPr>
        <w:t>. This project</w:t>
      </w:r>
      <w:r w:rsidR="00B16FFB" w:rsidRPr="000F5B81">
        <w:rPr>
          <w:spacing w:val="1"/>
        </w:rPr>
        <w:t xml:space="preserve"> aims to maintain strong links with national biosecurity stakeholders and governance mechanisms to improve the way trade-related plant biosecurity risks are managed within Australia.</w:t>
      </w:r>
      <w:r w:rsidR="008E5144">
        <w:rPr>
          <w:spacing w:val="1"/>
        </w:rPr>
        <w:t xml:space="preserve"> </w:t>
      </w:r>
      <w:r w:rsidR="00E441C2" w:rsidRPr="000F5B81">
        <w:rPr>
          <w:spacing w:val="1"/>
        </w:rPr>
        <w:t>PHC noted and agreed that Safe Trade project outputs, such as national standards or guidelines, are intended to be endorsed, adopted, applied, managed</w:t>
      </w:r>
      <w:r w:rsidR="000A6E05">
        <w:rPr>
          <w:spacing w:val="1"/>
        </w:rPr>
        <w:t>,</w:t>
      </w:r>
      <w:r w:rsidR="00E441C2" w:rsidRPr="000F5B81">
        <w:rPr>
          <w:spacing w:val="1"/>
        </w:rPr>
        <w:t xml:space="preserve"> and maintained by PHC and its subcommittees. PHC also noted and agreed to the proposal for the Safe Trade project to aid the co-design of a vision and road map for a future domestic biosecurity-trade system, with input from PHC and relevant stakeholders.</w:t>
      </w:r>
    </w:p>
    <w:p w14:paraId="4CB12065" w14:textId="3CE6EC5C" w:rsidR="00E441C2" w:rsidRPr="000F5B81" w:rsidRDefault="000F5B81" w:rsidP="006E75FD">
      <w:pPr>
        <w:spacing w:before="120" w:after="120"/>
        <w:rPr>
          <w:spacing w:val="1"/>
        </w:rPr>
      </w:pPr>
      <w:r>
        <w:rPr>
          <w:spacing w:val="1"/>
        </w:rPr>
        <w:t xml:space="preserve">PHC </w:t>
      </w:r>
      <w:r w:rsidR="004E406D">
        <w:rPr>
          <w:spacing w:val="1"/>
        </w:rPr>
        <w:t xml:space="preserve">discussed how to </w:t>
      </w:r>
      <w:r w:rsidR="008245D3">
        <w:rPr>
          <w:spacing w:val="1"/>
        </w:rPr>
        <w:t xml:space="preserve">mark </w:t>
      </w:r>
      <w:r w:rsidR="00E441C2" w:rsidRPr="000F5B81">
        <w:rPr>
          <w:spacing w:val="1"/>
        </w:rPr>
        <w:t>the International Day of Plant Health 2024</w:t>
      </w:r>
      <w:r w:rsidR="008245D3">
        <w:rPr>
          <w:spacing w:val="1"/>
        </w:rPr>
        <w:t xml:space="preserve"> (May 12, 2024)</w:t>
      </w:r>
      <w:r w:rsidR="00E441C2" w:rsidRPr="000F5B81">
        <w:rPr>
          <w:spacing w:val="1"/>
        </w:rPr>
        <w:t>. The Australian Chief Plant Protection Officer encouraged</w:t>
      </w:r>
      <w:r w:rsidR="008245D3">
        <w:rPr>
          <w:spacing w:val="1"/>
        </w:rPr>
        <w:t xml:space="preserve"> </w:t>
      </w:r>
      <w:r w:rsidR="000A6E05">
        <w:rPr>
          <w:spacing w:val="1"/>
        </w:rPr>
        <w:t>participat</w:t>
      </w:r>
      <w:r w:rsidR="008245D3">
        <w:rPr>
          <w:spacing w:val="1"/>
        </w:rPr>
        <w:t xml:space="preserve">ion </w:t>
      </w:r>
      <w:r w:rsidR="000A6E05">
        <w:rPr>
          <w:spacing w:val="1"/>
        </w:rPr>
        <w:t xml:space="preserve">in the next </w:t>
      </w:r>
      <w:r w:rsidR="008245D3">
        <w:rPr>
          <w:spacing w:val="1"/>
        </w:rPr>
        <w:t xml:space="preserve">major </w:t>
      </w:r>
      <w:r w:rsidR="000A6E05">
        <w:rPr>
          <w:spacing w:val="1"/>
        </w:rPr>
        <w:t>event</w:t>
      </w:r>
      <w:r w:rsidR="00A07F46">
        <w:rPr>
          <w:spacing w:val="1"/>
        </w:rPr>
        <w:t xml:space="preserve"> to celebrate the day -</w:t>
      </w:r>
      <w:r w:rsidR="000A6E05">
        <w:rPr>
          <w:spacing w:val="1"/>
        </w:rPr>
        <w:t xml:space="preserve"> the </w:t>
      </w:r>
      <w:r w:rsidR="000A6E05" w:rsidRPr="000A6E05">
        <w:rPr>
          <w:spacing w:val="1"/>
        </w:rPr>
        <w:t>Plant Biosecurity Research Initiative (PBRI) Symposium</w:t>
      </w:r>
      <w:r w:rsidR="000A6E05">
        <w:rPr>
          <w:spacing w:val="1"/>
        </w:rPr>
        <w:t>, held on</w:t>
      </w:r>
      <w:r w:rsidR="000A6E05" w:rsidRPr="000A6E05">
        <w:rPr>
          <w:spacing w:val="1"/>
        </w:rPr>
        <w:t xml:space="preserve"> </w:t>
      </w:r>
      <w:r w:rsidR="000A6E05" w:rsidRPr="000F5B81">
        <w:rPr>
          <w:spacing w:val="1"/>
        </w:rPr>
        <w:t>8</w:t>
      </w:r>
      <w:r w:rsidR="000A6E05">
        <w:rPr>
          <w:spacing w:val="1"/>
        </w:rPr>
        <w:t>-</w:t>
      </w:r>
      <w:r w:rsidR="000A6E05" w:rsidRPr="000F5B81">
        <w:rPr>
          <w:spacing w:val="1"/>
        </w:rPr>
        <w:t xml:space="preserve">9 May 2024 </w:t>
      </w:r>
      <w:r w:rsidR="000A6E05" w:rsidRPr="000A6E05">
        <w:rPr>
          <w:spacing w:val="1"/>
        </w:rPr>
        <w:t>in Cairns, Queensland</w:t>
      </w:r>
      <w:r w:rsidR="00E441C2" w:rsidRPr="000F5B81">
        <w:rPr>
          <w:spacing w:val="1"/>
        </w:rPr>
        <w:t xml:space="preserve">. </w:t>
      </w:r>
    </w:p>
    <w:p w14:paraId="73964ED8" w14:textId="7CFEDC46" w:rsidR="00E441C2" w:rsidRDefault="00A07F46" w:rsidP="006E75FD">
      <w:pPr>
        <w:spacing w:before="120" w:after="120"/>
        <w:rPr>
          <w:spacing w:val="1"/>
        </w:rPr>
      </w:pPr>
      <w:r>
        <w:rPr>
          <w:spacing w:val="1"/>
        </w:rPr>
        <w:t>P</w:t>
      </w:r>
      <w:r w:rsidR="00597198" w:rsidRPr="000F5B81">
        <w:rPr>
          <w:spacing w:val="1"/>
        </w:rPr>
        <w:t xml:space="preserve">rogress and outcomes </w:t>
      </w:r>
      <w:r w:rsidR="000F5B81">
        <w:rPr>
          <w:spacing w:val="1"/>
        </w:rPr>
        <w:t>were considered from the</w:t>
      </w:r>
      <w:r w:rsidR="00597198" w:rsidRPr="000F5B81">
        <w:rPr>
          <w:spacing w:val="1"/>
        </w:rPr>
        <w:t xml:space="preserve"> Surveillance Requirements to Support Pest Freedom Working Group. The</w:t>
      </w:r>
      <w:r w:rsidR="000A6E05">
        <w:rPr>
          <w:spacing w:val="1"/>
        </w:rPr>
        <w:t xml:space="preserve"> PHC</w:t>
      </w:r>
      <w:r w:rsidR="00597198" w:rsidRPr="000F5B81">
        <w:rPr>
          <w:spacing w:val="1"/>
        </w:rPr>
        <w:t xml:space="preserve"> agreed </w:t>
      </w:r>
      <w:r w:rsidR="0051445D">
        <w:rPr>
          <w:spacing w:val="1"/>
        </w:rPr>
        <w:t xml:space="preserve">for </w:t>
      </w:r>
      <w:r w:rsidR="00597198" w:rsidRPr="000F5B81">
        <w:rPr>
          <w:spacing w:val="1"/>
        </w:rPr>
        <w:t xml:space="preserve">the working group </w:t>
      </w:r>
      <w:r w:rsidR="000A6E05">
        <w:rPr>
          <w:spacing w:val="1"/>
        </w:rPr>
        <w:t>to</w:t>
      </w:r>
      <w:r w:rsidR="00597198" w:rsidRPr="000F5B81">
        <w:rPr>
          <w:spacing w:val="1"/>
        </w:rPr>
        <w:t xml:space="preserve"> begin categoris</w:t>
      </w:r>
      <w:r w:rsidR="0051445D">
        <w:rPr>
          <w:spacing w:val="1"/>
        </w:rPr>
        <w:t>ing</w:t>
      </w:r>
      <w:r w:rsidR="00597198" w:rsidRPr="000F5B81">
        <w:rPr>
          <w:spacing w:val="1"/>
        </w:rPr>
        <w:t xml:space="preserve"> pests </w:t>
      </w:r>
      <w:r w:rsidR="00D32CBD" w:rsidRPr="000F5B81">
        <w:rPr>
          <w:spacing w:val="1"/>
        </w:rPr>
        <w:t>to</w:t>
      </w:r>
      <w:r w:rsidR="00597198" w:rsidRPr="000F5B81">
        <w:rPr>
          <w:spacing w:val="1"/>
        </w:rPr>
        <w:t xml:space="preserve"> </w:t>
      </w:r>
      <w:r w:rsidR="00D32CBD" w:rsidRPr="000F5B81">
        <w:rPr>
          <w:spacing w:val="1"/>
        </w:rPr>
        <w:t>allow</w:t>
      </w:r>
      <w:r w:rsidR="0051445D">
        <w:rPr>
          <w:spacing w:val="1"/>
        </w:rPr>
        <w:t xml:space="preserve"> for</w:t>
      </w:r>
      <w:r w:rsidR="00D32CBD" w:rsidRPr="000F5B81">
        <w:rPr>
          <w:spacing w:val="1"/>
        </w:rPr>
        <w:t xml:space="preserve"> comparisons of</w:t>
      </w:r>
      <w:r w:rsidR="00597198" w:rsidRPr="000F5B81">
        <w:rPr>
          <w:spacing w:val="1"/>
        </w:rPr>
        <w:t xml:space="preserve"> surveillance </w:t>
      </w:r>
      <w:r w:rsidR="008245D3">
        <w:rPr>
          <w:spacing w:val="1"/>
        </w:rPr>
        <w:t>requirements</w:t>
      </w:r>
      <w:r w:rsidR="00597198" w:rsidRPr="000F5B81">
        <w:rPr>
          <w:spacing w:val="1"/>
        </w:rPr>
        <w:t xml:space="preserve"> to </w:t>
      </w:r>
      <w:r w:rsidR="00D32CBD" w:rsidRPr="000F5B81">
        <w:rPr>
          <w:spacing w:val="1"/>
        </w:rPr>
        <w:t xml:space="preserve">reinforce and instill confidence in </w:t>
      </w:r>
      <w:r w:rsidR="008245D3">
        <w:rPr>
          <w:spacing w:val="1"/>
        </w:rPr>
        <w:t xml:space="preserve">pest </w:t>
      </w:r>
      <w:r w:rsidR="00597198" w:rsidRPr="000F5B81">
        <w:rPr>
          <w:spacing w:val="1"/>
        </w:rPr>
        <w:t xml:space="preserve">freedom/absence claims. </w:t>
      </w:r>
    </w:p>
    <w:p w14:paraId="543AD6D1" w14:textId="6708606B" w:rsidR="007F511B" w:rsidRPr="000F5B81" w:rsidRDefault="0012557F" w:rsidP="006E75FD">
      <w:pPr>
        <w:spacing w:before="120" w:after="120"/>
        <w:rPr>
          <w:spacing w:val="1"/>
        </w:rPr>
      </w:pPr>
      <w:r>
        <w:rPr>
          <w:spacing w:val="1"/>
        </w:rPr>
        <w:lastRenderedPageBreak/>
        <w:t xml:space="preserve">PHC </w:t>
      </w:r>
      <w:r w:rsidR="00947D8D">
        <w:rPr>
          <w:spacing w:val="1"/>
        </w:rPr>
        <w:t xml:space="preserve">has regular engagement with the </w:t>
      </w:r>
      <w:hyperlink r:id="rId13" w:history="1">
        <w:r w:rsidR="00947D8D" w:rsidRPr="00947D8D">
          <w:rPr>
            <w:rStyle w:val="Hyperlink"/>
            <w:spacing w:val="1"/>
          </w:rPr>
          <w:t>Plant Biosecurity Research Initiative</w:t>
        </w:r>
      </w:hyperlink>
      <w:r w:rsidR="00947D8D">
        <w:rPr>
          <w:spacing w:val="1"/>
        </w:rPr>
        <w:t xml:space="preserve"> (PBRI) and the </w:t>
      </w:r>
      <w:hyperlink r:id="rId14" w:history="1">
        <w:r w:rsidR="00947D8D" w:rsidRPr="00947D8D">
          <w:rPr>
            <w:rStyle w:val="Hyperlink"/>
            <w:spacing w:val="1"/>
          </w:rPr>
          <w:t xml:space="preserve">Plant Industries </w:t>
        </w:r>
        <w:r w:rsidR="0047766A">
          <w:rPr>
            <w:rStyle w:val="Hyperlink"/>
            <w:spacing w:val="1"/>
          </w:rPr>
          <w:t xml:space="preserve">Biosecurity </w:t>
        </w:r>
        <w:r w:rsidR="00947D8D" w:rsidRPr="00947D8D">
          <w:rPr>
            <w:rStyle w:val="Hyperlink"/>
            <w:spacing w:val="1"/>
          </w:rPr>
          <w:t>Committee</w:t>
        </w:r>
      </w:hyperlink>
      <w:r w:rsidR="00947D8D">
        <w:rPr>
          <w:spacing w:val="1"/>
        </w:rPr>
        <w:t xml:space="preserve"> (PIBC).</w:t>
      </w:r>
      <w:r>
        <w:rPr>
          <w:spacing w:val="1"/>
        </w:rPr>
        <w:t xml:space="preserve"> </w:t>
      </w:r>
      <w:r w:rsidR="00947D8D">
        <w:rPr>
          <w:spacing w:val="1"/>
        </w:rPr>
        <w:t>Jo Luck, PBRI Program Director, provided a presentation to the PHC on current</w:t>
      </w:r>
      <w:r w:rsidR="002827EC">
        <w:rPr>
          <w:spacing w:val="1"/>
        </w:rPr>
        <w:t xml:space="preserve"> PBRI projects</w:t>
      </w:r>
      <w:r w:rsidR="00947D8D">
        <w:rPr>
          <w:spacing w:val="1"/>
        </w:rPr>
        <w:t xml:space="preserve"> </w:t>
      </w:r>
      <w:r w:rsidR="002827EC">
        <w:rPr>
          <w:spacing w:val="1"/>
        </w:rPr>
        <w:t>as well as</w:t>
      </w:r>
      <w:r w:rsidR="00947D8D">
        <w:rPr>
          <w:spacing w:val="1"/>
        </w:rPr>
        <w:t xml:space="preserve"> potential program initiatives</w:t>
      </w:r>
      <w:r w:rsidR="002827EC">
        <w:rPr>
          <w:spacing w:val="1"/>
        </w:rPr>
        <w:t xml:space="preserve"> for next financial year</w:t>
      </w:r>
      <w:r w:rsidR="007F511B">
        <w:rPr>
          <w:spacing w:val="1"/>
        </w:rPr>
        <w:t xml:space="preserve">. </w:t>
      </w:r>
      <w:r w:rsidR="0019478B">
        <w:rPr>
          <w:spacing w:val="1"/>
        </w:rPr>
        <w:t>John McDonald, P</w:t>
      </w:r>
      <w:r w:rsidR="00824A3D">
        <w:rPr>
          <w:spacing w:val="1"/>
        </w:rPr>
        <w:t>IBC</w:t>
      </w:r>
      <w:r w:rsidR="0019478B">
        <w:rPr>
          <w:spacing w:val="1"/>
        </w:rPr>
        <w:t xml:space="preserve"> Chair</w:t>
      </w:r>
      <w:r w:rsidR="002827EC">
        <w:rPr>
          <w:spacing w:val="1"/>
        </w:rPr>
        <w:t>, provided an update on P</w:t>
      </w:r>
      <w:r w:rsidR="00824A3D">
        <w:rPr>
          <w:spacing w:val="1"/>
        </w:rPr>
        <w:t>IBC</w:t>
      </w:r>
      <w:r w:rsidR="002827EC">
        <w:rPr>
          <w:spacing w:val="1"/>
        </w:rPr>
        <w:t xml:space="preserve"> activity including real-life industry experience of working within the plant health biosecurity system. This regular engagement and two-way discussion </w:t>
      </w:r>
      <w:r w:rsidR="00E251F5">
        <w:rPr>
          <w:spacing w:val="1"/>
        </w:rPr>
        <w:t>strengthen</w:t>
      </w:r>
      <w:r w:rsidR="002827EC">
        <w:rPr>
          <w:spacing w:val="1"/>
        </w:rPr>
        <w:t xml:space="preserve"> the focus of national plant health biosecurity activity for government and industry. </w:t>
      </w:r>
    </w:p>
    <w:p w14:paraId="7D5ADE8F" w14:textId="1B75EE03" w:rsidR="00B16FFB" w:rsidRPr="000F5B81" w:rsidRDefault="000F5B81" w:rsidP="006E75FD">
      <w:pPr>
        <w:widowControl/>
        <w:autoSpaceDE w:val="0"/>
        <w:autoSpaceDN w:val="0"/>
        <w:adjustRightInd w:val="0"/>
        <w:spacing w:before="120" w:after="120"/>
        <w:rPr>
          <w:spacing w:val="1"/>
        </w:rPr>
      </w:pPr>
      <w:r>
        <w:rPr>
          <w:spacing w:val="1"/>
        </w:rPr>
        <w:t>The PHC evaluated</w:t>
      </w:r>
      <w:r w:rsidR="004E406D">
        <w:rPr>
          <w:spacing w:val="1"/>
        </w:rPr>
        <w:t xml:space="preserve"> and endorsed</w:t>
      </w:r>
      <w:r w:rsidR="00D32CBD" w:rsidRPr="000F5B81">
        <w:rPr>
          <w:spacing w:val="1"/>
        </w:rPr>
        <w:t xml:space="preserve"> the prioritised list of fruit fly diagnostic projects provided by the Australian Fruit Fly Technical Advisory Committee and the Subcommittee of Plant He</w:t>
      </w:r>
      <w:r w:rsidR="00D32CBD" w:rsidRPr="004E406D">
        <w:rPr>
          <w:spacing w:val="1"/>
        </w:rPr>
        <w:t xml:space="preserve">alth Diagnostics. </w:t>
      </w:r>
      <w:r w:rsidR="00D32CBD" w:rsidRPr="009945F1">
        <w:rPr>
          <w:spacing w:val="1"/>
        </w:rPr>
        <w:t xml:space="preserve">This </w:t>
      </w:r>
      <w:r w:rsidR="009A4F2E">
        <w:rPr>
          <w:spacing w:val="1"/>
        </w:rPr>
        <w:t>will help</w:t>
      </w:r>
      <w:r w:rsidR="00D32CBD" w:rsidRPr="009945F1">
        <w:rPr>
          <w:spacing w:val="1"/>
        </w:rPr>
        <w:t xml:space="preserve"> </w:t>
      </w:r>
      <w:r w:rsidR="009A4F2E">
        <w:rPr>
          <w:spacing w:val="1"/>
        </w:rPr>
        <w:t xml:space="preserve">to integrate </w:t>
      </w:r>
      <w:r w:rsidR="00935698" w:rsidRPr="009945F1">
        <w:rPr>
          <w:spacing w:val="1"/>
        </w:rPr>
        <w:t>new technologies and techniques, higher-definition images, and diagnostic resources and protocols available to fruit fly diagnosticians.</w:t>
      </w:r>
      <w:r w:rsidR="00935698" w:rsidRPr="000F5B81">
        <w:rPr>
          <w:spacing w:val="1"/>
        </w:rPr>
        <w:t xml:space="preserve"> </w:t>
      </w:r>
    </w:p>
    <w:p w14:paraId="2E89DB2D" w14:textId="3D8ED093" w:rsidR="00AB5DC4" w:rsidRDefault="00AB5DC4" w:rsidP="00371EB8">
      <w:pPr>
        <w:widowControl/>
        <w:autoSpaceDE w:val="0"/>
        <w:autoSpaceDN w:val="0"/>
        <w:adjustRightInd w:val="0"/>
        <w:spacing w:before="120" w:after="120"/>
        <w:rPr>
          <w:spacing w:val="1"/>
        </w:rPr>
      </w:pPr>
    </w:p>
    <w:p w14:paraId="703CFAE0" w14:textId="128D8F13" w:rsidR="00371EB8" w:rsidRPr="00C24BF9" w:rsidRDefault="009A4F2E" w:rsidP="009A4F2E">
      <w:pPr>
        <w:widowControl/>
        <w:autoSpaceDE w:val="0"/>
        <w:autoSpaceDN w:val="0"/>
        <w:adjustRightInd w:val="0"/>
        <w:spacing w:before="120" w:after="120"/>
        <w:jc w:val="center"/>
        <w:rPr>
          <w:spacing w:val="1"/>
          <w:lang w:val="en-AU"/>
        </w:rPr>
      </w:pPr>
      <w:r w:rsidRPr="009A4F2E">
        <w:rPr>
          <w:noProof/>
          <w:spacing w:val="1"/>
        </w:rPr>
        <w:drawing>
          <wp:inline distT="0" distB="0" distL="0" distR="0" wp14:anchorId="5BB690C3" wp14:editId="30A7BF5C">
            <wp:extent cx="5010573" cy="3213100"/>
            <wp:effectExtent l="0" t="0" r="0" b="6350"/>
            <wp:docPr id="1223571265" name="Picture 1223571265" descr="A group of people standing in front of a whiteboard&#10;">
              <a:extLst xmlns:a="http://schemas.openxmlformats.org/drawingml/2006/main">
                <a:ext uri="{FF2B5EF4-FFF2-40B4-BE49-F238E27FC236}">
                  <a16:creationId xmlns:a16="http://schemas.microsoft.com/office/drawing/2014/main" id="{2D91F86C-E70D-34DC-45F3-B4F7788F53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71265" name="Picture 1223571265" descr="A group of people standing in front of a whiteboard&#10;">
                      <a:extLst>
                        <a:ext uri="{FF2B5EF4-FFF2-40B4-BE49-F238E27FC236}">
                          <a16:creationId xmlns:a16="http://schemas.microsoft.com/office/drawing/2014/main" id="{2D91F86C-E70D-34DC-45F3-B4F7788F53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1" t="15389" r="9156" b="16567"/>
                    <a:stretch/>
                  </pic:blipFill>
                  <pic:spPr bwMode="auto">
                    <a:xfrm>
                      <a:off x="0" y="0"/>
                      <a:ext cx="5026685" cy="322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57BC" w14:textId="0DC4960C" w:rsidR="00371EB8" w:rsidRPr="0037441D" w:rsidRDefault="00371EB8" w:rsidP="006C0C96">
      <w:pPr>
        <w:widowControl/>
        <w:autoSpaceDE w:val="0"/>
        <w:autoSpaceDN w:val="0"/>
        <w:adjustRightInd w:val="0"/>
        <w:spacing w:before="120" w:after="120"/>
        <w:jc w:val="center"/>
        <w:rPr>
          <w:spacing w:val="1"/>
          <w:sz w:val="18"/>
          <w:szCs w:val="18"/>
        </w:rPr>
      </w:pPr>
      <w:r w:rsidRPr="0037441D">
        <w:rPr>
          <w:spacing w:val="1"/>
          <w:sz w:val="18"/>
          <w:szCs w:val="18"/>
        </w:rPr>
        <w:t>PHC64 members and attendees</w:t>
      </w:r>
    </w:p>
    <w:p w14:paraId="5584933F" w14:textId="5C839BDA" w:rsidR="00371EB8" w:rsidRPr="0037441D" w:rsidRDefault="00371EB8" w:rsidP="00000197">
      <w:pPr>
        <w:widowControl/>
        <w:autoSpaceDE w:val="0"/>
        <w:autoSpaceDN w:val="0"/>
        <w:adjustRightInd w:val="0"/>
        <w:spacing w:before="120" w:after="120"/>
        <w:ind w:firstLine="250"/>
        <w:rPr>
          <w:b/>
          <w:bCs/>
          <w:spacing w:val="1"/>
        </w:rPr>
      </w:pPr>
      <w:r>
        <w:rPr>
          <w:b/>
          <w:bCs/>
          <w:spacing w:val="1"/>
        </w:rPr>
        <w:t>Who are we?</w:t>
      </w:r>
    </w:p>
    <w:p w14:paraId="3D9132D2" w14:textId="5341E457" w:rsidR="00371EB8" w:rsidRPr="00306CD6" w:rsidRDefault="00371EB8" w:rsidP="00371EB8">
      <w:pPr>
        <w:widowControl/>
        <w:autoSpaceDE w:val="0"/>
        <w:autoSpaceDN w:val="0"/>
        <w:adjustRightInd w:val="0"/>
        <w:ind w:left="250"/>
        <w:rPr>
          <w:spacing w:val="1"/>
          <w:lang w:val="en-AU"/>
        </w:rPr>
      </w:pPr>
      <w:hyperlink r:id="rId16" w:history="1">
        <w:r w:rsidRPr="00CF744A">
          <w:rPr>
            <w:rStyle w:val="Hyperlink"/>
            <w:spacing w:val="1"/>
          </w:rPr>
          <w:t>Plant Health Committee</w:t>
        </w:r>
      </w:hyperlink>
      <w:r w:rsidRPr="00CF744A">
        <w:rPr>
          <w:spacing w:val="1"/>
        </w:rPr>
        <w:t xml:space="preserve"> </w:t>
      </w:r>
      <w:r>
        <w:rPr>
          <w:spacing w:val="1"/>
        </w:rPr>
        <w:t>(</w:t>
      </w:r>
      <w:r w:rsidRPr="002558F4">
        <w:rPr>
          <w:spacing w:val="1"/>
        </w:rPr>
        <w:t xml:space="preserve">PHC) </w:t>
      </w:r>
      <w:r w:rsidRPr="00CF744A">
        <w:rPr>
          <w:spacing w:val="1"/>
        </w:rPr>
        <w:t>is</w:t>
      </w:r>
      <w:r w:rsidRPr="009945F1">
        <w:rPr>
          <w:spacing w:val="1"/>
        </w:rPr>
        <w:t xml:space="preserve"> Australia’s national p</w:t>
      </w:r>
      <w:r w:rsidRPr="00CF744A">
        <w:rPr>
          <w:spacing w:val="1"/>
        </w:rPr>
        <w:t>eak government plant biosecurity policy and decision-making forum</w:t>
      </w:r>
      <w:r>
        <w:rPr>
          <w:spacing w:val="1"/>
        </w:rPr>
        <w:t xml:space="preserve">. Members of the committee include </w:t>
      </w:r>
      <w:r w:rsidRPr="00834D7F">
        <w:rPr>
          <w:spacing w:val="1"/>
        </w:rPr>
        <w:t>Chief Plant Health Managers (or equivalent) in each state and territory</w:t>
      </w:r>
      <w:r>
        <w:rPr>
          <w:spacing w:val="1"/>
        </w:rPr>
        <w:t xml:space="preserve">, </w:t>
      </w:r>
      <w:r w:rsidRPr="00834D7F">
        <w:rPr>
          <w:spacing w:val="1"/>
        </w:rPr>
        <w:t>the</w:t>
      </w:r>
      <w:r>
        <w:rPr>
          <w:spacing w:val="1"/>
        </w:rPr>
        <w:t xml:space="preserve"> </w:t>
      </w:r>
      <w:r w:rsidRPr="00834D7F">
        <w:rPr>
          <w:spacing w:val="1"/>
        </w:rPr>
        <w:t>Australian Chief Plant Protection Officer</w:t>
      </w:r>
      <w:r>
        <w:rPr>
          <w:spacing w:val="1"/>
        </w:rPr>
        <w:t xml:space="preserve"> and invited observers and technical experts. The</w:t>
      </w:r>
      <w:r w:rsidRPr="00CF744A">
        <w:rPr>
          <w:spacing w:val="1"/>
        </w:rPr>
        <w:t xml:space="preserve"> role </w:t>
      </w:r>
      <w:r>
        <w:rPr>
          <w:spacing w:val="1"/>
        </w:rPr>
        <w:t xml:space="preserve">of PHC </w:t>
      </w:r>
      <w:r w:rsidRPr="00CF744A">
        <w:rPr>
          <w:spacing w:val="1"/>
        </w:rPr>
        <w:t xml:space="preserve">is to </w:t>
      </w:r>
      <w:r>
        <w:rPr>
          <w:spacing w:val="1"/>
        </w:rPr>
        <w:t xml:space="preserve">develop strategic policy, provide technical </w:t>
      </w:r>
      <w:r w:rsidRPr="00CF744A">
        <w:rPr>
          <w:spacing w:val="1"/>
        </w:rPr>
        <w:t xml:space="preserve">and regulatory advice and national leadership on plant biosecurity matters </w:t>
      </w:r>
      <w:r>
        <w:rPr>
          <w:spacing w:val="1"/>
        </w:rPr>
        <w:t xml:space="preserve">to help </w:t>
      </w:r>
      <w:r w:rsidRPr="00CF744A">
        <w:rPr>
          <w:spacing w:val="1"/>
        </w:rPr>
        <w:t>mainta</w:t>
      </w:r>
      <w:r>
        <w:rPr>
          <w:spacing w:val="1"/>
        </w:rPr>
        <w:t xml:space="preserve">in and </w:t>
      </w:r>
      <w:r w:rsidRPr="00CF744A">
        <w:rPr>
          <w:spacing w:val="1"/>
        </w:rPr>
        <w:t>improv</w:t>
      </w:r>
      <w:r>
        <w:rPr>
          <w:spacing w:val="1"/>
        </w:rPr>
        <w:t>e</w:t>
      </w:r>
      <w:r w:rsidRPr="00CF744A">
        <w:rPr>
          <w:spacing w:val="1"/>
        </w:rPr>
        <w:t xml:space="preserve"> plant health </w:t>
      </w:r>
      <w:r>
        <w:rPr>
          <w:spacing w:val="1"/>
        </w:rPr>
        <w:t xml:space="preserve">in </w:t>
      </w:r>
      <w:r w:rsidRPr="00CF744A">
        <w:rPr>
          <w:spacing w:val="1"/>
        </w:rPr>
        <w:t>Australia</w:t>
      </w:r>
      <w:r>
        <w:rPr>
          <w:spacing w:val="1"/>
        </w:rPr>
        <w:t xml:space="preserve">. </w:t>
      </w:r>
      <w:r w:rsidRPr="00306CD6">
        <w:rPr>
          <w:spacing w:val="1"/>
          <w:lang w:val="en-AU"/>
        </w:rPr>
        <w:t xml:space="preserve">PHC </w:t>
      </w:r>
      <w:r>
        <w:rPr>
          <w:spacing w:val="1"/>
          <w:lang w:val="en-AU"/>
        </w:rPr>
        <w:t>has</w:t>
      </w:r>
      <w:r w:rsidRPr="00306CD6">
        <w:rPr>
          <w:spacing w:val="1"/>
          <w:lang w:val="en-AU"/>
        </w:rPr>
        <w:t xml:space="preserve"> a shared purpose to protect our industries, the </w:t>
      </w:r>
      <w:r w:rsidR="00E251F5" w:rsidRPr="00306CD6">
        <w:rPr>
          <w:spacing w:val="1"/>
          <w:lang w:val="en-AU"/>
        </w:rPr>
        <w:t>economy,</w:t>
      </w:r>
      <w:r w:rsidRPr="00306CD6">
        <w:rPr>
          <w:spacing w:val="1"/>
          <w:lang w:val="en-AU"/>
        </w:rPr>
        <w:t xml:space="preserve"> and our unique environment.</w:t>
      </w:r>
    </w:p>
    <w:p w14:paraId="0657729E" w14:textId="77777777" w:rsidR="00371EB8" w:rsidRDefault="00371EB8" w:rsidP="00371EB8">
      <w:pPr>
        <w:widowControl/>
        <w:autoSpaceDE w:val="0"/>
        <w:autoSpaceDN w:val="0"/>
        <w:adjustRightInd w:val="0"/>
        <w:ind w:left="250"/>
        <w:rPr>
          <w:spacing w:val="1"/>
        </w:rPr>
      </w:pPr>
    </w:p>
    <w:p w14:paraId="07A22F85" w14:textId="77777777" w:rsidR="00000197" w:rsidRDefault="00371EB8" w:rsidP="00371EB8">
      <w:pPr>
        <w:widowControl/>
        <w:autoSpaceDE w:val="0"/>
        <w:autoSpaceDN w:val="0"/>
        <w:adjustRightInd w:val="0"/>
        <w:ind w:left="250"/>
        <w:rPr>
          <w:spacing w:val="1"/>
        </w:rPr>
      </w:pPr>
      <w:r>
        <w:rPr>
          <w:spacing w:val="1"/>
        </w:rPr>
        <w:t>Members</w:t>
      </w:r>
      <w:r w:rsidRPr="00834D7F">
        <w:rPr>
          <w:spacing w:val="1"/>
        </w:rPr>
        <w:t xml:space="preserve"> contribute to the development of national plant health policy, capacity and capability in Australia by representing their governments on plant health issues and bringing a whole-of-government position to the </w:t>
      </w:r>
      <w:r>
        <w:rPr>
          <w:spacing w:val="1"/>
        </w:rPr>
        <w:t>C</w:t>
      </w:r>
      <w:r w:rsidRPr="00834D7F">
        <w:rPr>
          <w:spacing w:val="1"/>
        </w:rPr>
        <w:t xml:space="preserve">ommittee. </w:t>
      </w:r>
    </w:p>
    <w:p w14:paraId="63D4C015" w14:textId="0424822A" w:rsidR="00371EB8" w:rsidRDefault="00371EB8" w:rsidP="00371EB8">
      <w:pPr>
        <w:widowControl/>
        <w:autoSpaceDE w:val="0"/>
        <w:autoSpaceDN w:val="0"/>
        <w:adjustRightInd w:val="0"/>
        <w:ind w:left="250"/>
        <w:rPr>
          <w:spacing w:val="1"/>
        </w:rPr>
      </w:pPr>
      <w:r>
        <w:rPr>
          <w:spacing w:val="1"/>
        </w:rPr>
        <w:lastRenderedPageBreak/>
        <w:t>To achieve this, the Committee meet on a regular basis to discuss issues, deliberate on presented items and make decisions regarding aspects of the biosecurity system, including:</w:t>
      </w:r>
    </w:p>
    <w:p w14:paraId="574B6657" w14:textId="77777777" w:rsidR="009C3BE4" w:rsidRDefault="009C3BE4" w:rsidP="00000197">
      <w:pPr>
        <w:pStyle w:val="Heading1"/>
        <w:tabs>
          <w:tab w:val="left" w:pos="252"/>
        </w:tabs>
        <w:ind w:left="0" w:firstLine="0"/>
        <w:rPr>
          <w:rFonts w:asciiTheme="minorHAnsi" w:hAnsiTheme="minorHAnsi"/>
          <w:b w:val="0"/>
          <w:bCs w:val="0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244"/>
      </w:tblGrid>
      <w:tr w:rsidR="00000197" w:rsidRPr="005437A5" w14:paraId="25D39B4F" w14:textId="77777777" w:rsidTr="00202B60">
        <w:tc>
          <w:tcPr>
            <w:tcW w:w="4258" w:type="dxa"/>
          </w:tcPr>
          <w:p w14:paraId="5282B008" w14:textId="77777777" w:rsidR="00000197" w:rsidRPr="00CF744A" w:rsidRDefault="00000197" w:rsidP="00000197">
            <w:pPr>
              <w:pStyle w:val="Heading1"/>
              <w:numPr>
                <w:ilvl w:val="0"/>
                <w:numId w:val="17"/>
              </w:numPr>
              <w:tabs>
                <w:tab w:val="left" w:pos="252"/>
              </w:tabs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Plant biosecurity p</w:t>
            </w:r>
            <w:r w:rsidRPr="00CF744A">
              <w:rPr>
                <w:rFonts w:asciiTheme="minorHAnsi" w:hAnsiTheme="minorHAnsi"/>
                <w:b w:val="0"/>
                <w:bCs w:val="0"/>
              </w:rPr>
              <w:t>reparedness</w:t>
            </w:r>
          </w:p>
          <w:p w14:paraId="7AA7FD7E" w14:textId="77777777" w:rsidR="00000197" w:rsidRPr="00CF744A" w:rsidRDefault="00000197" w:rsidP="00000197">
            <w:pPr>
              <w:pStyle w:val="Heading1"/>
              <w:numPr>
                <w:ilvl w:val="0"/>
                <w:numId w:val="17"/>
              </w:numPr>
              <w:tabs>
                <w:tab w:val="left" w:pos="252"/>
              </w:tabs>
              <w:rPr>
                <w:rFonts w:asciiTheme="minorHAnsi" w:hAnsiTheme="minorHAnsi"/>
                <w:b w:val="0"/>
                <w:bCs w:val="0"/>
              </w:rPr>
            </w:pPr>
            <w:r w:rsidRPr="00CF744A">
              <w:rPr>
                <w:rFonts w:asciiTheme="minorHAnsi" w:hAnsiTheme="minorHAnsi"/>
                <w:b w:val="0"/>
                <w:bCs w:val="0"/>
              </w:rPr>
              <w:t xml:space="preserve">Interstate </w:t>
            </w:r>
            <w:r>
              <w:rPr>
                <w:rFonts w:asciiTheme="minorHAnsi" w:hAnsiTheme="minorHAnsi"/>
                <w:b w:val="0"/>
                <w:bCs w:val="0"/>
              </w:rPr>
              <w:t>t</w:t>
            </w:r>
            <w:r w:rsidRPr="00CF744A">
              <w:rPr>
                <w:rFonts w:asciiTheme="minorHAnsi" w:hAnsiTheme="minorHAnsi"/>
                <w:b w:val="0"/>
                <w:bCs w:val="0"/>
              </w:rPr>
              <w:t>rade</w:t>
            </w:r>
          </w:p>
          <w:p w14:paraId="19B4BBC5" w14:textId="77777777" w:rsidR="00000197" w:rsidRDefault="00000197" w:rsidP="00000197">
            <w:pPr>
              <w:pStyle w:val="Heading1"/>
              <w:numPr>
                <w:ilvl w:val="0"/>
                <w:numId w:val="17"/>
              </w:numPr>
              <w:tabs>
                <w:tab w:val="left" w:pos="252"/>
              </w:tabs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</w:t>
            </w:r>
            <w:r w:rsidRPr="00CF744A">
              <w:rPr>
                <w:rFonts w:asciiTheme="minorHAnsi" w:hAnsiTheme="minorHAnsi"/>
                <w:b w:val="0"/>
                <w:bCs w:val="0"/>
              </w:rPr>
              <w:t>ngagement</w:t>
            </w:r>
            <w:r>
              <w:rPr>
                <w:rFonts w:asciiTheme="minorHAnsi" w:hAnsiTheme="minorHAnsi"/>
                <w:b w:val="0"/>
                <w:bCs w:val="0"/>
              </w:rPr>
              <w:t xml:space="preserve"> and communications</w:t>
            </w:r>
            <w:r w:rsidRPr="00CF744A">
              <w:rPr>
                <w:rFonts w:asciiTheme="minorHAnsi" w:hAnsiTheme="minorHAnsi"/>
                <w:b w:val="0"/>
                <w:bCs w:val="0"/>
              </w:rPr>
              <w:t xml:space="preserve"> </w:t>
            </w:r>
          </w:p>
          <w:p w14:paraId="459424BF" w14:textId="77777777" w:rsidR="00000197" w:rsidRPr="005437A5" w:rsidRDefault="00000197" w:rsidP="00000197">
            <w:pPr>
              <w:pStyle w:val="Heading1"/>
              <w:numPr>
                <w:ilvl w:val="0"/>
                <w:numId w:val="17"/>
              </w:numPr>
              <w:tabs>
                <w:tab w:val="left" w:pos="252"/>
              </w:tabs>
              <w:rPr>
                <w:rFonts w:asciiTheme="minorHAnsi" w:hAnsiTheme="minorHAnsi"/>
                <w:b w:val="0"/>
                <w:bCs w:val="0"/>
              </w:rPr>
            </w:pPr>
            <w:r w:rsidRPr="00CF744A">
              <w:rPr>
                <w:rFonts w:asciiTheme="minorHAnsi" w:hAnsiTheme="minorHAnsi"/>
                <w:b w:val="0"/>
                <w:bCs w:val="0"/>
              </w:rPr>
              <w:t>Surveillance</w:t>
            </w:r>
          </w:p>
        </w:tc>
        <w:tc>
          <w:tcPr>
            <w:tcW w:w="5244" w:type="dxa"/>
          </w:tcPr>
          <w:p w14:paraId="5F52855B" w14:textId="77777777" w:rsidR="00000197" w:rsidRPr="005437A5" w:rsidRDefault="00000197" w:rsidP="00000197">
            <w:pPr>
              <w:pStyle w:val="Heading1"/>
              <w:numPr>
                <w:ilvl w:val="0"/>
                <w:numId w:val="17"/>
              </w:numPr>
              <w:tabs>
                <w:tab w:val="left" w:pos="252"/>
              </w:tabs>
              <w:rPr>
                <w:rFonts w:asciiTheme="minorHAnsi" w:hAnsiTheme="minorHAnsi"/>
                <w:b w:val="0"/>
                <w:bCs w:val="0"/>
              </w:rPr>
            </w:pPr>
            <w:r w:rsidRPr="005437A5">
              <w:rPr>
                <w:rFonts w:asciiTheme="minorHAnsi" w:hAnsiTheme="minorHAnsi"/>
                <w:b w:val="0"/>
                <w:bCs w:val="0"/>
              </w:rPr>
              <w:t xml:space="preserve">Systems and processes </w:t>
            </w:r>
          </w:p>
          <w:p w14:paraId="7BD2E951" w14:textId="77777777" w:rsidR="00000197" w:rsidRPr="005437A5" w:rsidRDefault="00000197" w:rsidP="00000197">
            <w:pPr>
              <w:pStyle w:val="Heading1"/>
              <w:numPr>
                <w:ilvl w:val="0"/>
                <w:numId w:val="17"/>
              </w:numPr>
              <w:tabs>
                <w:tab w:val="left" w:pos="252"/>
              </w:tabs>
              <w:rPr>
                <w:rFonts w:asciiTheme="minorHAnsi" w:hAnsiTheme="minorHAnsi"/>
                <w:b w:val="0"/>
                <w:bCs w:val="0"/>
              </w:rPr>
            </w:pPr>
            <w:r w:rsidRPr="005437A5">
              <w:rPr>
                <w:rFonts w:asciiTheme="minorHAnsi" w:hAnsiTheme="minorHAnsi"/>
                <w:b w:val="0"/>
                <w:bCs w:val="0"/>
              </w:rPr>
              <w:t>Diagnostics</w:t>
            </w:r>
          </w:p>
          <w:p w14:paraId="654DD2E4" w14:textId="77777777" w:rsidR="00000197" w:rsidRPr="005437A5" w:rsidRDefault="00000197" w:rsidP="00000197">
            <w:pPr>
              <w:pStyle w:val="Heading1"/>
              <w:numPr>
                <w:ilvl w:val="0"/>
                <w:numId w:val="17"/>
              </w:numPr>
              <w:tabs>
                <w:tab w:val="left" w:pos="252"/>
              </w:tabs>
              <w:rPr>
                <w:rFonts w:asciiTheme="minorHAnsi" w:hAnsiTheme="minorHAnsi"/>
                <w:b w:val="0"/>
                <w:bCs w:val="0"/>
              </w:rPr>
            </w:pPr>
            <w:r w:rsidRPr="005437A5">
              <w:rPr>
                <w:rFonts w:asciiTheme="minorHAnsi" w:hAnsiTheme="minorHAnsi"/>
                <w:b w:val="0"/>
                <w:bCs w:val="0"/>
              </w:rPr>
              <w:t>Fruit fly</w:t>
            </w:r>
          </w:p>
          <w:p w14:paraId="75A06871" w14:textId="77777777" w:rsidR="00000197" w:rsidRPr="005437A5" w:rsidRDefault="00000197" w:rsidP="00000197">
            <w:pPr>
              <w:pStyle w:val="Heading1"/>
              <w:numPr>
                <w:ilvl w:val="0"/>
                <w:numId w:val="17"/>
              </w:numPr>
              <w:tabs>
                <w:tab w:val="left" w:pos="252"/>
              </w:tabs>
              <w:rPr>
                <w:rFonts w:asciiTheme="minorHAnsi" w:hAnsiTheme="minorHAnsi"/>
                <w:b w:val="0"/>
                <w:bCs w:val="0"/>
              </w:rPr>
            </w:pPr>
            <w:r w:rsidRPr="005437A5">
              <w:rPr>
                <w:rFonts w:asciiTheme="minorHAnsi" w:hAnsiTheme="minorHAnsi"/>
                <w:b w:val="0"/>
                <w:bCs w:val="0"/>
              </w:rPr>
              <w:t xml:space="preserve">Future focused initiatives </w:t>
            </w:r>
          </w:p>
        </w:tc>
      </w:tr>
    </w:tbl>
    <w:p w14:paraId="206B8D36" w14:textId="77777777" w:rsidR="00000197" w:rsidRPr="00CF744A" w:rsidRDefault="00000197" w:rsidP="009C3BE4">
      <w:pPr>
        <w:pStyle w:val="Heading1"/>
        <w:tabs>
          <w:tab w:val="left" w:pos="252"/>
        </w:tabs>
        <w:ind w:left="998" w:firstLine="0"/>
        <w:rPr>
          <w:rFonts w:asciiTheme="minorHAnsi" w:hAnsiTheme="minorHAnsi"/>
          <w:b w:val="0"/>
          <w:bCs w:val="0"/>
        </w:rPr>
      </w:pPr>
    </w:p>
    <w:p w14:paraId="316BF8B5" w14:textId="75ECEC06" w:rsidR="00383D5C" w:rsidRDefault="00E1774A" w:rsidP="00383D5C">
      <w:pPr>
        <w:widowControl/>
        <w:autoSpaceDE w:val="0"/>
        <w:autoSpaceDN w:val="0"/>
        <w:adjustRightInd w:val="0"/>
        <w:rPr>
          <w:rStyle w:val="Hyperlink"/>
          <w:rFonts w:eastAsia="Times New Roman"/>
          <w:color w:val="auto"/>
          <w:spacing w:val="1"/>
          <w:u w:val="none"/>
        </w:rPr>
      </w:pPr>
      <w:r w:rsidRPr="0051445D">
        <w:rPr>
          <w:rFonts w:eastAsia="Times New Roman"/>
          <w:spacing w:val="1"/>
        </w:rPr>
        <w:t>PHC will next meet for an intersessional meeting</w:t>
      </w:r>
      <w:r w:rsidR="0051445D" w:rsidRPr="0051445D">
        <w:rPr>
          <w:rFonts w:eastAsia="Times New Roman"/>
          <w:spacing w:val="1"/>
        </w:rPr>
        <w:t>,</w:t>
      </w:r>
      <w:r w:rsidR="00160B8D" w:rsidRPr="0051445D">
        <w:rPr>
          <w:rFonts w:eastAsia="Times New Roman"/>
          <w:spacing w:val="1"/>
        </w:rPr>
        <w:t xml:space="preserve"> PHC 2024-01</w:t>
      </w:r>
      <w:r w:rsidR="0051445D" w:rsidRPr="0051445D">
        <w:rPr>
          <w:rFonts w:eastAsia="Times New Roman"/>
          <w:spacing w:val="1"/>
        </w:rPr>
        <w:t>,</w:t>
      </w:r>
      <w:r w:rsidRPr="0051445D">
        <w:rPr>
          <w:rFonts w:eastAsia="Times New Roman"/>
          <w:spacing w:val="1"/>
        </w:rPr>
        <w:t xml:space="preserve"> on </w:t>
      </w:r>
      <w:r w:rsidR="00824A3D" w:rsidRPr="0051445D">
        <w:rPr>
          <w:rFonts w:eastAsia="Times New Roman"/>
          <w:spacing w:val="1"/>
        </w:rPr>
        <w:t>2</w:t>
      </w:r>
      <w:r w:rsidR="00824A3D">
        <w:rPr>
          <w:rFonts w:eastAsia="Times New Roman"/>
          <w:spacing w:val="1"/>
        </w:rPr>
        <w:t>5</w:t>
      </w:r>
      <w:r w:rsidR="00160B8D" w:rsidRPr="0051445D">
        <w:rPr>
          <w:rFonts w:eastAsia="Times New Roman"/>
          <w:spacing w:val="1"/>
        </w:rPr>
        <w:t>-</w:t>
      </w:r>
      <w:r w:rsidR="00824A3D" w:rsidRPr="0051445D">
        <w:rPr>
          <w:rFonts w:eastAsia="Times New Roman"/>
          <w:spacing w:val="1"/>
        </w:rPr>
        <w:t>2</w:t>
      </w:r>
      <w:r w:rsidR="00824A3D">
        <w:rPr>
          <w:rFonts w:eastAsia="Times New Roman"/>
          <w:spacing w:val="1"/>
        </w:rPr>
        <w:t>7</w:t>
      </w:r>
      <w:r w:rsidR="00824A3D" w:rsidRPr="0051445D">
        <w:rPr>
          <w:rFonts w:eastAsia="Times New Roman"/>
          <w:spacing w:val="1"/>
        </w:rPr>
        <w:t xml:space="preserve"> </w:t>
      </w:r>
      <w:r w:rsidR="00160B8D" w:rsidRPr="0051445D">
        <w:rPr>
          <w:rFonts w:eastAsia="Times New Roman"/>
          <w:spacing w:val="1"/>
        </w:rPr>
        <w:t>March 2024</w:t>
      </w:r>
      <w:r w:rsidRPr="0051445D">
        <w:rPr>
          <w:rFonts w:eastAsia="Times New Roman"/>
          <w:spacing w:val="1"/>
        </w:rPr>
        <w:t xml:space="preserve">, </w:t>
      </w:r>
      <w:r w:rsidR="0051445D" w:rsidRPr="0051445D">
        <w:rPr>
          <w:rFonts w:eastAsia="Times New Roman"/>
          <w:spacing w:val="1"/>
        </w:rPr>
        <w:t>and again on</w:t>
      </w:r>
      <w:r w:rsidRPr="0051445D">
        <w:rPr>
          <w:rFonts w:eastAsia="Times New Roman"/>
          <w:spacing w:val="1"/>
        </w:rPr>
        <w:t xml:space="preserve"> </w:t>
      </w:r>
      <w:r w:rsidR="00160B8D" w:rsidRPr="0051445D">
        <w:rPr>
          <w:rFonts w:eastAsia="Times New Roman"/>
          <w:spacing w:val="1"/>
        </w:rPr>
        <w:t>2-4 July 2024</w:t>
      </w:r>
      <w:r w:rsidRPr="0051445D">
        <w:rPr>
          <w:rFonts w:eastAsia="Times New Roman"/>
          <w:spacing w:val="1"/>
        </w:rPr>
        <w:t xml:space="preserve"> for PHC</w:t>
      </w:r>
      <w:r w:rsidR="00160B8D" w:rsidRPr="0051445D">
        <w:rPr>
          <w:rFonts w:eastAsia="Times New Roman"/>
          <w:spacing w:val="1"/>
        </w:rPr>
        <w:t>65</w:t>
      </w:r>
      <w:r w:rsidRPr="0051445D">
        <w:rPr>
          <w:rFonts w:eastAsia="Times New Roman"/>
          <w:spacing w:val="1"/>
        </w:rPr>
        <w:t>.</w:t>
      </w:r>
      <w:r w:rsidR="00306CD6">
        <w:rPr>
          <w:rFonts w:eastAsia="Times New Roman"/>
          <w:spacing w:val="1"/>
        </w:rPr>
        <w:t xml:space="preserve"> </w:t>
      </w:r>
      <w:r w:rsidR="00383D5C">
        <w:rPr>
          <w:rFonts w:eastAsia="Times New Roman"/>
          <w:spacing w:val="1"/>
        </w:rPr>
        <w:t xml:space="preserve">The Secretariat circulates a call for agenda items to Members and Observers eight weeks prior to the meeting date. All proposals should be supported in the first instance by a PHC Member or the PHC </w:t>
      </w:r>
      <w:r w:rsidR="00E251F5">
        <w:rPr>
          <w:rFonts w:eastAsia="Times New Roman"/>
          <w:spacing w:val="1"/>
        </w:rPr>
        <w:t>Chair or</w:t>
      </w:r>
      <w:r w:rsidR="00383D5C">
        <w:rPr>
          <w:rFonts w:eastAsia="Times New Roman"/>
          <w:spacing w:val="1"/>
        </w:rPr>
        <w:t xml:space="preserve"> relate to a standing item. To discuss items for consideration please contact the </w:t>
      </w:r>
      <w:hyperlink r:id="rId17" w:history="1">
        <w:r w:rsidR="00383D5C" w:rsidRPr="001C4A49">
          <w:rPr>
            <w:rStyle w:val="Hyperlink"/>
            <w:rFonts w:eastAsia="Times New Roman"/>
            <w:spacing w:val="1"/>
          </w:rPr>
          <w:t>PHCExecutiveOfficer@aff.gov.au</w:t>
        </w:r>
      </w:hyperlink>
      <w:r w:rsidR="00383D5C">
        <w:rPr>
          <w:rFonts w:eastAsia="Times New Roman"/>
          <w:spacing w:val="1"/>
        </w:rPr>
        <w:t xml:space="preserve"> or PHC Secretariat - </w:t>
      </w:r>
      <w:hyperlink r:id="rId18" w:history="1">
        <w:r w:rsidR="00383D5C" w:rsidRPr="001C4A49">
          <w:rPr>
            <w:rStyle w:val="Hyperlink"/>
            <w:rFonts w:eastAsia="Times New Roman"/>
            <w:spacing w:val="1"/>
          </w:rPr>
          <w:t>PHC@aff.gov.au.</w:t>
        </w:r>
      </w:hyperlink>
      <w:r w:rsidR="00383D5C">
        <w:rPr>
          <w:rStyle w:val="Hyperlink"/>
          <w:rFonts w:eastAsia="Times New Roman"/>
          <w:spacing w:val="1"/>
          <w:u w:val="none"/>
        </w:rPr>
        <w:t xml:space="preserve"> </w:t>
      </w:r>
      <w:r w:rsidR="00383D5C" w:rsidRPr="00B51483">
        <w:rPr>
          <w:rStyle w:val="Hyperlink"/>
          <w:rFonts w:eastAsia="Times New Roman"/>
          <w:color w:val="auto"/>
          <w:spacing w:val="1"/>
          <w:u w:val="none"/>
        </w:rPr>
        <w:t xml:space="preserve">Agenda items may include papers, presentations or workshopping items. All papers are due three weeks prior to the meeting date. </w:t>
      </w:r>
    </w:p>
    <w:p w14:paraId="5E685A37" w14:textId="163102AF" w:rsidR="00C93846" w:rsidRDefault="00C93846" w:rsidP="009C3BE4">
      <w:pPr>
        <w:widowControl/>
        <w:autoSpaceDE w:val="0"/>
        <w:autoSpaceDN w:val="0"/>
        <w:adjustRightInd w:val="0"/>
        <w:rPr>
          <w:rFonts w:eastAsia="Times New Roman"/>
          <w:spacing w:val="1"/>
        </w:rPr>
      </w:pPr>
    </w:p>
    <w:p w14:paraId="695A9E49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7EBA463B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72125755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48249A71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5D79E6B7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34C7E6A5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29F4D7E2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05CFCA4C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45806D24" w14:textId="77777777" w:rsidR="00755EFE" w:rsidRDefault="00755EFE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5AC64A61" w14:textId="77777777" w:rsidR="00755EFE" w:rsidRDefault="00755EFE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667C9120" w14:textId="77777777" w:rsidR="00755EFE" w:rsidRDefault="00755EFE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2D02EF5A" w14:textId="77777777" w:rsidR="00755EFE" w:rsidRDefault="00755EFE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1B13EB0F" w14:textId="77777777" w:rsidR="009C3BE4" w:rsidRDefault="009C3BE4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74E054EE" w14:textId="77777777" w:rsidR="009C3BE4" w:rsidRDefault="009C3BE4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404D82ED" w14:textId="77777777" w:rsidR="009C3BE4" w:rsidRDefault="009C3BE4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5C4ED067" w14:textId="77777777" w:rsidR="009C3BE4" w:rsidRDefault="009C3BE4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03002F7E" w14:textId="77777777" w:rsidR="009C3BE4" w:rsidRDefault="009C3BE4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4D3BE9C1" w14:textId="77777777" w:rsidR="009C3BE4" w:rsidRDefault="009C3BE4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2D7C925C" w14:textId="77777777" w:rsidR="00755EFE" w:rsidRDefault="00755EFE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01DCD40E" w14:textId="77777777" w:rsidR="00755EFE" w:rsidRDefault="00755EFE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24D24EC9" w14:textId="77777777" w:rsidR="00755EFE" w:rsidRDefault="00755EFE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p w14:paraId="735DBA77" w14:textId="77777777" w:rsidR="006E75FD" w:rsidRDefault="006E75FD" w:rsidP="00C93846">
      <w:pPr>
        <w:widowControl/>
        <w:autoSpaceDE w:val="0"/>
        <w:autoSpaceDN w:val="0"/>
        <w:adjustRightInd w:val="0"/>
        <w:ind w:left="250"/>
        <w:rPr>
          <w:rFonts w:eastAsia="Times New Roman"/>
          <w:spacing w:val="1"/>
        </w:rPr>
      </w:pPr>
    </w:p>
    <w:tbl>
      <w:tblPr>
        <w:tblStyle w:val="TableGrid"/>
        <w:tblW w:w="0" w:type="auto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438"/>
        <w:gridCol w:w="2437"/>
        <w:gridCol w:w="2438"/>
      </w:tblGrid>
      <w:tr w:rsidR="006E75FD" w14:paraId="2875B581" w14:textId="77777777" w:rsidTr="006E75FD"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14:paraId="3EF27706" w14:textId="77777777" w:rsidR="006E75FD" w:rsidRPr="006E75FD" w:rsidRDefault="006E75FD" w:rsidP="006E75FD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pacing w:val="1"/>
                <w:sz w:val="18"/>
                <w:szCs w:val="18"/>
              </w:rPr>
            </w:pPr>
            <w:r w:rsidRPr="006E75FD">
              <w:rPr>
                <w:rFonts w:eastAsia="Times New Roman"/>
                <w:spacing w:val="1"/>
                <w:sz w:val="18"/>
                <w:szCs w:val="18"/>
              </w:rPr>
              <w:t>C/o PHC Secretariat</w:t>
            </w:r>
          </w:p>
          <w:p w14:paraId="5FA685DB" w14:textId="77777777" w:rsidR="006E75FD" w:rsidRDefault="006E75FD" w:rsidP="006E75FD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pacing w:val="1"/>
                <w:sz w:val="18"/>
                <w:szCs w:val="18"/>
              </w:rPr>
            </w:pPr>
            <w:r w:rsidRPr="006E75FD">
              <w:rPr>
                <w:rFonts w:eastAsia="Times New Roman"/>
                <w:spacing w:val="1"/>
                <w:sz w:val="18"/>
                <w:szCs w:val="18"/>
              </w:rPr>
              <w:t>E</w:t>
            </w:r>
            <w:r>
              <w:rPr>
                <w:rFonts w:eastAsia="Times New Roman"/>
                <w:spacing w:val="1"/>
                <w:sz w:val="18"/>
                <w:szCs w:val="18"/>
              </w:rPr>
              <w:t>mail:</w:t>
            </w:r>
            <w:r w:rsidRPr="006E75FD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hyperlink r:id="rId19" w:history="1">
              <w:r w:rsidRPr="009F4B7C">
                <w:rPr>
                  <w:rStyle w:val="Hyperlink"/>
                  <w:rFonts w:eastAsia="Times New Roman"/>
                  <w:spacing w:val="1"/>
                  <w:sz w:val="18"/>
                  <w:szCs w:val="18"/>
                </w:rPr>
                <w:t>phc@aff.gov.au</w:t>
              </w:r>
            </w:hyperlink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</w:p>
          <w:p w14:paraId="0B48F596" w14:textId="77777777" w:rsidR="006E75FD" w:rsidRDefault="006E75FD" w:rsidP="006E75FD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pacing w:val="1"/>
                <w:sz w:val="18"/>
                <w:szCs w:val="18"/>
              </w:rPr>
            </w:pPr>
          </w:p>
          <w:p w14:paraId="5D07DC02" w14:textId="4366E8BE" w:rsidR="006E75FD" w:rsidRDefault="006E75FD" w:rsidP="006E75FD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trike/>
                <w:spacing w:val="1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11901471" w14:textId="34B7CB20" w:rsidR="006E75FD" w:rsidRPr="006E75FD" w:rsidRDefault="006E75FD" w:rsidP="0087309A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pacing w:val="1"/>
                <w:sz w:val="18"/>
                <w:szCs w:val="18"/>
              </w:rPr>
            </w:pPr>
            <w:r w:rsidRPr="006E75FD">
              <w:rPr>
                <w:rFonts w:eastAsia="Times New Roman"/>
                <w:spacing w:val="1"/>
                <w:sz w:val="18"/>
                <w:szCs w:val="18"/>
              </w:rPr>
              <w:t>Australian Government Department of Agriculture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14:paraId="15D373E4" w14:textId="77777777" w:rsidR="006E75FD" w:rsidRPr="006E75FD" w:rsidRDefault="006E75FD" w:rsidP="0087309A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pacing w:val="1"/>
                <w:sz w:val="18"/>
                <w:szCs w:val="18"/>
              </w:rPr>
            </w:pPr>
            <w:r w:rsidRPr="006E75FD">
              <w:rPr>
                <w:rFonts w:eastAsia="Times New Roman"/>
                <w:spacing w:val="1"/>
                <w:sz w:val="18"/>
                <w:szCs w:val="18"/>
              </w:rPr>
              <w:t>GPO Box 858</w:t>
            </w:r>
          </w:p>
          <w:p w14:paraId="5F6CF31D" w14:textId="32F8040D" w:rsidR="006E75FD" w:rsidRPr="006E75FD" w:rsidRDefault="006E75FD" w:rsidP="0087309A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pacing w:val="1"/>
                <w:sz w:val="18"/>
                <w:szCs w:val="18"/>
              </w:rPr>
            </w:pPr>
            <w:r w:rsidRPr="006E75FD">
              <w:rPr>
                <w:rFonts w:eastAsia="Times New Roman"/>
                <w:spacing w:val="1"/>
                <w:sz w:val="18"/>
                <w:szCs w:val="18"/>
              </w:rPr>
              <w:t>Canberra ACT 2601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14:paraId="71B784FC" w14:textId="44BE53E0" w:rsidR="006E75FD" w:rsidRPr="006E75FD" w:rsidRDefault="006E75FD" w:rsidP="0087309A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pacing w:val="1"/>
                <w:sz w:val="18"/>
                <w:szCs w:val="18"/>
              </w:rPr>
            </w:pPr>
            <w:hyperlink r:id="rId20" w:history="1">
              <w:r w:rsidRPr="009F4B7C">
                <w:rPr>
                  <w:rStyle w:val="Hyperlink"/>
                  <w:rFonts w:eastAsia="Times New Roman"/>
                  <w:spacing w:val="1"/>
                  <w:sz w:val="18"/>
                  <w:szCs w:val="18"/>
                </w:rPr>
                <w:t>www.agriculture.gov.au</w:t>
              </w:r>
            </w:hyperlink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</w:p>
        </w:tc>
      </w:tr>
    </w:tbl>
    <w:p w14:paraId="2BD4AF1A" w14:textId="77777777" w:rsidR="009A09E9" w:rsidRDefault="009A09E9" w:rsidP="00A47C56">
      <w:pPr>
        <w:spacing w:line="200" w:lineRule="exact"/>
        <w:jc w:val="both"/>
        <w:rPr>
          <w:sz w:val="20"/>
          <w:szCs w:val="20"/>
        </w:rPr>
        <w:sectPr w:rsidR="009A09E9" w:rsidSect="007B67C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40"/>
          <w:pgMar w:top="1160" w:right="1020" w:bottom="860" w:left="880" w:header="0" w:footer="675" w:gutter="0"/>
          <w:cols w:space="720"/>
          <w:docGrid w:linePitch="299"/>
        </w:sectPr>
      </w:pPr>
    </w:p>
    <w:p w14:paraId="6E990325" w14:textId="4D28BC5C" w:rsidR="009A09E9" w:rsidRPr="006E75FD" w:rsidRDefault="009A09E9" w:rsidP="006E75FD">
      <w:pPr>
        <w:spacing w:before="78"/>
        <w:jc w:val="both"/>
        <w:rPr>
          <w:rFonts w:eastAsia="Cambria" w:cstheme="minorHAnsi"/>
          <w:sz w:val="18"/>
          <w:szCs w:val="18"/>
        </w:rPr>
      </w:pPr>
    </w:p>
    <w:sectPr w:rsidR="009A09E9" w:rsidRPr="006E75FD" w:rsidSect="009A09E9">
      <w:type w:val="continuous"/>
      <w:pgSz w:w="11907" w:h="16840"/>
      <w:pgMar w:top="0" w:right="1020" w:bottom="860" w:left="880" w:header="720" w:footer="720" w:gutter="0"/>
      <w:cols w:num="3" w:space="720" w:equalWidth="0">
        <w:col w:w="2004" w:space="744"/>
        <w:col w:w="2457" w:space="292"/>
        <w:col w:w="45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C799" w14:textId="77777777" w:rsidR="002C0311" w:rsidRDefault="002C0311" w:rsidP="009A09E9">
      <w:r>
        <w:separator/>
      </w:r>
    </w:p>
  </w:endnote>
  <w:endnote w:type="continuationSeparator" w:id="0">
    <w:p w14:paraId="3E096BC1" w14:textId="77777777" w:rsidR="002C0311" w:rsidRDefault="002C0311" w:rsidP="009A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E3F7" w14:textId="5C2D40F7" w:rsidR="009469E3" w:rsidRDefault="00DD7B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F223C97" wp14:editId="00A4E2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3276312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FCD3D" w14:textId="15B1937A" w:rsidR="00DD7B0A" w:rsidRPr="00DD7B0A" w:rsidRDefault="00DD7B0A" w:rsidP="00DD7B0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7B0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23C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73FCD3D" w14:textId="15B1937A" w:rsidR="00DD7B0A" w:rsidRPr="00DD7B0A" w:rsidRDefault="00DD7B0A" w:rsidP="00DD7B0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7B0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4312" w14:textId="0D07977B" w:rsidR="009469E3" w:rsidRDefault="00DD7B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249A034" wp14:editId="62B91348">
              <wp:simplePos x="5588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5704458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B89FF" w14:textId="5AF9DE64" w:rsidR="00DD7B0A" w:rsidRPr="00DD7B0A" w:rsidRDefault="00DD7B0A" w:rsidP="00DD7B0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7B0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9A0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64B89FF" w14:textId="5AF9DE64" w:rsidR="00DD7B0A" w:rsidRPr="00DD7B0A" w:rsidRDefault="00DD7B0A" w:rsidP="00DD7B0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7B0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A1B" w14:textId="68E828F6" w:rsidR="009469E3" w:rsidRDefault="00DD7B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D785C5B" wp14:editId="268DBE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286367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235F5" w14:textId="428CBEA9" w:rsidR="00DD7B0A" w:rsidRPr="00DD7B0A" w:rsidRDefault="00DD7B0A" w:rsidP="00DD7B0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7B0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5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27235F5" w14:textId="428CBEA9" w:rsidR="00DD7B0A" w:rsidRPr="00DD7B0A" w:rsidRDefault="00DD7B0A" w:rsidP="00DD7B0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7B0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08FE" w14:textId="77777777" w:rsidR="002C0311" w:rsidRDefault="002C0311" w:rsidP="009A09E9">
      <w:r>
        <w:separator/>
      </w:r>
    </w:p>
  </w:footnote>
  <w:footnote w:type="continuationSeparator" w:id="0">
    <w:p w14:paraId="222A98B8" w14:textId="77777777" w:rsidR="002C0311" w:rsidRDefault="002C0311" w:rsidP="009A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1BF5" w14:textId="40FBDE52" w:rsidR="009469E3" w:rsidRDefault="00DD7B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98CBF37" wp14:editId="02E75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628136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E3A7C" w14:textId="44B6678F" w:rsidR="00DD7B0A" w:rsidRPr="00DD7B0A" w:rsidRDefault="00DD7B0A" w:rsidP="00DD7B0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7B0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CB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A1E3A7C" w14:textId="44B6678F" w:rsidR="00DD7B0A" w:rsidRPr="00DD7B0A" w:rsidRDefault="00DD7B0A" w:rsidP="00DD7B0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7B0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7024" w14:textId="42D4F386" w:rsidR="003E0119" w:rsidRDefault="00DD7B0A" w:rsidP="00823386">
    <w:pPr>
      <w:pStyle w:val="Header"/>
      <w:ind w:hanging="851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E8F29D2" wp14:editId="54AE8596">
              <wp:simplePos x="5588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433427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2ED4D" w14:textId="7F866415" w:rsidR="00DD7B0A" w:rsidRPr="00DD7B0A" w:rsidRDefault="00DD7B0A" w:rsidP="00DD7B0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7B0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F29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1F2ED4D" w14:textId="7F866415" w:rsidR="00DD7B0A" w:rsidRPr="00DD7B0A" w:rsidRDefault="00DD7B0A" w:rsidP="00DD7B0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7B0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0119">
      <w:rPr>
        <w:noProof/>
        <w:lang w:val="en-AU" w:eastAsia="en-AU"/>
      </w:rPr>
      <w:drawing>
        <wp:inline distT="0" distB="0" distL="0" distR="0" wp14:anchorId="766DD739" wp14:editId="0B7FDA0B">
          <wp:extent cx="7537220" cy="2253035"/>
          <wp:effectExtent l="19050" t="0" r="6580" b="0"/>
          <wp:docPr id="10" name="Picture 10" descr="Decorativ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ecorative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220" cy="2253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08B6" w14:textId="3C0458B6" w:rsidR="009469E3" w:rsidRDefault="00DD7B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DCC0441" wp14:editId="4E776E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38814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773FE" w14:textId="6569B60E" w:rsidR="00DD7B0A" w:rsidRPr="00DD7B0A" w:rsidRDefault="00DD7B0A" w:rsidP="00DD7B0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7B0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C04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73773FE" w14:textId="6569B60E" w:rsidR="00DD7B0A" w:rsidRPr="00DD7B0A" w:rsidRDefault="00DD7B0A" w:rsidP="00DD7B0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7B0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7246"/>
    <w:multiLevelType w:val="hybridMultilevel"/>
    <w:tmpl w:val="6A78EACA"/>
    <w:lvl w:ilvl="0" w:tplc="F0EC4DB2">
      <w:start w:val="1"/>
      <w:numFmt w:val="bullet"/>
      <w:lvlText w:val=""/>
      <w:lvlJc w:val="left"/>
      <w:pPr>
        <w:ind w:hanging="142"/>
      </w:pPr>
      <w:rPr>
        <w:rFonts w:ascii="Wingdings" w:eastAsia="Wingdings" w:hAnsi="Wingdings" w:hint="default"/>
        <w:sz w:val="22"/>
        <w:szCs w:val="22"/>
      </w:rPr>
    </w:lvl>
    <w:lvl w:ilvl="1" w:tplc="F51CBFEE">
      <w:start w:val="1"/>
      <w:numFmt w:val="bullet"/>
      <w:lvlText w:val="•"/>
      <w:lvlJc w:val="left"/>
      <w:rPr>
        <w:rFonts w:hint="default"/>
      </w:rPr>
    </w:lvl>
    <w:lvl w:ilvl="2" w:tplc="92EE479C">
      <w:start w:val="1"/>
      <w:numFmt w:val="bullet"/>
      <w:lvlText w:val="•"/>
      <w:lvlJc w:val="left"/>
      <w:rPr>
        <w:rFonts w:hint="default"/>
      </w:rPr>
    </w:lvl>
    <w:lvl w:ilvl="3" w:tplc="B8B48838">
      <w:start w:val="1"/>
      <w:numFmt w:val="bullet"/>
      <w:lvlText w:val="•"/>
      <w:lvlJc w:val="left"/>
      <w:rPr>
        <w:rFonts w:hint="default"/>
      </w:rPr>
    </w:lvl>
    <w:lvl w:ilvl="4" w:tplc="677EA874">
      <w:start w:val="1"/>
      <w:numFmt w:val="bullet"/>
      <w:lvlText w:val="•"/>
      <w:lvlJc w:val="left"/>
      <w:rPr>
        <w:rFonts w:hint="default"/>
      </w:rPr>
    </w:lvl>
    <w:lvl w:ilvl="5" w:tplc="FFAC16C6">
      <w:start w:val="1"/>
      <w:numFmt w:val="bullet"/>
      <w:lvlText w:val="•"/>
      <w:lvlJc w:val="left"/>
      <w:rPr>
        <w:rFonts w:hint="default"/>
      </w:rPr>
    </w:lvl>
    <w:lvl w:ilvl="6" w:tplc="EB72197C">
      <w:start w:val="1"/>
      <w:numFmt w:val="bullet"/>
      <w:lvlText w:val="•"/>
      <w:lvlJc w:val="left"/>
      <w:rPr>
        <w:rFonts w:hint="default"/>
      </w:rPr>
    </w:lvl>
    <w:lvl w:ilvl="7" w:tplc="01B4AEB6">
      <w:start w:val="1"/>
      <w:numFmt w:val="bullet"/>
      <w:lvlText w:val="•"/>
      <w:lvlJc w:val="left"/>
      <w:rPr>
        <w:rFonts w:hint="default"/>
      </w:rPr>
    </w:lvl>
    <w:lvl w:ilvl="8" w:tplc="0DC0F3B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420683"/>
    <w:multiLevelType w:val="hybridMultilevel"/>
    <w:tmpl w:val="3B6AA044"/>
    <w:lvl w:ilvl="0" w:tplc="66DC7C68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 w15:restartNumberingAfterBreak="0">
    <w:nsid w:val="32145D76"/>
    <w:multiLevelType w:val="hybridMultilevel"/>
    <w:tmpl w:val="0E46FDA6"/>
    <w:lvl w:ilvl="0" w:tplc="D80002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626A5"/>
    <w:multiLevelType w:val="hybridMultilevel"/>
    <w:tmpl w:val="990E30B8"/>
    <w:lvl w:ilvl="0" w:tplc="0C09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 w15:restartNumberingAfterBreak="0">
    <w:nsid w:val="3F42028F"/>
    <w:multiLevelType w:val="hybridMultilevel"/>
    <w:tmpl w:val="CF161EF0"/>
    <w:lvl w:ilvl="0" w:tplc="46BC1DF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37E47464">
      <w:start w:val="1"/>
      <w:numFmt w:val="bullet"/>
      <w:lvlText w:val="•"/>
      <w:lvlJc w:val="left"/>
      <w:rPr>
        <w:rFonts w:hint="default"/>
      </w:rPr>
    </w:lvl>
    <w:lvl w:ilvl="2" w:tplc="91FAAB00">
      <w:start w:val="1"/>
      <w:numFmt w:val="bullet"/>
      <w:lvlText w:val="•"/>
      <w:lvlJc w:val="left"/>
      <w:rPr>
        <w:rFonts w:hint="default"/>
      </w:rPr>
    </w:lvl>
    <w:lvl w:ilvl="3" w:tplc="B530AAB6">
      <w:start w:val="1"/>
      <w:numFmt w:val="bullet"/>
      <w:lvlText w:val="•"/>
      <w:lvlJc w:val="left"/>
      <w:rPr>
        <w:rFonts w:hint="default"/>
      </w:rPr>
    </w:lvl>
    <w:lvl w:ilvl="4" w:tplc="AB02EF0A">
      <w:start w:val="1"/>
      <w:numFmt w:val="bullet"/>
      <w:lvlText w:val="•"/>
      <w:lvlJc w:val="left"/>
      <w:rPr>
        <w:rFonts w:hint="default"/>
      </w:rPr>
    </w:lvl>
    <w:lvl w:ilvl="5" w:tplc="19D09A24">
      <w:start w:val="1"/>
      <w:numFmt w:val="bullet"/>
      <w:lvlText w:val="•"/>
      <w:lvlJc w:val="left"/>
      <w:rPr>
        <w:rFonts w:hint="default"/>
      </w:rPr>
    </w:lvl>
    <w:lvl w:ilvl="6" w:tplc="F35CABBE">
      <w:start w:val="1"/>
      <w:numFmt w:val="bullet"/>
      <w:lvlText w:val="•"/>
      <w:lvlJc w:val="left"/>
      <w:rPr>
        <w:rFonts w:hint="default"/>
      </w:rPr>
    </w:lvl>
    <w:lvl w:ilvl="7" w:tplc="3AEA8C8C">
      <w:start w:val="1"/>
      <w:numFmt w:val="bullet"/>
      <w:lvlText w:val="•"/>
      <w:lvlJc w:val="left"/>
      <w:rPr>
        <w:rFonts w:hint="default"/>
      </w:rPr>
    </w:lvl>
    <w:lvl w:ilvl="8" w:tplc="5772153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9AF1179"/>
    <w:multiLevelType w:val="hybridMultilevel"/>
    <w:tmpl w:val="031225F2"/>
    <w:lvl w:ilvl="0" w:tplc="0C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57581E44"/>
    <w:multiLevelType w:val="hybridMultilevel"/>
    <w:tmpl w:val="801E772E"/>
    <w:lvl w:ilvl="0" w:tplc="8800DD94">
      <w:start w:val="1"/>
      <w:numFmt w:val="bullet"/>
      <w:lvlText w:val=""/>
      <w:lvlJc w:val="left"/>
      <w:pPr>
        <w:ind w:hanging="142"/>
      </w:pPr>
      <w:rPr>
        <w:rFonts w:ascii="Wingdings" w:eastAsia="Wingdings" w:hAnsi="Wingdings" w:hint="default"/>
        <w:sz w:val="22"/>
        <w:szCs w:val="22"/>
      </w:rPr>
    </w:lvl>
    <w:lvl w:ilvl="1" w:tplc="0DFCE996">
      <w:start w:val="1"/>
      <w:numFmt w:val="bullet"/>
      <w:lvlText w:val="•"/>
      <w:lvlJc w:val="left"/>
      <w:rPr>
        <w:rFonts w:hint="default"/>
      </w:rPr>
    </w:lvl>
    <w:lvl w:ilvl="2" w:tplc="AE2E9776">
      <w:start w:val="1"/>
      <w:numFmt w:val="bullet"/>
      <w:lvlText w:val="•"/>
      <w:lvlJc w:val="left"/>
      <w:rPr>
        <w:rFonts w:hint="default"/>
      </w:rPr>
    </w:lvl>
    <w:lvl w:ilvl="3" w:tplc="1374AA22">
      <w:start w:val="1"/>
      <w:numFmt w:val="bullet"/>
      <w:lvlText w:val="•"/>
      <w:lvlJc w:val="left"/>
      <w:rPr>
        <w:rFonts w:hint="default"/>
      </w:rPr>
    </w:lvl>
    <w:lvl w:ilvl="4" w:tplc="732E4F54">
      <w:start w:val="1"/>
      <w:numFmt w:val="bullet"/>
      <w:lvlText w:val="•"/>
      <w:lvlJc w:val="left"/>
      <w:rPr>
        <w:rFonts w:hint="default"/>
      </w:rPr>
    </w:lvl>
    <w:lvl w:ilvl="5" w:tplc="D5A484D8">
      <w:start w:val="1"/>
      <w:numFmt w:val="bullet"/>
      <w:lvlText w:val="•"/>
      <w:lvlJc w:val="left"/>
      <w:rPr>
        <w:rFonts w:hint="default"/>
      </w:rPr>
    </w:lvl>
    <w:lvl w:ilvl="6" w:tplc="C408DB6A">
      <w:start w:val="1"/>
      <w:numFmt w:val="bullet"/>
      <w:lvlText w:val="•"/>
      <w:lvlJc w:val="left"/>
      <w:rPr>
        <w:rFonts w:hint="default"/>
      </w:rPr>
    </w:lvl>
    <w:lvl w:ilvl="7" w:tplc="13ACFB14">
      <w:start w:val="1"/>
      <w:numFmt w:val="bullet"/>
      <w:lvlText w:val="•"/>
      <w:lvlJc w:val="left"/>
      <w:rPr>
        <w:rFonts w:hint="default"/>
      </w:rPr>
    </w:lvl>
    <w:lvl w:ilvl="8" w:tplc="E070E55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F22554B"/>
    <w:multiLevelType w:val="hybridMultilevel"/>
    <w:tmpl w:val="2CE82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A7FDD"/>
    <w:multiLevelType w:val="hybridMultilevel"/>
    <w:tmpl w:val="197AA87E"/>
    <w:lvl w:ilvl="0" w:tplc="0C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627901C9"/>
    <w:multiLevelType w:val="multilevel"/>
    <w:tmpl w:val="112415D8"/>
    <w:styleLink w:val="PHCPaperListNumbering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5DA1909"/>
    <w:multiLevelType w:val="hybridMultilevel"/>
    <w:tmpl w:val="0E842C10"/>
    <w:lvl w:ilvl="0" w:tplc="AB64B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35EB4"/>
    <w:multiLevelType w:val="hybridMultilevel"/>
    <w:tmpl w:val="F614E16E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B524F8F"/>
    <w:multiLevelType w:val="hybridMultilevel"/>
    <w:tmpl w:val="F1EC7F18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914512334">
    <w:abstractNumId w:val="0"/>
  </w:num>
  <w:num w:numId="2" w16cid:durableId="283971282">
    <w:abstractNumId w:val="6"/>
  </w:num>
  <w:num w:numId="3" w16cid:durableId="112208739">
    <w:abstractNumId w:val="4"/>
  </w:num>
  <w:num w:numId="4" w16cid:durableId="92405902">
    <w:abstractNumId w:val="9"/>
  </w:num>
  <w:num w:numId="5" w16cid:durableId="5625231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ListNumber2"/>
        <w:lvlText w:val="(%2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(%3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01404135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(%2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(%3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63670209">
    <w:abstractNumId w:val="9"/>
  </w:num>
  <w:num w:numId="8" w16cid:durableId="1018964009">
    <w:abstractNumId w:val="5"/>
  </w:num>
  <w:num w:numId="9" w16cid:durableId="487407791">
    <w:abstractNumId w:val="8"/>
  </w:num>
  <w:num w:numId="10" w16cid:durableId="1555432115">
    <w:abstractNumId w:val="10"/>
  </w:num>
  <w:num w:numId="11" w16cid:durableId="145163410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 w:val="0"/>
        </w:rPr>
      </w:lvl>
    </w:lvlOverride>
  </w:num>
  <w:num w:numId="12" w16cid:durableId="683944350">
    <w:abstractNumId w:val="2"/>
  </w:num>
  <w:num w:numId="13" w16cid:durableId="517430659">
    <w:abstractNumId w:val="1"/>
  </w:num>
  <w:num w:numId="14" w16cid:durableId="568807517">
    <w:abstractNumId w:val="3"/>
  </w:num>
  <w:num w:numId="15" w16cid:durableId="294987160">
    <w:abstractNumId w:val="7"/>
  </w:num>
  <w:num w:numId="16" w16cid:durableId="257757210">
    <w:abstractNumId w:val="12"/>
  </w:num>
  <w:num w:numId="17" w16cid:durableId="1781953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E9"/>
    <w:rsid w:val="00000197"/>
    <w:rsid w:val="00006162"/>
    <w:rsid w:val="00011BA8"/>
    <w:rsid w:val="000215B4"/>
    <w:rsid w:val="00022B76"/>
    <w:rsid w:val="000233E6"/>
    <w:rsid w:val="00025281"/>
    <w:rsid w:val="00026F5F"/>
    <w:rsid w:val="000340C8"/>
    <w:rsid w:val="00036487"/>
    <w:rsid w:val="00037D87"/>
    <w:rsid w:val="00044CA5"/>
    <w:rsid w:val="00045C4C"/>
    <w:rsid w:val="00053B16"/>
    <w:rsid w:val="00080008"/>
    <w:rsid w:val="000872BB"/>
    <w:rsid w:val="000923AB"/>
    <w:rsid w:val="00096074"/>
    <w:rsid w:val="00096089"/>
    <w:rsid w:val="000A6E05"/>
    <w:rsid w:val="000B7090"/>
    <w:rsid w:val="000C5246"/>
    <w:rsid w:val="000D26D8"/>
    <w:rsid w:val="000E3310"/>
    <w:rsid w:val="000F2AB1"/>
    <w:rsid w:val="000F5B81"/>
    <w:rsid w:val="001000F6"/>
    <w:rsid w:val="001126C5"/>
    <w:rsid w:val="00124393"/>
    <w:rsid w:val="0012557F"/>
    <w:rsid w:val="00126FA5"/>
    <w:rsid w:val="00134A8D"/>
    <w:rsid w:val="00134AF4"/>
    <w:rsid w:val="00137A0C"/>
    <w:rsid w:val="00137F14"/>
    <w:rsid w:val="00141E87"/>
    <w:rsid w:val="00144090"/>
    <w:rsid w:val="00156617"/>
    <w:rsid w:val="00160B8D"/>
    <w:rsid w:val="00162AEA"/>
    <w:rsid w:val="00182C63"/>
    <w:rsid w:val="00182EA2"/>
    <w:rsid w:val="00186DF2"/>
    <w:rsid w:val="0018740E"/>
    <w:rsid w:val="0018786E"/>
    <w:rsid w:val="001927A7"/>
    <w:rsid w:val="0019478B"/>
    <w:rsid w:val="001A136E"/>
    <w:rsid w:val="001D02C3"/>
    <w:rsid w:val="001F38E2"/>
    <w:rsid w:val="002026D1"/>
    <w:rsid w:val="002067DD"/>
    <w:rsid w:val="00206FDD"/>
    <w:rsid w:val="0020710B"/>
    <w:rsid w:val="002277B2"/>
    <w:rsid w:val="0024191F"/>
    <w:rsid w:val="00242D13"/>
    <w:rsid w:val="002459AC"/>
    <w:rsid w:val="002500D1"/>
    <w:rsid w:val="00252410"/>
    <w:rsid w:val="00254874"/>
    <w:rsid w:val="002558F4"/>
    <w:rsid w:val="00257F33"/>
    <w:rsid w:val="002652F2"/>
    <w:rsid w:val="00270C5B"/>
    <w:rsid w:val="002715FD"/>
    <w:rsid w:val="00274E95"/>
    <w:rsid w:val="00280309"/>
    <w:rsid w:val="00280986"/>
    <w:rsid w:val="002825E1"/>
    <w:rsid w:val="002827EC"/>
    <w:rsid w:val="00286B7D"/>
    <w:rsid w:val="002A1BF7"/>
    <w:rsid w:val="002A6E63"/>
    <w:rsid w:val="002B1AEF"/>
    <w:rsid w:val="002B7274"/>
    <w:rsid w:val="002C0311"/>
    <w:rsid w:val="002C1E42"/>
    <w:rsid w:val="002C4090"/>
    <w:rsid w:val="002C7996"/>
    <w:rsid w:val="002D1AE6"/>
    <w:rsid w:val="002D3D25"/>
    <w:rsid w:val="002D510E"/>
    <w:rsid w:val="002D5229"/>
    <w:rsid w:val="002D6B9B"/>
    <w:rsid w:val="002E135D"/>
    <w:rsid w:val="002F14BC"/>
    <w:rsid w:val="002F7FD9"/>
    <w:rsid w:val="00306CD6"/>
    <w:rsid w:val="00312024"/>
    <w:rsid w:val="003134CD"/>
    <w:rsid w:val="003225BD"/>
    <w:rsid w:val="00324493"/>
    <w:rsid w:val="003268CC"/>
    <w:rsid w:val="0033491E"/>
    <w:rsid w:val="00343758"/>
    <w:rsid w:val="00344B35"/>
    <w:rsid w:val="00347A5B"/>
    <w:rsid w:val="00353290"/>
    <w:rsid w:val="003578B7"/>
    <w:rsid w:val="003625E2"/>
    <w:rsid w:val="00362BC9"/>
    <w:rsid w:val="00370322"/>
    <w:rsid w:val="00371EB8"/>
    <w:rsid w:val="00372A66"/>
    <w:rsid w:val="0037441D"/>
    <w:rsid w:val="00383D5C"/>
    <w:rsid w:val="00390F3E"/>
    <w:rsid w:val="00393E1C"/>
    <w:rsid w:val="003B1009"/>
    <w:rsid w:val="003B467B"/>
    <w:rsid w:val="003C2F5E"/>
    <w:rsid w:val="003D7072"/>
    <w:rsid w:val="003E0119"/>
    <w:rsid w:val="003E7CF5"/>
    <w:rsid w:val="003E7D2C"/>
    <w:rsid w:val="003F68E5"/>
    <w:rsid w:val="0040550F"/>
    <w:rsid w:val="00406E86"/>
    <w:rsid w:val="0041025A"/>
    <w:rsid w:val="004111D7"/>
    <w:rsid w:val="00411920"/>
    <w:rsid w:val="0041272B"/>
    <w:rsid w:val="00423904"/>
    <w:rsid w:val="00432BB4"/>
    <w:rsid w:val="00435F8A"/>
    <w:rsid w:val="0043695A"/>
    <w:rsid w:val="00450E5F"/>
    <w:rsid w:val="00452A78"/>
    <w:rsid w:val="004667D0"/>
    <w:rsid w:val="0047766A"/>
    <w:rsid w:val="004932EF"/>
    <w:rsid w:val="004A7564"/>
    <w:rsid w:val="004C1C9E"/>
    <w:rsid w:val="004C5994"/>
    <w:rsid w:val="004C5A5C"/>
    <w:rsid w:val="004D10D1"/>
    <w:rsid w:val="004E2B0E"/>
    <w:rsid w:val="004E406D"/>
    <w:rsid w:val="004E6941"/>
    <w:rsid w:val="004E69F2"/>
    <w:rsid w:val="00506008"/>
    <w:rsid w:val="0051253E"/>
    <w:rsid w:val="0051445D"/>
    <w:rsid w:val="00523E73"/>
    <w:rsid w:val="00526E79"/>
    <w:rsid w:val="0054054E"/>
    <w:rsid w:val="005407C1"/>
    <w:rsid w:val="00550A30"/>
    <w:rsid w:val="005602FA"/>
    <w:rsid w:val="00561058"/>
    <w:rsid w:val="00567F0E"/>
    <w:rsid w:val="00570B00"/>
    <w:rsid w:val="005809E1"/>
    <w:rsid w:val="0058410B"/>
    <w:rsid w:val="00586A37"/>
    <w:rsid w:val="005876FF"/>
    <w:rsid w:val="00593605"/>
    <w:rsid w:val="00597198"/>
    <w:rsid w:val="005A1C77"/>
    <w:rsid w:val="005A49E1"/>
    <w:rsid w:val="005D0153"/>
    <w:rsid w:val="005D11EA"/>
    <w:rsid w:val="005D2A81"/>
    <w:rsid w:val="005D789B"/>
    <w:rsid w:val="005E4217"/>
    <w:rsid w:val="005F4920"/>
    <w:rsid w:val="005F5ACB"/>
    <w:rsid w:val="006008D1"/>
    <w:rsid w:val="00602498"/>
    <w:rsid w:val="00605B2A"/>
    <w:rsid w:val="00611234"/>
    <w:rsid w:val="0061640F"/>
    <w:rsid w:val="00622C13"/>
    <w:rsid w:val="00630C36"/>
    <w:rsid w:val="00634E3E"/>
    <w:rsid w:val="00640B6F"/>
    <w:rsid w:val="00642D2A"/>
    <w:rsid w:val="006434E1"/>
    <w:rsid w:val="00653404"/>
    <w:rsid w:val="0066799F"/>
    <w:rsid w:val="00670E39"/>
    <w:rsid w:val="0067326C"/>
    <w:rsid w:val="00683145"/>
    <w:rsid w:val="00684E10"/>
    <w:rsid w:val="00690BA6"/>
    <w:rsid w:val="00697F1A"/>
    <w:rsid w:val="006A163A"/>
    <w:rsid w:val="006C0C96"/>
    <w:rsid w:val="006D6AF0"/>
    <w:rsid w:val="006D6F80"/>
    <w:rsid w:val="006D7429"/>
    <w:rsid w:val="006E530E"/>
    <w:rsid w:val="006E75FD"/>
    <w:rsid w:val="006F01AF"/>
    <w:rsid w:val="0070124F"/>
    <w:rsid w:val="007034E9"/>
    <w:rsid w:val="007074EA"/>
    <w:rsid w:val="007205C8"/>
    <w:rsid w:val="00722DDA"/>
    <w:rsid w:val="00744AA4"/>
    <w:rsid w:val="007531BA"/>
    <w:rsid w:val="00755EFE"/>
    <w:rsid w:val="00756A29"/>
    <w:rsid w:val="00756ACB"/>
    <w:rsid w:val="007619E4"/>
    <w:rsid w:val="00761C4D"/>
    <w:rsid w:val="00765BB9"/>
    <w:rsid w:val="007752AE"/>
    <w:rsid w:val="00781B2D"/>
    <w:rsid w:val="00783C95"/>
    <w:rsid w:val="00785897"/>
    <w:rsid w:val="00793866"/>
    <w:rsid w:val="007A46A2"/>
    <w:rsid w:val="007B22E1"/>
    <w:rsid w:val="007B67C7"/>
    <w:rsid w:val="007C3F3F"/>
    <w:rsid w:val="007C41E4"/>
    <w:rsid w:val="007C4352"/>
    <w:rsid w:val="007C4EDF"/>
    <w:rsid w:val="007D190D"/>
    <w:rsid w:val="007D3378"/>
    <w:rsid w:val="007E3675"/>
    <w:rsid w:val="007E71A3"/>
    <w:rsid w:val="007F511B"/>
    <w:rsid w:val="007F65C1"/>
    <w:rsid w:val="00804361"/>
    <w:rsid w:val="00807F77"/>
    <w:rsid w:val="0081063D"/>
    <w:rsid w:val="00811028"/>
    <w:rsid w:val="00813362"/>
    <w:rsid w:val="00814EE5"/>
    <w:rsid w:val="008204BB"/>
    <w:rsid w:val="00823386"/>
    <w:rsid w:val="008245D3"/>
    <w:rsid w:val="00824A3D"/>
    <w:rsid w:val="00834D7F"/>
    <w:rsid w:val="008401E0"/>
    <w:rsid w:val="00840EBA"/>
    <w:rsid w:val="0084327C"/>
    <w:rsid w:val="008628F2"/>
    <w:rsid w:val="00871F42"/>
    <w:rsid w:val="0087309A"/>
    <w:rsid w:val="00893E32"/>
    <w:rsid w:val="00895F04"/>
    <w:rsid w:val="008A0A2C"/>
    <w:rsid w:val="008A2FA1"/>
    <w:rsid w:val="008A56F8"/>
    <w:rsid w:val="008A7323"/>
    <w:rsid w:val="008C1360"/>
    <w:rsid w:val="008D64BC"/>
    <w:rsid w:val="008E0F96"/>
    <w:rsid w:val="008E35FE"/>
    <w:rsid w:val="008E4278"/>
    <w:rsid w:val="008E5144"/>
    <w:rsid w:val="008F556D"/>
    <w:rsid w:val="009100DB"/>
    <w:rsid w:val="0091319C"/>
    <w:rsid w:val="00916989"/>
    <w:rsid w:val="00925C1F"/>
    <w:rsid w:val="00925D46"/>
    <w:rsid w:val="00935698"/>
    <w:rsid w:val="009469E3"/>
    <w:rsid w:val="00947D8D"/>
    <w:rsid w:val="009509F2"/>
    <w:rsid w:val="00950E48"/>
    <w:rsid w:val="00951423"/>
    <w:rsid w:val="0096505F"/>
    <w:rsid w:val="00966B5B"/>
    <w:rsid w:val="009736A3"/>
    <w:rsid w:val="00984FEB"/>
    <w:rsid w:val="00992C8F"/>
    <w:rsid w:val="009945F1"/>
    <w:rsid w:val="009A09E9"/>
    <w:rsid w:val="009A215A"/>
    <w:rsid w:val="009A3F35"/>
    <w:rsid w:val="009A47EB"/>
    <w:rsid w:val="009A4977"/>
    <w:rsid w:val="009A4F2E"/>
    <w:rsid w:val="009C3BE4"/>
    <w:rsid w:val="009D28A7"/>
    <w:rsid w:val="009E1DC2"/>
    <w:rsid w:val="009E5358"/>
    <w:rsid w:val="009E58B3"/>
    <w:rsid w:val="009F44A8"/>
    <w:rsid w:val="009F697D"/>
    <w:rsid w:val="00A0324B"/>
    <w:rsid w:val="00A03DF7"/>
    <w:rsid w:val="00A046A3"/>
    <w:rsid w:val="00A07F46"/>
    <w:rsid w:val="00A16627"/>
    <w:rsid w:val="00A40B8A"/>
    <w:rsid w:val="00A47C56"/>
    <w:rsid w:val="00A50667"/>
    <w:rsid w:val="00A57E6D"/>
    <w:rsid w:val="00A607B1"/>
    <w:rsid w:val="00A61C3F"/>
    <w:rsid w:val="00A67458"/>
    <w:rsid w:val="00A735F8"/>
    <w:rsid w:val="00A84BEB"/>
    <w:rsid w:val="00A87A97"/>
    <w:rsid w:val="00A87F36"/>
    <w:rsid w:val="00AA0E57"/>
    <w:rsid w:val="00AB0991"/>
    <w:rsid w:val="00AB5DC4"/>
    <w:rsid w:val="00AC17FD"/>
    <w:rsid w:val="00AD2C48"/>
    <w:rsid w:val="00AD3898"/>
    <w:rsid w:val="00AD4DC1"/>
    <w:rsid w:val="00AD5529"/>
    <w:rsid w:val="00AE1656"/>
    <w:rsid w:val="00AE6A50"/>
    <w:rsid w:val="00AF0A33"/>
    <w:rsid w:val="00AF126D"/>
    <w:rsid w:val="00B02176"/>
    <w:rsid w:val="00B037F5"/>
    <w:rsid w:val="00B079CE"/>
    <w:rsid w:val="00B16FFB"/>
    <w:rsid w:val="00B201ED"/>
    <w:rsid w:val="00B30418"/>
    <w:rsid w:val="00B338F0"/>
    <w:rsid w:val="00B345CA"/>
    <w:rsid w:val="00B400BC"/>
    <w:rsid w:val="00B44A17"/>
    <w:rsid w:val="00B60C61"/>
    <w:rsid w:val="00B61AD8"/>
    <w:rsid w:val="00B63617"/>
    <w:rsid w:val="00B76AD2"/>
    <w:rsid w:val="00B81660"/>
    <w:rsid w:val="00B91E13"/>
    <w:rsid w:val="00BA79D2"/>
    <w:rsid w:val="00BB3419"/>
    <w:rsid w:val="00BB4446"/>
    <w:rsid w:val="00BB48DE"/>
    <w:rsid w:val="00BB512D"/>
    <w:rsid w:val="00BC3B4B"/>
    <w:rsid w:val="00BC5D4E"/>
    <w:rsid w:val="00BC5D8F"/>
    <w:rsid w:val="00BC6057"/>
    <w:rsid w:val="00BD3BE7"/>
    <w:rsid w:val="00BE5721"/>
    <w:rsid w:val="00BF748C"/>
    <w:rsid w:val="00BF7A17"/>
    <w:rsid w:val="00C01802"/>
    <w:rsid w:val="00C01B8B"/>
    <w:rsid w:val="00C02B57"/>
    <w:rsid w:val="00C05DBC"/>
    <w:rsid w:val="00C07CE2"/>
    <w:rsid w:val="00C25F56"/>
    <w:rsid w:val="00C3144C"/>
    <w:rsid w:val="00C52147"/>
    <w:rsid w:val="00C576FC"/>
    <w:rsid w:val="00C61C12"/>
    <w:rsid w:val="00C66E3A"/>
    <w:rsid w:val="00C732D5"/>
    <w:rsid w:val="00C7741D"/>
    <w:rsid w:val="00C83C0A"/>
    <w:rsid w:val="00C83F8B"/>
    <w:rsid w:val="00C86A20"/>
    <w:rsid w:val="00C93846"/>
    <w:rsid w:val="00C974FA"/>
    <w:rsid w:val="00CA5F73"/>
    <w:rsid w:val="00CB143F"/>
    <w:rsid w:val="00CB4015"/>
    <w:rsid w:val="00CD171D"/>
    <w:rsid w:val="00CD3BA8"/>
    <w:rsid w:val="00CD77D8"/>
    <w:rsid w:val="00CE488D"/>
    <w:rsid w:val="00CE4EC4"/>
    <w:rsid w:val="00CE7846"/>
    <w:rsid w:val="00CF22BF"/>
    <w:rsid w:val="00CF744A"/>
    <w:rsid w:val="00CF7DEA"/>
    <w:rsid w:val="00D00F07"/>
    <w:rsid w:val="00D149E5"/>
    <w:rsid w:val="00D1545C"/>
    <w:rsid w:val="00D27B42"/>
    <w:rsid w:val="00D32CBD"/>
    <w:rsid w:val="00D3430E"/>
    <w:rsid w:val="00D41C2E"/>
    <w:rsid w:val="00D43ABA"/>
    <w:rsid w:val="00D44665"/>
    <w:rsid w:val="00D44C92"/>
    <w:rsid w:val="00D458ED"/>
    <w:rsid w:val="00D4611F"/>
    <w:rsid w:val="00D474DA"/>
    <w:rsid w:val="00D616B8"/>
    <w:rsid w:val="00D61772"/>
    <w:rsid w:val="00D66180"/>
    <w:rsid w:val="00D715A2"/>
    <w:rsid w:val="00D77AC4"/>
    <w:rsid w:val="00D83370"/>
    <w:rsid w:val="00D83B98"/>
    <w:rsid w:val="00D849D9"/>
    <w:rsid w:val="00D960AE"/>
    <w:rsid w:val="00DA7ACB"/>
    <w:rsid w:val="00DB696A"/>
    <w:rsid w:val="00DC02B8"/>
    <w:rsid w:val="00DD7B0A"/>
    <w:rsid w:val="00DE26DC"/>
    <w:rsid w:val="00DE3E8A"/>
    <w:rsid w:val="00DF07F9"/>
    <w:rsid w:val="00DF0B27"/>
    <w:rsid w:val="00DF1EFB"/>
    <w:rsid w:val="00DF5F93"/>
    <w:rsid w:val="00E0150E"/>
    <w:rsid w:val="00E074EF"/>
    <w:rsid w:val="00E1774A"/>
    <w:rsid w:val="00E251F5"/>
    <w:rsid w:val="00E41024"/>
    <w:rsid w:val="00E441C2"/>
    <w:rsid w:val="00E448A9"/>
    <w:rsid w:val="00E55DD8"/>
    <w:rsid w:val="00E6108D"/>
    <w:rsid w:val="00E6640F"/>
    <w:rsid w:val="00E73596"/>
    <w:rsid w:val="00E759C3"/>
    <w:rsid w:val="00E900C6"/>
    <w:rsid w:val="00E913F7"/>
    <w:rsid w:val="00E91D72"/>
    <w:rsid w:val="00E9312F"/>
    <w:rsid w:val="00EA3733"/>
    <w:rsid w:val="00EC07C1"/>
    <w:rsid w:val="00ED5085"/>
    <w:rsid w:val="00EF03F1"/>
    <w:rsid w:val="00EF402F"/>
    <w:rsid w:val="00F0024F"/>
    <w:rsid w:val="00F10922"/>
    <w:rsid w:val="00F10B05"/>
    <w:rsid w:val="00F21B79"/>
    <w:rsid w:val="00F26B82"/>
    <w:rsid w:val="00F35DD6"/>
    <w:rsid w:val="00F46553"/>
    <w:rsid w:val="00F542C4"/>
    <w:rsid w:val="00F55490"/>
    <w:rsid w:val="00F60A56"/>
    <w:rsid w:val="00F64198"/>
    <w:rsid w:val="00F8263B"/>
    <w:rsid w:val="00F86FAE"/>
    <w:rsid w:val="00F87B96"/>
    <w:rsid w:val="00FA2AA1"/>
    <w:rsid w:val="00FC0EB4"/>
    <w:rsid w:val="00FC7A0E"/>
    <w:rsid w:val="00FC7C30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57868"/>
  <w15:docId w15:val="{09F9E383-29D0-493D-A902-FD049346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3BE4"/>
  </w:style>
  <w:style w:type="paragraph" w:styleId="Heading1">
    <w:name w:val="heading 1"/>
    <w:basedOn w:val="Normal"/>
    <w:link w:val="Heading1Char"/>
    <w:uiPriority w:val="1"/>
    <w:qFormat/>
    <w:rsid w:val="009A09E9"/>
    <w:pPr>
      <w:ind w:left="252" w:hanging="142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09E9"/>
    <w:pPr>
      <w:ind w:left="252"/>
    </w:pPr>
    <w:rPr>
      <w:rFonts w:ascii="Times New Roman" w:eastAsia="Times New Roman" w:hAnsi="Times New Roman"/>
    </w:r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99"/>
    <w:qFormat/>
    <w:rsid w:val="009A09E9"/>
  </w:style>
  <w:style w:type="paragraph" w:customStyle="1" w:styleId="TableParagraph">
    <w:name w:val="Table Paragraph"/>
    <w:basedOn w:val="Normal"/>
    <w:uiPriority w:val="1"/>
    <w:qFormat/>
    <w:rsid w:val="009A09E9"/>
  </w:style>
  <w:style w:type="paragraph" w:styleId="ListNumber">
    <w:name w:val="List Number"/>
    <w:aliases w:val="List Number 1"/>
    <w:basedOn w:val="ListParagraph"/>
    <w:qFormat/>
    <w:rsid w:val="00D83B98"/>
    <w:pPr>
      <w:widowControl/>
      <w:numPr>
        <w:numId w:val="4"/>
      </w:numPr>
      <w:spacing w:before="120"/>
      <w:ind w:right="19"/>
      <w:contextualSpacing/>
    </w:pPr>
    <w:rPr>
      <w:rFonts w:ascii="Times New Roman" w:hAnsi="Times New Roman" w:cs="Times New Roman"/>
      <w:lang w:val="en-AU"/>
    </w:rPr>
  </w:style>
  <w:style w:type="paragraph" w:styleId="ListNumber2">
    <w:name w:val="List Number 2"/>
    <w:basedOn w:val="Normal"/>
    <w:qFormat/>
    <w:rsid w:val="00D83B98"/>
    <w:pPr>
      <w:widowControl/>
      <w:numPr>
        <w:ilvl w:val="1"/>
        <w:numId w:val="4"/>
      </w:numPr>
      <w:ind w:right="19"/>
      <w:contextualSpacing/>
    </w:pPr>
    <w:rPr>
      <w:rFonts w:ascii="Times New Roman" w:eastAsia="Times New Roman" w:hAnsi="Times New Roman" w:cs="Times New Roman"/>
      <w:szCs w:val="20"/>
      <w:lang w:bidi="en-US"/>
    </w:rPr>
  </w:style>
  <w:style w:type="paragraph" w:styleId="ListNumber3">
    <w:name w:val="List Number 3"/>
    <w:basedOn w:val="ListParagraph"/>
    <w:qFormat/>
    <w:rsid w:val="00D83B98"/>
    <w:pPr>
      <w:widowControl/>
      <w:numPr>
        <w:ilvl w:val="2"/>
        <w:numId w:val="4"/>
      </w:numPr>
      <w:tabs>
        <w:tab w:val="clear" w:pos="1701"/>
        <w:tab w:val="num" w:pos="360"/>
      </w:tabs>
      <w:spacing w:after="120"/>
      <w:ind w:left="0" w:right="19" w:firstLine="0"/>
      <w:contextualSpacing/>
    </w:pPr>
    <w:rPr>
      <w:rFonts w:ascii="Times New Roman" w:hAnsi="Times New Roman" w:cs="Times New Roman"/>
      <w:lang w:bidi="en-US"/>
    </w:rPr>
  </w:style>
  <w:style w:type="numbering" w:customStyle="1" w:styleId="PHCPaperListNumbering">
    <w:name w:val="PHC Paper List Numbering"/>
    <w:uiPriority w:val="99"/>
    <w:rsid w:val="00D83B9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A57E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E6D"/>
  </w:style>
  <w:style w:type="paragraph" w:styleId="Footer">
    <w:name w:val="footer"/>
    <w:basedOn w:val="Normal"/>
    <w:link w:val="FooterChar"/>
    <w:uiPriority w:val="99"/>
    <w:unhideWhenUsed/>
    <w:rsid w:val="00A57E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E6D"/>
  </w:style>
  <w:style w:type="paragraph" w:styleId="BalloonText">
    <w:name w:val="Balloon Text"/>
    <w:basedOn w:val="Normal"/>
    <w:link w:val="BalloonTextChar"/>
    <w:uiPriority w:val="99"/>
    <w:semiHidden/>
    <w:unhideWhenUsed/>
    <w:rsid w:val="0082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4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4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2A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4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44B35"/>
    <w:rPr>
      <w:rFonts w:ascii="Cambria" w:eastAsia="Cambria" w:hAnsi="Cambria"/>
      <w:b/>
      <w:bCs/>
    </w:rPr>
  </w:style>
  <w:style w:type="paragraph" w:styleId="NoSpacing">
    <w:name w:val="No Spacing"/>
    <w:uiPriority w:val="1"/>
    <w:qFormat/>
    <w:rsid w:val="004C1C9E"/>
    <w:pPr>
      <w:widowControl/>
    </w:pPr>
    <w:rPr>
      <w:rFonts w:eastAsiaTheme="minorEastAsia"/>
      <w:lang w:val="en-AU" w:eastAsia="en-AU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rsid w:val="00411920"/>
  </w:style>
  <w:style w:type="paragraph" w:styleId="NormalWeb">
    <w:name w:val="Normal (Web)"/>
    <w:basedOn w:val="Normal"/>
    <w:uiPriority w:val="99"/>
    <w:unhideWhenUsed/>
    <w:rsid w:val="00D616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4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5F04"/>
    <w:pPr>
      <w:widowControl/>
    </w:pPr>
  </w:style>
  <w:style w:type="table" w:styleId="TableGrid">
    <w:name w:val="Table Grid"/>
    <w:basedOn w:val="TableNormal"/>
    <w:uiPriority w:val="59"/>
    <w:rsid w:val="006E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bri.com.au/" TargetMode="External"/><Relationship Id="rId18" Type="http://schemas.openxmlformats.org/officeDocument/2006/relationships/hyperlink" Target="mailto:PHC@aff.gov.au.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siro.au/en/news/all/news/2023/april/science-backed-approach-to-bolster-australian-produce-reputation" TargetMode="External"/><Relationship Id="rId17" Type="http://schemas.openxmlformats.org/officeDocument/2006/relationships/hyperlink" Target="mailto:PHCExecutiveOfficer@aff.gov.au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agriculture-land/plant/health/committees/phc" TargetMode="External"/><Relationship Id="rId20" Type="http://schemas.openxmlformats.org/officeDocument/2006/relationships/hyperlink" Target="http://www.agriculture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C@aff.gov.au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hc@aff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lifeindustry.com.au/communications-centre-content/media-releases-1/2021/new-plant-industries-biosecurity-committee-pib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26D6A-1549-4D65-A1B1-D3107F9245FE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12632054-8ACD-48D8-B9DA-CA2BDDF93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4CE67E-4990-4A22-A273-A0F07EFDF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C4C58-39BD-4059-8E2E-3A98AA95332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Health Committee Communique 64</vt:lpstr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Health Committee Communique 64</dc:title>
  <dc:creator>Department of Agriculture Fisheries &amp; Forestry</dc:creator>
  <cp:revision>10</cp:revision>
  <cp:lastPrinted>2017-09-20T06:22:00Z</cp:lastPrinted>
  <dcterms:created xsi:type="dcterms:W3CDTF">2024-08-20T23:46:00Z</dcterms:created>
  <dcterms:modified xsi:type="dcterms:W3CDTF">2025-06-20T00:18:00Z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LastSaved">
    <vt:filetime>2015-11-24T00:00:00Z</vt:filetime>
  </property>
  <property fmtid="{D5CDD505-2E9C-101B-9397-08002B2CF9AE}" pid="4" name="ClassificationContentMarkingHeaderShapeIds">
    <vt:lpwstr>c,6c1da282,454f20a1,61f36bb9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25783c51,25b732f8,50e2db65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ContentTypeId">
    <vt:lpwstr>0x0101008991DB94C8E2E14F9D69CDF9B52A3286</vt:lpwstr>
  </property>
  <property fmtid="{D5CDD505-2E9C-101B-9397-08002B2CF9AE}" pid="11" name="MSIP_Label_933d8be6-3c40-4052-87a2-9c2adcba8759_Enabled">
    <vt:lpwstr>true</vt:lpwstr>
  </property>
  <property fmtid="{D5CDD505-2E9C-101B-9397-08002B2CF9AE}" pid="12" name="MSIP_Label_933d8be6-3c40-4052-87a2-9c2adcba8759_SetDate">
    <vt:lpwstr>2024-08-20T23:41:47Z</vt:lpwstr>
  </property>
  <property fmtid="{D5CDD505-2E9C-101B-9397-08002B2CF9AE}" pid="13" name="MSIP_Label_933d8be6-3c40-4052-87a2-9c2adcba8759_Method">
    <vt:lpwstr>Privileged</vt:lpwstr>
  </property>
  <property fmtid="{D5CDD505-2E9C-101B-9397-08002B2CF9AE}" pid="14" name="MSIP_Label_933d8be6-3c40-4052-87a2-9c2adcba8759_Name">
    <vt:lpwstr>OFFICIAL</vt:lpwstr>
  </property>
  <property fmtid="{D5CDD505-2E9C-101B-9397-08002B2CF9AE}" pid="15" name="MSIP_Label_933d8be6-3c40-4052-87a2-9c2adcba8759_SiteId">
    <vt:lpwstr>2be67eb7-400c-4b3f-a5a1-1258c0da0696</vt:lpwstr>
  </property>
  <property fmtid="{D5CDD505-2E9C-101B-9397-08002B2CF9AE}" pid="16" name="MSIP_Label_933d8be6-3c40-4052-87a2-9c2adcba8759_ActionId">
    <vt:lpwstr>908a6ec8-f5e7-4bad-ab49-c8db3cec6336</vt:lpwstr>
  </property>
  <property fmtid="{D5CDD505-2E9C-101B-9397-08002B2CF9AE}" pid="17" name="MSIP_Label_933d8be6-3c40-4052-87a2-9c2adcba8759_ContentBits">
    <vt:lpwstr>3</vt:lpwstr>
  </property>
  <property fmtid="{D5CDD505-2E9C-101B-9397-08002B2CF9AE}" pid="18" name="MediaServiceImageTags">
    <vt:lpwstr/>
  </property>
</Properties>
</file>