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75F2B" w14:textId="102763EB" w:rsidR="00A46D16" w:rsidRPr="000B0454" w:rsidRDefault="008B383C" w:rsidP="000B0454">
      <w:pPr>
        <w:pStyle w:val="Heading1"/>
        <w:spacing w:before="0"/>
      </w:pPr>
      <w:r w:rsidRPr="000B0454">
        <w:t xml:space="preserve">Plant </w:t>
      </w:r>
      <w:r w:rsidR="00C45BEA">
        <w:t>commodity/country r</w:t>
      </w:r>
      <w:r w:rsidRPr="000B0454">
        <w:t xml:space="preserve">isk </w:t>
      </w:r>
      <w:r w:rsidR="00C45BEA">
        <w:t>a</w:t>
      </w:r>
      <w:r w:rsidR="00C45BEA" w:rsidRPr="000B0454">
        <w:t xml:space="preserve">nalysis </w:t>
      </w:r>
      <w:r w:rsidR="00C45BEA">
        <w:t>p</w:t>
      </w:r>
      <w:r w:rsidR="00C45BEA" w:rsidRPr="000B0454">
        <w:t>rocess</w:t>
      </w:r>
    </w:p>
    <w:p w14:paraId="49F22F7A" w14:textId="0866601C" w:rsidR="008B383C" w:rsidRPr="0087037B" w:rsidRDefault="008B383C" w:rsidP="000B0454">
      <w:pPr>
        <w:spacing w:after="360" w:line="240" w:lineRule="auto"/>
        <w:rPr>
          <w:rFonts w:eastAsia="Calibri" w:cstheme="minorHAnsi"/>
        </w:rPr>
      </w:pPr>
      <w:r w:rsidRPr="0087037B">
        <w:rPr>
          <w:rFonts w:eastAsia="Calibri" w:cstheme="minorHAnsi"/>
        </w:rPr>
        <w:t xml:space="preserve">Plant </w:t>
      </w:r>
      <w:r w:rsidR="00C45BEA">
        <w:rPr>
          <w:rFonts w:eastAsia="Calibri" w:cstheme="minorHAnsi"/>
        </w:rPr>
        <w:t xml:space="preserve">import </w:t>
      </w:r>
      <w:r w:rsidRPr="0087037B">
        <w:rPr>
          <w:rFonts w:eastAsia="Calibri" w:cstheme="minorHAnsi"/>
        </w:rPr>
        <w:t>risk analyses assess the biosecurity risk associated with the importation of plants and plant products and identify appropriate ways to manage risk to an acceptable level.</w:t>
      </w:r>
    </w:p>
    <w:p w14:paraId="0B7D83B3" w14:textId="55DC0624" w:rsidR="00CE6610" w:rsidRPr="0087037B" w:rsidRDefault="00CE6610" w:rsidP="000B0454">
      <w:pPr>
        <w:spacing w:after="360" w:line="240" w:lineRule="auto"/>
        <w:rPr>
          <w:rFonts w:eastAsia="Calibri" w:cstheme="minorHAnsi"/>
        </w:rPr>
      </w:pPr>
      <w:r w:rsidRPr="0087037B">
        <w:rPr>
          <w:rFonts w:eastAsia="Calibri" w:cstheme="minorHAnsi"/>
        </w:rPr>
        <w:t>Note: As a World Trade Organisation member, Australia bases this process on standards set by the International Plant Protection Convention.</w:t>
      </w:r>
    </w:p>
    <w:p w14:paraId="669CD173" w14:textId="74E46EDD" w:rsidR="008B383C" w:rsidRPr="0087037B" w:rsidRDefault="008B383C" w:rsidP="000B0454">
      <w:pPr>
        <w:pStyle w:val="ListParagraph"/>
        <w:numPr>
          <w:ilvl w:val="0"/>
          <w:numId w:val="2"/>
        </w:numPr>
        <w:spacing w:after="360" w:line="240" w:lineRule="auto"/>
        <w:ind w:hanging="357"/>
        <w:contextualSpacing w:val="0"/>
        <w:rPr>
          <w:rFonts w:eastAsia="Calibri" w:cstheme="minorHAnsi"/>
        </w:rPr>
      </w:pPr>
      <w:r w:rsidRPr="0087037B">
        <w:rPr>
          <w:rFonts w:cstheme="minorHAnsi"/>
          <w:b/>
          <w:bCs/>
          <w:sz w:val="32"/>
          <w:szCs w:val="24"/>
        </w:rPr>
        <w:t>Pest Categorisation:</w:t>
      </w:r>
      <w:r w:rsidRPr="0087037B">
        <w:rPr>
          <w:rFonts w:eastAsia="Calibri" w:cstheme="minorHAnsi"/>
        </w:rPr>
        <w:t xml:space="preserve"> A filtering process that aims to identify quarantine pests on a plant import pathway. All pests with a potential to be imported on the commodity are filtered to identify quarantine pests. </w:t>
      </w:r>
    </w:p>
    <w:p w14:paraId="22178102" w14:textId="332C198A" w:rsidR="008B383C" w:rsidRPr="0087037B" w:rsidRDefault="008B383C" w:rsidP="000B0454">
      <w:pPr>
        <w:pStyle w:val="ListParagraph"/>
        <w:numPr>
          <w:ilvl w:val="0"/>
          <w:numId w:val="2"/>
        </w:numPr>
        <w:spacing w:after="360" w:line="240" w:lineRule="auto"/>
        <w:ind w:hanging="357"/>
        <w:contextualSpacing w:val="0"/>
        <w:rPr>
          <w:rFonts w:eastAsia="Calibri" w:cstheme="minorHAnsi"/>
        </w:rPr>
      </w:pPr>
      <w:r w:rsidRPr="0087037B">
        <w:rPr>
          <w:rFonts w:cstheme="minorHAnsi"/>
          <w:b/>
          <w:bCs/>
          <w:sz w:val="32"/>
          <w:szCs w:val="24"/>
        </w:rPr>
        <w:t xml:space="preserve">Assessment of Overall Likelihood: </w:t>
      </w:r>
      <w:r w:rsidRPr="0087037B">
        <w:rPr>
          <w:rFonts w:eastAsia="Calibri" w:cstheme="minorHAnsi"/>
        </w:rPr>
        <w:t>An assessment of the likelihood that a quarantine</w:t>
      </w:r>
      <w:r w:rsidRPr="0087037B">
        <w:rPr>
          <w:rFonts w:cstheme="minorHAnsi"/>
        </w:rPr>
        <w:t xml:space="preserve"> </w:t>
      </w:r>
      <w:r w:rsidRPr="0087037B">
        <w:rPr>
          <w:rFonts w:eastAsia="Calibri" w:cstheme="minorHAnsi"/>
        </w:rPr>
        <w:t xml:space="preserve">pest will enter, </w:t>
      </w:r>
      <w:proofErr w:type="gramStart"/>
      <w:r w:rsidRPr="0087037B">
        <w:rPr>
          <w:rFonts w:eastAsia="Calibri" w:cstheme="minorHAnsi"/>
        </w:rPr>
        <w:t>establish</w:t>
      </w:r>
      <w:proofErr w:type="gramEnd"/>
      <w:r w:rsidRPr="0087037B">
        <w:rPr>
          <w:rFonts w:eastAsia="Calibri" w:cstheme="minorHAnsi"/>
        </w:rPr>
        <w:t xml:space="preserve"> and spread in Australia.</w:t>
      </w:r>
      <w:r w:rsidR="00340CE8" w:rsidRPr="0087037B">
        <w:rPr>
          <w:rFonts w:cstheme="minorHAnsi"/>
          <w:noProof/>
        </w:rPr>
        <w:t xml:space="preserve"> </w:t>
      </w:r>
    </w:p>
    <w:p w14:paraId="37EEB24F" w14:textId="422225DE" w:rsidR="008B383C" w:rsidRPr="0087037B" w:rsidRDefault="008B383C" w:rsidP="000B0454">
      <w:pPr>
        <w:pStyle w:val="ListParagraph"/>
        <w:numPr>
          <w:ilvl w:val="0"/>
          <w:numId w:val="2"/>
        </w:numPr>
        <w:spacing w:after="360" w:line="240" w:lineRule="auto"/>
        <w:ind w:hanging="357"/>
        <w:contextualSpacing w:val="0"/>
        <w:rPr>
          <w:rFonts w:eastAsia="Calibri" w:cstheme="minorHAnsi"/>
        </w:rPr>
      </w:pPr>
      <w:r w:rsidRPr="0087037B">
        <w:rPr>
          <w:rFonts w:cstheme="minorHAnsi"/>
          <w:b/>
          <w:bCs/>
          <w:sz w:val="32"/>
          <w:szCs w:val="24"/>
        </w:rPr>
        <w:t>Assessment of Overall Consequence Rating:</w:t>
      </w:r>
      <w:r w:rsidRPr="0087037B">
        <w:rPr>
          <w:rFonts w:eastAsia="Calibri" w:cstheme="minorHAnsi"/>
        </w:rPr>
        <w:t xml:space="preserve"> An assessment of the consequence (economic and environmental impact) should a quarantine pest enter, </w:t>
      </w:r>
      <w:proofErr w:type="gramStart"/>
      <w:r w:rsidRPr="0087037B">
        <w:rPr>
          <w:rFonts w:eastAsia="Calibri" w:cstheme="minorHAnsi"/>
        </w:rPr>
        <w:t>establish</w:t>
      </w:r>
      <w:proofErr w:type="gramEnd"/>
      <w:r w:rsidRPr="0087037B">
        <w:rPr>
          <w:rFonts w:eastAsia="Calibri" w:cstheme="minorHAnsi"/>
        </w:rPr>
        <w:t xml:space="preserve"> and spread in Australia. </w:t>
      </w:r>
    </w:p>
    <w:p w14:paraId="702630DA" w14:textId="392F89AD" w:rsidR="008B383C" w:rsidRPr="0087037B" w:rsidRDefault="008B383C" w:rsidP="000B0454">
      <w:pPr>
        <w:pStyle w:val="ListParagraph"/>
        <w:numPr>
          <w:ilvl w:val="0"/>
          <w:numId w:val="2"/>
        </w:numPr>
        <w:spacing w:after="360" w:line="240" w:lineRule="auto"/>
        <w:ind w:hanging="357"/>
        <w:contextualSpacing w:val="0"/>
        <w:rPr>
          <w:rFonts w:eastAsia="Calibri" w:cstheme="minorHAnsi"/>
        </w:rPr>
      </w:pPr>
      <w:r w:rsidRPr="0087037B">
        <w:rPr>
          <w:rFonts w:cstheme="minorHAnsi"/>
          <w:b/>
          <w:bCs/>
          <w:sz w:val="32"/>
          <w:szCs w:val="24"/>
        </w:rPr>
        <w:t xml:space="preserve">Estimation of Unrestricted Risk: </w:t>
      </w:r>
      <w:r w:rsidRPr="0087037B">
        <w:rPr>
          <w:rFonts w:eastAsia="Calibri" w:cstheme="minorHAnsi"/>
        </w:rPr>
        <w:t>The likelihood and consequence ratings are combined to determine the biosecurity risk posed by a quarantine pest for Australia</w:t>
      </w:r>
      <w:r w:rsidR="002D2F4F">
        <w:rPr>
          <w:rFonts w:eastAsia="Calibri" w:cstheme="minorHAnsi"/>
        </w:rPr>
        <w:t>.</w:t>
      </w:r>
      <w:r w:rsidRPr="0087037B">
        <w:rPr>
          <w:rFonts w:eastAsia="Calibri" w:cstheme="minorHAnsi"/>
        </w:rPr>
        <w:t xml:space="preserve"> </w:t>
      </w:r>
      <w:r w:rsidR="002D2F4F">
        <w:rPr>
          <w:rFonts w:eastAsia="Calibri" w:cstheme="minorHAnsi"/>
        </w:rPr>
        <w:t>A</w:t>
      </w:r>
      <w:r w:rsidR="005A315F" w:rsidRPr="0087037B">
        <w:rPr>
          <w:rFonts w:eastAsia="Calibri" w:cstheme="minorHAnsi"/>
        </w:rPr>
        <w:t>n</w:t>
      </w:r>
      <w:r w:rsidRPr="0087037B">
        <w:rPr>
          <w:rFonts w:eastAsia="Calibri" w:cstheme="minorHAnsi"/>
        </w:rPr>
        <w:t xml:space="preserve"> unrestricted risk estimate is established for each quarantine pest. </w:t>
      </w:r>
    </w:p>
    <w:p w14:paraId="1CB71874" w14:textId="6FC184F1" w:rsidR="008B383C" w:rsidRPr="0087037B" w:rsidRDefault="008B383C" w:rsidP="000B0454">
      <w:pPr>
        <w:pStyle w:val="ListParagraph"/>
        <w:numPr>
          <w:ilvl w:val="0"/>
          <w:numId w:val="2"/>
        </w:numPr>
        <w:spacing w:after="360" w:line="240" w:lineRule="auto"/>
        <w:ind w:hanging="357"/>
        <w:contextualSpacing w:val="0"/>
        <w:rPr>
          <w:rFonts w:eastAsia="Calibri" w:cstheme="minorHAnsi"/>
        </w:rPr>
      </w:pPr>
      <w:r w:rsidRPr="0087037B">
        <w:rPr>
          <w:rFonts w:cstheme="minorHAnsi"/>
          <w:b/>
          <w:bCs/>
          <w:sz w:val="32"/>
          <w:szCs w:val="24"/>
        </w:rPr>
        <w:t xml:space="preserve">Pest Risk Management: </w:t>
      </w:r>
      <w:r w:rsidR="00C74E53" w:rsidRPr="0087037B">
        <w:rPr>
          <w:rFonts w:eastAsia="Calibri" w:cstheme="minorHAnsi"/>
        </w:rPr>
        <w:t xml:space="preserve">Pest risk management measures are required if the unrestricted risk estimate for a quarantine pest does not achieve the appropriate level of protection (ALOP) for Australia. </w:t>
      </w:r>
      <w:r w:rsidR="002D2F4F">
        <w:rPr>
          <w:rFonts w:eastAsia="Calibri" w:cstheme="minorHAnsi"/>
        </w:rPr>
        <w:t>T</w:t>
      </w:r>
      <w:r w:rsidR="00C74E53" w:rsidRPr="0087037B">
        <w:rPr>
          <w:rFonts w:eastAsia="Calibri" w:cstheme="minorHAnsi"/>
        </w:rPr>
        <w:t xml:space="preserve">he ALOP for Australia is very low, but not zero. </w:t>
      </w:r>
    </w:p>
    <w:p w14:paraId="6E1446DF" w14:textId="2779CF5B" w:rsidR="00C74E53" w:rsidRDefault="006922E1" w:rsidP="000B0454">
      <w:pPr>
        <w:pStyle w:val="ListParagraph"/>
        <w:numPr>
          <w:ilvl w:val="1"/>
          <w:numId w:val="2"/>
        </w:numPr>
        <w:spacing w:after="360" w:line="240" w:lineRule="auto"/>
        <w:ind w:hanging="357"/>
        <w:contextualSpacing w:val="0"/>
        <w:rPr>
          <w:rFonts w:eastAsia="Calibri" w:cstheme="minorHAnsi"/>
        </w:rPr>
      </w:pPr>
      <w:r>
        <w:rPr>
          <w:rFonts w:eastAsia="Calibri" w:cstheme="minorHAnsi"/>
        </w:rPr>
        <w:t>A pest, with a</w:t>
      </w:r>
      <w:r w:rsidR="00C74E53" w:rsidRPr="0087037B">
        <w:rPr>
          <w:rFonts w:eastAsia="Calibri" w:cstheme="minorHAnsi"/>
        </w:rPr>
        <w:t xml:space="preserve">n unrestricted risk estimate </w:t>
      </w:r>
      <w:r w:rsidR="000B0454" w:rsidRPr="0087037B">
        <w:rPr>
          <w:rFonts w:eastAsia="Calibri" w:cstheme="minorHAnsi"/>
        </w:rPr>
        <w:t>that does not achieve ALOP</w:t>
      </w:r>
      <w:r>
        <w:rPr>
          <w:rFonts w:eastAsia="Calibri" w:cstheme="minorHAnsi"/>
        </w:rPr>
        <w:t>,</w:t>
      </w:r>
      <w:r w:rsidR="000B0454" w:rsidRPr="0087037B">
        <w:rPr>
          <w:rFonts w:eastAsia="Calibri" w:cstheme="minorHAnsi"/>
        </w:rPr>
        <w:t xml:space="preserve"> may have inspection, treatments, systems approaches, area freedom, or other measures applied to reduce the risk to meet ALOP.</w:t>
      </w:r>
    </w:p>
    <w:p w14:paraId="07149C58" w14:textId="0C1D6BB4" w:rsidR="00647593" w:rsidRDefault="00647593" w:rsidP="00647593">
      <w:pPr>
        <w:spacing w:after="360" w:line="240" w:lineRule="auto"/>
        <w:rPr>
          <w:rFonts w:eastAsia="Calibri" w:cstheme="minorHAnsi"/>
        </w:rPr>
      </w:pPr>
    </w:p>
    <w:p w14:paraId="5FB97CCE" w14:textId="69F5CF50" w:rsidR="00647593" w:rsidRDefault="00647593" w:rsidP="00647593">
      <w:pPr>
        <w:spacing w:after="360" w:line="240" w:lineRule="auto"/>
        <w:rPr>
          <w:rFonts w:eastAsia="Calibri" w:cstheme="minorHAnsi"/>
        </w:rPr>
      </w:pPr>
    </w:p>
    <w:p w14:paraId="161F2028" w14:textId="43216E2E" w:rsidR="00647593" w:rsidRDefault="00647593" w:rsidP="00647593">
      <w:pPr>
        <w:spacing w:after="360" w:line="240" w:lineRule="auto"/>
        <w:rPr>
          <w:rFonts w:eastAsia="Calibri" w:cstheme="minorHAnsi"/>
        </w:rPr>
      </w:pPr>
    </w:p>
    <w:p w14:paraId="748CB7C5" w14:textId="5572F155" w:rsidR="00647593" w:rsidRDefault="00647593" w:rsidP="00647593">
      <w:pPr>
        <w:spacing w:after="360" w:line="240" w:lineRule="auto"/>
        <w:rPr>
          <w:rFonts w:eastAsia="Calibri" w:cstheme="minorHAnsi"/>
        </w:rPr>
      </w:pPr>
    </w:p>
    <w:p w14:paraId="35A131F5" w14:textId="040642F3" w:rsidR="00647593" w:rsidRDefault="00647593" w:rsidP="00647593">
      <w:pPr>
        <w:spacing w:after="360" w:line="240" w:lineRule="auto"/>
        <w:rPr>
          <w:rFonts w:eastAsia="Calibri" w:cstheme="minorHAnsi"/>
        </w:rPr>
      </w:pPr>
    </w:p>
    <w:p w14:paraId="7F430791" w14:textId="498634B8" w:rsidR="00647593" w:rsidRDefault="00647593" w:rsidP="00647593">
      <w:pPr>
        <w:spacing w:after="360" w:line="240" w:lineRule="auto"/>
        <w:rPr>
          <w:rFonts w:eastAsia="Calibri" w:cstheme="minorHAnsi"/>
        </w:rPr>
      </w:pPr>
    </w:p>
    <w:p w14:paraId="0A68DB4C" w14:textId="26BAAB7C" w:rsidR="00647593" w:rsidRDefault="00647593" w:rsidP="00647593">
      <w:pPr>
        <w:pStyle w:val="Heading1"/>
        <w:spacing w:before="0"/>
      </w:pPr>
      <w:r>
        <w:t>Step 1: Pest categorisation</w:t>
      </w:r>
    </w:p>
    <w:p w14:paraId="6836CEC3" w14:textId="77777777" w:rsidR="00647593" w:rsidRDefault="00647593" w:rsidP="00647593">
      <w:r>
        <w:t>A filtering process that aims to identify the quarantine pests on a plant import pathway.</w:t>
      </w:r>
    </w:p>
    <w:p w14:paraId="19A708E7" w14:textId="77777777" w:rsidR="00647593" w:rsidRDefault="00647593" w:rsidP="00647593">
      <w:r>
        <w:t>The process is as follows:</w:t>
      </w:r>
    </w:p>
    <w:p w14:paraId="380D3546" w14:textId="77777777" w:rsidR="00647593" w:rsidRDefault="00647593" w:rsidP="00647593">
      <w:pPr>
        <w:pStyle w:val="ListParagraph"/>
        <w:numPr>
          <w:ilvl w:val="0"/>
          <w:numId w:val="4"/>
        </w:numPr>
      </w:pPr>
      <w:r>
        <w:t xml:space="preserve">All pests with potential to be imported on the commodity are identified. </w:t>
      </w:r>
    </w:p>
    <w:p w14:paraId="6DC19079" w14:textId="77777777" w:rsidR="00647593" w:rsidRDefault="00647593" w:rsidP="00647593">
      <w:pPr>
        <w:pStyle w:val="ListParagraph"/>
        <w:numPr>
          <w:ilvl w:val="0"/>
          <w:numId w:val="4"/>
        </w:numPr>
      </w:pPr>
      <w:r>
        <w:t>It is determined whether the pest meets the following criteria:</w:t>
      </w:r>
    </w:p>
    <w:p w14:paraId="35D06E30" w14:textId="77777777" w:rsidR="00647593" w:rsidRDefault="00647593" w:rsidP="00647593">
      <w:pPr>
        <w:pStyle w:val="ListParagraph"/>
        <w:numPr>
          <w:ilvl w:val="1"/>
          <w:numId w:val="4"/>
        </w:numPr>
      </w:pPr>
      <w:r>
        <w:t>the pest is present in the exporting country</w:t>
      </w:r>
    </w:p>
    <w:p w14:paraId="18200793" w14:textId="77777777" w:rsidR="00647593" w:rsidRDefault="00647593" w:rsidP="00647593">
      <w:pPr>
        <w:pStyle w:val="ListParagraph"/>
        <w:numPr>
          <w:ilvl w:val="1"/>
          <w:numId w:val="4"/>
        </w:numPr>
      </w:pPr>
      <w:r>
        <w:t>the pest is absent in Australia or ‘under official control’</w:t>
      </w:r>
    </w:p>
    <w:p w14:paraId="1FCF479B" w14:textId="77777777" w:rsidR="00647593" w:rsidRDefault="00647593" w:rsidP="00647593">
      <w:pPr>
        <w:pStyle w:val="ListParagraph"/>
        <w:numPr>
          <w:ilvl w:val="1"/>
          <w:numId w:val="4"/>
        </w:numPr>
      </w:pPr>
      <w:r>
        <w:t>the pest has potential to be on the pathway</w:t>
      </w:r>
    </w:p>
    <w:p w14:paraId="6DFAB76F" w14:textId="77777777" w:rsidR="00647593" w:rsidRDefault="00647593" w:rsidP="00647593">
      <w:pPr>
        <w:pStyle w:val="ListParagraph"/>
        <w:numPr>
          <w:ilvl w:val="1"/>
          <w:numId w:val="4"/>
        </w:numPr>
      </w:pPr>
      <w:r>
        <w:t>the pest has potential for establishment and spread</w:t>
      </w:r>
    </w:p>
    <w:p w14:paraId="465C0B05" w14:textId="77777777" w:rsidR="00647593" w:rsidRDefault="00647593" w:rsidP="00647593">
      <w:pPr>
        <w:pStyle w:val="ListParagraph"/>
        <w:numPr>
          <w:ilvl w:val="1"/>
          <w:numId w:val="4"/>
        </w:numPr>
      </w:pPr>
      <w:r>
        <w:t>the pest has potential for economic consequences.</w:t>
      </w:r>
    </w:p>
    <w:p w14:paraId="541F95A8" w14:textId="77777777" w:rsidR="00647593" w:rsidRDefault="00647593" w:rsidP="00647593">
      <w:pPr>
        <w:pStyle w:val="ListParagraph"/>
        <w:numPr>
          <w:ilvl w:val="0"/>
          <w:numId w:val="4"/>
        </w:numPr>
      </w:pPr>
      <w:r>
        <w:t xml:space="preserve">If a pest meets all these criteria, then it is categorised as a quarantine pest on the plant import pathway. </w:t>
      </w:r>
    </w:p>
    <w:p w14:paraId="5ABD3BE0" w14:textId="77777777" w:rsidR="00647593" w:rsidRDefault="00647593" w:rsidP="00647593">
      <w:pPr>
        <w:pStyle w:val="ListParagraph"/>
        <w:numPr>
          <w:ilvl w:val="0"/>
          <w:numId w:val="4"/>
        </w:numPr>
      </w:pPr>
      <w:r>
        <w:t>If a pest does not meet one of these criteria, then it is not considered a quarantine pest on the plant import pathway.</w:t>
      </w:r>
    </w:p>
    <w:p w14:paraId="62516905" w14:textId="77777777" w:rsidR="00647593" w:rsidRPr="00647593" w:rsidRDefault="00647593" w:rsidP="00647593">
      <w:pPr>
        <w:rPr>
          <w:lang w:eastAsia="ja-JP"/>
        </w:rPr>
      </w:pPr>
    </w:p>
    <w:p w14:paraId="0CED3448" w14:textId="589C51C9" w:rsidR="00647593" w:rsidRDefault="00647593" w:rsidP="00647593">
      <w:pPr>
        <w:pStyle w:val="Heading1"/>
        <w:spacing w:before="0"/>
      </w:pPr>
      <w:r>
        <w:t>Step 2: Assessment of overall likelihood</w:t>
      </w:r>
    </w:p>
    <w:p w14:paraId="52C1A924" w14:textId="3E5AD2EC" w:rsidR="00647593" w:rsidRDefault="00647593" w:rsidP="00647593">
      <w:r>
        <w:t xml:space="preserve">An assessment of the likelihood that a quarantine pest will enter, </w:t>
      </w:r>
      <w:proofErr w:type="gramStart"/>
      <w:r>
        <w:t>establish</w:t>
      </w:r>
      <w:proofErr w:type="gramEnd"/>
      <w:r>
        <w:t xml:space="preserve"> and spread in Australia.</w:t>
      </w:r>
    </w:p>
    <w:p w14:paraId="6A82B200" w14:textId="77777777" w:rsidR="00647593" w:rsidRDefault="00647593" w:rsidP="00647593">
      <w:r>
        <w:t>The process is as follows:</w:t>
      </w:r>
    </w:p>
    <w:p w14:paraId="32F3A7BB" w14:textId="77777777" w:rsidR="00647593" w:rsidRDefault="00647593" w:rsidP="00FF5C78">
      <w:pPr>
        <w:pStyle w:val="ListParagraph"/>
        <w:numPr>
          <w:ilvl w:val="0"/>
          <w:numId w:val="18"/>
        </w:numPr>
      </w:pPr>
      <w:r>
        <w:t>Likelihood of entry</w:t>
      </w:r>
    </w:p>
    <w:p w14:paraId="487682D4" w14:textId="77777777" w:rsidR="00647593" w:rsidRDefault="00647593" w:rsidP="00FF5C78">
      <w:pPr>
        <w:pStyle w:val="ListParagraph"/>
        <w:numPr>
          <w:ilvl w:val="1"/>
          <w:numId w:val="18"/>
        </w:numPr>
      </w:pPr>
      <w:r>
        <w:t>We assess how likely the pest might enter Australia on the imported commodity by looking at the pest’s biology and the commercial production practices of the commodity in the exporting country.</w:t>
      </w:r>
    </w:p>
    <w:p w14:paraId="0585ED50" w14:textId="77777777" w:rsidR="00647593" w:rsidRDefault="00647593" w:rsidP="00FF5C78">
      <w:pPr>
        <w:pStyle w:val="ListParagraph"/>
        <w:numPr>
          <w:ilvl w:val="0"/>
          <w:numId w:val="18"/>
        </w:numPr>
      </w:pPr>
      <w:r>
        <w:t>Likelihood of establishment</w:t>
      </w:r>
    </w:p>
    <w:p w14:paraId="7DEDD7EC" w14:textId="77777777" w:rsidR="00647593" w:rsidRDefault="00647593" w:rsidP="00FF5C78">
      <w:pPr>
        <w:pStyle w:val="ListParagraph"/>
        <w:numPr>
          <w:ilvl w:val="1"/>
          <w:numId w:val="18"/>
        </w:numPr>
      </w:pPr>
      <w:r>
        <w:t xml:space="preserve">We assess how likely the pest could establish in Australia by looking at the pest’s biology and the suitability of the Australian environment that could encourage the pest to establish and survive. </w:t>
      </w:r>
    </w:p>
    <w:p w14:paraId="28816BFA" w14:textId="77777777" w:rsidR="00647593" w:rsidRDefault="00647593" w:rsidP="00FF5C78">
      <w:pPr>
        <w:pStyle w:val="ListParagraph"/>
        <w:numPr>
          <w:ilvl w:val="0"/>
          <w:numId w:val="18"/>
        </w:numPr>
      </w:pPr>
      <w:r>
        <w:t>Likelihood of spread</w:t>
      </w:r>
    </w:p>
    <w:p w14:paraId="08181763" w14:textId="77777777" w:rsidR="00647593" w:rsidRDefault="00647593" w:rsidP="00FF5C78">
      <w:pPr>
        <w:pStyle w:val="ListParagraph"/>
        <w:numPr>
          <w:ilvl w:val="1"/>
          <w:numId w:val="18"/>
        </w:numPr>
      </w:pPr>
      <w:r>
        <w:t xml:space="preserve">We assess how likely the pest could spread throughout Australia by looking at factors that affect the pest’s mobility. </w:t>
      </w:r>
    </w:p>
    <w:p w14:paraId="1F45E1F8" w14:textId="77777777" w:rsidR="00647593" w:rsidRDefault="00647593" w:rsidP="00FF5C78">
      <w:pPr>
        <w:pStyle w:val="ListParagraph"/>
        <w:numPr>
          <w:ilvl w:val="0"/>
          <w:numId w:val="18"/>
        </w:numPr>
      </w:pPr>
      <w:r>
        <w:t>Overall likelihood</w:t>
      </w:r>
    </w:p>
    <w:p w14:paraId="56FAB8FD" w14:textId="77777777" w:rsidR="00647593" w:rsidRDefault="00647593" w:rsidP="00FF5C78">
      <w:pPr>
        <w:pStyle w:val="ListParagraph"/>
        <w:numPr>
          <w:ilvl w:val="1"/>
          <w:numId w:val="18"/>
        </w:numPr>
      </w:pPr>
      <w:r>
        <w:t xml:space="preserve">Each likelihood is combined to determine the overall likelihood that the pest could enter, </w:t>
      </w:r>
      <w:proofErr w:type="gramStart"/>
      <w:r>
        <w:t>establish</w:t>
      </w:r>
      <w:proofErr w:type="gramEnd"/>
      <w:r>
        <w:t xml:space="preserve"> and spread in Australia. </w:t>
      </w:r>
    </w:p>
    <w:p w14:paraId="4FD1024D" w14:textId="77777777" w:rsidR="00CE385E" w:rsidRDefault="00CE385E" w:rsidP="00647593">
      <w:pPr>
        <w:rPr>
          <w:b/>
          <w:bCs/>
          <w:sz w:val="26"/>
          <w:szCs w:val="26"/>
        </w:rPr>
      </w:pPr>
    </w:p>
    <w:p w14:paraId="6B97B034" w14:textId="19A8B97D" w:rsidR="00647593" w:rsidRPr="003B7829" w:rsidRDefault="00647593" w:rsidP="00647593">
      <w:pPr>
        <w:rPr>
          <w:b/>
          <w:bCs/>
          <w:sz w:val="26"/>
          <w:szCs w:val="26"/>
        </w:rPr>
      </w:pPr>
      <w:r w:rsidRPr="003B7829">
        <w:rPr>
          <w:b/>
          <w:bCs/>
          <w:sz w:val="26"/>
          <w:szCs w:val="26"/>
        </w:rPr>
        <w:lastRenderedPageBreak/>
        <w:t>How to combine likelihoods</w:t>
      </w:r>
    </w:p>
    <w:p w14:paraId="354FA31E" w14:textId="77777777" w:rsidR="00647593" w:rsidRDefault="00647593" w:rsidP="00647593">
      <w:r>
        <w:t xml:space="preserve">The overall likelihood of a pest being able to enter, establish and spread in Australia is determined by assessing and combining each likelihood. These three steps are outlined in the tables below using Pest-X as an example. These assessment tables use a set of rules for combining qualitative likelihoods that are based on indicative probability ranges. For example, these rules mean that combining two ‘moderate’ likelihoods results in a ‘low’ likelihood outcome. </w:t>
      </w:r>
    </w:p>
    <w:p w14:paraId="4B3182D9" w14:textId="77777777" w:rsidR="00647593" w:rsidRPr="003B7829" w:rsidRDefault="00647593" w:rsidP="00647593">
      <w:pPr>
        <w:rPr>
          <w:b/>
          <w:bCs/>
        </w:rPr>
      </w:pPr>
      <w:r w:rsidRPr="003B7829">
        <w:rPr>
          <w:b/>
          <w:bCs/>
        </w:rPr>
        <w:t>Assessment table key</w:t>
      </w:r>
    </w:p>
    <w:tbl>
      <w:tblPr>
        <w:tblStyle w:val="TableGrid"/>
        <w:tblW w:w="0" w:type="auto"/>
        <w:tblLook w:val="04A0" w:firstRow="1" w:lastRow="0" w:firstColumn="1" w:lastColumn="0" w:noHBand="0" w:noVBand="1"/>
      </w:tblPr>
      <w:tblGrid>
        <w:gridCol w:w="1149"/>
        <w:gridCol w:w="825"/>
        <w:gridCol w:w="1111"/>
        <w:gridCol w:w="934"/>
        <w:gridCol w:w="908"/>
        <w:gridCol w:w="1114"/>
        <w:gridCol w:w="1102"/>
      </w:tblGrid>
      <w:tr w:rsidR="00647593" w14:paraId="06C83D11" w14:textId="77777777" w:rsidTr="006A1A66">
        <w:tc>
          <w:tcPr>
            <w:tcW w:w="1132" w:type="dxa"/>
          </w:tcPr>
          <w:p w14:paraId="4575AD93" w14:textId="77777777" w:rsidR="00647593" w:rsidRPr="003B7829" w:rsidRDefault="00647593" w:rsidP="006A1A66">
            <w:pPr>
              <w:rPr>
                <w:b/>
                <w:bCs/>
              </w:rPr>
            </w:pPr>
            <w:r w:rsidRPr="003B7829">
              <w:rPr>
                <w:b/>
                <w:bCs/>
              </w:rPr>
              <w:t>Combined result</w:t>
            </w:r>
          </w:p>
        </w:tc>
        <w:tc>
          <w:tcPr>
            <w:tcW w:w="825" w:type="dxa"/>
          </w:tcPr>
          <w:p w14:paraId="4E90CC13" w14:textId="77777777" w:rsidR="00647593" w:rsidRDefault="00647593" w:rsidP="006A1A66">
            <w:r>
              <w:t>High</w:t>
            </w:r>
          </w:p>
        </w:tc>
        <w:tc>
          <w:tcPr>
            <w:tcW w:w="1111" w:type="dxa"/>
          </w:tcPr>
          <w:p w14:paraId="23F1CF6B" w14:textId="77777777" w:rsidR="00647593" w:rsidRDefault="00647593" w:rsidP="006A1A66">
            <w:r>
              <w:t>Moderate</w:t>
            </w:r>
          </w:p>
        </w:tc>
        <w:tc>
          <w:tcPr>
            <w:tcW w:w="934" w:type="dxa"/>
          </w:tcPr>
          <w:p w14:paraId="0EAEFF89" w14:textId="77777777" w:rsidR="00647593" w:rsidRDefault="00647593" w:rsidP="006A1A66">
            <w:r>
              <w:t xml:space="preserve">Low </w:t>
            </w:r>
          </w:p>
        </w:tc>
        <w:tc>
          <w:tcPr>
            <w:tcW w:w="908" w:type="dxa"/>
          </w:tcPr>
          <w:p w14:paraId="6A8DDF11" w14:textId="77777777" w:rsidR="00647593" w:rsidRDefault="00647593" w:rsidP="006A1A66">
            <w:r>
              <w:t>Very low</w:t>
            </w:r>
          </w:p>
        </w:tc>
        <w:tc>
          <w:tcPr>
            <w:tcW w:w="1114" w:type="dxa"/>
          </w:tcPr>
          <w:p w14:paraId="5FB38722" w14:textId="77777777" w:rsidR="00647593" w:rsidRDefault="00647593" w:rsidP="006A1A66">
            <w:r>
              <w:t>Extremely low</w:t>
            </w:r>
          </w:p>
        </w:tc>
        <w:tc>
          <w:tcPr>
            <w:tcW w:w="1102" w:type="dxa"/>
          </w:tcPr>
          <w:p w14:paraId="05541C24" w14:textId="77777777" w:rsidR="00647593" w:rsidRDefault="00647593" w:rsidP="006A1A66">
            <w:r>
              <w:t>Negligible</w:t>
            </w:r>
          </w:p>
        </w:tc>
      </w:tr>
      <w:tr w:rsidR="00647593" w14:paraId="2EE9EDF3" w14:textId="77777777" w:rsidTr="006A1A66">
        <w:tc>
          <w:tcPr>
            <w:tcW w:w="1132" w:type="dxa"/>
          </w:tcPr>
          <w:p w14:paraId="4ADB5A31" w14:textId="77777777" w:rsidR="00647593" w:rsidRPr="003B7829" w:rsidRDefault="00647593" w:rsidP="006A1A66">
            <w:pPr>
              <w:rPr>
                <w:b/>
                <w:bCs/>
              </w:rPr>
            </w:pPr>
            <w:r w:rsidRPr="003B7829">
              <w:rPr>
                <w:b/>
                <w:bCs/>
              </w:rPr>
              <w:t>Definition</w:t>
            </w:r>
          </w:p>
        </w:tc>
        <w:tc>
          <w:tcPr>
            <w:tcW w:w="825" w:type="dxa"/>
          </w:tcPr>
          <w:p w14:paraId="5C1FD94C" w14:textId="77777777" w:rsidR="00647593" w:rsidRDefault="00647593" w:rsidP="006A1A66">
            <w:r>
              <w:t>Very likely to occur</w:t>
            </w:r>
          </w:p>
        </w:tc>
        <w:tc>
          <w:tcPr>
            <w:tcW w:w="1111" w:type="dxa"/>
          </w:tcPr>
          <w:p w14:paraId="4CE02E19" w14:textId="77777777" w:rsidR="00647593" w:rsidRDefault="00647593" w:rsidP="006A1A66">
            <w:r>
              <w:t>Likely to occur</w:t>
            </w:r>
          </w:p>
        </w:tc>
        <w:tc>
          <w:tcPr>
            <w:tcW w:w="934" w:type="dxa"/>
          </w:tcPr>
          <w:p w14:paraId="4F5547BA" w14:textId="77777777" w:rsidR="00647593" w:rsidRDefault="00647593" w:rsidP="006A1A66">
            <w:r>
              <w:t>Unlikely to occur</w:t>
            </w:r>
          </w:p>
        </w:tc>
        <w:tc>
          <w:tcPr>
            <w:tcW w:w="908" w:type="dxa"/>
          </w:tcPr>
          <w:p w14:paraId="15AD91D3" w14:textId="77777777" w:rsidR="00647593" w:rsidRDefault="00647593" w:rsidP="006A1A66">
            <w:r>
              <w:t>Very unlikely to occur</w:t>
            </w:r>
          </w:p>
        </w:tc>
        <w:tc>
          <w:tcPr>
            <w:tcW w:w="1114" w:type="dxa"/>
          </w:tcPr>
          <w:p w14:paraId="3EC00AAB" w14:textId="77777777" w:rsidR="00647593" w:rsidRDefault="00647593" w:rsidP="006A1A66">
            <w:r>
              <w:t>Extremely unlikely to occur</w:t>
            </w:r>
          </w:p>
        </w:tc>
        <w:tc>
          <w:tcPr>
            <w:tcW w:w="1102" w:type="dxa"/>
          </w:tcPr>
          <w:p w14:paraId="686612BE" w14:textId="77777777" w:rsidR="00647593" w:rsidRDefault="00647593" w:rsidP="006A1A66">
            <w:r>
              <w:t>Almost certainly won’t occur</w:t>
            </w:r>
          </w:p>
        </w:tc>
      </w:tr>
    </w:tbl>
    <w:p w14:paraId="5F5A3E78" w14:textId="77777777" w:rsidR="00647593" w:rsidRDefault="00647593" w:rsidP="00647593"/>
    <w:p w14:paraId="241B6E77" w14:textId="77777777" w:rsidR="00647593" w:rsidRPr="003B7829" w:rsidRDefault="00647593" w:rsidP="00647593">
      <w:pPr>
        <w:rPr>
          <w:b/>
          <w:bCs/>
        </w:rPr>
      </w:pPr>
      <w:r w:rsidRPr="003B7829">
        <w:rPr>
          <w:b/>
          <w:bCs/>
        </w:rPr>
        <w:t>Entry</w:t>
      </w:r>
    </w:p>
    <w:p w14:paraId="4B69A226" w14:textId="77777777" w:rsidR="00647593" w:rsidRDefault="00647593" w:rsidP="00647593">
      <w:pPr>
        <w:pStyle w:val="ListParagraph"/>
        <w:numPr>
          <w:ilvl w:val="0"/>
          <w:numId w:val="5"/>
        </w:numPr>
      </w:pPr>
      <w:r>
        <w:t xml:space="preserve">The likelihood of entry is made up of two parts: importation and distribution. </w:t>
      </w:r>
    </w:p>
    <w:p w14:paraId="2E7E5A42" w14:textId="77777777" w:rsidR="00647593" w:rsidRDefault="00647593" w:rsidP="00647593">
      <w:pPr>
        <w:pStyle w:val="ListParagraph"/>
        <w:numPr>
          <w:ilvl w:val="0"/>
          <w:numId w:val="5"/>
        </w:numPr>
      </w:pPr>
      <w:r>
        <w:t>For Pest-X, the likelihood of being imported on the commodity is Moderate and the likelihood it will be distributed is also Moderate.</w:t>
      </w:r>
    </w:p>
    <w:p w14:paraId="40595045" w14:textId="77777777" w:rsidR="00647593" w:rsidRDefault="00647593" w:rsidP="00647593">
      <w:pPr>
        <w:pStyle w:val="ListParagraph"/>
        <w:numPr>
          <w:ilvl w:val="0"/>
          <w:numId w:val="5"/>
        </w:numPr>
      </w:pPr>
      <w:r>
        <w:t>Therefore, using the table below, the likelihood of Pest-X entering Australia is Low.</w:t>
      </w:r>
    </w:p>
    <w:p w14:paraId="3D694D0B" w14:textId="77777777" w:rsidR="00647593" w:rsidRDefault="00647593" w:rsidP="00647593"/>
    <w:tbl>
      <w:tblPr>
        <w:tblStyle w:val="TableGrid"/>
        <w:tblW w:w="10054" w:type="dxa"/>
        <w:tblLook w:val="04A0" w:firstRow="1" w:lastRow="0" w:firstColumn="1" w:lastColumn="0" w:noHBand="0" w:noVBand="1"/>
      </w:tblPr>
      <w:tblGrid>
        <w:gridCol w:w="1436"/>
        <w:gridCol w:w="1256"/>
        <w:gridCol w:w="1224"/>
        <w:gridCol w:w="1226"/>
        <w:gridCol w:w="1224"/>
        <w:gridCol w:w="1224"/>
        <w:gridCol w:w="1251"/>
        <w:gridCol w:w="1213"/>
      </w:tblGrid>
      <w:tr w:rsidR="00647593" w14:paraId="397380FB" w14:textId="77777777" w:rsidTr="006A1A66">
        <w:trPr>
          <w:trHeight w:val="269"/>
        </w:trPr>
        <w:tc>
          <w:tcPr>
            <w:tcW w:w="2692" w:type="dxa"/>
            <w:gridSpan w:val="2"/>
            <w:vMerge w:val="restart"/>
          </w:tcPr>
          <w:p w14:paraId="0BBD8101" w14:textId="77777777" w:rsidR="00647593" w:rsidRDefault="00647593" w:rsidP="006A1A66"/>
        </w:tc>
        <w:tc>
          <w:tcPr>
            <w:tcW w:w="7362" w:type="dxa"/>
            <w:gridSpan w:val="6"/>
          </w:tcPr>
          <w:p w14:paraId="000ACD52" w14:textId="77777777" w:rsidR="00647593" w:rsidRPr="003B7829" w:rsidRDefault="00647593" w:rsidP="006A1A66">
            <w:pPr>
              <w:rPr>
                <w:b/>
                <w:bCs/>
              </w:rPr>
            </w:pPr>
            <w:r w:rsidRPr="003B7829">
              <w:rPr>
                <w:b/>
                <w:bCs/>
              </w:rPr>
              <w:t>Importation likelihood</w:t>
            </w:r>
          </w:p>
        </w:tc>
      </w:tr>
      <w:tr w:rsidR="00647593" w14:paraId="71BA7E63" w14:textId="77777777" w:rsidTr="006A1A66">
        <w:trPr>
          <w:trHeight w:val="565"/>
        </w:trPr>
        <w:tc>
          <w:tcPr>
            <w:tcW w:w="2692" w:type="dxa"/>
            <w:gridSpan w:val="2"/>
            <w:vMerge/>
          </w:tcPr>
          <w:p w14:paraId="1F27EDE3" w14:textId="77777777" w:rsidR="00647593" w:rsidRDefault="00647593" w:rsidP="006A1A66"/>
        </w:tc>
        <w:tc>
          <w:tcPr>
            <w:tcW w:w="1224" w:type="dxa"/>
          </w:tcPr>
          <w:p w14:paraId="59DDD044" w14:textId="77777777" w:rsidR="00647593" w:rsidRPr="003B7829" w:rsidRDefault="00647593" w:rsidP="006A1A66">
            <w:pPr>
              <w:rPr>
                <w:b/>
                <w:bCs/>
              </w:rPr>
            </w:pPr>
            <w:r>
              <w:rPr>
                <w:b/>
                <w:bCs/>
              </w:rPr>
              <w:t>H</w:t>
            </w:r>
            <w:r w:rsidRPr="003B7829">
              <w:rPr>
                <w:b/>
                <w:bCs/>
              </w:rPr>
              <w:t>igh</w:t>
            </w:r>
          </w:p>
        </w:tc>
        <w:tc>
          <w:tcPr>
            <w:tcW w:w="1226" w:type="dxa"/>
          </w:tcPr>
          <w:p w14:paraId="2D8BA063" w14:textId="77777777" w:rsidR="00647593" w:rsidRPr="003B7829" w:rsidRDefault="00647593" w:rsidP="006A1A66">
            <w:pPr>
              <w:rPr>
                <w:b/>
                <w:bCs/>
              </w:rPr>
            </w:pPr>
            <w:r>
              <w:rPr>
                <w:b/>
                <w:bCs/>
              </w:rPr>
              <w:t>M</w:t>
            </w:r>
            <w:r w:rsidRPr="003B7829">
              <w:rPr>
                <w:b/>
                <w:bCs/>
              </w:rPr>
              <w:t>oderate</w:t>
            </w:r>
          </w:p>
        </w:tc>
        <w:tc>
          <w:tcPr>
            <w:tcW w:w="1224" w:type="dxa"/>
          </w:tcPr>
          <w:p w14:paraId="6094CE14" w14:textId="77777777" w:rsidR="00647593" w:rsidRPr="003B7829" w:rsidRDefault="00647593" w:rsidP="006A1A66">
            <w:pPr>
              <w:rPr>
                <w:b/>
                <w:bCs/>
              </w:rPr>
            </w:pPr>
            <w:r>
              <w:rPr>
                <w:b/>
                <w:bCs/>
              </w:rPr>
              <w:t>L</w:t>
            </w:r>
            <w:r w:rsidRPr="003B7829">
              <w:rPr>
                <w:b/>
                <w:bCs/>
              </w:rPr>
              <w:t>ow</w:t>
            </w:r>
          </w:p>
        </w:tc>
        <w:tc>
          <w:tcPr>
            <w:tcW w:w="1224" w:type="dxa"/>
          </w:tcPr>
          <w:p w14:paraId="47B2C67B" w14:textId="77777777" w:rsidR="00647593" w:rsidRPr="003B7829" w:rsidRDefault="00647593" w:rsidP="006A1A66">
            <w:pPr>
              <w:rPr>
                <w:b/>
                <w:bCs/>
              </w:rPr>
            </w:pPr>
            <w:r w:rsidRPr="003B7829">
              <w:rPr>
                <w:b/>
                <w:bCs/>
              </w:rPr>
              <w:t>Very low</w:t>
            </w:r>
          </w:p>
        </w:tc>
        <w:tc>
          <w:tcPr>
            <w:tcW w:w="1251" w:type="dxa"/>
          </w:tcPr>
          <w:p w14:paraId="30754822" w14:textId="77777777" w:rsidR="00647593" w:rsidRPr="003B7829" w:rsidRDefault="00647593" w:rsidP="006A1A66">
            <w:pPr>
              <w:rPr>
                <w:b/>
                <w:bCs/>
              </w:rPr>
            </w:pPr>
            <w:r w:rsidRPr="003B7829">
              <w:rPr>
                <w:b/>
                <w:bCs/>
              </w:rPr>
              <w:t>Extremely low</w:t>
            </w:r>
          </w:p>
        </w:tc>
        <w:tc>
          <w:tcPr>
            <w:tcW w:w="1211" w:type="dxa"/>
          </w:tcPr>
          <w:p w14:paraId="1E5D05F6" w14:textId="77777777" w:rsidR="00647593" w:rsidRPr="003B7829" w:rsidRDefault="00647593" w:rsidP="006A1A66">
            <w:pPr>
              <w:rPr>
                <w:b/>
                <w:bCs/>
              </w:rPr>
            </w:pPr>
            <w:r>
              <w:rPr>
                <w:b/>
                <w:bCs/>
              </w:rPr>
              <w:t>N</w:t>
            </w:r>
            <w:r w:rsidRPr="003B7829">
              <w:rPr>
                <w:b/>
                <w:bCs/>
              </w:rPr>
              <w:t>egligible</w:t>
            </w:r>
          </w:p>
        </w:tc>
      </w:tr>
      <w:tr w:rsidR="00647593" w14:paraId="37AF5933" w14:textId="77777777" w:rsidTr="006A1A66">
        <w:trPr>
          <w:trHeight w:val="551"/>
        </w:trPr>
        <w:tc>
          <w:tcPr>
            <w:tcW w:w="1436" w:type="dxa"/>
            <w:vMerge w:val="restart"/>
          </w:tcPr>
          <w:p w14:paraId="1A8F9BDF" w14:textId="77777777" w:rsidR="00647593" w:rsidRPr="003B7829" w:rsidRDefault="00647593" w:rsidP="006A1A66">
            <w:pPr>
              <w:rPr>
                <w:b/>
                <w:bCs/>
              </w:rPr>
            </w:pPr>
            <w:r w:rsidRPr="003B7829">
              <w:rPr>
                <w:b/>
                <w:bCs/>
              </w:rPr>
              <w:t>Distribution likelihood</w:t>
            </w:r>
          </w:p>
        </w:tc>
        <w:tc>
          <w:tcPr>
            <w:tcW w:w="1255" w:type="dxa"/>
          </w:tcPr>
          <w:p w14:paraId="125B6FE3" w14:textId="77777777" w:rsidR="00647593" w:rsidRPr="003B7829" w:rsidRDefault="00647593" w:rsidP="006A1A66">
            <w:pPr>
              <w:rPr>
                <w:b/>
                <w:bCs/>
              </w:rPr>
            </w:pPr>
            <w:r w:rsidRPr="003B7829">
              <w:rPr>
                <w:b/>
                <w:bCs/>
              </w:rPr>
              <w:t>High</w:t>
            </w:r>
          </w:p>
        </w:tc>
        <w:tc>
          <w:tcPr>
            <w:tcW w:w="1224" w:type="dxa"/>
          </w:tcPr>
          <w:p w14:paraId="58E021F1" w14:textId="77777777" w:rsidR="00647593" w:rsidRDefault="00647593" w:rsidP="006A1A66">
            <w:r>
              <w:t>High</w:t>
            </w:r>
          </w:p>
        </w:tc>
        <w:tc>
          <w:tcPr>
            <w:tcW w:w="1226" w:type="dxa"/>
          </w:tcPr>
          <w:p w14:paraId="29830985" w14:textId="77777777" w:rsidR="00647593" w:rsidRDefault="00647593" w:rsidP="006A1A66">
            <w:r>
              <w:t>Moderate</w:t>
            </w:r>
          </w:p>
        </w:tc>
        <w:tc>
          <w:tcPr>
            <w:tcW w:w="1224" w:type="dxa"/>
          </w:tcPr>
          <w:p w14:paraId="23110D88" w14:textId="77777777" w:rsidR="00647593" w:rsidRDefault="00647593" w:rsidP="006A1A66">
            <w:r>
              <w:t>Low</w:t>
            </w:r>
          </w:p>
        </w:tc>
        <w:tc>
          <w:tcPr>
            <w:tcW w:w="1224" w:type="dxa"/>
          </w:tcPr>
          <w:p w14:paraId="6040E88E" w14:textId="77777777" w:rsidR="00647593" w:rsidRDefault="00647593" w:rsidP="006A1A66">
            <w:r>
              <w:t>Very low</w:t>
            </w:r>
          </w:p>
        </w:tc>
        <w:tc>
          <w:tcPr>
            <w:tcW w:w="1251" w:type="dxa"/>
          </w:tcPr>
          <w:p w14:paraId="35267ABC" w14:textId="77777777" w:rsidR="00647593" w:rsidRDefault="00647593" w:rsidP="006A1A66">
            <w:r>
              <w:t>Extremely low</w:t>
            </w:r>
          </w:p>
        </w:tc>
        <w:tc>
          <w:tcPr>
            <w:tcW w:w="1211" w:type="dxa"/>
          </w:tcPr>
          <w:p w14:paraId="203F4E66" w14:textId="77777777" w:rsidR="00647593" w:rsidRDefault="00647593" w:rsidP="006A1A66">
            <w:r>
              <w:t>Negligible</w:t>
            </w:r>
          </w:p>
        </w:tc>
      </w:tr>
      <w:tr w:rsidR="00647593" w14:paraId="05894B2E" w14:textId="77777777" w:rsidTr="006A1A66">
        <w:trPr>
          <w:trHeight w:val="551"/>
        </w:trPr>
        <w:tc>
          <w:tcPr>
            <w:tcW w:w="1436" w:type="dxa"/>
            <w:vMerge/>
          </w:tcPr>
          <w:p w14:paraId="5CFDD191" w14:textId="77777777" w:rsidR="00647593" w:rsidRPr="003B7829" w:rsidRDefault="00647593" w:rsidP="006A1A66">
            <w:pPr>
              <w:rPr>
                <w:b/>
                <w:bCs/>
              </w:rPr>
            </w:pPr>
          </w:p>
        </w:tc>
        <w:tc>
          <w:tcPr>
            <w:tcW w:w="1255" w:type="dxa"/>
          </w:tcPr>
          <w:p w14:paraId="105D91ED" w14:textId="77777777" w:rsidR="00647593" w:rsidRPr="003B7829" w:rsidRDefault="00647593" w:rsidP="006A1A66">
            <w:pPr>
              <w:rPr>
                <w:b/>
                <w:bCs/>
              </w:rPr>
            </w:pPr>
            <w:r w:rsidRPr="003B7829">
              <w:rPr>
                <w:b/>
                <w:bCs/>
              </w:rPr>
              <w:t>Moderate</w:t>
            </w:r>
          </w:p>
        </w:tc>
        <w:tc>
          <w:tcPr>
            <w:tcW w:w="1224" w:type="dxa"/>
          </w:tcPr>
          <w:p w14:paraId="70B3FA4D" w14:textId="77777777" w:rsidR="00647593" w:rsidRDefault="00647593" w:rsidP="006A1A66">
            <w:r>
              <w:t>Moderate</w:t>
            </w:r>
          </w:p>
        </w:tc>
        <w:tc>
          <w:tcPr>
            <w:tcW w:w="1226" w:type="dxa"/>
          </w:tcPr>
          <w:p w14:paraId="43964792" w14:textId="77777777" w:rsidR="00647593" w:rsidRDefault="00647593" w:rsidP="006A1A66">
            <w:r>
              <w:t>Low</w:t>
            </w:r>
          </w:p>
        </w:tc>
        <w:tc>
          <w:tcPr>
            <w:tcW w:w="1224" w:type="dxa"/>
          </w:tcPr>
          <w:p w14:paraId="77447F95" w14:textId="77777777" w:rsidR="00647593" w:rsidRDefault="00647593" w:rsidP="006A1A66">
            <w:r>
              <w:t>Low</w:t>
            </w:r>
          </w:p>
        </w:tc>
        <w:tc>
          <w:tcPr>
            <w:tcW w:w="1224" w:type="dxa"/>
          </w:tcPr>
          <w:p w14:paraId="19DF6547" w14:textId="77777777" w:rsidR="00647593" w:rsidRDefault="00647593" w:rsidP="006A1A66">
            <w:r>
              <w:t>Very low</w:t>
            </w:r>
          </w:p>
        </w:tc>
        <w:tc>
          <w:tcPr>
            <w:tcW w:w="1251" w:type="dxa"/>
          </w:tcPr>
          <w:p w14:paraId="2A3D08DF" w14:textId="77777777" w:rsidR="00647593" w:rsidRDefault="00647593" w:rsidP="006A1A66">
            <w:r>
              <w:t>Extremely low</w:t>
            </w:r>
          </w:p>
        </w:tc>
        <w:tc>
          <w:tcPr>
            <w:tcW w:w="1211" w:type="dxa"/>
          </w:tcPr>
          <w:p w14:paraId="028A0FB5" w14:textId="77777777" w:rsidR="00647593" w:rsidRDefault="00647593" w:rsidP="006A1A66">
            <w:r>
              <w:t>Negligible</w:t>
            </w:r>
          </w:p>
        </w:tc>
      </w:tr>
      <w:tr w:rsidR="00647593" w14:paraId="7B9AC72B" w14:textId="77777777" w:rsidTr="006A1A66">
        <w:trPr>
          <w:trHeight w:val="565"/>
        </w:trPr>
        <w:tc>
          <w:tcPr>
            <w:tcW w:w="1436" w:type="dxa"/>
            <w:vMerge/>
          </w:tcPr>
          <w:p w14:paraId="7F15CE92" w14:textId="77777777" w:rsidR="00647593" w:rsidRPr="003B7829" w:rsidRDefault="00647593" w:rsidP="006A1A66">
            <w:pPr>
              <w:rPr>
                <w:b/>
                <w:bCs/>
              </w:rPr>
            </w:pPr>
          </w:p>
        </w:tc>
        <w:tc>
          <w:tcPr>
            <w:tcW w:w="1255" w:type="dxa"/>
          </w:tcPr>
          <w:p w14:paraId="02A2A3FB" w14:textId="77777777" w:rsidR="00647593" w:rsidRPr="003B7829" w:rsidRDefault="00647593" w:rsidP="006A1A66">
            <w:pPr>
              <w:rPr>
                <w:b/>
                <w:bCs/>
              </w:rPr>
            </w:pPr>
            <w:r w:rsidRPr="003B7829">
              <w:rPr>
                <w:b/>
                <w:bCs/>
              </w:rPr>
              <w:t>Low</w:t>
            </w:r>
          </w:p>
        </w:tc>
        <w:tc>
          <w:tcPr>
            <w:tcW w:w="1224" w:type="dxa"/>
          </w:tcPr>
          <w:p w14:paraId="34797C92" w14:textId="77777777" w:rsidR="00647593" w:rsidRDefault="00647593" w:rsidP="006A1A66">
            <w:r>
              <w:t>Low</w:t>
            </w:r>
          </w:p>
        </w:tc>
        <w:tc>
          <w:tcPr>
            <w:tcW w:w="1226" w:type="dxa"/>
          </w:tcPr>
          <w:p w14:paraId="33ACC336" w14:textId="77777777" w:rsidR="00647593" w:rsidRDefault="00647593" w:rsidP="006A1A66">
            <w:r>
              <w:t>Low</w:t>
            </w:r>
          </w:p>
        </w:tc>
        <w:tc>
          <w:tcPr>
            <w:tcW w:w="1224" w:type="dxa"/>
          </w:tcPr>
          <w:p w14:paraId="05C9B4C1" w14:textId="77777777" w:rsidR="00647593" w:rsidRDefault="00647593" w:rsidP="006A1A66">
            <w:r>
              <w:t>Very low</w:t>
            </w:r>
          </w:p>
        </w:tc>
        <w:tc>
          <w:tcPr>
            <w:tcW w:w="1224" w:type="dxa"/>
          </w:tcPr>
          <w:p w14:paraId="26280431" w14:textId="77777777" w:rsidR="00647593" w:rsidRDefault="00647593" w:rsidP="006A1A66">
            <w:r>
              <w:t>Very low</w:t>
            </w:r>
          </w:p>
        </w:tc>
        <w:tc>
          <w:tcPr>
            <w:tcW w:w="1251" w:type="dxa"/>
          </w:tcPr>
          <w:p w14:paraId="6835887E" w14:textId="77777777" w:rsidR="00647593" w:rsidRDefault="00647593" w:rsidP="006A1A66">
            <w:r>
              <w:t>Extremely low</w:t>
            </w:r>
          </w:p>
        </w:tc>
        <w:tc>
          <w:tcPr>
            <w:tcW w:w="1211" w:type="dxa"/>
          </w:tcPr>
          <w:p w14:paraId="68C2288E" w14:textId="77777777" w:rsidR="00647593" w:rsidRDefault="00647593" w:rsidP="006A1A66">
            <w:r>
              <w:t>Negligible</w:t>
            </w:r>
          </w:p>
        </w:tc>
      </w:tr>
      <w:tr w:rsidR="00647593" w14:paraId="4779CF62" w14:textId="77777777" w:rsidTr="006A1A66">
        <w:trPr>
          <w:trHeight w:val="565"/>
        </w:trPr>
        <w:tc>
          <w:tcPr>
            <w:tcW w:w="1436" w:type="dxa"/>
            <w:vMerge/>
          </w:tcPr>
          <w:p w14:paraId="7BD7B8EC" w14:textId="77777777" w:rsidR="00647593" w:rsidRPr="003B7829" w:rsidRDefault="00647593" w:rsidP="006A1A66">
            <w:pPr>
              <w:rPr>
                <w:b/>
                <w:bCs/>
              </w:rPr>
            </w:pPr>
          </w:p>
        </w:tc>
        <w:tc>
          <w:tcPr>
            <w:tcW w:w="1255" w:type="dxa"/>
          </w:tcPr>
          <w:p w14:paraId="1DDE4320" w14:textId="77777777" w:rsidR="00647593" w:rsidRPr="003B7829" w:rsidRDefault="00647593" w:rsidP="006A1A66">
            <w:pPr>
              <w:rPr>
                <w:b/>
                <w:bCs/>
              </w:rPr>
            </w:pPr>
            <w:r>
              <w:rPr>
                <w:b/>
                <w:bCs/>
              </w:rPr>
              <w:t>V</w:t>
            </w:r>
            <w:r w:rsidRPr="003B7829">
              <w:rPr>
                <w:b/>
                <w:bCs/>
              </w:rPr>
              <w:t>ery low</w:t>
            </w:r>
          </w:p>
        </w:tc>
        <w:tc>
          <w:tcPr>
            <w:tcW w:w="1224" w:type="dxa"/>
          </w:tcPr>
          <w:p w14:paraId="72C1F32C" w14:textId="77777777" w:rsidR="00647593" w:rsidRDefault="00647593" w:rsidP="006A1A66">
            <w:r>
              <w:t>Very low</w:t>
            </w:r>
          </w:p>
        </w:tc>
        <w:tc>
          <w:tcPr>
            <w:tcW w:w="1226" w:type="dxa"/>
          </w:tcPr>
          <w:p w14:paraId="159AC2F1" w14:textId="77777777" w:rsidR="00647593" w:rsidRDefault="00647593" w:rsidP="006A1A66">
            <w:r>
              <w:t>Very low</w:t>
            </w:r>
          </w:p>
        </w:tc>
        <w:tc>
          <w:tcPr>
            <w:tcW w:w="1224" w:type="dxa"/>
          </w:tcPr>
          <w:p w14:paraId="6D355703" w14:textId="77777777" w:rsidR="00647593" w:rsidRDefault="00647593" w:rsidP="006A1A66">
            <w:r>
              <w:t>Very low</w:t>
            </w:r>
          </w:p>
        </w:tc>
        <w:tc>
          <w:tcPr>
            <w:tcW w:w="1224" w:type="dxa"/>
          </w:tcPr>
          <w:p w14:paraId="32580886" w14:textId="77777777" w:rsidR="00647593" w:rsidRDefault="00647593" w:rsidP="006A1A66">
            <w:r>
              <w:t>Extremely low</w:t>
            </w:r>
          </w:p>
        </w:tc>
        <w:tc>
          <w:tcPr>
            <w:tcW w:w="1251" w:type="dxa"/>
          </w:tcPr>
          <w:p w14:paraId="764BCF06" w14:textId="77777777" w:rsidR="00647593" w:rsidRDefault="00647593" w:rsidP="006A1A66">
            <w:r>
              <w:t>Extremely low</w:t>
            </w:r>
          </w:p>
        </w:tc>
        <w:tc>
          <w:tcPr>
            <w:tcW w:w="1211" w:type="dxa"/>
          </w:tcPr>
          <w:p w14:paraId="55520AEB" w14:textId="77777777" w:rsidR="00647593" w:rsidRDefault="00647593" w:rsidP="006A1A66">
            <w:r>
              <w:t>Negligible</w:t>
            </w:r>
          </w:p>
        </w:tc>
      </w:tr>
      <w:tr w:rsidR="00647593" w14:paraId="239938CD" w14:textId="77777777" w:rsidTr="006A1A66">
        <w:trPr>
          <w:trHeight w:val="551"/>
        </w:trPr>
        <w:tc>
          <w:tcPr>
            <w:tcW w:w="1436" w:type="dxa"/>
            <w:vMerge/>
          </w:tcPr>
          <w:p w14:paraId="2715BFAA" w14:textId="77777777" w:rsidR="00647593" w:rsidRPr="003B7829" w:rsidRDefault="00647593" w:rsidP="006A1A66">
            <w:pPr>
              <w:rPr>
                <w:b/>
                <w:bCs/>
              </w:rPr>
            </w:pPr>
          </w:p>
        </w:tc>
        <w:tc>
          <w:tcPr>
            <w:tcW w:w="1255" w:type="dxa"/>
          </w:tcPr>
          <w:p w14:paraId="0866A72A" w14:textId="77777777" w:rsidR="00647593" w:rsidRPr="003B7829" w:rsidRDefault="00647593" w:rsidP="006A1A66">
            <w:pPr>
              <w:rPr>
                <w:b/>
                <w:bCs/>
              </w:rPr>
            </w:pPr>
            <w:r>
              <w:rPr>
                <w:b/>
                <w:bCs/>
              </w:rPr>
              <w:t>E</w:t>
            </w:r>
            <w:r w:rsidRPr="003B7829">
              <w:rPr>
                <w:b/>
                <w:bCs/>
              </w:rPr>
              <w:t>xtremely low</w:t>
            </w:r>
          </w:p>
        </w:tc>
        <w:tc>
          <w:tcPr>
            <w:tcW w:w="1224" w:type="dxa"/>
          </w:tcPr>
          <w:p w14:paraId="6527B7E5" w14:textId="77777777" w:rsidR="00647593" w:rsidRDefault="00647593" w:rsidP="006A1A66">
            <w:r>
              <w:t>Extremely low</w:t>
            </w:r>
          </w:p>
        </w:tc>
        <w:tc>
          <w:tcPr>
            <w:tcW w:w="1226" w:type="dxa"/>
          </w:tcPr>
          <w:p w14:paraId="3FC6AA87" w14:textId="77777777" w:rsidR="00647593" w:rsidRDefault="00647593" w:rsidP="006A1A66">
            <w:r>
              <w:t>Extremely low</w:t>
            </w:r>
          </w:p>
        </w:tc>
        <w:tc>
          <w:tcPr>
            <w:tcW w:w="1224" w:type="dxa"/>
          </w:tcPr>
          <w:p w14:paraId="4388CAD2" w14:textId="77777777" w:rsidR="00647593" w:rsidRDefault="00647593" w:rsidP="006A1A66">
            <w:r>
              <w:t>Extremely low</w:t>
            </w:r>
          </w:p>
        </w:tc>
        <w:tc>
          <w:tcPr>
            <w:tcW w:w="1224" w:type="dxa"/>
          </w:tcPr>
          <w:p w14:paraId="71D9A298" w14:textId="77777777" w:rsidR="00647593" w:rsidRDefault="00647593" w:rsidP="006A1A66">
            <w:r>
              <w:t>Extremely low</w:t>
            </w:r>
          </w:p>
        </w:tc>
        <w:tc>
          <w:tcPr>
            <w:tcW w:w="1251" w:type="dxa"/>
          </w:tcPr>
          <w:p w14:paraId="453F85EC" w14:textId="77777777" w:rsidR="00647593" w:rsidRDefault="00647593" w:rsidP="006A1A66">
            <w:r>
              <w:t>Negligible</w:t>
            </w:r>
          </w:p>
        </w:tc>
        <w:tc>
          <w:tcPr>
            <w:tcW w:w="1211" w:type="dxa"/>
          </w:tcPr>
          <w:p w14:paraId="31018D5F" w14:textId="77777777" w:rsidR="00647593" w:rsidRDefault="00647593" w:rsidP="006A1A66">
            <w:r>
              <w:t>Negligible</w:t>
            </w:r>
          </w:p>
        </w:tc>
      </w:tr>
      <w:tr w:rsidR="00647593" w14:paraId="6408F864" w14:textId="77777777" w:rsidTr="006A1A66">
        <w:trPr>
          <w:trHeight w:val="282"/>
        </w:trPr>
        <w:tc>
          <w:tcPr>
            <w:tcW w:w="1436" w:type="dxa"/>
            <w:vMerge/>
          </w:tcPr>
          <w:p w14:paraId="4824C84B" w14:textId="77777777" w:rsidR="00647593" w:rsidRPr="003B7829" w:rsidRDefault="00647593" w:rsidP="006A1A66">
            <w:pPr>
              <w:rPr>
                <w:b/>
                <w:bCs/>
              </w:rPr>
            </w:pPr>
          </w:p>
        </w:tc>
        <w:tc>
          <w:tcPr>
            <w:tcW w:w="1255" w:type="dxa"/>
          </w:tcPr>
          <w:p w14:paraId="4624CB73" w14:textId="77777777" w:rsidR="00647593" w:rsidRPr="003B7829" w:rsidRDefault="00647593" w:rsidP="006A1A66">
            <w:pPr>
              <w:rPr>
                <w:b/>
                <w:bCs/>
              </w:rPr>
            </w:pPr>
            <w:r>
              <w:rPr>
                <w:b/>
                <w:bCs/>
              </w:rPr>
              <w:t>N</w:t>
            </w:r>
            <w:r w:rsidRPr="003B7829">
              <w:rPr>
                <w:b/>
                <w:bCs/>
              </w:rPr>
              <w:t>egligible</w:t>
            </w:r>
          </w:p>
        </w:tc>
        <w:tc>
          <w:tcPr>
            <w:tcW w:w="1224" w:type="dxa"/>
          </w:tcPr>
          <w:p w14:paraId="0C9DCB54" w14:textId="77777777" w:rsidR="00647593" w:rsidRDefault="00647593" w:rsidP="006A1A66">
            <w:r>
              <w:t>Negligible</w:t>
            </w:r>
          </w:p>
        </w:tc>
        <w:tc>
          <w:tcPr>
            <w:tcW w:w="1226" w:type="dxa"/>
          </w:tcPr>
          <w:p w14:paraId="1C8E131C" w14:textId="77777777" w:rsidR="00647593" w:rsidRDefault="00647593" w:rsidP="006A1A66">
            <w:r>
              <w:t>Negligible</w:t>
            </w:r>
          </w:p>
        </w:tc>
        <w:tc>
          <w:tcPr>
            <w:tcW w:w="1224" w:type="dxa"/>
          </w:tcPr>
          <w:p w14:paraId="117FD87D" w14:textId="77777777" w:rsidR="00647593" w:rsidRDefault="00647593" w:rsidP="006A1A66">
            <w:r>
              <w:t>Negligible</w:t>
            </w:r>
          </w:p>
        </w:tc>
        <w:tc>
          <w:tcPr>
            <w:tcW w:w="1224" w:type="dxa"/>
          </w:tcPr>
          <w:p w14:paraId="70A0F98A" w14:textId="77777777" w:rsidR="00647593" w:rsidRDefault="00647593" w:rsidP="006A1A66">
            <w:r>
              <w:t>Negligible</w:t>
            </w:r>
          </w:p>
        </w:tc>
        <w:tc>
          <w:tcPr>
            <w:tcW w:w="1251" w:type="dxa"/>
          </w:tcPr>
          <w:p w14:paraId="6A9223EF" w14:textId="77777777" w:rsidR="00647593" w:rsidRDefault="00647593" w:rsidP="006A1A66">
            <w:r>
              <w:t>Negligible</w:t>
            </w:r>
          </w:p>
        </w:tc>
        <w:tc>
          <w:tcPr>
            <w:tcW w:w="1211" w:type="dxa"/>
          </w:tcPr>
          <w:p w14:paraId="03796AF5" w14:textId="77777777" w:rsidR="00647593" w:rsidRDefault="00647593" w:rsidP="006A1A66">
            <w:r>
              <w:t>Negligible</w:t>
            </w:r>
          </w:p>
        </w:tc>
      </w:tr>
    </w:tbl>
    <w:p w14:paraId="472E07CB" w14:textId="77777777" w:rsidR="00647593" w:rsidRDefault="00647593" w:rsidP="00647593"/>
    <w:p w14:paraId="4BEDCD10" w14:textId="77777777" w:rsidR="00647593" w:rsidRPr="003B7829" w:rsidRDefault="00647593" w:rsidP="00647593">
      <w:pPr>
        <w:rPr>
          <w:b/>
          <w:bCs/>
        </w:rPr>
      </w:pPr>
      <w:r w:rsidRPr="003B7829">
        <w:rPr>
          <w:b/>
          <w:bCs/>
        </w:rPr>
        <w:t>Entry and establishment</w:t>
      </w:r>
    </w:p>
    <w:p w14:paraId="7CE0C23D" w14:textId="77777777" w:rsidR="00647593" w:rsidRDefault="00647593" w:rsidP="00647593">
      <w:pPr>
        <w:pStyle w:val="ListParagraph"/>
        <w:numPr>
          <w:ilvl w:val="0"/>
          <w:numId w:val="6"/>
        </w:numPr>
      </w:pPr>
      <w:r>
        <w:t xml:space="preserve">Pest-X has a Low likelihood of entering Australia. </w:t>
      </w:r>
    </w:p>
    <w:p w14:paraId="55889FC9" w14:textId="77777777" w:rsidR="00647593" w:rsidRDefault="00647593" w:rsidP="00647593">
      <w:pPr>
        <w:pStyle w:val="ListParagraph"/>
        <w:numPr>
          <w:ilvl w:val="0"/>
          <w:numId w:val="6"/>
        </w:numPr>
      </w:pPr>
      <w:r>
        <w:t>The likelihood of Pest-X establishing in Australia is High.</w:t>
      </w:r>
    </w:p>
    <w:p w14:paraId="7566C526" w14:textId="77777777" w:rsidR="00647593" w:rsidRDefault="00647593" w:rsidP="00647593">
      <w:pPr>
        <w:pStyle w:val="ListParagraph"/>
        <w:numPr>
          <w:ilvl w:val="0"/>
          <w:numId w:val="6"/>
        </w:numPr>
      </w:pPr>
      <w:r>
        <w:t>Therefore, using the table below, the likelihood of Pest-X entering and establishing in Australia is Low.</w:t>
      </w:r>
    </w:p>
    <w:p w14:paraId="02A62890" w14:textId="77777777" w:rsidR="00647593" w:rsidRDefault="00647593" w:rsidP="00647593"/>
    <w:tbl>
      <w:tblPr>
        <w:tblStyle w:val="TableGrid"/>
        <w:tblW w:w="10054" w:type="dxa"/>
        <w:tblLook w:val="04A0" w:firstRow="1" w:lastRow="0" w:firstColumn="1" w:lastColumn="0" w:noHBand="0" w:noVBand="1"/>
      </w:tblPr>
      <w:tblGrid>
        <w:gridCol w:w="1623"/>
        <w:gridCol w:w="1229"/>
        <w:gridCol w:w="1197"/>
        <w:gridCol w:w="1199"/>
        <w:gridCol w:w="1197"/>
        <w:gridCol w:w="1197"/>
        <w:gridCol w:w="1223"/>
        <w:gridCol w:w="1189"/>
      </w:tblGrid>
      <w:tr w:rsidR="00647593" w:rsidRPr="003B7829" w14:paraId="6ABE6DD8" w14:textId="77777777" w:rsidTr="006A1A66">
        <w:trPr>
          <w:trHeight w:val="270"/>
        </w:trPr>
        <w:tc>
          <w:tcPr>
            <w:tcW w:w="2852" w:type="dxa"/>
            <w:gridSpan w:val="2"/>
            <w:vMerge w:val="restart"/>
          </w:tcPr>
          <w:p w14:paraId="3B6EC333" w14:textId="77777777" w:rsidR="00647593" w:rsidRDefault="00647593" w:rsidP="006A1A66"/>
        </w:tc>
        <w:tc>
          <w:tcPr>
            <w:tcW w:w="7202" w:type="dxa"/>
            <w:gridSpan w:val="6"/>
          </w:tcPr>
          <w:p w14:paraId="23435FC9" w14:textId="77777777" w:rsidR="00647593" w:rsidRPr="003B7829" w:rsidRDefault="00647593" w:rsidP="006A1A66">
            <w:pPr>
              <w:rPr>
                <w:b/>
                <w:bCs/>
              </w:rPr>
            </w:pPr>
            <w:r>
              <w:rPr>
                <w:b/>
                <w:bCs/>
              </w:rPr>
              <w:t>Entry</w:t>
            </w:r>
            <w:r w:rsidRPr="003B7829">
              <w:rPr>
                <w:b/>
                <w:bCs/>
              </w:rPr>
              <w:t xml:space="preserve"> likelihood</w:t>
            </w:r>
          </w:p>
        </w:tc>
      </w:tr>
      <w:tr w:rsidR="00647593" w:rsidRPr="003B7829" w14:paraId="369944F6" w14:textId="77777777" w:rsidTr="006A1A66">
        <w:trPr>
          <w:trHeight w:val="566"/>
        </w:trPr>
        <w:tc>
          <w:tcPr>
            <w:tcW w:w="2852" w:type="dxa"/>
            <w:gridSpan w:val="2"/>
            <w:vMerge/>
          </w:tcPr>
          <w:p w14:paraId="2688F0C8" w14:textId="77777777" w:rsidR="00647593" w:rsidRDefault="00647593" w:rsidP="006A1A66"/>
        </w:tc>
        <w:tc>
          <w:tcPr>
            <w:tcW w:w="1197" w:type="dxa"/>
          </w:tcPr>
          <w:p w14:paraId="6E89DF0D" w14:textId="77777777" w:rsidR="00647593" w:rsidRPr="003B7829" w:rsidRDefault="00647593" w:rsidP="006A1A66">
            <w:pPr>
              <w:rPr>
                <w:b/>
                <w:bCs/>
              </w:rPr>
            </w:pPr>
            <w:r>
              <w:rPr>
                <w:b/>
                <w:bCs/>
              </w:rPr>
              <w:t>H</w:t>
            </w:r>
            <w:r w:rsidRPr="003B7829">
              <w:rPr>
                <w:b/>
                <w:bCs/>
              </w:rPr>
              <w:t>igh</w:t>
            </w:r>
          </w:p>
        </w:tc>
        <w:tc>
          <w:tcPr>
            <w:tcW w:w="1199" w:type="dxa"/>
          </w:tcPr>
          <w:p w14:paraId="3A3EF0FB" w14:textId="77777777" w:rsidR="00647593" w:rsidRPr="003B7829" w:rsidRDefault="00647593" w:rsidP="006A1A66">
            <w:pPr>
              <w:rPr>
                <w:b/>
                <w:bCs/>
              </w:rPr>
            </w:pPr>
            <w:r>
              <w:rPr>
                <w:b/>
                <w:bCs/>
              </w:rPr>
              <w:t>M</w:t>
            </w:r>
            <w:r w:rsidRPr="003B7829">
              <w:rPr>
                <w:b/>
                <w:bCs/>
              </w:rPr>
              <w:t>oderate</w:t>
            </w:r>
          </w:p>
        </w:tc>
        <w:tc>
          <w:tcPr>
            <w:tcW w:w="1197" w:type="dxa"/>
          </w:tcPr>
          <w:p w14:paraId="1BAF9F62" w14:textId="77777777" w:rsidR="00647593" w:rsidRPr="003B7829" w:rsidRDefault="00647593" w:rsidP="006A1A66">
            <w:pPr>
              <w:rPr>
                <w:b/>
                <w:bCs/>
              </w:rPr>
            </w:pPr>
            <w:r>
              <w:rPr>
                <w:b/>
                <w:bCs/>
              </w:rPr>
              <w:t>L</w:t>
            </w:r>
            <w:r w:rsidRPr="003B7829">
              <w:rPr>
                <w:b/>
                <w:bCs/>
              </w:rPr>
              <w:t>ow</w:t>
            </w:r>
          </w:p>
        </w:tc>
        <w:tc>
          <w:tcPr>
            <w:tcW w:w="1197" w:type="dxa"/>
          </w:tcPr>
          <w:p w14:paraId="3B82300B" w14:textId="77777777" w:rsidR="00647593" w:rsidRPr="003B7829" w:rsidRDefault="00647593" w:rsidP="006A1A66">
            <w:pPr>
              <w:rPr>
                <w:b/>
                <w:bCs/>
              </w:rPr>
            </w:pPr>
            <w:r w:rsidRPr="003B7829">
              <w:rPr>
                <w:b/>
                <w:bCs/>
              </w:rPr>
              <w:t>Very low</w:t>
            </w:r>
          </w:p>
        </w:tc>
        <w:tc>
          <w:tcPr>
            <w:tcW w:w="1223" w:type="dxa"/>
          </w:tcPr>
          <w:p w14:paraId="0C79EDBE" w14:textId="77777777" w:rsidR="00647593" w:rsidRPr="003B7829" w:rsidRDefault="00647593" w:rsidP="006A1A66">
            <w:pPr>
              <w:rPr>
                <w:b/>
                <w:bCs/>
              </w:rPr>
            </w:pPr>
            <w:r w:rsidRPr="003B7829">
              <w:rPr>
                <w:b/>
                <w:bCs/>
              </w:rPr>
              <w:t>Extremely low</w:t>
            </w:r>
          </w:p>
        </w:tc>
        <w:tc>
          <w:tcPr>
            <w:tcW w:w="1185" w:type="dxa"/>
          </w:tcPr>
          <w:p w14:paraId="3CA23A09" w14:textId="77777777" w:rsidR="00647593" w:rsidRPr="003B7829" w:rsidRDefault="00647593" w:rsidP="006A1A66">
            <w:pPr>
              <w:rPr>
                <w:b/>
                <w:bCs/>
              </w:rPr>
            </w:pPr>
            <w:r>
              <w:rPr>
                <w:b/>
                <w:bCs/>
              </w:rPr>
              <w:t>N</w:t>
            </w:r>
            <w:r w:rsidRPr="003B7829">
              <w:rPr>
                <w:b/>
                <w:bCs/>
              </w:rPr>
              <w:t>egligible</w:t>
            </w:r>
          </w:p>
        </w:tc>
      </w:tr>
      <w:tr w:rsidR="00647593" w14:paraId="07C0844B" w14:textId="77777777" w:rsidTr="006A1A66">
        <w:trPr>
          <w:trHeight w:val="552"/>
        </w:trPr>
        <w:tc>
          <w:tcPr>
            <w:tcW w:w="1623" w:type="dxa"/>
            <w:vMerge w:val="restart"/>
          </w:tcPr>
          <w:p w14:paraId="30F7551B" w14:textId="77777777" w:rsidR="00647593" w:rsidRPr="003B7829" w:rsidRDefault="00647593" w:rsidP="006A1A66">
            <w:pPr>
              <w:rPr>
                <w:b/>
                <w:bCs/>
              </w:rPr>
            </w:pPr>
            <w:r>
              <w:rPr>
                <w:b/>
                <w:bCs/>
              </w:rPr>
              <w:t>Establishment</w:t>
            </w:r>
            <w:r w:rsidRPr="003B7829">
              <w:rPr>
                <w:b/>
                <w:bCs/>
              </w:rPr>
              <w:t xml:space="preserve"> likelihood</w:t>
            </w:r>
          </w:p>
        </w:tc>
        <w:tc>
          <w:tcPr>
            <w:tcW w:w="1228" w:type="dxa"/>
          </w:tcPr>
          <w:p w14:paraId="1B88A814" w14:textId="77777777" w:rsidR="00647593" w:rsidRPr="003B7829" w:rsidRDefault="00647593" w:rsidP="006A1A66">
            <w:pPr>
              <w:rPr>
                <w:b/>
                <w:bCs/>
              </w:rPr>
            </w:pPr>
            <w:r w:rsidRPr="003B7829">
              <w:rPr>
                <w:b/>
                <w:bCs/>
              </w:rPr>
              <w:t>High</w:t>
            </w:r>
          </w:p>
        </w:tc>
        <w:tc>
          <w:tcPr>
            <w:tcW w:w="1197" w:type="dxa"/>
          </w:tcPr>
          <w:p w14:paraId="64A4D4BD" w14:textId="77777777" w:rsidR="00647593" w:rsidRDefault="00647593" w:rsidP="006A1A66">
            <w:r>
              <w:t>High</w:t>
            </w:r>
          </w:p>
        </w:tc>
        <w:tc>
          <w:tcPr>
            <w:tcW w:w="1199" w:type="dxa"/>
          </w:tcPr>
          <w:p w14:paraId="22824FD2" w14:textId="77777777" w:rsidR="00647593" w:rsidRDefault="00647593" w:rsidP="006A1A66">
            <w:r>
              <w:t>Moderate</w:t>
            </w:r>
          </w:p>
        </w:tc>
        <w:tc>
          <w:tcPr>
            <w:tcW w:w="1197" w:type="dxa"/>
          </w:tcPr>
          <w:p w14:paraId="7C3CFA1C" w14:textId="77777777" w:rsidR="00647593" w:rsidRDefault="00647593" w:rsidP="006A1A66">
            <w:r>
              <w:t>Low</w:t>
            </w:r>
          </w:p>
        </w:tc>
        <w:tc>
          <w:tcPr>
            <w:tcW w:w="1197" w:type="dxa"/>
          </w:tcPr>
          <w:p w14:paraId="4A5407AC" w14:textId="77777777" w:rsidR="00647593" w:rsidRDefault="00647593" w:rsidP="006A1A66">
            <w:r>
              <w:t>Very low</w:t>
            </w:r>
          </w:p>
        </w:tc>
        <w:tc>
          <w:tcPr>
            <w:tcW w:w="1223" w:type="dxa"/>
          </w:tcPr>
          <w:p w14:paraId="14B722EF" w14:textId="77777777" w:rsidR="00647593" w:rsidRDefault="00647593" w:rsidP="006A1A66">
            <w:r>
              <w:t>Extremely low</w:t>
            </w:r>
          </w:p>
        </w:tc>
        <w:tc>
          <w:tcPr>
            <w:tcW w:w="1185" w:type="dxa"/>
          </w:tcPr>
          <w:p w14:paraId="50C3EF4F" w14:textId="77777777" w:rsidR="00647593" w:rsidRDefault="00647593" w:rsidP="006A1A66">
            <w:r>
              <w:t>negligible</w:t>
            </w:r>
          </w:p>
        </w:tc>
      </w:tr>
      <w:tr w:rsidR="00647593" w14:paraId="2F541BD7" w14:textId="77777777" w:rsidTr="006A1A66">
        <w:trPr>
          <w:trHeight w:val="552"/>
        </w:trPr>
        <w:tc>
          <w:tcPr>
            <w:tcW w:w="1623" w:type="dxa"/>
            <w:vMerge/>
          </w:tcPr>
          <w:p w14:paraId="7F9FD582" w14:textId="77777777" w:rsidR="00647593" w:rsidRPr="003B7829" w:rsidRDefault="00647593" w:rsidP="006A1A66">
            <w:pPr>
              <w:rPr>
                <w:b/>
                <w:bCs/>
              </w:rPr>
            </w:pPr>
          </w:p>
        </w:tc>
        <w:tc>
          <w:tcPr>
            <w:tcW w:w="1228" w:type="dxa"/>
          </w:tcPr>
          <w:p w14:paraId="31CED922" w14:textId="77777777" w:rsidR="00647593" w:rsidRPr="003B7829" w:rsidRDefault="00647593" w:rsidP="006A1A66">
            <w:pPr>
              <w:rPr>
                <w:b/>
                <w:bCs/>
              </w:rPr>
            </w:pPr>
            <w:r w:rsidRPr="003B7829">
              <w:rPr>
                <w:b/>
                <w:bCs/>
              </w:rPr>
              <w:t>Moderate</w:t>
            </w:r>
          </w:p>
        </w:tc>
        <w:tc>
          <w:tcPr>
            <w:tcW w:w="1197" w:type="dxa"/>
          </w:tcPr>
          <w:p w14:paraId="676CBF65" w14:textId="77777777" w:rsidR="00647593" w:rsidRDefault="00647593" w:rsidP="006A1A66">
            <w:r>
              <w:t>Moderate</w:t>
            </w:r>
          </w:p>
        </w:tc>
        <w:tc>
          <w:tcPr>
            <w:tcW w:w="1199" w:type="dxa"/>
          </w:tcPr>
          <w:p w14:paraId="51F781EC" w14:textId="77777777" w:rsidR="00647593" w:rsidRDefault="00647593" w:rsidP="006A1A66">
            <w:r>
              <w:t>Low</w:t>
            </w:r>
          </w:p>
        </w:tc>
        <w:tc>
          <w:tcPr>
            <w:tcW w:w="1197" w:type="dxa"/>
          </w:tcPr>
          <w:p w14:paraId="1F401AB8" w14:textId="77777777" w:rsidR="00647593" w:rsidRDefault="00647593" w:rsidP="006A1A66">
            <w:r>
              <w:t>Low</w:t>
            </w:r>
          </w:p>
        </w:tc>
        <w:tc>
          <w:tcPr>
            <w:tcW w:w="1197" w:type="dxa"/>
          </w:tcPr>
          <w:p w14:paraId="794DD277" w14:textId="77777777" w:rsidR="00647593" w:rsidRDefault="00647593" w:rsidP="006A1A66">
            <w:r>
              <w:t>Very low</w:t>
            </w:r>
          </w:p>
        </w:tc>
        <w:tc>
          <w:tcPr>
            <w:tcW w:w="1223" w:type="dxa"/>
          </w:tcPr>
          <w:p w14:paraId="39902654" w14:textId="77777777" w:rsidR="00647593" w:rsidRDefault="00647593" w:rsidP="006A1A66">
            <w:r>
              <w:t>Extremely low</w:t>
            </w:r>
          </w:p>
        </w:tc>
        <w:tc>
          <w:tcPr>
            <w:tcW w:w="1185" w:type="dxa"/>
          </w:tcPr>
          <w:p w14:paraId="6A1B2B2C" w14:textId="77777777" w:rsidR="00647593" w:rsidRDefault="00647593" w:rsidP="006A1A66">
            <w:r>
              <w:t>Negligible</w:t>
            </w:r>
          </w:p>
        </w:tc>
      </w:tr>
      <w:tr w:rsidR="00647593" w14:paraId="1DAF3DBE" w14:textId="77777777" w:rsidTr="006A1A66">
        <w:trPr>
          <w:trHeight w:val="566"/>
        </w:trPr>
        <w:tc>
          <w:tcPr>
            <w:tcW w:w="1623" w:type="dxa"/>
            <w:vMerge/>
          </w:tcPr>
          <w:p w14:paraId="48BCCD50" w14:textId="77777777" w:rsidR="00647593" w:rsidRPr="003B7829" w:rsidRDefault="00647593" w:rsidP="006A1A66">
            <w:pPr>
              <w:rPr>
                <w:b/>
                <w:bCs/>
              </w:rPr>
            </w:pPr>
          </w:p>
        </w:tc>
        <w:tc>
          <w:tcPr>
            <w:tcW w:w="1228" w:type="dxa"/>
          </w:tcPr>
          <w:p w14:paraId="0E1D5779" w14:textId="77777777" w:rsidR="00647593" w:rsidRPr="003B7829" w:rsidRDefault="00647593" w:rsidP="006A1A66">
            <w:pPr>
              <w:rPr>
                <w:b/>
                <w:bCs/>
              </w:rPr>
            </w:pPr>
            <w:r w:rsidRPr="003B7829">
              <w:rPr>
                <w:b/>
                <w:bCs/>
              </w:rPr>
              <w:t>Low</w:t>
            </w:r>
          </w:p>
        </w:tc>
        <w:tc>
          <w:tcPr>
            <w:tcW w:w="1197" w:type="dxa"/>
          </w:tcPr>
          <w:p w14:paraId="16B17588" w14:textId="77777777" w:rsidR="00647593" w:rsidRDefault="00647593" w:rsidP="006A1A66">
            <w:r>
              <w:t>Low</w:t>
            </w:r>
          </w:p>
        </w:tc>
        <w:tc>
          <w:tcPr>
            <w:tcW w:w="1199" w:type="dxa"/>
          </w:tcPr>
          <w:p w14:paraId="30F69B34" w14:textId="77777777" w:rsidR="00647593" w:rsidRDefault="00647593" w:rsidP="006A1A66">
            <w:r>
              <w:t>Low</w:t>
            </w:r>
          </w:p>
        </w:tc>
        <w:tc>
          <w:tcPr>
            <w:tcW w:w="1197" w:type="dxa"/>
          </w:tcPr>
          <w:p w14:paraId="7FACE796" w14:textId="77777777" w:rsidR="00647593" w:rsidRDefault="00647593" w:rsidP="006A1A66">
            <w:r>
              <w:t>Very low</w:t>
            </w:r>
          </w:p>
        </w:tc>
        <w:tc>
          <w:tcPr>
            <w:tcW w:w="1197" w:type="dxa"/>
          </w:tcPr>
          <w:p w14:paraId="273D738F" w14:textId="77777777" w:rsidR="00647593" w:rsidRDefault="00647593" w:rsidP="006A1A66">
            <w:r>
              <w:t>Very low</w:t>
            </w:r>
          </w:p>
        </w:tc>
        <w:tc>
          <w:tcPr>
            <w:tcW w:w="1223" w:type="dxa"/>
          </w:tcPr>
          <w:p w14:paraId="7B86F768" w14:textId="77777777" w:rsidR="00647593" w:rsidRDefault="00647593" w:rsidP="006A1A66">
            <w:r>
              <w:t>Extremely low</w:t>
            </w:r>
          </w:p>
        </w:tc>
        <w:tc>
          <w:tcPr>
            <w:tcW w:w="1185" w:type="dxa"/>
          </w:tcPr>
          <w:p w14:paraId="03CE5569" w14:textId="77777777" w:rsidR="00647593" w:rsidRDefault="00647593" w:rsidP="006A1A66">
            <w:r>
              <w:t>Negligible</w:t>
            </w:r>
          </w:p>
        </w:tc>
      </w:tr>
      <w:tr w:rsidR="00647593" w14:paraId="3B981C45" w14:textId="77777777" w:rsidTr="006A1A66">
        <w:trPr>
          <w:trHeight w:val="566"/>
        </w:trPr>
        <w:tc>
          <w:tcPr>
            <w:tcW w:w="1623" w:type="dxa"/>
            <w:vMerge/>
          </w:tcPr>
          <w:p w14:paraId="66E05606" w14:textId="77777777" w:rsidR="00647593" w:rsidRPr="003B7829" w:rsidRDefault="00647593" w:rsidP="006A1A66">
            <w:pPr>
              <w:rPr>
                <w:b/>
                <w:bCs/>
              </w:rPr>
            </w:pPr>
          </w:p>
        </w:tc>
        <w:tc>
          <w:tcPr>
            <w:tcW w:w="1228" w:type="dxa"/>
          </w:tcPr>
          <w:p w14:paraId="47510044" w14:textId="77777777" w:rsidR="00647593" w:rsidRPr="003B7829" w:rsidRDefault="00647593" w:rsidP="006A1A66">
            <w:pPr>
              <w:rPr>
                <w:b/>
                <w:bCs/>
              </w:rPr>
            </w:pPr>
            <w:r>
              <w:rPr>
                <w:b/>
                <w:bCs/>
              </w:rPr>
              <w:t>V</w:t>
            </w:r>
            <w:r w:rsidRPr="003B7829">
              <w:rPr>
                <w:b/>
                <w:bCs/>
              </w:rPr>
              <w:t>ery low</w:t>
            </w:r>
          </w:p>
        </w:tc>
        <w:tc>
          <w:tcPr>
            <w:tcW w:w="1197" w:type="dxa"/>
          </w:tcPr>
          <w:p w14:paraId="0984139D" w14:textId="77777777" w:rsidR="00647593" w:rsidRDefault="00647593" w:rsidP="006A1A66">
            <w:r>
              <w:t>Very low</w:t>
            </w:r>
          </w:p>
        </w:tc>
        <w:tc>
          <w:tcPr>
            <w:tcW w:w="1199" w:type="dxa"/>
          </w:tcPr>
          <w:p w14:paraId="2AF11885" w14:textId="77777777" w:rsidR="00647593" w:rsidRDefault="00647593" w:rsidP="006A1A66">
            <w:r>
              <w:t>Very low</w:t>
            </w:r>
          </w:p>
        </w:tc>
        <w:tc>
          <w:tcPr>
            <w:tcW w:w="1197" w:type="dxa"/>
          </w:tcPr>
          <w:p w14:paraId="7E467FC7" w14:textId="77777777" w:rsidR="00647593" w:rsidRDefault="00647593" w:rsidP="006A1A66">
            <w:r>
              <w:t>Very low</w:t>
            </w:r>
          </w:p>
        </w:tc>
        <w:tc>
          <w:tcPr>
            <w:tcW w:w="1197" w:type="dxa"/>
          </w:tcPr>
          <w:p w14:paraId="71A0F0D9" w14:textId="77777777" w:rsidR="00647593" w:rsidRDefault="00647593" w:rsidP="006A1A66">
            <w:r>
              <w:t>Extremely low</w:t>
            </w:r>
          </w:p>
        </w:tc>
        <w:tc>
          <w:tcPr>
            <w:tcW w:w="1223" w:type="dxa"/>
          </w:tcPr>
          <w:p w14:paraId="4644A2E7" w14:textId="77777777" w:rsidR="00647593" w:rsidRDefault="00647593" w:rsidP="006A1A66">
            <w:r>
              <w:t>Extremely low</w:t>
            </w:r>
          </w:p>
        </w:tc>
        <w:tc>
          <w:tcPr>
            <w:tcW w:w="1185" w:type="dxa"/>
          </w:tcPr>
          <w:p w14:paraId="522A4B50" w14:textId="77777777" w:rsidR="00647593" w:rsidRDefault="00647593" w:rsidP="006A1A66">
            <w:r>
              <w:t>Negligible</w:t>
            </w:r>
          </w:p>
        </w:tc>
      </w:tr>
      <w:tr w:rsidR="00647593" w14:paraId="498A12E1" w14:textId="77777777" w:rsidTr="006A1A66">
        <w:trPr>
          <w:trHeight w:val="552"/>
        </w:trPr>
        <w:tc>
          <w:tcPr>
            <w:tcW w:w="1623" w:type="dxa"/>
            <w:vMerge/>
          </w:tcPr>
          <w:p w14:paraId="55816599" w14:textId="77777777" w:rsidR="00647593" w:rsidRPr="003B7829" w:rsidRDefault="00647593" w:rsidP="006A1A66">
            <w:pPr>
              <w:rPr>
                <w:b/>
                <w:bCs/>
              </w:rPr>
            </w:pPr>
          </w:p>
        </w:tc>
        <w:tc>
          <w:tcPr>
            <w:tcW w:w="1228" w:type="dxa"/>
          </w:tcPr>
          <w:p w14:paraId="602372F3" w14:textId="77777777" w:rsidR="00647593" w:rsidRPr="003B7829" w:rsidRDefault="00647593" w:rsidP="006A1A66">
            <w:pPr>
              <w:rPr>
                <w:b/>
                <w:bCs/>
              </w:rPr>
            </w:pPr>
            <w:r>
              <w:rPr>
                <w:b/>
                <w:bCs/>
              </w:rPr>
              <w:t>E</w:t>
            </w:r>
            <w:r w:rsidRPr="003B7829">
              <w:rPr>
                <w:b/>
                <w:bCs/>
              </w:rPr>
              <w:t>xtremely low</w:t>
            </w:r>
          </w:p>
        </w:tc>
        <w:tc>
          <w:tcPr>
            <w:tcW w:w="1197" w:type="dxa"/>
          </w:tcPr>
          <w:p w14:paraId="4AFDC259" w14:textId="77777777" w:rsidR="00647593" w:rsidRDefault="00647593" w:rsidP="006A1A66">
            <w:r>
              <w:t>Extremely low</w:t>
            </w:r>
          </w:p>
        </w:tc>
        <w:tc>
          <w:tcPr>
            <w:tcW w:w="1199" w:type="dxa"/>
          </w:tcPr>
          <w:p w14:paraId="0415A3A8" w14:textId="77777777" w:rsidR="00647593" w:rsidRDefault="00647593" w:rsidP="006A1A66">
            <w:r>
              <w:t>Extremely low</w:t>
            </w:r>
          </w:p>
        </w:tc>
        <w:tc>
          <w:tcPr>
            <w:tcW w:w="1197" w:type="dxa"/>
          </w:tcPr>
          <w:p w14:paraId="4D3416E8" w14:textId="77777777" w:rsidR="00647593" w:rsidRDefault="00647593" w:rsidP="006A1A66">
            <w:r>
              <w:t>Extremely low</w:t>
            </w:r>
          </w:p>
        </w:tc>
        <w:tc>
          <w:tcPr>
            <w:tcW w:w="1197" w:type="dxa"/>
          </w:tcPr>
          <w:p w14:paraId="625FA8EE" w14:textId="77777777" w:rsidR="00647593" w:rsidRDefault="00647593" w:rsidP="006A1A66">
            <w:r>
              <w:t>Extremely low</w:t>
            </w:r>
          </w:p>
        </w:tc>
        <w:tc>
          <w:tcPr>
            <w:tcW w:w="1223" w:type="dxa"/>
          </w:tcPr>
          <w:p w14:paraId="0AE0ACD3" w14:textId="77777777" w:rsidR="00647593" w:rsidRDefault="00647593" w:rsidP="006A1A66">
            <w:r>
              <w:t>Negligible</w:t>
            </w:r>
          </w:p>
        </w:tc>
        <w:tc>
          <w:tcPr>
            <w:tcW w:w="1185" w:type="dxa"/>
          </w:tcPr>
          <w:p w14:paraId="6852BF84" w14:textId="77777777" w:rsidR="00647593" w:rsidRDefault="00647593" w:rsidP="006A1A66">
            <w:r>
              <w:t>Negligible</w:t>
            </w:r>
          </w:p>
        </w:tc>
      </w:tr>
      <w:tr w:rsidR="00647593" w14:paraId="655F348B" w14:textId="77777777" w:rsidTr="006A1A66">
        <w:trPr>
          <w:trHeight w:val="566"/>
        </w:trPr>
        <w:tc>
          <w:tcPr>
            <w:tcW w:w="1623" w:type="dxa"/>
            <w:vMerge/>
          </w:tcPr>
          <w:p w14:paraId="5103191B" w14:textId="77777777" w:rsidR="00647593" w:rsidRPr="003B7829" w:rsidRDefault="00647593" w:rsidP="006A1A66">
            <w:pPr>
              <w:rPr>
                <w:b/>
                <w:bCs/>
              </w:rPr>
            </w:pPr>
          </w:p>
        </w:tc>
        <w:tc>
          <w:tcPr>
            <w:tcW w:w="1228" w:type="dxa"/>
          </w:tcPr>
          <w:p w14:paraId="7EE6F2B4" w14:textId="77777777" w:rsidR="00647593" w:rsidRPr="003B7829" w:rsidRDefault="00647593" w:rsidP="006A1A66">
            <w:pPr>
              <w:rPr>
                <w:b/>
                <w:bCs/>
              </w:rPr>
            </w:pPr>
            <w:r>
              <w:rPr>
                <w:b/>
                <w:bCs/>
              </w:rPr>
              <w:t>N</w:t>
            </w:r>
            <w:r w:rsidRPr="003B7829">
              <w:rPr>
                <w:b/>
                <w:bCs/>
              </w:rPr>
              <w:t>egligible</w:t>
            </w:r>
          </w:p>
        </w:tc>
        <w:tc>
          <w:tcPr>
            <w:tcW w:w="1197" w:type="dxa"/>
          </w:tcPr>
          <w:p w14:paraId="7CF9D1AF" w14:textId="77777777" w:rsidR="00647593" w:rsidRDefault="00647593" w:rsidP="006A1A66">
            <w:r>
              <w:t>Negligible</w:t>
            </w:r>
          </w:p>
        </w:tc>
        <w:tc>
          <w:tcPr>
            <w:tcW w:w="1199" w:type="dxa"/>
          </w:tcPr>
          <w:p w14:paraId="16EE0ECD" w14:textId="77777777" w:rsidR="00647593" w:rsidRDefault="00647593" w:rsidP="006A1A66">
            <w:r>
              <w:t>Negligible</w:t>
            </w:r>
          </w:p>
        </w:tc>
        <w:tc>
          <w:tcPr>
            <w:tcW w:w="1197" w:type="dxa"/>
          </w:tcPr>
          <w:p w14:paraId="45BA9B6D" w14:textId="77777777" w:rsidR="00647593" w:rsidRDefault="00647593" w:rsidP="006A1A66">
            <w:r>
              <w:t>Negligible</w:t>
            </w:r>
          </w:p>
        </w:tc>
        <w:tc>
          <w:tcPr>
            <w:tcW w:w="1197" w:type="dxa"/>
          </w:tcPr>
          <w:p w14:paraId="22E96CFB" w14:textId="77777777" w:rsidR="00647593" w:rsidRDefault="00647593" w:rsidP="006A1A66">
            <w:r>
              <w:t>Negligible</w:t>
            </w:r>
          </w:p>
        </w:tc>
        <w:tc>
          <w:tcPr>
            <w:tcW w:w="1223" w:type="dxa"/>
          </w:tcPr>
          <w:p w14:paraId="70069E7D" w14:textId="77777777" w:rsidR="00647593" w:rsidRDefault="00647593" w:rsidP="006A1A66">
            <w:r>
              <w:t>Negligible</w:t>
            </w:r>
          </w:p>
        </w:tc>
        <w:tc>
          <w:tcPr>
            <w:tcW w:w="1185" w:type="dxa"/>
          </w:tcPr>
          <w:p w14:paraId="48FB2249" w14:textId="77777777" w:rsidR="00647593" w:rsidRDefault="00647593" w:rsidP="006A1A66">
            <w:r>
              <w:t>Negligible</w:t>
            </w:r>
          </w:p>
        </w:tc>
      </w:tr>
    </w:tbl>
    <w:p w14:paraId="106F932A" w14:textId="77777777" w:rsidR="00647593" w:rsidRDefault="00647593" w:rsidP="00647593"/>
    <w:p w14:paraId="236D5D7E" w14:textId="77777777" w:rsidR="00647593" w:rsidRPr="003B7829" w:rsidRDefault="00647593" w:rsidP="00647593">
      <w:pPr>
        <w:rPr>
          <w:b/>
          <w:bCs/>
        </w:rPr>
      </w:pPr>
      <w:r w:rsidRPr="003B7829">
        <w:rPr>
          <w:b/>
          <w:bCs/>
        </w:rPr>
        <w:t>Entry, establishment and spread</w:t>
      </w:r>
    </w:p>
    <w:p w14:paraId="35A87D32" w14:textId="77777777" w:rsidR="00647593" w:rsidRDefault="00647593" w:rsidP="00647593">
      <w:pPr>
        <w:pStyle w:val="ListParagraph"/>
        <w:numPr>
          <w:ilvl w:val="0"/>
          <w:numId w:val="7"/>
        </w:numPr>
      </w:pPr>
      <w:r>
        <w:t xml:space="preserve">Pest-X has a Low likelihood of entering and establishing in Australia. </w:t>
      </w:r>
    </w:p>
    <w:p w14:paraId="1BD7B983" w14:textId="77777777" w:rsidR="00647593" w:rsidRDefault="00647593" w:rsidP="00647593">
      <w:pPr>
        <w:pStyle w:val="ListParagraph"/>
        <w:numPr>
          <w:ilvl w:val="0"/>
          <w:numId w:val="7"/>
        </w:numPr>
      </w:pPr>
      <w:r>
        <w:t xml:space="preserve">The likelihood of Pest-X spreading in Australia is Moderate. </w:t>
      </w:r>
    </w:p>
    <w:p w14:paraId="3DF4A1F8" w14:textId="3D5A792F" w:rsidR="00647593" w:rsidRDefault="00647593" w:rsidP="00647593">
      <w:pPr>
        <w:pStyle w:val="ListParagraph"/>
        <w:numPr>
          <w:ilvl w:val="0"/>
          <w:numId w:val="7"/>
        </w:numPr>
      </w:pPr>
      <w:r>
        <w:t xml:space="preserve">Therefore, using the table below, the overall likelihood of Pest-X entering, </w:t>
      </w:r>
      <w:proofErr w:type="gramStart"/>
      <w:r>
        <w:t>establishing</w:t>
      </w:r>
      <w:proofErr w:type="gramEnd"/>
      <w:r>
        <w:t xml:space="preserve"> and spreading in Australia is Low.</w:t>
      </w:r>
    </w:p>
    <w:p w14:paraId="6CF67697" w14:textId="77777777" w:rsidR="00647593" w:rsidRDefault="00647593" w:rsidP="00647593"/>
    <w:tbl>
      <w:tblPr>
        <w:tblStyle w:val="TableGrid"/>
        <w:tblW w:w="10130" w:type="dxa"/>
        <w:tblLook w:val="04A0" w:firstRow="1" w:lastRow="0" w:firstColumn="1" w:lastColumn="0" w:noHBand="0" w:noVBand="1"/>
      </w:tblPr>
      <w:tblGrid>
        <w:gridCol w:w="1977"/>
        <w:gridCol w:w="1188"/>
        <w:gridCol w:w="1158"/>
        <w:gridCol w:w="1160"/>
        <w:gridCol w:w="1158"/>
        <w:gridCol w:w="1158"/>
        <w:gridCol w:w="1183"/>
        <w:gridCol w:w="1148"/>
      </w:tblGrid>
      <w:tr w:rsidR="00647593" w:rsidRPr="003B7829" w14:paraId="3D923C49" w14:textId="77777777" w:rsidTr="006A1A66">
        <w:trPr>
          <w:trHeight w:val="273"/>
        </w:trPr>
        <w:tc>
          <w:tcPr>
            <w:tcW w:w="3165" w:type="dxa"/>
            <w:gridSpan w:val="2"/>
            <w:vMerge w:val="restart"/>
          </w:tcPr>
          <w:p w14:paraId="46307458" w14:textId="77777777" w:rsidR="00647593" w:rsidRDefault="00647593" w:rsidP="006A1A66"/>
        </w:tc>
        <w:tc>
          <w:tcPr>
            <w:tcW w:w="6965" w:type="dxa"/>
            <w:gridSpan w:val="6"/>
          </w:tcPr>
          <w:p w14:paraId="4BEC269D" w14:textId="77777777" w:rsidR="00647593" w:rsidRPr="003B7829" w:rsidRDefault="00647593" w:rsidP="006A1A66">
            <w:pPr>
              <w:rPr>
                <w:b/>
                <w:bCs/>
              </w:rPr>
            </w:pPr>
            <w:r>
              <w:rPr>
                <w:b/>
                <w:bCs/>
              </w:rPr>
              <w:t>Entry and establishment</w:t>
            </w:r>
            <w:r w:rsidRPr="003B7829">
              <w:rPr>
                <w:b/>
                <w:bCs/>
              </w:rPr>
              <w:t xml:space="preserve"> likelihood</w:t>
            </w:r>
          </w:p>
        </w:tc>
      </w:tr>
      <w:tr w:rsidR="00647593" w:rsidRPr="003B7829" w14:paraId="735BED1C" w14:textId="77777777" w:rsidTr="006A1A66">
        <w:trPr>
          <w:trHeight w:val="572"/>
        </w:trPr>
        <w:tc>
          <w:tcPr>
            <w:tcW w:w="3165" w:type="dxa"/>
            <w:gridSpan w:val="2"/>
            <w:vMerge/>
          </w:tcPr>
          <w:p w14:paraId="2E1FA1E6" w14:textId="77777777" w:rsidR="00647593" w:rsidRDefault="00647593" w:rsidP="006A1A66"/>
        </w:tc>
        <w:tc>
          <w:tcPr>
            <w:tcW w:w="1158" w:type="dxa"/>
          </w:tcPr>
          <w:p w14:paraId="0E92C52E" w14:textId="52E7C48F" w:rsidR="00647593" w:rsidRPr="003B7829" w:rsidRDefault="00884E6E" w:rsidP="006A1A66">
            <w:pPr>
              <w:rPr>
                <w:b/>
                <w:bCs/>
              </w:rPr>
            </w:pPr>
            <w:r>
              <w:rPr>
                <w:b/>
                <w:bCs/>
              </w:rPr>
              <w:t>H</w:t>
            </w:r>
            <w:r w:rsidR="00647593" w:rsidRPr="003B7829">
              <w:rPr>
                <w:b/>
                <w:bCs/>
              </w:rPr>
              <w:t>igh</w:t>
            </w:r>
          </w:p>
        </w:tc>
        <w:tc>
          <w:tcPr>
            <w:tcW w:w="1160" w:type="dxa"/>
          </w:tcPr>
          <w:p w14:paraId="2FA33A46" w14:textId="206C7C8A" w:rsidR="00647593" w:rsidRPr="003B7829" w:rsidRDefault="00884E6E" w:rsidP="006A1A66">
            <w:pPr>
              <w:rPr>
                <w:b/>
                <w:bCs/>
              </w:rPr>
            </w:pPr>
            <w:r>
              <w:rPr>
                <w:b/>
                <w:bCs/>
              </w:rPr>
              <w:t>M</w:t>
            </w:r>
            <w:r w:rsidR="00647593" w:rsidRPr="003B7829">
              <w:rPr>
                <w:b/>
                <w:bCs/>
              </w:rPr>
              <w:t>oderate</w:t>
            </w:r>
          </w:p>
        </w:tc>
        <w:tc>
          <w:tcPr>
            <w:tcW w:w="1158" w:type="dxa"/>
          </w:tcPr>
          <w:p w14:paraId="23FF4AA0" w14:textId="7CF284C2" w:rsidR="00647593" w:rsidRPr="003B7829" w:rsidRDefault="00884E6E" w:rsidP="006A1A66">
            <w:pPr>
              <w:rPr>
                <w:b/>
                <w:bCs/>
              </w:rPr>
            </w:pPr>
            <w:r>
              <w:rPr>
                <w:b/>
                <w:bCs/>
              </w:rPr>
              <w:t>L</w:t>
            </w:r>
            <w:r w:rsidR="00647593" w:rsidRPr="003B7829">
              <w:rPr>
                <w:b/>
                <w:bCs/>
              </w:rPr>
              <w:t>ow</w:t>
            </w:r>
          </w:p>
        </w:tc>
        <w:tc>
          <w:tcPr>
            <w:tcW w:w="1158" w:type="dxa"/>
          </w:tcPr>
          <w:p w14:paraId="13DEA2A3" w14:textId="77777777" w:rsidR="00647593" w:rsidRPr="003B7829" w:rsidRDefault="00647593" w:rsidP="006A1A66">
            <w:pPr>
              <w:rPr>
                <w:b/>
                <w:bCs/>
              </w:rPr>
            </w:pPr>
            <w:r w:rsidRPr="003B7829">
              <w:rPr>
                <w:b/>
                <w:bCs/>
              </w:rPr>
              <w:t>Very low</w:t>
            </w:r>
          </w:p>
        </w:tc>
        <w:tc>
          <w:tcPr>
            <w:tcW w:w="1183" w:type="dxa"/>
          </w:tcPr>
          <w:p w14:paraId="5F11F7C4" w14:textId="77777777" w:rsidR="00647593" w:rsidRPr="003B7829" w:rsidRDefault="00647593" w:rsidP="006A1A66">
            <w:pPr>
              <w:rPr>
                <w:b/>
                <w:bCs/>
              </w:rPr>
            </w:pPr>
            <w:r w:rsidRPr="003B7829">
              <w:rPr>
                <w:b/>
                <w:bCs/>
              </w:rPr>
              <w:t>Extremely low</w:t>
            </w:r>
          </w:p>
        </w:tc>
        <w:tc>
          <w:tcPr>
            <w:tcW w:w="1148" w:type="dxa"/>
          </w:tcPr>
          <w:p w14:paraId="4F5B0F04" w14:textId="7EDC0361" w:rsidR="00647593" w:rsidRPr="003B7829" w:rsidRDefault="00884E6E" w:rsidP="006A1A66">
            <w:pPr>
              <w:rPr>
                <w:b/>
                <w:bCs/>
              </w:rPr>
            </w:pPr>
            <w:r>
              <w:rPr>
                <w:b/>
                <w:bCs/>
              </w:rPr>
              <w:t>N</w:t>
            </w:r>
            <w:r w:rsidR="00647593" w:rsidRPr="003B7829">
              <w:rPr>
                <w:b/>
                <w:bCs/>
              </w:rPr>
              <w:t>egligible</w:t>
            </w:r>
          </w:p>
        </w:tc>
      </w:tr>
      <w:tr w:rsidR="00647593" w14:paraId="5BAB155F" w14:textId="77777777" w:rsidTr="006A1A66">
        <w:trPr>
          <w:trHeight w:val="559"/>
        </w:trPr>
        <w:tc>
          <w:tcPr>
            <w:tcW w:w="1977" w:type="dxa"/>
            <w:vMerge w:val="restart"/>
          </w:tcPr>
          <w:p w14:paraId="28A43127" w14:textId="77777777" w:rsidR="00647593" w:rsidRPr="003B7829" w:rsidRDefault="00647593" w:rsidP="006A1A66">
            <w:pPr>
              <w:rPr>
                <w:b/>
                <w:bCs/>
              </w:rPr>
            </w:pPr>
            <w:r>
              <w:rPr>
                <w:b/>
                <w:bCs/>
              </w:rPr>
              <w:t>Spread</w:t>
            </w:r>
            <w:r w:rsidRPr="003B7829">
              <w:rPr>
                <w:b/>
                <w:bCs/>
              </w:rPr>
              <w:t xml:space="preserve"> likelihood</w:t>
            </w:r>
          </w:p>
        </w:tc>
        <w:tc>
          <w:tcPr>
            <w:tcW w:w="1188" w:type="dxa"/>
          </w:tcPr>
          <w:p w14:paraId="3DFE60E3" w14:textId="77777777" w:rsidR="00647593" w:rsidRPr="003B7829" w:rsidRDefault="00647593" w:rsidP="006A1A66">
            <w:pPr>
              <w:rPr>
                <w:b/>
                <w:bCs/>
              </w:rPr>
            </w:pPr>
            <w:r w:rsidRPr="003B7829">
              <w:rPr>
                <w:b/>
                <w:bCs/>
              </w:rPr>
              <w:t>High</w:t>
            </w:r>
          </w:p>
        </w:tc>
        <w:tc>
          <w:tcPr>
            <w:tcW w:w="1158" w:type="dxa"/>
          </w:tcPr>
          <w:p w14:paraId="62D7B563" w14:textId="77777777" w:rsidR="00647593" w:rsidRDefault="00647593" w:rsidP="006A1A66">
            <w:r>
              <w:t>High</w:t>
            </w:r>
          </w:p>
        </w:tc>
        <w:tc>
          <w:tcPr>
            <w:tcW w:w="1160" w:type="dxa"/>
          </w:tcPr>
          <w:p w14:paraId="08567767" w14:textId="77777777" w:rsidR="00647593" w:rsidRDefault="00647593" w:rsidP="006A1A66">
            <w:r>
              <w:t>Moderate</w:t>
            </w:r>
          </w:p>
        </w:tc>
        <w:tc>
          <w:tcPr>
            <w:tcW w:w="1158" w:type="dxa"/>
          </w:tcPr>
          <w:p w14:paraId="782F5520" w14:textId="77777777" w:rsidR="00647593" w:rsidRDefault="00647593" w:rsidP="006A1A66">
            <w:r>
              <w:t>Low</w:t>
            </w:r>
          </w:p>
        </w:tc>
        <w:tc>
          <w:tcPr>
            <w:tcW w:w="1158" w:type="dxa"/>
          </w:tcPr>
          <w:p w14:paraId="4AE19AFE" w14:textId="77777777" w:rsidR="00647593" w:rsidRDefault="00647593" w:rsidP="006A1A66">
            <w:r>
              <w:t>Very low</w:t>
            </w:r>
          </w:p>
        </w:tc>
        <w:tc>
          <w:tcPr>
            <w:tcW w:w="1183" w:type="dxa"/>
          </w:tcPr>
          <w:p w14:paraId="4C03F18B" w14:textId="77777777" w:rsidR="00647593" w:rsidRDefault="00647593" w:rsidP="006A1A66">
            <w:r>
              <w:t>Extremely low</w:t>
            </w:r>
          </w:p>
        </w:tc>
        <w:tc>
          <w:tcPr>
            <w:tcW w:w="1148" w:type="dxa"/>
          </w:tcPr>
          <w:p w14:paraId="4E563138" w14:textId="77777777" w:rsidR="00647593" w:rsidRDefault="00647593" w:rsidP="006A1A66">
            <w:r>
              <w:t>Negligible</w:t>
            </w:r>
          </w:p>
        </w:tc>
      </w:tr>
      <w:tr w:rsidR="00647593" w14:paraId="67F12AA6" w14:textId="77777777" w:rsidTr="006A1A66">
        <w:trPr>
          <w:trHeight w:val="559"/>
        </w:trPr>
        <w:tc>
          <w:tcPr>
            <w:tcW w:w="1977" w:type="dxa"/>
            <w:vMerge/>
          </w:tcPr>
          <w:p w14:paraId="4D5FCA28" w14:textId="77777777" w:rsidR="00647593" w:rsidRPr="003B7829" w:rsidRDefault="00647593" w:rsidP="006A1A66">
            <w:pPr>
              <w:rPr>
                <w:b/>
                <w:bCs/>
              </w:rPr>
            </w:pPr>
          </w:p>
        </w:tc>
        <w:tc>
          <w:tcPr>
            <w:tcW w:w="1188" w:type="dxa"/>
          </w:tcPr>
          <w:p w14:paraId="6EDB48E7" w14:textId="77777777" w:rsidR="00647593" w:rsidRPr="003B7829" w:rsidRDefault="00647593" w:rsidP="006A1A66">
            <w:pPr>
              <w:rPr>
                <w:b/>
                <w:bCs/>
              </w:rPr>
            </w:pPr>
            <w:r w:rsidRPr="003B7829">
              <w:rPr>
                <w:b/>
                <w:bCs/>
              </w:rPr>
              <w:t>Moderate</w:t>
            </w:r>
          </w:p>
        </w:tc>
        <w:tc>
          <w:tcPr>
            <w:tcW w:w="1158" w:type="dxa"/>
          </w:tcPr>
          <w:p w14:paraId="6D88C718" w14:textId="77777777" w:rsidR="00647593" w:rsidRDefault="00647593" w:rsidP="006A1A66">
            <w:r>
              <w:t>Moderate</w:t>
            </w:r>
          </w:p>
        </w:tc>
        <w:tc>
          <w:tcPr>
            <w:tcW w:w="1160" w:type="dxa"/>
          </w:tcPr>
          <w:p w14:paraId="334AC341" w14:textId="77777777" w:rsidR="00647593" w:rsidRDefault="00647593" w:rsidP="006A1A66">
            <w:r>
              <w:t>Low</w:t>
            </w:r>
          </w:p>
        </w:tc>
        <w:tc>
          <w:tcPr>
            <w:tcW w:w="1158" w:type="dxa"/>
          </w:tcPr>
          <w:p w14:paraId="56315EDE" w14:textId="77777777" w:rsidR="00647593" w:rsidRDefault="00647593" w:rsidP="006A1A66">
            <w:r>
              <w:t>Low</w:t>
            </w:r>
          </w:p>
        </w:tc>
        <w:tc>
          <w:tcPr>
            <w:tcW w:w="1158" w:type="dxa"/>
          </w:tcPr>
          <w:p w14:paraId="3F1144B6" w14:textId="77777777" w:rsidR="00647593" w:rsidRDefault="00647593" w:rsidP="006A1A66">
            <w:r>
              <w:t>Very low</w:t>
            </w:r>
          </w:p>
        </w:tc>
        <w:tc>
          <w:tcPr>
            <w:tcW w:w="1183" w:type="dxa"/>
          </w:tcPr>
          <w:p w14:paraId="1485E0B2" w14:textId="77777777" w:rsidR="00647593" w:rsidRDefault="00647593" w:rsidP="006A1A66">
            <w:r>
              <w:t>Extremely low</w:t>
            </w:r>
          </w:p>
        </w:tc>
        <w:tc>
          <w:tcPr>
            <w:tcW w:w="1148" w:type="dxa"/>
          </w:tcPr>
          <w:p w14:paraId="6F09D9B0" w14:textId="77777777" w:rsidR="00647593" w:rsidRDefault="00647593" w:rsidP="006A1A66">
            <w:r>
              <w:t>Negligible</w:t>
            </w:r>
          </w:p>
        </w:tc>
      </w:tr>
      <w:tr w:rsidR="00647593" w14:paraId="76DF20D1" w14:textId="77777777" w:rsidTr="006A1A66">
        <w:trPr>
          <w:trHeight w:val="572"/>
        </w:trPr>
        <w:tc>
          <w:tcPr>
            <w:tcW w:w="1977" w:type="dxa"/>
            <w:vMerge/>
          </w:tcPr>
          <w:p w14:paraId="29FE09EF" w14:textId="77777777" w:rsidR="00647593" w:rsidRPr="003B7829" w:rsidRDefault="00647593" w:rsidP="006A1A66">
            <w:pPr>
              <w:rPr>
                <w:b/>
                <w:bCs/>
              </w:rPr>
            </w:pPr>
          </w:p>
        </w:tc>
        <w:tc>
          <w:tcPr>
            <w:tcW w:w="1188" w:type="dxa"/>
          </w:tcPr>
          <w:p w14:paraId="11CFD152" w14:textId="77777777" w:rsidR="00647593" w:rsidRPr="003B7829" w:rsidRDefault="00647593" w:rsidP="006A1A66">
            <w:pPr>
              <w:rPr>
                <w:b/>
                <w:bCs/>
              </w:rPr>
            </w:pPr>
            <w:r w:rsidRPr="003B7829">
              <w:rPr>
                <w:b/>
                <w:bCs/>
              </w:rPr>
              <w:t>Low</w:t>
            </w:r>
          </w:p>
        </w:tc>
        <w:tc>
          <w:tcPr>
            <w:tcW w:w="1158" w:type="dxa"/>
          </w:tcPr>
          <w:p w14:paraId="6C9DF2CE" w14:textId="77777777" w:rsidR="00647593" w:rsidRDefault="00647593" w:rsidP="006A1A66">
            <w:r>
              <w:t>Low</w:t>
            </w:r>
          </w:p>
        </w:tc>
        <w:tc>
          <w:tcPr>
            <w:tcW w:w="1160" w:type="dxa"/>
          </w:tcPr>
          <w:p w14:paraId="0278B5A3" w14:textId="77777777" w:rsidR="00647593" w:rsidRDefault="00647593" w:rsidP="006A1A66">
            <w:r>
              <w:t>Low</w:t>
            </w:r>
          </w:p>
        </w:tc>
        <w:tc>
          <w:tcPr>
            <w:tcW w:w="1158" w:type="dxa"/>
          </w:tcPr>
          <w:p w14:paraId="6BDCD7CC" w14:textId="77777777" w:rsidR="00647593" w:rsidRDefault="00647593" w:rsidP="006A1A66">
            <w:r>
              <w:t>Very low</w:t>
            </w:r>
          </w:p>
        </w:tc>
        <w:tc>
          <w:tcPr>
            <w:tcW w:w="1158" w:type="dxa"/>
          </w:tcPr>
          <w:p w14:paraId="124FA60D" w14:textId="77777777" w:rsidR="00647593" w:rsidRDefault="00647593" w:rsidP="006A1A66">
            <w:r>
              <w:t>Very low</w:t>
            </w:r>
          </w:p>
        </w:tc>
        <w:tc>
          <w:tcPr>
            <w:tcW w:w="1183" w:type="dxa"/>
          </w:tcPr>
          <w:p w14:paraId="14A1EB5C" w14:textId="77777777" w:rsidR="00647593" w:rsidRDefault="00647593" w:rsidP="006A1A66">
            <w:r>
              <w:t>Extremely low</w:t>
            </w:r>
          </w:p>
        </w:tc>
        <w:tc>
          <w:tcPr>
            <w:tcW w:w="1148" w:type="dxa"/>
          </w:tcPr>
          <w:p w14:paraId="22CEE976" w14:textId="77777777" w:rsidR="00647593" w:rsidRDefault="00647593" w:rsidP="006A1A66">
            <w:r>
              <w:t>Negligible</w:t>
            </w:r>
          </w:p>
        </w:tc>
      </w:tr>
      <w:tr w:rsidR="00647593" w14:paraId="5DA17350" w14:textId="77777777" w:rsidTr="006A1A66">
        <w:trPr>
          <w:trHeight w:val="572"/>
        </w:trPr>
        <w:tc>
          <w:tcPr>
            <w:tcW w:w="1977" w:type="dxa"/>
            <w:vMerge/>
          </w:tcPr>
          <w:p w14:paraId="68FAE0AB" w14:textId="77777777" w:rsidR="00647593" w:rsidRPr="003B7829" w:rsidRDefault="00647593" w:rsidP="006A1A66">
            <w:pPr>
              <w:rPr>
                <w:b/>
                <w:bCs/>
              </w:rPr>
            </w:pPr>
          </w:p>
        </w:tc>
        <w:tc>
          <w:tcPr>
            <w:tcW w:w="1188" w:type="dxa"/>
          </w:tcPr>
          <w:p w14:paraId="7B89EBF1" w14:textId="77777777" w:rsidR="00647593" w:rsidRPr="003B7829" w:rsidRDefault="00647593" w:rsidP="006A1A66">
            <w:pPr>
              <w:rPr>
                <w:b/>
                <w:bCs/>
              </w:rPr>
            </w:pPr>
            <w:r>
              <w:rPr>
                <w:b/>
                <w:bCs/>
              </w:rPr>
              <w:t>V</w:t>
            </w:r>
            <w:r w:rsidRPr="003B7829">
              <w:rPr>
                <w:b/>
                <w:bCs/>
              </w:rPr>
              <w:t>ery low</w:t>
            </w:r>
          </w:p>
        </w:tc>
        <w:tc>
          <w:tcPr>
            <w:tcW w:w="1158" w:type="dxa"/>
          </w:tcPr>
          <w:p w14:paraId="752D64FF" w14:textId="77777777" w:rsidR="00647593" w:rsidRDefault="00647593" w:rsidP="006A1A66">
            <w:r>
              <w:t>Very low</w:t>
            </w:r>
          </w:p>
        </w:tc>
        <w:tc>
          <w:tcPr>
            <w:tcW w:w="1160" w:type="dxa"/>
          </w:tcPr>
          <w:p w14:paraId="698892EE" w14:textId="77777777" w:rsidR="00647593" w:rsidRDefault="00647593" w:rsidP="006A1A66">
            <w:r>
              <w:t>Very low</w:t>
            </w:r>
          </w:p>
        </w:tc>
        <w:tc>
          <w:tcPr>
            <w:tcW w:w="1158" w:type="dxa"/>
          </w:tcPr>
          <w:p w14:paraId="37799DE3" w14:textId="77777777" w:rsidR="00647593" w:rsidRDefault="00647593" w:rsidP="006A1A66">
            <w:r>
              <w:t>Very low</w:t>
            </w:r>
          </w:p>
        </w:tc>
        <w:tc>
          <w:tcPr>
            <w:tcW w:w="1158" w:type="dxa"/>
          </w:tcPr>
          <w:p w14:paraId="4FAAD6BE" w14:textId="77777777" w:rsidR="00647593" w:rsidRDefault="00647593" w:rsidP="006A1A66">
            <w:r>
              <w:t>Extremely low</w:t>
            </w:r>
          </w:p>
        </w:tc>
        <w:tc>
          <w:tcPr>
            <w:tcW w:w="1183" w:type="dxa"/>
          </w:tcPr>
          <w:p w14:paraId="67FD2996" w14:textId="77777777" w:rsidR="00647593" w:rsidRDefault="00647593" w:rsidP="006A1A66">
            <w:r>
              <w:t>Extremely low</w:t>
            </w:r>
          </w:p>
        </w:tc>
        <w:tc>
          <w:tcPr>
            <w:tcW w:w="1148" w:type="dxa"/>
          </w:tcPr>
          <w:p w14:paraId="76315547" w14:textId="77777777" w:rsidR="00647593" w:rsidRDefault="00647593" w:rsidP="006A1A66">
            <w:r>
              <w:t>Negligible</w:t>
            </w:r>
          </w:p>
        </w:tc>
      </w:tr>
      <w:tr w:rsidR="00647593" w14:paraId="17316312" w14:textId="77777777" w:rsidTr="006A1A66">
        <w:trPr>
          <w:trHeight w:val="559"/>
        </w:trPr>
        <w:tc>
          <w:tcPr>
            <w:tcW w:w="1977" w:type="dxa"/>
            <w:vMerge/>
          </w:tcPr>
          <w:p w14:paraId="15D19AE8" w14:textId="77777777" w:rsidR="00647593" w:rsidRPr="003B7829" w:rsidRDefault="00647593" w:rsidP="006A1A66">
            <w:pPr>
              <w:rPr>
                <w:b/>
                <w:bCs/>
              </w:rPr>
            </w:pPr>
          </w:p>
        </w:tc>
        <w:tc>
          <w:tcPr>
            <w:tcW w:w="1188" w:type="dxa"/>
          </w:tcPr>
          <w:p w14:paraId="25307DC4" w14:textId="77777777" w:rsidR="00647593" w:rsidRPr="00BF5241" w:rsidRDefault="00647593" w:rsidP="006A1A66">
            <w:pPr>
              <w:rPr>
                <w:b/>
                <w:bCs/>
              </w:rPr>
            </w:pPr>
            <w:r w:rsidRPr="00BF5241">
              <w:rPr>
                <w:b/>
                <w:bCs/>
              </w:rPr>
              <w:t>Extremely low</w:t>
            </w:r>
          </w:p>
        </w:tc>
        <w:tc>
          <w:tcPr>
            <w:tcW w:w="1158" w:type="dxa"/>
          </w:tcPr>
          <w:p w14:paraId="5055869E" w14:textId="77777777" w:rsidR="00647593" w:rsidRDefault="00647593" w:rsidP="006A1A66">
            <w:r>
              <w:t>Extremely low</w:t>
            </w:r>
          </w:p>
        </w:tc>
        <w:tc>
          <w:tcPr>
            <w:tcW w:w="1160" w:type="dxa"/>
          </w:tcPr>
          <w:p w14:paraId="7C1A40FF" w14:textId="77777777" w:rsidR="00647593" w:rsidRDefault="00647593" w:rsidP="006A1A66">
            <w:r>
              <w:t>Extremely low</w:t>
            </w:r>
          </w:p>
        </w:tc>
        <w:tc>
          <w:tcPr>
            <w:tcW w:w="1158" w:type="dxa"/>
          </w:tcPr>
          <w:p w14:paraId="163C8288" w14:textId="77777777" w:rsidR="00647593" w:rsidRDefault="00647593" w:rsidP="006A1A66">
            <w:r>
              <w:t>Extremely low</w:t>
            </w:r>
          </w:p>
        </w:tc>
        <w:tc>
          <w:tcPr>
            <w:tcW w:w="1158" w:type="dxa"/>
          </w:tcPr>
          <w:p w14:paraId="2A6853AE" w14:textId="77777777" w:rsidR="00647593" w:rsidRDefault="00647593" w:rsidP="006A1A66">
            <w:r>
              <w:t>Extremely low</w:t>
            </w:r>
          </w:p>
        </w:tc>
        <w:tc>
          <w:tcPr>
            <w:tcW w:w="1183" w:type="dxa"/>
          </w:tcPr>
          <w:p w14:paraId="7F5EFD7E" w14:textId="77777777" w:rsidR="00647593" w:rsidRDefault="00647593" w:rsidP="006A1A66">
            <w:r>
              <w:t>Negligible</w:t>
            </w:r>
          </w:p>
        </w:tc>
        <w:tc>
          <w:tcPr>
            <w:tcW w:w="1148" w:type="dxa"/>
          </w:tcPr>
          <w:p w14:paraId="7A2FCF52" w14:textId="77777777" w:rsidR="00647593" w:rsidRDefault="00647593" w:rsidP="006A1A66">
            <w:r>
              <w:t>Negligible</w:t>
            </w:r>
          </w:p>
        </w:tc>
      </w:tr>
      <w:tr w:rsidR="00647593" w14:paraId="33800635" w14:textId="77777777" w:rsidTr="006A1A66">
        <w:trPr>
          <w:trHeight w:val="572"/>
        </w:trPr>
        <w:tc>
          <w:tcPr>
            <w:tcW w:w="1977" w:type="dxa"/>
            <w:vMerge/>
          </w:tcPr>
          <w:p w14:paraId="5CB25AC4" w14:textId="77777777" w:rsidR="00647593" w:rsidRPr="003B7829" w:rsidRDefault="00647593" w:rsidP="006A1A66">
            <w:pPr>
              <w:rPr>
                <w:b/>
                <w:bCs/>
              </w:rPr>
            </w:pPr>
          </w:p>
        </w:tc>
        <w:tc>
          <w:tcPr>
            <w:tcW w:w="1188" w:type="dxa"/>
          </w:tcPr>
          <w:p w14:paraId="4150F801" w14:textId="77777777" w:rsidR="00647593" w:rsidRPr="00BF5241" w:rsidRDefault="00647593" w:rsidP="006A1A66">
            <w:pPr>
              <w:rPr>
                <w:b/>
                <w:bCs/>
              </w:rPr>
            </w:pPr>
            <w:r w:rsidRPr="00BF5241">
              <w:rPr>
                <w:b/>
                <w:bCs/>
              </w:rPr>
              <w:t>Negligible</w:t>
            </w:r>
          </w:p>
        </w:tc>
        <w:tc>
          <w:tcPr>
            <w:tcW w:w="1158" w:type="dxa"/>
          </w:tcPr>
          <w:p w14:paraId="5A47204B" w14:textId="77777777" w:rsidR="00647593" w:rsidRDefault="00647593" w:rsidP="006A1A66">
            <w:r>
              <w:t>Negligible</w:t>
            </w:r>
          </w:p>
        </w:tc>
        <w:tc>
          <w:tcPr>
            <w:tcW w:w="1160" w:type="dxa"/>
          </w:tcPr>
          <w:p w14:paraId="75AEC698" w14:textId="77777777" w:rsidR="00647593" w:rsidRDefault="00647593" w:rsidP="006A1A66">
            <w:r>
              <w:t>Negligible</w:t>
            </w:r>
          </w:p>
        </w:tc>
        <w:tc>
          <w:tcPr>
            <w:tcW w:w="1158" w:type="dxa"/>
          </w:tcPr>
          <w:p w14:paraId="4D059DE5" w14:textId="77777777" w:rsidR="00647593" w:rsidRDefault="00647593" w:rsidP="006A1A66">
            <w:r>
              <w:t>Negligible</w:t>
            </w:r>
          </w:p>
        </w:tc>
        <w:tc>
          <w:tcPr>
            <w:tcW w:w="1158" w:type="dxa"/>
          </w:tcPr>
          <w:p w14:paraId="6B872A96" w14:textId="77777777" w:rsidR="00647593" w:rsidRDefault="00647593" w:rsidP="006A1A66">
            <w:r>
              <w:t>Negligible</w:t>
            </w:r>
          </w:p>
        </w:tc>
        <w:tc>
          <w:tcPr>
            <w:tcW w:w="1183" w:type="dxa"/>
          </w:tcPr>
          <w:p w14:paraId="3B79B8E0" w14:textId="77777777" w:rsidR="00647593" w:rsidRDefault="00647593" w:rsidP="006A1A66">
            <w:r>
              <w:t>Negligible</w:t>
            </w:r>
          </w:p>
        </w:tc>
        <w:tc>
          <w:tcPr>
            <w:tcW w:w="1148" w:type="dxa"/>
          </w:tcPr>
          <w:p w14:paraId="47B630EE" w14:textId="77777777" w:rsidR="00647593" w:rsidRDefault="00647593" w:rsidP="006A1A66">
            <w:r>
              <w:t>Negligible</w:t>
            </w:r>
          </w:p>
        </w:tc>
      </w:tr>
    </w:tbl>
    <w:p w14:paraId="517B00BC" w14:textId="77777777" w:rsidR="00647593" w:rsidRDefault="00647593" w:rsidP="00647593"/>
    <w:p w14:paraId="76D81232" w14:textId="77777777" w:rsidR="00647593" w:rsidRPr="003B7829" w:rsidRDefault="00647593" w:rsidP="00647593">
      <w:pPr>
        <w:rPr>
          <w:b/>
          <w:bCs/>
        </w:rPr>
      </w:pPr>
      <w:r w:rsidRPr="003B7829">
        <w:rPr>
          <w:b/>
          <w:bCs/>
        </w:rPr>
        <w:t>Overall likelihood</w:t>
      </w:r>
    </w:p>
    <w:p w14:paraId="5A3F0990" w14:textId="597A98A6" w:rsidR="00647593" w:rsidRDefault="00647593" w:rsidP="00647593">
      <w:r>
        <w:t xml:space="preserve">By combining each likelihood estimate, the overall likelihood of Pest-X entering, </w:t>
      </w:r>
      <w:proofErr w:type="gramStart"/>
      <w:r>
        <w:t>establishing</w:t>
      </w:r>
      <w:proofErr w:type="gramEnd"/>
      <w:r>
        <w:t xml:space="preserve"> and spreading in Australia is LOW.</w:t>
      </w:r>
    </w:p>
    <w:p w14:paraId="7FFA67E1" w14:textId="5B26D645" w:rsidR="00647593" w:rsidRPr="00647593" w:rsidRDefault="00647593" w:rsidP="00647593">
      <w:pPr>
        <w:rPr>
          <w:lang w:eastAsia="ja-JP"/>
        </w:rPr>
      </w:pPr>
    </w:p>
    <w:p w14:paraId="330B02CD" w14:textId="4906F03E" w:rsidR="00647593" w:rsidRDefault="00647593" w:rsidP="00647593">
      <w:pPr>
        <w:pStyle w:val="Heading1"/>
        <w:spacing w:before="0"/>
      </w:pPr>
      <w:r>
        <w:lastRenderedPageBreak/>
        <w:t>Step 3: Assessment of overall consequence rating</w:t>
      </w:r>
    </w:p>
    <w:p w14:paraId="2BA9BBCA" w14:textId="4F3EEE3F" w:rsidR="00647593" w:rsidRDefault="00647593" w:rsidP="00647593">
      <w:pPr>
        <w:pStyle w:val="Heading1"/>
        <w:numPr>
          <w:ilvl w:val="0"/>
          <w:numId w:val="14"/>
        </w:numPr>
        <w:spacing w:before="0"/>
        <w:rPr>
          <w:b w:val="0"/>
          <w:bCs w:val="0"/>
          <w:sz w:val="22"/>
          <w:szCs w:val="22"/>
        </w:rPr>
      </w:pPr>
      <w:r w:rsidRPr="008205F2">
        <w:rPr>
          <w:b w:val="0"/>
          <w:bCs w:val="0"/>
          <w:sz w:val="22"/>
          <w:szCs w:val="22"/>
        </w:rPr>
        <w:t xml:space="preserve">An assessment of the consequence (economic and environmental impact) should a quarantine pest enter, </w:t>
      </w:r>
      <w:proofErr w:type="gramStart"/>
      <w:r w:rsidRPr="008205F2">
        <w:rPr>
          <w:b w:val="0"/>
          <w:bCs w:val="0"/>
          <w:sz w:val="22"/>
          <w:szCs w:val="22"/>
        </w:rPr>
        <w:t>establish</w:t>
      </w:r>
      <w:proofErr w:type="gramEnd"/>
      <w:r w:rsidRPr="008205F2">
        <w:rPr>
          <w:b w:val="0"/>
          <w:bCs w:val="0"/>
          <w:sz w:val="22"/>
          <w:szCs w:val="22"/>
        </w:rPr>
        <w:t xml:space="preserve"> and spread in Australia</w:t>
      </w:r>
      <w:r>
        <w:rPr>
          <w:b w:val="0"/>
          <w:bCs w:val="0"/>
          <w:sz w:val="22"/>
          <w:szCs w:val="22"/>
        </w:rPr>
        <w:t xml:space="preserve">. </w:t>
      </w:r>
    </w:p>
    <w:p w14:paraId="2995EC81" w14:textId="77777777" w:rsidR="00647593" w:rsidRDefault="00647593" w:rsidP="00647593">
      <w:pPr>
        <w:pStyle w:val="ListParagraph"/>
        <w:numPr>
          <w:ilvl w:val="0"/>
          <w:numId w:val="14"/>
        </w:numPr>
      </w:pPr>
      <w:r>
        <w:t>By combining the impact scores of each consequence, an overall consequence rating for the pest is determined. The consequences are:</w:t>
      </w:r>
    </w:p>
    <w:p w14:paraId="779EEC93" w14:textId="77777777" w:rsidR="00647593" w:rsidRDefault="00647593" w:rsidP="00647593">
      <w:pPr>
        <w:pStyle w:val="ListParagraph"/>
        <w:numPr>
          <w:ilvl w:val="1"/>
          <w:numId w:val="14"/>
        </w:numPr>
      </w:pPr>
      <w:r>
        <w:t>Plant life or health</w:t>
      </w:r>
    </w:p>
    <w:p w14:paraId="26E6A9D5" w14:textId="77777777" w:rsidR="00647593" w:rsidRDefault="00647593" w:rsidP="00647593">
      <w:pPr>
        <w:pStyle w:val="ListParagraph"/>
        <w:numPr>
          <w:ilvl w:val="1"/>
          <w:numId w:val="14"/>
        </w:numPr>
      </w:pPr>
      <w:r>
        <w:t>Direct environmental impacts</w:t>
      </w:r>
    </w:p>
    <w:p w14:paraId="7A0E0F8A" w14:textId="77777777" w:rsidR="00647593" w:rsidRDefault="00647593" w:rsidP="00647593">
      <w:pPr>
        <w:pStyle w:val="ListParagraph"/>
        <w:numPr>
          <w:ilvl w:val="1"/>
          <w:numId w:val="14"/>
        </w:numPr>
      </w:pPr>
      <w:r>
        <w:t>Eradication and control costs</w:t>
      </w:r>
    </w:p>
    <w:p w14:paraId="0877260F" w14:textId="77777777" w:rsidR="00647593" w:rsidRDefault="00647593" w:rsidP="00647593">
      <w:pPr>
        <w:pStyle w:val="ListParagraph"/>
        <w:numPr>
          <w:ilvl w:val="1"/>
          <w:numId w:val="14"/>
        </w:numPr>
      </w:pPr>
      <w:r>
        <w:t>Non-commercial values and indirect environmental impacts</w:t>
      </w:r>
    </w:p>
    <w:p w14:paraId="5DFBC9EA" w14:textId="77777777" w:rsidR="00647593" w:rsidRDefault="00647593" w:rsidP="00647593">
      <w:pPr>
        <w:pStyle w:val="ListParagraph"/>
        <w:numPr>
          <w:ilvl w:val="1"/>
          <w:numId w:val="14"/>
        </w:numPr>
      </w:pPr>
      <w:r>
        <w:t>Domestic trade</w:t>
      </w:r>
    </w:p>
    <w:p w14:paraId="1F7E0641" w14:textId="77777777" w:rsidR="00647593" w:rsidRDefault="00647593" w:rsidP="00647593">
      <w:pPr>
        <w:pStyle w:val="ListParagraph"/>
        <w:numPr>
          <w:ilvl w:val="1"/>
          <w:numId w:val="14"/>
        </w:numPr>
      </w:pPr>
      <w:r>
        <w:t>International trade.</w:t>
      </w:r>
    </w:p>
    <w:p w14:paraId="40C2A2D6" w14:textId="3C46CDD7" w:rsidR="00647593" w:rsidRPr="00DD6532" w:rsidRDefault="00647593" w:rsidP="00647593">
      <w:pPr>
        <w:pStyle w:val="ListParagraph"/>
        <w:numPr>
          <w:ilvl w:val="0"/>
          <w:numId w:val="14"/>
        </w:numPr>
      </w:pPr>
      <w:r>
        <w:t>T</w:t>
      </w:r>
      <w:r w:rsidRPr="00DD6532">
        <w:t xml:space="preserve">he economic and environmental consequence </w:t>
      </w:r>
      <w:r>
        <w:t xml:space="preserve">(impact) should a quarantine pest enter, </w:t>
      </w:r>
      <w:proofErr w:type="gramStart"/>
      <w:r>
        <w:t>establish</w:t>
      </w:r>
      <w:proofErr w:type="gramEnd"/>
      <w:r>
        <w:t xml:space="preserve"> and spread in Australia </w:t>
      </w:r>
      <w:r w:rsidRPr="00DD6532">
        <w:t>is assessed for each geographic level: national, regional, district and local.</w:t>
      </w:r>
    </w:p>
    <w:p w14:paraId="05EDC091" w14:textId="77777777" w:rsidR="00647593" w:rsidRDefault="00647593" w:rsidP="00647593">
      <w:pPr>
        <w:pStyle w:val="ListParagraph"/>
        <w:numPr>
          <w:ilvl w:val="0"/>
          <w:numId w:val="14"/>
        </w:numPr>
      </w:pPr>
      <w:r>
        <w:t xml:space="preserve">A rating is given to a geographic level at which the quarantine pest is likely to have an impact: major significance, significant, minor significance and indiscernible. </w:t>
      </w:r>
    </w:p>
    <w:p w14:paraId="0D011F78" w14:textId="77777777" w:rsidR="00647593" w:rsidRPr="00FB3613" w:rsidRDefault="00647593" w:rsidP="00647593">
      <w:pPr>
        <w:rPr>
          <w:b/>
          <w:bCs/>
          <w:sz w:val="26"/>
          <w:szCs w:val="26"/>
        </w:rPr>
      </w:pPr>
      <w:r w:rsidRPr="00FB3613">
        <w:rPr>
          <w:b/>
          <w:bCs/>
          <w:sz w:val="26"/>
          <w:szCs w:val="26"/>
        </w:rPr>
        <w:t>Overall consequence rating</w:t>
      </w:r>
    </w:p>
    <w:p w14:paraId="7F20F92F" w14:textId="77777777" w:rsidR="00647593" w:rsidRDefault="00647593" w:rsidP="00647593">
      <w:r>
        <w:t xml:space="preserve">The overall consequence rating for a quarantine pest is determined by combining the impacts the pest is likely to have if it was to enter, establish and spread in Australia. This process is outlined below using Pest-X as an example. </w:t>
      </w:r>
    </w:p>
    <w:p w14:paraId="2F0481ED" w14:textId="77777777" w:rsidR="00647593" w:rsidRPr="00575877" w:rsidRDefault="00647593" w:rsidP="00647593">
      <w:pPr>
        <w:rPr>
          <w:b/>
          <w:bCs/>
        </w:rPr>
      </w:pPr>
      <w:r w:rsidRPr="00575877">
        <w:rPr>
          <w:b/>
          <w:bCs/>
        </w:rPr>
        <w:t>Assign impact scores</w:t>
      </w:r>
    </w:p>
    <w:p w14:paraId="5AF932B1" w14:textId="77777777" w:rsidR="00647593" w:rsidRDefault="00647593" w:rsidP="00647593">
      <w:r>
        <w:t>Once the impact of all likely consequences associated with a quarantine pest has been estimated at the geographic level, an impact score is assigned. The impact score ranges on a scale from A to G.</w:t>
      </w:r>
    </w:p>
    <w:p w14:paraId="251AA916" w14:textId="77777777" w:rsidR="00647593" w:rsidRDefault="00647593" w:rsidP="00647593">
      <w:r>
        <w:t xml:space="preserve">Let’s take a look at how an impact score is assigned for the consequence ‘Plant life or health’. If Pest-X enters, </w:t>
      </w:r>
      <w:proofErr w:type="gramStart"/>
      <w:r>
        <w:t>establishes</w:t>
      </w:r>
      <w:proofErr w:type="gramEnd"/>
      <w:r>
        <w:t xml:space="preserve"> and spreads in Australia, it is likely to impact plant life or health at the regional level. Also, the impact is likely to be significant for the region. Using the table, we find that the impact score for the plant life or health consequence is E.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647593" w14:paraId="2967720C" w14:textId="77777777" w:rsidTr="006A1A66">
        <w:tc>
          <w:tcPr>
            <w:tcW w:w="3004" w:type="dxa"/>
            <w:gridSpan w:val="2"/>
            <w:vMerge w:val="restart"/>
          </w:tcPr>
          <w:p w14:paraId="0AD58358" w14:textId="77777777" w:rsidR="00647593" w:rsidRDefault="00647593" w:rsidP="006A1A66"/>
        </w:tc>
        <w:tc>
          <w:tcPr>
            <w:tcW w:w="6012" w:type="dxa"/>
            <w:gridSpan w:val="4"/>
          </w:tcPr>
          <w:p w14:paraId="3C1C6BFC" w14:textId="77777777" w:rsidR="00647593" w:rsidRPr="00FB3613" w:rsidRDefault="00647593" w:rsidP="006A1A66">
            <w:pPr>
              <w:rPr>
                <w:b/>
                <w:bCs/>
              </w:rPr>
            </w:pPr>
            <w:r w:rsidRPr="00FB3613">
              <w:rPr>
                <w:b/>
                <w:bCs/>
              </w:rPr>
              <w:t>Geographic scale</w:t>
            </w:r>
          </w:p>
        </w:tc>
      </w:tr>
      <w:tr w:rsidR="00647593" w14:paraId="1577F6C1" w14:textId="77777777" w:rsidTr="006A1A66">
        <w:tc>
          <w:tcPr>
            <w:tcW w:w="3004" w:type="dxa"/>
            <w:gridSpan w:val="2"/>
            <w:vMerge/>
          </w:tcPr>
          <w:p w14:paraId="008F057D" w14:textId="77777777" w:rsidR="00647593" w:rsidRDefault="00647593" w:rsidP="006A1A66"/>
        </w:tc>
        <w:tc>
          <w:tcPr>
            <w:tcW w:w="1503" w:type="dxa"/>
          </w:tcPr>
          <w:p w14:paraId="09D238B2" w14:textId="77777777" w:rsidR="00647593" w:rsidRPr="00FB3613" w:rsidRDefault="00647593" w:rsidP="006A1A66">
            <w:pPr>
              <w:rPr>
                <w:b/>
                <w:bCs/>
              </w:rPr>
            </w:pPr>
            <w:r w:rsidRPr="00FB3613">
              <w:rPr>
                <w:b/>
                <w:bCs/>
              </w:rPr>
              <w:t>Local</w:t>
            </w:r>
          </w:p>
        </w:tc>
        <w:tc>
          <w:tcPr>
            <w:tcW w:w="1503" w:type="dxa"/>
          </w:tcPr>
          <w:p w14:paraId="60D5C58D" w14:textId="77777777" w:rsidR="00647593" w:rsidRPr="00FB3613" w:rsidRDefault="00647593" w:rsidP="006A1A66">
            <w:pPr>
              <w:rPr>
                <w:b/>
                <w:bCs/>
              </w:rPr>
            </w:pPr>
            <w:r w:rsidRPr="00FB3613">
              <w:rPr>
                <w:b/>
                <w:bCs/>
              </w:rPr>
              <w:t>District</w:t>
            </w:r>
          </w:p>
        </w:tc>
        <w:tc>
          <w:tcPr>
            <w:tcW w:w="1503" w:type="dxa"/>
          </w:tcPr>
          <w:p w14:paraId="0408A31B" w14:textId="77777777" w:rsidR="00647593" w:rsidRPr="00FB3613" w:rsidRDefault="00647593" w:rsidP="006A1A66">
            <w:pPr>
              <w:rPr>
                <w:b/>
                <w:bCs/>
              </w:rPr>
            </w:pPr>
            <w:r w:rsidRPr="00FB3613">
              <w:rPr>
                <w:b/>
                <w:bCs/>
              </w:rPr>
              <w:t>Regional</w:t>
            </w:r>
          </w:p>
        </w:tc>
        <w:tc>
          <w:tcPr>
            <w:tcW w:w="1503" w:type="dxa"/>
          </w:tcPr>
          <w:p w14:paraId="5A65FBC1" w14:textId="77777777" w:rsidR="00647593" w:rsidRPr="00FB3613" w:rsidRDefault="00647593" w:rsidP="006A1A66">
            <w:pPr>
              <w:rPr>
                <w:b/>
                <w:bCs/>
              </w:rPr>
            </w:pPr>
            <w:r>
              <w:rPr>
                <w:b/>
                <w:bCs/>
              </w:rPr>
              <w:t>N</w:t>
            </w:r>
            <w:r w:rsidRPr="00FB3613">
              <w:rPr>
                <w:b/>
                <w:bCs/>
              </w:rPr>
              <w:t>ational</w:t>
            </w:r>
          </w:p>
        </w:tc>
      </w:tr>
      <w:tr w:rsidR="00647593" w14:paraId="38D6DE94" w14:textId="77777777" w:rsidTr="006A1A66">
        <w:tc>
          <w:tcPr>
            <w:tcW w:w="1502" w:type="dxa"/>
            <w:vMerge w:val="restart"/>
          </w:tcPr>
          <w:p w14:paraId="36420336" w14:textId="77777777" w:rsidR="00647593" w:rsidRPr="00FB3613" w:rsidRDefault="00647593" w:rsidP="006A1A66">
            <w:pPr>
              <w:rPr>
                <w:b/>
                <w:bCs/>
              </w:rPr>
            </w:pPr>
            <w:r>
              <w:rPr>
                <w:b/>
                <w:bCs/>
              </w:rPr>
              <w:t>I</w:t>
            </w:r>
            <w:r w:rsidRPr="00FB3613">
              <w:rPr>
                <w:b/>
                <w:bCs/>
              </w:rPr>
              <w:t>mpact</w:t>
            </w:r>
          </w:p>
        </w:tc>
        <w:tc>
          <w:tcPr>
            <w:tcW w:w="1502" w:type="dxa"/>
          </w:tcPr>
          <w:p w14:paraId="1D81F1D5" w14:textId="77777777" w:rsidR="00647593" w:rsidRPr="00FB3613" w:rsidRDefault="00647593" w:rsidP="006A1A66">
            <w:pPr>
              <w:rPr>
                <w:b/>
                <w:bCs/>
              </w:rPr>
            </w:pPr>
            <w:r w:rsidRPr="00FB3613">
              <w:rPr>
                <w:b/>
                <w:bCs/>
              </w:rPr>
              <w:t>Indiscernible</w:t>
            </w:r>
          </w:p>
        </w:tc>
        <w:tc>
          <w:tcPr>
            <w:tcW w:w="1503" w:type="dxa"/>
          </w:tcPr>
          <w:p w14:paraId="1D27293C" w14:textId="77777777" w:rsidR="00647593" w:rsidRDefault="00647593" w:rsidP="006A1A66">
            <w:r>
              <w:t>A</w:t>
            </w:r>
          </w:p>
        </w:tc>
        <w:tc>
          <w:tcPr>
            <w:tcW w:w="1503" w:type="dxa"/>
          </w:tcPr>
          <w:p w14:paraId="0265A6C3" w14:textId="77777777" w:rsidR="00647593" w:rsidRDefault="00647593" w:rsidP="006A1A66">
            <w:r>
              <w:t>A</w:t>
            </w:r>
          </w:p>
        </w:tc>
        <w:tc>
          <w:tcPr>
            <w:tcW w:w="1503" w:type="dxa"/>
          </w:tcPr>
          <w:p w14:paraId="10BB30A7" w14:textId="77777777" w:rsidR="00647593" w:rsidRDefault="00647593" w:rsidP="006A1A66">
            <w:r>
              <w:t>A</w:t>
            </w:r>
          </w:p>
        </w:tc>
        <w:tc>
          <w:tcPr>
            <w:tcW w:w="1503" w:type="dxa"/>
          </w:tcPr>
          <w:p w14:paraId="784637C8" w14:textId="77777777" w:rsidR="00647593" w:rsidRDefault="00647593" w:rsidP="006A1A66">
            <w:r>
              <w:t>A</w:t>
            </w:r>
          </w:p>
        </w:tc>
      </w:tr>
      <w:tr w:rsidR="00647593" w14:paraId="3883FC72" w14:textId="77777777" w:rsidTr="006A1A66">
        <w:tc>
          <w:tcPr>
            <w:tcW w:w="1502" w:type="dxa"/>
            <w:vMerge/>
          </w:tcPr>
          <w:p w14:paraId="2625B566" w14:textId="77777777" w:rsidR="00647593" w:rsidRDefault="00647593" w:rsidP="006A1A66"/>
        </w:tc>
        <w:tc>
          <w:tcPr>
            <w:tcW w:w="1502" w:type="dxa"/>
          </w:tcPr>
          <w:p w14:paraId="0FACD789" w14:textId="77777777" w:rsidR="00647593" w:rsidRPr="00FB3613" w:rsidRDefault="00647593" w:rsidP="006A1A66">
            <w:pPr>
              <w:rPr>
                <w:b/>
                <w:bCs/>
              </w:rPr>
            </w:pPr>
            <w:r w:rsidRPr="00FB3613">
              <w:rPr>
                <w:b/>
                <w:bCs/>
              </w:rPr>
              <w:t>Minor significance</w:t>
            </w:r>
          </w:p>
        </w:tc>
        <w:tc>
          <w:tcPr>
            <w:tcW w:w="1503" w:type="dxa"/>
          </w:tcPr>
          <w:p w14:paraId="74D54F33" w14:textId="77777777" w:rsidR="00647593" w:rsidRDefault="00647593" w:rsidP="006A1A66">
            <w:r>
              <w:t>B</w:t>
            </w:r>
          </w:p>
        </w:tc>
        <w:tc>
          <w:tcPr>
            <w:tcW w:w="1503" w:type="dxa"/>
          </w:tcPr>
          <w:p w14:paraId="364C4CB7" w14:textId="77777777" w:rsidR="00647593" w:rsidRDefault="00647593" w:rsidP="006A1A66">
            <w:r>
              <w:t>C</w:t>
            </w:r>
          </w:p>
        </w:tc>
        <w:tc>
          <w:tcPr>
            <w:tcW w:w="1503" w:type="dxa"/>
          </w:tcPr>
          <w:p w14:paraId="2827E59E" w14:textId="77777777" w:rsidR="00647593" w:rsidRDefault="00647593" w:rsidP="006A1A66">
            <w:r>
              <w:t>D</w:t>
            </w:r>
          </w:p>
        </w:tc>
        <w:tc>
          <w:tcPr>
            <w:tcW w:w="1503" w:type="dxa"/>
          </w:tcPr>
          <w:p w14:paraId="1DA0AFC6" w14:textId="77777777" w:rsidR="00647593" w:rsidRDefault="00647593" w:rsidP="006A1A66">
            <w:r>
              <w:t>E</w:t>
            </w:r>
          </w:p>
        </w:tc>
      </w:tr>
      <w:tr w:rsidR="00647593" w14:paraId="490C1586" w14:textId="77777777" w:rsidTr="006A1A66">
        <w:tc>
          <w:tcPr>
            <w:tcW w:w="1502" w:type="dxa"/>
            <w:vMerge/>
          </w:tcPr>
          <w:p w14:paraId="3A788020" w14:textId="77777777" w:rsidR="00647593" w:rsidRDefault="00647593" w:rsidP="006A1A66"/>
        </w:tc>
        <w:tc>
          <w:tcPr>
            <w:tcW w:w="1502" w:type="dxa"/>
          </w:tcPr>
          <w:p w14:paraId="3BD815E1" w14:textId="77777777" w:rsidR="00647593" w:rsidRPr="00FB3613" w:rsidRDefault="00647593" w:rsidP="006A1A66">
            <w:pPr>
              <w:rPr>
                <w:b/>
                <w:bCs/>
              </w:rPr>
            </w:pPr>
            <w:r w:rsidRPr="00FB3613">
              <w:rPr>
                <w:b/>
                <w:bCs/>
              </w:rPr>
              <w:t>Significant</w:t>
            </w:r>
          </w:p>
        </w:tc>
        <w:tc>
          <w:tcPr>
            <w:tcW w:w="1503" w:type="dxa"/>
          </w:tcPr>
          <w:p w14:paraId="6BCC32CD" w14:textId="77777777" w:rsidR="00647593" w:rsidRDefault="00647593" w:rsidP="006A1A66">
            <w:r>
              <w:t>C</w:t>
            </w:r>
          </w:p>
        </w:tc>
        <w:tc>
          <w:tcPr>
            <w:tcW w:w="1503" w:type="dxa"/>
          </w:tcPr>
          <w:p w14:paraId="13C5C90D" w14:textId="77777777" w:rsidR="00647593" w:rsidRDefault="00647593" w:rsidP="006A1A66">
            <w:r>
              <w:t>D</w:t>
            </w:r>
          </w:p>
        </w:tc>
        <w:tc>
          <w:tcPr>
            <w:tcW w:w="1503" w:type="dxa"/>
          </w:tcPr>
          <w:p w14:paraId="25BEC4D3" w14:textId="77777777" w:rsidR="00647593" w:rsidRDefault="00647593" w:rsidP="006A1A66">
            <w:r>
              <w:t>E</w:t>
            </w:r>
          </w:p>
        </w:tc>
        <w:tc>
          <w:tcPr>
            <w:tcW w:w="1503" w:type="dxa"/>
          </w:tcPr>
          <w:p w14:paraId="2291A8F9" w14:textId="77777777" w:rsidR="00647593" w:rsidRDefault="00647593" w:rsidP="006A1A66">
            <w:r>
              <w:t>F</w:t>
            </w:r>
          </w:p>
        </w:tc>
      </w:tr>
      <w:tr w:rsidR="00647593" w14:paraId="5C933689" w14:textId="77777777" w:rsidTr="006A1A66">
        <w:tc>
          <w:tcPr>
            <w:tcW w:w="1502" w:type="dxa"/>
            <w:vMerge/>
          </w:tcPr>
          <w:p w14:paraId="6FA290F1" w14:textId="77777777" w:rsidR="00647593" w:rsidRDefault="00647593" w:rsidP="006A1A66"/>
        </w:tc>
        <w:tc>
          <w:tcPr>
            <w:tcW w:w="1502" w:type="dxa"/>
          </w:tcPr>
          <w:p w14:paraId="4A9F5088" w14:textId="77777777" w:rsidR="00647593" w:rsidRPr="00FB3613" w:rsidRDefault="00647593" w:rsidP="006A1A66">
            <w:pPr>
              <w:rPr>
                <w:b/>
                <w:bCs/>
              </w:rPr>
            </w:pPr>
            <w:r w:rsidRPr="00FB3613">
              <w:rPr>
                <w:b/>
                <w:bCs/>
              </w:rPr>
              <w:t>Major significance</w:t>
            </w:r>
          </w:p>
        </w:tc>
        <w:tc>
          <w:tcPr>
            <w:tcW w:w="1503" w:type="dxa"/>
          </w:tcPr>
          <w:p w14:paraId="5CE1494C" w14:textId="77777777" w:rsidR="00647593" w:rsidRDefault="00647593" w:rsidP="006A1A66">
            <w:r>
              <w:t>D</w:t>
            </w:r>
          </w:p>
        </w:tc>
        <w:tc>
          <w:tcPr>
            <w:tcW w:w="1503" w:type="dxa"/>
          </w:tcPr>
          <w:p w14:paraId="49C5C4EC" w14:textId="77777777" w:rsidR="00647593" w:rsidRDefault="00647593" w:rsidP="006A1A66">
            <w:r>
              <w:t>E</w:t>
            </w:r>
          </w:p>
        </w:tc>
        <w:tc>
          <w:tcPr>
            <w:tcW w:w="1503" w:type="dxa"/>
          </w:tcPr>
          <w:p w14:paraId="4320632E" w14:textId="77777777" w:rsidR="00647593" w:rsidRDefault="00647593" w:rsidP="006A1A66">
            <w:r>
              <w:t>F</w:t>
            </w:r>
          </w:p>
        </w:tc>
        <w:tc>
          <w:tcPr>
            <w:tcW w:w="1503" w:type="dxa"/>
          </w:tcPr>
          <w:p w14:paraId="4C89C68F" w14:textId="77777777" w:rsidR="00647593" w:rsidRDefault="00647593" w:rsidP="006A1A66">
            <w:r>
              <w:t>G</w:t>
            </w:r>
          </w:p>
        </w:tc>
      </w:tr>
    </w:tbl>
    <w:p w14:paraId="16A016C4" w14:textId="77777777" w:rsidR="00647593" w:rsidRDefault="00647593" w:rsidP="00647593"/>
    <w:p w14:paraId="16960D63" w14:textId="77777777" w:rsidR="00647593" w:rsidRPr="00FB3613" w:rsidRDefault="00647593" w:rsidP="00647593">
      <w:r>
        <w:t>Note: This step is repeated for the other five consequences. Now it’s time to combine them!</w:t>
      </w:r>
    </w:p>
    <w:p w14:paraId="158C3A93" w14:textId="77777777" w:rsidR="00647593" w:rsidRPr="00575877" w:rsidRDefault="00647593" w:rsidP="00647593">
      <w:pPr>
        <w:rPr>
          <w:b/>
          <w:bCs/>
        </w:rPr>
      </w:pPr>
      <w:r w:rsidRPr="00575877">
        <w:rPr>
          <w:b/>
          <w:bCs/>
        </w:rPr>
        <w:lastRenderedPageBreak/>
        <w:t>Combine impact scores</w:t>
      </w:r>
    </w:p>
    <w:p w14:paraId="3FAFE84D" w14:textId="77777777" w:rsidR="00647593" w:rsidRDefault="00647593" w:rsidP="00647593">
      <w:r>
        <w:t>The overall consequence rating is determined by assessing the impact scores against a series of rules. Starting at Rule 1, we go through each criterion to determine which rule our impact scores satisfy.</w:t>
      </w:r>
    </w:p>
    <w:p w14:paraId="5A6FB613" w14:textId="77777777" w:rsidR="00647593" w:rsidRDefault="00647593" w:rsidP="00647593">
      <w:pPr>
        <w:rPr>
          <w:u w:val="single"/>
        </w:rPr>
      </w:pPr>
      <w:r w:rsidRPr="00FB3613">
        <w:rPr>
          <w:u w:val="single"/>
        </w:rPr>
        <w:t>Rule 1</w:t>
      </w:r>
    </w:p>
    <w:p w14:paraId="0AA8EA85" w14:textId="77777777" w:rsidR="00647593" w:rsidRPr="00DD6532" w:rsidRDefault="00647593" w:rsidP="00647593">
      <w:r w:rsidRPr="00FB3613">
        <w:t>If:</w:t>
      </w:r>
    </w:p>
    <w:p w14:paraId="0D39AE36" w14:textId="77777777" w:rsidR="00647593" w:rsidRDefault="00647593" w:rsidP="00647593">
      <w:pPr>
        <w:pStyle w:val="ListParagraph"/>
        <w:numPr>
          <w:ilvl w:val="0"/>
          <w:numId w:val="8"/>
        </w:numPr>
      </w:pPr>
      <w:r>
        <w:t>any ‘G’ scores, or</w:t>
      </w:r>
    </w:p>
    <w:p w14:paraId="78DD0270" w14:textId="77777777" w:rsidR="00647593" w:rsidRDefault="00647593" w:rsidP="00647593">
      <w:pPr>
        <w:pStyle w:val="ListParagraph"/>
        <w:numPr>
          <w:ilvl w:val="0"/>
          <w:numId w:val="8"/>
        </w:numPr>
      </w:pPr>
      <w:r>
        <w:t>more than one ‘F’ score, or</w:t>
      </w:r>
    </w:p>
    <w:p w14:paraId="51B38510" w14:textId="44886A43" w:rsidR="00647593" w:rsidRDefault="00647593" w:rsidP="00647593">
      <w:pPr>
        <w:pStyle w:val="ListParagraph"/>
        <w:numPr>
          <w:ilvl w:val="0"/>
          <w:numId w:val="8"/>
        </w:numPr>
      </w:pPr>
      <w:r>
        <w:t>one ‘F’ score and all remaining have ‘E’ scores</w:t>
      </w:r>
      <w:r w:rsidR="00945120">
        <w:t>.</w:t>
      </w:r>
    </w:p>
    <w:p w14:paraId="6F0492BF" w14:textId="77777777" w:rsidR="00647593" w:rsidRDefault="00647593" w:rsidP="00647593">
      <w:r>
        <w:t>Then the overall consequence rating is: ‘extreme’.</w:t>
      </w:r>
    </w:p>
    <w:p w14:paraId="1D7EA4B9" w14:textId="77777777" w:rsidR="00647593" w:rsidRDefault="00647593" w:rsidP="00647593">
      <w:pPr>
        <w:rPr>
          <w:u w:val="single"/>
        </w:rPr>
      </w:pPr>
      <w:r w:rsidRPr="00FB3613">
        <w:rPr>
          <w:u w:val="single"/>
        </w:rPr>
        <w:t>Rule 2</w:t>
      </w:r>
    </w:p>
    <w:p w14:paraId="1E820016" w14:textId="77777777" w:rsidR="00647593" w:rsidRPr="00DD6532" w:rsidRDefault="00647593" w:rsidP="00647593">
      <w:r>
        <w:t>If:</w:t>
      </w:r>
    </w:p>
    <w:p w14:paraId="7C4A0C47" w14:textId="77777777" w:rsidR="00647593" w:rsidRDefault="00647593" w:rsidP="00647593">
      <w:pPr>
        <w:pStyle w:val="ListParagraph"/>
        <w:numPr>
          <w:ilvl w:val="0"/>
          <w:numId w:val="9"/>
        </w:numPr>
      </w:pPr>
      <w:r>
        <w:t>one ‘F’ score, or</w:t>
      </w:r>
    </w:p>
    <w:p w14:paraId="3FC5FA27" w14:textId="406173D1" w:rsidR="00647593" w:rsidRDefault="00647593" w:rsidP="00647593">
      <w:pPr>
        <w:pStyle w:val="ListParagraph"/>
        <w:numPr>
          <w:ilvl w:val="0"/>
          <w:numId w:val="9"/>
        </w:numPr>
      </w:pPr>
      <w:r>
        <w:t>all ‘E’ scores</w:t>
      </w:r>
      <w:r w:rsidR="00945120">
        <w:t>.</w:t>
      </w:r>
    </w:p>
    <w:p w14:paraId="291A7579" w14:textId="77777777" w:rsidR="00647593" w:rsidRDefault="00647593" w:rsidP="00647593">
      <w:r>
        <w:t>Then the overall consequence rating is: ‘high’.</w:t>
      </w:r>
    </w:p>
    <w:p w14:paraId="77196B7C" w14:textId="77777777" w:rsidR="00647593" w:rsidRDefault="00647593" w:rsidP="00647593">
      <w:pPr>
        <w:rPr>
          <w:u w:val="single"/>
        </w:rPr>
      </w:pPr>
      <w:r w:rsidRPr="00FB3613">
        <w:rPr>
          <w:u w:val="single"/>
        </w:rPr>
        <w:t>Rule 3</w:t>
      </w:r>
    </w:p>
    <w:p w14:paraId="253D6DA8" w14:textId="77777777" w:rsidR="00647593" w:rsidRPr="00DD6532" w:rsidRDefault="00647593" w:rsidP="00647593">
      <w:r>
        <w:t>If:</w:t>
      </w:r>
    </w:p>
    <w:p w14:paraId="40A49861" w14:textId="77777777" w:rsidR="00647593" w:rsidRDefault="00647593" w:rsidP="00647593">
      <w:pPr>
        <w:pStyle w:val="ListParagraph"/>
        <w:numPr>
          <w:ilvl w:val="0"/>
          <w:numId w:val="10"/>
        </w:numPr>
      </w:pPr>
      <w:r>
        <w:t xml:space="preserve">one or more ‘E’ scores, or </w:t>
      </w:r>
    </w:p>
    <w:p w14:paraId="05768C9F" w14:textId="75A4ECD8" w:rsidR="00647593" w:rsidRDefault="00647593" w:rsidP="00647593">
      <w:pPr>
        <w:pStyle w:val="ListParagraph"/>
        <w:numPr>
          <w:ilvl w:val="0"/>
          <w:numId w:val="10"/>
        </w:numPr>
      </w:pPr>
      <w:r>
        <w:t>all ‘D’ scores</w:t>
      </w:r>
      <w:r w:rsidR="00945120">
        <w:t>.</w:t>
      </w:r>
    </w:p>
    <w:p w14:paraId="2FFD58E6" w14:textId="77777777" w:rsidR="00647593" w:rsidRDefault="00647593" w:rsidP="00647593">
      <w:r>
        <w:t>Then the overall consequence rating is: ‘moderate’.</w:t>
      </w:r>
    </w:p>
    <w:p w14:paraId="25483EAE" w14:textId="77777777" w:rsidR="00647593" w:rsidRDefault="00647593" w:rsidP="00647593">
      <w:pPr>
        <w:rPr>
          <w:u w:val="single"/>
        </w:rPr>
      </w:pPr>
      <w:r w:rsidRPr="00FB3613">
        <w:rPr>
          <w:u w:val="single"/>
        </w:rPr>
        <w:t>Rule 4</w:t>
      </w:r>
    </w:p>
    <w:p w14:paraId="5F996BDB" w14:textId="77777777" w:rsidR="00647593" w:rsidRPr="00DD6532" w:rsidRDefault="00647593" w:rsidP="00647593">
      <w:r w:rsidRPr="00FB3613">
        <w:t>If:</w:t>
      </w:r>
    </w:p>
    <w:p w14:paraId="1BCB97D0" w14:textId="77777777" w:rsidR="00647593" w:rsidRDefault="00647593" w:rsidP="00647593">
      <w:pPr>
        <w:pStyle w:val="ListParagraph"/>
        <w:numPr>
          <w:ilvl w:val="0"/>
          <w:numId w:val="11"/>
        </w:numPr>
      </w:pPr>
      <w:r>
        <w:t>one or more ‘D’ scores, or</w:t>
      </w:r>
    </w:p>
    <w:p w14:paraId="6C8BC593" w14:textId="531F0517" w:rsidR="00647593" w:rsidRDefault="00647593" w:rsidP="00647593">
      <w:pPr>
        <w:pStyle w:val="ListParagraph"/>
        <w:numPr>
          <w:ilvl w:val="0"/>
          <w:numId w:val="11"/>
        </w:numPr>
      </w:pPr>
      <w:r>
        <w:t>all ‘C’ scores</w:t>
      </w:r>
      <w:r w:rsidR="00945120">
        <w:t>.</w:t>
      </w:r>
    </w:p>
    <w:p w14:paraId="49278F63" w14:textId="77777777" w:rsidR="00647593" w:rsidRDefault="00647593" w:rsidP="00647593">
      <w:r>
        <w:t>Then the overall consequence rating is: ‘low’.</w:t>
      </w:r>
    </w:p>
    <w:p w14:paraId="0DB4B3E4" w14:textId="77777777" w:rsidR="00647593" w:rsidRDefault="00647593" w:rsidP="00647593">
      <w:pPr>
        <w:rPr>
          <w:u w:val="single"/>
        </w:rPr>
      </w:pPr>
      <w:r w:rsidRPr="00FB3613">
        <w:rPr>
          <w:u w:val="single"/>
        </w:rPr>
        <w:t>Rule 5</w:t>
      </w:r>
    </w:p>
    <w:p w14:paraId="6865ED05" w14:textId="77777777" w:rsidR="00647593" w:rsidRPr="00DD6532" w:rsidRDefault="00647593" w:rsidP="00647593">
      <w:r w:rsidRPr="00FB3613">
        <w:t>If:</w:t>
      </w:r>
    </w:p>
    <w:p w14:paraId="2942C5B0" w14:textId="77777777" w:rsidR="00647593" w:rsidRDefault="00647593" w:rsidP="00647593">
      <w:pPr>
        <w:pStyle w:val="ListParagraph"/>
        <w:numPr>
          <w:ilvl w:val="0"/>
          <w:numId w:val="12"/>
        </w:numPr>
      </w:pPr>
      <w:r>
        <w:t>one or more ‘C’ scores, or</w:t>
      </w:r>
    </w:p>
    <w:p w14:paraId="01A6C7DC" w14:textId="68132F7A" w:rsidR="00647593" w:rsidRDefault="00647593" w:rsidP="00647593">
      <w:pPr>
        <w:pStyle w:val="ListParagraph"/>
        <w:numPr>
          <w:ilvl w:val="0"/>
          <w:numId w:val="12"/>
        </w:numPr>
      </w:pPr>
      <w:r>
        <w:t>all ‘B’ scores</w:t>
      </w:r>
      <w:r w:rsidR="00945120">
        <w:t>.</w:t>
      </w:r>
    </w:p>
    <w:p w14:paraId="764DEB01" w14:textId="77777777" w:rsidR="00647593" w:rsidRDefault="00647593" w:rsidP="00647593">
      <w:r>
        <w:t>Then the overall consequence rating is: ‘very low’.</w:t>
      </w:r>
    </w:p>
    <w:p w14:paraId="263D8C63" w14:textId="77777777" w:rsidR="00647593" w:rsidRDefault="00647593" w:rsidP="00647593">
      <w:pPr>
        <w:rPr>
          <w:u w:val="single"/>
        </w:rPr>
      </w:pPr>
      <w:r w:rsidRPr="00FB3613">
        <w:rPr>
          <w:u w:val="single"/>
        </w:rPr>
        <w:t>Rule 6</w:t>
      </w:r>
    </w:p>
    <w:p w14:paraId="223F7D1F" w14:textId="77777777" w:rsidR="00647593" w:rsidRPr="00DD6532" w:rsidRDefault="00647593" w:rsidP="00647593">
      <w:r w:rsidRPr="00FB3613">
        <w:t>If:</w:t>
      </w:r>
    </w:p>
    <w:p w14:paraId="78AFC8DA" w14:textId="77777777" w:rsidR="00647593" w:rsidRDefault="00647593" w:rsidP="00647593">
      <w:pPr>
        <w:pStyle w:val="ListParagraph"/>
        <w:numPr>
          <w:ilvl w:val="0"/>
          <w:numId w:val="13"/>
        </w:numPr>
      </w:pPr>
      <w:r>
        <w:t xml:space="preserve">one or more but not all have ‘B’ scores, and </w:t>
      </w:r>
    </w:p>
    <w:p w14:paraId="0AB9550D" w14:textId="43113948" w:rsidR="00647593" w:rsidRDefault="00647593" w:rsidP="00647593">
      <w:pPr>
        <w:pStyle w:val="ListParagraph"/>
        <w:numPr>
          <w:ilvl w:val="0"/>
          <w:numId w:val="13"/>
        </w:numPr>
      </w:pPr>
      <w:r>
        <w:lastRenderedPageBreak/>
        <w:t>all remaining have ‘A’ scores</w:t>
      </w:r>
      <w:r w:rsidR="00945120">
        <w:t>.</w:t>
      </w:r>
    </w:p>
    <w:p w14:paraId="03007EF6" w14:textId="77777777" w:rsidR="00647593" w:rsidRDefault="00647593" w:rsidP="00647593">
      <w:r>
        <w:t>Then the overall consequence rating is: ‘negligible’.</w:t>
      </w:r>
    </w:p>
    <w:p w14:paraId="45134F6D" w14:textId="77777777" w:rsidR="00647593" w:rsidRDefault="00647593" w:rsidP="00647593">
      <w:r>
        <w:t>With one ‘E’ impact score, Pest-X has been assessed as having an overall consequence rating of Moderate.</w:t>
      </w:r>
    </w:p>
    <w:p w14:paraId="024CCFF3" w14:textId="20C56B0E" w:rsidR="00647593" w:rsidRDefault="00647593" w:rsidP="00647593">
      <w:pPr>
        <w:pStyle w:val="Heading1"/>
        <w:spacing w:before="0"/>
      </w:pPr>
      <w:r>
        <w:t>Step 4: Estimation of unrestricted risk</w:t>
      </w:r>
    </w:p>
    <w:p w14:paraId="4EE60725" w14:textId="77777777" w:rsidR="00647593" w:rsidRDefault="00647593" w:rsidP="00647593">
      <w:r>
        <w:t xml:space="preserve">The unrestricted risk estimate (biosecurity risk) of a quarantine pest is determined by combining the overall likelihood and overall consequence ratings. This process is outlined below using Pest-X as an example. </w:t>
      </w:r>
    </w:p>
    <w:p w14:paraId="69ACFDD7" w14:textId="77777777" w:rsidR="00647593" w:rsidRDefault="00647593" w:rsidP="00647593">
      <w:r>
        <w:t>In steps 2 and 3, we found that for Pest-X:</w:t>
      </w:r>
    </w:p>
    <w:p w14:paraId="2C93146C" w14:textId="77777777" w:rsidR="00647593" w:rsidRDefault="00647593" w:rsidP="00647593">
      <w:pPr>
        <w:pStyle w:val="ListParagraph"/>
        <w:numPr>
          <w:ilvl w:val="0"/>
          <w:numId w:val="15"/>
        </w:numPr>
      </w:pPr>
      <w:r>
        <w:t>the overall likelihood of entry, establishment and spread is ‘l</w:t>
      </w:r>
      <w:r w:rsidRPr="00EF3DE2">
        <w:t>ow’</w:t>
      </w:r>
      <w:r>
        <w:t>, and</w:t>
      </w:r>
    </w:p>
    <w:p w14:paraId="21833B9E" w14:textId="77777777" w:rsidR="00647593" w:rsidRDefault="00647593" w:rsidP="00647593">
      <w:pPr>
        <w:pStyle w:val="ListParagraph"/>
        <w:numPr>
          <w:ilvl w:val="0"/>
          <w:numId w:val="15"/>
        </w:numPr>
      </w:pPr>
      <w:r>
        <w:t>the overall consequence rating is ‘moderate’.</w:t>
      </w:r>
    </w:p>
    <w:p w14:paraId="4292E1B5" w14:textId="77777777" w:rsidR="00647593" w:rsidRDefault="00647593" w:rsidP="00647593">
      <w:r>
        <w:t xml:space="preserve">Using the matrix below, we combine the overall likelihood and overall consequence ratings. The consequence rating is plotted along the top, and likelihood is shown along the side. </w:t>
      </w:r>
    </w:p>
    <w:p w14:paraId="17E9B745" w14:textId="77777777" w:rsidR="00647593" w:rsidRDefault="00647593" w:rsidP="00647593">
      <w:r>
        <w:t xml:space="preserve">Although the ratings for each axis are similar the matrix is not symmetrical, reflecting the different range of ratings for overall likelihood and consequence. As a result, different risk estimates are obtained by combining a ‘low’ likelihood with a ‘high’ consequence and a ‘high’ likelihood with ‘low’ consequence. </w:t>
      </w:r>
    </w:p>
    <w:tbl>
      <w:tblPr>
        <w:tblStyle w:val="TableGrid"/>
        <w:tblW w:w="9579" w:type="dxa"/>
        <w:tblLook w:val="04A0" w:firstRow="1" w:lastRow="0" w:firstColumn="1" w:lastColumn="0" w:noHBand="0" w:noVBand="1"/>
      </w:tblPr>
      <w:tblGrid>
        <w:gridCol w:w="1180"/>
        <w:gridCol w:w="1376"/>
        <w:gridCol w:w="1183"/>
        <w:gridCol w:w="1158"/>
        <w:gridCol w:w="1158"/>
        <w:gridCol w:w="1187"/>
        <w:gridCol w:w="1167"/>
        <w:gridCol w:w="1170"/>
      </w:tblGrid>
      <w:tr w:rsidR="00647593" w14:paraId="215B5E8C" w14:textId="77777777" w:rsidTr="006A1A66">
        <w:trPr>
          <w:trHeight w:val="261"/>
        </w:trPr>
        <w:tc>
          <w:tcPr>
            <w:tcW w:w="2556" w:type="dxa"/>
            <w:gridSpan w:val="2"/>
            <w:vMerge w:val="restart"/>
            <w:tcBorders>
              <w:top w:val="single" w:sz="4" w:space="0" w:color="auto"/>
              <w:left w:val="single" w:sz="4" w:space="0" w:color="auto"/>
              <w:bottom w:val="single" w:sz="4" w:space="0" w:color="auto"/>
              <w:right w:val="single" w:sz="4" w:space="0" w:color="auto"/>
            </w:tcBorders>
          </w:tcPr>
          <w:p w14:paraId="7C2895B9" w14:textId="77777777" w:rsidR="00647593" w:rsidRDefault="00647593" w:rsidP="006A1A66"/>
        </w:tc>
        <w:tc>
          <w:tcPr>
            <w:tcW w:w="7023" w:type="dxa"/>
            <w:gridSpan w:val="6"/>
            <w:tcBorders>
              <w:top w:val="single" w:sz="4" w:space="0" w:color="auto"/>
              <w:left w:val="single" w:sz="4" w:space="0" w:color="auto"/>
              <w:bottom w:val="single" w:sz="4" w:space="0" w:color="auto"/>
              <w:right w:val="single" w:sz="4" w:space="0" w:color="auto"/>
            </w:tcBorders>
            <w:hideMark/>
          </w:tcPr>
          <w:p w14:paraId="3C04DB3C" w14:textId="77777777" w:rsidR="00647593" w:rsidRDefault="00647593" w:rsidP="006A1A66">
            <w:pPr>
              <w:rPr>
                <w:b/>
                <w:bCs/>
              </w:rPr>
            </w:pPr>
            <w:r>
              <w:rPr>
                <w:b/>
                <w:bCs/>
              </w:rPr>
              <w:t>Overall consequence</w:t>
            </w:r>
          </w:p>
        </w:tc>
      </w:tr>
      <w:tr w:rsidR="00647593" w14:paraId="2B9CC6B8" w14:textId="77777777" w:rsidTr="006A1A66">
        <w:trPr>
          <w:trHeight w:val="54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46DADB" w14:textId="77777777" w:rsidR="00647593" w:rsidRDefault="00647593" w:rsidP="006A1A66"/>
        </w:tc>
        <w:tc>
          <w:tcPr>
            <w:tcW w:w="1183" w:type="dxa"/>
            <w:tcBorders>
              <w:top w:val="single" w:sz="4" w:space="0" w:color="auto"/>
              <w:left w:val="single" w:sz="4" w:space="0" w:color="auto"/>
              <w:bottom w:val="single" w:sz="4" w:space="0" w:color="auto"/>
              <w:right w:val="single" w:sz="4" w:space="0" w:color="auto"/>
            </w:tcBorders>
            <w:hideMark/>
          </w:tcPr>
          <w:p w14:paraId="3E46CDAA" w14:textId="77777777" w:rsidR="00647593" w:rsidRDefault="00647593" w:rsidP="006A1A66">
            <w:pPr>
              <w:rPr>
                <w:b/>
                <w:bCs/>
              </w:rPr>
            </w:pPr>
            <w:r>
              <w:rPr>
                <w:b/>
                <w:bCs/>
              </w:rPr>
              <w:t>Negligible</w:t>
            </w:r>
          </w:p>
        </w:tc>
        <w:tc>
          <w:tcPr>
            <w:tcW w:w="1158" w:type="dxa"/>
            <w:tcBorders>
              <w:top w:val="single" w:sz="4" w:space="0" w:color="auto"/>
              <w:left w:val="single" w:sz="4" w:space="0" w:color="auto"/>
              <w:bottom w:val="single" w:sz="4" w:space="0" w:color="auto"/>
              <w:right w:val="single" w:sz="4" w:space="0" w:color="auto"/>
            </w:tcBorders>
            <w:hideMark/>
          </w:tcPr>
          <w:p w14:paraId="3D4CBEE3" w14:textId="77777777" w:rsidR="00647593" w:rsidRDefault="00647593" w:rsidP="006A1A66">
            <w:pPr>
              <w:rPr>
                <w:b/>
                <w:bCs/>
              </w:rPr>
            </w:pPr>
            <w:r>
              <w:rPr>
                <w:b/>
                <w:bCs/>
              </w:rPr>
              <w:t>Very low</w:t>
            </w:r>
          </w:p>
        </w:tc>
        <w:tc>
          <w:tcPr>
            <w:tcW w:w="1158" w:type="dxa"/>
            <w:tcBorders>
              <w:top w:val="single" w:sz="4" w:space="0" w:color="auto"/>
              <w:left w:val="single" w:sz="4" w:space="0" w:color="auto"/>
              <w:bottom w:val="single" w:sz="4" w:space="0" w:color="auto"/>
              <w:right w:val="single" w:sz="4" w:space="0" w:color="auto"/>
            </w:tcBorders>
            <w:hideMark/>
          </w:tcPr>
          <w:p w14:paraId="4443D2EC" w14:textId="77777777" w:rsidR="00647593" w:rsidRDefault="00647593" w:rsidP="006A1A66">
            <w:pPr>
              <w:rPr>
                <w:b/>
                <w:bCs/>
              </w:rPr>
            </w:pPr>
            <w:r>
              <w:rPr>
                <w:b/>
                <w:bCs/>
              </w:rPr>
              <w:t>Low</w:t>
            </w:r>
          </w:p>
        </w:tc>
        <w:tc>
          <w:tcPr>
            <w:tcW w:w="1187" w:type="dxa"/>
            <w:tcBorders>
              <w:top w:val="single" w:sz="4" w:space="0" w:color="auto"/>
              <w:left w:val="single" w:sz="4" w:space="0" w:color="auto"/>
              <w:bottom w:val="single" w:sz="4" w:space="0" w:color="auto"/>
              <w:right w:val="single" w:sz="4" w:space="0" w:color="auto"/>
            </w:tcBorders>
            <w:hideMark/>
          </w:tcPr>
          <w:p w14:paraId="78FF7402" w14:textId="77777777" w:rsidR="00647593" w:rsidRDefault="00647593" w:rsidP="006A1A66">
            <w:pPr>
              <w:rPr>
                <w:b/>
                <w:bCs/>
              </w:rPr>
            </w:pPr>
            <w:r>
              <w:rPr>
                <w:b/>
                <w:bCs/>
              </w:rPr>
              <w:t>Moderate</w:t>
            </w:r>
          </w:p>
        </w:tc>
        <w:tc>
          <w:tcPr>
            <w:tcW w:w="1167" w:type="dxa"/>
            <w:tcBorders>
              <w:top w:val="single" w:sz="4" w:space="0" w:color="auto"/>
              <w:left w:val="single" w:sz="4" w:space="0" w:color="auto"/>
              <w:bottom w:val="single" w:sz="4" w:space="0" w:color="auto"/>
              <w:right w:val="single" w:sz="4" w:space="0" w:color="auto"/>
            </w:tcBorders>
            <w:hideMark/>
          </w:tcPr>
          <w:p w14:paraId="7B126D7B" w14:textId="77777777" w:rsidR="00647593" w:rsidRDefault="00647593" w:rsidP="006A1A66">
            <w:pPr>
              <w:rPr>
                <w:b/>
                <w:bCs/>
              </w:rPr>
            </w:pPr>
            <w:r>
              <w:rPr>
                <w:b/>
                <w:bCs/>
              </w:rPr>
              <w:t>High</w:t>
            </w:r>
          </w:p>
        </w:tc>
        <w:tc>
          <w:tcPr>
            <w:tcW w:w="1167" w:type="dxa"/>
            <w:tcBorders>
              <w:top w:val="single" w:sz="4" w:space="0" w:color="auto"/>
              <w:left w:val="single" w:sz="4" w:space="0" w:color="auto"/>
              <w:bottom w:val="single" w:sz="4" w:space="0" w:color="auto"/>
              <w:right w:val="single" w:sz="4" w:space="0" w:color="auto"/>
            </w:tcBorders>
            <w:hideMark/>
          </w:tcPr>
          <w:p w14:paraId="0CFEF229" w14:textId="77777777" w:rsidR="00647593" w:rsidRDefault="00647593" w:rsidP="006A1A66">
            <w:pPr>
              <w:rPr>
                <w:b/>
                <w:bCs/>
              </w:rPr>
            </w:pPr>
            <w:r>
              <w:rPr>
                <w:b/>
                <w:bCs/>
              </w:rPr>
              <w:t>Extreme</w:t>
            </w:r>
          </w:p>
        </w:tc>
      </w:tr>
      <w:tr w:rsidR="00647593" w14:paraId="63796286" w14:textId="77777777" w:rsidTr="006A1A66">
        <w:trPr>
          <w:trHeight w:val="261"/>
        </w:trPr>
        <w:tc>
          <w:tcPr>
            <w:tcW w:w="1180" w:type="dxa"/>
            <w:vMerge w:val="restart"/>
            <w:tcBorders>
              <w:top w:val="single" w:sz="4" w:space="0" w:color="auto"/>
              <w:left w:val="single" w:sz="4" w:space="0" w:color="auto"/>
              <w:bottom w:val="single" w:sz="4" w:space="0" w:color="auto"/>
              <w:right w:val="single" w:sz="4" w:space="0" w:color="auto"/>
            </w:tcBorders>
            <w:hideMark/>
          </w:tcPr>
          <w:p w14:paraId="388040AF" w14:textId="77777777" w:rsidR="00647593" w:rsidRDefault="00647593" w:rsidP="006A1A66">
            <w:pPr>
              <w:rPr>
                <w:b/>
                <w:bCs/>
              </w:rPr>
            </w:pPr>
            <w:r>
              <w:rPr>
                <w:b/>
                <w:bCs/>
              </w:rPr>
              <w:t>Overall likelihood</w:t>
            </w:r>
          </w:p>
        </w:tc>
        <w:tc>
          <w:tcPr>
            <w:tcW w:w="1376" w:type="dxa"/>
            <w:tcBorders>
              <w:top w:val="single" w:sz="4" w:space="0" w:color="auto"/>
              <w:left w:val="single" w:sz="4" w:space="0" w:color="auto"/>
              <w:bottom w:val="single" w:sz="4" w:space="0" w:color="auto"/>
              <w:right w:val="single" w:sz="4" w:space="0" w:color="auto"/>
            </w:tcBorders>
          </w:tcPr>
          <w:p w14:paraId="2B3E4A20" w14:textId="77777777" w:rsidR="00647593" w:rsidRDefault="00647593" w:rsidP="006A1A66">
            <w:pPr>
              <w:rPr>
                <w:b/>
                <w:bCs/>
              </w:rPr>
            </w:pPr>
            <w:r>
              <w:rPr>
                <w:b/>
                <w:bCs/>
              </w:rPr>
              <w:t>High</w:t>
            </w:r>
          </w:p>
        </w:tc>
        <w:tc>
          <w:tcPr>
            <w:tcW w:w="1183" w:type="dxa"/>
            <w:tcBorders>
              <w:top w:val="single" w:sz="4" w:space="0" w:color="auto"/>
              <w:left w:val="single" w:sz="4" w:space="0" w:color="auto"/>
              <w:bottom w:val="single" w:sz="4" w:space="0" w:color="auto"/>
              <w:right w:val="single" w:sz="4" w:space="0" w:color="auto"/>
            </w:tcBorders>
            <w:hideMark/>
          </w:tcPr>
          <w:p w14:paraId="0FAE6B38" w14:textId="77777777" w:rsidR="00647593" w:rsidRDefault="00647593" w:rsidP="006A1A66">
            <w:r>
              <w:t>Negligible</w:t>
            </w:r>
          </w:p>
        </w:tc>
        <w:tc>
          <w:tcPr>
            <w:tcW w:w="1158" w:type="dxa"/>
            <w:tcBorders>
              <w:top w:val="single" w:sz="4" w:space="0" w:color="auto"/>
              <w:left w:val="single" w:sz="4" w:space="0" w:color="auto"/>
              <w:bottom w:val="single" w:sz="4" w:space="0" w:color="auto"/>
              <w:right w:val="single" w:sz="4" w:space="0" w:color="auto"/>
            </w:tcBorders>
            <w:hideMark/>
          </w:tcPr>
          <w:p w14:paraId="315402A9" w14:textId="77777777" w:rsidR="00647593" w:rsidRDefault="00647593" w:rsidP="006A1A66">
            <w:r>
              <w:t>Very low</w:t>
            </w:r>
          </w:p>
        </w:tc>
        <w:tc>
          <w:tcPr>
            <w:tcW w:w="1158" w:type="dxa"/>
            <w:tcBorders>
              <w:top w:val="single" w:sz="4" w:space="0" w:color="auto"/>
              <w:left w:val="single" w:sz="4" w:space="0" w:color="auto"/>
              <w:bottom w:val="single" w:sz="4" w:space="0" w:color="auto"/>
              <w:right w:val="single" w:sz="4" w:space="0" w:color="auto"/>
            </w:tcBorders>
            <w:hideMark/>
          </w:tcPr>
          <w:p w14:paraId="7EF6D386" w14:textId="77777777" w:rsidR="00647593" w:rsidRDefault="00647593" w:rsidP="006A1A66">
            <w:r>
              <w:t>Low</w:t>
            </w:r>
          </w:p>
        </w:tc>
        <w:tc>
          <w:tcPr>
            <w:tcW w:w="1187" w:type="dxa"/>
            <w:tcBorders>
              <w:top w:val="single" w:sz="4" w:space="0" w:color="auto"/>
              <w:left w:val="single" w:sz="4" w:space="0" w:color="auto"/>
              <w:bottom w:val="single" w:sz="4" w:space="0" w:color="auto"/>
              <w:right w:val="single" w:sz="4" w:space="0" w:color="auto"/>
            </w:tcBorders>
            <w:hideMark/>
          </w:tcPr>
          <w:p w14:paraId="5E1DBC7B" w14:textId="77777777" w:rsidR="00647593" w:rsidRDefault="00647593" w:rsidP="006A1A66">
            <w:r>
              <w:t>Moderate</w:t>
            </w:r>
          </w:p>
        </w:tc>
        <w:tc>
          <w:tcPr>
            <w:tcW w:w="1167" w:type="dxa"/>
            <w:tcBorders>
              <w:top w:val="single" w:sz="4" w:space="0" w:color="auto"/>
              <w:left w:val="single" w:sz="4" w:space="0" w:color="auto"/>
              <w:bottom w:val="single" w:sz="4" w:space="0" w:color="auto"/>
              <w:right w:val="single" w:sz="4" w:space="0" w:color="auto"/>
            </w:tcBorders>
            <w:hideMark/>
          </w:tcPr>
          <w:p w14:paraId="35D49DD1" w14:textId="77777777" w:rsidR="00647593" w:rsidRDefault="00647593" w:rsidP="006A1A66">
            <w:r>
              <w:t>High</w:t>
            </w:r>
          </w:p>
        </w:tc>
        <w:tc>
          <w:tcPr>
            <w:tcW w:w="1167" w:type="dxa"/>
            <w:tcBorders>
              <w:top w:val="single" w:sz="4" w:space="0" w:color="auto"/>
              <w:left w:val="single" w:sz="4" w:space="0" w:color="auto"/>
              <w:bottom w:val="single" w:sz="4" w:space="0" w:color="auto"/>
              <w:right w:val="single" w:sz="4" w:space="0" w:color="auto"/>
            </w:tcBorders>
            <w:hideMark/>
          </w:tcPr>
          <w:p w14:paraId="38B71A51" w14:textId="77777777" w:rsidR="00647593" w:rsidRDefault="00647593" w:rsidP="006A1A66">
            <w:r>
              <w:t>Extreme</w:t>
            </w:r>
          </w:p>
        </w:tc>
      </w:tr>
      <w:tr w:rsidR="00647593" w14:paraId="57B6A9F3" w14:textId="77777777" w:rsidTr="006A1A66">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C5AB5C" w14:textId="77777777" w:rsidR="00647593" w:rsidRDefault="00647593" w:rsidP="006A1A66">
            <w:pPr>
              <w:rPr>
                <w:b/>
                <w:bCs/>
              </w:rPr>
            </w:pPr>
          </w:p>
        </w:tc>
        <w:tc>
          <w:tcPr>
            <w:tcW w:w="1376" w:type="dxa"/>
            <w:tcBorders>
              <w:top w:val="single" w:sz="4" w:space="0" w:color="auto"/>
              <w:left w:val="single" w:sz="4" w:space="0" w:color="auto"/>
              <w:bottom w:val="single" w:sz="4" w:space="0" w:color="auto"/>
              <w:right w:val="single" w:sz="4" w:space="0" w:color="auto"/>
            </w:tcBorders>
          </w:tcPr>
          <w:p w14:paraId="344BCBDA" w14:textId="77777777" w:rsidR="00647593" w:rsidRDefault="00647593" w:rsidP="006A1A66">
            <w:pPr>
              <w:rPr>
                <w:b/>
                <w:bCs/>
              </w:rPr>
            </w:pPr>
            <w:r>
              <w:rPr>
                <w:b/>
                <w:bCs/>
              </w:rPr>
              <w:t>Moderate</w:t>
            </w:r>
          </w:p>
        </w:tc>
        <w:tc>
          <w:tcPr>
            <w:tcW w:w="1183" w:type="dxa"/>
            <w:tcBorders>
              <w:top w:val="single" w:sz="4" w:space="0" w:color="auto"/>
              <w:left w:val="single" w:sz="4" w:space="0" w:color="auto"/>
              <w:bottom w:val="single" w:sz="4" w:space="0" w:color="auto"/>
              <w:right w:val="single" w:sz="4" w:space="0" w:color="auto"/>
            </w:tcBorders>
            <w:hideMark/>
          </w:tcPr>
          <w:p w14:paraId="5AD84575" w14:textId="77777777" w:rsidR="00647593" w:rsidRDefault="00647593" w:rsidP="006A1A66">
            <w:r>
              <w:t>Negligible</w:t>
            </w:r>
          </w:p>
        </w:tc>
        <w:tc>
          <w:tcPr>
            <w:tcW w:w="1158" w:type="dxa"/>
            <w:tcBorders>
              <w:top w:val="single" w:sz="4" w:space="0" w:color="auto"/>
              <w:left w:val="single" w:sz="4" w:space="0" w:color="auto"/>
              <w:bottom w:val="single" w:sz="4" w:space="0" w:color="auto"/>
              <w:right w:val="single" w:sz="4" w:space="0" w:color="auto"/>
            </w:tcBorders>
            <w:hideMark/>
          </w:tcPr>
          <w:p w14:paraId="35ED7C7C" w14:textId="77777777" w:rsidR="00647593" w:rsidRDefault="00647593" w:rsidP="006A1A66">
            <w:r>
              <w:t>Very low</w:t>
            </w:r>
          </w:p>
        </w:tc>
        <w:tc>
          <w:tcPr>
            <w:tcW w:w="1158" w:type="dxa"/>
            <w:tcBorders>
              <w:top w:val="single" w:sz="4" w:space="0" w:color="auto"/>
              <w:left w:val="single" w:sz="4" w:space="0" w:color="auto"/>
              <w:bottom w:val="single" w:sz="4" w:space="0" w:color="auto"/>
              <w:right w:val="single" w:sz="4" w:space="0" w:color="auto"/>
            </w:tcBorders>
            <w:hideMark/>
          </w:tcPr>
          <w:p w14:paraId="72CD78DC" w14:textId="77777777" w:rsidR="00647593" w:rsidRDefault="00647593" w:rsidP="006A1A66">
            <w:r>
              <w:t>Low</w:t>
            </w:r>
          </w:p>
        </w:tc>
        <w:tc>
          <w:tcPr>
            <w:tcW w:w="1187" w:type="dxa"/>
            <w:tcBorders>
              <w:top w:val="single" w:sz="4" w:space="0" w:color="auto"/>
              <w:left w:val="single" w:sz="4" w:space="0" w:color="auto"/>
              <w:bottom w:val="single" w:sz="4" w:space="0" w:color="auto"/>
              <w:right w:val="single" w:sz="4" w:space="0" w:color="auto"/>
            </w:tcBorders>
            <w:hideMark/>
          </w:tcPr>
          <w:p w14:paraId="4FA28BA1" w14:textId="77777777" w:rsidR="00647593" w:rsidRDefault="00647593" w:rsidP="006A1A66">
            <w:r>
              <w:t>Moderate</w:t>
            </w:r>
          </w:p>
        </w:tc>
        <w:tc>
          <w:tcPr>
            <w:tcW w:w="1167" w:type="dxa"/>
            <w:tcBorders>
              <w:top w:val="single" w:sz="4" w:space="0" w:color="auto"/>
              <w:left w:val="single" w:sz="4" w:space="0" w:color="auto"/>
              <w:bottom w:val="single" w:sz="4" w:space="0" w:color="auto"/>
              <w:right w:val="single" w:sz="4" w:space="0" w:color="auto"/>
            </w:tcBorders>
            <w:hideMark/>
          </w:tcPr>
          <w:p w14:paraId="29D37522" w14:textId="77777777" w:rsidR="00647593" w:rsidRDefault="00647593" w:rsidP="006A1A66">
            <w:r>
              <w:t>High</w:t>
            </w:r>
          </w:p>
        </w:tc>
        <w:tc>
          <w:tcPr>
            <w:tcW w:w="1167" w:type="dxa"/>
            <w:tcBorders>
              <w:top w:val="single" w:sz="4" w:space="0" w:color="auto"/>
              <w:left w:val="single" w:sz="4" w:space="0" w:color="auto"/>
              <w:bottom w:val="single" w:sz="4" w:space="0" w:color="auto"/>
              <w:right w:val="single" w:sz="4" w:space="0" w:color="auto"/>
            </w:tcBorders>
            <w:hideMark/>
          </w:tcPr>
          <w:p w14:paraId="3041646E" w14:textId="77777777" w:rsidR="00647593" w:rsidRDefault="00647593" w:rsidP="006A1A66">
            <w:r>
              <w:t>Extreme</w:t>
            </w:r>
          </w:p>
        </w:tc>
      </w:tr>
      <w:tr w:rsidR="00647593" w14:paraId="09678EBA" w14:textId="77777777" w:rsidTr="006A1A66">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A2AEE4" w14:textId="77777777" w:rsidR="00647593" w:rsidRDefault="00647593" w:rsidP="006A1A66">
            <w:pPr>
              <w:rPr>
                <w:b/>
                <w:bCs/>
              </w:rPr>
            </w:pPr>
          </w:p>
        </w:tc>
        <w:tc>
          <w:tcPr>
            <w:tcW w:w="1376" w:type="dxa"/>
            <w:tcBorders>
              <w:top w:val="single" w:sz="4" w:space="0" w:color="auto"/>
              <w:left w:val="single" w:sz="4" w:space="0" w:color="auto"/>
              <w:bottom w:val="single" w:sz="4" w:space="0" w:color="auto"/>
              <w:right w:val="single" w:sz="4" w:space="0" w:color="auto"/>
            </w:tcBorders>
          </w:tcPr>
          <w:p w14:paraId="1D1C0B9D" w14:textId="77777777" w:rsidR="00647593" w:rsidRDefault="00647593" w:rsidP="006A1A66">
            <w:pPr>
              <w:rPr>
                <w:b/>
                <w:bCs/>
              </w:rPr>
            </w:pPr>
            <w:r>
              <w:rPr>
                <w:b/>
                <w:bCs/>
              </w:rPr>
              <w:t>Low</w:t>
            </w:r>
          </w:p>
        </w:tc>
        <w:tc>
          <w:tcPr>
            <w:tcW w:w="1183" w:type="dxa"/>
            <w:tcBorders>
              <w:top w:val="single" w:sz="4" w:space="0" w:color="auto"/>
              <w:left w:val="single" w:sz="4" w:space="0" w:color="auto"/>
              <w:bottom w:val="single" w:sz="4" w:space="0" w:color="auto"/>
              <w:right w:val="single" w:sz="4" w:space="0" w:color="auto"/>
            </w:tcBorders>
            <w:hideMark/>
          </w:tcPr>
          <w:p w14:paraId="57F65502" w14:textId="77777777" w:rsidR="00647593" w:rsidRDefault="00647593" w:rsidP="006A1A66">
            <w:r>
              <w:t>Negligible</w:t>
            </w:r>
          </w:p>
        </w:tc>
        <w:tc>
          <w:tcPr>
            <w:tcW w:w="1158" w:type="dxa"/>
            <w:tcBorders>
              <w:top w:val="single" w:sz="4" w:space="0" w:color="auto"/>
              <w:left w:val="single" w:sz="4" w:space="0" w:color="auto"/>
              <w:bottom w:val="single" w:sz="4" w:space="0" w:color="auto"/>
              <w:right w:val="single" w:sz="4" w:space="0" w:color="auto"/>
            </w:tcBorders>
            <w:hideMark/>
          </w:tcPr>
          <w:p w14:paraId="202818CD" w14:textId="77777777" w:rsidR="00647593" w:rsidRDefault="00647593" w:rsidP="006A1A66">
            <w:r>
              <w:t>Negligible</w:t>
            </w:r>
          </w:p>
        </w:tc>
        <w:tc>
          <w:tcPr>
            <w:tcW w:w="1158" w:type="dxa"/>
            <w:tcBorders>
              <w:top w:val="single" w:sz="4" w:space="0" w:color="auto"/>
              <w:left w:val="single" w:sz="4" w:space="0" w:color="auto"/>
              <w:bottom w:val="single" w:sz="4" w:space="0" w:color="auto"/>
              <w:right w:val="single" w:sz="4" w:space="0" w:color="auto"/>
            </w:tcBorders>
            <w:hideMark/>
          </w:tcPr>
          <w:p w14:paraId="3D4C399A" w14:textId="77777777" w:rsidR="00647593" w:rsidRDefault="00647593" w:rsidP="006A1A66">
            <w:r>
              <w:t>Very low</w:t>
            </w:r>
          </w:p>
        </w:tc>
        <w:tc>
          <w:tcPr>
            <w:tcW w:w="1187" w:type="dxa"/>
            <w:tcBorders>
              <w:top w:val="single" w:sz="4" w:space="0" w:color="auto"/>
              <w:left w:val="single" w:sz="4" w:space="0" w:color="auto"/>
              <w:bottom w:val="single" w:sz="4" w:space="0" w:color="auto"/>
              <w:right w:val="single" w:sz="4" w:space="0" w:color="auto"/>
            </w:tcBorders>
            <w:hideMark/>
          </w:tcPr>
          <w:p w14:paraId="304AAD93" w14:textId="77777777" w:rsidR="00647593" w:rsidRDefault="00647593" w:rsidP="006A1A66">
            <w:r>
              <w:t>Low</w:t>
            </w:r>
          </w:p>
        </w:tc>
        <w:tc>
          <w:tcPr>
            <w:tcW w:w="1167" w:type="dxa"/>
            <w:tcBorders>
              <w:top w:val="single" w:sz="4" w:space="0" w:color="auto"/>
              <w:left w:val="single" w:sz="4" w:space="0" w:color="auto"/>
              <w:bottom w:val="single" w:sz="4" w:space="0" w:color="auto"/>
              <w:right w:val="single" w:sz="4" w:space="0" w:color="auto"/>
            </w:tcBorders>
            <w:hideMark/>
          </w:tcPr>
          <w:p w14:paraId="3BF1B812" w14:textId="77777777" w:rsidR="00647593" w:rsidRDefault="00647593" w:rsidP="006A1A66">
            <w:r>
              <w:t>Moderate</w:t>
            </w:r>
          </w:p>
        </w:tc>
        <w:tc>
          <w:tcPr>
            <w:tcW w:w="1167" w:type="dxa"/>
            <w:tcBorders>
              <w:top w:val="single" w:sz="4" w:space="0" w:color="auto"/>
              <w:left w:val="single" w:sz="4" w:space="0" w:color="auto"/>
              <w:bottom w:val="single" w:sz="4" w:space="0" w:color="auto"/>
              <w:right w:val="single" w:sz="4" w:space="0" w:color="auto"/>
            </w:tcBorders>
            <w:hideMark/>
          </w:tcPr>
          <w:p w14:paraId="432F51F2" w14:textId="77777777" w:rsidR="00647593" w:rsidRDefault="00647593" w:rsidP="006A1A66">
            <w:r>
              <w:t>High</w:t>
            </w:r>
          </w:p>
        </w:tc>
      </w:tr>
      <w:tr w:rsidR="00647593" w14:paraId="2FBAE44B" w14:textId="77777777" w:rsidTr="006A1A66">
        <w:trPr>
          <w:trHeight w:val="5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DB38EE" w14:textId="77777777" w:rsidR="00647593" w:rsidRDefault="00647593" w:rsidP="006A1A66">
            <w:pPr>
              <w:rPr>
                <w:b/>
                <w:bCs/>
              </w:rPr>
            </w:pPr>
          </w:p>
        </w:tc>
        <w:tc>
          <w:tcPr>
            <w:tcW w:w="1376" w:type="dxa"/>
            <w:tcBorders>
              <w:top w:val="single" w:sz="4" w:space="0" w:color="auto"/>
              <w:left w:val="single" w:sz="4" w:space="0" w:color="auto"/>
              <w:bottom w:val="single" w:sz="4" w:space="0" w:color="auto"/>
              <w:right w:val="single" w:sz="4" w:space="0" w:color="auto"/>
            </w:tcBorders>
          </w:tcPr>
          <w:p w14:paraId="4923E79D" w14:textId="77777777" w:rsidR="00647593" w:rsidRDefault="00647593" w:rsidP="006A1A66">
            <w:pPr>
              <w:rPr>
                <w:b/>
                <w:bCs/>
              </w:rPr>
            </w:pPr>
            <w:r>
              <w:rPr>
                <w:b/>
                <w:bCs/>
              </w:rPr>
              <w:t>Very Low</w:t>
            </w:r>
          </w:p>
        </w:tc>
        <w:tc>
          <w:tcPr>
            <w:tcW w:w="1183" w:type="dxa"/>
            <w:tcBorders>
              <w:top w:val="single" w:sz="4" w:space="0" w:color="auto"/>
              <w:left w:val="single" w:sz="4" w:space="0" w:color="auto"/>
              <w:bottom w:val="single" w:sz="4" w:space="0" w:color="auto"/>
              <w:right w:val="single" w:sz="4" w:space="0" w:color="auto"/>
            </w:tcBorders>
            <w:hideMark/>
          </w:tcPr>
          <w:p w14:paraId="0179541F" w14:textId="77777777" w:rsidR="00647593" w:rsidRDefault="00647593" w:rsidP="006A1A66">
            <w:r>
              <w:t>Negligible</w:t>
            </w:r>
          </w:p>
        </w:tc>
        <w:tc>
          <w:tcPr>
            <w:tcW w:w="1158" w:type="dxa"/>
            <w:tcBorders>
              <w:top w:val="single" w:sz="4" w:space="0" w:color="auto"/>
              <w:left w:val="single" w:sz="4" w:space="0" w:color="auto"/>
              <w:bottom w:val="single" w:sz="4" w:space="0" w:color="auto"/>
              <w:right w:val="single" w:sz="4" w:space="0" w:color="auto"/>
            </w:tcBorders>
            <w:hideMark/>
          </w:tcPr>
          <w:p w14:paraId="269CD3D3" w14:textId="77777777" w:rsidR="00647593" w:rsidRDefault="00647593" w:rsidP="006A1A66">
            <w:r>
              <w:t>Negligible</w:t>
            </w:r>
          </w:p>
        </w:tc>
        <w:tc>
          <w:tcPr>
            <w:tcW w:w="1158" w:type="dxa"/>
            <w:tcBorders>
              <w:top w:val="single" w:sz="4" w:space="0" w:color="auto"/>
              <w:left w:val="single" w:sz="4" w:space="0" w:color="auto"/>
              <w:bottom w:val="single" w:sz="4" w:space="0" w:color="auto"/>
              <w:right w:val="single" w:sz="4" w:space="0" w:color="auto"/>
            </w:tcBorders>
            <w:hideMark/>
          </w:tcPr>
          <w:p w14:paraId="6976FFB9" w14:textId="77777777" w:rsidR="00647593" w:rsidRDefault="00647593" w:rsidP="006A1A66">
            <w:r>
              <w:t>Negligible</w:t>
            </w:r>
          </w:p>
        </w:tc>
        <w:tc>
          <w:tcPr>
            <w:tcW w:w="1187" w:type="dxa"/>
            <w:tcBorders>
              <w:top w:val="single" w:sz="4" w:space="0" w:color="auto"/>
              <w:left w:val="single" w:sz="4" w:space="0" w:color="auto"/>
              <w:bottom w:val="single" w:sz="4" w:space="0" w:color="auto"/>
              <w:right w:val="single" w:sz="4" w:space="0" w:color="auto"/>
            </w:tcBorders>
            <w:hideMark/>
          </w:tcPr>
          <w:p w14:paraId="153D38C9" w14:textId="77777777" w:rsidR="00647593" w:rsidRDefault="00647593" w:rsidP="006A1A66">
            <w:r>
              <w:t>Very low</w:t>
            </w:r>
          </w:p>
        </w:tc>
        <w:tc>
          <w:tcPr>
            <w:tcW w:w="1167" w:type="dxa"/>
            <w:tcBorders>
              <w:top w:val="single" w:sz="4" w:space="0" w:color="auto"/>
              <w:left w:val="single" w:sz="4" w:space="0" w:color="auto"/>
              <w:bottom w:val="single" w:sz="4" w:space="0" w:color="auto"/>
              <w:right w:val="single" w:sz="4" w:space="0" w:color="auto"/>
            </w:tcBorders>
            <w:hideMark/>
          </w:tcPr>
          <w:p w14:paraId="68B82745" w14:textId="77777777" w:rsidR="00647593" w:rsidRDefault="00647593" w:rsidP="006A1A66">
            <w:r>
              <w:t>Low</w:t>
            </w:r>
          </w:p>
        </w:tc>
        <w:tc>
          <w:tcPr>
            <w:tcW w:w="1167" w:type="dxa"/>
            <w:tcBorders>
              <w:top w:val="single" w:sz="4" w:space="0" w:color="auto"/>
              <w:left w:val="single" w:sz="4" w:space="0" w:color="auto"/>
              <w:bottom w:val="single" w:sz="4" w:space="0" w:color="auto"/>
              <w:right w:val="single" w:sz="4" w:space="0" w:color="auto"/>
            </w:tcBorders>
            <w:hideMark/>
          </w:tcPr>
          <w:p w14:paraId="7BC7815E" w14:textId="77777777" w:rsidR="00647593" w:rsidRDefault="00647593" w:rsidP="006A1A66">
            <w:r>
              <w:t xml:space="preserve">Moderate </w:t>
            </w:r>
          </w:p>
        </w:tc>
      </w:tr>
      <w:tr w:rsidR="00647593" w14:paraId="0868D7AA" w14:textId="77777777" w:rsidTr="006A1A66">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D4CF83" w14:textId="77777777" w:rsidR="00647593" w:rsidRDefault="00647593" w:rsidP="006A1A66">
            <w:pPr>
              <w:rPr>
                <w:b/>
                <w:bCs/>
              </w:rPr>
            </w:pPr>
          </w:p>
        </w:tc>
        <w:tc>
          <w:tcPr>
            <w:tcW w:w="1376" w:type="dxa"/>
            <w:tcBorders>
              <w:top w:val="single" w:sz="4" w:space="0" w:color="auto"/>
              <w:left w:val="single" w:sz="4" w:space="0" w:color="auto"/>
              <w:bottom w:val="single" w:sz="4" w:space="0" w:color="auto"/>
              <w:right w:val="single" w:sz="4" w:space="0" w:color="auto"/>
            </w:tcBorders>
            <w:hideMark/>
          </w:tcPr>
          <w:p w14:paraId="1229AC42" w14:textId="77777777" w:rsidR="00647593" w:rsidRDefault="00647593" w:rsidP="006A1A66">
            <w:pPr>
              <w:rPr>
                <w:b/>
                <w:bCs/>
              </w:rPr>
            </w:pPr>
            <w:r>
              <w:rPr>
                <w:b/>
                <w:bCs/>
              </w:rPr>
              <w:t>Extremely low</w:t>
            </w:r>
          </w:p>
        </w:tc>
        <w:tc>
          <w:tcPr>
            <w:tcW w:w="1183" w:type="dxa"/>
            <w:tcBorders>
              <w:top w:val="single" w:sz="4" w:space="0" w:color="auto"/>
              <w:left w:val="single" w:sz="4" w:space="0" w:color="auto"/>
              <w:bottom w:val="single" w:sz="4" w:space="0" w:color="auto"/>
              <w:right w:val="single" w:sz="4" w:space="0" w:color="auto"/>
            </w:tcBorders>
            <w:hideMark/>
          </w:tcPr>
          <w:p w14:paraId="63C22762" w14:textId="77777777" w:rsidR="00647593" w:rsidRDefault="00647593" w:rsidP="006A1A66">
            <w:r>
              <w:t>Negligible</w:t>
            </w:r>
          </w:p>
        </w:tc>
        <w:tc>
          <w:tcPr>
            <w:tcW w:w="1158" w:type="dxa"/>
            <w:tcBorders>
              <w:top w:val="single" w:sz="4" w:space="0" w:color="auto"/>
              <w:left w:val="single" w:sz="4" w:space="0" w:color="auto"/>
              <w:bottom w:val="single" w:sz="4" w:space="0" w:color="auto"/>
              <w:right w:val="single" w:sz="4" w:space="0" w:color="auto"/>
            </w:tcBorders>
            <w:hideMark/>
          </w:tcPr>
          <w:p w14:paraId="2A6DB86A" w14:textId="77777777" w:rsidR="00647593" w:rsidRDefault="00647593" w:rsidP="006A1A66">
            <w:r>
              <w:t>Negligible</w:t>
            </w:r>
          </w:p>
        </w:tc>
        <w:tc>
          <w:tcPr>
            <w:tcW w:w="1158" w:type="dxa"/>
            <w:tcBorders>
              <w:top w:val="single" w:sz="4" w:space="0" w:color="auto"/>
              <w:left w:val="single" w:sz="4" w:space="0" w:color="auto"/>
              <w:bottom w:val="single" w:sz="4" w:space="0" w:color="auto"/>
              <w:right w:val="single" w:sz="4" w:space="0" w:color="auto"/>
            </w:tcBorders>
            <w:hideMark/>
          </w:tcPr>
          <w:p w14:paraId="4E487DDE" w14:textId="77777777" w:rsidR="00647593" w:rsidRDefault="00647593" w:rsidP="006A1A66">
            <w:r>
              <w:t>Negligible</w:t>
            </w:r>
          </w:p>
        </w:tc>
        <w:tc>
          <w:tcPr>
            <w:tcW w:w="1187" w:type="dxa"/>
            <w:tcBorders>
              <w:top w:val="single" w:sz="4" w:space="0" w:color="auto"/>
              <w:left w:val="single" w:sz="4" w:space="0" w:color="auto"/>
              <w:bottom w:val="single" w:sz="4" w:space="0" w:color="auto"/>
              <w:right w:val="single" w:sz="4" w:space="0" w:color="auto"/>
            </w:tcBorders>
            <w:hideMark/>
          </w:tcPr>
          <w:p w14:paraId="4E1192CD" w14:textId="77777777" w:rsidR="00647593" w:rsidRDefault="00647593" w:rsidP="006A1A66">
            <w:r>
              <w:t>Negligible</w:t>
            </w:r>
          </w:p>
        </w:tc>
        <w:tc>
          <w:tcPr>
            <w:tcW w:w="1167" w:type="dxa"/>
            <w:tcBorders>
              <w:top w:val="single" w:sz="4" w:space="0" w:color="auto"/>
              <w:left w:val="single" w:sz="4" w:space="0" w:color="auto"/>
              <w:bottom w:val="single" w:sz="4" w:space="0" w:color="auto"/>
              <w:right w:val="single" w:sz="4" w:space="0" w:color="auto"/>
            </w:tcBorders>
            <w:hideMark/>
          </w:tcPr>
          <w:p w14:paraId="1339A48F" w14:textId="77777777" w:rsidR="00647593" w:rsidRDefault="00647593" w:rsidP="006A1A66">
            <w:r>
              <w:t>Very low</w:t>
            </w:r>
          </w:p>
        </w:tc>
        <w:tc>
          <w:tcPr>
            <w:tcW w:w="1167" w:type="dxa"/>
            <w:tcBorders>
              <w:top w:val="single" w:sz="4" w:space="0" w:color="auto"/>
              <w:left w:val="single" w:sz="4" w:space="0" w:color="auto"/>
              <w:bottom w:val="single" w:sz="4" w:space="0" w:color="auto"/>
              <w:right w:val="single" w:sz="4" w:space="0" w:color="auto"/>
            </w:tcBorders>
            <w:hideMark/>
          </w:tcPr>
          <w:p w14:paraId="256AAC83" w14:textId="77777777" w:rsidR="00647593" w:rsidRDefault="00647593" w:rsidP="006A1A66">
            <w:r>
              <w:t>Low</w:t>
            </w:r>
          </w:p>
        </w:tc>
      </w:tr>
      <w:tr w:rsidR="00647593" w14:paraId="58BE35B4" w14:textId="77777777" w:rsidTr="006A1A66">
        <w:trPr>
          <w:trHeight w:val="5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263F78" w14:textId="77777777" w:rsidR="00647593" w:rsidRDefault="00647593" w:rsidP="006A1A66">
            <w:pPr>
              <w:rPr>
                <w:b/>
                <w:bCs/>
              </w:rPr>
            </w:pPr>
          </w:p>
        </w:tc>
        <w:tc>
          <w:tcPr>
            <w:tcW w:w="1376" w:type="dxa"/>
            <w:tcBorders>
              <w:top w:val="single" w:sz="4" w:space="0" w:color="auto"/>
              <w:left w:val="single" w:sz="4" w:space="0" w:color="auto"/>
              <w:bottom w:val="single" w:sz="4" w:space="0" w:color="auto"/>
              <w:right w:val="single" w:sz="4" w:space="0" w:color="auto"/>
            </w:tcBorders>
            <w:hideMark/>
          </w:tcPr>
          <w:p w14:paraId="0B5DA69A" w14:textId="77777777" w:rsidR="00647593" w:rsidRDefault="00647593" w:rsidP="006A1A66">
            <w:pPr>
              <w:rPr>
                <w:b/>
                <w:bCs/>
              </w:rPr>
            </w:pPr>
            <w:r>
              <w:rPr>
                <w:b/>
                <w:bCs/>
              </w:rPr>
              <w:t>Negligible</w:t>
            </w:r>
          </w:p>
        </w:tc>
        <w:tc>
          <w:tcPr>
            <w:tcW w:w="1183" w:type="dxa"/>
            <w:tcBorders>
              <w:top w:val="single" w:sz="4" w:space="0" w:color="auto"/>
              <w:left w:val="single" w:sz="4" w:space="0" w:color="auto"/>
              <w:bottom w:val="single" w:sz="4" w:space="0" w:color="auto"/>
              <w:right w:val="single" w:sz="4" w:space="0" w:color="auto"/>
            </w:tcBorders>
            <w:hideMark/>
          </w:tcPr>
          <w:p w14:paraId="22CD2AC7" w14:textId="77777777" w:rsidR="00647593" w:rsidRDefault="00647593" w:rsidP="006A1A66">
            <w:r>
              <w:t>Negligible</w:t>
            </w:r>
          </w:p>
        </w:tc>
        <w:tc>
          <w:tcPr>
            <w:tcW w:w="1158" w:type="dxa"/>
            <w:tcBorders>
              <w:top w:val="single" w:sz="4" w:space="0" w:color="auto"/>
              <w:left w:val="single" w:sz="4" w:space="0" w:color="auto"/>
              <w:bottom w:val="single" w:sz="4" w:space="0" w:color="auto"/>
              <w:right w:val="single" w:sz="4" w:space="0" w:color="auto"/>
            </w:tcBorders>
            <w:hideMark/>
          </w:tcPr>
          <w:p w14:paraId="33EEDD0D" w14:textId="77777777" w:rsidR="00647593" w:rsidRDefault="00647593" w:rsidP="006A1A66">
            <w:r>
              <w:t>Negligible</w:t>
            </w:r>
          </w:p>
        </w:tc>
        <w:tc>
          <w:tcPr>
            <w:tcW w:w="1158" w:type="dxa"/>
            <w:tcBorders>
              <w:top w:val="single" w:sz="4" w:space="0" w:color="auto"/>
              <w:left w:val="single" w:sz="4" w:space="0" w:color="auto"/>
              <w:bottom w:val="single" w:sz="4" w:space="0" w:color="auto"/>
              <w:right w:val="single" w:sz="4" w:space="0" w:color="auto"/>
            </w:tcBorders>
            <w:hideMark/>
          </w:tcPr>
          <w:p w14:paraId="6DA2FD82" w14:textId="77777777" w:rsidR="00647593" w:rsidRDefault="00647593" w:rsidP="006A1A66">
            <w:r>
              <w:t>Negligible</w:t>
            </w:r>
          </w:p>
        </w:tc>
        <w:tc>
          <w:tcPr>
            <w:tcW w:w="1187" w:type="dxa"/>
            <w:tcBorders>
              <w:top w:val="single" w:sz="4" w:space="0" w:color="auto"/>
              <w:left w:val="single" w:sz="4" w:space="0" w:color="auto"/>
              <w:bottom w:val="single" w:sz="4" w:space="0" w:color="auto"/>
              <w:right w:val="single" w:sz="4" w:space="0" w:color="auto"/>
            </w:tcBorders>
            <w:hideMark/>
          </w:tcPr>
          <w:p w14:paraId="20E45080" w14:textId="77777777" w:rsidR="00647593" w:rsidRDefault="00647593" w:rsidP="006A1A66">
            <w:r>
              <w:t>Negligible</w:t>
            </w:r>
          </w:p>
        </w:tc>
        <w:tc>
          <w:tcPr>
            <w:tcW w:w="1167" w:type="dxa"/>
            <w:tcBorders>
              <w:top w:val="single" w:sz="4" w:space="0" w:color="auto"/>
              <w:left w:val="single" w:sz="4" w:space="0" w:color="auto"/>
              <w:bottom w:val="single" w:sz="4" w:space="0" w:color="auto"/>
              <w:right w:val="single" w:sz="4" w:space="0" w:color="auto"/>
            </w:tcBorders>
            <w:hideMark/>
          </w:tcPr>
          <w:p w14:paraId="71F1041B" w14:textId="77777777" w:rsidR="00647593" w:rsidRDefault="00647593" w:rsidP="006A1A66">
            <w:r>
              <w:t>Negligible</w:t>
            </w:r>
          </w:p>
        </w:tc>
        <w:tc>
          <w:tcPr>
            <w:tcW w:w="1167" w:type="dxa"/>
            <w:tcBorders>
              <w:top w:val="single" w:sz="4" w:space="0" w:color="auto"/>
              <w:left w:val="single" w:sz="4" w:space="0" w:color="auto"/>
              <w:bottom w:val="single" w:sz="4" w:space="0" w:color="auto"/>
              <w:right w:val="single" w:sz="4" w:space="0" w:color="auto"/>
            </w:tcBorders>
            <w:hideMark/>
          </w:tcPr>
          <w:p w14:paraId="46377632" w14:textId="77777777" w:rsidR="00647593" w:rsidRDefault="00647593" w:rsidP="006A1A66">
            <w:r>
              <w:t>Very low</w:t>
            </w:r>
          </w:p>
        </w:tc>
      </w:tr>
    </w:tbl>
    <w:p w14:paraId="141F168E" w14:textId="77777777" w:rsidR="00647593" w:rsidRDefault="00647593" w:rsidP="00647593"/>
    <w:p w14:paraId="07B1091A" w14:textId="77777777" w:rsidR="00647593" w:rsidRDefault="00647593" w:rsidP="00647593">
      <w:r>
        <w:t>By combining the overall likelihood and overall consequence ratings, Pest-X has an unrestricted risk estimate of low.</w:t>
      </w:r>
    </w:p>
    <w:p w14:paraId="2DB6D0CF" w14:textId="77777777" w:rsidR="00647593" w:rsidRDefault="00647593" w:rsidP="00647593">
      <w:r>
        <w:t>Note: Australia’s Appropriate Level of Protection (ALOP) is defined as providing a high level of protection for human, animal and plant life that reduces risk to a very low level, but not to zero. As the unrestricted risk estimate for Pest-X does not achieve ALOP (it is ‘low’ not ‘very low’), the risk is unacceptable. Accordingly, risk management measures are required to reduce the risk of Pest-X to an acceptable level (very low).</w:t>
      </w:r>
    </w:p>
    <w:p w14:paraId="517636CB" w14:textId="5F904A70" w:rsidR="00647593" w:rsidRDefault="00647593" w:rsidP="00647593">
      <w:pPr>
        <w:pStyle w:val="Heading1"/>
        <w:spacing w:before="0"/>
      </w:pPr>
      <w:r>
        <w:lastRenderedPageBreak/>
        <w:t>Step 5: Pest risk management</w:t>
      </w:r>
    </w:p>
    <w:p w14:paraId="23075C07" w14:textId="77777777" w:rsidR="00647593" w:rsidRPr="005046D2" w:rsidRDefault="00647593" w:rsidP="00647593">
      <w:pPr>
        <w:pStyle w:val="Heading1"/>
        <w:spacing w:before="0"/>
        <w:rPr>
          <w:b w:val="0"/>
          <w:bCs w:val="0"/>
          <w:sz w:val="22"/>
          <w:szCs w:val="22"/>
        </w:rPr>
      </w:pPr>
      <w:r w:rsidRPr="005046D2">
        <w:rPr>
          <w:b w:val="0"/>
          <w:bCs w:val="0"/>
          <w:sz w:val="22"/>
          <w:szCs w:val="22"/>
        </w:rPr>
        <w:t>Pest risk management measures are required if the unrestricted risk estimate of a quarantine pest does not achieve the appropriate level of protection (ALOP) for Australia. The ALOP for Australia is very low, but not zero. Let’s now take a look at the measures needed for Pest-X.</w:t>
      </w:r>
    </w:p>
    <w:p w14:paraId="6C624EEF" w14:textId="77777777" w:rsidR="00647593" w:rsidRDefault="00647593" w:rsidP="00647593">
      <w:r>
        <w:t xml:space="preserve">There are a number of risk management options that can be used to manage the biosecurity risk of a quarantine pest. The biosecurity risk of most pests can be managed by one or more of the management options presented. </w:t>
      </w:r>
    </w:p>
    <w:p w14:paraId="127B113A" w14:textId="77777777" w:rsidR="00647593" w:rsidRPr="005046D2" w:rsidRDefault="00647593" w:rsidP="00647593">
      <w:pPr>
        <w:rPr>
          <w:b/>
          <w:bCs/>
          <w:sz w:val="26"/>
          <w:szCs w:val="26"/>
        </w:rPr>
      </w:pPr>
      <w:r w:rsidRPr="005046D2">
        <w:rPr>
          <w:b/>
          <w:bCs/>
          <w:sz w:val="26"/>
          <w:szCs w:val="26"/>
        </w:rPr>
        <w:t>Unrestricted risk</w:t>
      </w:r>
    </w:p>
    <w:p w14:paraId="16508EDA" w14:textId="77777777" w:rsidR="00647593" w:rsidRDefault="00647593" w:rsidP="00647593">
      <w:pPr>
        <w:pStyle w:val="ListParagraph"/>
        <w:numPr>
          <w:ilvl w:val="0"/>
          <w:numId w:val="16"/>
        </w:numPr>
      </w:pPr>
      <w:r>
        <w:t xml:space="preserve">Pest-X has an unrestricted risk estimate of Low, which does not achieve Australia’s ALOP. </w:t>
      </w:r>
    </w:p>
    <w:p w14:paraId="2B84FE30" w14:textId="77777777" w:rsidR="00647593" w:rsidRDefault="00647593" w:rsidP="00647593">
      <w:pPr>
        <w:pStyle w:val="ListParagraph"/>
        <w:numPr>
          <w:ilvl w:val="0"/>
          <w:numId w:val="16"/>
        </w:numPr>
      </w:pPr>
      <w:r>
        <w:t xml:space="preserve">Risk management measures are required to reduce the risk to achieve ALOP. </w:t>
      </w:r>
    </w:p>
    <w:p w14:paraId="28184BBC" w14:textId="77777777" w:rsidR="00647593" w:rsidRDefault="00647593" w:rsidP="00647593">
      <w:pPr>
        <w:pStyle w:val="ListParagraph"/>
        <w:numPr>
          <w:ilvl w:val="0"/>
          <w:numId w:val="16"/>
        </w:numPr>
      </w:pPr>
      <w:r>
        <w:t xml:space="preserve">The commodity cannot be imported unless the biosecurity risk posed by Pest-X is reduced to achieve ALOP. </w:t>
      </w:r>
    </w:p>
    <w:p w14:paraId="471E2C09" w14:textId="77777777" w:rsidR="00647593" w:rsidRPr="005046D2" w:rsidRDefault="00647593" w:rsidP="00647593">
      <w:pPr>
        <w:rPr>
          <w:b/>
          <w:bCs/>
          <w:sz w:val="26"/>
          <w:szCs w:val="26"/>
        </w:rPr>
      </w:pPr>
      <w:r w:rsidRPr="005046D2">
        <w:rPr>
          <w:b/>
          <w:bCs/>
          <w:sz w:val="26"/>
          <w:szCs w:val="26"/>
        </w:rPr>
        <w:t>Measure</w:t>
      </w:r>
      <w:r>
        <w:rPr>
          <w:b/>
          <w:bCs/>
          <w:sz w:val="26"/>
          <w:szCs w:val="26"/>
        </w:rPr>
        <w:t>s</w:t>
      </w:r>
    </w:p>
    <w:p w14:paraId="6B8C2CB5" w14:textId="77777777" w:rsidR="00647593" w:rsidRPr="005046D2" w:rsidRDefault="00647593" w:rsidP="00647593">
      <w:r>
        <w:t>Measures that can be applied to reduce the risk posed by Pest-X include:</w:t>
      </w:r>
    </w:p>
    <w:p w14:paraId="7B9C1AFB" w14:textId="77777777" w:rsidR="00647593" w:rsidRDefault="00647593" w:rsidP="00647593">
      <w:pPr>
        <w:pStyle w:val="ListParagraph"/>
        <w:numPr>
          <w:ilvl w:val="0"/>
          <w:numId w:val="17"/>
        </w:numPr>
      </w:pPr>
      <w:r w:rsidRPr="005046D2">
        <w:rPr>
          <w:b/>
          <w:bCs/>
        </w:rPr>
        <w:t>Inspection</w:t>
      </w:r>
      <w:r w:rsidRPr="00BD7252">
        <w:rPr>
          <w:i/>
          <w:iCs/>
        </w:rPr>
        <w:t xml:space="preserve">: </w:t>
      </w:r>
      <w:r>
        <w:t xml:space="preserve">To ensure consignments are free of pests, they are visually inspected in the exporting country, and on arrival in Australia. If required, another option (e.g., treatment) may be used, in addition to inspection, to manage the risk of the pest. </w:t>
      </w:r>
    </w:p>
    <w:p w14:paraId="2EC3F982" w14:textId="77777777" w:rsidR="00647593" w:rsidRDefault="00647593" w:rsidP="00647593">
      <w:pPr>
        <w:pStyle w:val="ListParagraph"/>
        <w:numPr>
          <w:ilvl w:val="0"/>
          <w:numId w:val="17"/>
        </w:numPr>
      </w:pPr>
      <w:r w:rsidRPr="005046D2">
        <w:rPr>
          <w:b/>
          <w:bCs/>
        </w:rPr>
        <w:t>Treatment</w:t>
      </w:r>
      <w:r w:rsidRPr="00BD7252">
        <w:rPr>
          <w:i/>
          <w:iCs/>
        </w:rPr>
        <w:t xml:space="preserve">: </w:t>
      </w:r>
      <w:r>
        <w:t xml:space="preserve">A treatment option, such as irradiation, fumigation, or heat or cold treatment, may be available to manage the risk of Pest-X. </w:t>
      </w:r>
    </w:p>
    <w:p w14:paraId="2F47C07A" w14:textId="77777777" w:rsidR="00647593" w:rsidRPr="00BD7252" w:rsidRDefault="00647593" w:rsidP="00647593">
      <w:pPr>
        <w:pStyle w:val="ListParagraph"/>
        <w:numPr>
          <w:ilvl w:val="0"/>
          <w:numId w:val="17"/>
        </w:numPr>
      </w:pPr>
      <w:r w:rsidRPr="005046D2">
        <w:rPr>
          <w:b/>
          <w:bCs/>
        </w:rPr>
        <w:t xml:space="preserve">Systems </w:t>
      </w:r>
      <w:r>
        <w:rPr>
          <w:b/>
          <w:bCs/>
        </w:rPr>
        <w:t>a</w:t>
      </w:r>
      <w:r w:rsidRPr="005046D2">
        <w:rPr>
          <w:b/>
          <w:bCs/>
        </w:rPr>
        <w:t>pproach</w:t>
      </w:r>
      <w:r w:rsidRPr="005046D2">
        <w:t>:</w:t>
      </w:r>
      <w:r w:rsidRPr="00BD7252">
        <w:t xml:space="preserve"> A systems approach comprises a series of pest management activities applied at different points along the supply chain. This can include pest control during production and cold storage and pest-proof packaging after harvest. </w:t>
      </w:r>
    </w:p>
    <w:p w14:paraId="6EAFD066" w14:textId="77777777" w:rsidR="00647593" w:rsidRPr="00BD7252" w:rsidRDefault="00647593" w:rsidP="00647593">
      <w:pPr>
        <w:pStyle w:val="ListParagraph"/>
        <w:numPr>
          <w:ilvl w:val="0"/>
          <w:numId w:val="17"/>
        </w:numPr>
      </w:pPr>
      <w:r w:rsidRPr="005046D2">
        <w:rPr>
          <w:b/>
          <w:bCs/>
        </w:rPr>
        <w:t>Area freedom</w:t>
      </w:r>
      <w:r w:rsidRPr="005046D2">
        <w:t>:</w:t>
      </w:r>
      <w:r w:rsidRPr="00BD7252">
        <w:t xml:space="preserve"> If there is evidence to prove that the pest is absent from a certain area in the exporting country, sourcing goods from this area (area freedom) may be an option to address the risk of Pest-X. </w:t>
      </w:r>
    </w:p>
    <w:p w14:paraId="69DACF37" w14:textId="77777777" w:rsidR="00647593" w:rsidRPr="00BD7252" w:rsidRDefault="00647593" w:rsidP="00647593">
      <w:pPr>
        <w:pStyle w:val="ListParagraph"/>
        <w:numPr>
          <w:ilvl w:val="0"/>
          <w:numId w:val="17"/>
        </w:numPr>
      </w:pPr>
      <w:r w:rsidRPr="005046D2">
        <w:rPr>
          <w:b/>
          <w:bCs/>
        </w:rPr>
        <w:t>Other measures</w:t>
      </w:r>
      <w:r w:rsidRPr="005046D2">
        <w:t>:</w:t>
      </w:r>
      <w:r w:rsidRPr="00BD7252">
        <w:t xml:space="preserve"> Other risk management measures (e.g., testing) may be available to reduce the risk of Pest-X. </w:t>
      </w:r>
    </w:p>
    <w:p w14:paraId="0A4C5C0E" w14:textId="77777777" w:rsidR="00647593" w:rsidRPr="005046D2" w:rsidRDefault="00647593" w:rsidP="00647593">
      <w:pPr>
        <w:rPr>
          <w:b/>
          <w:bCs/>
          <w:sz w:val="26"/>
          <w:szCs w:val="26"/>
        </w:rPr>
      </w:pPr>
      <w:r w:rsidRPr="005046D2">
        <w:rPr>
          <w:b/>
          <w:bCs/>
          <w:sz w:val="26"/>
          <w:szCs w:val="26"/>
        </w:rPr>
        <w:t>Restricted risk</w:t>
      </w:r>
    </w:p>
    <w:p w14:paraId="2E744E38" w14:textId="77777777" w:rsidR="00647593" w:rsidRDefault="00647593" w:rsidP="00647593">
      <w:r>
        <w:t xml:space="preserve">When risk management measures are applied, the risk posed by Pest-X is reduced to very low. This means Australia’s ALOP is achieved and importation of the commodity may be permitted. </w:t>
      </w:r>
    </w:p>
    <w:p w14:paraId="3D848EB8" w14:textId="77777777" w:rsidR="00647593" w:rsidRPr="00647593" w:rsidRDefault="00647593" w:rsidP="00647593">
      <w:pPr>
        <w:rPr>
          <w:lang w:eastAsia="ja-JP"/>
        </w:rPr>
      </w:pPr>
    </w:p>
    <w:p w14:paraId="50A8B826" w14:textId="77777777" w:rsidR="00647593" w:rsidRPr="00647593" w:rsidRDefault="00647593" w:rsidP="00647593">
      <w:pPr>
        <w:rPr>
          <w:lang w:eastAsia="ja-JP"/>
        </w:rPr>
      </w:pPr>
    </w:p>
    <w:p w14:paraId="3A207658" w14:textId="77777777" w:rsidR="00647593" w:rsidRPr="00647593" w:rsidRDefault="00647593" w:rsidP="00647593">
      <w:pPr>
        <w:spacing w:after="360" w:line="240" w:lineRule="auto"/>
        <w:rPr>
          <w:rFonts w:eastAsia="Calibri" w:cstheme="minorHAnsi"/>
        </w:rPr>
      </w:pPr>
    </w:p>
    <w:sectPr w:rsidR="00647593" w:rsidRPr="0064759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09D7" w14:textId="77777777" w:rsidR="002720BE" w:rsidRDefault="002720BE" w:rsidP="00376C7E">
      <w:pPr>
        <w:spacing w:after="0" w:line="240" w:lineRule="auto"/>
      </w:pPr>
      <w:r>
        <w:separator/>
      </w:r>
    </w:p>
  </w:endnote>
  <w:endnote w:type="continuationSeparator" w:id="0">
    <w:p w14:paraId="597C9A0D" w14:textId="77777777" w:rsidR="002720BE" w:rsidRDefault="002720BE" w:rsidP="00376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F95CC" w14:textId="77777777" w:rsidR="002720BE" w:rsidRDefault="002720BE" w:rsidP="00376C7E">
      <w:pPr>
        <w:spacing w:after="0" w:line="240" w:lineRule="auto"/>
      </w:pPr>
      <w:r>
        <w:separator/>
      </w:r>
    </w:p>
  </w:footnote>
  <w:footnote w:type="continuationSeparator" w:id="0">
    <w:p w14:paraId="51D6CA3D" w14:textId="77777777" w:rsidR="002720BE" w:rsidRDefault="002720BE" w:rsidP="00376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8ACD" w14:textId="2EC44B0C" w:rsidR="00376C7E" w:rsidRDefault="002E4F16">
    <w:pPr>
      <w:pStyle w:val="Header"/>
    </w:pPr>
    <w:r>
      <w:rPr>
        <w:noProof/>
      </w:rPr>
      <w:drawing>
        <wp:inline distT="0" distB="0" distL="0" distR="0" wp14:anchorId="71965988" wp14:editId="18D0B47C">
          <wp:extent cx="2903552" cy="40576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8755" cy="410685"/>
                  </a:xfrm>
                  <a:prstGeom prst="rect">
                    <a:avLst/>
                  </a:prstGeom>
                  <a:noFill/>
                  <a:ln>
                    <a:noFill/>
                  </a:ln>
                </pic:spPr>
              </pic:pic>
            </a:graphicData>
          </a:graphic>
        </wp:inline>
      </w:drawing>
    </w:r>
  </w:p>
  <w:p w14:paraId="3B7FC4C1" w14:textId="77777777" w:rsidR="002E4F16" w:rsidRDefault="002E4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89B"/>
    <w:multiLevelType w:val="hybridMultilevel"/>
    <w:tmpl w:val="F9D0407C"/>
    <w:lvl w:ilvl="0" w:tplc="AA76FEF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E16D02"/>
    <w:multiLevelType w:val="hybridMultilevel"/>
    <w:tmpl w:val="7F4CE6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1D615D"/>
    <w:multiLevelType w:val="hybridMultilevel"/>
    <w:tmpl w:val="EC52C3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AE039FA"/>
    <w:multiLevelType w:val="hybridMultilevel"/>
    <w:tmpl w:val="DDBCF03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DB581F"/>
    <w:multiLevelType w:val="hybridMultilevel"/>
    <w:tmpl w:val="E8CC8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077B50"/>
    <w:multiLevelType w:val="hybridMultilevel"/>
    <w:tmpl w:val="DB98F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9212CA"/>
    <w:multiLevelType w:val="hybridMultilevel"/>
    <w:tmpl w:val="DDBCF03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6B55F8"/>
    <w:multiLevelType w:val="hybridMultilevel"/>
    <w:tmpl w:val="B2DE79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18310D1"/>
    <w:multiLevelType w:val="hybridMultilevel"/>
    <w:tmpl w:val="9454D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AD68C2"/>
    <w:multiLevelType w:val="hybridMultilevel"/>
    <w:tmpl w:val="2BA24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F25AF0"/>
    <w:multiLevelType w:val="hybridMultilevel"/>
    <w:tmpl w:val="173A77C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7B51644"/>
    <w:multiLevelType w:val="hybridMultilevel"/>
    <w:tmpl w:val="B8460A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5BF50702"/>
    <w:multiLevelType w:val="hybridMultilevel"/>
    <w:tmpl w:val="056EC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26F02AC"/>
    <w:multiLevelType w:val="hybridMultilevel"/>
    <w:tmpl w:val="F37EAE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D7C087D"/>
    <w:multiLevelType w:val="hybridMultilevel"/>
    <w:tmpl w:val="A55C6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20F66C0"/>
    <w:multiLevelType w:val="hybridMultilevel"/>
    <w:tmpl w:val="378EA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46C1CCE"/>
    <w:multiLevelType w:val="hybridMultilevel"/>
    <w:tmpl w:val="6EF63E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BB66F0"/>
    <w:multiLevelType w:val="hybridMultilevel"/>
    <w:tmpl w:val="A14EC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6819572">
    <w:abstractNumId w:val="10"/>
  </w:num>
  <w:num w:numId="2" w16cid:durableId="1101293732">
    <w:abstractNumId w:val="16"/>
  </w:num>
  <w:num w:numId="3" w16cid:durableId="1333726390">
    <w:abstractNumId w:val="0"/>
  </w:num>
  <w:num w:numId="4" w16cid:durableId="867060848">
    <w:abstractNumId w:val="6"/>
  </w:num>
  <w:num w:numId="5" w16cid:durableId="1813062729">
    <w:abstractNumId w:val="7"/>
  </w:num>
  <w:num w:numId="6" w16cid:durableId="1464275584">
    <w:abstractNumId w:val="1"/>
  </w:num>
  <w:num w:numId="7" w16cid:durableId="1830749461">
    <w:abstractNumId w:val="2"/>
  </w:num>
  <w:num w:numId="8" w16cid:durableId="832261978">
    <w:abstractNumId w:val="9"/>
  </w:num>
  <w:num w:numId="9" w16cid:durableId="956910654">
    <w:abstractNumId w:val="17"/>
  </w:num>
  <w:num w:numId="10" w16cid:durableId="1791704203">
    <w:abstractNumId w:val="5"/>
  </w:num>
  <w:num w:numId="11" w16cid:durableId="1821187991">
    <w:abstractNumId w:val="8"/>
  </w:num>
  <w:num w:numId="12" w16cid:durableId="1900823401">
    <w:abstractNumId w:val="4"/>
  </w:num>
  <w:num w:numId="13" w16cid:durableId="2080977590">
    <w:abstractNumId w:val="11"/>
  </w:num>
  <w:num w:numId="14" w16cid:durableId="409741018">
    <w:abstractNumId w:val="13"/>
  </w:num>
  <w:num w:numId="15" w16cid:durableId="1197082172">
    <w:abstractNumId w:val="14"/>
  </w:num>
  <w:num w:numId="16" w16cid:durableId="974681666">
    <w:abstractNumId w:val="15"/>
  </w:num>
  <w:num w:numId="17" w16cid:durableId="1758794440">
    <w:abstractNumId w:val="12"/>
  </w:num>
  <w:num w:numId="18" w16cid:durableId="1176574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83C"/>
    <w:rsid w:val="0006448C"/>
    <w:rsid w:val="000B0454"/>
    <w:rsid w:val="00181797"/>
    <w:rsid w:val="001F7097"/>
    <w:rsid w:val="002720BE"/>
    <w:rsid w:val="002D2F4F"/>
    <w:rsid w:val="002E4F16"/>
    <w:rsid w:val="002E70EB"/>
    <w:rsid w:val="002F433F"/>
    <w:rsid w:val="00340CE8"/>
    <w:rsid w:val="00376C7E"/>
    <w:rsid w:val="00515467"/>
    <w:rsid w:val="005A315F"/>
    <w:rsid w:val="00647593"/>
    <w:rsid w:val="006922E1"/>
    <w:rsid w:val="006B3043"/>
    <w:rsid w:val="006C7102"/>
    <w:rsid w:val="0082451C"/>
    <w:rsid w:val="00836D00"/>
    <w:rsid w:val="0087037B"/>
    <w:rsid w:val="00884E6E"/>
    <w:rsid w:val="008B383C"/>
    <w:rsid w:val="00945120"/>
    <w:rsid w:val="00AF5EC6"/>
    <w:rsid w:val="00B365B4"/>
    <w:rsid w:val="00BD6318"/>
    <w:rsid w:val="00C45BEA"/>
    <w:rsid w:val="00C55F28"/>
    <w:rsid w:val="00C74E53"/>
    <w:rsid w:val="00CE385E"/>
    <w:rsid w:val="00CE6610"/>
    <w:rsid w:val="00CF279F"/>
    <w:rsid w:val="00EE0F97"/>
    <w:rsid w:val="00F55CA4"/>
    <w:rsid w:val="00FF5C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0A211"/>
  <w15:chartTrackingRefBased/>
  <w15:docId w15:val="{1A2BA53D-425A-460E-B1BE-ABE59769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1"/>
    <w:qFormat/>
    <w:rsid w:val="000B0454"/>
    <w:pPr>
      <w:keepNext/>
      <w:keepLines/>
      <w:spacing w:before="720" w:after="240" w:line="240" w:lineRule="auto"/>
      <w:outlineLvl w:val="0"/>
    </w:pPr>
    <w:rPr>
      <w:rFonts w:ascii="Calibri" w:eastAsiaTheme="minorEastAsia" w:hAnsi="Calibri"/>
      <w:b/>
      <w:bCs/>
      <w:color w:val="000000"/>
      <w:sz w:val="56"/>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83C"/>
    <w:pPr>
      <w:ind w:left="720"/>
      <w:contextualSpacing/>
    </w:pPr>
  </w:style>
  <w:style w:type="character" w:customStyle="1" w:styleId="Heading1Char">
    <w:name w:val="Heading 1 Char"/>
    <w:basedOn w:val="DefaultParagraphFont"/>
    <w:link w:val="Heading1"/>
    <w:uiPriority w:val="1"/>
    <w:rsid w:val="000B0454"/>
    <w:rPr>
      <w:rFonts w:ascii="Calibri" w:eastAsiaTheme="minorEastAsia" w:hAnsi="Calibri"/>
      <w:b/>
      <w:bCs/>
      <w:color w:val="000000"/>
      <w:sz w:val="56"/>
      <w:szCs w:val="28"/>
      <w:lang w:eastAsia="ja-JP"/>
    </w:rPr>
  </w:style>
  <w:style w:type="paragraph" w:styleId="BalloonText">
    <w:name w:val="Balloon Text"/>
    <w:basedOn w:val="Normal"/>
    <w:link w:val="BalloonTextChar"/>
    <w:uiPriority w:val="99"/>
    <w:semiHidden/>
    <w:unhideWhenUsed/>
    <w:rsid w:val="00340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CE8"/>
    <w:rPr>
      <w:rFonts w:ascii="Segoe UI" w:hAnsi="Segoe UI" w:cs="Segoe UI"/>
      <w:sz w:val="18"/>
      <w:szCs w:val="18"/>
    </w:rPr>
  </w:style>
  <w:style w:type="character" w:styleId="CommentReference">
    <w:name w:val="annotation reference"/>
    <w:basedOn w:val="DefaultParagraphFont"/>
    <w:uiPriority w:val="99"/>
    <w:semiHidden/>
    <w:unhideWhenUsed/>
    <w:rsid w:val="00CE6610"/>
    <w:rPr>
      <w:sz w:val="16"/>
      <w:szCs w:val="16"/>
    </w:rPr>
  </w:style>
  <w:style w:type="paragraph" w:styleId="CommentText">
    <w:name w:val="annotation text"/>
    <w:basedOn w:val="Normal"/>
    <w:link w:val="CommentTextChar"/>
    <w:uiPriority w:val="99"/>
    <w:semiHidden/>
    <w:unhideWhenUsed/>
    <w:rsid w:val="00CE6610"/>
    <w:pPr>
      <w:spacing w:line="240" w:lineRule="auto"/>
    </w:pPr>
    <w:rPr>
      <w:sz w:val="20"/>
      <w:szCs w:val="20"/>
    </w:rPr>
  </w:style>
  <w:style w:type="character" w:customStyle="1" w:styleId="CommentTextChar">
    <w:name w:val="Comment Text Char"/>
    <w:basedOn w:val="DefaultParagraphFont"/>
    <w:link w:val="CommentText"/>
    <w:uiPriority w:val="99"/>
    <w:semiHidden/>
    <w:rsid w:val="00CE6610"/>
    <w:rPr>
      <w:sz w:val="20"/>
      <w:szCs w:val="20"/>
    </w:rPr>
  </w:style>
  <w:style w:type="paragraph" w:styleId="CommentSubject">
    <w:name w:val="annotation subject"/>
    <w:basedOn w:val="CommentText"/>
    <w:next w:val="CommentText"/>
    <w:link w:val="CommentSubjectChar"/>
    <w:uiPriority w:val="99"/>
    <w:semiHidden/>
    <w:unhideWhenUsed/>
    <w:rsid w:val="00CE6610"/>
    <w:rPr>
      <w:b/>
      <w:bCs/>
    </w:rPr>
  </w:style>
  <w:style w:type="character" w:customStyle="1" w:styleId="CommentSubjectChar">
    <w:name w:val="Comment Subject Char"/>
    <w:basedOn w:val="CommentTextChar"/>
    <w:link w:val="CommentSubject"/>
    <w:uiPriority w:val="99"/>
    <w:semiHidden/>
    <w:rsid w:val="00CE6610"/>
    <w:rPr>
      <w:b/>
      <w:bCs/>
      <w:sz w:val="20"/>
      <w:szCs w:val="20"/>
    </w:rPr>
  </w:style>
  <w:style w:type="paragraph" w:styleId="Header">
    <w:name w:val="header"/>
    <w:basedOn w:val="Normal"/>
    <w:link w:val="HeaderChar"/>
    <w:uiPriority w:val="99"/>
    <w:unhideWhenUsed/>
    <w:rsid w:val="00376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C7E"/>
  </w:style>
  <w:style w:type="paragraph" w:styleId="Footer">
    <w:name w:val="footer"/>
    <w:basedOn w:val="Normal"/>
    <w:link w:val="FooterChar"/>
    <w:uiPriority w:val="99"/>
    <w:unhideWhenUsed/>
    <w:rsid w:val="00376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C7E"/>
  </w:style>
  <w:style w:type="table" w:styleId="TableGrid">
    <w:name w:val="Table Grid"/>
    <w:basedOn w:val="TableNormal"/>
    <w:uiPriority w:val="39"/>
    <w:rsid w:val="00647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F4E17-A0A4-4D49-AAA0-A7A937DBED72}">
  <ds:schemaRefs>
    <ds:schemaRef ds:uri="http://schemas.microsoft.com/sharepoint/v3/contenttype/forms"/>
  </ds:schemaRefs>
</ds:datastoreItem>
</file>

<file path=customXml/itemProps2.xml><?xml version="1.0" encoding="utf-8"?>
<ds:datastoreItem xmlns:ds="http://schemas.openxmlformats.org/officeDocument/2006/customXml" ds:itemID="{0FCE8BF1-BA66-40C2-985B-2188246CE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2025</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Plant commodity/country risk analysis process</vt:lpstr>
    </vt:vector>
  </TitlesOfParts>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commodity/country risk analysis process</dc:title>
  <dc:subject/>
  <dc:creator>Department of Agriculture, Fisheries and Forestry</dc:creator>
  <cp:keywords/>
  <dc:description/>
  <cp:lastModifiedBy>Goggins, Fiona</cp:lastModifiedBy>
  <cp:revision>3</cp:revision>
  <dcterms:created xsi:type="dcterms:W3CDTF">2023-02-20T22:09:00Z</dcterms:created>
  <dcterms:modified xsi:type="dcterms:W3CDTF">2023-05-02T06:23:00Z</dcterms:modified>
</cp:coreProperties>
</file>