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A5EC" w14:textId="61D23E7F" w:rsidR="00764D6A" w:rsidRDefault="00007E38" w:rsidP="00007E38">
      <w:pPr>
        <w:pStyle w:val="Heading1"/>
      </w:pPr>
      <w:bookmarkStart w:id="0" w:name="_Hlk218747836"/>
      <w:r w:rsidRPr="00C07628">
        <w:t>Policy on refunds and remissions for cost-recovery charges</w:t>
      </w:r>
    </w:p>
    <w:bookmarkEnd w:id="0"/>
    <w:p w14:paraId="1449662B" w14:textId="3C22B999" w:rsidR="00600DDE" w:rsidRPr="00600DDE" w:rsidRDefault="00600DDE" w:rsidP="00600DDE">
      <w:pPr>
        <w:pStyle w:val="Date"/>
      </w:pPr>
      <w:r w:rsidRPr="00600DDE">
        <w:t>December 2025</w:t>
      </w:r>
    </w:p>
    <w:p w14:paraId="3F9828CC" w14:textId="77777777" w:rsidR="00764D6A" w:rsidRDefault="00E91D72">
      <w:pPr>
        <w:pStyle w:val="Normalsmall"/>
      </w:pPr>
      <w:r>
        <w:br w:type="page"/>
      </w:r>
      <w:r>
        <w:lastRenderedPageBreak/>
        <w:t xml:space="preserve">© Commonwealth of Australia </w:t>
      </w:r>
      <w:r w:rsidR="00B97E61">
        <w:t>202</w:t>
      </w:r>
      <w:r w:rsidR="00894031">
        <w:t>6</w:t>
      </w:r>
    </w:p>
    <w:p w14:paraId="4B6200B0" w14:textId="77777777" w:rsidR="00764D6A" w:rsidRDefault="00E91D72" w:rsidP="00894031">
      <w:pPr>
        <w:pStyle w:val="Normalsmall"/>
        <w:spacing w:after="0"/>
        <w:rPr>
          <w:rStyle w:val="Strong"/>
        </w:rPr>
      </w:pPr>
      <w:r>
        <w:rPr>
          <w:rStyle w:val="Strong"/>
        </w:rPr>
        <w:t>Ownership of intellectual property rights</w:t>
      </w:r>
    </w:p>
    <w:p w14:paraId="09C12CF8"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52E6CF14" w14:textId="77777777" w:rsidR="00764D6A" w:rsidRDefault="00E91D72" w:rsidP="00894031">
      <w:pPr>
        <w:pStyle w:val="Normalsmall"/>
        <w:spacing w:after="0"/>
        <w:rPr>
          <w:rStyle w:val="Strong"/>
        </w:rPr>
      </w:pPr>
      <w:r>
        <w:rPr>
          <w:rStyle w:val="Strong"/>
        </w:rPr>
        <w:t>Creative Commons licence</w:t>
      </w:r>
    </w:p>
    <w:p w14:paraId="7BA319D0"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3B2241D0" w14:textId="77777777" w:rsidR="00764D6A" w:rsidRPr="00364A4A" w:rsidRDefault="00E91D72">
      <w:pPr>
        <w:pStyle w:val="Normalsmall"/>
      </w:pPr>
      <w:r w:rsidRPr="00364A4A">
        <w:rPr>
          <w:noProof/>
          <w:lang w:eastAsia="en-AU"/>
        </w:rPr>
        <w:drawing>
          <wp:inline distT="0" distB="0" distL="0" distR="0" wp14:anchorId="405BC82C" wp14:editId="1C1B0D2A">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2C43AF24" w14:textId="77777777" w:rsidR="00764D6A" w:rsidRPr="00364A4A" w:rsidRDefault="00E91D72" w:rsidP="00894031">
      <w:pPr>
        <w:pStyle w:val="Normalsmall"/>
        <w:spacing w:after="0"/>
        <w:rPr>
          <w:rStyle w:val="Strong"/>
        </w:rPr>
      </w:pPr>
      <w:r w:rsidRPr="00364A4A">
        <w:rPr>
          <w:rStyle w:val="Strong"/>
        </w:rPr>
        <w:t>Cataloguing data</w:t>
      </w:r>
    </w:p>
    <w:p w14:paraId="3BA2C51B" w14:textId="218D5928" w:rsidR="00764D6A" w:rsidRDefault="00E91D72">
      <w:pPr>
        <w:pStyle w:val="Normalsmall"/>
      </w:pPr>
      <w:r w:rsidRPr="00364A4A">
        <w:t xml:space="preserve">This publication (and any material sourced from it) should be attributed as: </w:t>
      </w:r>
      <w:r w:rsidR="009D5007" w:rsidRPr="00600DDE">
        <w:t>DA</w:t>
      </w:r>
      <w:r w:rsidR="00DE0AAE" w:rsidRPr="00600DDE">
        <w:t>FF</w:t>
      </w:r>
      <w:r w:rsidR="00B97E61" w:rsidRPr="00600DDE">
        <w:t xml:space="preserve"> 202</w:t>
      </w:r>
      <w:r w:rsidR="00600DDE">
        <w:t>5</w:t>
      </w:r>
      <w:r w:rsidRPr="00600DDE">
        <w:t xml:space="preserve">, </w:t>
      </w:r>
      <w:r w:rsidR="00600DDE" w:rsidRPr="00600DDE">
        <w:rPr>
          <w:rStyle w:val="Emphasis"/>
        </w:rPr>
        <w:t>Policy on refunds and remissions for cost-recovery charges</w:t>
      </w:r>
      <w:r>
        <w:t xml:space="preserve">, </w:t>
      </w:r>
      <w:r w:rsidR="00DE0AAE" w:rsidRPr="00DE0AAE">
        <w:t>Department of Agriculture, Fisheries and Forestry</w:t>
      </w:r>
      <w:r>
        <w:t>, Canberra. CC BY 4.0.</w:t>
      </w:r>
    </w:p>
    <w:p w14:paraId="6E706C28" w14:textId="2D46AE18" w:rsidR="00764D6A" w:rsidRDefault="00E91D72">
      <w:pPr>
        <w:pStyle w:val="Normalsmall"/>
      </w:pPr>
      <w:r>
        <w:t xml:space="preserve">This </w:t>
      </w:r>
      <w:r w:rsidRPr="00364A4A">
        <w:t xml:space="preserve">publication is </w:t>
      </w:r>
      <w:r w:rsidRPr="00862F91">
        <w:t xml:space="preserve">available at </w:t>
      </w:r>
      <w:hyperlink r:id="rId13" w:history="1">
        <w:r w:rsidR="00862F91" w:rsidRPr="00862F91">
          <w:rPr>
            <w:rStyle w:val="Hyperlink"/>
          </w:rPr>
          <w:t>agriculture.gov.au/about/fees</w:t>
        </w:r>
      </w:hyperlink>
      <w:r w:rsidRPr="00862F91">
        <w:t>.</w:t>
      </w:r>
    </w:p>
    <w:p w14:paraId="69F22214" w14:textId="77777777" w:rsidR="00DE0AAE" w:rsidRDefault="00DE0AAE">
      <w:pPr>
        <w:pStyle w:val="Normalsmall"/>
        <w:spacing w:after="0"/>
      </w:pPr>
      <w:r w:rsidRPr="00DE0AAE">
        <w:t>Department of Agriculture, Fisheries and Forestry</w:t>
      </w:r>
    </w:p>
    <w:p w14:paraId="09125AAC" w14:textId="77777777" w:rsidR="00764D6A" w:rsidRPr="00364A4A" w:rsidRDefault="00E91D72">
      <w:pPr>
        <w:pStyle w:val="Normalsmall"/>
        <w:spacing w:after="0"/>
      </w:pPr>
      <w:r w:rsidRPr="00364A4A">
        <w:t>GPO Box 858 Canberra ACT 2601</w:t>
      </w:r>
    </w:p>
    <w:p w14:paraId="202D2033" w14:textId="77777777" w:rsidR="00764D6A" w:rsidRPr="00364A4A" w:rsidRDefault="00E91D72">
      <w:pPr>
        <w:pStyle w:val="Normalsmall"/>
        <w:spacing w:after="0"/>
      </w:pPr>
      <w:r w:rsidRPr="00364A4A">
        <w:t>Telephone 1800 900 090</w:t>
      </w:r>
    </w:p>
    <w:p w14:paraId="7E390257"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6C1BBE30" w14:textId="77777777" w:rsidR="007C358A" w:rsidRDefault="007C358A" w:rsidP="00894031">
      <w:pPr>
        <w:pStyle w:val="Normalsmall"/>
        <w:spacing w:after="0"/>
      </w:pPr>
      <w:r w:rsidRPr="00364A4A">
        <w:rPr>
          <w:rStyle w:val="Strong"/>
        </w:rPr>
        <w:t>Disclaimer</w:t>
      </w:r>
    </w:p>
    <w:p w14:paraId="7F5C1791"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5551A4C8" w14:textId="77777777" w:rsidR="00B02B9B" w:rsidRDefault="00B02B9B" w:rsidP="00894031">
      <w:pPr>
        <w:pStyle w:val="Normalsmall"/>
        <w:spacing w:after="0"/>
      </w:pPr>
      <w:r>
        <w:rPr>
          <w:rStyle w:val="Strong"/>
        </w:rPr>
        <w:t>Acknowledgement of Country</w:t>
      </w:r>
    </w:p>
    <w:p w14:paraId="382B5FC1" w14:textId="77777777" w:rsidR="00517A68" w:rsidRDefault="00DE21ED" w:rsidP="00432172">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4238DB7" w14:textId="77777777" w:rsidR="00D71287" w:rsidRPr="00DF2870" w:rsidRDefault="00D71287" w:rsidP="00D71287">
      <w:pPr>
        <w:pStyle w:val="Normalsmall"/>
        <w:spacing w:after="0"/>
        <w:rPr>
          <w:rStyle w:val="Strong"/>
        </w:rPr>
      </w:pPr>
      <w:r w:rsidRPr="00DF2870">
        <w:rPr>
          <w:rStyle w:val="Strong"/>
        </w:rPr>
        <w:t>Version control</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702"/>
        <w:gridCol w:w="1299"/>
        <w:gridCol w:w="2024"/>
        <w:gridCol w:w="2024"/>
        <w:gridCol w:w="2021"/>
      </w:tblGrid>
      <w:tr w:rsidR="00D71287" w:rsidRPr="00C57235" w14:paraId="57FCB739" w14:textId="77777777" w:rsidTr="0053589C">
        <w:tc>
          <w:tcPr>
            <w:tcW w:w="938" w:type="pct"/>
          </w:tcPr>
          <w:p w14:paraId="230088B0" w14:textId="77777777" w:rsidR="00D71287" w:rsidRPr="00C57235" w:rsidRDefault="00D71287" w:rsidP="0053589C">
            <w:pPr>
              <w:pStyle w:val="TableHeading"/>
            </w:pPr>
            <w:bookmarkStart w:id="1" w:name="Title_Document_control"/>
            <w:bookmarkEnd w:id="1"/>
            <w:r>
              <w:t>Date</w:t>
            </w:r>
          </w:p>
        </w:tc>
        <w:tc>
          <w:tcPr>
            <w:tcW w:w="716" w:type="pct"/>
          </w:tcPr>
          <w:p w14:paraId="66888E4B" w14:textId="77777777" w:rsidR="00D71287" w:rsidRPr="00C57235" w:rsidRDefault="00D71287" w:rsidP="0053589C">
            <w:pPr>
              <w:pStyle w:val="TableHeading"/>
            </w:pPr>
            <w:r>
              <w:t>Version</w:t>
            </w:r>
          </w:p>
        </w:tc>
        <w:tc>
          <w:tcPr>
            <w:tcW w:w="1116" w:type="pct"/>
          </w:tcPr>
          <w:p w14:paraId="1FC7C298" w14:textId="77777777" w:rsidR="00D71287" w:rsidRPr="00C57235" w:rsidRDefault="00D71287" w:rsidP="0053589C">
            <w:pPr>
              <w:pStyle w:val="TableHeading"/>
            </w:pPr>
            <w:r>
              <w:t>Description</w:t>
            </w:r>
          </w:p>
        </w:tc>
        <w:tc>
          <w:tcPr>
            <w:tcW w:w="1116" w:type="pct"/>
          </w:tcPr>
          <w:p w14:paraId="4D80F18C" w14:textId="77777777" w:rsidR="00D71287" w:rsidRPr="00C57235" w:rsidRDefault="00D71287" w:rsidP="0053589C">
            <w:pPr>
              <w:pStyle w:val="TableHeading"/>
            </w:pPr>
            <w:r>
              <w:t>Author</w:t>
            </w:r>
          </w:p>
        </w:tc>
        <w:tc>
          <w:tcPr>
            <w:tcW w:w="1114" w:type="pct"/>
          </w:tcPr>
          <w:p w14:paraId="66BF67C4" w14:textId="77777777" w:rsidR="00D71287" w:rsidRPr="00C57235" w:rsidRDefault="00D71287" w:rsidP="0053589C">
            <w:pPr>
              <w:pStyle w:val="TableHeading"/>
            </w:pPr>
            <w:r>
              <w:t>Approved by</w:t>
            </w:r>
          </w:p>
        </w:tc>
      </w:tr>
      <w:tr w:rsidR="00D71287" w:rsidRPr="00C57235" w14:paraId="1B4204BC" w14:textId="77777777" w:rsidTr="0053589C">
        <w:tc>
          <w:tcPr>
            <w:tcW w:w="938" w:type="pct"/>
          </w:tcPr>
          <w:p w14:paraId="150DEA90" w14:textId="77777777" w:rsidR="00D71287" w:rsidRPr="00405C9C" w:rsidRDefault="00D71287" w:rsidP="0053589C">
            <w:pPr>
              <w:pStyle w:val="TableText"/>
            </w:pPr>
            <w:r w:rsidRPr="00405C9C">
              <w:t>15 December 2025</w:t>
            </w:r>
          </w:p>
        </w:tc>
        <w:tc>
          <w:tcPr>
            <w:tcW w:w="716" w:type="pct"/>
          </w:tcPr>
          <w:p w14:paraId="51EC5C85" w14:textId="77777777" w:rsidR="00D71287" w:rsidRPr="00405C9C" w:rsidRDefault="00D71287" w:rsidP="0053589C">
            <w:pPr>
              <w:pStyle w:val="TableText"/>
            </w:pPr>
            <w:r w:rsidRPr="00405C9C">
              <w:t>1.0</w:t>
            </w:r>
          </w:p>
        </w:tc>
        <w:tc>
          <w:tcPr>
            <w:tcW w:w="1116" w:type="pct"/>
          </w:tcPr>
          <w:p w14:paraId="73A63BB8" w14:textId="77777777" w:rsidR="00D71287" w:rsidRPr="00405C9C" w:rsidRDefault="00D71287" w:rsidP="0053589C">
            <w:pPr>
              <w:pStyle w:val="TableText"/>
            </w:pPr>
            <w:r w:rsidRPr="00405C9C">
              <w:t>Original version.</w:t>
            </w:r>
          </w:p>
        </w:tc>
        <w:tc>
          <w:tcPr>
            <w:tcW w:w="1116" w:type="pct"/>
          </w:tcPr>
          <w:p w14:paraId="4B4E0724" w14:textId="77777777" w:rsidR="00D71287" w:rsidRPr="00405C9C" w:rsidRDefault="00D71287" w:rsidP="0053589C">
            <w:pPr>
              <w:pStyle w:val="TableText"/>
            </w:pPr>
            <w:r w:rsidRPr="00405C9C">
              <w:t>Legal Division</w:t>
            </w:r>
          </w:p>
        </w:tc>
        <w:tc>
          <w:tcPr>
            <w:tcW w:w="1114" w:type="pct"/>
          </w:tcPr>
          <w:p w14:paraId="0B74CF51" w14:textId="3EEF3CA8" w:rsidR="00D71287" w:rsidRPr="00405C9C" w:rsidRDefault="00CC4C15" w:rsidP="0053589C">
            <w:pPr>
              <w:pStyle w:val="TableText"/>
            </w:pPr>
            <w:r>
              <w:t>Paul Howe A/g CFO 08/01/202</w:t>
            </w:r>
            <w:r w:rsidR="000B4922">
              <w:t>6</w:t>
            </w:r>
          </w:p>
        </w:tc>
      </w:tr>
    </w:tbl>
    <w:p w14:paraId="458539B2" w14:textId="6E2833F9" w:rsidR="00764D6A" w:rsidRDefault="00E91D72">
      <w:pPr>
        <w:spacing w:after="0" w:line="240" w:lineRule="auto"/>
      </w:pPr>
      <w:r>
        <w:br w:type="page"/>
      </w:r>
    </w:p>
    <w:sdt>
      <w:sdtPr>
        <w:rPr>
          <w:rFonts w:ascii="Cambria" w:eastAsiaTheme="minorHAnsi" w:hAnsi="Cambria"/>
          <w:b/>
          <w:bCs w:val="0"/>
          <w:noProof/>
          <w:color w:val="auto"/>
          <w:sz w:val="22"/>
          <w:szCs w:val="22"/>
          <w:lang w:eastAsia="en-US"/>
        </w:rPr>
        <w:id w:val="-760297017"/>
        <w:docPartObj>
          <w:docPartGallery w:val="Table of Contents"/>
          <w:docPartUnique/>
        </w:docPartObj>
      </w:sdtPr>
      <w:sdtEndPr>
        <w:rPr>
          <w:rFonts w:asciiTheme="minorHAnsi" w:hAnsiTheme="minorHAnsi"/>
        </w:rPr>
      </w:sdtEndPr>
      <w:sdtContent>
        <w:p w14:paraId="23033330" w14:textId="5BF9E635" w:rsidR="00764D6A" w:rsidRDefault="00E91D72">
          <w:pPr>
            <w:pStyle w:val="TOCHeading"/>
          </w:pPr>
          <w:r>
            <w:t>Contents</w:t>
          </w:r>
        </w:p>
        <w:p w14:paraId="3E738C87" w14:textId="19D49197" w:rsidR="004930ED"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8691974" w:history="1">
            <w:r w:rsidR="004930ED" w:rsidRPr="00D31CB0">
              <w:rPr>
                <w:rStyle w:val="Hyperlink"/>
              </w:rPr>
              <w:t>Introduction</w:t>
            </w:r>
            <w:r w:rsidR="004930ED">
              <w:rPr>
                <w:webHidden/>
              </w:rPr>
              <w:tab/>
            </w:r>
            <w:r w:rsidR="004930ED">
              <w:rPr>
                <w:webHidden/>
              </w:rPr>
              <w:fldChar w:fldCharType="begin"/>
            </w:r>
            <w:r w:rsidR="004930ED">
              <w:rPr>
                <w:webHidden/>
              </w:rPr>
              <w:instrText xml:space="preserve"> PAGEREF _Toc218691974 \h </w:instrText>
            </w:r>
            <w:r w:rsidR="004930ED">
              <w:rPr>
                <w:webHidden/>
              </w:rPr>
            </w:r>
            <w:r w:rsidR="004930ED">
              <w:rPr>
                <w:webHidden/>
              </w:rPr>
              <w:fldChar w:fldCharType="separate"/>
            </w:r>
            <w:r w:rsidR="004930ED">
              <w:rPr>
                <w:webHidden/>
              </w:rPr>
              <w:t>4</w:t>
            </w:r>
            <w:r w:rsidR="004930ED">
              <w:rPr>
                <w:webHidden/>
              </w:rPr>
              <w:fldChar w:fldCharType="end"/>
            </w:r>
          </w:hyperlink>
        </w:p>
        <w:p w14:paraId="71E2F3BA" w14:textId="1DEC2DF0" w:rsidR="004930ED" w:rsidRDefault="004930ED">
          <w:pPr>
            <w:pStyle w:val="TOC1"/>
            <w:rPr>
              <w:rFonts w:eastAsiaTheme="minorEastAsia"/>
              <w:b w:val="0"/>
              <w:kern w:val="2"/>
              <w:sz w:val="24"/>
              <w:szCs w:val="24"/>
              <w:lang w:eastAsia="en-AU"/>
              <w14:ligatures w14:val="standardContextual"/>
            </w:rPr>
          </w:pPr>
          <w:hyperlink w:anchor="_Toc218691975" w:history="1">
            <w:r w:rsidRPr="00D31CB0">
              <w:rPr>
                <w:rStyle w:val="Hyperlink"/>
              </w:rPr>
              <w:t>Glossary</w:t>
            </w:r>
            <w:r>
              <w:rPr>
                <w:webHidden/>
              </w:rPr>
              <w:tab/>
            </w:r>
            <w:r>
              <w:rPr>
                <w:webHidden/>
              </w:rPr>
              <w:fldChar w:fldCharType="begin"/>
            </w:r>
            <w:r>
              <w:rPr>
                <w:webHidden/>
              </w:rPr>
              <w:instrText xml:space="preserve"> PAGEREF _Toc218691975 \h </w:instrText>
            </w:r>
            <w:r>
              <w:rPr>
                <w:webHidden/>
              </w:rPr>
            </w:r>
            <w:r>
              <w:rPr>
                <w:webHidden/>
              </w:rPr>
              <w:fldChar w:fldCharType="separate"/>
            </w:r>
            <w:r>
              <w:rPr>
                <w:webHidden/>
              </w:rPr>
              <w:t>4</w:t>
            </w:r>
            <w:r>
              <w:rPr>
                <w:webHidden/>
              </w:rPr>
              <w:fldChar w:fldCharType="end"/>
            </w:r>
          </w:hyperlink>
        </w:p>
        <w:p w14:paraId="2AAD1ADC" w14:textId="25F468B2" w:rsidR="004930ED" w:rsidRDefault="004930ED">
          <w:pPr>
            <w:pStyle w:val="TOC1"/>
            <w:rPr>
              <w:rFonts w:eastAsiaTheme="minorEastAsia"/>
              <w:b w:val="0"/>
              <w:kern w:val="2"/>
              <w:sz w:val="24"/>
              <w:szCs w:val="24"/>
              <w:lang w:eastAsia="en-AU"/>
              <w14:ligatures w14:val="standardContextual"/>
            </w:rPr>
          </w:pPr>
          <w:hyperlink w:anchor="_Toc218691976" w:history="1">
            <w:r w:rsidRPr="00D31CB0">
              <w:rPr>
                <w:rStyle w:val="Hyperlink"/>
              </w:rPr>
              <w:t>1</w:t>
            </w:r>
            <w:r>
              <w:rPr>
                <w:rFonts w:eastAsiaTheme="minorEastAsia"/>
                <w:b w:val="0"/>
                <w:kern w:val="2"/>
                <w:sz w:val="24"/>
                <w:szCs w:val="24"/>
                <w:lang w:eastAsia="en-AU"/>
                <w14:ligatures w14:val="standardContextual"/>
              </w:rPr>
              <w:tab/>
            </w:r>
            <w:r w:rsidRPr="00D31CB0">
              <w:rPr>
                <w:rStyle w:val="Hyperlink"/>
              </w:rPr>
              <w:t>Scope of remission and refund provisions</w:t>
            </w:r>
            <w:r>
              <w:rPr>
                <w:webHidden/>
              </w:rPr>
              <w:tab/>
            </w:r>
            <w:r>
              <w:rPr>
                <w:webHidden/>
              </w:rPr>
              <w:fldChar w:fldCharType="begin"/>
            </w:r>
            <w:r>
              <w:rPr>
                <w:webHidden/>
              </w:rPr>
              <w:instrText xml:space="preserve"> PAGEREF _Toc218691976 \h </w:instrText>
            </w:r>
            <w:r>
              <w:rPr>
                <w:webHidden/>
              </w:rPr>
            </w:r>
            <w:r>
              <w:rPr>
                <w:webHidden/>
              </w:rPr>
              <w:fldChar w:fldCharType="separate"/>
            </w:r>
            <w:r>
              <w:rPr>
                <w:webHidden/>
              </w:rPr>
              <w:t>5</w:t>
            </w:r>
            <w:r>
              <w:rPr>
                <w:webHidden/>
              </w:rPr>
              <w:fldChar w:fldCharType="end"/>
            </w:r>
          </w:hyperlink>
        </w:p>
        <w:p w14:paraId="4DEC402A" w14:textId="29D17646" w:rsidR="004930ED" w:rsidRDefault="004930ED">
          <w:pPr>
            <w:pStyle w:val="TOC1"/>
            <w:rPr>
              <w:rFonts w:eastAsiaTheme="minorEastAsia"/>
              <w:b w:val="0"/>
              <w:kern w:val="2"/>
              <w:sz w:val="24"/>
              <w:szCs w:val="24"/>
              <w:lang w:eastAsia="en-AU"/>
              <w14:ligatures w14:val="standardContextual"/>
            </w:rPr>
          </w:pPr>
          <w:hyperlink w:anchor="_Toc218691977" w:history="1">
            <w:r w:rsidRPr="00D31CB0">
              <w:rPr>
                <w:rStyle w:val="Hyperlink"/>
              </w:rPr>
              <w:t>2</w:t>
            </w:r>
            <w:r>
              <w:rPr>
                <w:rFonts w:eastAsiaTheme="minorEastAsia"/>
                <w:b w:val="0"/>
                <w:kern w:val="2"/>
                <w:sz w:val="24"/>
                <w:szCs w:val="24"/>
                <w:lang w:eastAsia="en-AU"/>
                <w14:ligatures w14:val="standardContextual"/>
              </w:rPr>
              <w:tab/>
            </w:r>
            <w:r w:rsidRPr="00D31CB0">
              <w:rPr>
                <w:rStyle w:val="Hyperlink"/>
              </w:rPr>
              <w:t>Criteria for remission or refund</w:t>
            </w:r>
            <w:r>
              <w:rPr>
                <w:webHidden/>
              </w:rPr>
              <w:tab/>
            </w:r>
            <w:r>
              <w:rPr>
                <w:webHidden/>
              </w:rPr>
              <w:fldChar w:fldCharType="begin"/>
            </w:r>
            <w:r>
              <w:rPr>
                <w:webHidden/>
              </w:rPr>
              <w:instrText xml:space="preserve"> PAGEREF _Toc218691977 \h </w:instrText>
            </w:r>
            <w:r>
              <w:rPr>
                <w:webHidden/>
              </w:rPr>
            </w:r>
            <w:r>
              <w:rPr>
                <w:webHidden/>
              </w:rPr>
              <w:fldChar w:fldCharType="separate"/>
            </w:r>
            <w:r>
              <w:rPr>
                <w:webHidden/>
              </w:rPr>
              <w:t>5</w:t>
            </w:r>
            <w:r>
              <w:rPr>
                <w:webHidden/>
              </w:rPr>
              <w:fldChar w:fldCharType="end"/>
            </w:r>
          </w:hyperlink>
        </w:p>
        <w:p w14:paraId="7B6667B7" w14:textId="696933C4" w:rsidR="004930ED" w:rsidRDefault="004930ED">
          <w:pPr>
            <w:pStyle w:val="TOC2"/>
            <w:tabs>
              <w:tab w:val="left" w:pos="1134"/>
            </w:tabs>
            <w:rPr>
              <w:rFonts w:eastAsiaTheme="minorEastAsia"/>
              <w:kern w:val="2"/>
              <w:sz w:val="24"/>
              <w:szCs w:val="24"/>
              <w:lang w:eastAsia="en-AU"/>
              <w14:ligatures w14:val="standardContextual"/>
            </w:rPr>
          </w:pPr>
          <w:hyperlink w:anchor="_Toc218691978" w:history="1">
            <w:r w:rsidRPr="00D31CB0">
              <w:rPr>
                <w:rStyle w:val="Hyperlink"/>
                <w:lang w:eastAsia="ja-JP"/>
              </w:rPr>
              <w:t>2.1</w:t>
            </w:r>
            <w:r>
              <w:rPr>
                <w:rFonts w:eastAsiaTheme="minorEastAsia"/>
                <w:kern w:val="2"/>
                <w:sz w:val="24"/>
                <w:szCs w:val="24"/>
                <w:lang w:eastAsia="en-AU"/>
                <w14:ligatures w14:val="standardContextual"/>
              </w:rPr>
              <w:tab/>
            </w:r>
            <w:r w:rsidRPr="00D31CB0">
              <w:rPr>
                <w:rStyle w:val="Hyperlink"/>
                <w:lang w:eastAsia="ja-JP"/>
              </w:rPr>
              <w:t>Biosecurity legislation – exceptional circumstances</w:t>
            </w:r>
            <w:r>
              <w:rPr>
                <w:webHidden/>
              </w:rPr>
              <w:tab/>
            </w:r>
            <w:r>
              <w:rPr>
                <w:webHidden/>
              </w:rPr>
              <w:fldChar w:fldCharType="begin"/>
            </w:r>
            <w:r>
              <w:rPr>
                <w:webHidden/>
              </w:rPr>
              <w:instrText xml:space="preserve"> PAGEREF _Toc218691978 \h </w:instrText>
            </w:r>
            <w:r>
              <w:rPr>
                <w:webHidden/>
              </w:rPr>
            </w:r>
            <w:r>
              <w:rPr>
                <w:webHidden/>
              </w:rPr>
              <w:fldChar w:fldCharType="separate"/>
            </w:r>
            <w:r>
              <w:rPr>
                <w:webHidden/>
              </w:rPr>
              <w:t>6</w:t>
            </w:r>
            <w:r>
              <w:rPr>
                <w:webHidden/>
              </w:rPr>
              <w:fldChar w:fldCharType="end"/>
            </w:r>
          </w:hyperlink>
        </w:p>
        <w:p w14:paraId="22A5DD3B" w14:textId="3E485C0D" w:rsidR="004930ED" w:rsidRDefault="004930ED">
          <w:pPr>
            <w:pStyle w:val="TOC2"/>
            <w:tabs>
              <w:tab w:val="left" w:pos="1134"/>
            </w:tabs>
            <w:rPr>
              <w:rFonts w:eastAsiaTheme="minorEastAsia"/>
              <w:kern w:val="2"/>
              <w:sz w:val="24"/>
              <w:szCs w:val="24"/>
              <w:lang w:eastAsia="en-AU"/>
              <w14:ligatures w14:val="standardContextual"/>
            </w:rPr>
          </w:pPr>
          <w:hyperlink w:anchor="_Toc218691979" w:history="1">
            <w:r w:rsidRPr="00D31CB0">
              <w:rPr>
                <w:rStyle w:val="Hyperlink"/>
              </w:rPr>
              <w:t>2.2</w:t>
            </w:r>
            <w:r>
              <w:rPr>
                <w:rFonts w:eastAsiaTheme="minorEastAsia"/>
                <w:kern w:val="2"/>
                <w:sz w:val="24"/>
                <w:szCs w:val="24"/>
                <w:lang w:eastAsia="en-AU"/>
                <w14:ligatures w14:val="standardContextual"/>
              </w:rPr>
              <w:tab/>
            </w:r>
            <w:r w:rsidRPr="00D31CB0">
              <w:rPr>
                <w:rStyle w:val="Hyperlink"/>
              </w:rPr>
              <w:t>All cost-recovery legislation – justified or appropriate</w:t>
            </w:r>
            <w:r>
              <w:rPr>
                <w:webHidden/>
              </w:rPr>
              <w:tab/>
            </w:r>
            <w:r>
              <w:rPr>
                <w:webHidden/>
              </w:rPr>
              <w:fldChar w:fldCharType="begin"/>
            </w:r>
            <w:r>
              <w:rPr>
                <w:webHidden/>
              </w:rPr>
              <w:instrText xml:space="preserve"> PAGEREF _Toc218691979 \h </w:instrText>
            </w:r>
            <w:r>
              <w:rPr>
                <w:webHidden/>
              </w:rPr>
            </w:r>
            <w:r>
              <w:rPr>
                <w:webHidden/>
              </w:rPr>
              <w:fldChar w:fldCharType="separate"/>
            </w:r>
            <w:r>
              <w:rPr>
                <w:webHidden/>
              </w:rPr>
              <w:t>7</w:t>
            </w:r>
            <w:r>
              <w:rPr>
                <w:webHidden/>
              </w:rPr>
              <w:fldChar w:fldCharType="end"/>
            </w:r>
          </w:hyperlink>
        </w:p>
        <w:p w14:paraId="5024DCC0" w14:textId="1576014B" w:rsidR="004930ED" w:rsidRDefault="004930ED">
          <w:pPr>
            <w:pStyle w:val="TOC2"/>
            <w:tabs>
              <w:tab w:val="left" w:pos="1134"/>
            </w:tabs>
            <w:rPr>
              <w:rFonts w:eastAsiaTheme="minorEastAsia"/>
              <w:kern w:val="2"/>
              <w:sz w:val="24"/>
              <w:szCs w:val="24"/>
              <w:lang w:eastAsia="en-AU"/>
              <w14:ligatures w14:val="standardContextual"/>
            </w:rPr>
          </w:pPr>
          <w:hyperlink w:anchor="_Toc218691980" w:history="1">
            <w:r w:rsidRPr="00D31CB0">
              <w:rPr>
                <w:rStyle w:val="Hyperlink"/>
              </w:rPr>
              <w:t>2.3</w:t>
            </w:r>
            <w:r>
              <w:rPr>
                <w:rFonts w:eastAsiaTheme="minorEastAsia"/>
                <w:kern w:val="2"/>
                <w:sz w:val="24"/>
                <w:szCs w:val="24"/>
                <w:lang w:eastAsia="en-AU"/>
                <w14:ligatures w14:val="standardContextual"/>
              </w:rPr>
              <w:tab/>
            </w:r>
            <w:r w:rsidRPr="00D31CB0">
              <w:rPr>
                <w:rStyle w:val="Hyperlink"/>
              </w:rPr>
              <w:t>Multiple cost-recovery charges</w:t>
            </w:r>
            <w:r>
              <w:rPr>
                <w:webHidden/>
              </w:rPr>
              <w:tab/>
            </w:r>
            <w:r>
              <w:rPr>
                <w:webHidden/>
              </w:rPr>
              <w:fldChar w:fldCharType="begin"/>
            </w:r>
            <w:r>
              <w:rPr>
                <w:webHidden/>
              </w:rPr>
              <w:instrText xml:space="preserve"> PAGEREF _Toc218691980 \h </w:instrText>
            </w:r>
            <w:r>
              <w:rPr>
                <w:webHidden/>
              </w:rPr>
            </w:r>
            <w:r>
              <w:rPr>
                <w:webHidden/>
              </w:rPr>
              <w:fldChar w:fldCharType="separate"/>
            </w:r>
            <w:r>
              <w:rPr>
                <w:webHidden/>
              </w:rPr>
              <w:t>7</w:t>
            </w:r>
            <w:r>
              <w:rPr>
                <w:webHidden/>
              </w:rPr>
              <w:fldChar w:fldCharType="end"/>
            </w:r>
          </w:hyperlink>
        </w:p>
        <w:p w14:paraId="3135940F" w14:textId="39B02EEE" w:rsidR="004930ED" w:rsidRDefault="004930ED">
          <w:pPr>
            <w:pStyle w:val="TOC1"/>
            <w:rPr>
              <w:rFonts w:eastAsiaTheme="minorEastAsia"/>
              <w:b w:val="0"/>
              <w:kern w:val="2"/>
              <w:sz w:val="24"/>
              <w:szCs w:val="24"/>
              <w:lang w:eastAsia="en-AU"/>
              <w14:ligatures w14:val="standardContextual"/>
            </w:rPr>
          </w:pPr>
          <w:hyperlink w:anchor="_Toc218691981" w:history="1">
            <w:r w:rsidRPr="00D31CB0">
              <w:rPr>
                <w:rStyle w:val="Hyperlink"/>
              </w:rPr>
              <w:t>3</w:t>
            </w:r>
            <w:r>
              <w:rPr>
                <w:rFonts w:eastAsiaTheme="minorEastAsia"/>
                <w:b w:val="0"/>
                <w:kern w:val="2"/>
                <w:sz w:val="24"/>
                <w:szCs w:val="24"/>
                <w:lang w:eastAsia="en-AU"/>
                <w14:ligatures w14:val="standardContextual"/>
              </w:rPr>
              <w:tab/>
            </w:r>
            <w:r w:rsidRPr="00D31CB0">
              <w:rPr>
                <w:rStyle w:val="Hyperlink"/>
              </w:rPr>
              <w:t>Supporting evidence</w:t>
            </w:r>
            <w:r>
              <w:rPr>
                <w:webHidden/>
              </w:rPr>
              <w:tab/>
            </w:r>
            <w:r>
              <w:rPr>
                <w:webHidden/>
              </w:rPr>
              <w:fldChar w:fldCharType="begin"/>
            </w:r>
            <w:r>
              <w:rPr>
                <w:webHidden/>
              </w:rPr>
              <w:instrText xml:space="preserve"> PAGEREF _Toc218691981 \h </w:instrText>
            </w:r>
            <w:r>
              <w:rPr>
                <w:webHidden/>
              </w:rPr>
            </w:r>
            <w:r>
              <w:rPr>
                <w:webHidden/>
              </w:rPr>
              <w:fldChar w:fldCharType="separate"/>
            </w:r>
            <w:r>
              <w:rPr>
                <w:webHidden/>
              </w:rPr>
              <w:t>7</w:t>
            </w:r>
            <w:r>
              <w:rPr>
                <w:webHidden/>
              </w:rPr>
              <w:fldChar w:fldCharType="end"/>
            </w:r>
          </w:hyperlink>
        </w:p>
        <w:p w14:paraId="6F7DC2E9" w14:textId="5C39090F" w:rsidR="004930ED" w:rsidRDefault="004930ED">
          <w:pPr>
            <w:pStyle w:val="TOC1"/>
            <w:rPr>
              <w:rFonts w:eastAsiaTheme="minorEastAsia"/>
              <w:b w:val="0"/>
              <w:kern w:val="2"/>
              <w:sz w:val="24"/>
              <w:szCs w:val="24"/>
              <w:lang w:eastAsia="en-AU"/>
              <w14:ligatures w14:val="standardContextual"/>
            </w:rPr>
          </w:pPr>
          <w:hyperlink w:anchor="_Toc218691982" w:history="1">
            <w:r w:rsidRPr="00D31CB0">
              <w:rPr>
                <w:rStyle w:val="Hyperlink"/>
              </w:rPr>
              <w:t>4</w:t>
            </w:r>
            <w:r>
              <w:rPr>
                <w:rFonts w:eastAsiaTheme="minorEastAsia"/>
                <w:b w:val="0"/>
                <w:kern w:val="2"/>
                <w:sz w:val="24"/>
                <w:szCs w:val="24"/>
                <w:lang w:eastAsia="en-AU"/>
                <w14:ligatures w14:val="standardContextual"/>
              </w:rPr>
              <w:tab/>
            </w:r>
            <w:r w:rsidRPr="00D31CB0">
              <w:rPr>
                <w:rStyle w:val="Hyperlink"/>
              </w:rPr>
              <w:t>Lodging a request for remission or refund</w:t>
            </w:r>
            <w:r>
              <w:rPr>
                <w:webHidden/>
              </w:rPr>
              <w:tab/>
            </w:r>
            <w:r>
              <w:rPr>
                <w:webHidden/>
              </w:rPr>
              <w:fldChar w:fldCharType="begin"/>
            </w:r>
            <w:r>
              <w:rPr>
                <w:webHidden/>
              </w:rPr>
              <w:instrText xml:space="preserve"> PAGEREF _Toc218691982 \h </w:instrText>
            </w:r>
            <w:r>
              <w:rPr>
                <w:webHidden/>
              </w:rPr>
            </w:r>
            <w:r>
              <w:rPr>
                <w:webHidden/>
              </w:rPr>
              <w:fldChar w:fldCharType="separate"/>
            </w:r>
            <w:r>
              <w:rPr>
                <w:webHidden/>
              </w:rPr>
              <w:t>8</w:t>
            </w:r>
            <w:r>
              <w:rPr>
                <w:webHidden/>
              </w:rPr>
              <w:fldChar w:fldCharType="end"/>
            </w:r>
          </w:hyperlink>
        </w:p>
        <w:p w14:paraId="46AB5F14" w14:textId="6D181C1D" w:rsidR="004930ED" w:rsidRDefault="004930ED">
          <w:pPr>
            <w:pStyle w:val="TOC1"/>
            <w:rPr>
              <w:rFonts w:eastAsiaTheme="minorEastAsia"/>
              <w:b w:val="0"/>
              <w:kern w:val="2"/>
              <w:sz w:val="24"/>
              <w:szCs w:val="24"/>
              <w:lang w:eastAsia="en-AU"/>
              <w14:ligatures w14:val="standardContextual"/>
            </w:rPr>
          </w:pPr>
          <w:hyperlink w:anchor="_Toc218691983" w:history="1">
            <w:r w:rsidRPr="00D31CB0">
              <w:rPr>
                <w:rStyle w:val="Hyperlink"/>
              </w:rPr>
              <w:t>5</w:t>
            </w:r>
            <w:r>
              <w:rPr>
                <w:rFonts w:eastAsiaTheme="minorEastAsia"/>
                <w:b w:val="0"/>
                <w:kern w:val="2"/>
                <w:sz w:val="24"/>
                <w:szCs w:val="24"/>
                <w:lang w:eastAsia="en-AU"/>
                <w14:ligatures w14:val="standardContextual"/>
              </w:rPr>
              <w:tab/>
            </w:r>
            <w:r w:rsidRPr="00D31CB0">
              <w:rPr>
                <w:rStyle w:val="Hyperlink"/>
              </w:rPr>
              <w:t>Notification of the decision</w:t>
            </w:r>
            <w:r>
              <w:rPr>
                <w:webHidden/>
              </w:rPr>
              <w:tab/>
            </w:r>
            <w:r>
              <w:rPr>
                <w:webHidden/>
              </w:rPr>
              <w:fldChar w:fldCharType="begin"/>
            </w:r>
            <w:r>
              <w:rPr>
                <w:webHidden/>
              </w:rPr>
              <w:instrText xml:space="preserve"> PAGEREF _Toc218691983 \h </w:instrText>
            </w:r>
            <w:r>
              <w:rPr>
                <w:webHidden/>
              </w:rPr>
            </w:r>
            <w:r>
              <w:rPr>
                <w:webHidden/>
              </w:rPr>
              <w:fldChar w:fldCharType="separate"/>
            </w:r>
            <w:r>
              <w:rPr>
                <w:webHidden/>
              </w:rPr>
              <w:t>9</w:t>
            </w:r>
            <w:r>
              <w:rPr>
                <w:webHidden/>
              </w:rPr>
              <w:fldChar w:fldCharType="end"/>
            </w:r>
          </w:hyperlink>
        </w:p>
        <w:p w14:paraId="38A9288E" w14:textId="376B549D" w:rsidR="00764D6A" w:rsidRDefault="00E91D72" w:rsidP="004B3F30">
          <w:pPr>
            <w:pStyle w:val="TOC1"/>
          </w:pPr>
          <w:r>
            <w:rPr>
              <w:b w:val="0"/>
            </w:rPr>
            <w:fldChar w:fldCharType="end"/>
          </w:r>
        </w:p>
      </w:sdtContent>
    </w:sdt>
    <w:p w14:paraId="4C85A53B" w14:textId="77777777" w:rsidR="00764D6A" w:rsidRPr="009622CD" w:rsidRDefault="00E91D72" w:rsidP="009622CD">
      <w:pPr>
        <w:pStyle w:val="TOCHeading2"/>
        <w:rPr>
          <w:rStyle w:val="Strong"/>
          <w:b w:val="0"/>
          <w:bCs w:val="0"/>
        </w:rPr>
      </w:pPr>
      <w:r w:rsidRPr="009622CD">
        <w:rPr>
          <w:rStyle w:val="Strong"/>
          <w:bCs w:val="0"/>
        </w:rPr>
        <w:t>Tables</w:t>
      </w:r>
    </w:p>
    <w:p w14:paraId="5710A78B" w14:textId="5D162286" w:rsidR="004930ED" w:rsidRDefault="00E91D72">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218691984" w:history="1">
        <w:r w:rsidR="004930ED" w:rsidRPr="005A2BAF">
          <w:rPr>
            <w:rStyle w:val="Hyperlink"/>
            <w:noProof/>
          </w:rPr>
          <w:t xml:space="preserve">Table 1 Application of remission and refund provisions to </w:t>
        </w:r>
        <w:r w:rsidR="005E2757">
          <w:rPr>
            <w:rStyle w:val="Hyperlink"/>
            <w:noProof/>
          </w:rPr>
          <w:t xml:space="preserve">cost-recovery </w:t>
        </w:r>
        <w:r w:rsidR="004930ED" w:rsidRPr="005A2BAF">
          <w:rPr>
            <w:rStyle w:val="Hyperlink"/>
            <w:noProof/>
          </w:rPr>
          <w:t xml:space="preserve"> charges</w:t>
        </w:r>
        <w:r w:rsidR="004930ED">
          <w:rPr>
            <w:noProof/>
            <w:webHidden/>
          </w:rPr>
          <w:tab/>
        </w:r>
        <w:r w:rsidR="004930ED">
          <w:rPr>
            <w:noProof/>
            <w:webHidden/>
          </w:rPr>
          <w:fldChar w:fldCharType="begin"/>
        </w:r>
        <w:r w:rsidR="004930ED">
          <w:rPr>
            <w:noProof/>
            <w:webHidden/>
          </w:rPr>
          <w:instrText xml:space="preserve"> PAGEREF _Toc218691984 \h </w:instrText>
        </w:r>
        <w:r w:rsidR="004930ED">
          <w:rPr>
            <w:noProof/>
            <w:webHidden/>
          </w:rPr>
        </w:r>
        <w:r w:rsidR="004930ED">
          <w:rPr>
            <w:noProof/>
            <w:webHidden/>
          </w:rPr>
          <w:fldChar w:fldCharType="separate"/>
        </w:r>
        <w:r w:rsidR="004930ED">
          <w:rPr>
            <w:noProof/>
            <w:webHidden/>
          </w:rPr>
          <w:t>5</w:t>
        </w:r>
        <w:r w:rsidR="004930ED">
          <w:rPr>
            <w:noProof/>
            <w:webHidden/>
          </w:rPr>
          <w:fldChar w:fldCharType="end"/>
        </w:r>
      </w:hyperlink>
    </w:p>
    <w:p w14:paraId="24FD3CC2" w14:textId="34F85FEE" w:rsidR="00764D6A" w:rsidRDefault="00E91D72" w:rsidP="004B3F30">
      <w:pPr>
        <w:pStyle w:val="TableofFigures"/>
        <w:tabs>
          <w:tab w:val="right" w:leader="dot" w:pos="9060"/>
        </w:tabs>
      </w:pPr>
      <w:r>
        <w:rPr>
          <w:noProof/>
        </w:rPr>
        <w:fldChar w:fldCharType="end"/>
      </w:r>
    </w:p>
    <w:p w14:paraId="3FC9F114" w14:textId="2956C4AB" w:rsidR="00764D6A" w:rsidRDefault="00764D6A">
      <w:pPr>
        <w:sectPr w:rsidR="00764D6A">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p>
    <w:p w14:paraId="41326581" w14:textId="77777777" w:rsidR="00764D6A" w:rsidRDefault="00E91D72" w:rsidP="007E39EF">
      <w:pPr>
        <w:pStyle w:val="Heading2"/>
        <w:numPr>
          <w:ilvl w:val="0"/>
          <w:numId w:val="0"/>
        </w:numPr>
        <w:ind w:left="720" w:hanging="720"/>
      </w:pPr>
      <w:bookmarkStart w:id="2" w:name="_Toc430782150"/>
      <w:bookmarkStart w:id="3" w:name="_Toc218691974"/>
      <w:r w:rsidRPr="00DB71A3">
        <w:lastRenderedPageBreak/>
        <w:t>Introduction</w:t>
      </w:r>
      <w:bookmarkEnd w:id="2"/>
      <w:bookmarkEnd w:id="3"/>
    </w:p>
    <w:p w14:paraId="31D17583" w14:textId="46D326E3" w:rsidR="00405C9C" w:rsidRDefault="00405C9C" w:rsidP="00405C9C">
      <w:pPr>
        <w:rPr>
          <w:lang w:eastAsia="ja-JP"/>
        </w:rPr>
      </w:pPr>
      <w:r>
        <w:rPr>
          <w:lang w:eastAsia="ja-JP"/>
        </w:rPr>
        <w:t xml:space="preserve">The Department of Agriculture, Fisheries and Forestry incurs a range of costs in the performance of its functions and the exercise of its powers under its portfolio legislation. The department is responsible for collecting prescribed fees and charges from industry and the public, </w:t>
      </w:r>
      <w:proofErr w:type="gramStart"/>
      <w:r>
        <w:rPr>
          <w:lang w:eastAsia="ja-JP"/>
        </w:rPr>
        <w:t>on the basis of</w:t>
      </w:r>
      <w:proofErr w:type="gramEnd"/>
      <w:r>
        <w:rPr>
          <w:lang w:eastAsia="ja-JP"/>
        </w:rPr>
        <w:t xml:space="preserve"> recovering its costs related to those activities, unless a remission or refund is justified according to the legislative criteria.</w:t>
      </w:r>
    </w:p>
    <w:p w14:paraId="22292F6A" w14:textId="10E47282" w:rsidR="00405C9C" w:rsidRPr="00405C9C" w:rsidRDefault="00405C9C" w:rsidP="00405C9C">
      <w:pPr>
        <w:rPr>
          <w:lang w:eastAsia="ja-JP"/>
        </w:rPr>
      </w:pPr>
      <w:bookmarkStart w:id="4" w:name="_Hlk218747739"/>
      <w:r>
        <w:rPr>
          <w:lang w:eastAsia="ja-JP"/>
        </w:rPr>
        <w:t xml:space="preserve">This policy is intended to assist industry participants to understand how to request remissions or refunds of </w:t>
      </w:r>
      <w:r w:rsidR="005E2757">
        <w:rPr>
          <w:lang w:eastAsia="ja-JP"/>
        </w:rPr>
        <w:t>cost-</w:t>
      </w:r>
      <w:r w:rsidR="008079AA">
        <w:rPr>
          <w:lang w:eastAsia="ja-JP"/>
        </w:rPr>
        <w:t>recovery charges</w:t>
      </w:r>
      <w:r>
        <w:rPr>
          <w:lang w:eastAsia="ja-JP"/>
        </w:rPr>
        <w:t xml:space="preserve"> under the relevant provisions of the </w:t>
      </w:r>
      <w:r w:rsidR="008508CD" w:rsidRPr="008508CD">
        <w:rPr>
          <w:rStyle w:val="Emphasis"/>
        </w:rPr>
        <w:t>Biosecurity Act 2015</w:t>
      </w:r>
      <w:r w:rsidR="008508CD" w:rsidRPr="008508CD">
        <w:rPr>
          <w:lang w:eastAsia="ja-JP"/>
        </w:rPr>
        <w:t xml:space="preserve">, </w:t>
      </w:r>
      <w:r w:rsidR="008508CD" w:rsidRPr="008508CD">
        <w:rPr>
          <w:rStyle w:val="Emphasis"/>
        </w:rPr>
        <w:t>Export Control Act 2020</w:t>
      </w:r>
      <w:r w:rsidR="008508CD" w:rsidRPr="008508CD">
        <w:rPr>
          <w:lang w:eastAsia="ja-JP"/>
        </w:rPr>
        <w:t xml:space="preserve">, </w:t>
      </w:r>
      <w:r w:rsidR="008508CD" w:rsidRPr="008508CD">
        <w:rPr>
          <w:rStyle w:val="Emphasis"/>
        </w:rPr>
        <w:t>Imported Food Control Act 1992</w:t>
      </w:r>
      <w:r w:rsidR="008508CD" w:rsidRPr="008508CD">
        <w:rPr>
          <w:lang w:eastAsia="ja-JP"/>
        </w:rPr>
        <w:t xml:space="preserve"> and </w:t>
      </w:r>
      <w:r w:rsidR="008508CD" w:rsidRPr="008508CD">
        <w:rPr>
          <w:rStyle w:val="Emphasis"/>
        </w:rPr>
        <w:t>Imported Food Charges (Collection) Act 2015</w:t>
      </w:r>
      <w:bookmarkEnd w:id="4"/>
      <w:r>
        <w:rPr>
          <w:lang w:eastAsia="ja-JP"/>
        </w:rPr>
        <w:t>.</w:t>
      </w:r>
    </w:p>
    <w:p w14:paraId="3E495F9C" w14:textId="77777777" w:rsidR="00764D6A" w:rsidRDefault="00E91D72" w:rsidP="007E39EF">
      <w:pPr>
        <w:pStyle w:val="Heading2"/>
        <w:numPr>
          <w:ilvl w:val="0"/>
          <w:numId w:val="0"/>
        </w:numPr>
        <w:ind w:left="720" w:hanging="720"/>
      </w:pPr>
      <w:bookmarkStart w:id="5" w:name="_Toc430782161"/>
      <w:bookmarkStart w:id="6" w:name="_Toc218691975"/>
      <w:r>
        <w:t>Glossary</w:t>
      </w:r>
      <w:bookmarkEnd w:id="5"/>
      <w:bookmarkEnd w:id="6"/>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1843"/>
        <w:gridCol w:w="7227"/>
      </w:tblGrid>
      <w:tr w:rsidR="00FE64BC" w14:paraId="1144399C" w14:textId="77777777" w:rsidTr="00405C9C">
        <w:trPr>
          <w:cantSplit/>
          <w:tblHeader/>
        </w:trPr>
        <w:tc>
          <w:tcPr>
            <w:tcW w:w="1016" w:type="pct"/>
            <w:tcMar>
              <w:left w:w="108" w:type="dxa"/>
              <w:right w:w="108" w:type="dxa"/>
            </w:tcMar>
          </w:tcPr>
          <w:p w14:paraId="1FE5C1B6" w14:textId="77777777" w:rsidR="00FE64BC" w:rsidRPr="00FE64BC" w:rsidRDefault="00FE64BC" w:rsidP="00FE64BC">
            <w:pPr>
              <w:pStyle w:val="TableHeading"/>
            </w:pPr>
            <w:bookmarkStart w:id="7" w:name="Title_Glossary"/>
            <w:bookmarkEnd w:id="7"/>
            <w:r w:rsidRPr="00FE64BC">
              <w:t>Term</w:t>
            </w:r>
          </w:p>
        </w:tc>
        <w:tc>
          <w:tcPr>
            <w:tcW w:w="3984" w:type="pct"/>
            <w:tcMar>
              <w:left w:w="108" w:type="dxa"/>
              <w:right w:w="108" w:type="dxa"/>
            </w:tcMar>
          </w:tcPr>
          <w:p w14:paraId="4C451505" w14:textId="77777777" w:rsidR="00FE64BC" w:rsidRPr="00FE64BC" w:rsidRDefault="00FE64BC" w:rsidP="00FE64BC">
            <w:pPr>
              <w:pStyle w:val="TableHeading"/>
            </w:pPr>
            <w:r w:rsidRPr="00FE64BC">
              <w:t>Definition</w:t>
            </w:r>
          </w:p>
        </w:tc>
      </w:tr>
      <w:tr w:rsidR="00032789" w14:paraId="04A13E0C" w14:textId="77777777" w:rsidTr="00405C9C">
        <w:tc>
          <w:tcPr>
            <w:tcW w:w="1016" w:type="pct"/>
            <w:tcMar>
              <w:left w:w="108" w:type="dxa"/>
              <w:right w:w="108" w:type="dxa"/>
            </w:tcMar>
          </w:tcPr>
          <w:p w14:paraId="0162D285" w14:textId="3E5531B9" w:rsidR="00032789" w:rsidRPr="00FE64BC" w:rsidRDefault="00405C9C" w:rsidP="00FE64BC">
            <w:pPr>
              <w:pStyle w:val="TableText"/>
            </w:pPr>
            <w:r w:rsidRPr="00405C9C">
              <w:t>charge</w:t>
            </w:r>
          </w:p>
        </w:tc>
        <w:tc>
          <w:tcPr>
            <w:tcW w:w="3984" w:type="pct"/>
            <w:tcMar>
              <w:left w:w="108" w:type="dxa"/>
              <w:right w:w="108" w:type="dxa"/>
            </w:tcMar>
          </w:tcPr>
          <w:p w14:paraId="4732D850" w14:textId="16657F4C" w:rsidR="00032789" w:rsidRPr="00FE64BC" w:rsidRDefault="00A06ED1" w:rsidP="00FE64BC">
            <w:pPr>
              <w:pStyle w:val="TableText"/>
            </w:pPr>
            <w:r>
              <w:t>A</w:t>
            </w:r>
            <w:r w:rsidR="00405C9C" w:rsidRPr="00C07628">
              <w:t>n amount imposed under charging legislation (</w:t>
            </w:r>
            <w:hyperlink w:anchor="_Scope_of_remission" w:history="1">
              <w:r w:rsidR="004B4E94" w:rsidRPr="004B4E94">
                <w:rPr>
                  <w:rStyle w:val="Hyperlink"/>
                </w:rPr>
                <w:t>Scope of remission and refund provisions</w:t>
              </w:r>
            </w:hyperlink>
            <w:r w:rsidR="00405C9C" w:rsidRPr="00C07628">
              <w:t>). For example, it is imposed to recover costs of activities that support the permit system. These include, recovering costs related to the maintenance of the Biosecurity Import Conditions (</w:t>
            </w:r>
            <w:r w:rsidR="00405C9C" w:rsidRPr="004B4E94">
              <w:t>BICON) system, the New Export Documentation System (</w:t>
            </w:r>
            <w:proofErr w:type="spellStart"/>
            <w:r w:rsidR="00405C9C" w:rsidRPr="004B4E94">
              <w:t>NEXDOC</w:t>
            </w:r>
            <w:proofErr w:type="spellEnd"/>
            <w:r w:rsidR="00405C9C" w:rsidRPr="004B4E94">
              <w:t>), the Imported Food Inspection Scheme (</w:t>
            </w:r>
            <w:proofErr w:type="spellStart"/>
            <w:r w:rsidR="00405C9C" w:rsidRPr="004B4E94">
              <w:t>IFIS</w:t>
            </w:r>
            <w:proofErr w:type="spellEnd"/>
            <w:r w:rsidR="00405C9C" w:rsidRPr="00C07628">
              <w:t>), and the development and ongoing review of import conditions.</w:t>
            </w:r>
          </w:p>
        </w:tc>
      </w:tr>
      <w:tr w:rsidR="00FE64BC" w14:paraId="516009C3" w14:textId="77777777" w:rsidTr="00405C9C">
        <w:tc>
          <w:tcPr>
            <w:tcW w:w="1016" w:type="pct"/>
            <w:tcMar>
              <w:left w:w="108" w:type="dxa"/>
              <w:right w:w="108" w:type="dxa"/>
            </w:tcMar>
          </w:tcPr>
          <w:p w14:paraId="38D60E27" w14:textId="46FAA7B5" w:rsidR="00FE64BC" w:rsidRPr="00FE64BC" w:rsidRDefault="00405C9C" w:rsidP="00FE64BC">
            <w:pPr>
              <w:pStyle w:val="TableText"/>
            </w:pPr>
            <w:r w:rsidRPr="00405C9C">
              <w:t>cost-recovery</w:t>
            </w:r>
          </w:p>
        </w:tc>
        <w:tc>
          <w:tcPr>
            <w:tcW w:w="3984" w:type="pct"/>
            <w:tcMar>
              <w:left w:w="108" w:type="dxa"/>
              <w:right w:w="108" w:type="dxa"/>
            </w:tcMar>
          </w:tcPr>
          <w:p w14:paraId="06E9C610" w14:textId="304BA1BB" w:rsidR="00FE64BC" w:rsidRPr="00FE64BC" w:rsidRDefault="00A06ED1" w:rsidP="00FE64BC">
            <w:pPr>
              <w:pStyle w:val="TableText"/>
            </w:pPr>
            <w:r>
              <w:t>R</w:t>
            </w:r>
            <w:r w:rsidR="00405C9C" w:rsidRPr="00405C9C">
              <w:t>efers to the department’s activities to collect prescribed fees and charges from industry and the public associated with its regulatory activities, which are done in accordance with the Australian Government Charging Framework.</w:t>
            </w:r>
          </w:p>
        </w:tc>
      </w:tr>
      <w:tr w:rsidR="00FE64BC" w14:paraId="599386E3" w14:textId="77777777" w:rsidTr="00405C9C">
        <w:tc>
          <w:tcPr>
            <w:tcW w:w="1016" w:type="pct"/>
            <w:tcMar>
              <w:left w:w="108" w:type="dxa"/>
              <w:right w:w="108" w:type="dxa"/>
            </w:tcMar>
          </w:tcPr>
          <w:p w14:paraId="6C634F49" w14:textId="3A8E9C40" w:rsidR="00FE64BC" w:rsidRPr="00FE64BC" w:rsidRDefault="00405C9C" w:rsidP="00FE64BC">
            <w:pPr>
              <w:pStyle w:val="TableText"/>
            </w:pPr>
            <w:r w:rsidRPr="00405C9C">
              <w:t>cost-recovery charge</w:t>
            </w:r>
          </w:p>
        </w:tc>
        <w:tc>
          <w:tcPr>
            <w:tcW w:w="3984" w:type="pct"/>
            <w:tcMar>
              <w:left w:w="108" w:type="dxa"/>
              <w:right w:w="108" w:type="dxa"/>
            </w:tcMar>
          </w:tcPr>
          <w:p w14:paraId="38E58E5E" w14:textId="236D896D" w:rsidR="00FE64BC" w:rsidRPr="00FE64BC" w:rsidRDefault="00A06ED1" w:rsidP="00FE64BC">
            <w:pPr>
              <w:pStyle w:val="TableText"/>
            </w:pPr>
            <w:r w:rsidRPr="00405C9C">
              <w:t>In general, this term may refer to both fees and charges, as well as related late payment fees.</w:t>
            </w:r>
            <w:r>
              <w:t xml:space="preserve"> I</w:t>
            </w:r>
            <w:r w:rsidR="00405C9C" w:rsidRPr="00405C9C">
              <w:t>n the context of each legislative scheme</w:t>
            </w:r>
            <w:r>
              <w:t xml:space="preserve">, </w:t>
            </w:r>
            <w:r w:rsidR="00405C9C" w:rsidRPr="00405C9C">
              <w:t xml:space="preserve">see </w:t>
            </w:r>
            <w:hyperlink w:anchor="_Scope_of_remission" w:history="1">
              <w:r w:rsidR="004B4E94" w:rsidRPr="004B4E94">
                <w:rPr>
                  <w:rStyle w:val="Hyperlink"/>
                </w:rPr>
                <w:t>Scope of remission and refund provisions</w:t>
              </w:r>
            </w:hyperlink>
            <w:r w:rsidR="00405C9C" w:rsidRPr="00405C9C">
              <w:t xml:space="preserve">. </w:t>
            </w:r>
          </w:p>
        </w:tc>
      </w:tr>
      <w:tr w:rsidR="00032789" w14:paraId="49D743F9" w14:textId="77777777" w:rsidTr="00405C9C">
        <w:tc>
          <w:tcPr>
            <w:tcW w:w="1016" w:type="pct"/>
            <w:tcMar>
              <w:left w:w="108" w:type="dxa"/>
              <w:right w:w="108" w:type="dxa"/>
            </w:tcMar>
          </w:tcPr>
          <w:p w14:paraId="0BAA8B09" w14:textId="1016DC20" w:rsidR="00032789" w:rsidRPr="00FE64BC" w:rsidRDefault="00405C9C" w:rsidP="00FE64BC">
            <w:pPr>
              <w:pStyle w:val="TableText"/>
            </w:pPr>
            <w:r>
              <w:t>fee</w:t>
            </w:r>
          </w:p>
        </w:tc>
        <w:tc>
          <w:tcPr>
            <w:tcW w:w="3984" w:type="pct"/>
            <w:tcMar>
              <w:left w:w="108" w:type="dxa"/>
              <w:right w:w="108" w:type="dxa"/>
            </w:tcMar>
          </w:tcPr>
          <w:p w14:paraId="28A48035" w14:textId="1DCA70C8" w:rsidR="00032789" w:rsidRPr="00FE64BC" w:rsidRDefault="00F3085E" w:rsidP="00FE64BC">
            <w:pPr>
              <w:pStyle w:val="TableText"/>
            </w:pPr>
            <w:r>
              <w:t>A</w:t>
            </w:r>
            <w:r w:rsidR="00405C9C" w:rsidRPr="00405C9C">
              <w:t xml:space="preserve"> fee specified in the relevant legislation for provision of a fee-bearing activity or service. For example, it is imposed to recover costs of the assessment work undertaken by biosecurity, export or food control officers to determine and manage biosecurity and other risks in relation to the import and exports of goods.</w:t>
            </w:r>
          </w:p>
        </w:tc>
      </w:tr>
      <w:tr w:rsidR="00FE64BC" w14:paraId="4582AFCE" w14:textId="77777777" w:rsidTr="00405C9C">
        <w:tc>
          <w:tcPr>
            <w:tcW w:w="1016" w:type="pct"/>
            <w:tcMar>
              <w:left w:w="108" w:type="dxa"/>
              <w:right w:w="108" w:type="dxa"/>
            </w:tcMar>
          </w:tcPr>
          <w:p w14:paraId="625795AD" w14:textId="6F817CC6" w:rsidR="00FE64BC" w:rsidRPr="00FE64BC" w:rsidRDefault="00405C9C" w:rsidP="00FE64BC">
            <w:pPr>
              <w:pStyle w:val="TableText"/>
            </w:pPr>
            <w:r w:rsidRPr="00405C9C">
              <w:t>late payment fee</w:t>
            </w:r>
          </w:p>
        </w:tc>
        <w:tc>
          <w:tcPr>
            <w:tcW w:w="3984" w:type="pct"/>
            <w:tcMar>
              <w:left w:w="108" w:type="dxa"/>
              <w:right w:w="108" w:type="dxa"/>
            </w:tcMar>
          </w:tcPr>
          <w:p w14:paraId="5515EF1B" w14:textId="2C98E3E1" w:rsidR="00FE64BC" w:rsidRPr="00FE64BC" w:rsidRDefault="00F3085E" w:rsidP="00FE64BC">
            <w:pPr>
              <w:pStyle w:val="TableText"/>
            </w:pPr>
            <w:r>
              <w:t>A</w:t>
            </w:r>
            <w:r w:rsidR="00405C9C" w:rsidRPr="00405C9C">
              <w:t xml:space="preserve"> type of cost-recovery charge that must be paid in addition to a basic charge that has not been paid on or before the time it is due and payable under the relevant legislation.</w:t>
            </w:r>
          </w:p>
        </w:tc>
      </w:tr>
      <w:tr w:rsidR="00FE64BC" w14:paraId="45A18EEA" w14:textId="77777777" w:rsidTr="00405C9C">
        <w:tc>
          <w:tcPr>
            <w:tcW w:w="1016" w:type="pct"/>
            <w:tcMar>
              <w:left w:w="108" w:type="dxa"/>
              <w:right w:w="108" w:type="dxa"/>
            </w:tcMar>
          </w:tcPr>
          <w:p w14:paraId="419F593D" w14:textId="1FDF3F72" w:rsidR="00FE64BC" w:rsidRPr="00FE64BC" w:rsidRDefault="00405C9C" w:rsidP="00FE64BC">
            <w:pPr>
              <w:pStyle w:val="TableText"/>
            </w:pPr>
            <w:r w:rsidRPr="00405C9C">
              <w:t>refund</w:t>
            </w:r>
          </w:p>
        </w:tc>
        <w:tc>
          <w:tcPr>
            <w:tcW w:w="3984" w:type="pct"/>
            <w:tcMar>
              <w:left w:w="108" w:type="dxa"/>
              <w:right w:w="108" w:type="dxa"/>
            </w:tcMar>
          </w:tcPr>
          <w:p w14:paraId="192F461D" w14:textId="5C9BBBB1" w:rsidR="00FE64BC" w:rsidRPr="00FE64BC" w:rsidRDefault="00F3085E" w:rsidP="00FE64BC">
            <w:pPr>
              <w:pStyle w:val="TableText"/>
            </w:pPr>
            <w:r>
              <w:t>To</w:t>
            </w:r>
            <w:r w:rsidR="00405C9C" w:rsidRPr="00405C9C">
              <w:t xml:space="preserve"> pay back to a person or organisation the amount of a cost-recovery charge paid by that person or organisation to the Commonwealth.</w:t>
            </w:r>
          </w:p>
        </w:tc>
      </w:tr>
      <w:tr w:rsidR="00FE64BC" w14:paraId="264B5E3C" w14:textId="77777777" w:rsidTr="00405C9C">
        <w:tc>
          <w:tcPr>
            <w:tcW w:w="1016" w:type="pct"/>
            <w:tcMar>
              <w:left w:w="108" w:type="dxa"/>
              <w:right w:w="108" w:type="dxa"/>
            </w:tcMar>
          </w:tcPr>
          <w:p w14:paraId="61F492AE" w14:textId="537D95B4" w:rsidR="00FE64BC" w:rsidRPr="00FE64BC" w:rsidRDefault="00405C9C" w:rsidP="00FE64BC">
            <w:pPr>
              <w:pStyle w:val="TableText"/>
            </w:pPr>
            <w:r w:rsidRPr="00405C9C">
              <w:t>remit (or remission as the noun of the verb remit)</w:t>
            </w:r>
          </w:p>
        </w:tc>
        <w:tc>
          <w:tcPr>
            <w:tcW w:w="3984" w:type="pct"/>
            <w:tcMar>
              <w:left w:w="108" w:type="dxa"/>
              <w:right w:w="108" w:type="dxa"/>
            </w:tcMar>
          </w:tcPr>
          <w:p w14:paraId="7EABF7B9" w14:textId="32B57680" w:rsidR="00FE64BC" w:rsidRPr="00FE64BC" w:rsidRDefault="00F3085E" w:rsidP="00B21A9E">
            <w:pPr>
              <w:pStyle w:val="TableText"/>
            </w:pPr>
            <w:r>
              <w:t>T</w:t>
            </w:r>
            <w:r w:rsidR="00405C9C" w:rsidRPr="00405C9C">
              <w:t>o cancel a cost-recovery charge (in whole or part) that is payable but has not yet been paid by a person or organisation to the Commonwealth.</w:t>
            </w:r>
            <w:r w:rsidR="00B21A9E">
              <w:t xml:space="preserve"> </w:t>
            </w:r>
            <w:r w:rsidR="008508CD" w:rsidRPr="008508CD">
              <w:t xml:space="preserve">The </w:t>
            </w:r>
            <w:r w:rsidR="008508CD" w:rsidRPr="00E663D7">
              <w:rPr>
                <w:rStyle w:val="Emphasis"/>
              </w:rPr>
              <w:t xml:space="preserve">Imported Food Control Act 1992 </w:t>
            </w:r>
            <w:r w:rsidR="00B21A9E" w:rsidRPr="00B21A9E">
              <w:t xml:space="preserve">instead uses </w:t>
            </w:r>
            <w:r w:rsidR="008508CD" w:rsidRPr="008508CD">
              <w:t>‘waiver’</w:t>
            </w:r>
            <w:r w:rsidR="00B21A9E">
              <w:t xml:space="preserve"> in place of</w:t>
            </w:r>
            <w:r w:rsidR="008508CD" w:rsidRPr="008508CD">
              <w:t xml:space="preserve"> </w:t>
            </w:r>
            <w:r w:rsidR="00B21A9E">
              <w:t>‘</w:t>
            </w:r>
            <w:r w:rsidR="008508CD" w:rsidRPr="008508CD">
              <w:t>remission</w:t>
            </w:r>
            <w:r w:rsidR="00B21A9E">
              <w:t>’</w:t>
            </w:r>
            <w:r w:rsidR="008508CD" w:rsidRPr="008508CD">
              <w:t>.</w:t>
            </w:r>
          </w:p>
        </w:tc>
      </w:tr>
    </w:tbl>
    <w:p w14:paraId="12E2B8F4" w14:textId="65F0C99B" w:rsidR="005A7193" w:rsidRDefault="00405C9C" w:rsidP="008508CD">
      <w:pPr>
        <w:pStyle w:val="Heading2"/>
        <w:pageBreakBefore/>
      </w:pPr>
      <w:bookmarkStart w:id="8" w:name="_Scope_of_remission"/>
      <w:bookmarkStart w:id="9" w:name="_Toc218691976"/>
      <w:bookmarkEnd w:id="8"/>
      <w:r w:rsidRPr="00405C9C">
        <w:lastRenderedPageBreak/>
        <w:t>Scope of remission and refund provisions</w:t>
      </w:r>
      <w:bookmarkEnd w:id="9"/>
    </w:p>
    <w:p w14:paraId="19FFBCCE" w14:textId="4DC160F3" w:rsidR="00405C9C" w:rsidRDefault="00405C9C" w:rsidP="00405C9C">
      <w:pPr>
        <w:rPr>
          <w:lang w:eastAsia="ja-JP"/>
        </w:rPr>
      </w:pPr>
      <w:r w:rsidRPr="00405C9C">
        <w:rPr>
          <w:lang w:eastAsia="ja-JP"/>
        </w:rPr>
        <w:t>The remission and refund provisions apply to cost-recovery charges that are imposed by their respective legislation</w:t>
      </w:r>
      <w:r w:rsidR="004B4E94">
        <w:rPr>
          <w:lang w:eastAsia="ja-JP"/>
        </w:rPr>
        <w:t xml:space="preserve"> (</w:t>
      </w:r>
      <w:r w:rsidR="004B4E94">
        <w:rPr>
          <w:lang w:eastAsia="ja-JP"/>
        </w:rPr>
        <w:fldChar w:fldCharType="begin"/>
      </w:r>
      <w:r w:rsidR="004B4E94">
        <w:rPr>
          <w:lang w:eastAsia="ja-JP"/>
        </w:rPr>
        <w:instrText xml:space="preserve"> REF _Ref218686026 \h </w:instrText>
      </w:r>
      <w:r w:rsidR="004B4E94">
        <w:rPr>
          <w:lang w:eastAsia="ja-JP"/>
        </w:rPr>
      </w:r>
      <w:r w:rsidR="004B4E94">
        <w:rPr>
          <w:lang w:eastAsia="ja-JP"/>
        </w:rPr>
        <w:fldChar w:fldCharType="separate"/>
      </w:r>
      <w:r w:rsidR="004B4E94">
        <w:t xml:space="preserve">Table </w:t>
      </w:r>
      <w:r w:rsidR="004B4E94">
        <w:rPr>
          <w:noProof/>
        </w:rPr>
        <w:t>1</w:t>
      </w:r>
      <w:r w:rsidR="004B4E94">
        <w:rPr>
          <w:lang w:eastAsia="ja-JP"/>
        </w:rPr>
        <w:fldChar w:fldCharType="end"/>
      </w:r>
      <w:r w:rsidR="004B4E94">
        <w:rPr>
          <w:lang w:eastAsia="ja-JP"/>
        </w:rPr>
        <w:t>)</w:t>
      </w:r>
      <w:r w:rsidRPr="00405C9C">
        <w:rPr>
          <w:lang w:eastAsia="ja-JP"/>
        </w:rPr>
        <w:t>.</w:t>
      </w:r>
    </w:p>
    <w:p w14:paraId="5EEBBAAF" w14:textId="2FAE4586" w:rsidR="008508CD" w:rsidRDefault="008508CD" w:rsidP="008508CD">
      <w:pPr>
        <w:pStyle w:val="Caption"/>
        <w:rPr>
          <w:lang w:eastAsia="ja-JP"/>
        </w:rPr>
      </w:pPr>
      <w:bookmarkStart w:id="10" w:name="_Ref218686026"/>
      <w:bookmarkStart w:id="11" w:name="_Toc218691984"/>
      <w:r>
        <w:t xml:space="preserve">Table </w:t>
      </w:r>
      <w:r>
        <w:fldChar w:fldCharType="begin"/>
      </w:r>
      <w:r>
        <w:instrText xml:space="preserve"> SEQ Table \* ARABIC </w:instrText>
      </w:r>
      <w:r>
        <w:fldChar w:fldCharType="separate"/>
      </w:r>
      <w:r>
        <w:rPr>
          <w:noProof/>
        </w:rPr>
        <w:t>1</w:t>
      </w:r>
      <w:r>
        <w:fldChar w:fldCharType="end"/>
      </w:r>
      <w:bookmarkEnd w:id="10"/>
      <w:r w:rsidR="00C91A04">
        <w:t xml:space="preserve"> </w:t>
      </w:r>
      <w:r w:rsidR="004B4E94">
        <w:t xml:space="preserve">Application of remission and refund provisions to </w:t>
      </w:r>
      <w:r w:rsidR="005E2757">
        <w:t>cost-</w:t>
      </w:r>
      <w:bookmarkEnd w:id="11"/>
      <w:r w:rsidR="005E2757">
        <w:t>recovery charges</w:t>
      </w:r>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118"/>
        <w:gridCol w:w="5952"/>
      </w:tblGrid>
      <w:tr w:rsidR="00901EF2" w:rsidRPr="009A501D" w14:paraId="60ED6375" w14:textId="77777777" w:rsidTr="00901EF2">
        <w:trPr>
          <w:cantSplit/>
          <w:tblHeader/>
        </w:trPr>
        <w:tc>
          <w:tcPr>
            <w:tcW w:w="1719" w:type="pct"/>
            <w:tcMar>
              <w:left w:w="108" w:type="dxa"/>
              <w:right w:w="108" w:type="dxa"/>
            </w:tcMar>
          </w:tcPr>
          <w:p w14:paraId="3A58F17F" w14:textId="35B90627" w:rsidR="00901EF2" w:rsidRPr="009A501D" w:rsidRDefault="00901EF2" w:rsidP="003A6E18">
            <w:pPr>
              <w:pStyle w:val="TableHeading"/>
            </w:pPr>
            <w:r w:rsidRPr="00901EF2">
              <w:t>Remission</w:t>
            </w:r>
            <w:r w:rsidR="00C91A04" w:rsidRPr="00C91A04">
              <w:t xml:space="preserve"> or </w:t>
            </w:r>
            <w:r w:rsidRPr="00901EF2">
              <w:t>refund provision</w:t>
            </w:r>
          </w:p>
        </w:tc>
        <w:tc>
          <w:tcPr>
            <w:tcW w:w="3281" w:type="pct"/>
            <w:tcMar>
              <w:left w:w="108" w:type="dxa"/>
              <w:right w:w="108" w:type="dxa"/>
            </w:tcMar>
          </w:tcPr>
          <w:p w14:paraId="01355A4D" w14:textId="0C5B943C" w:rsidR="00901EF2" w:rsidRPr="009A501D" w:rsidRDefault="00901EF2" w:rsidP="00901EF2">
            <w:pPr>
              <w:pStyle w:val="TableHeading"/>
            </w:pPr>
            <w:r w:rsidRPr="00901EF2">
              <w:t xml:space="preserve">Application to </w:t>
            </w:r>
            <w:r w:rsidR="005E2757">
              <w:t xml:space="preserve">cost-recovery </w:t>
            </w:r>
            <w:r w:rsidR="005E2757" w:rsidRPr="00901EF2">
              <w:t>charges</w:t>
            </w:r>
          </w:p>
        </w:tc>
      </w:tr>
      <w:tr w:rsidR="00901EF2" w:rsidRPr="009A501D" w14:paraId="4D66BD65" w14:textId="77777777" w:rsidTr="00901EF2">
        <w:tc>
          <w:tcPr>
            <w:tcW w:w="1719" w:type="pct"/>
            <w:tcMar>
              <w:left w:w="108" w:type="dxa"/>
              <w:right w:w="108" w:type="dxa"/>
            </w:tcMar>
          </w:tcPr>
          <w:p w14:paraId="0E0D6556" w14:textId="450D526E" w:rsidR="00901EF2" w:rsidRPr="009A501D" w:rsidRDefault="00901EF2" w:rsidP="00571484">
            <w:pPr>
              <w:pStyle w:val="TableText"/>
            </w:pPr>
            <w:r w:rsidRPr="00901EF2">
              <w:rPr>
                <w:rStyle w:val="Strong"/>
              </w:rPr>
              <w:t>Biosecurity</w:t>
            </w:r>
            <w:r w:rsidR="00571484">
              <w:rPr>
                <w:rStyle w:val="Strong"/>
              </w:rPr>
              <w:t xml:space="preserve">: </w:t>
            </w:r>
            <w:r>
              <w:t xml:space="preserve">Section 613(1) of the </w:t>
            </w:r>
            <w:r w:rsidRPr="00901EF2">
              <w:rPr>
                <w:rStyle w:val="Emphasis"/>
              </w:rPr>
              <w:t>Biosecurity Act 2015</w:t>
            </w:r>
          </w:p>
        </w:tc>
        <w:tc>
          <w:tcPr>
            <w:tcW w:w="3281" w:type="pct"/>
            <w:tcMar>
              <w:left w:w="108" w:type="dxa"/>
              <w:right w:w="108" w:type="dxa"/>
            </w:tcMar>
          </w:tcPr>
          <w:p w14:paraId="2EB2EE7E" w14:textId="30517CA7" w:rsidR="00901EF2" w:rsidRDefault="00901EF2" w:rsidP="00901EF2">
            <w:pPr>
              <w:pStyle w:val="TableBullet"/>
            </w:pPr>
            <w:r>
              <w:t>A fee for a fee-bearing activity</w:t>
            </w:r>
            <w:r w:rsidR="00E663D7">
              <w:t xml:space="preserve"> </w:t>
            </w:r>
            <w:r w:rsidR="00E663D7" w:rsidRPr="00E663D7">
              <w:rPr>
                <w:b/>
                <w:bCs/>
                <w:vertAlign w:val="superscript"/>
              </w:rPr>
              <w:t>a</w:t>
            </w:r>
          </w:p>
          <w:p w14:paraId="217430B7" w14:textId="0B22CA41" w:rsidR="00901EF2" w:rsidRDefault="00901EF2" w:rsidP="00901EF2">
            <w:pPr>
              <w:pStyle w:val="TableBullet"/>
            </w:pPr>
            <w:r>
              <w:t>A charge imposed by the biosecurity charging legislation</w:t>
            </w:r>
            <w:r w:rsidR="00E663D7">
              <w:t xml:space="preserve"> </w:t>
            </w:r>
            <w:r w:rsidR="00E663D7" w:rsidRPr="00E663D7">
              <w:rPr>
                <w:b/>
                <w:bCs/>
                <w:vertAlign w:val="superscript"/>
              </w:rPr>
              <w:t>b</w:t>
            </w:r>
          </w:p>
          <w:p w14:paraId="32F541F3" w14:textId="5B27863B" w:rsidR="00901EF2" w:rsidRPr="009A501D" w:rsidRDefault="00901EF2" w:rsidP="00901EF2">
            <w:pPr>
              <w:pStyle w:val="TableBullet"/>
            </w:pPr>
            <w:r>
              <w:t>A related late payment fee</w:t>
            </w:r>
          </w:p>
        </w:tc>
      </w:tr>
      <w:tr w:rsidR="00901EF2" w:rsidRPr="009A501D" w14:paraId="4DFB7836" w14:textId="77777777" w:rsidTr="00901EF2">
        <w:tc>
          <w:tcPr>
            <w:tcW w:w="1719" w:type="pct"/>
            <w:tcMar>
              <w:left w:w="108" w:type="dxa"/>
              <w:right w:w="108" w:type="dxa"/>
            </w:tcMar>
          </w:tcPr>
          <w:p w14:paraId="797CB44A" w14:textId="719256E2" w:rsidR="00901EF2" w:rsidRPr="009A501D" w:rsidRDefault="00901EF2" w:rsidP="00571484">
            <w:pPr>
              <w:pStyle w:val="TableText"/>
            </w:pPr>
            <w:r w:rsidRPr="00901EF2">
              <w:rPr>
                <w:rStyle w:val="Strong"/>
              </w:rPr>
              <w:t>Export control</w:t>
            </w:r>
            <w:r w:rsidR="00571484">
              <w:rPr>
                <w:rStyle w:val="Strong"/>
              </w:rPr>
              <w:t xml:space="preserve">: </w:t>
            </w:r>
            <w:r>
              <w:t xml:space="preserve">Section 405(1) of the </w:t>
            </w:r>
            <w:r w:rsidRPr="00901EF2">
              <w:rPr>
                <w:rStyle w:val="Emphasis"/>
              </w:rPr>
              <w:t>Export Control Act 2020</w:t>
            </w:r>
          </w:p>
        </w:tc>
        <w:tc>
          <w:tcPr>
            <w:tcW w:w="3281" w:type="pct"/>
            <w:tcMar>
              <w:left w:w="108" w:type="dxa"/>
              <w:right w:w="108" w:type="dxa"/>
            </w:tcMar>
          </w:tcPr>
          <w:p w14:paraId="0C21B833" w14:textId="42971635" w:rsidR="00901EF2" w:rsidRDefault="00901EF2" w:rsidP="00901EF2">
            <w:pPr>
              <w:pStyle w:val="TableBullet"/>
            </w:pPr>
            <w:r>
              <w:t>A fee for a fee-bearing activity</w:t>
            </w:r>
            <w:r w:rsidR="00E663D7">
              <w:t xml:space="preserve"> </w:t>
            </w:r>
            <w:r w:rsidR="00E663D7" w:rsidRPr="00C91A04">
              <w:rPr>
                <w:b/>
                <w:bCs/>
                <w:vertAlign w:val="superscript"/>
              </w:rPr>
              <w:t>c</w:t>
            </w:r>
          </w:p>
          <w:p w14:paraId="04A439E6" w14:textId="51C05D98" w:rsidR="00901EF2" w:rsidRDefault="00901EF2" w:rsidP="00901EF2">
            <w:pPr>
              <w:pStyle w:val="TableBullet"/>
            </w:pPr>
            <w:r>
              <w:t>A charge imposed by the export control charging legislation</w:t>
            </w:r>
            <w:r w:rsidR="00E663D7">
              <w:t xml:space="preserve"> </w:t>
            </w:r>
            <w:r w:rsidR="00E663D7" w:rsidRPr="00C91A04">
              <w:rPr>
                <w:b/>
                <w:bCs/>
                <w:vertAlign w:val="superscript"/>
              </w:rPr>
              <w:t>d</w:t>
            </w:r>
          </w:p>
          <w:p w14:paraId="401D6A9A" w14:textId="030F4E64" w:rsidR="00901EF2" w:rsidRPr="009A501D" w:rsidRDefault="00901EF2" w:rsidP="00901EF2">
            <w:pPr>
              <w:pStyle w:val="TableBullet"/>
            </w:pPr>
            <w:r>
              <w:t>A related late payment fee</w:t>
            </w:r>
          </w:p>
        </w:tc>
      </w:tr>
      <w:tr w:rsidR="00901EF2" w:rsidRPr="009A501D" w14:paraId="3BCF9693" w14:textId="77777777" w:rsidTr="00901EF2">
        <w:tc>
          <w:tcPr>
            <w:tcW w:w="1719" w:type="pct"/>
            <w:tcMar>
              <w:left w:w="108" w:type="dxa"/>
              <w:right w:w="108" w:type="dxa"/>
            </w:tcMar>
          </w:tcPr>
          <w:p w14:paraId="3752D5EF" w14:textId="161C22FA" w:rsidR="00901EF2" w:rsidRPr="00901EF2" w:rsidRDefault="00901EF2" w:rsidP="00901EF2">
            <w:pPr>
              <w:pStyle w:val="TableText"/>
              <w:rPr>
                <w:rStyle w:val="Strong"/>
              </w:rPr>
            </w:pPr>
            <w:r w:rsidRPr="00901EF2">
              <w:rPr>
                <w:rStyle w:val="Strong"/>
              </w:rPr>
              <w:t>Imported food control</w:t>
            </w:r>
            <w:r w:rsidR="00571484">
              <w:rPr>
                <w:rStyle w:val="Strong"/>
              </w:rPr>
              <w:t>:</w:t>
            </w:r>
          </w:p>
          <w:p w14:paraId="36DF8076" w14:textId="67638F0F" w:rsidR="00901EF2" w:rsidRDefault="00901EF2" w:rsidP="00901EF2">
            <w:pPr>
              <w:pStyle w:val="TableBullet"/>
            </w:pPr>
            <w:r>
              <w:t>Sections 36(5)</w:t>
            </w:r>
            <w:proofErr w:type="gramStart"/>
            <w:r w:rsidR="00B21A9E">
              <w:t>–</w:t>
            </w:r>
            <w:r>
              <w:t>(</w:t>
            </w:r>
            <w:proofErr w:type="gramEnd"/>
            <w:r>
              <w:t xml:space="preserve">6) of the </w:t>
            </w:r>
            <w:r w:rsidRPr="00901EF2">
              <w:rPr>
                <w:rStyle w:val="Emphasis"/>
              </w:rPr>
              <w:t>Imported Food Control Act 1992</w:t>
            </w:r>
          </w:p>
          <w:p w14:paraId="433F858F" w14:textId="11825AED" w:rsidR="00901EF2" w:rsidRPr="009A501D" w:rsidRDefault="00901EF2" w:rsidP="00901EF2">
            <w:pPr>
              <w:pStyle w:val="TableBullet"/>
            </w:pPr>
            <w:r>
              <w:t xml:space="preserve">Section 15(1) of the </w:t>
            </w:r>
            <w:r w:rsidRPr="00901EF2">
              <w:rPr>
                <w:rStyle w:val="Emphasis"/>
              </w:rPr>
              <w:t>Imported Food Charges (Collection) Act 2015</w:t>
            </w:r>
          </w:p>
        </w:tc>
        <w:tc>
          <w:tcPr>
            <w:tcW w:w="3281" w:type="pct"/>
            <w:tcMar>
              <w:left w:w="108" w:type="dxa"/>
              <w:right w:w="108" w:type="dxa"/>
            </w:tcMar>
          </w:tcPr>
          <w:p w14:paraId="30AF3105" w14:textId="312E7A4A" w:rsidR="00901EF2" w:rsidRDefault="00901EF2" w:rsidP="00901EF2">
            <w:pPr>
              <w:pStyle w:val="TableBullet"/>
            </w:pPr>
            <w:r>
              <w:t>A fee for a chargeable service</w:t>
            </w:r>
            <w:r w:rsidR="00E663D7">
              <w:t xml:space="preserve"> </w:t>
            </w:r>
            <w:r w:rsidR="00E663D7" w:rsidRPr="00C91A04">
              <w:rPr>
                <w:b/>
                <w:bCs/>
                <w:vertAlign w:val="superscript"/>
              </w:rPr>
              <w:t>e</w:t>
            </w:r>
          </w:p>
          <w:p w14:paraId="76F3A5E6" w14:textId="21FE5AF3" w:rsidR="00901EF2" w:rsidRPr="009A501D" w:rsidRDefault="00901EF2" w:rsidP="00901EF2">
            <w:pPr>
              <w:pStyle w:val="TableBullet"/>
            </w:pPr>
            <w:r>
              <w:t>A charge imposed by the imported food control charging legislation</w:t>
            </w:r>
            <w:r w:rsidR="00072BA8">
              <w:t xml:space="preserve"> </w:t>
            </w:r>
            <w:r w:rsidR="00072BA8" w:rsidRPr="00C91A04">
              <w:rPr>
                <w:b/>
                <w:bCs/>
                <w:vertAlign w:val="superscript"/>
              </w:rPr>
              <w:t>f</w:t>
            </w:r>
            <w:r>
              <w:t xml:space="preserve"> and related late payment fee</w:t>
            </w:r>
          </w:p>
        </w:tc>
      </w:tr>
    </w:tbl>
    <w:p w14:paraId="3D9CF818" w14:textId="63B74EDC" w:rsidR="00E663D7" w:rsidRDefault="00E663D7" w:rsidP="00E663D7">
      <w:pPr>
        <w:pStyle w:val="FigureTableNoteSource"/>
      </w:pPr>
      <w:r w:rsidRPr="00E663D7">
        <w:rPr>
          <w:rStyle w:val="Strong"/>
        </w:rPr>
        <w:t>a</w:t>
      </w:r>
      <w:r>
        <w:t xml:space="preserve"> </w:t>
      </w:r>
      <w:r w:rsidRPr="00E663D7">
        <w:t>Biosecurity Regulation 2016</w:t>
      </w:r>
      <w:r>
        <w:t xml:space="preserve">. </w:t>
      </w:r>
      <w:r w:rsidRPr="00E663D7">
        <w:rPr>
          <w:rStyle w:val="Strong"/>
        </w:rPr>
        <w:t>b</w:t>
      </w:r>
      <w:r>
        <w:t xml:space="preserve"> </w:t>
      </w:r>
      <w:r w:rsidRPr="003459C1">
        <w:rPr>
          <w:rStyle w:val="Emphasis"/>
        </w:rPr>
        <w:t>Biosecurity Charges Imposition (Customs) Act 2015</w:t>
      </w:r>
      <w:r w:rsidRPr="00E663D7">
        <w:t xml:space="preserve">, </w:t>
      </w:r>
      <w:r w:rsidRPr="003459C1">
        <w:rPr>
          <w:rStyle w:val="Emphasis"/>
        </w:rPr>
        <w:t>Biosecurity Charges Imposition (Excise) Act 2015</w:t>
      </w:r>
      <w:r w:rsidRPr="00E663D7">
        <w:t xml:space="preserve">, </w:t>
      </w:r>
      <w:r w:rsidRPr="003459C1">
        <w:rPr>
          <w:rStyle w:val="Emphasis"/>
        </w:rPr>
        <w:t>Biosecurity Charges Imposition (General) Act 2015</w:t>
      </w:r>
      <w:r w:rsidRPr="00E663D7">
        <w:t>, Biosecurity Charges Imposition (Customs) Regulation 2016, Biosecurity Charges Imposition (General) Regulation 2016.</w:t>
      </w:r>
      <w:r>
        <w:t xml:space="preserve"> </w:t>
      </w:r>
      <w:r w:rsidRPr="00E663D7">
        <w:rPr>
          <w:rStyle w:val="Strong"/>
        </w:rPr>
        <w:t>c</w:t>
      </w:r>
      <w:r>
        <w:t xml:space="preserve"> </w:t>
      </w:r>
      <w:r w:rsidRPr="00E663D7">
        <w:t>Prescribed by the Export Control (Fees and Payments) Rules 2021.</w:t>
      </w:r>
      <w:r>
        <w:t xml:space="preserve"> </w:t>
      </w:r>
      <w:r w:rsidRPr="00E663D7">
        <w:rPr>
          <w:rStyle w:val="Strong"/>
        </w:rPr>
        <w:t>d</w:t>
      </w:r>
      <w:r>
        <w:t xml:space="preserve"> </w:t>
      </w:r>
      <w:r w:rsidRPr="003459C1">
        <w:rPr>
          <w:rStyle w:val="Emphasis"/>
        </w:rPr>
        <w:t>Export Charges (Imposition—Customs) Act 2015</w:t>
      </w:r>
      <w:r w:rsidRPr="00E663D7">
        <w:t xml:space="preserve">, </w:t>
      </w:r>
      <w:r w:rsidRPr="003459C1">
        <w:rPr>
          <w:rStyle w:val="Emphasis"/>
        </w:rPr>
        <w:t>Export Charges (Imposition—Excise) Act 2015</w:t>
      </w:r>
      <w:r w:rsidRPr="00E663D7">
        <w:t xml:space="preserve">, </w:t>
      </w:r>
      <w:r w:rsidRPr="003459C1">
        <w:rPr>
          <w:rStyle w:val="Emphasis"/>
        </w:rPr>
        <w:t>Export Charges (Imposition—General) Act 2015</w:t>
      </w:r>
      <w:r w:rsidRPr="00E663D7">
        <w:t>, Export Charges (Imposition—Customs) Regulations 2021, Export Charges (Imposition—General) Regulations 2021.</w:t>
      </w:r>
    </w:p>
    <w:p w14:paraId="1A1D93F6" w14:textId="2A407E10" w:rsidR="00405C9C" w:rsidRDefault="00901EF2" w:rsidP="008508CD">
      <w:pPr>
        <w:pStyle w:val="Heading2"/>
        <w:spacing w:before="120"/>
      </w:pPr>
      <w:bookmarkStart w:id="12" w:name="_Criteria_for_remission"/>
      <w:bookmarkStart w:id="13" w:name="_Toc218691977"/>
      <w:bookmarkEnd w:id="12"/>
      <w:r w:rsidRPr="00901EF2">
        <w:t>Criteria for remission</w:t>
      </w:r>
      <w:r w:rsidR="003459C1" w:rsidRPr="00C91A04">
        <w:t xml:space="preserve"> or </w:t>
      </w:r>
      <w:r w:rsidRPr="00901EF2">
        <w:t>refund</w:t>
      </w:r>
      <w:bookmarkEnd w:id="13"/>
    </w:p>
    <w:p w14:paraId="306F3E75" w14:textId="5EE2A5C9" w:rsidR="00901EF2" w:rsidRDefault="00901EF2" w:rsidP="00901EF2">
      <w:pPr>
        <w:rPr>
          <w:lang w:eastAsia="ja-JP"/>
        </w:rPr>
      </w:pPr>
      <w:r>
        <w:rPr>
          <w:lang w:eastAsia="ja-JP"/>
        </w:rPr>
        <w:t xml:space="preserve">The request will be assessed according to the legislative criteria of the relevant scheme, as outlined below. A remission or refund of a </w:t>
      </w:r>
      <w:r w:rsidR="005E2757">
        <w:rPr>
          <w:lang w:eastAsia="ja-JP"/>
        </w:rPr>
        <w:t>cost-recovery</w:t>
      </w:r>
      <w:r>
        <w:rPr>
          <w:lang w:eastAsia="ja-JP"/>
        </w:rPr>
        <w:t xml:space="preserve"> charge may only occur if:</w:t>
      </w:r>
    </w:p>
    <w:p w14:paraId="35BC640D" w14:textId="542B6936" w:rsidR="00901EF2" w:rsidRDefault="00901EF2" w:rsidP="00901EF2">
      <w:pPr>
        <w:pStyle w:val="ListBullet"/>
        <w:rPr>
          <w:lang w:eastAsia="ja-JP"/>
        </w:rPr>
      </w:pPr>
      <w:r>
        <w:rPr>
          <w:lang w:eastAsia="ja-JP"/>
        </w:rPr>
        <w:t xml:space="preserve">under the biosecurity legislation, the </w:t>
      </w:r>
      <w:r w:rsidR="00314219" w:rsidRPr="00314219">
        <w:rPr>
          <w:lang w:eastAsia="ja-JP"/>
        </w:rPr>
        <w:t>a</w:t>
      </w:r>
      <w:r w:rsidRPr="00314219">
        <w:rPr>
          <w:lang w:eastAsia="ja-JP"/>
        </w:rPr>
        <w:t xml:space="preserve">griculture </w:t>
      </w:r>
      <w:r w:rsidR="00314219" w:rsidRPr="00314219">
        <w:rPr>
          <w:lang w:eastAsia="ja-JP"/>
        </w:rPr>
        <w:t>m</w:t>
      </w:r>
      <w:r w:rsidRPr="00314219">
        <w:rPr>
          <w:lang w:eastAsia="ja-JP"/>
        </w:rPr>
        <w:t>inister</w:t>
      </w:r>
      <w:r>
        <w:rPr>
          <w:lang w:eastAsia="ja-JP"/>
        </w:rPr>
        <w:t xml:space="preserve"> or delegate is satisfied there are exceptional circumstances that justify doing so</w:t>
      </w:r>
      <w:r w:rsidR="00C91A04">
        <w:rPr>
          <w:lang w:eastAsia="ja-JP"/>
        </w:rPr>
        <w:t xml:space="preserve"> (</w:t>
      </w:r>
      <w:r w:rsidR="00C91A04" w:rsidRPr="003459C1">
        <w:rPr>
          <w:rStyle w:val="Emphasis"/>
        </w:rPr>
        <w:t>Biosecurity Act 2015</w:t>
      </w:r>
      <w:r w:rsidR="00C91A04" w:rsidRPr="003459C1">
        <w:rPr>
          <w:lang w:eastAsia="ja-JP"/>
        </w:rPr>
        <w:t>, section 613(1</w:t>
      </w:r>
      <w:r w:rsidR="00C91A04">
        <w:rPr>
          <w:lang w:eastAsia="ja-JP"/>
        </w:rPr>
        <w:t>))</w:t>
      </w:r>
    </w:p>
    <w:p w14:paraId="2C29805E" w14:textId="2070231F" w:rsidR="00901EF2" w:rsidRDefault="00901EF2" w:rsidP="00901EF2">
      <w:pPr>
        <w:pStyle w:val="ListBullet"/>
        <w:rPr>
          <w:lang w:eastAsia="ja-JP"/>
        </w:rPr>
      </w:pPr>
      <w:r>
        <w:rPr>
          <w:lang w:eastAsia="ja-JP"/>
        </w:rPr>
        <w:t xml:space="preserve">under the export control legislation, the </w:t>
      </w:r>
      <w:r w:rsidR="00314219">
        <w:rPr>
          <w:lang w:eastAsia="ja-JP"/>
        </w:rPr>
        <w:t>s</w:t>
      </w:r>
      <w:r>
        <w:rPr>
          <w:lang w:eastAsia="ja-JP"/>
        </w:rPr>
        <w:t>ecretary of the department or delegate is satisfied that there are circumstances that justify doing so</w:t>
      </w:r>
      <w:r w:rsidR="00C91A04">
        <w:rPr>
          <w:lang w:eastAsia="ja-JP"/>
        </w:rPr>
        <w:t xml:space="preserve"> (</w:t>
      </w:r>
      <w:r w:rsidR="00C91A04" w:rsidRPr="003459C1">
        <w:rPr>
          <w:rStyle w:val="Emphasis"/>
        </w:rPr>
        <w:t>Export Control Act 2020</w:t>
      </w:r>
      <w:r w:rsidR="00C91A04" w:rsidRPr="003459C1">
        <w:rPr>
          <w:lang w:eastAsia="ja-JP"/>
        </w:rPr>
        <w:t>, section 405(1)</w:t>
      </w:r>
      <w:r w:rsidR="00C91A04">
        <w:rPr>
          <w:lang w:eastAsia="ja-JP"/>
        </w:rPr>
        <w:t>)</w:t>
      </w:r>
      <w:r w:rsidR="003459C1">
        <w:rPr>
          <w:lang w:eastAsia="ja-JP"/>
        </w:rPr>
        <w:t>,</w:t>
      </w:r>
      <w:r>
        <w:rPr>
          <w:lang w:eastAsia="ja-JP"/>
        </w:rPr>
        <w:t xml:space="preserve"> or</w:t>
      </w:r>
    </w:p>
    <w:p w14:paraId="4F2E5F94" w14:textId="6E879081" w:rsidR="00901EF2" w:rsidRDefault="00901EF2" w:rsidP="00901EF2">
      <w:pPr>
        <w:pStyle w:val="ListBullet"/>
        <w:rPr>
          <w:lang w:eastAsia="ja-JP"/>
        </w:rPr>
      </w:pPr>
      <w:r>
        <w:rPr>
          <w:lang w:eastAsia="ja-JP"/>
        </w:rPr>
        <w:t>under the imported food control legislation</w:t>
      </w:r>
    </w:p>
    <w:p w14:paraId="7B868B2F" w14:textId="09002253" w:rsidR="00901EF2" w:rsidRDefault="00901EF2" w:rsidP="00901EF2">
      <w:pPr>
        <w:pStyle w:val="ListBullet2"/>
        <w:rPr>
          <w:lang w:eastAsia="ja-JP"/>
        </w:rPr>
      </w:pPr>
      <w:r>
        <w:rPr>
          <w:lang w:eastAsia="ja-JP"/>
        </w:rPr>
        <w:t xml:space="preserve">in relation to fees for chargeable services that were rendered, the </w:t>
      </w:r>
      <w:r w:rsidR="00314219">
        <w:rPr>
          <w:lang w:eastAsia="ja-JP"/>
        </w:rPr>
        <w:t>s</w:t>
      </w:r>
      <w:r>
        <w:rPr>
          <w:lang w:eastAsia="ja-JP"/>
        </w:rPr>
        <w:t>ecretary of the department or delegate considers it appropriate in all the circumstances to waive the fee</w:t>
      </w:r>
      <w:r w:rsidR="00C91A04">
        <w:rPr>
          <w:lang w:eastAsia="ja-JP"/>
        </w:rPr>
        <w:t xml:space="preserve"> (</w:t>
      </w:r>
      <w:r w:rsidR="00C91A04" w:rsidRPr="00C91A04">
        <w:rPr>
          <w:lang w:eastAsia="ja-JP"/>
        </w:rPr>
        <w:t>Imported Food Control Act, section 36(5)</w:t>
      </w:r>
      <w:r w:rsidR="00C91A04">
        <w:rPr>
          <w:lang w:eastAsia="ja-JP"/>
        </w:rPr>
        <w:t>)</w:t>
      </w:r>
    </w:p>
    <w:p w14:paraId="73968388" w14:textId="6E94740E" w:rsidR="00901EF2" w:rsidRDefault="00901EF2" w:rsidP="00901EF2">
      <w:pPr>
        <w:pStyle w:val="ListBullet2"/>
        <w:rPr>
          <w:lang w:eastAsia="ja-JP"/>
        </w:rPr>
      </w:pPr>
      <w:r>
        <w:rPr>
          <w:lang w:eastAsia="ja-JP"/>
        </w:rPr>
        <w:t>in relation to fees for chargeable services, whether the fee was paid but the service was not rendered</w:t>
      </w:r>
      <w:r w:rsidR="00C91A04">
        <w:rPr>
          <w:lang w:eastAsia="ja-JP"/>
        </w:rPr>
        <w:t xml:space="preserve"> (</w:t>
      </w:r>
      <w:r w:rsidR="00C91A04" w:rsidRPr="00C91A04">
        <w:rPr>
          <w:lang w:eastAsia="ja-JP"/>
        </w:rPr>
        <w:t>Imported Food Control Act, section 36(6)</w:t>
      </w:r>
      <w:r w:rsidR="00C91A04">
        <w:rPr>
          <w:lang w:eastAsia="ja-JP"/>
        </w:rPr>
        <w:t>),</w:t>
      </w:r>
      <w:r>
        <w:rPr>
          <w:lang w:eastAsia="ja-JP"/>
        </w:rPr>
        <w:t xml:space="preserve"> or</w:t>
      </w:r>
    </w:p>
    <w:p w14:paraId="2EB2C39C" w14:textId="65317742" w:rsidR="00901EF2" w:rsidRDefault="00901EF2" w:rsidP="00901EF2">
      <w:pPr>
        <w:pStyle w:val="ListBullet2"/>
        <w:rPr>
          <w:lang w:eastAsia="ja-JP"/>
        </w:rPr>
      </w:pPr>
      <w:r>
        <w:rPr>
          <w:lang w:eastAsia="ja-JP"/>
        </w:rPr>
        <w:t xml:space="preserve">in relation to imported food charges and related late payment fees, the </w:t>
      </w:r>
      <w:r w:rsidR="00314219">
        <w:rPr>
          <w:lang w:eastAsia="ja-JP"/>
        </w:rPr>
        <w:t>s</w:t>
      </w:r>
      <w:r>
        <w:rPr>
          <w:lang w:eastAsia="ja-JP"/>
        </w:rPr>
        <w:t>ecretary of the department or delegate considers it appropriate to do so</w:t>
      </w:r>
      <w:r w:rsidR="00C91A04">
        <w:rPr>
          <w:lang w:eastAsia="ja-JP"/>
        </w:rPr>
        <w:t xml:space="preserve"> (</w:t>
      </w:r>
      <w:r w:rsidR="00C91A04" w:rsidRPr="00C91A04">
        <w:rPr>
          <w:rStyle w:val="Emphasis"/>
        </w:rPr>
        <w:t>Imported Food Charges (Collection) Act 2015</w:t>
      </w:r>
      <w:r w:rsidR="00C91A04" w:rsidRPr="00C91A04">
        <w:rPr>
          <w:lang w:eastAsia="ja-JP"/>
        </w:rPr>
        <w:t>, section 15(1)</w:t>
      </w:r>
      <w:r w:rsidR="00C91A04">
        <w:rPr>
          <w:lang w:eastAsia="ja-JP"/>
        </w:rPr>
        <w:t>)</w:t>
      </w:r>
      <w:r>
        <w:rPr>
          <w:lang w:eastAsia="ja-JP"/>
        </w:rPr>
        <w:t>.</w:t>
      </w:r>
    </w:p>
    <w:p w14:paraId="07EDE8B7" w14:textId="61F468AD" w:rsidR="00901EF2" w:rsidRDefault="00901EF2" w:rsidP="00901EF2">
      <w:pPr>
        <w:rPr>
          <w:lang w:eastAsia="ja-JP"/>
        </w:rPr>
      </w:pPr>
      <w:r w:rsidRPr="00901EF2">
        <w:rPr>
          <w:lang w:eastAsia="ja-JP"/>
        </w:rPr>
        <w:lastRenderedPageBreak/>
        <w:t xml:space="preserve">The decision-maker will consider whether the request meets the criteria, having regard to </w:t>
      </w:r>
      <w:proofErr w:type="gramStart"/>
      <w:r w:rsidRPr="00901EF2">
        <w:rPr>
          <w:lang w:eastAsia="ja-JP"/>
        </w:rPr>
        <w:t>all of</w:t>
      </w:r>
      <w:proofErr w:type="gramEnd"/>
      <w:r w:rsidRPr="00901EF2">
        <w:rPr>
          <w:lang w:eastAsia="ja-JP"/>
        </w:rPr>
        <w:t xml:space="preserve"> the circumstances, including any submissions you provide, and the broader context of the regulatory scheme.</w:t>
      </w:r>
    </w:p>
    <w:p w14:paraId="3DB42936" w14:textId="4CFF698C" w:rsidR="00901EF2" w:rsidRDefault="00901EF2" w:rsidP="00901EF2">
      <w:pPr>
        <w:pStyle w:val="Heading3"/>
        <w:rPr>
          <w:lang w:eastAsia="ja-JP"/>
        </w:rPr>
      </w:pPr>
      <w:bookmarkStart w:id="14" w:name="_Toc218691978"/>
      <w:r w:rsidRPr="00901EF2">
        <w:rPr>
          <w:lang w:eastAsia="ja-JP"/>
        </w:rPr>
        <w:t>Biosecurity legislation – exceptional circumstances</w:t>
      </w:r>
      <w:bookmarkEnd w:id="14"/>
    </w:p>
    <w:p w14:paraId="0CE67D95" w14:textId="6B51A101" w:rsidR="00901EF2" w:rsidRDefault="00901EF2" w:rsidP="00901EF2">
      <w:pPr>
        <w:rPr>
          <w:lang w:eastAsia="ja-JP"/>
        </w:rPr>
      </w:pPr>
      <w:r>
        <w:rPr>
          <w:lang w:eastAsia="ja-JP"/>
        </w:rPr>
        <w:t xml:space="preserve">Under the biosecurity legislation, a remission or refund of a cost-recovery charge may only occur if the </w:t>
      </w:r>
      <w:r w:rsidR="005E2757">
        <w:rPr>
          <w:lang w:eastAsia="ja-JP"/>
        </w:rPr>
        <w:t>m</w:t>
      </w:r>
      <w:r>
        <w:rPr>
          <w:lang w:eastAsia="ja-JP"/>
        </w:rPr>
        <w:t>inister or their delegate is satisfied there are exceptional circumstances that justify doing so</w:t>
      </w:r>
      <w:r w:rsidR="00C91A04">
        <w:rPr>
          <w:lang w:eastAsia="ja-JP"/>
        </w:rPr>
        <w:t xml:space="preserve"> (</w:t>
      </w:r>
      <w:r w:rsidR="00C91A04" w:rsidRPr="00C91A04">
        <w:rPr>
          <w:rStyle w:val="Emphasis"/>
        </w:rPr>
        <w:t>Biosecurity Act 2015</w:t>
      </w:r>
      <w:r w:rsidR="00C91A04" w:rsidRPr="00C91A04">
        <w:rPr>
          <w:lang w:eastAsia="ja-JP"/>
        </w:rPr>
        <w:t>, section 613(1)</w:t>
      </w:r>
      <w:r w:rsidR="00C91A04">
        <w:rPr>
          <w:lang w:eastAsia="ja-JP"/>
        </w:rPr>
        <w:t>)</w:t>
      </w:r>
      <w:r>
        <w:rPr>
          <w:lang w:eastAsia="ja-JP"/>
        </w:rPr>
        <w:t>.</w:t>
      </w:r>
    </w:p>
    <w:p w14:paraId="016C7F13" w14:textId="6129A001" w:rsidR="00901EF2" w:rsidRDefault="00901EF2" w:rsidP="00901EF2">
      <w:pPr>
        <w:rPr>
          <w:lang w:eastAsia="ja-JP"/>
        </w:rPr>
      </w:pPr>
      <w:r>
        <w:rPr>
          <w:lang w:eastAsia="ja-JP"/>
        </w:rPr>
        <w:t>‘Exceptional circumstances’ is not a defined term in the biosecurity legislation. The department adopts its ordinary meaning.</w:t>
      </w:r>
    </w:p>
    <w:p w14:paraId="3A539A04" w14:textId="77777777" w:rsidR="00901EF2" w:rsidRDefault="00901EF2" w:rsidP="00901EF2">
      <w:pPr>
        <w:rPr>
          <w:lang w:eastAsia="ja-JP"/>
        </w:rPr>
      </w:pPr>
      <w:r>
        <w:rPr>
          <w:lang w:eastAsia="ja-JP"/>
        </w:rPr>
        <w:t>Generally, the department considers that circumstances may be exceptional where they are unusual, special, or uncommon in some way, or not regularly, routinely, or normally occurring. However, they do not need to be unique, rare, or unprecedented.</w:t>
      </w:r>
    </w:p>
    <w:p w14:paraId="344856C9" w14:textId="77777777" w:rsidR="00901EF2" w:rsidRDefault="00901EF2" w:rsidP="00901EF2">
      <w:pPr>
        <w:rPr>
          <w:lang w:eastAsia="ja-JP"/>
        </w:rPr>
      </w:pPr>
      <w:r>
        <w:rPr>
          <w:lang w:eastAsia="ja-JP"/>
        </w:rPr>
        <w:t>Whether ‘exceptional circumstances’ exist depends on the facts of each case and on the evidence available to the department at the time of the decision. Each decision to remit or refund will turn on its own merits.</w:t>
      </w:r>
    </w:p>
    <w:p w14:paraId="5A1D20FF" w14:textId="5636386E" w:rsidR="00901EF2" w:rsidRDefault="00901EF2" w:rsidP="00901EF2">
      <w:pPr>
        <w:rPr>
          <w:lang w:eastAsia="ja-JP"/>
        </w:rPr>
      </w:pPr>
      <w:r>
        <w:rPr>
          <w:lang w:eastAsia="ja-JP"/>
        </w:rPr>
        <w:t xml:space="preserve">The following are examples of what may or may not </w:t>
      </w:r>
      <w:proofErr w:type="gramStart"/>
      <w:r>
        <w:rPr>
          <w:lang w:eastAsia="ja-JP"/>
        </w:rPr>
        <w:t>be considered to be</w:t>
      </w:r>
      <w:proofErr w:type="gramEnd"/>
      <w:r>
        <w:rPr>
          <w:lang w:eastAsia="ja-JP"/>
        </w:rPr>
        <w:t xml:space="preserve"> exceptional circumstances. These examples are to be used as a guide only, to illustrate the types of circumstances that may or may not fulfil the criteria.</w:t>
      </w:r>
    </w:p>
    <w:p w14:paraId="53430BC2" w14:textId="220DEDC7" w:rsidR="00901EF2" w:rsidRDefault="00901EF2" w:rsidP="00901EF2">
      <w:pPr>
        <w:pStyle w:val="Heading4"/>
        <w:numPr>
          <w:ilvl w:val="0"/>
          <w:numId w:val="0"/>
        </w:numPr>
        <w:ind w:left="964" w:hanging="964"/>
        <w:rPr>
          <w:lang w:eastAsia="ja-JP"/>
        </w:rPr>
      </w:pPr>
      <w:r w:rsidRPr="00901EF2">
        <w:rPr>
          <w:lang w:eastAsia="ja-JP"/>
        </w:rPr>
        <w:t>Examples of circumstances that may be exceptional</w:t>
      </w:r>
    </w:p>
    <w:p w14:paraId="79220A89" w14:textId="10783998" w:rsidR="00901EF2" w:rsidRDefault="00901EF2" w:rsidP="00901EF2">
      <w:pPr>
        <w:pStyle w:val="ListBullet"/>
        <w:rPr>
          <w:lang w:eastAsia="ja-JP"/>
        </w:rPr>
      </w:pPr>
      <w:r w:rsidRPr="00901EF2">
        <w:rPr>
          <w:rStyle w:val="Strong"/>
        </w:rPr>
        <w:t>Applicant errors</w:t>
      </w:r>
      <w:r>
        <w:rPr>
          <w:lang w:eastAsia="ja-JP"/>
        </w:rPr>
        <w:t xml:space="preserve"> – for example, a person accidentally submits duplicate permit applications for the same consignment or accidentally creates and pays for an application charge and/or assessment fee for a duplicate permit, and the request is accompanied by evidence that the duplicate permit was not needed and proofs of payment.</w:t>
      </w:r>
    </w:p>
    <w:p w14:paraId="29FB2C4C" w14:textId="3B5EA39B" w:rsidR="00901EF2" w:rsidRDefault="00901EF2" w:rsidP="00901EF2">
      <w:pPr>
        <w:pStyle w:val="ListBullet"/>
        <w:rPr>
          <w:lang w:eastAsia="ja-JP"/>
        </w:rPr>
      </w:pPr>
      <w:r w:rsidRPr="00901EF2">
        <w:rPr>
          <w:rStyle w:val="Strong"/>
        </w:rPr>
        <w:t>Department error</w:t>
      </w:r>
      <w:r>
        <w:rPr>
          <w:lang w:eastAsia="ja-JP"/>
        </w:rPr>
        <w:t xml:space="preserve"> – for example, due to a departmental system error, an application was never </w:t>
      </w:r>
      <w:proofErr w:type="gramStart"/>
      <w:r>
        <w:rPr>
          <w:lang w:eastAsia="ja-JP"/>
        </w:rPr>
        <w:t>assessed</w:t>
      </w:r>
      <w:proofErr w:type="gramEnd"/>
      <w:r>
        <w:rPr>
          <w:lang w:eastAsia="ja-JP"/>
        </w:rPr>
        <w:t xml:space="preserve"> and the department withdrew the application; or where a person makes a permit application on incorrect advice given by the department. The request would need to be accompanied by evidence of the actions taken by the applicant and the department.</w:t>
      </w:r>
    </w:p>
    <w:p w14:paraId="27129489" w14:textId="4DE42E51" w:rsidR="00901EF2" w:rsidRDefault="00901EF2" w:rsidP="00901EF2">
      <w:pPr>
        <w:pStyle w:val="ListBullet"/>
        <w:rPr>
          <w:lang w:eastAsia="ja-JP"/>
        </w:rPr>
      </w:pPr>
      <w:r w:rsidRPr="00901EF2">
        <w:rPr>
          <w:rStyle w:val="Strong"/>
        </w:rPr>
        <w:t>Unexpected death of an animal</w:t>
      </w:r>
      <w:r>
        <w:rPr>
          <w:lang w:eastAsia="ja-JP"/>
        </w:rPr>
        <w:t xml:space="preserve"> – for example, a family pet unexpectedly dies shortly after lodging a permit application concerning that pet. The request would need to be accompanied by recent evidence from a veterinarian.</w:t>
      </w:r>
    </w:p>
    <w:p w14:paraId="66794189" w14:textId="5B4A949D" w:rsidR="00901EF2" w:rsidRDefault="00901EF2" w:rsidP="008C3313">
      <w:pPr>
        <w:pStyle w:val="Heading4"/>
        <w:numPr>
          <w:ilvl w:val="0"/>
          <w:numId w:val="0"/>
        </w:numPr>
        <w:ind w:left="964" w:hanging="964"/>
      </w:pPr>
      <w:r w:rsidRPr="00901EF2">
        <w:t>Examples of circumstances that are unlikely to be exceptional</w:t>
      </w:r>
    </w:p>
    <w:p w14:paraId="1EC828FD" w14:textId="7D490D38" w:rsidR="008C3313" w:rsidRDefault="008C3313" w:rsidP="008C3313">
      <w:pPr>
        <w:pStyle w:val="ListBullet"/>
      </w:pPr>
      <w:r w:rsidRPr="008C3313">
        <w:rPr>
          <w:rStyle w:val="Strong"/>
        </w:rPr>
        <w:t>Application unsuccessful</w:t>
      </w:r>
      <w:r>
        <w:t xml:space="preserve"> – for example, where a person has applied for a permit relating to certain goods, the application was assessed, and the permit was refused.</w:t>
      </w:r>
    </w:p>
    <w:p w14:paraId="79680C39" w14:textId="19CB6077" w:rsidR="00977537" w:rsidRDefault="008C3313" w:rsidP="008C3313">
      <w:pPr>
        <w:pStyle w:val="ListBullet"/>
      </w:pPr>
      <w:r w:rsidRPr="008C3313">
        <w:rPr>
          <w:rStyle w:val="Strong"/>
        </w:rPr>
        <w:t xml:space="preserve">Change of mind </w:t>
      </w:r>
      <w:r w:rsidR="00977537" w:rsidRPr="00977537">
        <w:rPr>
          <w:rStyle w:val="Strong"/>
        </w:rPr>
        <w:t>or change of</w:t>
      </w:r>
      <w:r w:rsidRPr="008C3313">
        <w:rPr>
          <w:rStyle w:val="Strong"/>
        </w:rPr>
        <w:t xml:space="preserve"> circumstances</w:t>
      </w:r>
      <w:r>
        <w:t xml:space="preserve"> – for example</w:t>
      </w:r>
      <w:r w:rsidR="00977537">
        <w:t>:</w:t>
      </w:r>
    </w:p>
    <w:p w14:paraId="2FC98DFC" w14:textId="77777777" w:rsidR="00977537" w:rsidRDefault="008C3313" w:rsidP="00977537">
      <w:pPr>
        <w:pStyle w:val="ListBullet2"/>
      </w:pPr>
      <w:r>
        <w:t>where a person has simply changed their mind about importing goods or makes changes to a reservation with no rationale or explanation</w:t>
      </w:r>
    </w:p>
    <w:p w14:paraId="1F0E93DC" w14:textId="77777777" w:rsidR="00977537" w:rsidRDefault="008C3313" w:rsidP="00977537">
      <w:pPr>
        <w:pStyle w:val="ListBullet2"/>
      </w:pPr>
      <w:r>
        <w:lastRenderedPageBreak/>
        <w:t>where a person decides not to proceed with a permit application or a reservation over concerns for the animal’s health following veterinary advice</w:t>
      </w:r>
    </w:p>
    <w:p w14:paraId="7FD922D6" w14:textId="7C1DD202" w:rsidR="008C3313" w:rsidRDefault="008C3313" w:rsidP="00977537">
      <w:pPr>
        <w:pStyle w:val="ListBullet2"/>
      </w:pPr>
      <w:r>
        <w:t>where there is a change in travel plans, employment or pre-existing health condition.</w:t>
      </w:r>
    </w:p>
    <w:p w14:paraId="1BC08FED" w14:textId="7A35EAAF" w:rsidR="008C3313" w:rsidRDefault="008C3313" w:rsidP="008C3313">
      <w:pPr>
        <w:pStyle w:val="ListBullet"/>
      </w:pPr>
      <w:r w:rsidRPr="008C3313">
        <w:rPr>
          <w:rStyle w:val="Strong"/>
        </w:rPr>
        <w:t>Futile application</w:t>
      </w:r>
      <w:r>
        <w:t xml:space="preserve"> – for example, if a person applied for a permit to import goods that are not permitted entry to Australia.</w:t>
      </w:r>
    </w:p>
    <w:p w14:paraId="6A666108" w14:textId="2A88ACC3" w:rsidR="008C3313" w:rsidRDefault="008C3313" w:rsidP="008C3313">
      <w:r w:rsidRPr="008C3313">
        <w:t xml:space="preserve">Refunds and remissions are not permitted just because exceptional circumstances are identified. The decision-maker will also consider whether the exceptional circumstances justify the refund and remission of the cost-recovery charge having regard to </w:t>
      </w:r>
      <w:proofErr w:type="gramStart"/>
      <w:r w:rsidRPr="008C3313">
        <w:t>all of</w:t>
      </w:r>
      <w:proofErr w:type="gramEnd"/>
      <w:r w:rsidRPr="008C3313">
        <w:t xml:space="preserve"> the circumstances.</w:t>
      </w:r>
    </w:p>
    <w:p w14:paraId="543EEABC" w14:textId="4C3E4D7C" w:rsidR="008C3313" w:rsidRDefault="008C3313" w:rsidP="008C3313">
      <w:pPr>
        <w:pStyle w:val="Heading3"/>
      </w:pPr>
      <w:bookmarkStart w:id="15" w:name="_Toc218691979"/>
      <w:r w:rsidRPr="008C3313">
        <w:t xml:space="preserve">All </w:t>
      </w:r>
      <w:r w:rsidR="005E2757">
        <w:t>cost-recovery</w:t>
      </w:r>
      <w:r w:rsidRPr="008C3313">
        <w:t xml:space="preserve"> legislation </w:t>
      </w:r>
      <w:r>
        <w:t>–</w:t>
      </w:r>
      <w:r w:rsidRPr="008C3313">
        <w:t xml:space="preserve"> </w:t>
      </w:r>
      <w:r>
        <w:t>j</w:t>
      </w:r>
      <w:r w:rsidRPr="008C3313">
        <w:t>ustified or appropriate</w:t>
      </w:r>
      <w:bookmarkEnd w:id="15"/>
    </w:p>
    <w:p w14:paraId="19D9B366" w14:textId="77777777" w:rsidR="008C3313" w:rsidRDefault="008C3313" w:rsidP="008C3313">
      <w:r>
        <w:t>It is necessary under the biosecurity, export control and imported food control legislation for the department to consider whether it is justified or appropriate to remit or refund the cost-recovery charge.</w:t>
      </w:r>
    </w:p>
    <w:p w14:paraId="4FC40FAB" w14:textId="143A7738" w:rsidR="008C3313" w:rsidRDefault="008C3313" w:rsidP="008C3313">
      <w:r>
        <w:t xml:space="preserve">In considering whether remission or refund is justified </w:t>
      </w:r>
      <w:r w:rsidR="00C91A04">
        <w:t>(o</w:t>
      </w:r>
      <w:r w:rsidR="00C91A04" w:rsidRPr="00C91A04">
        <w:t xml:space="preserve">r whether waiver is appropriate in the context of cost-recovery charges imposed under the </w:t>
      </w:r>
      <w:r w:rsidR="00C91A04" w:rsidRPr="00C91A04">
        <w:rPr>
          <w:rStyle w:val="Emphasis"/>
        </w:rPr>
        <w:t>Imported Food Control Act 2015</w:t>
      </w:r>
      <w:r w:rsidR="00C91A04">
        <w:t>)</w:t>
      </w:r>
      <w:r>
        <w:t xml:space="preserve">, the decision-maker will consider </w:t>
      </w:r>
      <w:proofErr w:type="gramStart"/>
      <w:r>
        <w:t>all of</w:t>
      </w:r>
      <w:proofErr w:type="gramEnd"/>
      <w:r>
        <w:t xml:space="preserve"> the circumstances, having regard to the evidence and information before them.</w:t>
      </w:r>
    </w:p>
    <w:p w14:paraId="3086569F" w14:textId="43D9E8F9" w:rsidR="008C3313" w:rsidRDefault="00B21A9E" w:rsidP="008C3313">
      <w:r>
        <w:t>Factors that t</w:t>
      </w:r>
      <w:r w:rsidR="008C3313">
        <w:t>he decision-maker may consider:</w:t>
      </w:r>
    </w:p>
    <w:p w14:paraId="5AC3503C" w14:textId="086D3F87" w:rsidR="008C3313" w:rsidRPr="00B21A9E" w:rsidRDefault="008C3313" w:rsidP="008C3313">
      <w:pPr>
        <w:pStyle w:val="ListBullet"/>
      </w:pPr>
      <w:r w:rsidRPr="00B21A9E">
        <w:t>Whether the circumstances were outside the control of the person or could not be planned for.</w:t>
      </w:r>
    </w:p>
    <w:p w14:paraId="11E9F0DB" w14:textId="477FC616" w:rsidR="008C3313" w:rsidRDefault="008C3313" w:rsidP="008C3313">
      <w:pPr>
        <w:pStyle w:val="ListBullet"/>
      </w:pPr>
      <w:r w:rsidRPr="00B21A9E">
        <w:t>Whether</w:t>
      </w:r>
      <w:r>
        <w:t xml:space="preserve"> the person has taken reasonable steps to reduce their liability, such as informing the department as early as possible of changes or errors. Repeated mistakes by the same person may no longer be ‘exceptional’ in the context of their pattern of behaviour. Similarly, if a person has been previously advised of proper process and has not followed it, this may increase the person’s liability for incurring the charge.</w:t>
      </w:r>
    </w:p>
    <w:p w14:paraId="56C9B9FB" w14:textId="77777777" w:rsidR="008C3313" w:rsidRDefault="008C3313" w:rsidP="008C3313">
      <w:pPr>
        <w:pStyle w:val="ListBullet"/>
      </w:pPr>
      <w:r>
        <w:t>Whether the cost-recovery charge is a charge or a fee. If it is a charge, the decision-maker may consider the cost to the department of providing the indirect facility or service.</w:t>
      </w:r>
    </w:p>
    <w:p w14:paraId="13F0A369" w14:textId="77777777" w:rsidR="008C3313" w:rsidRDefault="008C3313" w:rsidP="008C3313">
      <w:pPr>
        <w:pStyle w:val="ListBullet"/>
      </w:pPr>
      <w:r>
        <w:t>If it is a fee, how much work the department has done in relation to the fee for service.</w:t>
      </w:r>
    </w:p>
    <w:p w14:paraId="24C50C79" w14:textId="11B9A2BA" w:rsidR="008C3313" w:rsidRDefault="008C3313" w:rsidP="008C3313">
      <w:pPr>
        <w:pStyle w:val="ListBullet"/>
      </w:pPr>
      <w:r>
        <w:t xml:space="preserve">Whether there were any circumstances that led to the person’s decision not to proceed. For example, a person who has </w:t>
      </w:r>
      <w:proofErr w:type="gramStart"/>
      <w:r>
        <w:t>submitted an application</w:t>
      </w:r>
      <w:proofErr w:type="gramEnd"/>
      <w:r>
        <w:t xml:space="preserve"> for a permit withdraws the application after being notified of the outcome of an assessment.</w:t>
      </w:r>
    </w:p>
    <w:p w14:paraId="2104FDDC" w14:textId="494FEEFB" w:rsidR="008C3313" w:rsidRDefault="008C3313" w:rsidP="008C3313">
      <w:pPr>
        <w:pStyle w:val="Heading3"/>
      </w:pPr>
      <w:bookmarkStart w:id="16" w:name="_Toc218691980"/>
      <w:r w:rsidRPr="008C3313">
        <w:t>Multiple cost-recovery charges</w:t>
      </w:r>
      <w:bookmarkEnd w:id="16"/>
    </w:p>
    <w:p w14:paraId="1CCA24C5" w14:textId="717FE0CD" w:rsidR="008C3313" w:rsidRDefault="008C3313" w:rsidP="008C3313">
      <w:r w:rsidRPr="008C3313">
        <w:t xml:space="preserve">If the request relates to multiple </w:t>
      </w:r>
      <w:r w:rsidR="005E2757">
        <w:t>cost-recovery</w:t>
      </w:r>
      <w:r w:rsidRPr="008C3313">
        <w:t xml:space="preserve"> charges, the decision-maker may need to </w:t>
      </w:r>
      <w:proofErr w:type="gramStart"/>
      <w:r w:rsidRPr="008C3313">
        <w:t>make a decision</w:t>
      </w:r>
      <w:proofErr w:type="gramEnd"/>
      <w:r w:rsidRPr="008C3313">
        <w:t xml:space="preserve"> on each of the cost-recovery charges separately, noting they may be subject to different remission or refund criteria, imposed under different legislation and/or have different circumstances.</w:t>
      </w:r>
    </w:p>
    <w:p w14:paraId="7EAF2538" w14:textId="0D3598BC" w:rsidR="008C3313" w:rsidRDefault="008C3313" w:rsidP="008C3313">
      <w:pPr>
        <w:pStyle w:val="Heading2"/>
      </w:pPr>
      <w:bookmarkStart w:id="17" w:name="_Supporting_evidence"/>
      <w:bookmarkStart w:id="18" w:name="_Toc218691981"/>
      <w:bookmarkEnd w:id="17"/>
      <w:r>
        <w:t>S</w:t>
      </w:r>
      <w:r w:rsidRPr="008C3313">
        <w:t>upporting evidence</w:t>
      </w:r>
      <w:bookmarkEnd w:id="18"/>
    </w:p>
    <w:p w14:paraId="03F2B04A" w14:textId="77777777" w:rsidR="008C3313" w:rsidRDefault="008C3313" w:rsidP="008C3313">
      <w:pPr>
        <w:rPr>
          <w:lang w:eastAsia="ja-JP"/>
        </w:rPr>
      </w:pPr>
      <w:r>
        <w:rPr>
          <w:lang w:eastAsia="ja-JP"/>
        </w:rPr>
        <w:t xml:space="preserve">The decision-maker will consider any supporting evidence in making the decision on a request for remission or refund of cost-recovery charges. In some but not all cases, the person responsible for </w:t>
      </w:r>
      <w:r>
        <w:rPr>
          <w:lang w:eastAsia="ja-JP"/>
        </w:rPr>
        <w:lastRenderedPageBreak/>
        <w:t>payment may be requested to provide further details to the department relating to the reason for a remission or refund and/or any further evidence.</w:t>
      </w:r>
    </w:p>
    <w:p w14:paraId="1061BBEF" w14:textId="79A6D682" w:rsidR="008C3313" w:rsidRDefault="008C3313" w:rsidP="008C3313">
      <w:pPr>
        <w:rPr>
          <w:lang w:eastAsia="ja-JP"/>
        </w:rPr>
      </w:pPr>
      <w:r>
        <w:rPr>
          <w:lang w:eastAsia="ja-JP"/>
        </w:rPr>
        <w:t>The request should be supported by evidence sufficient to establish the facts and circumstances claimed, such as the reason why the request for remission or the refund was made. Supporting evidence to accompany the request may include:</w:t>
      </w:r>
    </w:p>
    <w:p w14:paraId="10738A62" w14:textId="20D83791" w:rsidR="008C3313" w:rsidRDefault="00314219" w:rsidP="008C3313">
      <w:pPr>
        <w:pStyle w:val="ListBullet"/>
        <w:rPr>
          <w:lang w:eastAsia="ja-JP"/>
        </w:rPr>
      </w:pPr>
      <w:r>
        <w:rPr>
          <w:lang w:eastAsia="ja-JP"/>
        </w:rPr>
        <w:t>m</w:t>
      </w:r>
      <w:r w:rsidR="008C3313">
        <w:rPr>
          <w:lang w:eastAsia="ja-JP"/>
        </w:rPr>
        <w:t>edical or scientific evidence, such as veterinary reports</w:t>
      </w:r>
    </w:p>
    <w:p w14:paraId="3B907AD0" w14:textId="06FEC691" w:rsidR="008C3313" w:rsidRDefault="00314219" w:rsidP="008C3313">
      <w:pPr>
        <w:pStyle w:val="ListBullet"/>
        <w:rPr>
          <w:lang w:eastAsia="ja-JP"/>
        </w:rPr>
      </w:pPr>
      <w:r>
        <w:rPr>
          <w:lang w:eastAsia="ja-JP"/>
        </w:rPr>
        <w:t>a</w:t>
      </w:r>
      <w:r w:rsidR="008C3313">
        <w:rPr>
          <w:lang w:eastAsia="ja-JP"/>
        </w:rPr>
        <w:t>uthorised copies of identification documents and certificates</w:t>
      </w:r>
    </w:p>
    <w:p w14:paraId="30C453A8" w14:textId="63C6CE56" w:rsidR="008C3313" w:rsidRDefault="00314219" w:rsidP="008C3313">
      <w:pPr>
        <w:pStyle w:val="ListBullet"/>
        <w:rPr>
          <w:lang w:eastAsia="ja-JP"/>
        </w:rPr>
      </w:pPr>
      <w:r>
        <w:rPr>
          <w:lang w:eastAsia="ja-JP"/>
        </w:rPr>
        <w:t>f</w:t>
      </w:r>
      <w:r w:rsidR="008C3313">
        <w:rPr>
          <w:lang w:eastAsia="ja-JP"/>
        </w:rPr>
        <w:t>inancial statements from the last financial year to present</w:t>
      </w:r>
    </w:p>
    <w:p w14:paraId="76CA228E" w14:textId="1900AC20" w:rsidR="008C3313" w:rsidRDefault="00314219" w:rsidP="008C3313">
      <w:pPr>
        <w:pStyle w:val="ListBullet"/>
        <w:rPr>
          <w:lang w:eastAsia="ja-JP"/>
        </w:rPr>
      </w:pPr>
      <w:r>
        <w:rPr>
          <w:lang w:eastAsia="ja-JP"/>
        </w:rPr>
        <w:t>s</w:t>
      </w:r>
      <w:r w:rsidR="008C3313">
        <w:rPr>
          <w:lang w:eastAsia="ja-JP"/>
        </w:rPr>
        <w:t>tatutory declaration</w:t>
      </w:r>
    </w:p>
    <w:p w14:paraId="439C8936" w14:textId="7F8F11AE" w:rsidR="008C3313" w:rsidRDefault="00314219" w:rsidP="008C3313">
      <w:pPr>
        <w:pStyle w:val="ListBullet"/>
        <w:rPr>
          <w:lang w:eastAsia="ja-JP"/>
        </w:rPr>
      </w:pPr>
      <w:r>
        <w:rPr>
          <w:lang w:eastAsia="ja-JP"/>
        </w:rPr>
        <w:t>w</w:t>
      </w:r>
      <w:r w:rsidR="008C3313">
        <w:rPr>
          <w:lang w:eastAsia="ja-JP"/>
        </w:rPr>
        <w:t>itness statement</w:t>
      </w:r>
    </w:p>
    <w:p w14:paraId="6748BE8C" w14:textId="3B18F338" w:rsidR="008C3313" w:rsidRDefault="00314219" w:rsidP="008C3313">
      <w:pPr>
        <w:pStyle w:val="ListBullet"/>
        <w:rPr>
          <w:lang w:eastAsia="ja-JP"/>
        </w:rPr>
      </w:pPr>
      <w:r>
        <w:rPr>
          <w:lang w:eastAsia="ja-JP"/>
        </w:rPr>
        <w:t>p</w:t>
      </w:r>
      <w:r w:rsidR="008C3313">
        <w:rPr>
          <w:lang w:eastAsia="ja-JP"/>
        </w:rPr>
        <w:t>hotographs</w:t>
      </w:r>
    </w:p>
    <w:p w14:paraId="6CC2EA35" w14:textId="048C9665" w:rsidR="008C3313" w:rsidRDefault="00314219" w:rsidP="008C3313">
      <w:pPr>
        <w:pStyle w:val="ListBullet"/>
        <w:rPr>
          <w:lang w:eastAsia="ja-JP"/>
        </w:rPr>
      </w:pPr>
      <w:r>
        <w:rPr>
          <w:lang w:eastAsia="ja-JP"/>
        </w:rPr>
        <w:t>l</w:t>
      </w:r>
      <w:r w:rsidR="008C3313">
        <w:rPr>
          <w:lang w:eastAsia="ja-JP"/>
        </w:rPr>
        <w:t>etters and other correspondence</w:t>
      </w:r>
      <w:r>
        <w:rPr>
          <w:lang w:eastAsia="ja-JP"/>
        </w:rPr>
        <w:t>.</w:t>
      </w:r>
    </w:p>
    <w:p w14:paraId="0C9FDBEF" w14:textId="2E371944" w:rsidR="008C3313" w:rsidRDefault="00314219" w:rsidP="008C3313">
      <w:pPr>
        <w:rPr>
          <w:lang w:eastAsia="ja-JP"/>
        </w:rPr>
      </w:pPr>
      <w:r>
        <w:rPr>
          <w:lang w:eastAsia="ja-JP"/>
        </w:rPr>
        <w:t>E</w:t>
      </w:r>
      <w:r w:rsidR="008C3313">
        <w:rPr>
          <w:lang w:eastAsia="ja-JP"/>
        </w:rPr>
        <w:t>xamples of supporting documentation that could be provided</w:t>
      </w:r>
      <w:r>
        <w:rPr>
          <w:lang w:eastAsia="ja-JP"/>
        </w:rPr>
        <w:t xml:space="preserve"> include</w:t>
      </w:r>
      <w:r w:rsidR="008C3313">
        <w:rPr>
          <w:lang w:eastAsia="ja-JP"/>
        </w:rPr>
        <w:t>:</w:t>
      </w:r>
    </w:p>
    <w:p w14:paraId="6BC509DB" w14:textId="52B2B67B" w:rsidR="008C3313" w:rsidRDefault="00314219" w:rsidP="008C3313">
      <w:pPr>
        <w:pStyle w:val="ListBullet"/>
        <w:rPr>
          <w:lang w:eastAsia="ja-JP"/>
        </w:rPr>
      </w:pPr>
      <w:r>
        <w:rPr>
          <w:lang w:eastAsia="ja-JP"/>
        </w:rPr>
        <w:t>a</w:t>
      </w:r>
      <w:r w:rsidR="008C3313">
        <w:rPr>
          <w:lang w:eastAsia="ja-JP"/>
        </w:rPr>
        <w:t xml:space="preserve"> request related to the illness</w:t>
      </w:r>
      <w:r>
        <w:rPr>
          <w:lang w:eastAsia="ja-JP"/>
        </w:rPr>
        <w:t xml:space="preserve"> or </w:t>
      </w:r>
      <w:r w:rsidR="008C3313">
        <w:rPr>
          <w:lang w:eastAsia="ja-JP"/>
        </w:rPr>
        <w:t>death of an animal could be accompanied by veterinary reports, a letter from a veterinarian, a statutory declaration and/or certificates evidencing the change of circumstances since incurring the cost-recovery charge</w:t>
      </w:r>
    </w:p>
    <w:p w14:paraId="011812F2" w14:textId="2D0F6D1E" w:rsidR="008C3313" w:rsidRDefault="00314219" w:rsidP="008C3313">
      <w:pPr>
        <w:pStyle w:val="ListBullet"/>
        <w:rPr>
          <w:lang w:eastAsia="ja-JP"/>
        </w:rPr>
      </w:pPr>
      <w:r>
        <w:rPr>
          <w:lang w:eastAsia="ja-JP"/>
        </w:rPr>
        <w:t>a</w:t>
      </w:r>
      <w:r w:rsidR="008C3313">
        <w:rPr>
          <w:lang w:eastAsia="ja-JP"/>
        </w:rPr>
        <w:t xml:space="preserve"> request for medical reasons could be accompanied by a medical certificate from the relevant treating practitioner explaining the change of circumstances since incurring the cost-recovery charge</w:t>
      </w:r>
    </w:p>
    <w:p w14:paraId="139B6F1C" w14:textId="10FB88EC" w:rsidR="008C3313" w:rsidRDefault="00314219" w:rsidP="008C3313">
      <w:pPr>
        <w:pStyle w:val="ListBullet"/>
        <w:rPr>
          <w:lang w:eastAsia="ja-JP"/>
        </w:rPr>
      </w:pPr>
      <w:r>
        <w:rPr>
          <w:lang w:eastAsia="ja-JP"/>
        </w:rPr>
        <w:t>i</w:t>
      </w:r>
      <w:r w:rsidR="008C3313">
        <w:rPr>
          <w:lang w:eastAsia="ja-JP"/>
        </w:rPr>
        <w:t>f the request relates to a financial hardship claim, the request could be accompanied by bank statements and notices evidencing the change in circumstances since incurring the cost-recovery charge.</w:t>
      </w:r>
    </w:p>
    <w:p w14:paraId="60FFA8E5" w14:textId="4D024A8E" w:rsidR="008C3313" w:rsidRDefault="008C3313" w:rsidP="008C3313">
      <w:pPr>
        <w:rPr>
          <w:lang w:eastAsia="ja-JP"/>
        </w:rPr>
      </w:pPr>
      <w:r>
        <w:rPr>
          <w:lang w:eastAsia="ja-JP"/>
        </w:rPr>
        <w:t>You are not required to provide evidence in support of your request. However, to ensure your request can be progressed as efficiently as possible, it should be accompanied by all relevant information and documentation to assist the decision-maker in making the decision according to the refund and remission criteria relevant to that cost-recovery charge.</w:t>
      </w:r>
    </w:p>
    <w:p w14:paraId="17668754" w14:textId="03A562C8" w:rsidR="008C3313" w:rsidRDefault="008C3313" w:rsidP="008C3313">
      <w:pPr>
        <w:pStyle w:val="Heading2"/>
      </w:pPr>
      <w:bookmarkStart w:id="19" w:name="_Toc218691982"/>
      <w:r w:rsidRPr="008C3313">
        <w:t>Lodging a request for remission or refund</w:t>
      </w:r>
      <w:bookmarkEnd w:id="19"/>
    </w:p>
    <w:p w14:paraId="3849123E" w14:textId="0703661F" w:rsidR="008C3313" w:rsidRDefault="00AC58B5" w:rsidP="008C3313">
      <w:pPr>
        <w:rPr>
          <w:lang w:eastAsia="ja-JP"/>
        </w:rPr>
      </w:pPr>
      <w:r>
        <w:rPr>
          <w:lang w:eastAsia="ja-JP"/>
        </w:rPr>
        <w:t xml:space="preserve">A request </w:t>
      </w:r>
      <w:r w:rsidR="008C3313">
        <w:rPr>
          <w:lang w:eastAsia="ja-JP"/>
        </w:rPr>
        <w:t xml:space="preserve">for remission or refund of a </w:t>
      </w:r>
      <w:r w:rsidR="005E2757">
        <w:rPr>
          <w:lang w:eastAsia="ja-JP"/>
        </w:rPr>
        <w:t>cost-recovery</w:t>
      </w:r>
      <w:r w:rsidR="008C3313">
        <w:rPr>
          <w:lang w:eastAsia="ja-JP"/>
        </w:rPr>
        <w:t xml:space="preserve"> charge </w:t>
      </w:r>
      <w:r>
        <w:rPr>
          <w:lang w:eastAsia="ja-JP"/>
        </w:rPr>
        <w:t>must be made in</w:t>
      </w:r>
      <w:r w:rsidR="008C3313">
        <w:rPr>
          <w:lang w:eastAsia="ja-JP"/>
        </w:rPr>
        <w:t xml:space="preserve"> writing to the department. The </w:t>
      </w:r>
      <w:r w:rsidR="00314219">
        <w:rPr>
          <w:lang w:eastAsia="ja-JP"/>
        </w:rPr>
        <w:t>m</w:t>
      </w:r>
      <w:r w:rsidR="008C3313">
        <w:rPr>
          <w:lang w:eastAsia="ja-JP"/>
        </w:rPr>
        <w:t xml:space="preserve">inister, </w:t>
      </w:r>
      <w:r w:rsidR="00314219">
        <w:rPr>
          <w:lang w:eastAsia="ja-JP"/>
        </w:rPr>
        <w:t>s</w:t>
      </w:r>
      <w:r w:rsidR="008C3313">
        <w:rPr>
          <w:lang w:eastAsia="ja-JP"/>
        </w:rPr>
        <w:t>ecretary and their delegates will not consider verbal requests for remission or refund.</w:t>
      </w:r>
      <w:r w:rsidR="00F3085E">
        <w:rPr>
          <w:lang w:eastAsia="ja-JP"/>
        </w:rPr>
        <w:t xml:space="preserve"> </w:t>
      </w:r>
      <w:r w:rsidR="008C3313">
        <w:rPr>
          <w:lang w:eastAsia="ja-JP"/>
        </w:rPr>
        <w:t>The request should identify:</w:t>
      </w:r>
    </w:p>
    <w:p w14:paraId="664DA239" w14:textId="1EC94042" w:rsidR="008C3313" w:rsidRDefault="00314219" w:rsidP="008C3313">
      <w:pPr>
        <w:pStyle w:val="ListBullet"/>
        <w:rPr>
          <w:lang w:eastAsia="ja-JP"/>
        </w:rPr>
      </w:pPr>
      <w:r>
        <w:rPr>
          <w:lang w:eastAsia="ja-JP"/>
        </w:rPr>
        <w:t>t</w:t>
      </w:r>
      <w:r w:rsidR="008C3313">
        <w:rPr>
          <w:lang w:eastAsia="ja-JP"/>
        </w:rPr>
        <w:t>he cost-recovery charge</w:t>
      </w:r>
      <w:r w:rsidR="00F3085E">
        <w:rPr>
          <w:lang w:eastAsia="ja-JP"/>
        </w:rPr>
        <w:t xml:space="preserve"> </w:t>
      </w:r>
      <w:r w:rsidR="008C3313">
        <w:rPr>
          <w:lang w:eastAsia="ja-JP"/>
        </w:rPr>
        <w:t>sought to be remitted or refunded</w:t>
      </w:r>
    </w:p>
    <w:p w14:paraId="4B554C68" w14:textId="4C9BB357" w:rsidR="008C3313" w:rsidRDefault="00314219" w:rsidP="008C3313">
      <w:pPr>
        <w:pStyle w:val="ListBullet"/>
        <w:rPr>
          <w:lang w:eastAsia="ja-JP"/>
        </w:rPr>
      </w:pPr>
      <w:r>
        <w:rPr>
          <w:lang w:eastAsia="ja-JP"/>
        </w:rPr>
        <w:t>w</w:t>
      </w:r>
      <w:r w:rsidR="008C3313">
        <w:rPr>
          <w:lang w:eastAsia="ja-JP"/>
        </w:rPr>
        <w:t>hether the cost-recovery charge</w:t>
      </w:r>
      <w:r w:rsidR="00F3085E">
        <w:rPr>
          <w:lang w:eastAsia="ja-JP"/>
        </w:rPr>
        <w:t xml:space="preserve"> </w:t>
      </w:r>
      <w:r w:rsidR="008C3313">
        <w:rPr>
          <w:lang w:eastAsia="ja-JP"/>
        </w:rPr>
        <w:t>has been paid</w:t>
      </w:r>
    </w:p>
    <w:p w14:paraId="22611A9C" w14:textId="19EF6AB7" w:rsidR="008C3313" w:rsidRDefault="00314219" w:rsidP="008C3313">
      <w:pPr>
        <w:pStyle w:val="ListBullet"/>
        <w:rPr>
          <w:lang w:eastAsia="ja-JP"/>
        </w:rPr>
      </w:pPr>
      <w:r>
        <w:rPr>
          <w:lang w:eastAsia="ja-JP"/>
        </w:rPr>
        <w:t>w</w:t>
      </w:r>
      <w:r w:rsidR="008C3313">
        <w:rPr>
          <w:lang w:eastAsia="ja-JP"/>
        </w:rPr>
        <w:t>hether refund or remission is sought in full or part</w:t>
      </w:r>
    </w:p>
    <w:p w14:paraId="02468A93" w14:textId="23D14C33" w:rsidR="008C3313" w:rsidRDefault="00314219" w:rsidP="008C3313">
      <w:pPr>
        <w:pStyle w:val="ListBullet"/>
        <w:rPr>
          <w:lang w:eastAsia="ja-JP"/>
        </w:rPr>
      </w:pPr>
      <w:r>
        <w:rPr>
          <w:lang w:eastAsia="ja-JP"/>
        </w:rPr>
        <w:t>w</w:t>
      </w:r>
      <w:r w:rsidR="008C3313">
        <w:rPr>
          <w:lang w:eastAsia="ja-JP"/>
        </w:rPr>
        <w:t>hether there are any late payment fees sought to be refunded</w:t>
      </w:r>
    </w:p>
    <w:p w14:paraId="673EC9D8" w14:textId="53B18554" w:rsidR="008C3313" w:rsidRDefault="00314219" w:rsidP="008C3313">
      <w:pPr>
        <w:pStyle w:val="ListBullet"/>
        <w:rPr>
          <w:lang w:eastAsia="ja-JP"/>
        </w:rPr>
      </w:pPr>
      <w:r>
        <w:rPr>
          <w:lang w:eastAsia="ja-JP"/>
        </w:rPr>
        <w:t>t</w:t>
      </w:r>
      <w:r w:rsidR="008C3313">
        <w:rPr>
          <w:lang w:eastAsia="ja-JP"/>
        </w:rPr>
        <w:t>he invoice reference number.</w:t>
      </w:r>
    </w:p>
    <w:p w14:paraId="6ED25642" w14:textId="77777777" w:rsidR="008C3313" w:rsidRDefault="008C3313" w:rsidP="008C3313">
      <w:pPr>
        <w:rPr>
          <w:lang w:eastAsia="ja-JP"/>
        </w:rPr>
      </w:pPr>
      <w:r>
        <w:rPr>
          <w:lang w:eastAsia="ja-JP"/>
        </w:rPr>
        <w:lastRenderedPageBreak/>
        <w:t>The request should be accompanied by:</w:t>
      </w:r>
    </w:p>
    <w:p w14:paraId="16441D50" w14:textId="501B75A9" w:rsidR="008C3313" w:rsidRDefault="00314219" w:rsidP="008C3313">
      <w:pPr>
        <w:pStyle w:val="ListBullet"/>
        <w:rPr>
          <w:lang w:eastAsia="ja-JP"/>
        </w:rPr>
      </w:pPr>
      <w:r>
        <w:rPr>
          <w:lang w:eastAsia="ja-JP"/>
        </w:rPr>
        <w:t>d</w:t>
      </w:r>
      <w:r w:rsidR="008C3313">
        <w:rPr>
          <w:lang w:eastAsia="ja-JP"/>
        </w:rPr>
        <w:t xml:space="preserve">etailed reasons for the request according to the </w:t>
      </w:r>
      <w:hyperlink w:anchor="_Criteria_for_remission" w:history="1">
        <w:r w:rsidR="00977537">
          <w:rPr>
            <w:rStyle w:val="Hyperlink"/>
            <w:lang w:eastAsia="ja-JP"/>
          </w:rPr>
          <w:t>c</w:t>
        </w:r>
        <w:r w:rsidR="008C3313" w:rsidRPr="00977537">
          <w:rPr>
            <w:rStyle w:val="Hyperlink"/>
            <w:lang w:eastAsia="ja-JP"/>
          </w:rPr>
          <w:t>riteria</w:t>
        </w:r>
        <w:r w:rsidR="00977537" w:rsidRPr="00977537">
          <w:rPr>
            <w:rStyle w:val="Hyperlink"/>
            <w:lang w:eastAsia="ja-JP"/>
          </w:rPr>
          <w:t xml:space="preserve"> for remission or refund</w:t>
        </w:r>
      </w:hyperlink>
    </w:p>
    <w:p w14:paraId="4E2538F0" w14:textId="44DA7523" w:rsidR="008C3313" w:rsidRDefault="00314219" w:rsidP="008C3313">
      <w:pPr>
        <w:pStyle w:val="ListBullet"/>
        <w:rPr>
          <w:lang w:eastAsia="ja-JP"/>
        </w:rPr>
      </w:pPr>
      <w:hyperlink w:anchor="_Supporting_evidence" w:history="1">
        <w:r w:rsidRPr="00977537">
          <w:rPr>
            <w:rStyle w:val="Hyperlink"/>
            <w:lang w:eastAsia="ja-JP"/>
          </w:rPr>
          <w:t>s</w:t>
        </w:r>
        <w:r w:rsidR="008C3313" w:rsidRPr="00977537">
          <w:rPr>
            <w:rStyle w:val="Hyperlink"/>
            <w:lang w:eastAsia="ja-JP"/>
          </w:rPr>
          <w:t>upporting evidence</w:t>
        </w:r>
      </w:hyperlink>
    </w:p>
    <w:p w14:paraId="64680B59" w14:textId="35E7FDB1" w:rsidR="008C3313" w:rsidRDefault="00314219" w:rsidP="008C3313">
      <w:pPr>
        <w:pStyle w:val="ListBullet"/>
        <w:rPr>
          <w:lang w:eastAsia="ja-JP"/>
        </w:rPr>
      </w:pPr>
      <w:r>
        <w:rPr>
          <w:lang w:eastAsia="ja-JP"/>
        </w:rPr>
        <w:t>i</w:t>
      </w:r>
      <w:r w:rsidR="008C3313">
        <w:rPr>
          <w:lang w:eastAsia="ja-JP"/>
        </w:rPr>
        <w:t>f relevant to the reason for the request, proof of payment (e.g. transaction statement).</w:t>
      </w:r>
    </w:p>
    <w:p w14:paraId="1EE94829" w14:textId="056B5DF8" w:rsidR="00AC58B5" w:rsidRDefault="005E2757" w:rsidP="00AC58B5">
      <w:pPr>
        <w:pStyle w:val="ListBullet"/>
        <w:numPr>
          <w:ilvl w:val="0"/>
          <w:numId w:val="0"/>
        </w:numPr>
        <w:ind w:left="454" w:hanging="454"/>
        <w:rPr>
          <w:lang w:eastAsia="ja-JP"/>
        </w:rPr>
      </w:pPr>
      <w:r>
        <w:rPr>
          <w:lang w:eastAsia="ja-JP"/>
        </w:rPr>
        <w:t>L</w:t>
      </w:r>
      <w:r w:rsidR="00002A6D">
        <w:rPr>
          <w:lang w:eastAsia="ja-JP"/>
        </w:rPr>
        <w:t xml:space="preserve">odge your written request </w:t>
      </w:r>
      <w:r>
        <w:rPr>
          <w:lang w:eastAsia="ja-JP"/>
        </w:rPr>
        <w:t xml:space="preserve">via </w:t>
      </w:r>
      <w:r w:rsidR="00002A6D">
        <w:rPr>
          <w:lang w:eastAsia="ja-JP"/>
        </w:rPr>
        <w:t xml:space="preserve">email </w:t>
      </w:r>
      <w:hyperlink r:id="rId21" w:history="1">
        <w:r w:rsidR="00002A6D" w:rsidRPr="00977537">
          <w:rPr>
            <w:rStyle w:val="Hyperlink"/>
            <w:lang w:eastAsia="ja-JP"/>
          </w:rPr>
          <w:t>CostRecovery@aff.gov.au</w:t>
        </w:r>
      </w:hyperlink>
      <w:r w:rsidR="00002A6D" w:rsidRPr="00002A6D">
        <w:rPr>
          <w:lang w:eastAsia="ja-JP"/>
        </w:rPr>
        <w:t>.</w:t>
      </w:r>
    </w:p>
    <w:p w14:paraId="3CD086C4" w14:textId="399807FF" w:rsidR="008C3313" w:rsidRDefault="008C3313" w:rsidP="008C3313">
      <w:pPr>
        <w:pStyle w:val="Heading2"/>
      </w:pPr>
      <w:bookmarkStart w:id="20" w:name="_Toc218691983"/>
      <w:r w:rsidRPr="008C3313">
        <w:t>Notification of the decision</w:t>
      </w:r>
      <w:bookmarkEnd w:id="20"/>
    </w:p>
    <w:p w14:paraId="0CAD2518" w14:textId="5F714A25" w:rsidR="008C3313" w:rsidRDefault="008C3313" w:rsidP="008C3313">
      <w:pPr>
        <w:rPr>
          <w:lang w:eastAsia="ja-JP"/>
        </w:rPr>
      </w:pPr>
      <w:r>
        <w:rPr>
          <w:lang w:eastAsia="ja-JP"/>
        </w:rPr>
        <w:t xml:space="preserve">You will be informed in writing of the outcome of the request. If it is approved, the department will take steps to process the refund and remission to the bank account you nominated in </w:t>
      </w:r>
      <w:r w:rsidR="00AC58B5">
        <w:rPr>
          <w:lang w:eastAsia="ja-JP"/>
        </w:rPr>
        <w:t xml:space="preserve">your </w:t>
      </w:r>
      <w:r>
        <w:rPr>
          <w:lang w:eastAsia="ja-JP"/>
        </w:rPr>
        <w:t>request.</w:t>
      </w:r>
    </w:p>
    <w:p w14:paraId="414C3535" w14:textId="162DE495" w:rsidR="008C3313" w:rsidRPr="008C3313" w:rsidRDefault="00977537" w:rsidP="008C3313">
      <w:pPr>
        <w:rPr>
          <w:lang w:eastAsia="ja-JP"/>
        </w:rPr>
      </w:pPr>
      <w:r>
        <w:rPr>
          <w:lang w:eastAsia="ja-JP"/>
        </w:rPr>
        <w:t>For</w:t>
      </w:r>
      <w:r w:rsidR="008C3313">
        <w:rPr>
          <w:lang w:eastAsia="ja-JP"/>
        </w:rPr>
        <w:t xml:space="preserve"> assistance related to this policy </w:t>
      </w:r>
      <w:r>
        <w:rPr>
          <w:lang w:eastAsia="ja-JP"/>
        </w:rPr>
        <w:t>email</w:t>
      </w:r>
      <w:r w:rsidR="008C3313">
        <w:rPr>
          <w:lang w:eastAsia="ja-JP"/>
        </w:rPr>
        <w:t xml:space="preserve"> </w:t>
      </w:r>
      <w:hyperlink r:id="rId22" w:history="1">
        <w:r w:rsidR="008C3313" w:rsidRPr="00977537">
          <w:rPr>
            <w:rStyle w:val="Hyperlink"/>
            <w:lang w:eastAsia="ja-JP"/>
          </w:rPr>
          <w:t>CostRecovery@aff.gov.au</w:t>
        </w:r>
      </w:hyperlink>
      <w:r w:rsidR="008C3313" w:rsidRPr="00977537">
        <w:rPr>
          <w:lang w:eastAsia="ja-JP"/>
        </w:rPr>
        <w:t>.</w:t>
      </w:r>
    </w:p>
    <w:sectPr w:rsidR="008C3313" w:rsidRPr="008C3313">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076F" w14:textId="77777777" w:rsidR="00007E38" w:rsidRDefault="00007E38">
      <w:r>
        <w:separator/>
      </w:r>
    </w:p>
    <w:p w14:paraId="5AA6FAA6" w14:textId="77777777" w:rsidR="00007E38" w:rsidRDefault="00007E38"/>
    <w:p w14:paraId="52EA9D87" w14:textId="77777777" w:rsidR="00007E38" w:rsidRDefault="00007E38"/>
  </w:endnote>
  <w:endnote w:type="continuationSeparator" w:id="0">
    <w:p w14:paraId="51DEDD8F" w14:textId="77777777" w:rsidR="00007E38" w:rsidRDefault="00007E38">
      <w:r>
        <w:continuationSeparator/>
      </w:r>
    </w:p>
    <w:p w14:paraId="6DE68F5D" w14:textId="77777777" w:rsidR="00007E38" w:rsidRDefault="00007E38"/>
    <w:p w14:paraId="4116C983" w14:textId="77777777" w:rsidR="00007E38" w:rsidRDefault="00007E38"/>
  </w:endnote>
  <w:endnote w:type="continuationNotice" w:id="1">
    <w:p w14:paraId="2CA2CB91" w14:textId="77777777" w:rsidR="00007E38" w:rsidRDefault="00007E38" w:rsidP="00274B73">
      <w:pPr>
        <w:pStyle w:val="Footer"/>
      </w:pPr>
    </w:p>
    <w:p w14:paraId="7C68377D" w14:textId="77777777" w:rsidR="00007E38" w:rsidRDefault="00007E38"/>
    <w:p w14:paraId="4525B0FE" w14:textId="77777777" w:rsidR="00007E38" w:rsidRDefault="00007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8BE2" w14:textId="77777777" w:rsidR="00CA6C9D" w:rsidRDefault="009622CD" w:rsidP="00274B73">
    <w:pPr>
      <w:pStyle w:val="Footer"/>
    </w:pPr>
    <w:r>
      <w:rPr>
        <w:noProof/>
      </w:rPr>
      <mc:AlternateContent>
        <mc:Choice Requires="wps">
          <w:drawing>
            <wp:anchor distT="0" distB="0" distL="0" distR="0" simplePos="0" relativeHeight="251677184" behindDoc="0" locked="0" layoutInCell="1" allowOverlap="1" wp14:anchorId="6A10D4F9" wp14:editId="22C74706">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B8A1FD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10D4F9"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0B8A1FD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99D9" w14:textId="77777777" w:rsidR="00B861B4" w:rsidRDefault="009622CD" w:rsidP="00274B73">
    <w:pPr>
      <w:pStyle w:val="Footer"/>
    </w:pPr>
    <w:r>
      <w:rPr>
        <w:noProof/>
      </w:rPr>
      <mc:AlternateContent>
        <mc:Choice Requires="wps">
          <w:drawing>
            <wp:anchor distT="0" distB="0" distL="0" distR="0" simplePos="0" relativeHeight="251678208" behindDoc="0" locked="0" layoutInCell="1" allowOverlap="1" wp14:anchorId="51FC809A" wp14:editId="5EDE8277">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CE3477E"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FC809A"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782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CE3477E"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F3BB" w14:textId="77777777" w:rsidR="007A4DDB" w:rsidRDefault="009622CD" w:rsidP="00274B73">
    <w:pPr>
      <w:pStyle w:val="Footer"/>
    </w:pPr>
    <w:r>
      <w:rPr>
        <w:noProof/>
      </w:rPr>
      <mc:AlternateContent>
        <mc:Choice Requires="wps">
          <w:drawing>
            <wp:anchor distT="0" distB="0" distL="0" distR="0" simplePos="0" relativeHeight="251676160" behindDoc="0" locked="0" layoutInCell="1" allowOverlap="1" wp14:anchorId="108E1B61" wp14:editId="36BD0E90">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58A5B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8E1B61"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761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6658A5B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503F7" w14:textId="77777777" w:rsidR="00007E38" w:rsidRDefault="00007E38">
      <w:r>
        <w:separator/>
      </w:r>
    </w:p>
    <w:p w14:paraId="07E5E391" w14:textId="77777777" w:rsidR="00007E38" w:rsidRDefault="00007E38"/>
    <w:p w14:paraId="1957D412" w14:textId="77777777" w:rsidR="00007E38" w:rsidRDefault="00007E38"/>
  </w:footnote>
  <w:footnote w:type="continuationSeparator" w:id="0">
    <w:p w14:paraId="2467F46D" w14:textId="77777777" w:rsidR="00007E38" w:rsidRDefault="00007E38">
      <w:r>
        <w:continuationSeparator/>
      </w:r>
    </w:p>
    <w:p w14:paraId="4318BF22" w14:textId="77777777" w:rsidR="00007E38" w:rsidRDefault="00007E38"/>
    <w:p w14:paraId="27694469" w14:textId="77777777" w:rsidR="00007E38" w:rsidRDefault="00007E38"/>
  </w:footnote>
  <w:footnote w:type="continuationNotice" w:id="1">
    <w:p w14:paraId="125FF5D7" w14:textId="77777777" w:rsidR="00007E38" w:rsidRDefault="00007E38" w:rsidP="00274B73">
      <w:pPr>
        <w:pStyle w:val="Footer"/>
      </w:pPr>
    </w:p>
    <w:p w14:paraId="06670024" w14:textId="77777777" w:rsidR="00007E38" w:rsidRDefault="00007E38"/>
    <w:p w14:paraId="387D200C" w14:textId="77777777" w:rsidR="00007E38" w:rsidRDefault="00007E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D157" w14:textId="089A73BE" w:rsidR="00B861B4" w:rsidRDefault="009622CD">
    <w:pPr>
      <w:pStyle w:val="Header"/>
    </w:pPr>
    <w:r>
      <w:rPr>
        <w:noProof/>
        <w:lang w:val="en-US"/>
      </w:rPr>
      <mc:AlternateContent>
        <mc:Choice Requires="wps">
          <w:drawing>
            <wp:anchor distT="0" distB="0" distL="0" distR="0" simplePos="0" relativeHeight="251674112" behindDoc="0" locked="0" layoutInCell="1" allowOverlap="1" wp14:anchorId="03338F50" wp14:editId="6C0DA7BB">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DE4783E"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338F5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0DE4783E"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7747" w14:textId="2856FBD1" w:rsidR="00B861B4" w:rsidRDefault="009622CD">
    <w:pPr>
      <w:pStyle w:val="Header"/>
    </w:pPr>
    <w:r>
      <w:rPr>
        <w:noProof/>
        <w:lang w:val="en-US"/>
      </w:rPr>
      <mc:AlternateContent>
        <mc:Choice Requires="wps">
          <w:drawing>
            <wp:anchor distT="0" distB="0" distL="0" distR="0" simplePos="0" relativeHeight="251675136" behindDoc="0" locked="0" layoutInCell="1" allowOverlap="1" wp14:anchorId="13A4172F" wp14:editId="191A20D2">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22E55E1"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A4172F"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22E55E1"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600DDE" w:rsidRPr="00C07628">
      <w:t>Policy on refunds and remissions for cost-recovery charges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B8B6" w14:textId="2390E47E" w:rsidR="00B861B4" w:rsidRDefault="006B3546">
    <w:pPr>
      <w:pStyle w:val="Header"/>
      <w:jc w:val="left"/>
    </w:pPr>
    <w:r>
      <w:rPr>
        <w:noProof/>
      </w:rPr>
      <w:drawing>
        <wp:anchor distT="0" distB="0" distL="114300" distR="114300" simplePos="0" relativeHeight="251660800" behindDoc="1" locked="0" layoutInCell="1" allowOverlap="1" wp14:anchorId="193FE600" wp14:editId="43674E83">
          <wp:simplePos x="0" y="0"/>
          <wp:positionH relativeFrom="page">
            <wp:posOffset>0</wp:posOffset>
          </wp:positionH>
          <wp:positionV relativeFrom="paragraph">
            <wp:posOffset>-387341</wp:posOffset>
          </wp:positionV>
          <wp:extent cx="7565594" cy="10701655"/>
          <wp:effectExtent l="0" t="0" r="0" b="4445"/>
          <wp:wrapNone/>
          <wp:docPr id="1481752902" name="Picture 1481752902"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73088" behindDoc="0" locked="0" layoutInCell="1" allowOverlap="1" wp14:anchorId="6D3BE07D" wp14:editId="2D2000A4">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1F0F2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3BE07D"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730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031F0F2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E13698D2"/>
    <w:lvl w:ilvl="0" w:tplc="1DA20EE0">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B95457A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6800B4"/>
    <w:multiLevelType w:val="multilevel"/>
    <w:tmpl w:val="A0241B28"/>
    <w:numStyleLink w:val="List1"/>
  </w:abstractNum>
  <w:abstractNum w:abstractNumId="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9F329DA"/>
    <w:multiLevelType w:val="multilevel"/>
    <w:tmpl w:val="2B64EC84"/>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8B541B"/>
    <w:multiLevelType w:val="multilevel"/>
    <w:tmpl w:val="BF3294C2"/>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8"/>
  </w:num>
  <w:num w:numId="2" w16cid:durableId="1639215797">
    <w:abstractNumId w:val="9"/>
  </w:num>
  <w:num w:numId="3" w16cid:durableId="1643265712">
    <w:abstractNumId w:val="2"/>
  </w:num>
  <w:num w:numId="4" w16cid:durableId="1568950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6"/>
  </w:num>
  <w:num w:numId="6" w16cid:durableId="281765065">
    <w:abstractNumId w:val="7"/>
  </w:num>
  <w:num w:numId="7" w16cid:durableId="2092000146">
    <w:abstractNumId w:val="4"/>
  </w:num>
  <w:num w:numId="8" w16cid:durableId="864908900">
    <w:abstractNumId w:val="2"/>
    <w:lvlOverride w:ilvl="0">
      <w:lvl w:ilvl="0">
        <w:start w:val="1"/>
        <w:numFmt w:val="decimal"/>
        <w:pStyle w:val="Heading2"/>
        <w:lvlText w:val="%1"/>
        <w:lvlJc w:val="left"/>
        <w:pPr>
          <w:ind w:left="720" w:hanging="720"/>
        </w:pPr>
        <w:rPr>
          <w:color w:val="auto"/>
        </w:rPr>
      </w:lvl>
    </w:lvlOverride>
  </w:num>
  <w:num w:numId="9" w16cid:durableId="1469322956">
    <w:abstractNumId w:val="8"/>
  </w:num>
  <w:num w:numId="10" w16cid:durableId="1341661948">
    <w:abstractNumId w:val="9"/>
  </w:num>
  <w:num w:numId="11" w16cid:durableId="1983389004">
    <w:abstractNumId w:val="1"/>
  </w:num>
  <w:num w:numId="12" w16cid:durableId="435951209">
    <w:abstractNumId w:val="10"/>
  </w:num>
  <w:num w:numId="13" w16cid:durableId="1385720017">
    <w:abstractNumId w:val="12"/>
  </w:num>
  <w:num w:numId="14" w16cid:durableId="1361395064">
    <w:abstractNumId w:val="11"/>
  </w:num>
  <w:num w:numId="15" w16cid:durableId="2119637520">
    <w:abstractNumId w:val="0"/>
  </w:num>
  <w:num w:numId="16" w16cid:durableId="774177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68399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4629787">
    <w:abstractNumId w:val="2"/>
    <w:lvlOverride w:ilvl="0">
      <w:lvl w:ilvl="0">
        <w:start w:val="1"/>
        <w:numFmt w:val="decimal"/>
        <w:pStyle w:val="Heading2"/>
        <w:lvlText w:val="%1"/>
        <w:lvlJc w:val="left"/>
        <w:pPr>
          <w:ind w:left="720" w:hanging="720"/>
        </w:pPr>
      </w:lvl>
    </w:lvlOverride>
  </w:num>
  <w:num w:numId="19" w16cid:durableId="23686923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38"/>
    <w:rsid w:val="00002A6D"/>
    <w:rsid w:val="000032AD"/>
    <w:rsid w:val="00006D71"/>
    <w:rsid w:val="00007E38"/>
    <w:rsid w:val="00032789"/>
    <w:rsid w:val="00033E60"/>
    <w:rsid w:val="000373C5"/>
    <w:rsid w:val="00043D85"/>
    <w:rsid w:val="000542FF"/>
    <w:rsid w:val="00071927"/>
    <w:rsid w:val="00072BA8"/>
    <w:rsid w:val="000869AB"/>
    <w:rsid w:val="000942EE"/>
    <w:rsid w:val="00097FA8"/>
    <w:rsid w:val="000A1447"/>
    <w:rsid w:val="000A5170"/>
    <w:rsid w:val="000A7AAF"/>
    <w:rsid w:val="000B4922"/>
    <w:rsid w:val="000B5FA0"/>
    <w:rsid w:val="000C0F45"/>
    <w:rsid w:val="000E3C0F"/>
    <w:rsid w:val="001013AD"/>
    <w:rsid w:val="001116C3"/>
    <w:rsid w:val="001300A5"/>
    <w:rsid w:val="0013191B"/>
    <w:rsid w:val="0015123F"/>
    <w:rsid w:val="0016201B"/>
    <w:rsid w:val="001641A3"/>
    <w:rsid w:val="00164F0E"/>
    <w:rsid w:val="001728AE"/>
    <w:rsid w:val="00176594"/>
    <w:rsid w:val="0017699C"/>
    <w:rsid w:val="001868A1"/>
    <w:rsid w:val="001A480C"/>
    <w:rsid w:val="001B62D1"/>
    <w:rsid w:val="001B69E5"/>
    <w:rsid w:val="001C01D7"/>
    <w:rsid w:val="001C1865"/>
    <w:rsid w:val="001C782B"/>
    <w:rsid w:val="001D3432"/>
    <w:rsid w:val="001E50A9"/>
    <w:rsid w:val="001F73AF"/>
    <w:rsid w:val="00215CF0"/>
    <w:rsid w:val="0021649B"/>
    <w:rsid w:val="00216882"/>
    <w:rsid w:val="00222137"/>
    <w:rsid w:val="00232F52"/>
    <w:rsid w:val="00263CB6"/>
    <w:rsid w:val="00265A2D"/>
    <w:rsid w:val="00266B5E"/>
    <w:rsid w:val="00266C5A"/>
    <w:rsid w:val="00274B73"/>
    <w:rsid w:val="00274FFC"/>
    <w:rsid w:val="00275281"/>
    <w:rsid w:val="00277BE4"/>
    <w:rsid w:val="00281BB6"/>
    <w:rsid w:val="00284C5A"/>
    <w:rsid w:val="00284D14"/>
    <w:rsid w:val="00286307"/>
    <w:rsid w:val="002A6A37"/>
    <w:rsid w:val="002B382C"/>
    <w:rsid w:val="002C2571"/>
    <w:rsid w:val="002D4BDA"/>
    <w:rsid w:val="002D5B0A"/>
    <w:rsid w:val="002D67C2"/>
    <w:rsid w:val="002F1457"/>
    <w:rsid w:val="003024BD"/>
    <w:rsid w:val="00304AB4"/>
    <w:rsid w:val="00314219"/>
    <w:rsid w:val="003214B3"/>
    <w:rsid w:val="00324BD0"/>
    <w:rsid w:val="00341111"/>
    <w:rsid w:val="003459C1"/>
    <w:rsid w:val="00350D80"/>
    <w:rsid w:val="0035187F"/>
    <w:rsid w:val="003537AD"/>
    <w:rsid w:val="00354C6A"/>
    <w:rsid w:val="00360039"/>
    <w:rsid w:val="00364A4A"/>
    <w:rsid w:val="003654AC"/>
    <w:rsid w:val="0037073B"/>
    <w:rsid w:val="00395407"/>
    <w:rsid w:val="003A6F9D"/>
    <w:rsid w:val="003B1E29"/>
    <w:rsid w:val="003C1FCE"/>
    <w:rsid w:val="003F0145"/>
    <w:rsid w:val="003F58F8"/>
    <w:rsid w:val="00405C9C"/>
    <w:rsid w:val="00410B27"/>
    <w:rsid w:val="004119A5"/>
    <w:rsid w:val="0042443D"/>
    <w:rsid w:val="00432172"/>
    <w:rsid w:val="00437495"/>
    <w:rsid w:val="004409EA"/>
    <w:rsid w:val="00441BFD"/>
    <w:rsid w:val="00446881"/>
    <w:rsid w:val="00451B82"/>
    <w:rsid w:val="00461957"/>
    <w:rsid w:val="0046625C"/>
    <w:rsid w:val="00470C21"/>
    <w:rsid w:val="00476C9E"/>
    <w:rsid w:val="00491E5F"/>
    <w:rsid w:val="004930ED"/>
    <w:rsid w:val="00493F3C"/>
    <w:rsid w:val="00496D0B"/>
    <w:rsid w:val="004A775D"/>
    <w:rsid w:val="004B1D54"/>
    <w:rsid w:val="004B3F30"/>
    <w:rsid w:val="004B4E94"/>
    <w:rsid w:val="004B51E6"/>
    <w:rsid w:val="004B6E01"/>
    <w:rsid w:val="004C320D"/>
    <w:rsid w:val="004D6DD4"/>
    <w:rsid w:val="004E0F77"/>
    <w:rsid w:val="004F3F2A"/>
    <w:rsid w:val="005043EB"/>
    <w:rsid w:val="00514A31"/>
    <w:rsid w:val="00517A68"/>
    <w:rsid w:val="00522D3B"/>
    <w:rsid w:val="0054262A"/>
    <w:rsid w:val="00544064"/>
    <w:rsid w:val="0055555B"/>
    <w:rsid w:val="00571484"/>
    <w:rsid w:val="00574557"/>
    <w:rsid w:val="0059380F"/>
    <w:rsid w:val="00593D91"/>
    <w:rsid w:val="005A08B1"/>
    <w:rsid w:val="005A7193"/>
    <w:rsid w:val="005B29CD"/>
    <w:rsid w:val="005C36F6"/>
    <w:rsid w:val="005D1919"/>
    <w:rsid w:val="005D3790"/>
    <w:rsid w:val="005E25BD"/>
    <w:rsid w:val="005E2757"/>
    <w:rsid w:val="00600DDE"/>
    <w:rsid w:val="006138D1"/>
    <w:rsid w:val="00615FA5"/>
    <w:rsid w:val="0062542B"/>
    <w:rsid w:val="00635C53"/>
    <w:rsid w:val="00643C78"/>
    <w:rsid w:val="006440A9"/>
    <w:rsid w:val="006615B1"/>
    <w:rsid w:val="006713A7"/>
    <w:rsid w:val="00680970"/>
    <w:rsid w:val="00680ADB"/>
    <w:rsid w:val="006B222A"/>
    <w:rsid w:val="006B3546"/>
    <w:rsid w:val="006C16FF"/>
    <w:rsid w:val="006C261F"/>
    <w:rsid w:val="006C350D"/>
    <w:rsid w:val="006C4CB8"/>
    <w:rsid w:val="006C5145"/>
    <w:rsid w:val="006D1999"/>
    <w:rsid w:val="006D1DFB"/>
    <w:rsid w:val="006E1A6F"/>
    <w:rsid w:val="006E6712"/>
    <w:rsid w:val="006F6656"/>
    <w:rsid w:val="0071381A"/>
    <w:rsid w:val="007169D6"/>
    <w:rsid w:val="007604C5"/>
    <w:rsid w:val="00761FCF"/>
    <w:rsid w:val="00764D6A"/>
    <w:rsid w:val="00773056"/>
    <w:rsid w:val="007904D6"/>
    <w:rsid w:val="00797460"/>
    <w:rsid w:val="007A4DDB"/>
    <w:rsid w:val="007A5D10"/>
    <w:rsid w:val="007B018C"/>
    <w:rsid w:val="007B66C4"/>
    <w:rsid w:val="007B7E13"/>
    <w:rsid w:val="007C358A"/>
    <w:rsid w:val="007E2BC6"/>
    <w:rsid w:val="007E39EF"/>
    <w:rsid w:val="007F410F"/>
    <w:rsid w:val="00800FE1"/>
    <w:rsid w:val="00804C6C"/>
    <w:rsid w:val="008079AA"/>
    <w:rsid w:val="00820F04"/>
    <w:rsid w:val="00831DED"/>
    <w:rsid w:val="0084011B"/>
    <w:rsid w:val="008508CD"/>
    <w:rsid w:val="0086195A"/>
    <w:rsid w:val="00862F91"/>
    <w:rsid w:val="00863135"/>
    <w:rsid w:val="0087752B"/>
    <w:rsid w:val="00880725"/>
    <w:rsid w:val="0088576D"/>
    <w:rsid w:val="00886469"/>
    <w:rsid w:val="008875CC"/>
    <w:rsid w:val="00892CC1"/>
    <w:rsid w:val="0089320B"/>
    <w:rsid w:val="00894031"/>
    <w:rsid w:val="00897B06"/>
    <w:rsid w:val="008A0EE3"/>
    <w:rsid w:val="008B14E1"/>
    <w:rsid w:val="008B34EE"/>
    <w:rsid w:val="008C3313"/>
    <w:rsid w:val="008C56EB"/>
    <w:rsid w:val="008C584E"/>
    <w:rsid w:val="008D619B"/>
    <w:rsid w:val="008E2231"/>
    <w:rsid w:val="008F5066"/>
    <w:rsid w:val="008F7B16"/>
    <w:rsid w:val="00901EF2"/>
    <w:rsid w:val="009020C3"/>
    <w:rsid w:val="00920CE5"/>
    <w:rsid w:val="00923CC9"/>
    <w:rsid w:val="009407D8"/>
    <w:rsid w:val="00943CF5"/>
    <w:rsid w:val="009622CD"/>
    <w:rsid w:val="0097615E"/>
    <w:rsid w:val="00977537"/>
    <w:rsid w:val="009A3B03"/>
    <w:rsid w:val="009A501D"/>
    <w:rsid w:val="009B774A"/>
    <w:rsid w:val="009B790D"/>
    <w:rsid w:val="009C2D57"/>
    <w:rsid w:val="009D263F"/>
    <w:rsid w:val="009D5007"/>
    <w:rsid w:val="009E2823"/>
    <w:rsid w:val="00A06ED1"/>
    <w:rsid w:val="00A125D9"/>
    <w:rsid w:val="00A306C3"/>
    <w:rsid w:val="00A32E25"/>
    <w:rsid w:val="00A411A8"/>
    <w:rsid w:val="00A4508E"/>
    <w:rsid w:val="00A50EBC"/>
    <w:rsid w:val="00A55CFA"/>
    <w:rsid w:val="00A812AF"/>
    <w:rsid w:val="00A91307"/>
    <w:rsid w:val="00A95DA4"/>
    <w:rsid w:val="00A97DEA"/>
    <w:rsid w:val="00AA1D58"/>
    <w:rsid w:val="00AA2739"/>
    <w:rsid w:val="00AA6670"/>
    <w:rsid w:val="00AB665C"/>
    <w:rsid w:val="00AB7911"/>
    <w:rsid w:val="00AC16AD"/>
    <w:rsid w:val="00AC35F5"/>
    <w:rsid w:val="00AC58B5"/>
    <w:rsid w:val="00AD1928"/>
    <w:rsid w:val="00AE4237"/>
    <w:rsid w:val="00AF7997"/>
    <w:rsid w:val="00B02B9B"/>
    <w:rsid w:val="00B21A9E"/>
    <w:rsid w:val="00B2557D"/>
    <w:rsid w:val="00B54B30"/>
    <w:rsid w:val="00B5740E"/>
    <w:rsid w:val="00B63B5D"/>
    <w:rsid w:val="00B83E08"/>
    <w:rsid w:val="00B84485"/>
    <w:rsid w:val="00B861B4"/>
    <w:rsid w:val="00B93C7A"/>
    <w:rsid w:val="00B97E61"/>
    <w:rsid w:val="00BA20FF"/>
    <w:rsid w:val="00BA37AB"/>
    <w:rsid w:val="00BA5B0F"/>
    <w:rsid w:val="00BC1616"/>
    <w:rsid w:val="00BD671A"/>
    <w:rsid w:val="00BD78D3"/>
    <w:rsid w:val="00BE561A"/>
    <w:rsid w:val="00BE6B5C"/>
    <w:rsid w:val="00BE7D9D"/>
    <w:rsid w:val="00BF4D87"/>
    <w:rsid w:val="00BF4E55"/>
    <w:rsid w:val="00BF6B40"/>
    <w:rsid w:val="00C003C5"/>
    <w:rsid w:val="00C02519"/>
    <w:rsid w:val="00C12ACE"/>
    <w:rsid w:val="00C33358"/>
    <w:rsid w:val="00C416EC"/>
    <w:rsid w:val="00C4721F"/>
    <w:rsid w:val="00C63E3B"/>
    <w:rsid w:val="00C74950"/>
    <w:rsid w:val="00C76A59"/>
    <w:rsid w:val="00C812D2"/>
    <w:rsid w:val="00C84903"/>
    <w:rsid w:val="00C859C9"/>
    <w:rsid w:val="00C85C62"/>
    <w:rsid w:val="00C91A04"/>
    <w:rsid w:val="00C959B2"/>
    <w:rsid w:val="00CA6C9D"/>
    <w:rsid w:val="00CC4C15"/>
    <w:rsid w:val="00CC6426"/>
    <w:rsid w:val="00CD6120"/>
    <w:rsid w:val="00CF4F5E"/>
    <w:rsid w:val="00CF52C1"/>
    <w:rsid w:val="00D01BA5"/>
    <w:rsid w:val="00D07F7D"/>
    <w:rsid w:val="00D1032B"/>
    <w:rsid w:val="00D20DAF"/>
    <w:rsid w:val="00D41EF7"/>
    <w:rsid w:val="00D46CA3"/>
    <w:rsid w:val="00D47121"/>
    <w:rsid w:val="00D6561B"/>
    <w:rsid w:val="00D65CD1"/>
    <w:rsid w:val="00D6626A"/>
    <w:rsid w:val="00D71287"/>
    <w:rsid w:val="00DA1F76"/>
    <w:rsid w:val="00DA71B8"/>
    <w:rsid w:val="00DB31EB"/>
    <w:rsid w:val="00DB71A3"/>
    <w:rsid w:val="00DC41DE"/>
    <w:rsid w:val="00DC55BE"/>
    <w:rsid w:val="00DC7AA9"/>
    <w:rsid w:val="00DD38D4"/>
    <w:rsid w:val="00DE0AAE"/>
    <w:rsid w:val="00DE21ED"/>
    <w:rsid w:val="00DF102F"/>
    <w:rsid w:val="00E11AC7"/>
    <w:rsid w:val="00E20810"/>
    <w:rsid w:val="00E20FE8"/>
    <w:rsid w:val="00E223F4"/>
    <w:rsid w:val="00E4637D"/>
    <w:rsid w:val="00E60E5E"/>
    <w:rsid w:val="00E663D7"/>
    <w:rsid w:val="00E83BAC"/>
    <w:rsid w:val="00E84F8D"/>
    <w:rsid w:val="00E87CEC"/>
    <w:rsid w:val="00E91D72"/>
    <w:rsid w:val="00E97CE1"/>
    <w:rsid w:val="00E97F13"/>
    <w:rsid w:val="00EA3E22"/>
    <w:rsid w:val="00EA5678"/>
    <w:rsid w:val="00EC40D3"/>
    <w:rsid w:val="00ED01BB"/>
    <w:rsid w:val="00ED78A6"/>
    <w:rsid w:val="00EE4833"/>
    <w:rsid w:val="00EF55CC"/>
    <w:rsid w:val="00F01D00"/>
    <w:rsid w:val="00F02EAA"/>
    <w:rsid w:val="00F04729"/>
    <w:rsid w:val="00F3085E"/>
    <w:rsid w:val="00F333E9"/>
    <w:rsid w:val="00F5304F"/>
    <w:rsid w:val="00F672D4"/>
    <w:rsid w:val="00F67AFC"/>
    <w:rsid w:val="00F82F27"/>
    <w:rsid w:val="00FA0B2E"/>
    <w:rsid w:val="00FA2743"/>
    <w:rsid w:val="00FC1759"/>
    <w:rsid w:val="00FC74A5"/>
    <w:rsid w:val="00FD1D57"/>
    <w:rsid w:val="00FD7468"/>
    <w:rsid w:val="00FE274C"/>
    <w:rsid w:val="00FE64BC"/>
    <w:rsid w:val="00FF1791"/>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50E9F"/>
  <w15:docId w15:val="{14F1310B-F0E1-4835-A75A-FDD1CACC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EA"/>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2A6A37"/>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4409EA"/>
    <w:pPr>
      <w:keepNext/>
      <w:numPr>
        <w:numId w:val="18"/>
      </w:numPr>
      <w:spacing w:after="60" w:line="240" w:lineRule="auto"/>
      <w:outlineLvl w:val="1"/>
    </w:pPr>
    <w:rPr>
      <w:rFonts w:ascii="Calibri" w:eastAsiaTheme="minorEastAsia" w:hAnsi="Calibri"/>
      <w:bCs/>
      <w:color w:val="000000"/>
      <w:sz w:val="44"/>
      <w:szCs w:val="28"/>
      <w:lang w:eastAsia="ja-JP"/>
    </w:rPr>
  </w:style>
  <w:style w:type="paragraph" w:styleId="Heading3">
    <w:name w:val="heading 3"/>
    <w:next w:val="Normal"/>
    <w:link w:val="Heading3Char"/>
    <w:uiPriority w:val="4"/>
    <w:qFormat/>
    <w:rsid w:val="004409EA"/>
    <w:pPr>
      <w:keepNext/>
      <w:keepLines/>
      <w:numPr>
        <w:ilvl w:val="1"/>
        <w:numId w:val="18"/>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4409EA"/>
    <w:pPr>
      <w:keepNext/>
      <w:numPr>
        <w:ilvl w:val="2"/>
        <w:numId w:val="1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4409EA"/>
    <w:pPr>
      <w:keepNext/>
      <w:keepLines/>
      <w:spacing w:after="0" w:line="240" w:lineRule="auto"/>
      <w:outlineLvl w:val="4"/>
    </w:pPr>
    <w:rPr>
      <w:rFonts w:ascii="Calibri" w:hAnsi="Calibri"/>
      <w:b/>
      <w:sz w:val="28"/>
    </w:rPr>
  </w:style>
  <w:style w:type="paragraph" w:styleId="Heading6">
    <w:name w:val="heading 6"/>
    <w:basedOn w:val="Normal"/>
    <w:next w:val="Normal"/>
    <w:link w:val="Heading6Char"/>
    <w:uiPriority w:val="9"/>
    <w:semiHidden/>
    <w:qFormat/>
    <w:rsid w:val="004409EA"/>
    <w:pPr>
      <w:keepNext/>
      <w:keepLines/>
      <w:spacing w:before="40" w:after="0"/>
      <w:outlineLvl w:val="5"/>
    </w:pPr>
    <w:rPr>
      <w:rFonts w:eastAsiaTheme="majorEastAsia" w:cstheme="majorBidi"/>
      <w:b/>
      <w:i/>
      <w:color w:val="000000" w:themeColor="text1"/>
      <w:sz w:val="26"/>
    </w:rPr>
  </w:style>
  <w:style w:type="paragraph" w:styleId="Heading7">
    <w:name w:val="heading 7"/>
    <w:basedOn w:val="Normal"/>
    <w:next w:val="Normal"/>
    <w:link w:val="Heading7Char"/>
    <w:uiPriority w:val="9"/>
    <w:semiHidden/>
    <w:qFormat/>
    <w:rsid w:val="004409EA"/>
    <w:pPr>
      <w:keepNext/>
      <w:keepLines/>
      <w:spacing w:before="40" w:after="0"/>
      <w:outlineLvl w:val="6"/>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qFormat/>
    <w:rsid w:val="004409EA"/>
    <w:pPr>
      <w:keepNext/>
      <w:keepLines/>
      <w:spacing w:before="40" w:after="0"/>
      <w:outlineLvl w:val="7"/>
    </w:pPr>
    <w:rPr>
      <w:rFonts w:eastAsiaTheme="majorEastAsia" w:cstheme="majorBidi"/>
      <w:b/>
      <w:i/>
      <w:szCs w:val="21"/>
    </w:rPr>
  </w:style>
  <w:style w:type="paragraph" w:styleId="Heading9">
    <w:name w:val="heading 9"/>
    <w:basedOn w:val="Normal"/>
    <w:next w:val="Normal"/>
    <w:link w:val="Heading9Char"/>
    <w:uiPriority w:val="9"/>
    <w:semiHidden/>
    <w:qFormat/>
    <w:rsid w:val="004409EA"/>
    <w:pPr>
      <w:keepNext/>
      <w:keepLines/>
      <w:spacing w:before="40" w:after="0"/>
      <w:outlineLvl w:val="8"/>
    </w:pPr>
    <w:rPr>
      <w:rFonts w:eastAsiaTheme="majorEastAsia" w:cstheme="majorBidi"/>
      <w:b/>
      <w:iCs/>
      <w:color w:val="000000" w:themeColor="tex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09EA"/>
    <w:rPr>
      <w:sz w:val="20"/>
      <w:szCs w:val="20"/>
    </w:rPr>
  </w:style>
  <w:style w:type="character" w:customStyle="1" w:styleId="CommentTextChar">
    <w:name w:val="Comment Text Char"/>
    <w:basedOn w:val="DefaultParagraphFont"/>
    <w:link w:val="CommentText"/>
    <w:rsid w:val="004409EA"/>
    <w:rPr>
      <w:rFonts w:asciiTheme="minorHAnsi" w:eastAsiaTheme="minorHAnsi" w:hAnsiTheme="minorHAnsi" w:cstheme="minorBidi"/>
      <w:lang w:eastAsia="en-US"/>
    </w:rPr>
  </w:style>
  <w:style w:type="paragraph" w:styleId="Header">
    <w:name w:val="header"/>
    <w:basedOn w:val="Normal"/>
    <w:link w:val="HeaderChar"/>
    <w:uiPriority w:val="26"/>
    <w:rsid w:val="004409EA"/>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409EA"/>
    <w:rPr>
      <w:rFonts w:ascii="Calibri" w:eastAsiaTheme="minorHAnsi" w:hAnsi="Calibri" w:cstheme="minorBidi"/>
      <w:szCs w:val="22"/>
      <w:lang w:eastAsia="en-US"/>
    </w:rPr>
  </w:style>
  <w:style w:type="paragraph" w:styleId="Footer">
    <w:name w:val="footer"/>
    <w:basedOn w:val="Normal"/>
    <w:link w:val="FooterChar"/>
    <w:uiPriority w:val="27"/>
    <w:rsid w:val="004409EA"/>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4409EA"/>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09EA"/>
    <w:rPr>
      <w:sz w:val="16"/>
      <w:szCs w:val="16"/>
    </w:rPr>
  </w:style>
  <w:style w:type="paragraph" w:styleId="CommentSubject">
    <w:name w:val="annotation subject"/>
    <w:basedOn w:val="CommentText"/>
    <w:next w:val="CommentText"/>
    <w:link w:val="CommentSubjectChar"/>
    <w:uiPriority w:val="99"/>
    <w:semiHidden/>
    <w:unhideWhenUsed/>
    <w:rsid w:val="004409EA"/>
    <w:rPr>
      <w:b/>
      <w:bCs/>
    </w:rPr>
  </w:style>
  <w:style w:type="character" w:customStyle="1" w:styleId="CommentSubjectChar">
    <w:name w:val="Comment Subject Char"/>
    <w:basedOn w:val="CommentTextChar"/>
    <w:link w:val="CommentSubject"/>
    <w:uiPriority w:val="99"/>
    <w:semiHidden/>
    <w:rsid w:val="004409EA"/>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09EA"/>
    <w:rPr>
      <w:rFonts w:ascii="Calibri" w:hAnsi="Calibri"/>
      <w:sz w:val="18"/>
      <w:szCs w:val="18"/>
    </w:rPr>
  </w:style>
  <w:style w:type="character" w:customStyle="1" w:styleId="BalloonTextChar">
    <w:name w:val="Balloon Text Char"/>
    <w:basedOn w:val="DefaultParagraphFont"/>
    <w:link w:val="BalloonText"/>
    <w:uiPriority w:val="99"/>
    <w:semiHidden/>
    <w:rsid w:val="004409EA"/>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09EA"/>
    <w:rPr>
      <w:sz w:val="16"/>
    </w:rPr>
  </w:style>
  <w:style w:type="character" w:customStyle="1" w:styleId="Heading1Char">
    <w:name w:val="Heading 1 Char"/>
    <w:basedOn w:val="DefaultParagraphFont"/>
    <w:link w:val="Heading1"/>
    <w:uiPriority w:val="1"/>
    <w:rsid w:val="002A6A37"/>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4409EA"/>
    <w:rPr>
      <w:rFonts w:ascii="Calibri" w:eastAsiaTheme="minorEastAsia" w:hAnsi="Calibri" w:cstheme="minorBidi"/>
      <w:bCs/>
      <w:color w:val="000000"/>
      <w:sz w:val="44"/>
      <w:szCs w:val="28"/>
      <w:lang w:eastAsia="ja-JP"/>
    </w:rPr>
  </w:style>
  <w:style w:type="character" w:customStyle="1" w:styleId="Heading3Char">
    <w:name w:val="Heading 3 Char"/>
    <w:basedOn w:val="DefaultParagraphFont"/>
    <w:link w:val="Heading3"/>
    <w:uiPriority w:val="4"/>
    <w:rsid w:val="004409EA"/>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4409EA"/>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4409EA"/>
    <w:rPr>
      <w:rFonts w:ascii="Calibri" w:eastAsiaTheme="minorHAnsi" w:hAnsi="Calibri" w:cstheme="minorBidi"/>
      <w:b/>
      <w:sz w:val="28"/>
      <w:szCs w:val="22"/>
      <w:lang w:eastAsia="en-US"/>
    </w:rPr>
  </w:style>
  <w:style w:type="paragraph" w:styleId="Quote">
    <w:name w:val="Quote"/>
    <w:basedOn w:val="Normal"/>
    <w:next w:val="Normal"/>
    <w:link w:val="QuoteChar"/>
    <w:uiPriority w:val="18"/>
    <w:qFormat/>
    <w:rsid w:val="004409EA"/>
    <w:pPr>
      <w:ind w:left="709" w:right="567"/>
    </w:pPr>
    <w:rPr>
      <w:iCs/>
      <w:color w:val="000000"/>
    </w:rPr>
  </w:style>
  <w:style w:type="character" w:customStyle="1" w:styleId="QuoteChar">
    <w:name w:val="Quote Char"/>
    <w:basedOn w:val="DefaultParagraphFont"/>
    <w:link w:val="Quote"/>
    <w:uiPriority w:val="18"/>
    <w:rsid w:val="004409EA"/>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09EA"/>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09EA"/>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09EA"/>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4409EA"/>
    <w:pPr>
      <w:spacing w:before="120"/>
    </w:pPr>
    <w:rPr>
      <w:b w:val="0"/>
      <w:color w:val="000000" w:themeColor="text1"/>
      <w:sz w:val="44"/>
      <w:szCs w:val="56"/>
    </w:rPr>
  </w:style>
  <w:style w:type="character" w:customStyle="1" w:styleId="SubtitleChar">
    <w:name w:val="Subtitle Char"/>
    <w:basedOn w:val="DefaultParagraphFont"/>
    <w:link w:val="Subtitle"/>
    <w:uiPriority w:val="23"/>
    <w:rsid w:val="004409EA"/>
    <w:rPr>
      <w:rFonts w:ascii="Calibri" w:eastAsiaTheme="minorHAnsi" w:hAnsi="Calibri" w:cstheme="minorBidi"/>
      <w:bCs/>
      <w:color w:val="000000" w:themeColor="text1"/>
      <w:spacing w:val="5"/>
      <w:kern w:val="28"/>
      <w:sz w:val="44"/>
      <w:szCs w:val="56"/>
      <w:lang w:eastAsia="en-US"/>
    </w:rPr>
  </w:style>
  <w:style w:type="paragraph" w:styleId="TOCHeading">
    <w:name w:val="TOC Heading"/>
    <w:next w:val="Normal"/>
    <w:uiPriority w:val="39"/>
    <w:qFormat/>
    <w:rsid w:val="004409EA"/>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4409EA"/>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09EA"/>
    <w:pPr>
      <w:tabs>
        <w:tab w:val="right" w:leader="dot" w:pos="9060"/>
      </w:tabs>
      <w:spacing w:before="120" w:after="120" w:line="240" w:lineRule="auto"/>
      <w:ind w:left="1134" w:hanging="709"/>
    </w:pPr>
    <w:rPr>
      <w:noProof/>
    </w:rPr>
  </w:style>
  <w:style w:type="paragraph" w:styleId="TOC3">
    <w:name w:val="toc 3"/>
    <w:basedOn w:val="Normal"/>
    <w:next w:val="Normal"/>
    <w:uiPriority w:val="39"/>
    <w:unhideWhenUsed/>
    <w:qFormat/>
    <w:rsid w:val="004409EA"/>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09EA"/>
    <w:rPr>
      <w:color w:val="165788"/>
      <w:u w:val="single"/>
    </w:rPr>
  </w:style>
  <w:style w:type="paragraph" w:styleId="ListBullet">
    <w:name w:val="List Bullet"/>
    <w:basedOn w:val="Normal"/>
    <w:uiPriority w:val="99"/>
    <w:qFormat/>
    <w:rsid w:val="004409EA"/>
    <w:pPr>
      <w:numPr>
        <w:numId w:val="1"/>
      </w:numPr>
      <w:spacing w:before="120" w:after="120"/>
      <w:ind w:left="454" w:hanging="454"/>
    </w:pPr>
  </w:style>
  <w:style w:type="paragraph" w:styleId="TableofFigures">
    <w:name w:val="table of figures"/>
    <w:basedOn w:val="Normal"/>
    <w:next w:val="Normal"/>
    <w:uiPriority w:val="99"/>
    <w:rsid w:val="004409EA"/>
    <w:pPr>
      <w:spacing w:before="120" w:after="120" w:line="240" w:lineRule="auto"/>
    </w:pPr>
  </w:style>
  <w:style w:type="paragraph" w:styleId="ListBullet2">
    <w:name w:val="List Bullet 2"/>
    <w:basedOn w:val="Normal"/>
    <w:uiPriority w:val="8"/>
    <w:qFormat/>
    <w:rsid w:val="004409EA"/>
    <w:pPr>
      <w:numPr>
        <w:ilvl w:val="1"/>
        <w:numId w:val="1"/>
      </w:numPr>
      <w:spacing w:before="120" w:after="120"/>
      <w:ind w:left="908" w:hanging="454"/>
      <w:contextualSpacing/>
    </w:pPr>
  </w:style>
  <w:style w:type="paragraph" w:styleId="ListNumber">
    <w:name w:val="List Number"/>
    <w:basedOn w:val="Normal"/>
    <w:uiPriority w:val="9"/>
    <w:qFormat/>
    <w:rsid w:val="004409EA"/>
    <w:pPr>
      <w:numPr>
        <w:numId w:val="17"/>
      </w:numPr>
      <w:tabs>
        <w:tab w:val="left" w:pos="142"/>
      </w:tabs>
      <w:spacing w:before="120" w:after="120"/>
      <w:ind w:left="454" w:hanging="454"/>
    </w:pPr>
  </w:style>
  <w:style w:type="paragraph" w:styleId="ListNumber2">
    <w:name w:val="List Number 2"/>
    <w:uiPriority w:val="10"/>
    <w:qFormat/>
    <w:rsid w:val="004409EA"/>
    <w:pPr>
      <w:numPr>
        <w:ilvl w:val="1"/>
        <w:numId w:val="17"/>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4409EA"/>
    <w:pPr>
      <w:numPr>
        <w:ilvl w:val="2"/>
        <w:numId w:val="17"/>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09E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09EA"/>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09EA"/>
    <w:pPr>
      <w:spacing w:before="60" w:after="60" w:line="240" w:lineRule="auto"/>
    </w:pPr>
    <w:rPr>
      <w:sz w:val="18"/>
    </w:rPr>
  </w:style>
  <w:style w:type="table" w:styleId="TableGrid1">
    <w:name w:val="Table Grid 1"/>
    <w:basedOn w:val="TableNormal"/>
    <w:uiPriority w:val="99"/>
    <w:semiHidden/>
    <w:unhideWhenUsed/>
    <w:rsid w:val="004409EA"/>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09EA"/>
    <w:pPr>
      <w:keepNext/>
    </w:pPr>
    <w:rPr>
      <w:b/>
    </w:rPr>
  </w:style>
  <w:style w:type="character" w:styleId="PlaceholderText">
    <w:name w:val="Placeholder Text"/>
    <w:basedOn w:val="DefaultParagraphFont"/>
    <w:uiPriority w:val="99"/>
    <w:semiHidden/>
    <w:rsid w:val="004409EA"/>
    <w:rPr>
      <w:color w:val="808080"/>
    </w:rPr>
  </w:style>
  <w:style w:type="paragraph" w:customStyle="1" w:styleId="Author">
    <w:name w:val="Author"/>
    <w:basedOn w:val="Normal"/>
    <w:next w:val="Normal"/>
    <w:uiPriority w:val="24"/>
    <w:qFormat/>
    <w:rsid w:val="004409EA"/>
    <w:pPr>
      <w:spacing w:after="60"/>
    </w:pPr>
    <w:rPr>
      <w:b/>
      <w:sz w:val="24"/>
      <w:szCs w:val="28"/>
    </w:rPr>
  </w:style>
  <w:style w:type="paragraph" w:customStyle="1" w:styleId="AuthorOrganisationAffiliation">
    <w:name w:val="Author Organisation/Affiliation"/>
    <w:basedOn w:val="Normal"/>
    <w:next w:val="Normal"/>
    <w:uiPriority w:val="25"/>
    <w:qFormat/>
    <w:rsid w:val="004409EA"/>
  </w:style>
  <w:style w:type="character" w:styleId="Strong">
    <w:name w:val="Strong"/>
    <w:basedOn w:val="DefaultParagraphFont"/>
    <w:uiPriority w:val="22"/>
    <w:qFormat/>
    <w:rsid w:val="004409EA"/>
    <w:rPr>
      <w:b/>
      <w:bCs/>
    </w:rPr>
  </w:style>
  <w:style w:type="paragraph" w:customStyle="1" w:styleId="Glossary">
    <w:name w:val="Glossary"/>
    <w:basedOn w:val="Normal"/>
    <w:link w:val="GlossaryChar"/>
    <w:uiPriority w:val="28"/>
    <w:semiHidden/>
    <w:locked/>
    <w:rsid w:val="004409EA"/>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09EA"/>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09EA"/>
    <w:rPr>
      <w:i/>
      <w:iCs/>
    </w:rPr>
  </w:style>
  <w:style w:type="paragraph" w:styleId="TOAHeading">
    <w:name w:val="toa heading"/>
    <w:basedOn w:val="Heading1"/>
    <w:next w:val="Normal"/>
    <w:uiPriority w:val="99"/>
    <w:semiHidden/>
    <w:unhideWhenUsed/>
    <w:rsid w:val="004409EA"/>
    <w:pPr>
      <w:spacing w:before="120"/>
    </w:pPr>
    <w:rPr>
      <w:bCs w:val="0"/>
      <w:sz w:val="24"/>
    </w:rPr>
  </w:style>
  <w:style w:type="paragraph" w:styleId="NormalWeb">
    <w:name w:val="Normal (Web)"/>
    <w:basedOn w:val="Normal"/>
    <w:uiPriority w:val="99"/>
    <w:semiHidden/>
    <w:unhideWhenUsed/>
    <w:rsid w:val="004409EA"/>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4409EA"/>
    <w:pPr>
      <w:numPr>
        <w:numId w:val="7"/>
      </w:numPr>
      <w:ind w:left="357" w:hanging="357"/>
    </w:pPr>
  </w:style>
  <w:style w:type="paragraph" w:customStyle="1" w:styleId="TableBullet">
    <w:name w:val="Table Bullet"/>
    <w:basedOn w:val="TableText"/>
    <w:uiPriority w:val="15"/>
    <w:qFormat/>
    <w:rsid w:val="004409EA"/>
    <w:pPr>
      <w:numPr>
        <w:numId w:val="6"/>
      </w:numPr>
    </w:pPr>
  </w:style>
  <w:style w:type="paragraph" w:styleId="DocumentMap">
    <w:name w:val="Document Map"/>
    <w:basedOn w:val="Normal"/>
    <w:link w:val="DocumentMapChar"/>
    <w:uiPriority w:val="99"/>
    <w:semiHidden/>
    <w:unhideWhenUsed/>
    <w:rsid w:val="004409E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09EA"/>
    <w:rPr>
      <w:rFonts w:ascii="Tahoma" w:eastAsiaTheme="minorHAnsi" w:hAnsi="Tahoma" w:cs="Tahoma"/>
      <w:sz w:val="16"/>
      <w:szCs w:val="16"/>
      <w:lang w:eastAsia="en-US"/>
    </w:rPr>
  </w:style>
  <w:style w:type="paragraph" w:customStyle="1" w:styleId="BoxHeading">
    <w:name w:val="Box Heading"/>
    <w:basedOn w:val="BoxText"/>
    <w:uiPriority w:val="20"/>
    <w:qFormat/>
    <w:rsid w:val="004409EA"/>
    <w:pPr>
      <w:spacing w:line="240" w:lineRule="auto"/>
    </w:pPr>
    <w:rPr>
      <w:b/>
    </w:rPr>
  </w:style>
  <w:style w:type="paragraph" w:customStyle="1" w:styleId="Securityclassification">
    <w:name w:val="Security classification"/>
    <w:basedOn w:val="Header"/>
    <w:next w:val="Header"/>
    <w:uiPriority w:val="26"/>
    <w:semiHidden/>
    <w:qFormat/>
    <w:rsid w:val="004409EA"/>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09EA"/>
    <w:pPr>
      <w:spacing w:after="0"/>
    </w:pPr>
    <w:rPr>
      <w:b/>
      <w:sz w:val="36"/>
      <w:szCs w:val="36"/>
    </w:rPr>
  </w:style>
  <w:style w:type="paragraph" w:styleId="FootnoteText">
    <w:name w:val="footnote text"/>
    <w:basedOn w:val="Normal"/>
    <w:link w:val="FootnoteTextChar"/>
    <w:uiPriority w:val="99"/>
    <w:unhideWhenUsed/>
    <w:rsid w:val="004409EA"/>
    <w:pPr>
      <w:spacing w:after="60" w:line="264" w:lineRule="auto"/>
    </w:pPr>
    <w:rPr>
      <w:sz w:val="20"/>
      <w:szCs w:val="20"/>
    </w:rPr>
  </w:style>
  <w:style w:type="character" w:customStyle="1" w:styleId="FootnoteTextChar">
    <w:name w:val="Footnote Text Char"/>
    <w:basedOn w:val="DefaultParagraphFont"/>
    <w:link w:val="FootnoteText"/>
    <w:uiPriority w:val="99"/>
    <w:rsid w:val="004409EA"/>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09EA"/>
    <w:rPr>
      <w:vertAlign w:val="superscript"/>
    </w:rPr>
  </w:style>
  <w:style w:type="character" w:styleId="EndnoteReference">
    <w:name w:val="endnote reference"/>
    <w:basedOn w:val="DefaultParagraphFont"/>
    <w:uiPriority w:val="99"/>
    <w:semiHidden/>
    <w:unhideWhenUsed/>
    <w:rsid w:val="004409EA"/>
    <w:rPr>
      <w:vertAlign w:val="superscript"/>
    </w:rPr>
  </w:style>
  <w:style w:type="character" w:styleId="FollowedHyperlink">
    <w:name w:val="FollowedHyperlink"/>
    <w:basedOn w:val="DefaultParagraphFont"/>
    <w:uiPriority w:val="99"/>
    <w:semiHidden/>
    <w:unhideWhenUsed/>
    <w:rsid w:val="004409EA"/>
    <w:rPr>
      <w:color w:val="800080"/>
      <w:u w:val="single"/>
    </w:rPr>
  </w:style>
  <w:style w:type="paragraph" w:customStyle="1" w:styleId="BoxSource">
    <w:name w:val="Box Source"/>
    <w:basedOn w:val="FigureTableNoteSource"/>
    <w:uiPriority w:val="22"/>
    <w:qFormat/>
    <w:rsid w:val="004409EA"/>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09EA"/>
    <w:pPr>
      <w:numPr>
        <w:numId w:val="1"/>
      </w:numPr>
    </w:pPr>
  </w:style>
  <w:style w:type="paragraph" w:styleId="Title">
    <w:name w:val="Title"/>
    <w:basedOn w:val="Normal"/>
    <w:next w:val="Normal"/>
    <w:link w:val="TitleChar"/>
    <w:uiPriority w:val="10"/>
    <w:semiHidden/>
    <w:qFormat/>
    <w:rsid w:val="004409EA"/>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09EA"/>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4409EA"/>
    <w:rPr>
      <w:rFonts w:ascii="Calibri Light" w:eastAsiaTheme="minorHAnsi" w:hAnsi="Calibri Light" w:cstheme="minorBidi"/>
      <w:sz w:val="36"/>
      <w:szCs w:val="22"/>
      <w:lang w:eastAsia="en-US"/>
    </w:rPr>
  </w:style>
  <w:style w:type="numbering" w:customStyle="1" w:styleId="Numberlist">
    <w:name w:val="Number list"/>
    <w:uiPriority w:val="99"/>
    <w:rsid w:val="004409EA"/>
    <w:pPr>
      <w:numPr>
        <w:numId w:val="2"/>
      </w:numPr>
    </w:pPr>
  </w:style>
  <w:style w:type="numbering" w:customStyle="1" w:styleId="Headinglist">
    <w:name w:val="Heading list"/>
    <w:uiPriority w:val="99"/>
    <w:rsid w:val="004409EA"/>
    <w:pPr>
      <w:numPr>
        <w:numId w:val="3"/>
      </w:numPr>
    </w:pPr>
  </w:style>
  <w:style w:type="paragraph" w:customStyle="1" w:styleId="Normalsmall">
    <w:name w:val="Normal small"/>
    <w:qFormat/>
    <w:rsid w:val="004409EA"/>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09EA"/>
    <w:pPr>
      <w:numPr>
        <w:ilvl w:val="2"/>
        <w:numId w:val="1"/>
      </w:numPr>
      <w:ind w:left="1361" w:hanging="454"/>
      <w:contextualSpacing/>
    </w:pPr>
  </w:style>
  <w:style w:type="table" w:customStyle="1" w:styleId="ABARESTableleftrightalign">
    <w:name w:val="ABARES Table (left/right align)"/>
    <w:basedOn w:val="TableNormal"/>
    <w:uiPriority w:val="99"/>
    <w:rsid w:val="004409EA"/>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rsid w:val="004409EA"/>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4409E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09EA"/>
    <w:rPr>
      <w:i/>
      <w:iCs/>
      <w:color w:val="4F81BD" w:themeColor="accent1"/>
    </w:rPr>
  </w:style>
  <w:style w:type="paragraph" w:customStyle="1" w:styleId="TableBullet2">
    <w:name w:val="Table Bullet 2"/>
    <w:basedOn w:val="TableBullet"/>
    <w:qFormat/>
    <w:rsid w:val="004409EA"/>
    <w:pPr>
      <w:numPr>
        <w:numId w:val="11"/>
      </w:numPr>
      <w:tabs>
        <w:tab w:val="num" w:pos="462"/>
      </w:tabs>
      <w:ind w:left="568" w:hanging="284"/>
    </w:pPr>
  </w:style>
  <w:style w:type="numbering" w:customStyle="1" w:styleId="TableBulletlist">
    <w:name w:val="Table Bullet list"/>
    <w:uiPriority w:val="99"/>
    <w:rsid w:val="004409EA"/>
    <w:pPr>
      <w:numPr>
        <w:numId w:val="5"/>
      </w:numPr>
    </w:pPr>
  </w:style>
  <w:style w:type="character" w:styleId="UnresolvedMention">
    <w:name w:val="Unresolved Mention"/>
    <w:basedOn w:val="DefaultParagraphFont"/>
    <w:uiPriority w:val="99"/>
    <w:semiHidden/>
    <w:unhideWhenUsed/>
    <w:rsid w:val="004409EA"/>
    <w:rPr>
      <w:color w:val="605E5C"/>
      <w:shd w:val="clear" w:color="auto" w:fill="E1DFDD"/>
    </w:rPr>
  </w:style>
  <w:style w:type="paragraph" w:styleId="ListParagraph">
    <w:name w:val="List Paragraph"/>
    <w:basedOn w:val="Normal"/>
    <w:uiPriority w:val="34"/>
    <w:semiHidden/>
    <w:qFormat/>
    <w:rsid w:val="004409EA"/>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4409EA"/>
    <w:rPr>
      <w:rFonts w:asciiTheme="minorHAnsi" w:eastAsiaTheme="majorEastAsia" w:hAnsiTheme="minorHAnsi" w:cstheme="majorBidi"/>
      <w:b/>
      <w:i/>
      <w:color w:val="000000" w:themeColor="text1"/>
      <w:sz w:val="26"/>
      <w:szCs w:val="22"/>
      <w:lang w:eastAsia="en-US"/>
    </w:rPr>
  </w:style>
  <w:style w:type="paragraph" w:customStyle="1" w:styleId="TableListNumber2">
    <w:name w:val="Table List Number 2"/>
    <w:basedOn w:val="TableText"/>
    <w:qFormat/>
    <w:rsid w:val="004409EA"/>
    <w:pPr>
      <w:numPr>
        <w:ilvl w:val="1"/>
        <w:numId w:val="13"/>
      </w:numPr>
    </w:pPr>
  </w:style>
  <w:style w:type="paragraph" w:customStyle="1" w:styleId="TableListNumber3">
    <w:name w:val="Table List Number 3"/>
    <w:basedOn w:val="TableText"/>
    <w:qFormat/>
    <w:rsid w:val="004409EA"/>
    <w:pPr>
      <w:numPr>
        <w:ilvl w:val="2"/>
        <w:numId w:val="13"/>
      </w:numPr>
    </w:pPr>
  </w:style>
  <w:style w:type="numbering" w:customStyle="1" w:styleId="Tablenumberedlists">
    <w:name w:val="Table numbered lists"/>
    <w:uiPriority w:val="99"/>
    <w:rsid w:val="004409EA"/>
    <w:pPr>
      <w:numPr>
        <w:numId w:val="13"/>
      </w:numPr>
    </w:pPr>
  </w:style>
  <w:style w:type="character" w:customStyle="1" w:styleId="Heading7Char">
    <w:name w:val="Heading 7 Char"/>
    <w:basedOn w:val="DefaultParagraphFont"/>
    <w:link w:val="Heading7"/>
    <w:uiPriority w:val="9"/>
    <w:semiHidden/>
    <w:rsid w:val="004409EA"/>
    <w:rPr>
      <w:rFonts w:asciiTheme="minorHAnsi" w:eastAsiaTheme="majorEastAsia" w:hAnsiTheme="minorHAnsi" w:cstheme="majorBidi"/>
      <w:b/>
      <w:iCs/>
      <w:color w:val="000000" w:themeColor="text1"/>
      <w:sz w:val="24"/>
      <w:szCs w:val="22"/>
      <w:lang w:eastAsia="en-US"/>
    </w:rPr>
  </w:style>
  <w:style w:type="character" w:customStyle="1" w:styleId="Heading8Char">
    <w:name w:val="Heading 8 Char"/>
    <w:basedOn w:val="DefaultParagraphFont"/>
    <w:link w:val="Heading8"/>
    <w:uiPriority w:val="9"/>
    <w:semiHidden/>
    <w:rsid w:val="004409EA"/>
    <w:rPr>
      <w:rFonts w:asciiTheme="minorHAnsi" w:eastAsiaTheme="majorEastAsia" w:hAnsiTheme="minorHAnsi" w:cstheme="majorBidi"/>
      <w:b/>
      <w:i/>
      <w:sz w:val="22"/>
      <w:szCs w:val="21"/>
      <w:lang w:eastAsia="en-US"/>
    </w:rPr>
  </w:style>
  <w:style w:type="paragraph" w:customStyle="1" w:styleId="BoxTextNumber">
    <w:name w:val="Box Text Number"/>
    <w:basedOn w:val="BoxText"/>
    <w:qFormat/>
    <w:rsid w:val="004409EA"/>
    <w:pPr>
      <w:numPr>
        <w:numId w:val="19"/>
      </w:numPr>
    </w:pPr>
  </w:style>
  <w:style w:type="paragraph" w:styleId="Date">
    <w:name w:val="Date"/>
    <w:basedOn w:val="Normal"/>
    <w:next w:val="Normal"/>
    <w:link w:val="DateChar"/>
    <w:uiPriority w:val="99"/>
    <w:unhideWhenUsed/>
    <w:rsid w:val="00600DDE"/>
    <w:rPr>
      <w:sz w:val="28"/>
    </w:rPr>
  </w:style>
  <w:style w:type="character" w:customStyle="1" w:styleId="DateChar">
    <w:name w:val="Date Char"/>
    <w:basedOn w:val="DefaultParagraphFont"/>
    <w:link w:val="Date"/>
    <w:uiPriority w:val="99"/>
    <w:rsid w:val="00600DDE"/>
    <w:rPr>
      <w:rFonts w:asciiTheme="minorHAnsi" w:eastAsiaTheme="minorHAnsi" w:hAnsiTheme="minorHAnsi" w:cstheme="minorBidi"/>
      <w:sz w:val="28"/>
      <w:szCs w:val="22"/>
      <w:lang w:eastAsia="en-US"/>
    </w:rPr>
  </w:style>
  <w:style w:type="character" w:customStyle="1" w:styleId="Heading9Char">
    <w:name w:val="Heading 9 Char"/>
    <w:basedOn w:val="DefaultParagraphFont"/>
    <w:link w:val="Heading9"/>
    <w:uiPriority w:val="9"/>
    <w:semiHidden/>
    <w:rsid w:val="004409EA"/>
    <w:rPr>
      <w:rFonts w:asciiTheme="minorHAnsi" w:eastAsiaTheme="majorEastAsia" w:hAnsiTheme="minorHAnsi" w:cstheme="majorBidi"/>
      <w:b/>
      <w:iCs/>
      <w:color w:val="000000" w:themeColor="text1"/>
      <w:szCs w:val="21"/>
      <w:lang w:eastAsia="en-US"/>
    </w:rPr>
  </w:style>
  <w:style w:type="paragraph" w:styleId="EndnoteText">
    <w:name w:val="endnote text"/>
    <w:basedOn w:val="Normal"/>
    <w:link w:val="EndnoteTextChar"/>
    <w:uiPriority w:val="99"/>
    <w:unhideWhenUsed/>
    <w:rsid w:val="004409EA"/>
    <w:pPr>
      <w:spacing w:after="60" w:line="264" w:lineRule="auto"/>
    </w:pPr>
    <w:rPr>
      <w:sz w:val="20"/>
      <w:szCs w:val="20"/>
    </w:rPr>
  </w:style>
  <w:style w:type="character" w:customStyle="1" w:styleId="EndnoteTextChar">
    <w:name w:val="Endnote Text Char"/>
    <w:basedOn w:val="DefaultParagraphFont"/>
    <w:link w:val="EndnoteText"/>
    <w:uiPriority w:val="99"/>
    <w:rsid w:val="004409EA"/>
    <w:rPr>
      <w:rFonts w:asciiTheme="minorHAnsi" w:eastAsiaTheme="minorHAnsi" w:hAnsiTheme="minorHAnsi" w:cstheme="minorBidi"/>
      <w:lang w:eastAsia="en-US"/>
    </w:rPr>
  </w:style>
  <w:style w:type="paragraph" w:styleId="Revision">
    <w:name w:val="Revision"/>
    <w:hidden/>
    <w:uiPriority w:val="99"/>
    <w:semiHidden/>
    <w:rsid w:val="008508C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CostRecovery@aff.gov.au"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mailto:CostRecovery@aff.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57acef2915613e5993774fabae4a7d59">
  <xsd:schema xmlns:xsd="http://www.w3.org/2001/XMLSchema" xmlns:xs="http://www.w3.org/2001/XMLSchema" xmlns:p="http://schemas.microsoft.com/office/2006/metadata/properties" xmlns:ns2="c527c9b7-9ec8-4c5f-a515-89657b782942" targetNamespace="http://schemas.microsoft.com/office/2006/metadata/properties" ma:root="true" ma:fieldsID="05c88171a8fd2974d8eda4a26dff6127"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C8B07746-7832-4DE7-B0B6-3E7E8D970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c527c9b7-9ec8-4c5f-a515-89657b782942"/>
    <ds:schemaRef ds:uri="http://www.w3.org/XML/1998/namespace"/>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2621</Words>
  <Characters>14943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Policy on refunds and remissions for cost-recovery charges</vt:lpstr>
    </vt:vector>
  </TitlesOfParts>
  <Company/>
  <LinksUpToDate>false</LinksUpToDate>
  <CharactersWithSpaces>17529</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refunds and remissions for cost-recovery charges</dc:title>
  <dc:creator>Department of Agriculture, Fisheries and Forestry</dc:creator>
  <cp:lastModifiedBy>Payne, Leanne</cp:lastModifiedBy>
  <cp:revision>2</cp:revision>
  <cp:lastPrinted>2022-11-17T23:20:00Z</cp:lastPrinted>
  <dcterms:created xsi:type="dcterms:W3CDTF">2026-01-09T06:05:00Z</dcterms:created>
  <dcterms:modified xsi:type="dcterms:W3CDTF">2026-01-09T06:05:00Z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ies>
</file>